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36" w:rsidRPr="002402C9" w:rsidRDefault="00655736" w:rsidP="00655736">
      <w:pPr>
        <w:spacing w:before="144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402C9">
        <w:rPr>
          <w:rFonts w:ascii="Arial" w:hAnsi="Arial" w:cs="Arial"/>
          <w:b/>
          <w:sz w:val="22"/>
          <w:szCs w:val="22"/>
          <w:lang w:val="ru-RU"/>
        </w:rPr>
        <w:t xml:space="preserve">КОНВЕНЦИЯ ОБ ОХРАНЕ </w:t>
      </w:r>
      <w:r w:rsidRPr="002402C9">
        <w:rPr>
          <w:lang w:val="ru-RU"/>
        </w:rPr>
        <w:br/>
      </w:r>
      <w:r w:rsidRPr="002402C9">
        <w:rPr>
          <w:rFonts w:ascii="Arial" w:hAnsi="Arial" w:cs="Arial"/>
          <w:b/>
          <w:sz w:val="22"/>
          <w:szCs w:val="22"/>
          <w:lang w:val="ru-RU"/>
        </w:rPr>
        <w:t>НЕМАТЕРИАЛЬНОГО КУЛЬТУРНОГО НАСЛЕДИЯ</w:t>
      </w:r>
    </w:p>
    <w:p w:rsidR="00655736" w:rsidRPr="002402C9" w:rsidRDefault="00D95C4C" w:rsidP="00655736">
      <w:pPr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402C9">
        <w:rPr>
          <w:rFonts w:ascii="Arial" w:hAnsi="Arial" w:cs="Arial"/>
          <w:b/>
          <w:sz w:val="22"/>
          <w:szCs w:val="22"/>
          <w:lang w:val="ru-RU"/>
        </w:rPr>
        <w:t>ГЕНЕРАЛЬНАЯ АССАМБЛЕЯ ГОСУДАРСТВ – УЧАСТНИКОВ КОНВЕНЦИИ</w:t>
      </w:r>
    </w:p>
    <w:p w:rsidR="00D95C4C" w:rsidRPr="004F4ADD" w:rsidRDefault="00DE174B" w:rsidP="00D95C4C">
      <w:pPr>
        <w:spacing w:before="84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4F4ADD">
        <w:rPr>
          <w:rFonts w:ascii="Arial" w:hAnsi="Arial" w:cs="Arial"/>
          <w:b/>
          <w:sz w:val="22"/>
          <w:szCs w:val="22"/>
          <w:lang w:val="ru-RU"/>
        </w:rPr>
        <w:t xml:space="preserve">Седьмая </w:t>
      </w:r>
      <w:r w:rsidR="000765F7" w:rsidRPr="004F4ADD">
        <w:rPr>
          <w:rFonts w:ascii="Arial" w:hAnsi="Arial" w:cs="Arial"/>
          <w:b/>
          <w:sz w:val="22"/>
          <w:szCs w:val="22"/>
          <w:lang w:val="ru-RU"/>
        </w:rPr>
        <w:t>сессия</w:t>
      </w:r>
    </w:p>
    <w:p w:rsidR="00D95C4C" w:rsidRPr="004F4ADD" w:rsidRDefault="00D95C4C" w:rsidP="00D95C4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4F4ADD">
        <w:rPr>
          <w:rFonts w:ascii="Arial" w:hAnsi="Arial" w:cs="Arial"/>
          <w:b/>
          <w:sz w:val="22"/>
          <w:szCs w:val="22"/>
          <w:lang w:val="ru-RU"/>
        </w:rPr>
        <w:t>Штаб-квартира ЮНЕСКО, зал II</w:t>
      </w:r>
    </w:p>
    <w:p w:rsidR="00655736" w:rsidRPr="002402C9" w:rsidRDefault="00DE174B" w:rsidP="00D95C4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4F4ADD">
        <w:rPr>
          <w:rFonts w:ascii="Arial" w:hAnsi="Arial" w:cs="Arial"/>
          <w:b/>
          <w:sz w:val="22"/>
          <w:szCs w:val="22"/>
          <w:lang w:val="ru-RU"/>
        </w:rPr>
        <w:t>4</w:t>
      </w:r>
      <w:r w:rsidR="00317566" w:rsidRPr="004F4AD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4A34A0" w:rsidRPr="004F4ADD">
        <w:rPr>
          <w:rFonts w:ascii="Arial" w:hAnsi="Arial" w:cs="Arial"/>
          <w:b/>
          <w:sz w:val="22"/>
          <w:szCs w:val="22"/>
          <w:lang w:val="ru-RU"/>
        </w:rPr>
        <w:t xml:space="preserve">– </w:t>
      </w:r>
      <w:r w:rsidR="00CE47C2" w:rsidRPr="004F4ADD">
        <w:rPr>
          <w:rFonts w:ascii="Arial" w:hAnsi="Arial" w:cs="Arial"/>
          <w:b/>
          <w:sz w:val="22"/>
          <w:szCs w:val="22"/>
          <w:lang w:val="ru-RU"/>
        </w:rPr>
        <w:t>6</w:t>
      </w:r>
      <w:r w:rsidR="004A34A0" w:rsidRPr="004F4ADD">
        <w:rPr>
          <w:rFonts w:ascii="Arial" w:hAnsi="Arial" w:cs="Arial"/>
          <w:b/>
          <w:sz w:val="22"/>
          <w:szCs w:val="22"/>
          <w:lang w:val="ru-RU"/>
        </w:rPr>
        <w:t xml:space="preserve"> июня 201</w:t>
      </w:r>
      <w:r w:rsidRPr="004F4ADD">
        <w:rPr>
          <w:rFonts w:ascii="Arial" w:hAnsi="Arial" w:cs="Arial"/>
          <w:b/>
          <w:sz w:val="22"/>
          <w:szCs w:val="22"/>
          <w:lang w:val="ru-RU"/>
        </w:rPr>
        <w:t>8</w:t>
      </w:r>
      <w:r w:rsidR="004A34A0" w:rsidRPr="004F4ADD">
        <w:rPr>
          <w:rFonts w:ascii="Arial" w:hAnsi="Arial" w:cs="Arial"/>
          <w:b/>
          <w:sz w:val="22"/>
          <w:szCs w:val="22"/>
          <w:lang w:val="ru-RU"/>
        </w:rPr>
        <w:t xml:space="preserve"> г.</w:t>
      </w:r>
    </w:p>
    <w:p w:rsidR="00655736" w:rsidRPr="002402C9" w:rsidRDefault="00655736" w:rsidP="00655736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402C9">
        <w:rPr>
          <w:rFonts w:ascii="Arial" w:hAnsi="Arial" w:cs="Arial"/>
          <w:b/>
          <w:sz w:val="22"/>
          <w:szCs w:val="22"/>
          <w:u w:val="single"/>
          <w:lang w:val="ru-RU"/>
        </w:rPr>
        <w:t>Пункт</w:t>
      </w:r>
      <w:r w:rsidR="004F4ADD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10</w:t>
      </w:r>
      <w:r w:rsidRPr="002402C9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предварительной повестки дня:</w:t>
      </w:r>
    </w:p>
    <w:p w:rsidR="00655736" w:rsidRPr="002402C9" w:rsidRDefault="004F4ADD" w:rsidP="00655736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C2E94">
        <w:rPr>
          <w:rFonts w:ascii="Arial" w:hAnsi="Arial" w:cs="Arial"/>
          <w:b/>
          <w:sz w:val="22"/>
          <w:szCs w:val="22"/>
          <w:lang w:val="ru-RU"/>
        </w:rPr>
        <w:t xml:space="preserve">Пересмотр положений </w:t>
      </w:r>
      <w:r w:rsidR="00896FE5" w:rsidRPr="003C2E94">
        <w:rPr>
          <w:rFonts w:ascii="Arial" w:hAnsi="Arial" w:cs="Arial"/>
          <w:b/>
          <w:sz w:val="22"/>
          <w:szCs w:val="22"/>
          <w:lang w:val="ru-RU"/>
        </w:rPr>
        <w:t>Оперативного руководства по выполнению Конвенции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3F1AFD">
        <w:trPr>
          <w:jc w:val="center"/>
        </w:trPr>
        <w:tc>
          <w:tcPr>
            <w:tcW w:w="7825" w:type="dxa"/>
            <w:vAlign w:val="center"/>
          </w:tcPr>
          <w:p w:rsidR="0057439C" w:rsidRPr="002402C9" w:rsidRDefault="0057439C" w:rsidP="005B7A35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402C9">
              <w:rPr>
                <w:rFonts w:ascii="Arial" w:hAnsi="Arial" w:cs="Arial"/>
                <w:b/>
                <w:sz w:val="22"/>
                <w:szCs w:val="22"/>
                <w:lang w:val="ru-RU"/>
              </w:rPr>
              <w:t>Содержание</w:t>
            </w:r>
          </w:p>
          <w:p w:rsidR="0057439C" w:rsidRPr="00BC7F98" w:rsidRDefault="003C2E94" w:rsidP="005B7A35">
            <w:pPr>
              <w:pStyle w:val="Sansinterligne1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AD435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своей</w:t>
            </w:r>
            <w:r w:rsidRPr="00AD435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десятой</w:t>
            </w:r>
            <w:r w:rsidRPr="00AD435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сессии</w:t>
            </w:r>
            <w:r w:rsidRPr="00AD435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Межправительственный</w:t>
            </w:r>
            <w:r w:rsidRPr="00AD435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</w:t>
            </w:r>
            <w:r w:rsidRPr="00AD435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140B4">
              <w:rPr>
                <w:rFonts w:ascii="Arial" w:hAnsi="Arial" w:cs="Arial"/>
                <w:sz w:val="22"/>
                <w:szCs w:val="22"/>
                <w:lang w:val="ru-RU"/>
              </w:rPr>
              <w:t>принял</w:t>
            </w:r>
            <w:r w:rsidR="004140B4" w:rsidRPr="00AD435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140B4">
              <w:rPr>
                <w:rFonts w:ascii="Arial" w:hAnsi="Arial" w:cs="Arial"/>
                <w:sz w:val="22"/>
                <w:szCs w:val="22"/>
                <w:lang w:val="ru-RU"/>
              </w:rPr>
              <w:t>решение</w:t>
            </w:r>
            <w:r w:rsidR="004140B4" w:rsidRPr="00AD435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140B4">
              <w:rPr>
                <w:rFonts w:ascii="Arial" w:hAnsi="Arial" w:cs="Arial"/>
                <w:sz w:val="22"/>
                <w:szCs w:val="22"/>
                <w:lang w:val="ru-RU"/>
              </w:rPr>
              <w:t>реформировать</w:t>
            </w:r>
            <w:r w:rsidR="004140B4" w:rsidRPr="00AD435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140B4">
              <w:rPr>
                <w:rFonts w:ascii="Arial" w:hAnsi="Arial" w:cs="Arial"/>
                <w:sz w:val="22"/>
                <w:szCs w:val="22"/>
                <w:lang w:val="ru-RU"/>
              </w:rPr>
              <w:t>механизм</w:t>
            </w:r>
            <w:r w:rsidR="004140B4" w:rsidRPr="00AD435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140B4">
              <w:rPr>
                <w:rFonts w:ascii="Arial" w:hAnsi="Arial" w:cs="Arial"/>
                <w:sz w:val="22"/>
                <w:szCs w:val="22"/>
                <w:lang w:val="ru-RU"/>
              </w:rPr>
              <w:t>представления</w:t>
            </w:r>
            <w:r w:rsidR="004140B4" w:rsidRPr="00AD435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140B4">
              <w:rPr>
                <w:rFonts w:ascii="Arial" w:hAnsi="Arial" w:cs="Arial"/>
                <w:sz w:val="22"/>
                <w:szCs w:val="22"/>
                <w:lang w:val="ru-RU"/>
              </w:rPr>
              <w:t>периодических</w:t>
            </w:r>
            <w:r w:rsidR="004140B4" w:rsidRPr="00AD435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140B4">
              <w:rPr>
                <w:rFonts w:ascii="Arial" w:hAnsi="Arial" w:cs="Arial"/>
                <w:sz w:val="22"/>
                <w:szCs w:val="22"/>
                <w:lang w:val="ru-RU"/>
              </w:rPr>
              <w:t>докладов</w:t>
            </w:r>
            <w:r w:rsidR="004140B4" w:rsidRPr="00AD435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140B4">
              <w:rPr>
                <w:rFonts w:ascii="Arial" w:hAnsi="Arial" w:cs="Arial"/>
                <w:sz w:val="22"/>
                <w:szCs w:val="22"/>
                <w:lang w:val="ru-RU"/>
              </w:rPr>
              <w:t>путём</w:t>
            </w:r>
            <w:r w:rsidR="004140B4" w:rsidRPr="00AD435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140B4">
              <w:rPr>
                <w:rFonts w:ascii="Arial" w:hAnsi="Arial" w:cs="Arial"/>
                <w:sz w:val="22"/>
                <w:szCs w:val="22"/>
                <w:lang w:val="ru-RU"/>
              </w:rPr>
              <w:t>перехода</w:t>
            </w:r>
            <w:r w:rsidR="004140B4" w:rsidRPr="00AD435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140B4">
              <w:rPr>
                <w:rFonts w:ascii="Arial" w:hAnsi="Arial" w:cs="Arial"/>
                <w:sz w:val="22"/>
                <w:szCs w:val="22"/>
                <w:lang w:val="ru-RU"/>
              </w:rPr>
              <w:t>к</w:t>
            </w:r>
            <w:r w:rsidR="004140B4" w:rsidRPr="00AD435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140B4">
              <w:rPr>
                <w:rFonts w:ascii="Arial" w:hAnsi="Arial" w:cs="Arial"/>
                <w:sz w:val="22"/>
                <w:szCs w:val="22"/>
                <w:lang w:val="ru-RU"/>
              </w:rPr>
              <w:t>региональному</w:t>
            </w:r>
            <w:r w:rsidR="004140B4" w:rsidRPr="00AD435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140B4">
              <w:rPr>
                <w:rFonts w:ascii="Arial" w:hAnsi="Arial" w:cs="Arial"/>
                <w:sz w:val="22"/>
                <w:szCs w:val="22"/>
                <w:lang w:val="ru-RU"/>
              </w:rPr>
              <w:t>циклу</w:t>
            </w:r>
            <w:r w:rsidR="004140B4" w:rsidRPr="00AD435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140B4">
              <w:rPr>
                <w:rFonts w:ascii="Arial" w:hAnsi="Arial" w:cs="Arial"/>
                <w:sz w:val="22"/>
                <w:szCs w:val="22"/>
                <w:lang w:val="ru-RU"/>
              </w:rPr>
              <w:t>представления</w:t>
            </w:r>
            <w:r w:rsidR="004140B4" w:rsidRPr="00AD435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140B4">
              <w:rPr>
                <w:rFonts w:ascii="Arial" w:hAnsi="Arial" w:cs="Arial"/>
                <w:sz w:val="22"/>
                <w:szCs w:val="22"/>
                <w:lang w:val="ru-RU"/>
              </w:rPr>
              <w:t>национальных</w:t>
            </w:r>
            <w:r w:rsidR="004140B4" w:rsidRPr="00AD435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140B4">
              <w:rPr>
                <w:rFonts w:ascii="Arial" w:hAnsi="Arial" w:cs="Arial"/>
                <w:sz w:val="22"/>
                <w:szCs w:val="22"/>
                <w:lang w:val="ru-RU"/>
              </w:rPr>
              <w:t>докладов</w:t>
            </w:r>
            <w:r w:rsidR="004140B4" w:rsidRPr="00AD435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140B4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4140B4" w:rsidRPr="00AD435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140B4">
              <w:rPr>
                <w:rFonts w:ascii="Arial" w:hAnsi="Arial" w:cs="Arial"/>
                <w:sz w:val="22"/>
                <w:szCs w:val="22"/>
                <w:lang w:val="ru-RU"/>
              </w:rPr>
              <w:t>рекомендовал</w:t>
            </w:r>
            <w:r w:rsidR="004140B4" w:rsidRPr="00AD435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140B4">
              <w:rPr>
                <w:rFonts w:ascii="Arial" w:hAnsi="Arial" w:cs="Arial"/>
                <w:sz w:val="22"/>
                <w:szCs w:val="22"/>
                <w:lang w:val="ru-RU"/>
              </w:rPr>
              <w:t>Генеральной</w:t>
            </w:r>
            <w:r w:rsidR="004140B4" w:rsidRPr="00AD435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140B4">
              <w:rPr>
                <w:rFonts w:ascii="Arial" w:hAnsi="Arial" w:cs="Arial"/>
                <w:sz w:val="22"/>
                <w:szCs w:val="22"/>
                <w:lang w:val="ru-RU"/>
              </w:rPr>
              <w:t>ассамблее</w:t>
            </w:r>
            <w:r w:rsidR="004140B4" w:rsidRPr="00AD435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AD435A">
              <w:rPr>
                <w:rFonts w:ascii="Arial" w:hAnsi="Arial" w:cs="Arial"/>
                <w:sz w:val="22"/>
                <w:szCs w:val="22"/>
                <w:lang w:val="ru-RU"/>
              </w:rPr>
              <w:t>внести</w:t>
            </w:r>
            <w:r w:rsidR="00AD435A" w:rsidRPr="00AD435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AD435A">
              <w:rPr>
                <w:rFonts w:ascii="Arial" w:hAnsi="Arial" w:cs="Arial"/>
                <w:sz w:val="22"/>
                <w:szCs w:val="22"/>
                <w:lang w:val="ru-RU"/>
              </w:rPr>
              <w:t>соответствующие поправки</w:t>
            </w:r>
            <w:r w:rsidR="00AD435A" w:rsidRPr="00AD435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AD435A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AD435A" w:rsidRPr="00AD435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AD435A">
              <w:rPr>
                <w:rFonts w:ascii="Arial" w:hAnsi="Arial" w:cs="Arial"/>
                <w:sz w:val="22"/>
                <w:szCs w:val="22"/>
                <w:lang w:val="ru-RU"/>
              </w:rPr>
              <w:t>Оперативное руководство по выполнению Конвенции</w:t>
            </w:r>
            <w:r w:rsidR="00AD435A" w:rsidRPr="00B56D2E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 w:rsidR="00AD435A">
              <w:rPr>
                <w:rFonts w:ascii="Arial" w:hAnsi="Arial" w:cs="Arial"/>
                <w:sz w:val="22"/>
                <w:szCs w:val="22"/>
                <w:lang w:val="ru-RU"/>
              </w:rPr>
              <w:t>решение</w:t>
            </w:r>
            <w:r w:rsidR="00AD435A" w:rsidRPr="00AD435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hyperlink r:id="rId8" w:history="1">
              <w:r w:rsidR="00AD435A" w:rsidRPr="00B56D2E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12.</w:t>
              </w:r>
              <w:r w:rsidR="00AD435A" w:rsidRPr="00027769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COM </w:t>
              </w:r>
              <w:r w:rsidR="00AD435A" w:rsidRPr="00B56D2E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10</w:t>
              </w:r>
            </w:hyperlink>
            <w:r w:rsidR="00AD435A" w:rsidRPr="00B56D2E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  <w:lang w:val="ru-RU"/>
              </w:rPr>
              <w:t>).</w:t>
            </w:r>
            <w:r w:rsidR="004140B4" w:rsidRPr="00B56D2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AD435A">
              <w:rPr>
                <w:rFonts w:ascii="Arial" w:hAnsi="Arial" w:cs="Arial"/>
                <w:sz w:val="22"/>
                <w:szCs w:val="22"/>
                <w:lang w:val="ru-RU"/>
              </w:rPr>
              <w:t>Приложение</w:t>
            </w:r>
            <w:r w:rsidR="00AD435A" w:rsidRPr="00BC7F9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AD435A">
              <w:rPr>
                <w:rFonts w:ascii="Arial" w:hAnsi="Arial" w:cs="Arial"/>
                <w:sz w:val="22"/>
                <w:szCs w:val="22"/>
                <w:lang w:val="ru-RU"/>
              </w:rPr>
              <w:t>к</w:t>
            </w:r>
            <w:r w:rsidR="00AD435A" w:rsidRPr="00BC7F9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AD435A">
              <w:rPr>
                <w:rFonts w:ascii="Arial" w:hAnsi="Arial" w:cs="Arial"/>
                <w:sz w:val="22"/>
                <w:szCs w:val="22"/>
                <w:lang w:val="ru-RU"/>
              </w:rPr>
              <w:t>настоящему</w:t>
            </w:r>
            <w:r w:rsidR="00AD435A" w:rsidRPr="00BC7F9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AD435A">
              <w:rPr>
                <w:rFonts w:ascii="Arial" w:hAnsi="Arial" w:cs="Arial"/>
                <w:sz w:val="22"/>
                <w:szCs w:val="22"/>
                <w:lang w:val="ru-RU"/>
              </w:rPr>
              <w:t>документу</w:t>
            </w:r>
            <w:r w:rsidR="00AD435A" w:rsidRPr="00BC7F9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AD435A">
              <w:rPr>
                <w:rFonts w:ascii="Arial" w:hAnsi="Arial" w:cs="Arial"/>
                <w:sz w:val="22"/>
                <w:szCs w:val="22"/>
                <w:lang w:val="ru-RU"/>
              </w:rPr>
              <w:t>содержит</w:t>
            </w:r>
            <w:r w:rsidR="00AD435A" w:rsidRPr="00BC7F9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AD435A">
              <w:rPr>
                <w:rFonts w:ascii="Arial" w:hAnsi="Arial" w:cs="Arial"/>
                <w:sz w:val="22"/>
                <w:szCs w:val="22"/>
                <w:lang w:val="ru-RU"/>
              </w:rPr>
              <w:t>предлагаемый</w:t>
            </w:r>
            <w:r w:rsidR="00AD435A" w:rsidRPr="00BC7F9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AD435A">
              <w:rPr>
                <w:rFonts w:ascii="Arial" w:hAnsi="Arial" w:cs="Arial"/>
                <w:sz w:val="22"/>
                <w:szCs w:val="22"/>
                <w:lang w:val="ru-RU"/>
              </w:rPr>
              <w:t>текст</w:t>
            </w:r>
            <w:r w:rsidR="00AD435A" w:rsidRPr="00BC7F9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C4FEE">
              <w:rPr>
                <w:rFonts w:ascii="Arial" w:hAnsi="Arial" w:cs="Arial"/>
                <w:sz w:val="22"/>
                <w:szCs w:val="22"/>
                <w:lang w:val="ru-RU"/>
              </w:rPr>
              <w:t>так</w:t>
            </w:r>
            <w:r w:rsidR="00AD435A">
              <w:rPr>
                <w:rFonts w:ascii="Arial" w:hAnsi="Arial" w:cs="Arial"/>
                <w:sz w:val="22"/>
                <w:szCs w:val="22"/>
                <w:lang w:val="ru-RU"/>
              </w:rPr>
              <w:t>их</w:t>
            </w:r>
            <w:r w:rsidR="00AD435A" w:rsidRPr="00BC7F9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AD435A">
              <w:rPr>
                <w:rFonts w:ascii="Arial" w:hAnsi="Arial" w:cs="Arial"/>
                <w:sz w:val="22"/>
                <w:szCs w:val="22"/>
                <w:lang w:val="ru-RU"/>
              </w:rPr>
              <w:t>поправок</w:t>
            </w:r>
            <w:r w:rsidR="00896FE5" w:rsidRPr="00BC7F98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655736" w:rsidRPr="00BC7F98" w:rsidRDefault="0057439C" w:rsidP="00896FE5">
            <w:pPr>
              <w:pStyle w:val="Sansinterligne2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402C9">
              <w:rPr>
                <w:rFonts w:ascii="Arial" w:hAnsi="Arial" w:cs="Arial"/>
                <w:b/>
                <w:sz w:val="22"/>
                <w:szCs w:val="22"/>
                <w:lang w:val="ru-RU"/>
              </w:rPr>
              <w:t>Требуемое</w:t>
            </w:r>
            <w:r w:rsidRPr="00BC7F98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2402C9">
              <w:rPr>
                <w:rFonts w:ascii="Arial" w:hAnsi="Arial" w:cs="Arial"/>
                <w:b/>
                <w:sz w:val="22"/>
                <w:szCs w:val="22"/>
                <w:lang w:val="ru-RU"/>
              </w:rPr>
              <w:t>решение</w:t>
            </w:r>
            <w:r w:rsidRPr="00BC7F98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: </w:t>
            </w:r>
            <w:r w:rsidRPr="002402C9">
              <w:rPr>
                <w:rFonts w:ascii="Arial" w:hAnsi="Arial" w:cs="Arial"/>
                <w:bCs/>
                <w:sz w:val="22"/>
                <w:szCs w:val="22"/>
                <w:lang w:val="ru-RU"/>
              </w:rPr>
              <w:t>пункт</w:t>
            </w:r>
            <w:r w:rsidRPr="00BC7F98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="00896FE5" w:rsidRPr="00BC7F98">
              <w:rPr>
                <w:rFonts w:ascii="Arial" w:hAnsi="Arial" w:cs="Arial"/>
                <w:bCs/>
                <w:sz w:val="22"/>
                <w:szCs w:val="22"/>
                <w:lang w:val="ru-RU"/>
              </w:rPr>
              <w:t>10</w:t>
            </w:r>
          </w:p>
        </w:tc>
      </w:tr>
    </w:tbl>
    <w:p w:rsidR="00AD435A" w:rsidRPr="00F97F15" w:rsidRDefault="00655736" w:rsidP="00AD435A">
      <w:pPr>
        <w:pStyle w:val="COMPara"/>
        <w:numPr>
          <w:ilvl w:val="0"/>
          <w:numId w:val="13"/>
        </w:numPr>
        <w:ind w:left="567" w:hanging="567"/>
        <w:jc w:val="both"/>
        <w:rPr>
          <w:lang w:val="ru-RU"/>
        </w:rPr>
      </w:pPr>
      <w:r w:rsidRPr="00F97F15">
        <w:rPr>
          <w:lang w:val="ru-RU"/>
        </w:rPr>
        <w:br w:type="page"/>
      </w:r>
      <w:r w:rsidR="00AD435A">
        <w:rPr>
          <w:lang w:val="ru-RU"/>
        </w:rPr>
        <w:lastRenderedPageBreak/>
        <w:t>Межправительственная</w:t>
      </w:r>
      <w:r w:rsidR="00AD435A" w:rsidRPr="00F97F15">
        <w:rPr>
          <w:lang w:val="ru-RU"/>
        </w:rPr>
        <w:t xml:space="preserve"> </w:t>
      </w:r>
      <w:r w:rsidR="00AD435A">
        <w:rPr>
          <w:lang w:val="ru-RU"/>
        </w:rPr>
        <w:t>рабочая</w:t>
      </w:r>
      <w:r w:rsidR="00AD435A" w:rsidRPr="00F97F15">
        <w:rPr>
          <w:lang w:val="ru-RU"/>
        </w:rPr>
        <w:t xml:space="preserve"> </w:t>
      </w:r>
      <w:r w:rsidR="00AD435A">
        <w:rPr>
          <w:lang w:val="ru-RU"/>
        </w:rPr>
        <w:t>группа</w:t>
      </w:r>
      <w:r w:rsidR="00AD435A" w:rsidRPr="00F97F15">
        <w:rPr>
          <w:lang w:val="ru-RU"/>
        </w:rPr>
        <w:t xml:space="preserve"> </w:t>
      </w:r>
      <w:r w:rsidR="00AD435A">
        <w:rPr>
          <w:lang w:val="ru-RU"/>
        </w:rPr>
        <w:t>открытого</w:t>
      </w:r>
      <w:r w:rsidR="00AD435A" w:rsidRPr="00F97F15">
        <w:rPr>
          <w:lang w:val="ru-RU"/>
        </w:rPr>
        <w:t xml:space="preserve"> </w:t>
      </w:r>
      <w:r w:rsidR="00AD435A">
        <w:rPr>
          <w:lang w:val="ru-RU"/>
        </w:rPr>
        <w:t>состава</w:t>
      </w:r>
      <w:r w:rsidR="00AD435A" w:rsidRPr="00F97F15">
        <w:rPr>
          <w:lang w:val="ru-RU"/>
        </w:rPr>
        <w:t xml:space="preserve"> </w:t>
      </w:r>
      <w:r w:rsidR="00AD435A">
        <w:rPr>
          <w:lang w:val="ru-RU"/>
        </w:rPr>
        <w:t>по</w:t>
      </w:r>
      <w:r w:rsidR="00AD435A" w:rsidRPr="00F97F15">
        <w:rPr>
          <w:lang w:val="ru-RU"/>
        </w:rPr>
        <w:t xml:space="preserve"> </w:t>
      </w:r>
      <w:r w:rsidR="00AD435A">
        <w:rPr>
          <w:lang w:val="ru-RU"/>
        </w:rPr>
        <w:t>разработке</w:t>
      </w:r>
      <w:r w:rsidR="00AD435A" w:rsidRPr="00F97F15">
        <w:rPr>
          <w:lang w:val="ru-RU"/>
        </w:rPr>
        <w:t xml:space="preserve"> </w:t>
      </w:r>
      <w:r w:rsidR="00390626">
        <w:rPr>
          <w:lang w:val="ru-RU"/>
        </w:rPr>
        <w:t>для</w:t>
      </w:r>
      <w:r w:rsidR="00390626" w:rsidRPr="00F97F15">
        <w:rPr>
          <w:lang w:val="ru-RU"/>
        </w:rPr>
        <w:t xml:space="preserve"> </w:t>
      </w:r>
      <w:r w:rsidR="00390626">
        <w:rPr>
          <w:lang w:val="ru-RU"/>
        </w:rPr>
        <w:t>Конвенции</w:t>
      </w:r>
      <w:r w:rsidR="00390626" w:rsidRPr="00F97F15">
        <w:rPr>
          <w:lang w:val="ru-RU"/>
        </w:rPr>
        <w:t xml:space="preserve"> </w:t>
      </w:r>
      <w:r w:rsidR="00390626">
        <w:rPr>
          <w:lang w:val="ru-RU"/>
        </w:rPr>
        <w:t>общей</w:t>
      </w:r>
      <w:r w:rsidR="00390626" w:rsidRPr="00F97F15">
        <w:rPr>
          <w:lang w:val="ru-RU"/>
        </w:rPr>
        <w:t xml:space="preserve"> </w:t>
      </w:r>
      <w:r w:rsidR="008F7951">
        <w:rPr>
          <w:lang w:val="ru-RU"/>
        </w:rPr>
        <w:t>системы оценки</w:t>
      </w:r>
      <w:r w:rsidR="008F7951" w:rsidRPr="00F97F15">
        <w:rPr>
          <w:lang w:val="ru-RU"/>
        </w:rPr>
        <w:t xml:space="preserve"> </w:t>
      </w:r>
      <w:r w:rsidR="00390626">
        <w:rPr>
          <w:lang w:val="ru-RU"/>
        </w:rPr>
        <w:t>результатов</w:t>
      </w:r>
      <w:r w:rsidR="00390626" w:rsidRPr="00F97F15">
        <w:rPr>
          <w:lang w:val="ru-RU"/>
        </w:rPr>
        <w:t xml:space="preserve"> (</w:t>
      </w:r>
      <w:r w:rsidR="00390626">
        <w:rPr>
          <w:lang w:val="ru-RU"/>
        </w:rPr>
        <w:t>Чэнду</w:t>
      </w:r>
      <w:r w:rsidR="00390626" w:rsidRPr="00F97F15">
        <w:rPr>
          <w:lang w:val="ru-RU"/>
        </w:rPr>
        <w:t xml:space="preserve">, </w:t>
      </w:r>
      <w:r w:rsidR="00390626">
        <w:rPr>
          <w:lang w:val="ru-RU"/>
        </w:rPr>
        <w:t>Китай</w:t>
      </w:r>
      <w:r w:rsidR="00390626" w:rsidRPr="00F97F15">
        <w:rPr>
          <w:lang w:val="ru-RU"/>
        </w:rPr>
        <w:t xml:space="preserve">, 11–13 </w:t>
      </w:r>
      <w:r w:rsidR="00390626">
        <w:rPr>
          <w:lang w:val="ru-RU"/>
        </w:rPr>
        <w:t>июня</w:t>
      </w:r>
      <w:r w:rsidR="00390626" w:rsidRPr="00F97F15">
        <w:rPr>
          <w:lang w:val="ru-RU"/>
        </w:rPr>
        <w:t xml:space="preserve"> 2017</w:t>
      </w:r>
      <w:r w:rsidR="00390626" w:rsidRPr="008E0A2A">
        <w:rPr>
          <w:lang w:val="fr-FR"/>
        </w:rPr>
        <w:t> </w:t>
      </w:r>
      <w:r w:rsidR="00390626">
        <w:rPr>
          <w:lang w:val="ru-RU"/>
        </w:rPr>
        <w:t>г</w:t>
      </w:r>
      <w:r w:rsidR="00390626" w:rsidRPr="00F97F15">
        <w:rPr>
          <w:lang w:val="ru-RU"/>
        </w:rPr>
        <w:t xml:space="preserve">.) </w:t>
      </w:r>
      <w:r w:rsidR="00390626">
        <w:rPr>
          <w:lang w:val="ru-RU"/>
        </w:rPr>
        <w:t>имела</w:t>
      </w:r>
      <w:r w:rsidR="00390626" w:rsidRPr="00F97F15">
        <w:rPr>
          <w:lang w:val="ru-RU"/>
        </w:rPr>
        <w:t xml:space="preserve"> </w:t>
      </w:r>
      <w:r w:rsidR="00390626">
        <w:rPr>
          <w:lang w:val="ru-RU"/>
        </w:rPr>
        <w:t>возможность</w:t>
      </w:r>
      <w:r w:rsidR="00390626" w:rsidRPr="00F97F15">
        <w:rPr>
          <w:lang w:val="ru-RU"/>
        </w:rPr>
        <w:t xml:space="preserve"> </w:t>
      </w:r>
      <w:r w:rsidR="00390626">
        <w:rPr>
          <w:lang w:val="ru-RU"/>
        </w:rPr>
        <w:t>обсудить</w:t>
      </w:r>
      <w:r w:rsidR="00390626" w:rsidRPr="00F97F15">
        <w:rPr>
          <w:lang w:val="ru-RU"/>
        </w:rPr>
        <w:t xml:space="preserve">, </w:t>
      </w:r>
      <w:r w:rsidR="00390626" w:rsidRPr="008E0A2A">
        <w:rPr>
          <w:lang w:val="ru-RU"/>
        </w:rPr>
        <w:t>как</w:t>
      </w:r>
      <w:r w:rsidR="00390626" w:rsidRPr="00F97F15">
        <w:rPr>
          <w:lang w:val="ru-RU"/>
        </w:rPr>
        <w:t xml:space="preserve"> </w:t>
      </w:r>
      <w:r w:rsidR="00390626">
        <w:rPr>
          <w:lang w:val="ru-RU"/>
        </w:rPr>
        <w:t>процесс</w:t>
      </w:r>
      <w:r w:rsidR="00390626" w:rsidRPr="00F97F15">
        <w:rPr>
          <w:lang w:val="ru-RU"/>
        </w:rPr>
        <w:t xml:space="preserve"> </w:t>
      </w:r>
      <w:r w:rsidR="00390626">
        <w:rPr>
          <w:lang w:val="ru-RU"/>
        </w:rPr>
        <w:t>принятия</w:t>
      </w:r>
      <w:r w:rsidR="00390626" w:rsidRPr="00F97F15">
        <w:rPr>
          <w:lang w:val="ru-RU"/>
        </w:rPr>
        <w:t xml:space="preserve"> </w:t>
      </w:r>
      <w:r w:rsidR="00390626">
        <w:rPr>
          <w:lang w:val="ru-RU"/>
        </w:rPr>
        <w:t>общей</w:t>
      </w:r>
      <w:r w:rsidR="00390626" w:rsidRPr="00F97F15">
        <w:rPr>
          <w:lang w:val="ru-RU"/>
        </w:rPr>
        <w:t xml:space="preserve"> </w:t>
      </w:r>
      <w:r w:rsidR="008F7951">
        <w:rPr>
          <w:lang w:val="ru-RU"/>
        </w:rPr>
        <w:t>системы оценки</w:t>
      </w:r>
      <w:r w:rsidR="008F7951" w:rsidRPr="00790F99">
        <w:rPr>
          <w:lang w:val="ru-RU"/>
        </w:rPr>
        <w:t xml:space="preserve"> </w:t>
      </w:r>
      <w:r w:rsidR="00390626">
        <w:rPr>
          <w:lang w:val="ru-RU"/>
        </w:rPr>
        <w:t>результатов</w:t>
      </w:r>
      <w:r w:rsidR="00390626" w:rsidRPr="00F97F15">
        <w:rPr>
          <w:lang w:val="ru-RU"/>
        </w:rPr>
        <w:t xml:space="preserve"> </w:t>
      </w:r>
      <w:r w:rsidR="00390626">
        <w:rPr>
          <w:lang w:val="ru-RU"/>
        </w:rPr>
        <w:t>предоставил</w:t>
      </w:r>
      <w:r w:rsidR="00390626" w:rsidRPr="00F97F15">
        <w:rPr>
          <w:lang w:val="ru-RU"/>
        </w:rPr>
        <w:t xml:space="preserve"> </w:t>
      </w:r>
      <w:r w:rsidR="00390626">
        <w:rPr>
          <w:lang w:val="ru-RU"/>
        </w:rPr>
        <w:t>уникальную</w:t>
      </w:r>
      <w:r w:rsidR="00390626" w:rsidRPr="00F97F15">
        <w:rPr>
          <w:lang w:val="ru-RU"/>
        </w:rPr>
        <w:t xml:space="preserve"> </w:t>
      </w:r>
      <w:r w:rsidR="00390626">
        <w:rPr>
          <w:lang w:val="ru-RU"/>
        </w:rPr>
        <w:t>возможность</w:t>
      </w:r>
      <w:r w:rsidR="00390626" w:rsidRPr="00F97F15">
        <w:rPr>
          <w:lang w:val="ru-RU"/>
        </w:rPr>
        <w:t xml:space="preserve"> </w:t>
      </w:r>
      <w:r w:rsidR="008E0A2A">
        <w:rPr>
          <w:lang w:val="ru-RU"/>
        </w:rPr>
        <w:t>пересмотра</w:t>
      </w:r>
      <w:r w:rsidR="008E0A2A" w:rsidRPr="00F97F15">
        <w:rPr>
          <w:lang w:val="ru-RU"/>
        </w:rPr>
        <w:t xml:space="preserve"> </w:t>
      </w:r>
      <w:r w:rsidR="008E0A2A">
        <w:rPr>
          <w:lang w:val="ru-RU"/>
        </w:rPr>
        <w:t>механизма</w:t>
      </w:r>
      <w:r w:rsidR="008E0A2A" w:rsidRPr="00F97F15">
        <w:rPr>
          <w:lang w:val="ru-RU"/>
        </w:rPr>
        <w:t xml:space="preserve"> </w:t>
      </w:r>
      <w:r w:rsidR="008E0A2A">
        <w:rPr>
          <w:lang w:val="ru-RU"/>
        </w:rPr>
        <w:t>представления</w:t>
      </w:r>
      <w:r w:rsidR="008E0A2A" w:rsidRPr="00F97F15">
        <w:rPr>
          <w:lang w:val="ru-RU"/>
        </w:rPr>
        <w:t xml:space="preserve"> </w:t>
      </w:r>
      <w:r w:rsidR="008E0A2A">
        <w:rPr>
          <w:lang w:val="ru-RU"/>
        </w:rPr>
        <w:t>периодических</w:t>
      </w:r>
      <w:r w:rsidR="008E0A2A" w:rsidRPr="00F97F15">
        <w:rPr>
          <w:lang w:val="ru-RU"/>
        </w:rPr>
        <w:t xml:space="preserve"> </w:t>
      </w:r>
      <w:r w:rsidR="008E0A2A">
        <w:rPr>
          <w:lang w:val="ru-RU"/>
        </w:rPr>
        <w:t xml:space="preserve">докладов </w:t>
      </w:r>
      <w:r w:rsidR="00AD435A" w:rsidRPr="00F97F15">
        <w:rPr>
          <w:lang w:val="ru-RU"/>
        </w:rPr>
        <w:t>(</w:t>
      </w:r>
      <w:r w:rsidR="008E0A2A">
        <w:rPr>
          <w:lang w:val="ru-RU"/>
        </w:rPr>
        <w:t>документ</w:t>
      </w:r>
      <w:r w:rsidR="00AD435A" w:rsidRPr="00F97F15">
        <w:rPr>
          <w:lang w:val="ru-RU"/>
        </w:rPr>
        <w:t xml:space="preserve"> </w:t>
      </w:r>
      <w:hyperlink r:id="rId9" w:history="1">
        <w:r w:rsidR="00AD435A" w:rsidRPr="008E0A2A">
          <w:rPr>
            <w:rStyle w:val="Hyperlink"/>
            <w:lang w:val="fr-FR"/>
          </w:rPr>
          <w:t>ITH</w:t>
        </w:r>
        <w:r w:rsidR="00AD435A" w:rsidRPr="00F97F15">
          <w:rPr>
            <w:rStyle w:val="Hyperlink"/>
            <w:lang w:val="ru-RU"/>
          </w:rPr>
          <w:t>/17/12.</w:t>
        </w:r>
        <w:r w:rsidR="00AD435A" w:rsidRPr="008E0A2A">
          <w:rPr>
            <w:rStyle w:val="Hyperlink"/>
            <w:lang w:val="fr-FR"/>
          </w:rPr>
          <w:t>COM</w:t>
        </w:r>
        <w:r w:rsidR="00AD435A" w:rsidRPr="00F97F15">
          <w:rPr>
            <w:rStyle w:val="Hyperlink"/>
            <w:lang w:val="ru-RU"/>
          </w:rPr>
          <w:t xml:space="preserve"> </w:t>
        </w:r>
        <w:r w:rsidR="00AD435A" w:rsidRPr="008E0A2A">
          <w:rPr>
            <w:rStyle w:val="Hyperlink"/>
            <w:lang w:val="fr-FR"/>
          </w:rPr>
          <w:t>WG</w:t>
        </w:r>
        <w:r w:rsidR="00AD435A" w:rsidRPr="00F97F15">
          <w:rPr>
            <w:rStyle w:val="Hyperlink"/>
            <w:lang w:val="ru-RU"/>
          </w:rPr>
          <w:t>/5</w:t>
        </w:r>
      </w:hyperlink>
      <w:r w:rsidR="00AD435A" w:rsidRPr="00F97F15">
        <w:rPr>
          <w:rStyle w:val="atenuated"/>
          <w:lang w:val="ru-RU"/>
        </w:rPr>
        <w:t>)</w:t>
      </w:r>
      <w:r w:rsidR="00AD435A" w:rsidRPr="00F97F15">
        <w:rPr>
          <w:lang w:val="ru-RU"/>
        </w:rPr>
        <w:t xml:space="preserve">. </w:t>
      </w:r>
      <w:r w:rsidR="007461D9">
        <w:rPr>
          <w:lang w:val="ru-RU"/>
        </w:rPr>
        <w:t>Она</w:t>
      </w:r>
      <w:r w:rsidR="007461D9" w:rsidRPr="00F97F15">
        <w:rPr>
          <w:lang w:val="ru-RU"/>
        </w:rPr>
        <w:t xml:space="preserve"> </w:t>
      </w:r>
      <w:r w:rsidR="007461D9">
        <w:rPr>
          <w:lang w:val="ru-RU"/>
        </w:rPr>
        <w:t>убедительно</w:t>
      </w:r>
      <w:r w:rsidR="007461D9" w:rsidRPr="00F97F15">
        <w:rPr>
          <w:lang w:val="ru-RU"/>
        </w:rPr>
        <w:t xml:space="preserve"> </w:t>
      </w:r>
      <w:r w:rsidR="007461D9">
        <w:rPr>
          <w:lang w:val="ru-RU"/>
        </w:rPr>
        <w:t>подчеркнула</w:t>
      </w:r>
      <w:r w:rsidR="007461D9" w:rsidRPr="00F97F15">
        <w:rPr>
          <w:lang w:val="ru-RU"/>
        </w:rPr>
        <w:t xml:space="preserve"> </w:t>
      </w:r>
      <w:r w:rsidR="007461D9">
        <w:rPr>
          <w:lang w:val="ru-RU"/>
        </w:rPr>
        <w:t>необходимость</w:t>
      </w:r>
      <w:r w:rsidR="007461D9" w:rsidRPr="00F97F15">
        <w:rPr>
          <w:lang w:val="ru-RU"/>
        </w:rPr>
        <w:t xml:space="preserve"> </w:t>
      </w:r>
      <w:r w:rsidR="007461D9">
        <w:rPr>
          <w:lang w:val="ru-RU"/>
        </w:rPr>
        <w:t>реформирования</w:t>
      </w:r>
      <w:r w:rsidR="007461D9" w:rsidRPr="00F97F15">
        <w:rPr>
          <w:lang w:val="ru-RU"/>
        </w:rPr>
        <w:t xml:space="preserve"> </w:t>
      </w:r>
      <w:r w:rsidR="007461D9">
        <w:rPr>
          <w:lang w:val="ru-RU"/>
        </w:rPr>
        <w:t>процесса</w:t>
      </w:r>
      <w:r w:rsidR="007461D9" w:rsidRPr="00F97F15">
        <w:rPr>
          <w:lang w:val="ru-RU"/>
        </w:rPr>
        <w:t xml:space="preserve"> </w:t>
      </w:r>
      <w:r w:rsidR="007461D9">
        <w:rPr>
          <w:lang w:val="ru-RU"/>
        </w:rPr>
        <w:t>представления</w:t>
      </w:r>
      <w:r w:rsidR="007461D9" w:rsidRPr="00F97F15">
        <w:rPr>
          <w:lang w:val="ru-RU"/>
        </w:rPr>
        <w:t xml:space="preserve"> </w:t>
      </w:r>
      <w:r w:rsidR="007461D9">
        <w:rPr>
          <w:lang w:val="ru-RU"/>
        </w:rPr>
        <w:t>периодических</w:t>
      </w:r>
      <w:r w:rsidR="007461D9" w:rsidRPr="00F97F15">
        <w:rPr>
          <w:lang w:val="ru-RU"/>
        </w:rPr>
        <w:t xml:space="preserve"> </w:t>
      </w:r>
      <w:r w:rsidR="007461D9">
        <w:rPr>
          <w:lang w:val="ru-RU"/>
        </w:rPr>
        <w:t>докладов</w:t>
      </w:r>
      <w:r w:rsidR="007461D9" w:rsidRPr="00F97F15">
        <w:rPr>
          <w:lang w:val="ru-RU"/>
        </w:rPr>
        <w:t xml:space="preserve"> </w:t>
      </w:r>
      <w:r w:rsidR="007461D9">
        <w:rPr>
          <w:lang w:val="ru-RU"/>
        </w:rPr>
        <w:t>с</w:t>
      </w:r>
      <w:r w:rsidR="007461D9" w:rsidRPr="00F97F15">
        <w:rPr>
          <w:lang w:val="ru-RU"/>
        </w:rPr>
        <w:t xml:space="preserve"> </w:t>
      </w:r>
      <w:r w:rsidR="007461D9">
        <w:rPr>
          <w:lang w:val="ru-RU"/>
        </w:rPr>
        <w:t>тем</w:t>
      </w:r>
      <w:r w:rsidR="007461D9" w:rsidRPr="00F97F15">
        <w:rPr>
          <w:lang w:val="ru-RU"/>
        </w:rPr>
        <w:t xml:space="preserve">, </w:t>
      </w:r>
      <w:r w:rsidR="007461D9">
        <w:rPr>
          <w:lang w:val="ru-RU"/>
        </w:rPr>
        <w:t>чтобы</w:t>
      </w:r>
      <w:r w:rsidR="007461D9" w:rsidRPr="00F97F15">
        <w:rPr>
          <w:lang w:val="ru-RU"/>
        </w:rPr>
        <w:t xml:space="preserve"> </w:t>
      </w:r>
      <w:r w:rsidR="007461D9">
        <w:rPr>
          <w:lang w:val="ru-RU"/>
        </w:rPr>
        <w:t>сделать</w:t>
      </w:r>
      <w:r w:rsidR="007461D9" w:rsidRPr="00F97F15">
        <w:rPr>
          <w:lang w:val="ru-RU"/>
        </w:rPr>
        <w:t xml:space="preserve"> </w:t>
      </w:r>
      <w:r w:rsidR="007461D9">
        <w:rPr>
          <w:lang w:val="ru-RU"/>
        </w:rPr>
        <w:t>его</w:t>
      </w:r>
      <w:r w:rsidR="007461D9" w:rsidRPr="00F97F15">
        <w:rPr>
          <w:lang w:val="ru-RU"/>
        </w:rPr>
        <w:t xml:space="preserve"> </w:t>
      </w:r>
      <w:r w:rsidR="007461D9">
        <w:rPr>
          <w:lang w:val="ru-RU"/>
        </w:rPr>
        <w:t>более</w:t>
      </w:r>
      <w:r w:rsidR="007461D9" w:rsidRPr="00F97F15">
        <w:rPr>
          <w:lang w:val="ru-RU"/>
        </w:rPr>
        <w:t xml:space="preserve"> </w:t>
      </w:r>
      <w:r w:rsidR="007461D9">
        <w:rPr>
          <w:lang w:val="ru-RU"/>
        </w:rPr>
        <w:t>полезным</w:t>
      </w:r>
      <w:r w:rsidR="007461D9" w:rsidRPr="00F97F15">
        <w:rPr>
          <w:lang w:val="ru-RU"/>
        </w:rPr>
        <w:t xml:space="preserve"> </w:t>
      </w:r>
      <w:r w:rsidR="007461D9">
        <w:rPr>
          <w:lang w:val="ru-RU"/>
        </w:rPr>
        <w:t>для</w:t>
      </w:r>
      <w:r w:rsidR="007461D9" w:rsidRPr="00F97F15">
        <w:rPr>
          <w:lang w:val="ru-RU"/>
        </w:rPr>
        <w:t xml:space="preserve"> </w:t>
      </w:r>
      <w:r w:rsidR="007461D9">
        <w:rPr>
          <w:lang w:val="ru-RU"/>
        </w:rPr>
        <w:t>государств</w:t>
      </w:r>
      <w:r w:rsidR="00CD2B84">
        <w:rPr>
          <w:lang w:val="ru-RU"/>
        </w:rPr>
        <w:t>-</w:t>
      </w:r>
      <w:r w:rsidR="007461D9">
        <w:rPr>
          <w:lang w:val="ru-RU"/>
        </w:rPr>
        <w:t>участников</w:t>
      </w:r>
      <w:r w:rsidR="007461D9" w:rsidRPr="00F97F15">
        <w:rPr>
          <w:lang w:val="ru-RU"/>
        </w:rPr>
        <w:t xml:space="preserve"> </w:t>
      </w:r>
      <w:r w:rsidR="007461D9">
        <w:rPr>
          <w:lang w:val="ru-RU"/>
        </w:rPr>
        <w:t>и</w:t>
      </w:r>
      <w:r w:rsidR="007461D9" w:rsidRPr="00F97F15">
        <w:rPr>
          <w:lang w:val="ru-RU"/>
        </w:rPr>
        <w:t xml:space="preserve"> </w:t>
      </w:r>
      <w:r w:rsidR="007461D9">
        <w:rPr>
          <w:lang w:val="ru-RU"/>
        </w:rPr>
        <w:t>всей</w:t>
      </w:r>
      <w:r w:rsidR="007461D9" w:rsidRPr="00F97F15">
        <w:rPr>
          <w:lang w:val="ru-RU"/>
        </w:rPr>
        <w:t xml:space="preserve"> </w:t>
      </w:r>
      <w:r w:rsidR="007461D9">
        <w:rPr>
          <w:lang w:val="ru-RU"/>
        </w:rPr>
        <w:t>Конвенции</w:t>
      </w:r>
      <w:r w:rsidR="007461D9" w:rsidRPr="00F97F15">
        <w:rPr>
          <w:lang w:val="ru-RU"/>
        </w:rPr>
        <w:t xml:space="preserve"> </w:t>
      </w:r>
      <w:r w:rsidR="007461D9">
        <w:rPr>
          <w:lang w:val="ru-RU"/>
        </w:rPr>
        <w:t>в</w:t>
      </w:r>
      <w:r w:rsidR="007461D9" w:rsidRPr="00F97F15">
        <w:rPr>
          <w:lang w:val="ru-RU"/>
        </w:rPr>
        <w:t xml:space="preserve"> </w:t>
      </w:r>
      <w:r w:rsidR="007461D9">
        <w:rPr>
          <w:lang w:val="ru-RU"/>
        </w:rPr>
        <w:t>целом</w:t>
      </w:r>
      <w:r w:rsidR="007461D9" w:rsidRPr="00F97F15">
        <w:rPr>
          <w:lang w:val="ru-RU"/>
        </w:rPr>
        <w:t xml:space="preserve">, </w:t>
      </w:r>
      <w:r w:rsidR="007461D9">
        <w:rPr>
          <w:lang w:val="ru-RU"/>
        </w:rPr>
        <w:t>и</w:t>
      </w:r>
      <w:r w:rsidR="007461D9" w:rsidRPr="00F97F15">
        <w:rPr>
          <w:lang w:val="ru-RU"/>
        </w:rPr>
        <w:t xml:space="preserve"> </w:t>
      </w:r>
      <w:r w:rsidR="00353FA5">
        <w:rPr>
          <w:lang w:val="ru-RU"/>
        </w:rPr>
        <w:t>внесла</w:t>
      </w:r>
      <w:r w:rsidR="00353FA5" w:rsidRPr="00F97F15">
        <w:rPr>
          <w:lang w:val="ru-RU"/>
        </w:rPr>
        <w:t xml:space="preserve"> </w:t>
      </w:r>
      <w:r w:rsidR="00353FA5">
        <w:rPr>
          <w:lang w:val="ru-RU"/>
        </w:rPr>
        <w:t>Комитету</w:t>
      </w:r>
      <w:r w:rsidR="00353FA5" w:rsidRPr="00F97F15">
        <w:rPr>
          <w:lang w:val="ru-RU"/>
        </w:rPr>
        <w:t xml:space="preserve"> </w:t>
      </w:r>
      <w:r w:rsidR="00353FA5">
        <w:rPr>
          <w:lang w:val="ru-RU"/>
        </w:rPr>
        <w:t>рекомендацию</w:t>
      </w:r>
      <w:r w:rsidR="00353FA5" w:rsidRPr="00F97F15">
        <w:rPr>
          <w:lang w:val="ru-RU"/>
        </w:rPr>
        <w:t xml:space="preserve"> </w:t>
      </w:r>
      <w:r w:rsidR="00353FA5">
        <w:rPr>
          <w:lang w:val="ru-RU"/>
        </w:rPr>
        <w:t>в</w:t>
      </w:r>
      <w:r w:rsidR="00353FA5" w:rsidRPr="00F97F15">
        <w:rPr>
          <w:lang w:val="ru-RU"/>
        </w:rPr>
        <w:t xml:space="preserve"> </w:t>
      </w:r>
      <w:r w:rsidR="00353FA5">
        <w:rPr>
          <w:lang w:val="ru-RU"/>
        </w:rPr>
        <w:t>этом</w:t>
      </w:r>
      <w:r w:rsidR="00353FA5" w:rsidRPr="00F97F15">
        <w:rPr>
          <w:lang w:val="ru-RU"/>
        </w:rPr>
        <w:t xml:space="preserve"> </w:t>
      </w:r>
      <w:r w:rsidR="00353FA5">
        <w:rPr>
          <w:lang w:val="ru-RU"/>
        </w:rPr>
        <w:t>отношении</w:t>
      </w:r>
      <w:r w:rsidR="00353FA5" w:rsidRPr="00F97F15">
        <w:rPr>
          <w:lang w:val="ru-RU"/>
        </w:rPr>
        <w:t xml:space="preserve">, </w:t>
      </w:r>
      <w:r w:rsidR="00353FA5">
        <w:rPr>
          <w:lang w:val="ru-RU"/>
        </w:rPr>
        <w:t>включ</w:t>
      </w:r>
      <w:r w:rsidR="00B23A2A">
        <w:rPr>
          <w:lang w:val="ru-RU"/>
        </w:rPr>
        <w:t xml:space="preserve">ённую </w:t>
      </w:r>
      <w:r w:rsidR="00353FA5">
        <w:rPr>
          <w:lang w:val="ru-RU"/>
        </w:rPr>
        <w:t>в</w:t>
      </w:r>
      <w:r w:rsidR="00353FA5" w:rsidRPr="00F97F15">
        <w:rPr>
          <w:lang w:val="ru-RU"/>
        </w:rPr>
        <w:t xml:space="preserve"> </w:t>
      </w:r>
      <w:r w:rsidR="00353FA5">
        <w:rPr>
          <w:lang w:val="ru-RU"/>
        </w:rPr>
        <w:t>её</w:t>
      </w:r>
      <w:r w:rsidR="00353FA5" w:rsidRPr="00F97F15">
        <w:rPr>
          <w:lang w:val="ru-RU"/>
        </w:rPr>
        <w:t xml:space="preserve"> </w:t>
      </w:r>
      <w:r w:rsidR="00353FA5">
        <w:rPr>
          <w:lang w:val="ru-RU"/>
        </w:rPr>
        <w:t>доклад</w:t>
      </w:r>
      <w:r w:rsidR="00353FA5" w:rsidRPr="00F97F15">
        <w:rPr>
          <w:lang w:val="ru-RU"/>
        </w:rPr>
        <w:t xml:space="preserve"> </w:t>
      </w:r>
      <w:r w:rsidR="00AD435A" w:rsidRPr="00F97F15">
        <w:rPr>
          <w:lang w:val="ru-RU"/>
        </w:rPr>
        <w:t>(</w:t>
      </w:r>
      <w:r w:rsidR="005B2796">
        <w:rPr>
          <w:lang w:val="ru-RU"/>
        </w:rPr>
        <w:t>документ</w:t>
      </w:r>
      <w:r w:rsidR="00AD435A" w:rsidRPr="00353FA5">
        <w:rPr>
          <w:lang w:val="fr-FR"/>
        </w:rPr>
        <w:t> </w:t>
      </w:r>
      <w:hyperlink r:id="rId10" w:history="1">
        <w:r w:rsidR="00AD435A" w:rsidRPr="00353FA5">
          <w:rPr>
            <w:rStyle w:val="Hyperlink"/>
            <w:lang w:val="fr-FR"/>
          </w:rPr>
          <w:t>ITH</w:t>
        </w:r>
        <w:r w:rsidR="00AD435A" w:rsidRPr="00F97F15">
          <w:rPr>
            <w:rStyle w:val="Hyperlink"/>
            <w:lang w:val="ru-RU"/>
          </w:rPr>
          <w:t>/17/12.</w:t>
        </w:r>
        <w:r w:rsidR="00AD435A" w:rsidRPr="00353FA5">
          <w:rPr>
            <w:rStyle w:val="Hyperlink"/>
            <w:lang w:val="fr-FR"/>
          </w:rPr>
          <w:t>COM</w:t>
        </w:r>
        <w:r w:rsidR="00AD435A" w:rsidRPr="00F97F15">
          <w:rPr>
            <w:rStyle w:val="Hyperlink"/>
            <w:lang w:val="ru-RU"/>
          </w:rPr>
          <w:t xml:space="preserve"> </w:t>
        </w:r>
        <w:r w:rsidR="00AD435A" w:rsidRPr="00353FA5">
          <w:rPr>
            <w:rStyle w:val="Hyperlink"/>
            <w:lang w:val="fr-FR"/>
          </w:rPr>
          <w:t>WG</w:t>
        </w:r>
        <w:r w:rsidR="00AD435A" w:rsidRPr="00F97F15">
          <w:rPr>
            <w:rStyle w:val="Hyperlink"/>
            <w:lang w:val="ru-RU"/>
          </w:rPr>
          <w:t>/7</w:t>
        </w:r>
      </w:hyperlink>
      <w:r w:rsidR="00AD435A" w:rsidRPr="00F97F15">
        <w:rPr>
          <w:lang w:val="ru-RU"/>
        </w:rPr>
        <w:t>).</w:t>
      </w:r>
    </w:p>
    <w:p w:rsidR="00AD435A" w:rsidRPr="00B2115C" w:rsidRDefault="005B2796" w:rsidP="00AD435A">
      <w:pPr>
        <w:pStyle w:val="COMPara"/>
        <w:numPr>
          <w:ilvl w:val="0"/>
          <w:numId w:val="13"/>
        </w:numPr>
        <w:ind w:left="567" w:hanging="567"/>
        <w:jc w:val="both"/>
        <w:rPr>
          <w:lang w:val="ru-RU"/>
        </w:rPr>
      </w:pPr>
      <w:r>
        <w:rPr>
          <w:lang w:val="ru-RU"/>
        </w:rPr>
        <w:t>На</w:t>
      </w:r>
      <w:r w:rsidRPr="000C7858">
        <w:rPr>
          <w:lang w:val="ru-RU"/>
        </w:rPr>
        <w:t xml:space="preserve"> </w:t>
      </w:r>
      <w:r>
        <w:rPr>
          <w:lang w:val="ru-RU"/>
        </w:rPr>
        <w:t>своей</w:t>
      </w:r>
      <w:r w:rsidRPr="000C7858">
        <w:rPr>
          <w:lang w:val="ru-RU"/>
        </w:rPr>
        <w:t xml:space="preserve"> </w:t>
      </w:r>
      <w:r>
        <w:rPr>
          <w:lang w:val="ru-RU"/>
        </w:rPr>
        <w:t>двенадцатой</w:t>
      </w:r>
      <w:r w:rsidRPr="000C7858">
        <w:rPr>
          <w:lang w:val="ru-RU"/>
        </w:rPr>
        <w:t xml:space="preserve"> </w:t>
      </w:r>
      <w:r>
        <w:rPr>
          <w:lang w:val="ru-RU"/>
        </w:rPr>
        <w:t>сессии</w:t>
      </w:r>
      <w:r w:rsidRPr="000C7858">
        <w:rPr>
          <w:lang w:val="ru-RU"/>
        </w:rPr>
        <w:t xml:space="preserve"> (</w:t>
      </w:r>
      <w:r>
        <w:rPr>
          <w:lang w:val="ru-RU"/>
        </w:rPr>
        <w:t>остров</w:t>
      </w:r>
      <w:r w:rsidRPr="000C7858">
        <w:rPr>
          <w:lang w:val="ru-RU"/>
        </w:rPr>
        <w:t xml:space="preserve"> </w:t>
      </w:r>
      <w:proofErr w:type="spellStart"/>
      <w:r>
        <w:rPr>
          <w:lang w:val="ru-RU"/>
        </w:rPr>
        <w:t>Чеджу</w:t>
      </w:r>
      <w:proofErr w:type="spellEnd"/>
      <w:r w:rsidR="000C7858" w:rsidRPr="000C7858">
        <w:rPr>
          <w:lang w:val="ru-RU"/>
        </w:rPr>
        <w:t xml:space="preserve">, </w:t>
      </w:r>
      <w:r w:rsidR="000C7858">
        <w:rPr>
          <w:lang w:val="ru-RU"/>
        </w:rPr>
        <w:t>Республика</w:t>
      </w:r>
      <w:r w:rsidR="000C7858" w:rsidRPr="000C7858">
        <w:rPr>
          <w:lang w:val="ru-RU"/>
        </w:rPr>
        <w:t xml:space="preserve"> </w:t>
      </w:r>
      <w:r w:rsidR="000C7858">
        <w:rPr>
          <w:lang w:val="ru-RU"/>
        </w:rPr>
        <w:t>Корея</w:t>
      </w:r>
      <w:r w:rsidR="000C7858" w:rsidRPr="000C7858">
        <w:rPr>
          <w:lang w:val="ru-RU"/>
        </w:rPr>
        <w:t>, 4</w:t>
      </w:r>
      <w:r w:rsidR="006F50C3" w:rsidRPr="00E703E3">
        <w:rPr>
          <w:lang w:val="ru-RU"/>
        </w:rPr>
        <w:t>–</w:t>
      </w:r>
      <w:r w:rsidR="000C7858" w:rsidRPr="000C7858">
        <w:rPr>
          <w:lang w:val="ru-RU"/>
        </w:rPr>
        <w:t xml:space="preserve">9 </w:t>
      </w:r>
      <w:r w:rsidR="000C7858">
        <w:rPr>
          <w:lang w:val="ru-RU"/>
        </w:rPr>
        <w:t>декабря</w:t>
      </w:r>
      <w:r w:rsidR="000C7858" w:rsidRPr="000C7858">
        <w:rPr>
          <w:lang w:val="ru-RU"/>
        </w:rPr>
        <w:t xml:space="preserve"> 2017</w:t>
      </w:r>
      <w:r w:rsidR="000C7858" w:rsidRPr="00E055F0">
        <w:rPr>
          <w:lang w:val="fr-FR"/>
        </w:rPr>
        <w:t> </w:t>
      </w:r>
      <w:r w:rsidR="000C7858">
        <w:rPr>
          <w:lang w:val="ru-RU"/>
        </w:rPr>
        <w:t>г</w:t>
      </w:r>
      <w:r w:rsidR="000C7858" w:rsidRPr="000C7858">
        <w:rPr>
          <w:lang w:val="ru-RU"/>
        </w:rPr>
        <w:t>.</w:t>
      </w:r>
      <w:r w:rsidR="000C7858">
        <w:rPr>
          <w:lang w:val="ru-RU"/>
        </w:rPr>
        <w:t xml:space="preserve">) </w:t>
      </w:r>
      <w:r>
        <w:rPr>
          <w:lang w:val="ru-RU"/>
        </w:rPr>
        <w:t>Комитет</w:t>
      </w:r>
      <w:r w:rsidRPr="005D2D96">
        <w:rPr>
          <w:lang w:val="ru-RU"/>
        </w:rPr>
        <w:t xml:space="preserve"> </w:t>
      </w:r>
      <w:r w:rsidR="000C7858">
        <w:rPr>
          <w:lang w:val="ru-RU"/>
        </w:rPr>
        <w:t>одобрил</w:t>
      </w:r>
      <w:r w:rsidR="000C7858" w:rsidRPr="005D2D96">
        <w:rPr>
          <w:lang w:val="ru-RU"/>
        </w:rPr>
        <w:t xml:space="preserve"> </w:t>
      </w:r>
      <w:r w:rsidR="000C7858">
        <w:rPr>
          <w:lang w:val="ru-RU"/>
        </w:rPr>
        <w:t>рекомендацию</w:t>
      </w:r>
      <w:r w:rsidR="000C7858" w:rsidRPr="005D2D96">
        <w:rPr>
          <w:lang w:val="ru-RU"/>
        </w:rPr>
        <w:t xml:space="preserve"> </w:t>
      </w:r>
      <w:r w:rsidR="000C7858">
        <w:rPr>
          <w:lang w:val="ru-RU"/>
        </w:rPr>
        <w:t>межправительственной</w:t>
      </w:r>
      <w:r w:rsidR="000C7858" w:rsidRPr="005D2D96">
        <w:rPr>
          <w:lang w:val="ru-RU"/>
        </w:rPr>
        <w:t xml:space="preserve"> </w:t>
      </w:r>
      <w:r w:rsidR="000C7858">
        <w:rPr>
          <w:lang w:val="ru-RU"/>
        </w:rPr>
        <w:t>рабочей</w:t>
      </w:r>
      <w:r w:rsidR="000C7858" w:rsidRPr="005D2D96">
        <w:rPr>
          <w:lang w:val="ru-RU"/>
        </w:rPr>
        <w:t xml:space="preserve"> </w:t>
      </w:r>
      <w:r w:rsidR="000C7858">
        <w:rPr>
          <w:lang w:val="ru-RU"/>
        </w:rPr>
        <w:t>группы</w:t>
      </w:r>
      <w:r w:rsidR="000C7858" w:rsidRPr="005D2D96">
        <w:rPr>
          <w:lang w:val="ru-RU"/>
        </w:rPr>
        <w:t xml:space="preserve"> </w:t>
      </w:r>
      <w:r w:rsidR="000C7858">
        <w:rPr>
          <w:lang w:val="ru-RU"/>
        </w:rPr>
        <w:t>открытого</w:t>
      </w:r>
      <w:r w:rsidR="000C7858" w:rsidRPr="005D2D96">
        <w:rPr>
          <w:lang w:val="ru-RU"/>
        </w:rPr>
        <w:t xml:space="preserve"> </w:t>
      </w:r>
      <w:r w:rsidR="000C7858">
        <w:rPr>
          <w:lang w:val="ru-RU"/>
        </w:rPr>
        <w:t>состава</w:t>
      </w:r>
      <w:r w:rsidR="000C7858" w:rsidRPr="005D2D96">
        <w:rPr>
          <w:lang w:val="ru-RU"/>
        </w:rPr>
        <w:t xml:space="preserve"> </w:t>
      </w:r>
      <w:r w:rsidR="000C7858">
        <w:rPr>
          <w:lang w:val="ru-RU"/>
        </w:rPr>
        <w:t>и</w:t>
      </w:r>
      <w:r w:rsidR="000C7858" w:rsidRPr="005D2D96">
        <w:rPr>
          <w:lang w:val="ru-RU"/>
        </w:rPr>
        <w:t xml:space="preserve"> </w:t>
      </w:r>
      <w:r w:rsidR="000C7858">
        <w:rPr>
          <w:lang w:val="ru-RU"/>
        </w:rPr>
        <w:t>п</w:t>
      </w:r>
      <w:r w:rsidR="006021F0">
        <w:rPr>
          <w:lang w:val="ru-RU"/>
        </w:rPr>
        <w:t>ринял</w:t>
      </w:r>
      <w:r w:rsidR="006021F0" w:rsidRPr="005D2D96">
        <w:rPr>
          <w:lang w:val="ru-RU"/>
        </w:rPr>
        <w:t xml:space="preserve"> </w:t>
      </w:r>
      <w:r w:rsidR="006021F0">
        <w:rPr>
          <w:lang w:val="ru-RU"/>
        </w:rPr>
        <w:t>решение</w:t>
      </w:r>
      <w:r w:rsidR="006021F0" w:rsidRPr="005D2D96">
        <w:rPr>
          <w:lang w:val="ru-RU"/>
        </w:rPr>
        <w:t xml:space="preserve"> </w:t>
      </w:r>
      <w:r w:rsidR="006021F0">
        <w:rPr>
          <w:lang w:val="ru-RU"/>
        </w:rPr>
        <w:t>реформировать</w:t>
      </w:r>
      <w:r w:rsidR="006021F0" w:rsidRPr="005D2D96">
        <w:rPr>
          <w:lang w:val="ru-RU"/>
        </w:rPr>
        <w:t xml:space="preserve"> </w:t>
      </w:r>
      <w:r w:rsidR="006021F0">
        <w:rPr>
          <w:lang w:val="ru-RU"/>
        </w:rPr>
        <w:t>процесс</w:t>
      </w:r>
      <w:r w:rsidR="006021F0" w:rsidRPr="005D2D96">
        <w:rPr>
          <w:lang w:val="ru-RU"/>
        </w:rPr>
        <w:t xml:space="preserve"> </w:t>
      </w:r>
      <w:r w:rsidR="006021F0">
        <w:rPr>
          <w:lang w:val="ru-RU"/>
        </w:rPr>
        <w:t>представления</w:t>
      </w:r>
      <w:r w:rsidR="006021F0" w:rsidRPr="005D2D96">
        <w:rPr>
          <w:lang w:val="ru-RU"/>
        </w:rPr>
        <w:t xml:space="preserve"> </w:t>
      </w:r>
      <w:r w:rsidR="006021F0">
        <w:rPr>
          <w:lang w:val="ru-RU"/>
        </w:rPr>
        <w:t>периодических</w:t>
      </w:r>
      <w:r w:rsidR="006021F0" w:rsidRPr="005D2D96">
        <w:rPr>
          <w:lang w:val="ru-RU"/>
        </w:rPr>
        <w:t xml:space="preserve"> </w:t>
      </w:r>
      <w:r w:rsidR="006021F0">
        <w:rPr>
          <w:lang w:val="ru-RU"/>
        </w:rPr>
        <w:t>докладов</w:t>
      </w:r>
      <w:r w:rsidR="006021F0" w:rsidRPr="005D2D96">
        <w:rPr>
          <w:lang w:val="ru-RU"/>
        </w:rPr>
        <w:t xml:space="preserve"> </w:t>
      </w:r>
      <w:r w:rsidR="005D2D96">
        <w:rPr>
          <w:lang w:val="ru-RU"/>
        </w:rPr>
        <w:t>с</w:t>
      </w:r>
      <w:r w:rsidR="005D2D96" w:rsidRPr="005D2D96">
        <w:rPr>
          <w:lang w:val="ru-RU"/>
        </w:rPr>
        <w:t xml:space="preserve"> </w:t>
      </w:r>
      <w:r w:rsidR="005D2D96">
        <w:rPr>
          <w:lang w:val="ru-RU"/>
        </w:rPr>
        <w:t>целью</w:t>
      </w:r>
      <w:r w:rsidR="005D2D96" w:rsidRPr="005D2D96">
        <w:rPr>
          <w:lang w:val="ru-RU"/>
        </w:rPr>
        <w:t xml:space="preserve"> </w:t>
      </w:r>
      <w:r w:rsidR="005D2D96">
        <w:rPr>
          <w:lang w:val="ru-RU"/>
        </w:rPr>
        <w:t>повышения</w:t>
      </w:r>
      <w:r w:rsidR="005D2D96" w:rsidRPr="005D2D96">
        <w:rPr>
          <w:lang w:val="ru-RU"/>
        </w:rPr>
        <w:t xml:space="preserve"> </w:t>
      </w:r>
      <w:r w:rsidR="005D2D96">
        <w:rPr>
          <w:lang w:val="ru-RU"/>
        </w:rPr>
        <w:t>его</w:t>
      </w:r>
      <w:r w:rsidR="005D2D96" w:rsidRPr="005D2D96">
        <w:rPr>
          <w:lang w:val="ru-RU"/>
        </w:rPr>
        <w:t xml:space="preserve"> </w:t>
      </w:r>
      <w:r w:rsidR="005D2D96">
        <w:rPr>
          <w:lang w:val="ru-RU"/>
        </w:rPr>
        <w:t>качества</w:t>
      </w:r>
      <w:r w:rsidR="005D2D96" w:rsidRPr="005D2D96">
        <w:rPr>
          <w:lang w:val="ru-RU"/>
        </w:rPr>
        <w:t xml:space="preserve">, </w:t>
      </w:r>
      <w:r w:rsidR="005D2D96">
        <w:rPr>
          <w:lang w:val="ru-RU"/>
        </w:rPr>
        <w:t>полезности</w:t>
      </w:r>
      <w:r w:rsidR="005D2D96" w:rsidRPr="005D2D96">
        <w:rPr>
          <w:lang w:val="ru-RU"/>
        </w:rPr>
        <w:t xml:space="preserve"> </w:t>
      </w:r>
      <w:r w:rsidR="005D2D96">
        <w:rPr>
          <w:lang w:val="ru-RU"/>
        </w:rPr>
        <w:t>и</w:t>
      </w:r>
      <w:r w:rsidR="005D2D96" w:rsidRPr="005D2D96">
        <w:rPr>
          <w:lang w:val="ru-RU"/>
        </w:rPr>
        <w:t xml:space="preserve"> </w:t>
      </w:r>
      <w:r w:rsidR="005D2D96">
        <w:rPr>
          <w:lang w:val="ru-RU"/>
        </w:rPr>
        <w:t>оперативности. Он</w:t>
      </w:r>
      <w:r w:rsidR="005D2D96" w:rsidRPr="00B2115C">
        <w:rPr>
          <w:lang w:val="ru-RU"/>
        </w:rPr>
        <w:t xml:space="preserve"> </w:t>
      </w:r>
      <w:r w:rsidR="005D2D96">
        <w:rPr>
          <w:lang w:val="ru-RU"/>
        </w:rPr>
        <w:t>также</w:t>
      </w:r>
      <w:r w:rsidR="005D2D96" w:rsidRPr="00B2115C">
        <w:rPr>
          <w:lang w:val="ru-RU"/>
        </w:rPr>
        <w:t xml:space="preserve"> </w:t>
      </w:r>
      <w:r w:rsidR="005D2D96">
        <w:rPr>
          <w:lang w:val="ru-RU"/>
        </w:rPr>
        <w:t>постановил</w:t>
      </w:r>
      <w:r w:rsidR="005D2D96" w:rsidRPr="00B2115C">
        <w:rPr>
          <w:lang w:val="ru-RU"/>
        </w:rPr>
        <w:t xml:space="preserve"> </w:t>
      </w:r>
      <w:r w:rsidR="00B2115C">
        <w:rPr>
          <w:lang w:val="ru-RU"/>
        </w:rPr>
        <w:t>изменить</w:t>
      </w:r>
      <w:r w:rsidR="00B2115C" w:rsidRPr="00B2115C">
        <w:rPr>
          <w:lang w:val="ru-RU"/>
        </w:rPr>
        <w:t xml:space="preserve"> </w:t>
      </w:r>
      <w:r w:rsidR="00B2115C">
        <w:rPr>
          <w:lang w:val="ru-RU"/>
        </w:rPr>
        <w:t>периодичность</w:t>
      </w:r>
      <w:r w:rsidR="00B2115C" w:rsidRPr="00B2115C">
        <w:rPr>
          <w:lang w:val="ru-RU"/>
        </w:rPr>
        <w:t xml:space="preserve"> </w:t>
      </w:r>
      <w:r w:rsidR="00B2115C">
        <w:rPr>
          <w:lang w:val="ru-RU"/>
        </w:rPr>
        <w:t>представления</w:t>
      </w:r>
      <w:r w:rsidR="00B2115C" w:rsidRPr="00B2115C">
        <w:rPr>
          <w:lang w:val="ru-RU"/>
        </w:rPr>
        <w:t xml:space="preserve"> </w:t>
      </w:r>
      <w:r w:rsidR="00B2115C">
        <w:rPr>
          <w:lang w:val="ru-RU"/>
        </w:rPr>
        <w:t>национальных</w:t>
      </w:r>
      <w:r w:rsidR="00B2115C" w:rsidRPr="00B2115C">
        <w:rPr>
          <w:lang w:val="ru-RU"/>
        </w:rPr>
        <w:t xml:space="preserve"> </w:t>
      </w:r>
      <w:r w:rsidR="00B2115C">
        <w:rPr>
          <w:lang w:val="ru-RU"/>
        </w:rPr>
        <w:t>докладов</w:t>
      </w:r>
      <w:r w:rsidR="00B2115C" w:rsidRPr="00B2115C">
        <w:rPr>
          <w:lang w:val="ru-RU"/>
        </w:rPr>
        <w:t xml:space="preserve"> </w:t>
      </w:r>
      <w:r w:rsidR="00B2115C">
        <w:rPr>
          <w:lang w:val="ru-RU"/>
        </w:rPr>
        <w:t>о</w:t>
      </w:r>
      <w:r w:rsidR="00B2115C" w:rsidRPr="00B2115C">
        <w:rPr>
          <w:lang w:val="ru-RU"/>
        </w:rPr>
        <w:t xml:space="preserve"> </w:t>
      </w:r>
      <w:r w:rsidR="00B2115C">
        <w:rPr>
          <w:lang w:val="ru-RU"/>
        </w:rPr>
        <w:t>выполнении</w:t>
      </w:r>
      <w:r w:rsidR="00B2115C" w:rsidRPr="00B2115C">
        <w:rPr>
          <w:lang w:val="ru-RU"/>
        </w:rPr>
        <w:t xml:space="preserve"> </w:t>
      </w:r>
      <w:r w:rsidR="00B2115C">
        <w:rPr>
          <w:lang w:val="ru-RU"/>
        </w:rPr>
        <w:t>Конвенции</w:t>
      </w:r>
      <w:r w:rsidR="00B2115C" w:rsidRPr="00B2115C">
        <w:rPr>
          <w:lang w:val="ru-RU"/>
        </w:rPr>
        <w:t xml:space="preserve"> (</w:t>
      </w:r>
      <w:r w:rsidR="00B2115C">
        <w:rPr>
          <w:lang w:val="ru-RU"/>
        </w:rPr>
        <w:t>статья</w:t>
      </w:r>
      <w:r w:rsidR="00B2115C" w:rsidRPr="00B2115C">
        <w:rPr>
          <w:lang w:val="ru-RU"/>
        </w:rPr>
        <w:t xml:space="preserve"> 29) </w:t>
      </w:r>
      <w:r w:rsidR="00B2115C">
        <w:rPr>
          <w:lang w:val="ru-RU"/>
        </w:rPr>
        <w:t>с</w:t>
      </w:r>
      <w:r w:rsidR="00B2115C" w:rsidRPr="00B2115C">
        <w:rPr>
          <w:lang w:val="ru-RU"/>
        </w:rPr>
        <w:t xml:space="preserve"> </w:t>
      </w:r>
      <w:r w:rsidR="00B2115C">
        <w:rPr>
          <w:lang w:val="ru-RU"/>
        </w:rPr>
        <w:t>тем</w:t>
      </w:r>
      <w:r w:rsidR="00B2115C" w:rsidRPr="00B2115C">
        <w:rPr>
          <w:lang w:val="ru-RU"/>
        </w:rPr>
        <w:t xml:space="preserve">, </w:t>
      </w:r>
      <w:r w:rsidR="00B2115C">
        <w:rPr>
          <w:lang w:val="ru-RU"/>
        </w:rPr>
        <w:t>чтобы</w:t>
      </w:r>
      <w:r w:rsidR="00B2115C" w:rsidRPr="00B2115C">
        <w:rPr>
          <w:lang w:val="ru-RU"/>
        </w:rPr>
        <w:t xml:space="preserve"> </w:t>
      </w:r>
      <w:r w:rsidR="00B2115C">
        <w:rPr>
          <w:lang w:val="ru-RU"/>
        </w:rPr>
        <w:t>государства</w:t>
      </w:r>
      <w:r w:rsidR="006F50C3">
        <w:rPr>
          <w:lang w:val="ru-RU"/>
        </w:rPr>
        <w:t>-</w:t>
      </w:r>
      <w:r w:rsidR="00B2115C">
        <w:rPr>
          <w:lang w:val="ru-RU"/>
        </w:rPr>
        <w:t>участники</w:t>
      </w:r>
      <w:r w:rsidR="00B2115C" w:rsidRPr="00B2115C">
        <w:rPr>
          <w:lang w:val="ru-RU"/>
        </w:rPr>
        <w:t xml:space="preserve"> </w:t>
      </w:r>
      <w:r w:rsidR="00B2115C">
        <w:rPr>
          <w:lang w:val="ru-RU"/>
        </w:rPr>
        <w:t>представляли</w:t>
      </w:r>
      <w:r w:rsidR="00B2115C" w:rsidRPr="00B2115C">
        <w:rPr>
          <w:lang w:val="ru-RU"/>
        </w:rPr>
        <w:t xml:space="preserve"> </w:t>
      </w:r>
      <w:r w:rsidR="00B2115C">
        <w:rPr>
          <w:lang w:val="ru-RU"/>
        </w:rPr>
        <w:t>свои</w:t>
      </w:r>
      <w:r w:rsidR="00B2115C" w:rsidRPr="00B2115C">
        <w:rPr>
          <w:lang w:val="ru-RU"/>
        </w:rPr>
        <w:t xml:space="preserve"> </w:t>
      </w:r>
      <w:r w:rsidR="00B2115C">
        <w:rPr>
          <w:lang w:val="ru-RU"/>
        </w:rPr>
        <w:t>национальные</w:t>
      </w:r>
      <w:r w:rsidR="00B2115C" w:rsidRPr="00B2115C">
        <w:rPr>
          <w:lang w:val="ru-RU"/>
        </w:rPr>
        <w:t xml:space="preserve"> </w:t>
      </w:r>
      <w:r w:rsidR="00B2115C">
        <w:rPr>
          <w:lang w:val="ru-RU"/>
        </w:rPr>
        <w:t>доклады</w:t>
      </w:r>
      <w:r w:rsidR="00B2115C" w:rsidRPr="00B2115C">
        <w:rPr>
          <w:lang w:val="ru-RU"/>
        </w:rPr>
        <w:t xml:space="preserve"> </w:t>
      </w:r>
      <w:r w:rsidR="00B2115C">
        <w:rPr>
          <w:lang w:val="ru-RU"/>
        </w:rPr>
        <w:t>каждые</w:t>
      </w:r>
      <w:r w:rsidR="00B2115C" w:rsidRPr="00B2115C">
        <w:rPr>
          <w:lang w:val="ru-RU"/>
        </w:rPr>
        <w:t xml:space="preserve"> </w:t>
      </w:r>
      <w:r w:rsidR="00B2115C">
        <w:rPr>
          <w:lang w:val="ru-RU"/>
        </w:rPr>
        <w:t>шесть</w:t>
      </w:r>
      <w:r w:rsidR="00B2115C" w:rsidRPr="00B2115C">
        <w:rPr>
          <w:lang w:val="ru-RU"/>
        </w:rPr>
        <w:t xml:space="preserve"> </w:t>
      </w:r>
      <w:r w:rsidR="00B2115C">
        <w:rPr>
          <w:lang w:val="ru-RU"/>
        </w:rPr>
        <w:t>лет</w:t>
      </w:r>
      <w:r w:rsidR="00B2115C" w:rsidRPr="00B2115C">
        <w:rPr>
          <w:lang w:val="ru-RU"/>
        </w:rPr>
        <w:t xml:space="preserve"> </w:t>
      </w:r>
      <w:r w:rsidR="00B2115C">
        <w:rPr>
          <w:lang w:val="ru-RU"/>
        </w:rPr>
        <w:t xml:space="preserve">на основе региональной ротации </w:t>
      </w:r>
      <w:r w:rsidR="00AD435A" w:rsidRPr="00B2115C">
        <w:rPr>
          <w:lang w:val="ru-RU"/>
        </w:rPr>
        <w:t>(</w:t>
      </w:r>
      <w:r>
        <w:rPr>
          <w:lang w:val="ru-RU"/>
        </w:rPr>
        <w:t>решение</w:t>
      </w:r>
      <w:r w:rsidR="00AD435A">
        <w:t> </w:t>
      </w:r>
      <w:hyperlink r:id="rId11" w:history="1">
        <w:r w:rsidR="00AD435A" w:rsidRPr="00B2115C">
          <w:rPr>
            <w:rStyle w:val="Hyperlink"/>
            <w:lang w:val="ru-RU"/>
          </w:rPr>
          <w:t>12.</w:t>
        </w:r>
        <w:r w:rsidR="00AD435A" w:rsidRPr="00027769">
          <w:rPr>
            <w:rStyle w:val="Hyperlink"/>
          </w:rPr>
          <w:t>COM </w:t>
        </w:r>
        <w:r w:rsidR="00AD435A" w:rsidRPr="00B2115C">
          <w:rPr>
            <w:rStyle w:val="Hyperlink"/>
            <w:lang w:val="ru-RU"/>
          </w:rPr>
          <w:t>10</w:t>
        </w:r>
      </w:hyperlink>
      <w:r w:rsidR="00AD435A" w:rsidRPr="00B2115C">
        <w:rPr>
          <w:lang w:val="ru-RU"/>
        </w:rPr>
        <w:t>).</w:t>
      </w:r>
    </w:p>
    <w:p w:rsidR="00AD435A" w:rsidRPr="00361A6E" w:rsidRDefault="00001581" w:rsidP="00AD435A">
      <w:pPr>
        <w:pStyle w:val="COMPara"/>
        <w:numPr>
          <w:ilvl w:val="0"/>
          <w:numId w:val="13"/>
        </w:numPr>
        <w:spacing w:before="120"/>
        <w:ind w:left="567" w:hanging="567"/>
        <w:jc w:val="both"/>
        <w:rPr>
          <w:lang w:val="ru-RU"/>
        </w:rPr>
      </w:pPr>
      <w:r>
        <w:rPr>
          <w:lang w:val="ru-RU"/>
        </w:rPr>
        <w:t>Комитет</w:t>
      </w:r>
      <w:r w:rsidRPr="0078108B">
        <w:rPr>
          <w:lang w:val="ru-RU"/>
        </w:rPr>
        <w:t xml:space="preserve"> </w:t>
      </w:r>
      <w:r>
        <w:rPr>
          <w:lang w:val="ru-RU"/>
        </w:rPr>
        <w:t>приветствовал</w:t>
      </w:r>
      <w:r w:rsidRPr="0078108B">
        <w:rPr>
          <w:lang w:val="ru-RU"/>
        </w:rPr>
        <w:t xml:space="preserve"> </w:t>
      </w:r>
      <w:r>
        <w:rPr>
          <w:lang w:val="ru-RU"/>
        </w:rPr>
        <w:t>переход</w:t>
      </w:r>
      <w:r w:rsidRPr="0078108B">
        <w:rPr>
          <w:lang w:val="ru-RU"/>
        </w:rPr>
        <w:t xml:space="preserve"> </w:t>
      </w:r>
      <w:r>
        <w:rPr>
          <w:lang w:val="ru-RU"/>
        </w:rPr>
        <w:t>к</w:t>
      </w:r>
      <w:r w:rsidRPr="0078108B">
        <w:rPr>
          <w:lang w:val="ru-RU"/>
        </w:rPr>
        <w:t xml:space="preserve"> </w:t>
      </w:r>
      <w:r>
        <w:rPr>
          <w:lang w:val="ru-RU"/>
        </w:rPr>
        <w:t>региональному</w:t>
      </w:r>
      <w:r w:rsidRPr="0078108B">
        <w:rPr>
          <w:lang w:val="ru-RU"/>
        </w:rPr>
        <w:t xml:space="preserve"> </w:t>
      </w:r>
      <w:r>
        <w:rPr>
          <w:lang w:val="ru-RU"/>
        </w:rPr>
        <w:t>циклу</w:t>
      </w:r>
      <w:r w:rsidRPr="0078108B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78108B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78108B">
        <w:rPr>
          <w:lang w:val="ru-RU"/>
        </w:rPr>
        <w:t xml:space="preserve"> </w:t>
      </w:r>
      <w:r>
        <w:rPr>
          <w:lang w:val="ru-RU"/>
        </w:rPr>
        <w:t>докладов</w:t>
      </w:r>
      <w:r w:rsidR="00C843DC" w:rsidRPr="0078108B">
        <w:rPr>
          <w:lang w:val="ru-RU"/>
        </w:rPr>
        <w:t xml:space="preserve">, </w:t>
      </w:r>
      <w:r w:rsidR="00C843DC">
        <w:rPr>
          <w:lang w:val="ru-RU"/>
        </w:rPr>
        <w:t>поскольку</w:t>
      </w:r>
      <w:r w:rsidR="00C843DC" w:rsidRPr="0078108B">
        <w:rPr>
          <w:lang w:val="ru-RU"/>
        </w:rPr>
        <w:t xml:space="preserve"> </w:t>
      </w:r>
      <w:r w:rsidR="00C843DC">
        <w:rPr>
          <w:lang w:val="ru-RU"/>
        </w:rPr>
        <w:t>он</w:t>
      </w:r>
      <w:r w:rsidR="00C843DC" w:rsidRPr="0078108B">
        <w:rPr>
          <w:lang w:val="ru-RU"/>
        </w:rPr>
        <w:t xml:space="preserve"> </w:t>
      </w:r>
      <w:r w:rsidR="00C843DC">
        <w:rPr>
          <w:lang w:val="ru-RU"/>
        </w:rPr>
        <w:t>будет</w:t>
      </w:r>
      <w:r w:rsidR="00C843DC" w:rsidRPr="0078108B">
        <w:rPr>
          <w:lang w:val="ru-RU"/>
        </w:rPr>
        <w:t xml:space="preserve"> </w:t>
      </w:r>
      <w:r w:rsidR="00C843DC">
        <w:rPr>
          <w:lang w:val="ru-RU"/>
        </w:rPr>
        <w:t>способствовать</w:t>
      </w:r>
      <w:r w:rsidR="00C843DC" w:rsidRPr="0078108B">
        <w:rPr>
          <w:lang w:val="ru-RU"/>
        </w:rPr>
        <w:t xml:space="preserve"> </w:t>
      </w:r>
      <w:r w:rsidR="00C843DC">
        <w:rPr>
          <w:lang w:val="ru-RU"/>
        </w:rPr>
        <w:t>улучшению</w:t>
      </w:r>
      <w:r w:rsidR="00C843DC" w:rsidRPr="0078108B">
        <w:rPr>
          <w:lang w:val="ru-RU"/>
        </w:rPr>
        <w:t xml:space="preserve"> </w:t>
      </w:r>
      <w:r w:rsidR="00C843DC">
        <w:rPr>
          <w:lang w:val="ru-RU"/>
        </w:rPr>
        <w:t>показателей</w:t>
      </w:r>
      <w:r w:rsidR="00C843DC" w:rsidRPr="0078108B">
        <w:rPr>
          <w:lang w:val="ru-RU"/>
        </w:rPr>
        <w:t xml:space="preserve"> </w:t>
      </w:r>
      <w:r w:rsidR="00C843DC">
        <w:rPr>
          <w:lang w:val="ru-RU"/>
        </w:rPr>
        <w:t>представления</w:t>
      </w:r>
      <w:r w:rsidR="00C843DC" w:rsidRPr="0078108B">
        <w:rPr>
          <w:lang w:val="ru-RU"/>
        </w:rPr>
        <w:t xml:space="preserve"> </w:t>
      </w:r>
      <w:r w:rsidR="00C843DC">
        <w:rPr>
          <w:lang w:val="ru-RU"/>
        </w:rPr>
        <w:t>докладов</w:t>
      </w:r>
      <w:r w:rsidR="00C843DC" w:rsidRPr="0078108B">
        <w:rPr>
          <w:lang w:val="ru-RU"/>
        </w:rPr>
        <w:t xml:space="preserve"> </w:t>
      </w:r>
      <w:r w:rsidR="00C843DC">
        <w:rPr>
          <w:lang w:val="ru-RU"/>
        </w:rPr>
        <w:t>и</w:t>
      </w:r>
      <w:r w:rsidR="00C843DC" w:rsidRPr="0078108B">
        <w:rPr>
          <w:lang w:val="ru-RU"/>
        </w:rPr>
        <w:t xml:space="preserve"> </w:t>
      </w:r>
      <w:r w:rsidR="00C843DC">
        <w:rPr>
          <w:lang w:val="ru-RU"/>
        </w:rPr>
        <w:t>повышению</w:t>
      </w:r>
      <w:r w:rsidR="00C843DC" w:rsidRPr="0078108B">
        <w:rPr>
          <w:lang w:val="ru-RU"/>
        </w:rPr>
        <w:t xml:space="preserve"> </w:t>
      </w:r>
      <w:r w:rsidR="00C843DC">
        <w:rPr>
          <w:lang w:val="ru-RU"/>
        </w:rPr>
        <w:t>эффективности</w:t>
      </w:r>
      <w:r w:rsidR="00C843DC" w:rsidRPr="0078108B">
        <w:rPr>
          <w:lang w:val="ru-RU"/>
        </w:rPr>
        <w:t xml:space="preserve"> </w:t>
      </w:r>
      <w:r w:rsidR="00266F25">
        <w:rPr>
          <w:lang w:val="ru-RU"/>
        </w:rPr>
        <w:t>подхода</w:t>
      </w:r>
      <w:r w:rsidR="0078108B" w:rsidRPr="0078108B">
        <w:rPr>
          <w:lang w:val="ru-RU"/>
        </w:rPr>
        <w:t xml:space="preserve">, </w:t>
      </w:r>
      <w:r w:rsidR="0078108B">
        <w:rPr>
          <w:lang w:val="ru-RU"/>
        </w:rPr>
        <w:t>ориентированного</w:t>
      </w:r>
      <w:r w:rsidR="0078108B" w:rsidRPr="0078108B">
        <w:rPr>
          <w:lang w:val="ru-RU"/>
        </w:rPr>
        <w:t xml:space="preserve"> </w:t>
      </w:r>
      <w:r w:rsidR="0078108B">
        <w:rPr>
          <w:lang w:val="ru-RU"/>
        </w:rPr>
        <w:t>на</w:t>
      </w:r>
      <w:r w:rsidR="0078108B" w:rsidRPr="0078108B">
        <w:rPr>
          <w:lang w:val="ru-RU"/>
        </w:rPr>
        <w:t xml:space="preserve"> </w:t>
      </w:r>
      <w:r w:rsidR="00C843DC">
        <w:rPr>
          <w:lang w:val="ru-RU"/>
        </w:rPr>
        <w:t>укреплени</w:t>
      </w:r>
      <w:r w:rsidR="0078108B">
        <w:rPr>
          <w:lang w:val="ru-RU"/>
        </w:rPr>
        <w:t>е</w:t>
      </w:r>
      <w:r w:rsidR="00C843DC" w:rsidRPr="0078108B">
        <w:rPr>
          <w:lang w:val="ru-RU"/>
        </w:rPr>
        <w:t xml:space="preserve"> </w:t>
      </w:r>
      <w:r w:rsidR="00C843DC">
        <w:rPr>
          <w:lang w:val="ru-RU"/>
        </w:rPr>
        <w:t>потенциала</w:t>
      </w:r>
      <w:r w:rsidR="0078108B" w:rsidRPr="0078108B">
        <w:rPr>
          <w:lang w:val="ru-RU"/>
        </w:rPr>
        <w:t xml:space="preserve">, </w:t>
      </w:r>
      <w:r w:rsidR="0078108B">
        <w:rPr>
          <w:lang w:val="ru-RU"/>
        </w:rPr>
        <w:t>благодаря</w:t>
      </w:r>
      <w:r w:rsidR="0078108B" w:rsidRPr="0078108B">
        <w:rPr>
          <w:lang w:val="ru-RU"/>
        </w:rPr>
        <w:t xml:space="preserve"> </w:t>
      </w:r>
      <w:r w:rsidR="0078108B">
        <w:rPr>
          <w:lang w:val="ru-RU"/>
        </w:rPr>
        <w:t>организации</w:t>
      </w:r>
      <w:r w:rsidR="0078108B" w:rsidRPr="0078108B">
        <w:rPr>
          <w:lang w:val="ru-RU"/>
        </w:rPr>
        <w:t xml:space="preserve"> </w:t>
      </w:r>
      <w:r w:rsidR="0078108B">
        <w:rPr>
          <w:lang w:val="ru-RU"/>
        </w:rPr>
        <w:t xml:space="preserve">целевых учебных курсов на региональном уровне. </w:t>
      </w:r>
      <w:r w:rsidR="00B00836">
        <w:rPr>
          <w:lang w:val="ru-RU"/>
        </w:rPr>
        <w:t>Комитет</w:t>
      </w:r>
      <w:r w:rsidR="00B00836" w:rsidRPr="00340C79">
        <w:rPr>
          <w:lang w:val="ru-RU"/>
        </w:rPr>
        <w:t xml:space="preserve"> </w:t>
      </w:r>
      <w:r w:rsidR="00B00836">
        <w:rPr>
          <w:lang w:val="ru-RU"/>
        </w:rPr>
        <w:t>подчеркнул</w:t>
      </w:r>
      <w:r w:rsidR="00B00836" w:rsidRPr="00340C79">
        <w:rPr>
          <w:lang w:val="ru-RU"/>
        </w:rPr>
        <w:t>, ч</w:t>
      </w:r>
      <w:r w:rsidR="00B00836">
        <w:rPr>
          <w:lang w:val="ru-RU"/>
        </w:rPr>
        <w:t>то</w:t>
      </w:r>
      <w:r w:rsidR="00B00836" w:rsidRPr="00340C79">
        <w:rPr>
          <w:lang w:val="ru-RU"/>
        </w:rPr>
        <w:t xml:space="preserve"> </w:t>
      </w:r>
      <w:r w:rsidR="00B00836">
        <w:rPr>
          <w:lang w:val="ru-RU"/>
        </w:rPr>
        <w:t>это</w:t>
      </w:r>
      <w:r w:rsidR="00B00836" w:rsidRPr="00340C79">
        <w:rPr>
          <w:lang w:val="ru-RU"/>
        </w:rPr>
        <w:t xml:space="preserve"> </w:t>
      </w:r>
      <w:r w:rsidR="00B00836">
        <w:rPr>
          <w:lang w:val="ru-RU"/>
        </w:rPr>
        <w:t>изменение</w:t>
      </w:r>
      <w:r w:rsidR="00B00836" w:rsidRPr="00340C79">
        <w:rPr>
          <w:lang w:val="ru-RU"/>
        </w:rPr>
        <w:t xml:space="preserve"> </w:t>
      </w:r>
      <w:r w:rsidR="00B00836">
        <w:rPr>
          <w:lang w:val="ru-RU"/>
        </w:rPr>
        <w:t>облегчит</w:t>
      </w:r>
      <w:r w:rsidR="00B00836" w:rsidRPr="00340C79">
        <w:rPr>
          <w:lang w:val="ru-RU"/>
        </w:rPr>
        <w:t xml:space="preserve"> </w:t>
      </w:r>
      <w:r w:rsidR="00B00836">
        <w:rPr>
          <w:lang w:val="ru-RU"/>
        </w:rPr>
        <w:t>государствам</w:t>
      </w:r>
      <w:r w:rsidR="006F50C3">
        <w:rPr>
          <w:lang w:val="ru-RU"/>
        </w:rPr>
        <w:t>-</w:t>
      </w:r>
      <w:r w:rsidR="00B00836">
        <w:rPr>
          <w:lang w:val="ru-RU"/>
        </w:rPr>
        <w:t>участникам</w:t>
      </w:r>
      <w:r w:rsidR="00B00836" w:rsidRPr="00340C79">
        <w:rPr>
          <w:lang w:val="ru-RU"/>
        </w:rPr>
        <w:t xml:space="preserve"> </w:t>
      </w:r>
      <w:r w:rsidR="00B00836">
        <w:rPr>
          <w:lang w:val="ru-RU"/>
        </w:rPr>
        <w:t>конкретного</w:t>
      </w:r>
      <w:r w:rsidR="00B00836" w:rsidRPr="00340C79">
        <w:rPr>
          <w:lang w:val="ru-RU"/>
        </w:rPr>
        <w:t xml:space="preserve"> </w:t>
      </w:r>
      <w:r w:rsidR="00B00836">
        <w:rPr>
          <w:lang w:val="ru-RU"/>
        </w:rPr>
        <w:t>региона</w:t>
      </w:r>
      <w:r w:rsidR="00B00836" w:rsidRPr="00340C79">
        <w:rPr>
          <w:lang w:val="ru-RU"/>
        </w:rPr>
        <w:t xml:space="preserve"> </w:t>
      </w:r>
      <w:r w:rsidR="00F10FED">
        <w:rPr>
          <w:lang w:val="ru-RU"/>
        </w:rPr>
        <w:t>получение</w:t>
      </w:r>
      <w:r w:rsidR="00F10FED" w:rsidRPr="00340C79">
        <w:rPr>
          <w:lang w:val="ru-RU"/>
        </w:rPr>
        <w:t xml:space="preserve"> </w:t>
      </w:r>
      <w:r w:rsidR="00F10FED">
        <w:rPr>
          <w:lang w:val="ru-RU"/>
        </w:rPr>
        <w:t>выгоды</w:t>
      </w:r>
      <w:r w:rsidR="00F10FED" w:rsidRPr="00340C79">
        <w:rPr>
          <w:lang w:val="ru-RU"/>
        </w:rPr>
        <w:t xml:space="preserve"> </w:t>
      </w:r>
      <w:r w:rsidR="00F10FED">
        <w:rPr>
          <w:lang w:val="ru-RU"/>
        </w:rPr>
        <w:t>от</w:t>
      </w:r>
      <w:r w:rsidR="00F10FED" w:rsidRPr="00340C79">
        <w:rPr>
          <w:lang w:val="ru-RU"/>
        </w:rPr>
        <w:t xml:space="preserve"> </w:t>
      </w:r>
      <w:r w:rsidR="00F10FED">
        <w:rPr>
          <w:lang w:val="ru-RU"/>
        </w:rPr>
        <w:t>сотрудничества</w:t>
      </w:r>
      <w:r w:rsidR="00F10FED" w:rsidRPr="00340C79">
        <w:rPr>
          <w:lang w:val="ru-RU"/>
        </w:rPr>
        <w:t xml:space="preserve"> </w:t>
      </w:r>
      <w:r w:rsidR="00F10FED">
        <w:rPr>
          <w:lang w:val="ru-RU"/>
        </w:rPr>
        <w:t>на</w:t>
      </w:r>
      <w:r w:rsidR="00F10FED" w:rsidRPr="00340C79">
        <w:rPr>
          <w:lang w:val="ru-RU"/>
        </w:rPr>
        <w:t xml:space="preserve"> </w:t>
      </w:r>
      <w:r w:rsidR="00F10FED">
        <w:rPr>
          <w:lang w:val="ru-RU"/>
        </w:rPr>
        <w:t>региональном</w:t>
      </w:r>
      <w:r w:rsidR="00F10FED" w:rsidRPr="00340C79">
        <w:rPr>
          <w:lang w:val="ru-RU"/>
        </w:rPr>
        <w:t xml:space="preserve"> </w:t>
      </w:r>
      <w:r w:rsidR="00F10FED">
        <w:rPr>
          <w:lang w:val="ru-RU"/>
        </w:rPr>
        <w:t>и</w:t>
      </w:r>
      <w:r w:rsidR="00F10FED" w:rsidRPr="00340C79">
        <w:rPr>
          <w:lang w:val="ru-RU"/>
        </w:rPr>
        <w:t xml:space="preserve"> </w:t>
      </w:r>
      <w:r w:rsidR="00F10FED">
        <w:rPr>
          <w:lang w:val="ru-RU"/>
        </w:rPr>
        <w:t>субрегиональном</w:t>
      </w:r>
      <w:r w:rsidR="00F10FED" w:rsidRPr="00340C79">
        <w:rPr>
          <w:lang w:val="ru-RU"/>
        </w:rPr>
        <w:t xml:space="preserve"> </w:t>
      </w:r>
      <w:r w:rsidR="00F10FED">
        <w:rPr>
          <w:lang w:val="ru-RU"/>
        </w:rPr>
        <w:t>уровнях</w:t>
      </w:r>
      <w:r w:rsidR="00340C79" w:rsidRPr="00340C79">
        <w:rPr>
          <w:lang w:val="ru-RU"/>
        </w:rPr>
        <w:t xml:space="preserve">, </w:t>
      </w:r>
      <w:r w:rsidR="00340C79">
        <w:rPr>
          <w:lang w:val="ru-RU"/>
        </w:rPr>
        <w:t>а</w:t>
      </w:r>
      <w:r w:rsidR="00205742" w:rsidRPr="00340C79">
        <w:rPr>
          <w:lang w:val="ru-RU"/>
        </w:rPr>
        <w:t xml:space="preserve"> </w:t>
      </w:r>
      <w:r w:rsidR="00205742">
        <w:rPr>
          <w:lang w:val="ru-RU"/>
        </w:rPr>
        <w:t>деятельност</w:t>
      </w:r>
      <w:r w:rsidR="00340C79">
        <w:rPr>
          <w:lang w:val="ru-RU"/>
        </w:rPr>
        <w:t>ь</w:t>
      </w:r>
      <w:r w:rsidR="00205742" w:rsidRPr="00340C79">
        <w:rPr>
          <w:lang w:val="ru-RU"/>
        </w:rPr>
        <w:t xml:space="preserve"> </w:t>
      </w:r>
      <w:r w:rsidR="00205742">
        <w:rPr>
          <w:lang w:val="ru-RU"/>
        </w:rPr>
        <w:t>по</w:t>
      </w:r>
      <w:r w:rsidR="00205742" w:rsidRPr="00340C79">
        <w:rPr>
          <w:lang w:val="ru-RU"/>
        </w:rPr>
        <w:t xml:space="preserve"> </w:t>
      </w:r>
      <w:r w:rsidR="00205742">
        <w:rPr>
          <w:lang w:val="ru-RU"/>
        </w:rPr>
        <w:t>укреплению</w:t>
      </w:r>
      <w:r w:rsidR="00205742" w:rsidRPr="00340C79">
        <w:rPr>
          <w:lang w:val="ru-RU"/>
        </w:rPr>
        <w:t xml:space="preserve"> </w:t>
      </w:r>
      <w:r w:rsidR="00205742">
        <w:rPr>
          <w:lang w:val="ru-RU"/>
        </w:rPr>
        <w:t>потенциала</w:t>
      </w:r>
      <w:r w:rsidR="00205742" w:rsidRPr="00340C79">
        <w:rPr>
          <w:lang w:val="ru-RU"/>
        </w:rPr>
        <w:t xml:space="preserve"> </w:t>
      </w:r>
      <w:r w:rsidR="00340C79">
        <w:rPr>
          <w:lang w:val="ru-RU"/>
        </w:rPr>
        <w:t>предоставит</w:t>
      </w:r>
      <w:r w:rsidR="00340C79" w:rsidRPr="00340C79">
        <w:rPr>
          <w:lang w:val="ru-RU"/>
        </w:rPr>
        <w:t xml:space="preserve"> </w:t>
      </w:r>
      <w:r w:rsidR="00340C79">
        <w:rPr>
          <w:lang w:val="ru-RU"/>
        </w:rPr>
        <w:t>возможность</w:t>
      </w:r>
      <w:r w:rsidR="00340C79" w:rsidRPr="00340C79">
        <w:rPr>
          <w:lang w:val="ru-RU"/>
        </w:rPr>
        <w:t xml:space="preserve"> </w:t>
      </w:r>
      <w:r w:rsidR="00340C79">
        <w:rPr>
          <w:lang w:val="ru-RU"/>
        </w:rPr>
        <w:t>стимулировать</w:t>
      </w:r>
      <w:r w:rsidR="00340C79" w:rsidRPr="00340C79">
        <w:rPr>
          <w:lang w:val="ru-RU"/>
        </w:rPr>
        <w:t xml:space="preserve"> </w:t>
      </w:r>
      <w:r w:rsidR="00340C79">
        <w:rPr>
          <w:lang w:val="ru-RU"/>
        </w:rPr>
        <w:t xml:space="preserve">диалог и обмен </w:t>
      </w:r>
      <w:r w:rsidR="006C7589">
        <w:rPr>
          <w:lang w:val="ru-RU"/>
        </w:rPr>
        <w:t xml:space="preserve">национальным опытом. </w:t>
      </w:r>
      <w:r w:rsidR="006B7B0C">
        <w:rPr>
          <w:lang w:val="ru-RU"/>
        </w:rPr>
        <w:t>Реформа</w:t>
      </w:r>
      <w:r w:rsidR="006B7B0C" w:rsidRPr="00D33D17">
        <w:rPr>
          <w:lang w:val="ru-RU"/>
        </w:rPr>
        <w:t xml:space="preserve"> </w:t>
      </w:r>
      <w:r w:rsidR="006B7B0C">
        <w:rPr>
          <w:lang w:val="ru-RU"/>
        </w:rPr>
        <w:t>также</w:t>
      </w:r>
      <w:r w:rsidR="006B7B0C" w:rsidRPr="00D33D17">
        <w:rPr>
          <w:lang w:val="ru-RU"/>
        </w:rPr>
        <w:t xml:space="preserve"> </w:t>
      </w:r>
      <w:r w:rsidR="006B7B0C">
        <w:rPr>
          <w:lang w:val="ru-RU"/>
        </w:rPr>
        <w:t>призвана</w:t>
      </w:r>
      <w:r w:rsidR="006B7B0C" w:rsidRPr="00D33D17">
        <w:rPr>
          <w:lang w:val="ru-RU"/>
        </w:rPr>
        <w:t xml:space="preserve"> </w:t>
      </w:r>
      <w:r w:rsidR="006B7B0C">
        <w:rPr>
          <w:lang w:val="ru-RU"/>
        </w:rPr>
        <w:t>внести</w:t>
      </w:r>
      <w:r w:rsidR="006B7B0C" w:rsidRPr="00D33D17">
        <w:rPr>
          <w:lang w:val="ru-RU"/>
        </w:rPr>
        <w:t xml:space="preserve"> </w:t>
      </w:r>
      <w:r w:rsidR="006B7B0C">
        <w:rPr>
          <w:lang w:val="ru-RU"/>
        </w:rPr>
        <w:t>значительный</w:t>
      </w:r>
      <w:r w:rsidR="006B7B0C" w:rsidRPr="00D33D17">
        <w:rPr>
          <w:lang w:val="ru-RU"/>
        </w:rPr>
        <w:t xml:space="preserve"> </w:t>
      </w:r>
      <w:r w:rsidR="006B7B0C">
        <w:rPr>
          <w:lang w:val="ru-RU"/>
        </w:rPr>
        <w:t>вклад</w:t>
      </w:r>
      <w:r w:rsidR="006B7B0C" w:rsidRPr="00D33D17">
        <w:rPr>
          <w:lang w:val="ru-RU"/>
        </w:rPr>
        <w:t xml:space="preserve"> </w:t>
      </w:r>
      <w:r w:rsidR="006B7B0C">
        <w:rPr>
          <w:lang w:val="ru-RU"/>
        </w:rPr>
        <w:t>в</w:t>
      </w:r>
      <w:r w:rsidR="006B7B0C" w:rsidRPr="00D33D17">
        <w:rPr>
          <w:lang w:val="ru-RU"/>
        </w:rPr>
        <w:t xml:space="preserve"> </w:t>
      </w:r>
      <w:r w:rsidR="006B7B0C">
        <w:rPr>
          <w:lang w:val="ru-RU"/>
        </w:rPr>
        <w:t>практическое</w:t>
      </w:r>
      <w:r w:rsidR="006B7B0C" w:rsidRPr="00D33D17">
        <w:rPr>
          <w:lang w:val="ru-RU"/>
        </w:rPr>
        <w:t xml:space="preserve"> </w:t>
      </w:r>
      <w:r w:rsidR="006B7B0C">
        <w:rPr>
          <w:lang w:val="ru-RU"/>
        </w:rPr>
        <w:t>применение</w:t>
      </w:r>
      <w:r w:rsidR="006B7B0C" w:rsidRPr="00D33D17">
        <w:rPr>
          <w:lang w:val="ru-RU"/>
        </w:rPr>
        <w:t xml:space="preserve"> </w:t>
      </w:r>
      <w:r w:rsidR="006B7B0C">
        <w:rPr>
          <w:lang w:val="ru-RU"/>
        </w:rPr>
        <w:t>общей</w:t>
      </w:r>
      <w:r w:rsidR="006B7B0C" w:rsidRPr="00D33D17">
        <w:rPr>
          <w:lang w:val="ru-RU"/>
        </w:rPr>
        <w:t xml:space="preserve"> </w:t>
      </w:r>
      <w:r w:rsidR="008F7951">
        <w:rPr>
          <w:lang w:val="ru-RU"/>
        </w:rPr>
        <w:t>системы оценки</w:t>
      </w:r>
      <w:r w:rsidR="008F7951" w:rsidRPr="00790F99">
        <w:rPr>
          <w:lang w:val="ru-RU"/>
        </w:rPr>
        <w:t xml:space="preserve"> </w:t>
      </w:r>
      <w:r w:rsidR="006B7B0C">
        <w:rPr>
          <w:lang w:val="ru-RU"/>
        </w:rPr>
        <w:t>результатов</w:t>
      </w:r>
      <w:r w:rsidR="00D33D17" w:rsidRPr="00D33D17">
        <w:rPr>
          <w:lang w:val="ru-RU"/>
        </w:rPr>
        <w:t xml:space="preserve"> </w:t>
      </w:r>
      <w:r w:rsidR="00D33D17">
        <w:rPr>
          <w:lang w:val="ru-RU"/>
        </w:rPr>
        <w:t>ввиду</w:t>
      </w:r>
      <w:r w:rsidR="00D33D17" w:rsidRPr="00D33D17">
        <w:rPr>
          <w:lang w:val="ru-RU"/>
        </w:rPr>
        <w:t xml:space="preserve"> </w:t>
      </w:r>
      <w:r w:rsidR="00D33D17">
        <w:rPr>
          <w:lang w:val="ru-RU"/>
        </w:rPr>
        <w:t>того</w:t>
      </w:r>
      <w:r w:rsidR="00D33D17" w:rsidRPr="00D33D17">
        <w:rPr>
          <w:lang w:val="ru-RU"/>
        </w:rPr>
        <w:t xml:space="preserve">, </w:t>
      </w:r>
      <w:r w:rsidR="00D33D17">
        <w:rPr>
          <w:lang w:val="ru-RU"/>
        </w:rPr>
        <w:t>что</w:t>
      </w:r>
      <w:r w:rsidR="00D33D17" w:rsidRPr="00D33D17">
        <w:rPr>
          <w:lang w:val="ru-RU"/>
        </w:rPr>
        <w:t xml:space="preserve"> </w:t>
      </w:r>
      <w:r w:rsidR="00D33D17">
        <w:rPr>
          <w:lang w:val="ru-RU"/>
        </w:rPr>
        <w:t>представленные</w:t>
      </w:r>
      <w:r w:rsidR="00D33D17" w:rsidRPr="00D33D17">
        <w:rPr>
          <w:lang w:val="ru-RU"/>
        </w:rPr>
        <w:t xml:space="preserve"> </w:t>
      </w:r>
      <w:r w:rsidR="00D33D17">
        <w:rPr>
          <w:lang w:val="ru-RU"/>
        </w:rPr>
        <w:t>национальные</w:t>
      </w:r>
      <w:r w:rsidR="00D33D17" w:rsidRPr="00D33D17">
        <w:rPr>
          <w:lang w:val="ru-RU"/>
        </w:rPr>
        <w:t xml:space="preserve"> </w:t>
      </w:r>
      <w:r w:rsidR="00D33D17">
        <w:rPr>
          <w:lang w:val="ru-RU"/>
        </w:rPr>
        <w:t>доклады</w:t>
      </w:r>
      <w:r w:rsidR="00D33D17" w:rsidRPr="00D33D17">
        <w:rPr>
          <w:lang w:val="ru-RU"/>
        </w:rPr>
        <w:t xml:space="preserve"> </w:t>
      </w:r>
      <w:r w:rsidR="00D33D17">
        <w:rPr>
          <w:lang w:val="ru-RU"/>
        </w:rPr>
        <w:t>будут</w:t>
      </w:r>
      <w:r w:rsidR="00D33D17" w:rsidRPr="00D33D17">
        <w:rPr>
          <w:lang w:val="ru-RU"/>
        </w:rPr>
        <w:t xml:space="preserve"> </w:t>
      </w:r>
      <w:r w:rsidR="00D33D17">
        <w:rPr>
          <w:lang w:val="ru-RU"/>
        </w:rPr>
        <w:t>служить</w:t>
      </w:r>
      <w:r w:rsidR="00D33D17" w:rsidRPr="00D33D17">
        <w:rPr>
          <w:lang w:val="ru-RU"/>
        </w:rPr>
        <w:t xml:space="preserve"> </w:t>
      </w:r>
      <w:r w:rsidR="00D33D17">
        <w:rPr>
          <w:lang w:val="ru-RU"/>
        </w:rPr>
        <w:t>ключевым</w:t>
      </w:r>
      <w:r w:rsidR="00D33D17" w:rsidRPr="00D33D17">
        <w:rPr>
          <w:lang w:val="ru-RU"/>
        </w:rPr>
        <w:t xml:space="preserve">, </w:t>
      </w:r>
      <w:r w:rsidR="00D33D17">
        <w:rPr>
          <w:lang w:val="ru-RU"/>
        </w:rPr>
        <w:t>надёжным</w:t>
      </w:r>
      <w:r w:rsidR="00D33D17" w:rsidRPr="00D33D17">
        <w:rPr>
          <w:lang w:val="ru-RU"/>
        </w:rPr>
        <w:t xml:space="preserve"> </w:t>
      </w:r>
      <w:r w:rsidR="00D33D17">
        <w:rPr>
          <w:lang w:val="ru-RU"/>
        </w:rPr>
        <w:t>источником</w:t>
      </w:r>
      <w:r w:rsidR="00D33D17" w:rsidRPr="00D33D17">
        <w:rPr>
          <w:lang w:val="ru-RU"/>
        </w:rPr>
        <w:t xml:space="preserve"> </w:t>
      </w:r>
      <w:r w:rsidR="00D33D17">
        <w:rPr>
          <w:lang w:val="ru-RU"/>
        </w:rPr>
        <w:t xml:space="preserve">информации </w:t>
      </w:r>
      <w:r w:rsidR="00361A6E">
        <w:rPr>
          <w:lang w:val="ru-RU"/>
        </w:rPr>
        <w:t xml:space="preserve">для использования в данной </w:t>
      </w:r>
      <w:r w:rsidR="008F7951">
        <w:rPr>
          <w:lang w:val="ru-RU"/>
        </w:rPr>
        <w:t>системе</w:t>
      </w:r>
      <w:r w:rsidR="00361A6E">
        <w:rPr>
          <w:lang w:val="ru-RU"/>
        </w:rPr>
        <w:t>.</w:t>
      </w:r>
    </w:p>
    <w:p w:rsidR="00AD435A" w:rsidRPr="005C786C" w:rsidRDefault="00361A6E" w:rsidP="00AD435A">
      <w:pPr>
        <w:pStyle w:val="COMPara"/>
        <w:numPr>
          <w:ilvl w:val="0"/>
          <w:numId w:val="13"/>
        </w:numPr>
        <w:spacing w:before="120"/>
        <w:ind w:left="567" w:hanging="567"/>
        <w:jc w:val="both"/>
        <w:rPr>
          <w:lang w:val="ru-RU"/>
        </w:rPr>
      </w:pPr>
      <w:r>
        <w:rPr>
          <w:lang w:val="ru-RU"/>
        </w:rPr>
        <w:t>В</w:t>
      </w:r>
      <w:r w:rsidRPr="008F6777">
        <w:rPr>
          <w:lang w:val="ru-RU"/>
        </w:rPr>
        <w:t xml:space="preserve"> </w:t>
      </w:r>
      <w:r>
        <w:rPr>
          <w:lang w:val="ru-RU"/>
        </w:rPr>
        <w:t>оперативном</w:t>
      </w:r>
      <w:r w:rsidRPr="008F6777">
        <w:rPr>
          <w:lang w:val="ru-RU"/>
        </w:rPr>
        <w:t xml:space="preserve"> </w:t>
      </w:r>
      <w:r>
        <w:rPr>
          <w:lang w:val="ru-RU"/>
        </w:rPr>
        <w:t>плане</w:t>
      </w:r>
      <w:r w:rsidRPr="008F6777">
        <w:rPr>
          <w:lang w:val="ru-RU"/>
        </w:rPr>
        <w:t xml:space="preserve"> </w:t>
      </w:r>
      <w:r>
        <w:rPr>
          <w:lang w:val="ru-RU"/>
        </w:rPr>
        <w:t>переход</w:t>
      </w:r>
      <w:r w:rsidRPr="008F6777">
        <w:rPr>
          <w:lang w:val="ru-RU"/>
        </w:rPr>
        <w:t xml:space="preserve"> </w:t>
      </w:r>
      <w:r>
        <w:rPr>
          <w:lang w:val="ru-RU"/>
        </w:rPr>
        <w:t>к</w:t>
      </w:r>
      <w:r w:rsidRPr="008F6777">
        <w:rPr>
          <w:lang w:val="ru-RU"/>
        </w:rPr>
        <w:t xml:space="preserve"> </w:t>
      </w:r>
      <w:r>
        <w:rPr>
          <w:lang w:val="ru-RU"/>
        </w:rPr>
        <w:t>региональному</w:t>
      </w:r>
      <w:r w:rsidRPr="008F6777">
        <w:rPr>
          <w:lang w:val="ru-RU"/>
        </w:rPr>
        <w:t xml:space="preserve"> </w:t>
      </w:r>
      <w:r>
        <w:rPr>
          <w:lang w:val="ru-RU"/>
        </w:rPr>
        <w:t>циклу</w:t>
      </w:r>
      <w:r w:rsidRPr="008F6777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8F6777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8F6777">
        <w:rPr>
          <w:lang w:val="ru-RU"/>
        </w:rPr>
        <w:t xml:space="preserve"> </w:t>
      </w:r>
      <w:r>
        <w:rPr>
          <w:lang w:val="ru-RU"/>
        </w:rPr>
        <w:t>докладов</w:t>
      </w:r>
      <w:r w:rsidRPr="008F6777">
        <w:rPr>
          <w:lang w:val="ru-RU"/>
        </w:rPr>
        <w:t xml:space="preserve"> </w:t>
      </w:r>
      <w:r>
        <w:rPr>
          <w:lang w:val="ru-RU"/>
        </w:rPr>
        <w:t>о</w:t>
      </w:r>
      <w:r w:rsidRPr="008F6777">
        <w:rPr>
          <w:lang w:val="ru-RU"/>
        </w:rPr>
        <w:t xml:space="preserve"> </w:t>
      </w:r>
      <w:r>
        <w:rPr>
          <w:lang w:val="ru-RU"/>
        </w:rPr>
        <w:t>выполнении</w:t>
      </w:r>
      <w:r w:rsidRPr="008F6777">
        <w:rPr>
          <w:lang w:val="ru-RU"/>
        </w:rPr>
        <w:t xml:space="preserve"> </w:t>
      </w:r>
      <w:r>
        <w:rPr>
          <w:lang w:val="ru-RU"/>
        </w:rPr>
        <w:t>Конвенции</w:t>
      </w:r>
      <w:r w:rsidRPr="008F6777">
        <w:rPr>
          <w:lang w:val="ru-RU"/>
        </w:rPr>
        <w:t xml:space="preserve"> </w:t>
      </w:r>
      <w:r>
        <w:rPr>
          <w:lang w:val="ru-RU"/>
        </w:rPr>
        <w:t>и</w:t>
      </w:r>
      <w:r w:rsidRPr="008F6777">
        <w:rPr>
          <w:lang w:val="ru-RU"/>
        </w:rPr>
        <w:t xml:space="preserve"> </w:t>
      </w:r>
      <w:r>
        <w:rPr>
          <w:lang w:val="ru-RU"/>
        </w:rPr>
        <w:t>статусе</w:t>
      </w:r>
      <w:r w:rsidRPr="008F6777">
        <w:rPr>
          <w:lang w:val="ru-RU"/>
        </w:rPr>
        <w:t xml:space="preserve"> </w:t>
      </w:r>
      <w:r>
        <w:rPr>
          <w:lang w:val="ru-RU"/>
        </w:rPr>
        <w:t>элементов</w:t>
      </w:r>
      <w:r w:rsidRPr="008F6777">
        <w:rPr>
          <w:lang w:val="ru-RU"/>
        </w:rPr>
        <w:t xml:space="preserve">, </w:t>
      </w:r>
      <w:r>
        <w:rPr>
          <w:lang w:val="ru-RU"/>
        </w:rPr>
        <w:t>включённых</w:t>
      </w:r>
      <w:r w:rsidRPr="008F6777">
        <w:rPr>
          <w:lang w:val="ru-RU"/>
        </w:rPr>
        <w:t xml:space="preserve"> </w:t>
      </w:r>
      <w:r>
        <w:rPr>
          <w:lang w:val="ru-RU"/>
        </w:rPr>
        <w:t>в</w:t>
      </w:r>
      <w:r w:rsidRPr="008F6777">
        <w:rPr>
          <w:lang w:val="ru-RU"/>
        </w:rPr>
        <w:t xml:space="preserve"> </w:t>
      </w:r>
      <w:r>
        <w:rPr>
          <w:lang w:val="ru-RU"/>
        </w:rPr>
        <w:t>Репрезентативный</w:t>
      </w:r>
      <w:r w:rsidRPr="008F6777">
        <w:rPr>
          <w:lang w:val="ru-RU"/>
        </w:rPr>
        <w:t xml:space="preserve"> </w:t>
      </w:r>
      <w:r>
        <w:rPr>
          <w:lang w:val="ru-RU"/>
        </w:rPr>
        <w:t>список</w:t>
      </w:r>
      <w:r w:rsidRPr="008F6777">
        <w:rPr>
          <w:lang w:val="ru-RU"/>
        </w:rPr>
        <w:t xml:space="preserve">, </w:t>
      </w:r>
      <w:r w:rsidR="008F6777">
        <w:rPr>
          <w:lang w:val="ru-RU"/>
        </w:rPr>
        <w:t>требует</w:t>
      </w:r>
      <w:r w:rsidR="008F6777" w:rsidRPr="008F6777">
        <w:rPr>
          <w:lang w:val="ru-RU"/>
        </w:rPr>
        <w:t xml:space="preserve"> </w:t>
      </w:r>
      <w:r w:rsidR="008F6777">
        <w:rPr>
          <w:lang w:val="ru-RU"/>
        </w:rPr>
        <w:t>в</w:t>
      </w:r>
      <w:r w:rsidR="008F6777" w:rsidRPr="008F6777">
        <w:rPr>
          <w:lang w:val="ru-RU"/>
        </w:rPr>
        <w:t xml:space="preserve"> </w:t>
      </w:r>
      <w:r w:rsidR="008F6777">
        <w:rPr>
          <w:lang w:val="ru-RU"/>
        </w:rPr>
        <w:t>первую</w:t>
      </w:r>
      <w:r w:rsidR="008F6777" w:rsidRPr="008F6777">
        <w:rPr>
          <w:lang w:val="ru-RU"/>
        </w:rPr>
        <w:t xml:space="preserve"> </w:t>
      </w:r>
      <w:r w:rsidR="008F6777">
        <w:rPr>
          <w:lang w:val="ru-RU"/>
        </w:rPr>
        <w:t>очередь</w:t>
      </w:r>
      <w:r w:rsidR="008F6777" w:rsidRPr="008F6777">
        <w:rPr>
          <w:lang w:val="ru-RU"/>
        </w:rPr>
        <w:t xml:space="preserve"> </w:t>
      </w:r>
      <w:r w:rsidR="008F6777">
        <w:rPr>
          <w:lang w:val="ru-RU"/>
        </w:rPr>
        <w:t>пересмотра</w:t>
      </w:r>
      <w:r w:rsidR="008F6777" w:rsidRPr="008F6777">
        <w:rPr>
          <w:lang w:val="ru-RU"/>
        </w:rPr>
        <w:t xml:space="preserve"> </w:t>
      </w:r>
      <w:r w:rsidR="008F6777">
        <w:rPr>
          <w:lang w:val="ru-RU"/>
        </w:rPr>
        <w:t>положений</w:t>
      </w:r>
      <w:r w:rsidR="008F6777" w:rsidRPr="008F6777">
        <w:rPr>
          <w:lang w:val="ru-RU"/>
        </w:rPr>
        <w:t xml:space="preserve"> </w:t>
      </w:r>
      <w:r w:rsidR="008F6777">
        <w:rPr>
          <w:lang w:val="ru-RU"/>
        </w:rPr>
        <w:t>Оперативного</w:t>
      </w:r>
      <w:r w:rsidR="008F6777" w:rsidRPr="008F6777">
        <w:rPr>
          <w:lang w:val="ru-RU"/>
        </w:rPr>
        <w:t xml:space="preserve"> </w:t>
      </w:r>
      <w:r w:rsidR="008F6777">
        <w:rPr>
          <w:lang w:val="ru-RU"/>
        </w:rPr>
        <w:t>руководства</w:t>
      </w:r>
      <w:r w:rsidR="008F6777" w:rsidRPr="008F6777">
        <w:rPr>
          <w:lang w:val="ru-RU"/>
        </w:rPr>
        <w:t xml:space="preserve"> </w:t>
      </w:r>
      <w:r w:rsidR="008F6777">
        <w:rPr>
          <w:lang w:val="ru-RU"/>
        </w:rPr>
        <w:t>о</w:t>
      </w:r>
      <w:r w:rsidR="008F6777" w:rsidRPr="008F6777">
        <w:rPr>
          <w:lang w:val="ru-RU"/>
        </w:rPr>
        <w:t xml:space="preserve"> </w:t>
      </w:r>
      <w:r w:rsidR="008F6777">
        <w:rPr>
          <w:lang w:val="ru-RU"/>
        </w:rPr>
        <w:t>представлении</w:t>
      </w:r>
      <w:r w:rsidR="008F6777" w:rsidRPr="008F6777">
        <w:rPr>
          <w:lang w:val="ru-RU"/>
        </w:rPr>
        <w:t xml:space="preserve"> </w:t>
      </w:r>
      <w:r w:rsidR="008F6777">
        <w:rPr>
          <w:lang w:val="ru-RU"/>
        </w:rPr>
        <w:t>периодических</w:t>
      </w:r>
      <w:r w:rsidR="008F6777" w:rsidRPr="008F6777">
        <w:rPr>
          <w:lang w:val="ru-RU"/>
        </w:rPr>
        <w:t xml:space="preserve"> </w:t>
      </w:r>
      <w:r w:rsidR="008F6777">
        <w:rPr>
          <w:lang w:val="ru-RU"/>
        </w:rPr>
        <w:t>докладов</w:t>
      </w:r>
      <w:r w:rsidR="008F6777" w:rsidRPr="008F6777">
        <w:rPr>
          <w:lang w:val="ru-RU"/>
        </w:rPr>
        <w:t xml:space="preserve">, </w:t>
      </w:r>
      <w:r w:rsidR="008F6777">
        <w:rPr>
          <w:lang w:val="ru-RU"/>
        </w:rPr>
        <w:t xml:space="preserve">представленных в Приложении </w:t>
      </w:r>
      <w:r w:rsidR="00363B3C">
        <w:rPr>
          <w:lang w:val="ru-RU"/>
        </w:rPr>
        <w:t xml:space="preserve">к настоящему документу. </w:t>
      </w:r>
      <w:r w:rsidR="00685FDE">
        <w:rPr>
          <w:lang w:val="ru-RU"/>
        </w:rPr>
        <w:t>До</w:t>
      </w:r>
      <w:r w:rsidR="00685FDE" w:rsidRPr="00BC7F98">
        <w:rPr>
          <w:lang w:val="ru-RU"/>
        </w:rPr>
        <w:t xml:space="preserve"> </w:t>
      </w:r>
      <w:r w:rsidR="00685FDE">
        <w:rPr>
          <w:lang w:val="ru-RU"/>
        </w:rPr>
        <w:t>полного</w:t>
      </w:r>
      <w:r w:rsidR="00685FDE" w:rsidRPr="00BC7F98">
        <w:rPr>
          <w:lang w:val="ru-RU"/>
        </w:rPr>
        <w:t xml:space="preserve"> </w:t>
      </w:r>
      <w:r w:rsidR="00685FDE">
        <w:rPr>
          <w:lang w:val="ru-RU"/>
        </w:rPr>
        <w:t>вступления</w:t>
      </w:r>
      <w:r w:rsidR="00685FDE" w:rsidRPr="00BC7F98">
        <w:rPr>
          <w:lang w:val="ru-RU"/>
        </w:rPr>
        <w:t xml:space="preserve"> </w:t>
      </w:r>
      <w:r w:rsidR="00685FDE">
        <w:rPr>
          <w:lang w:val="ru-RU"/>
        </w:rPr>
        <w:t>в</w:t>
      </w:r>
      <w:r w:rsidR="00685FDE" w:rsidRPr="00BC7F98">
        <w:rPr>
          <w:lang w:val="ru-RU"/>
        </w:rPr>
        <w:t xml:space="preserve"> </w:t>
      </w:r>
      <w:r w:rsidR="00685FDE">
        <w:rPr>
          <w:lang w:val="ru-RU"/>
        </w:rPr>
        <w:t>силу</w:t>
      </w:r>
      <w:r w:rsidR="00685FDE" w:rsidRPr="00BC7F98">
        <w:rPr>
          <w:lang w:val="ru-RU"/>
        </w:rPr>
        <w:t xml:space="preserve"> </w:t>
      </w:r>
      <w:r w:rsidR="00685FDE">
        <w:rPr>
          <w:lang w:val="ru-RU"/>
        </w:rPr>
        <w:t>нового</w:t>
      </w:r>
      <w:r w:rsidR="00685FDE" w:rsidRPr="00BC7F98">
        <w:rPr>
          <w:lang w:val="ru-RU"/>
        </w:rPr>
        <w:t xml:space="preserve"> </w:t>
      </w:r>
      <w:r w:rsidR="00685FDE">
        <w:rPr>
          <w:lang w:val="ru-RU"/>
        </w:rPr>
        <w:t>графика</w:t>
      </w:r>
      <w:r w:rsidR="00685FDE" w:rsidRPr="00BC7F98">
        <w:rPr>
          <w:lang w:val="ru-RU"/>
        </w:rPr>
        <w:t xml:space="preserve"> </w:t>
      </w:r>
      <w:r w:rsidR="00685FDE">
        <w:rPr>
          <w:lang w:val="ru-RU"/>
        </w:rPr>
        <w:t>необходимо</w:t>
      </w:r>
      <w:r w:rsidR="00685FDE" w:rsidRPr="00BC7F98">
        <w:rPr>
          <w:lang w:val="ru-RU"/>
        </w:rPr>
        <w:t xml:space="preserve"> </w:t>
      </w:r>
      <w:r w:rsidR="00685FDE">
        <w:rPr>
          <w:lang w:val="ru-RU"/>
        </w:rPr>
        <w:t>также</w:t>
      </w:r>
      <w:r w:rsidR="00685FDE" w:rsidRPr="00BC7F98">
        <w:rPr>
          <w:lang w:val="ru-RU"/>
        </w:rPr>
        <w:t xml:space="preserve"> </w:t>
      </w:r>
      <w:r w:rsidR="00363B3C">
        <w:rPr>
          <w:lang w:val="ru-RU"/>
        </w:rPr>
        <w:t>предусмотреть</w:t>
      </w:r>
      <w:r w:rsidR="00363B3C" w:rsidRPr="00BC7F98">
        <w:rPr>
          <w:lang w:val="ru-RU"/>
        </w:rPr>
        <w:t xml:space="preserve"> </w:t>
      </w:r>
      <w:r w:rsidR="00363B3C">
        <w:rPr>
          <w:lang w:val="ru-RU"/>
        </w:rPr>
        <w:t>переходный</w:t>
      </w:r>
      <w:r w:rsidR="00363B3C" w:rsidRPr="00BC7F98">
        <w:rPr>
          <w:lang w:val="ru-RU"/>
        </w:rPr>
        <w:t xml:space="preserve"> </w:t>
      </w:r>
      <w:r w:rsidR="00363B3C">
        <w:rPr>
          <w:lang w:val="ru-RU"/>
        </w:rPr>
        <w:t>период</w:t>
      </w:r>
      <w:r w:rsidR="00685FDE" w:rsidRPr="00BC7F98">
        <w:rPr>
          <w:lang w:val="ru-RU"/>
        </w:rPr>
        <w:t xml:space="preserve">. </w:t>
      </w:r>
      <w:r w:rsidR="00685FDE">
        <w:rPr>
          <w:lang w:val="ru-RU"/>
        </w:rPr>
        <w:t>После</w:t>
      </w:r>
      <w:r w:rsidR="00685FDE" w:rsidRPr="00951C28">
        <w:rPr>
          <w:lang w:val="ru-RU"/>
        </w:rPr>
        <w:t xml:space="preserve"> </w:t>
      </w:r>
      <w:r w:rsidR="00685FDE">
        <w:rPr>
          <w:lang w:val="ru-RU"/>
        </w:rPr>
        <w:t>текущей</w:t>
      </w:r>
      <w:r w:rsidR="00685FDE" w:rsidRPr="00951C28">
        <w:rPr>
          <w:lang w:val="ru-RU"/>
        </w:rPr>
        <w:t xml:space="preserve"> </w:t>
      </w:r>
      <w:r w:rsidR="00685FDE">
        <w:rPr>
          <w:lang w:val="ru-RU"/>
        </w:rPr>
        <w:t>сессии</w:t>
      </w:r>
      <w:r w:rsidR="00685FDE" w:rsidRPr="00951C28">
        <w:rPr>
          <w:lang w:val="ru-RU"/>
        </w:rPr>
        <w:t xml:space="preserve"> </w:t>
      </w:r>
      <w:r w:rsidR="00685FDE">
        <w:rPr>
          <w:lang w:val="ru-RU"/>
        </w:rPr>
        <w:t>Генеральной</w:t>
      </w:r>
      <w:r w:rsidR="00685FDE" w:rsidRPr="00951C28">
        <w:rPr>
          <w:lang w:val="ru-RU"/>
        </w:rPr>
        <w:t xml:space="preserve"> </w:t>
      </w:r>
      <w:r w:rsidR="00685FDE">
        <w:rPr>
          <w:lang w:val="ru-RU"/>
        </w:rPr>
        <w:t>ассамблеи</w:t>
      </w:r>
      <w:r w:rsidR="00685FDE" w:rsidRPr="00951C28">
        <w:rPr>
          <w:lang w:val="ru-RU"/>
        </w:rPr>
        <w:t xml:space="preserve"> </w:t>
      </w:r>
      <w:r w:rsidR="00685FDE">
        <w:rPr>
          <w:lang w:val="ru-RU"/>
        </w:rPr>
        <w:t>и</w:t>
      </w:r>
      <w:r w:rsidR="00685FDE" w:rsidRPr="00951C28">
        <w:rPr>
          <w:lang w:val="ru-RU"/>
        </w:rPr>
        <w:t xml:space="preserve"> </w:t>
      </w:r>
      <w:r w:rsidR="00685FDE">
        <w:rPr>
          <w:lang w:val="ru-RU"/>
        </w:rPr>
        <w:t>в</w:t>
      </w:r>
      <w:r w:rsidR="00685FDE" w:rsidRPr="00951C28">
        <w:rPr>
          <w:lang w:val="ru-RU"/>
        </w:rPr>
        <w:t xml:space="preserve"> </w:t>
      </w:r>
      <w:r w:rsidR="00685FDE">
        <w:rPr>
          <w:lang w:val="ru-RU"/>
        </w:rPr>
        <w:t>случае</w:t>
      </w:r>
      <w:r w:rsidR="00685FDE" w:rsidRPr="00951C28">
        <w:rPr>
          <w:lang w:val="ru-RU"/>
        </w:rPr>
        <w:t xml:space="preserve"> </w:t>
      </w:r>
      <w:r w:rsidR="00685FDE">
        <w:rPr>
          <w:lang w:val="ru-RU"/>
        </w:rPr>
        <w:t>утверждения</w:t>
      </w:r>
      <w:r w:rsidR="00685FDE" w:rsidRPr="00951C28">
        <w:rPr>
          <w:lang w:val="ru-RU"/>
        </w:rPr>
        <w:t xml:space="preserve"> </w:t>
      </w:r>
      <w:r w:rsidR="00685FDE">
        <w:rPr>
          <w:lang w:val="ru-RU"/>
        </w:rPr>
        <w:t>общей</w:t>
      </w:r>
      <w:r w:rsidR="00685FDE" w:rsidRPr="00951C28">
        <w:rPr>
          <w:lang w:val="ru-RU"/>
        </w:rPr>
        <w:t xml:space="preserve"> </w:t>
      </w:r>
      <w:r w:rsidR="008F7951">
        <w:rPr>
          <w:lang w:val="ru-RU"/>
        </w:rPr>
        <w:t>системы оценки</w:t>
      </w:r>
      <w:r w:rsidR="008F7951" w:rsidRPr="00790F99">
        <w:rPr>
          <w:lang w:val="ru-RU"/>
        </w:rPr>
        <w:t xml:space="preserve"> </w:t>
      </w:r>
      <w:r w:rsidR="00685FDE">
        <w:rPr>
          <w:lang w:val="ru-RU"/>
        </w:rPr>
        <w:t>результатов</w:t>
      </w:r>
      <w:r w:rsidR="00685FDE" w:rsidRPr="00951C28">
        <w:rPr>
          <w:lang w:val="ru-RU"/>
        </w:rPr>
        <w:t xml:space="preserve"> </w:t>
      </w:r>
      <w:r w:rsidR="00860155">
        <w:rPr>
          <w:lang w:val="ru-RU"/>
        </w:rPr>
        <w:t>Секретариат</w:t>
      </w:r>
      <w:r w:rsidR="00860155" w:rsidRPr="00951C28">
        <w:rPr>
          <w:lang w:val="ru-RU"/>
        </w:rPr>
        <w:t xml:space="preserve"> </w:t>
      </w:r>
      <w:r w:rsidR="00860155">
        <w:rPr>
          <w:lang w:val="ru-RU"/>
        </w:rPr>
        <w:t>сможет</w:t>
      </w:r>
      <w:r w:rsidR="00860155" w:rsidRPr="00951C28">
        <w:rPr>
          <w:lang w:val="ru-RU"/>
        </w:rPr>
        <w:t xml:space="preserve"> </w:t>
      </w:r>
      <w:r w:rsidR="00860155">
        <w:rPr>
          <w:lang w:val="ru-RU"/>
        </w:rPr>
        <w:t>начать</w:t>
      </w:r>
      <w:r w:rsidR="00860155" w:rsidRPr="00951C28">
        <w:rPr>
          <w:lang w:val="ru-RU"/>
        </w:rPr>
        <w:t xml:space="preserve"> </w:t>
      </w:r>
      <w:r w:rsidR="00860155">
        <w:rPr>
          <w:lang w:val="ru-RU"/>
        </w:rPr>
        <w:t>пересмотр</w:t>
      </w:r>
      <w:r w:rsidR="00860155" w:rsidRPr="00951C28">
        <w:rPr>
          <w:lang w:val="ru-RU"/>
        </w:rPr>
        <w:t xml:space="preserve"> </w:t>
      </w:r>
      <w:r w:rsidR="00860155">
        <w:rPr>
          <w:lang w:val="ru-RU"/>
        </w:rPr>
        <w:t>формы</w:t>
      </w:r>
      <w:r w:rsidR="00860155" w:rsidRPr="00951C28">
        <w:rPr>
          <w:lang w:val="ru-RU"/>
        </w:rPr>
        <w:t xml:space="preserve"> </w:t>
      </w:r>
      <w:r w:rsidR="00860155">
        <w:rPr>
          <w:lang w:val="ru-RU"/>
        </w:rPr>
        <w:t>представления</w:t>
      </w:r>
      <w:r w:rsidR="00860155" w:rsidRPr="00951C28">
        <w:rPr>
          <w:lang w:val="ru-RU"/>
        </w:rPr>
        <w:t xml:space="preserve"> </w:t>
      </w:r>
      <w:r w:rsidR="00860155">
        <w:rPr>
          <w:lang w:val="ru-RU"/>
        </w:rPr>
        <w:t>периодических</w:t>
      </w:r>
      <w:r w:rsidR="00860155" w:rsidRPr="00951C28">
        <w:rPr>
          <w:lang w:val="ru-RU"/>
        </w:rPr>
        <w:t xml:space="preserve"> </w:t>
      </w:r>
      <w:r w:rsidR="00860155">
        <w:rPr>
          <w:lang w:val="ru-RU"/>
        </w:rPr>
        <w:t>докладов</w:t>
      </w:r>
      <w:r w:rsidR="00860155" w:rsidRPr="00951C28">
        <w:rPr>
          <w:lang w:val="ru-RU"/>
        </w:rPr>
        <w:t xml:space="preserve"> </w:t>
      </w:r>
      <w:r w:rsidR="00945608">
        <w:t>ICH</w:t>
      </w:r>
      <w:r w:rsidR="00945608" w:rsidRPr="00951C28">
        <w:rPr>
          <w:lang w:val="ru-RU"/>
        </w:rPr>
        <w:t xml:space="preserve">-10 </w:t>
      </w:r>
      <w:r w:rsidR="00945608">
        <w:rPr>
          <w:lang w:val="ru-RU"/>
        </w:rPr>
        <w:t>с</w:t>
      </w:r>
      <w:r w:rsidR="00945608" w:rsidRPr="00951C28">
        <w:rPr>
          <w:lang w:val="ru-RU"/>
        </w:rPr>
        <w:t xml:space="preserve"> </w:t>
      </w:r>
      <w:r w:rsidR="00945608">
        <w:rPr>
          <w:lang w:val="ru-RU"/>
        </w:rPr>
        <w:t>тем</w:t>
      </w:r>
      <w:r w:rsidR="00945608" w:rsidRPr="00951C28">
        <w:rPr>
          <w:lang w:val="ru-RU"/>
        </w:rPr>
        <w:t xml:space="preserve">, </w:t>
      </w:r>
      <w:r w:rsidR="00945608">
        <w:rPr>
          <w:lang w:val="ru-RU"/>
        </w:rPr>
        <w:t>чтобы</w:t>
      </w:r>
      <w:r w:rsidR="00945608" w:rsidRPr="00951C28">
        <w:rPr>
          <w:lang w:val="ru-RU"/>
        </w:rPr>
        <w:t xml:space="preserve"> </w:t>
      </w:r>
      <w:r w:rsidR="00945608">
        <w:rPr>
          <w:lang w:val="ru-RU"/>
        </w:rPr>
        <w:t>привести</w:t>
      </w:r>
      <w:r w:rsidR="00945608" w:rsidRPr="00951C28">
        <w:rPr>
          <w:lang w:val="ru-RU"/>
        </w:rPr>
        <w:t xml:space="preserve"> </w:t>
      </w:r>
      <w:r w:rsidR="00945608">
        <w:rPr>
          <w:lang w:val="ru-RU"/>
        </w:rPr>
        <w:t>её</w:t>
      </w:r>
      <w:r w:rsidR="00945608" w:rsidRPr="00951C28">
        <w:rPr>
          <w:lang w:val="ru-RU"/>
        </w:rPr>
        <w:t xml:space="preserve"> </w:t>
      </w:r>
      <w:r w:rsidR="00945608">
        <w:rPr>
          <w:lang w:val="ru-RU"/>
        </w:rPr>
        <w:t>в</w:t>
      </w:r>
      <w:r w:rsidR="00945608" w:rsidRPr="00951C28">
        <w:rPr>
          <w:lang w:val="ru-RU"/>
        </w:rPr>
        <w:t xml:space="preserve"> </w:t>
      </w:r>
      <w:r w:rsidR="00945608">
        <w:rPr>
          <w:lang w:val="ru-RU"/>
        </w:rPr>
        <w:t>соответствие</w:t>
      </w:r>
      <w:r w:rsidR="00945608" w:rsidRPr="00951C28">
        <w:rPr>
          <w:lang w:val="ru-RU"/>
        </w:rPr>
        <w:t xml:space="preserve"> </w:t>
      </w:r>
      <w:r w:rsidR="00945608">
        <w:rPr>
          <w:lang w:val="ru-RU"/>
        </w:rPr>
        <w:t>с</w:t>
      </w:r>
      <w:r w:rsidR="00F07833" w:rsidRPr="00951C28">
        <w:rPr>
          <w:lang w:val="ru-RU"/>
        </w:rPr>
        <w:t xml:space="preserve"> </w:t>
      </w:r>
      <w:r w:rsidR="00F07833">
        <w:rPr>
          <w:lang w:val="ru-RU"/>
        </w:rPr>
        <w:t>общей</w:t>
      </w:r>
      <w:r w:rsidR="00F07833" w:rsidRPr="00951C28">
        <w:rPr>
          <w:lang w:val="ru-RU"/>
        </w:rPr>
        <w:t xml:space="preserve"> </w:t>
      </w:r>
      <w:r w:rsidR="008F7951">
        <w:rPr>
          <w:lang w:val="ru-RU"/>
        </w:rPr>
        <w:t>системой оценки</w:t>
      </w:r>
      <w:r w:rsidR="008F7951" w:rsidRPr="00790F99">
        <w:rPr>
          <w:lang w:val="ru-RU"/>
        </w:rPr>
        <w:t xml:space="preserve"> </w:t>
      </w:r>
      <w:r w:rsidR="00F07833">
        <w:rPr>
          <w:lang w:val="ru-RU"/>
        </w:rPr>
        <w:t>результатов</w:t>
      </w:r>
      <w:r w:rsidR="00F07833" w:rsidRPr="00951C28">
        <w:rPr>
          <w:lang w:val="ru-RU"/>
        </w:rPr>
        <w:t xml:space="preserve"> </w:t>
      </w:r>
      <w:r w:rsidR="00F07833">
        <w:rPr>
          <w:lang w:val="ru-RU"/>
        </w:rPr>
        <w:t>и</w:t>
      </w:r>
      <w:r w:rsidR="00F07833" w:rsidRPr="00951C28">
        <w:rPr>
          <w:lang w:val="ru-RU"/>
        </w:rPr>
        <w:t xml:space="preserve"> </w:t>
      </w:r>
      <w:r w:rsidR="00F07833">
        <w:rPr>
          <w:lang w:val="ru-RU"/>
        </w:rPr>
        <w:t>приступить</w:t>
      </w:r>
      <w:r w:rsidR="00F07833" w:rsidRPr="00951C28">
        <w:rPr>
          <w:lang w:val="ru-RU"/>
        </w:rPr>
        <w:t xml:space="preserve"> </w:t>
      </w:r>
      <w:r w:rsidR="00F07833">
        <w:rPr>
          <w:lang w:val="ru-RU"/>
        </w:rPr>
        <w:t>к</w:t>
      </w:r>
      <w:r w:rsidR="00F07833" w:rsidRPr="00951C28">
        <w:rPr>
          <w:lang w:val="ru-RU"/>
        </w:rPr>
        <w:t xml:space="preserve"> </w:t>
      </w:r>
      <w:r w:rsidR="00F07833">
        <w:rPr>
          <w:lang w:val="ru-RU"/>
        </w:rPr>
        <w:t>подготовке</w:t>
      </w:r>
      <w:r w:rsidR="00F07833" w:rsidRPr="00951C28">
        <w:rPr>
          <w:lang w:val="ru-RU"/>
        </w:rPr>
        <w:t xml:space="preserve"> </w:t>
      </w:r>
      <w:r w:rsidR="00F07833">
        <w:rPr>
          <w:lang w:val="ru-RU"/>
        </w:rPr>
        <w:t>соответствующего</w:t>
      </w:r>
      <w:r w:rsidR="00F07833" w:rsidRPr="00951C28">
        <w:rPr>
          <w:lang w:val="ru-RU"/>
        </w:rPr>
        <w:t xml:space="preserve"> </w:t>
      </w:r>
      <w:r w:rsidR="00F07833">
        <w:rPr>
          <w:lang w:val="ru-RU"/>
        </w:rPr>
        <w:t>укрепления</w:t>
      </w:r>
      <w:r w:rsidR="00F07833" w:rsidRPr="00951C28">
        <w:rPr>
          <w:lang w:val="ru-RU"/>
        </w:rPr>
        <w:t xml:space="preserve"> </w:t>
      </w:r>
      <w:r w:rsidR="00F07833">
        <w:rPr>
          <w:lang w:val="ru-RU"/>
        </w:rPr>
        <w:t>потенциала</w:t>
      </w:r>
      <w:r w:rsidR="00951C28" w:rsidRPr="00951C28">
        <w:rPr>
          <w:lang w:val="ru-RU"/>
        </w:rPr>
        <w:t xml:space="preserve"> </w:t>
      </w:r>
      <w:r w:rsidR="00951C28">
        <w:rPr>
          <w:lang w:val="ru-RU"/>
        </w:rPr>
        <w:t>для</w:t>
      </w:r>
      <w:r w:rsidR="00951C28" w:rsidRPr="00951C28">
        <w:rPr>
          <w:lang w:val="ru-RU"/>
        </w:rPr>
        <w:t xml:space="preserve"> </w:t>
      </w:r>
      <w:r w:rsidR="00685C27">
        <w:rPr>
          <w:lang w:val="ru-RU"/>
        </w:rPr>
        <w:t>сопровожд</w:t>
      </w:r>
      <w:r w:rsidR="00951C28">
        <w:rPr>
          <w:lang w:val="ru-RU"/>
        </w:rPr>
        <w:t>ения</w:t>
      </w:r>
      <w:r w:rsidR="00685C27" w:rsidRPr="00951C28">
        <w:rPr>
          <w:lang w:val="ru-RU"/>
        </w:rPr>
        <w:t xml:space="preserve"> </w:t>
      </w:r>
      <w:r w:rsidR="00685C27">
        <w:rPr>
          <w:lang w:val="ru-RU"/>
        </w:rPr>
        <w:t>реформ</w:t>
      </w:r>
      <w:r w:rsidR="00951C28">
        <w:rPr>
          <w:lang w:val="ru-RU"/>
        </w:rPr>
        <w:t>ы</w:t>
      </w:r>
      <w:r w:rsidR="00685C27" w:rsidRPr="00951C28">
        <w:rPr>
          <w:lang w:val="ru-RU"/>
        </w:rPr>
        <w:t xml:space="preserve"> </w:t>
      </w:r>
      <w:r w:rsidR="00685C27">
        <w:rPr>
          <w:lang w:val="ru-RU"/>
        </w:rPr>
        <w:t>механизма</w:t>
      </w:r>
      <w:r w:rsidR="00685C27" w:rsidRPr="00951C28">
        <w:rPr>
          <w:lang w:val="ru-RU"/>
        </w:rPr>
        <w:t xml:space="preserve"> </w:t>
      </w:r>
      <w:r w:rsidR="00685C27">
        <w:rPr>
          <w:lang w:val="ru-RU"/>
        </w:rPr>
        <w:t>представления</w:t>
      </w:r>
      <w:r w:rsidR="00685C27" w:rsidRPr="00951C28">
        <w:rPr>
          <w:lang w:val="ru-RU"/>
        </w:rPr>
        <w:t xml:space="preserve"> </w:t>
      </w:r>
      <w:r w:rsidR="00685C27">
        <w:rPr>
          <w:lang w:val="ru-RU"/>
        </w:rPr>
        <w:t>периодических</w:t>
      </w:r>
      <w:r w:rsidR="00685C27" w:rsidRPr="00951C28">
        <w:rPr>
          <w:lang w:val="ru-RU"/>
        </w:rPr>
        <w:t xml:space="preserve"> </w:t>
      </w:r>
      <w:r w:rsidR="00685C27">
        <w:rPr>
          <w:lang w:val="ru-RU"/>
        </w:rPr>
        <w:t>докладов</w:t>
      </w:r>
      <w:r w:rsidR="00685C27" w:rsidRPr="00951C28">
        <w:rPr>
          <w:lang w:val="ru-RU"/>
        </w:rPr>
        <w:t>.</w:t>
      </w:r>
      <w:r w:rsidR="00945608" w:rsidRPr="00951C28">
        <w:rPr>
          <w:lang w:val="ru-RU"/>
        </w:rPr>
        <w:t xml:space="preserve"> </w:t>
      </w:r>
      <w:r w:rsidR="0044794B">
        <w:rPr>
          <w:lang w:val="ru-RU"/>
        </w:rPr>
        <w:t>Этот</w:t>
      </w:r>
      <w:r w:rsidR="0044794B" w:rsidRPr="007E0094">
        <w:rPr>
          <w:lang w:val="ru-RU"/>
        </w:rPr>
        <w:t xml:space="preserve"> </w:t>
      </w:r>
      <w:r w:rsidR="0044794B">
        <w:rPr>
          <w:lang w:val="ru-RU"/>
        </w:rPr>
        <w:t>переходный</w:t>
      </w:r>
      <w:r w:rsidR="0044794B" w:rsidRPr="007E0094">
        <w:rPr>
          <w:lang w:val="ru-RU"/>
        </w:rPr>
        <w:t xml:space="preserve"> </w:t>
      </w:r>
      <w:r w:rsidR="0044794B">
        <w:rPr>
          <w:lang w:val="ru-RU"/>
        </w:rPr>
        <w:t>период</w:t>
      </w:r>
      <w:r w:rsidR="0044794B" w:rsidRPr="007E0094">
        <w:rPr>
          <w:lang w:val="ru-RU"/>
        </w:rPr>
        <w:t xml:space="preserve"> </w:t>
      </w:r>
      <w:r w:rsidR="0044794B">
        <w:rPr>
          <w:lang w:val="ru-RU"/>
        </w:rPr>
        <w:t>начнётся</w:t>
      </w:r>
      <w:r w:rsidR="0044794B" w:rsidRPr="007E0094">
        <w:rPr>
          <w:lang w:val="ru-RU"/>
        </w:rPr>
        <w:t xml:space="preserve"> </w:t>
      </w:r>
      <w:r w:rsidR="0044794B">
        <w:rPr>
          <w:lang w:val="ru-RU"/>
        </w:rPr>
        <w:t>во</w:t>
      </w:r>
      <w:r w:rsidR="0044794B" w:rsidRPr="007E0094">
        <w:rPr>
          <w:lang w:val="ru-RU"/>
        </w:rPr>
        <w:t xml:space="preserve"> </w:t>
      </w:r>
      <w:r w:rsidR="0044794B">
        <w:rPr>
          <w:lang w:val="ru-RU"/>
        </w:rPr>
        <w:t>второй</w:t>
      </w:r>
      <w:r w:rsidR="0044794B" w:rsidRPr="007E0094">
        <w:rPr>
          <w:lang w:val="ru-RU"/>
        </w:rPr>
        <w:t xml:space="preserve"> </w:t>
      </w:r>
      <w:r w:rsidR="0044794B">
        <w:rPr>
          <w:lang w:val="ru-RU"/>
        </w:rPr>
        <w:t>половине</w:t>
      </w:r>
      <w:r w:rsidR="0044794B" w:rsidRPr="007E0094">
        <w:rPr>
          <w:lang w:val="ru-RU"/>
        </w:rPr>
        <w:t xml:space="preserve"> 2018</w:t>
      </w:r>
      <w:r w:rsidR="0044794B" w:rsidRPr="0044794B">
        <w:rPr>
          <w:lang w:val="en-US"/>
        </w:rPr>
        <w:t> </w:t>
      </w:r>
      <w:r w:rsidR="0044794B">
        <w:rPr>
          <w:lang w:val="ru-RU"/>
        </w:rPr>
        <w:t>г</w:t>
      </w:r>
      <w:r w:rsidR="0044794B" w:rsidRPr="007E0094">
        <w:rPr>
          <w:lang w:val="ru-RU"/>
        </w:rPr>
        <w:t xml:space="preserve">. </w:t>
      </w:r>
      <w:r w:rsidR="0044794B">
        <w:rPr>
          <w:lang w:val="ru-RU"/>
        </w:rPr>
        <w:t>и</w:t>
      </w:r>
      <w:r w:rsidR="0044794B" w:rsidRPr="007E0094">
        <w:rPr>
          <w:lang w:val="ru-RU"/>
        </w:rPr>
        <w:t xml:space="preserve"> </w:t>
      </w:r>
      <w:r w:rsidR="007E0094">
        <w:rPr>
          <w:lang w:val="ru-RU"/>
        </w:rPr>
        <w:t>продлится</w:t>
      </w:r>
      <w:r w:rsidR="007E0094" w:rsidRPr="007E0094">
        <w:rPr>
          <w:lang w:val="ru-RU"/>
        </w:rPr>
        <w:t xml:space="preserve"> </w:t>
      </w:r>
      <w:r w:rsidR="007E0094">
        <w:rPr>
          <w:lang w:val="ru-RU"/>
        </w:rPr>
        <w:t>весь</w:t>
      </w:r>
      <w:r w:rsidR="007E0094" w:rsidRPr="007E0094">
        <w:rPr>
          <w:lang w:val="ru-RU"/>
        </w:rPr>
        <w:t xml:space="preserve"> 2019</w:t>
      </w:r>
      <w:r w:rsidR="007E0094" w:rsidRPr="007E0094">
        <w:rPr>
          <w:lang w:val="en-US"/>
        </w:rPr>
        <w:t> </w:t>
      </w:r>
      <w:r w:rsidR="007E0094">
        <w:rPr>
          <w:lang w:val="ru-RU"/>
        </w:rPr>
        <w:t>г</w:t>
      </w:r>
      <w:r w:rsidR="007E0094" w:rsidRPr="007E0094">
        <w:rPr>
          <w:lang w:val="ru-RU"/>
        </w:rPr>
        <w:t>.</w:t>
      </w:r>
      <w:r w:rsidR="00945608" w:rsidRPr="007E0094">
        <w:rPr>
          <w:lang w:val="ru-RU"/>
        </w:rPr>
        <w:t xml:space="preserve"> </w:t>
      </w:r>
      <w:r w:rsidR="007E0094">
        <w:rPr>
          <w:lang w:val="ru-RU"/>
        </w:rPr>
        <w:t>Это</w:t>
      </w:r>
      <w:r w:rsidR="007E0094" w:rsidRPr="007E0094">
        <w:rPr>
          <w:lang w:val="ru-RU"/>
        </w:rPr>
        <w:t xml:space="preserve"> </w:t>
      </w:r>
      <w:r w:rsidR="007E0094">
        <w:rPr>
          <w:lang w:val="ru-RU"/>
        </w:rPr>
        <w:t>означает</w:t>
      </w:r>
      <w:r w:rsidR="007E0094" w:rsidRPr="007E0094">
        <w:rPr>
          <w:lang w:val="ru-RU"/>
        </w:rPr>
        <w:t xml:space="preserve">, </w:t>
      </w:r>
      <w:r w:rsidR="007E0094">
        <w:rPr>
          <w:lang w:val="ru-RU"/>
        </w:rPr>
        <w:t>что</w:t>
      </w:r>
      <w:r w:rsidR="007E0094" w:rsidRPr="007E0094">
        <w:rPr>
          <w:lang w:val="ru-RU"/>
        </w:rPr>
        <w:t xml:space="preserve"> </w:t>
      </w:r>
      <w:r w:rsidR="007E0094">
        <w:rPr>
          <w:lang w:val="ru-RU"/>
        </w:rPr>
        <w:t>представление</w:t>
      </w:r>
      <w:r w:rsidR="007E0094" w:rsidRPr="007E0094">
        <w:rPr>
          <w:lang w:val="ru-RU"/>
        </w:rPr>
        <w:t xml:space="preserve"> </w:t>
      </w:r>
      <w:r w:rsidR="007E0094">
        <w:rPr>
          <w:lang w:val="ru-RU"/>
        </w:rPr>
        <w:t>периодических</w:t>
      </w:r>
      <w:r w:rsidR="007E0094" w:rsidRPr="007E0094">
        <w:rPr>
          <w:lang w:val="ru-RU"/>
        </w:rPr>
        <w:t xml:space="preserve"> </w:t>
      </w:r>
      <w:r w:rsidR="007E0094">
        <w:rPr>
          <w:lang w:val="ru-RU"/>
        </w:rPr>
        <w:t>докладов</w:t>
      </w:r>
      <w:r w:rsidR="007E0094" w:rsidRPr="007E0094">
        <w:rPr>
          <w:lang w:val="ru-RU"/>
        </w:rPr>
        <w:t xml:space="preserve"> </w:t>
      </w:r>
      <w:r w:rsidR="007E0094">
        <w:rPr>
          <w:lang w:val="ru-RU"/>
        </w:rPr>
        <w:t>о</w:t>
      </w:r>
      <w:r w:rsidR="007E0094" w:rsidRPr="007E0094">
        <w:rPr>
          <w:lang w:val="ru-RU"/>
        </w:rPr>
        <w:t xml:space="preserve"> </w:t>
      </w:r>
      <w:r w:rsidR="007E0094">
        <w:rPr>
          <w:lang w:val="ru-RU"/>
        </w:rPr>
        <w:t>выполнении</w:t>
      </w:r>
      <w:r w:rsidR="007E0094" w:rsidRPr="007E0094">
        <w:rPr>
          <w:lang w:val="ru-RU"/>
        </w:rPr>
        <w:t xml:space="preserve"> </w:t>
      </w:r>
      <w:r w:rsidR="007E0094">
        <w:rPr>
          <w:lang w:val="ru-RU"/>
        </w:rPr>
        <w:t>Конвенции</w:t>
      </w:r>
      <w:r w:rsidR="007E0094" w:rsidRPr="007E0094">
        <w:rPr>
          <w:lang w:val="ru-RU"/>
        </w:rPr>
        <w:t xml:space="preserve"> </w:t>
      </w:r>
      <w:r w:rsidR="007E0094">
        <w:rPr>
          <w:lang w:val="ru-RU"/>
        </w:rPr>
        <w:t xml:space="preserve">будет приостановлено на срок до 15 декабря 2018 и 2019 годов; это касается и просроченных докладов. </w:t>
      </w:r>
      <w:r w:rsidR="00D060AD">
        <w:rPr>
          <w:lang w:val="ru-RU"/>
        </w:rPr>
        <w:t>Значит</w:t>
      </w:r>
      <w:r w:rsidR="00D060AD" w:rsidRPr="00400891">
        <w:rPr>
          <w:lang w:val="ru-RU"/>
        </w:rPr>
        <w:t xml:space="preserve">, </w:t>
      </w:r>
      <w:r w:rsidR="00D060AD">
        <w:rPr>
          <w:lang w:val="ru-RU"/>
        </w:rPr>
        <w:t>обновлённая</w:t>
      </w:r>
      <w:r w:rsidR="00D060AD" w:rsidRPr="00400891">
        <w:rPr>
          <w:lang w:val="ru-RU"/>
        </w:rPr>
        <w:t xml:space="preserve"> </w:t>
      </w:r>
      <w:r w:rsidR="00D060AD">
        <w:rPr>
          <w:lang w:val="ru-RU"/>
        </w:rPr>
        <w:t>форма</w:t>
      </w:r>
      <w:r w:rsidR="00AD435A" w:rsidRPr="00400891">
        <w:rPr>
          <w:lang w:val="ru-RU"/>
        </w:rPr>
        <w:t xml:space="preserve"> </w:t>
      </w:r>
      <w:r w:rsidR="00AD435A">
        <w:t>ICH</w:t>
      </w:r>
      <w:r w:rsidR="00AD435A" w:rsidRPr="00400891">
        <w:rPr>
          <w:lang w:val="ru-RU"/>
        </w:rPr>
        <w:t>-10</w:t>
      </w:r>
      <w:r w:rsidR="00D060AD" w:rsidRPr="00400891">
        <w:rPr>
          <w:lang w:val="ru-RU"/>
        </w:rPr>
        <w:t xml:space="preserve">, </w:t>
      </w:r>
      <w:r w:rsidR="00D060AD">
        <w:rPr>
          <w:lang w:val="ru-RU"/>
        </w:rPr>
        <w:t>а</w:t>
      </w:r>
      <w:r w:rsidR="00D060AD" w:rsidRPr="00400891">
        <w:rPr>
          <w:lang w:val="ru-RU"/>
        </w:rPr>
        <w:t xml:space="preserve"> </w:t>
      </w:r>
      <w:r w:rsidR="00D060AD">
        <w:rPr>
          <w:lang w:val="ru-RU"/>
        </w:rPr>
        <w:t>также</w:t>
      </w:r>
      <w:r w:rsidR="00D060AD" w:rsidRPr="00400891">
        <w:rPr>
          <w:lang w:val="ru-RU"/>
        </w:rPr>
        <w:t xml:space="preserve"> </w:t>
      </w:r>
      <w:r w:rsidR="00D060AD">
        <w:rPr>
          <w:lang w:val="ru-RU"/>
        </w:rPr>
        <w:t>новый</w:t>
      </w:r>
      <w:r w:rsidR="00D060AD" w:rsidRPr="00400891">
        <w:rPr>
          <w:lang w:val="ru-RU"/>
        </w:rPr>
        <w:t xml:space="preserve"> </w:t>
      </w:r>
      <w:r w:rsidR="00D060AD">
        <w:rPr>
          <w:lang w:val="ru-RU"/>
        </w:rPr>
        <w:t>подход</w:t>
      </w:r>
      <w:r w:rsidR="00D060AD" w:rsidRPr="00400891">
        <w:rPr>
          <w:lang w:val="ru-RU"/>
        </w:rPr>
        <w:t xml:space="preserve"> </w:t>
      </w:r>
      <w:r w:rsidR="00D060AD">
        <w:rPr>
          <w:lang w:val="ru-RU"/>
        </w:rPr>
        <w:t>к</w:t>
      </w:r>
      <w:r w:rsidR="00D060AD" w:rsidRPr="00400891">
        <w:rPr>
          <w:lang w:val="ru-RU"/>
        </w:rPr>
        <w:t xml:space="preserve"> </w:t>
      </w:r>
      <w:r w:rsidR="00D060AD">
        <w:rPr>
          <w:lang w:val="ru-RU"/>
        </w:rPr>
        <w:t>укреплению</w:t>
      </w:r>
      <w:r w:rsidR="00D060AD" w:rsidRPr="00400891">
        <w:rPr>
          <w:lang w:val="ru-RU"/>
        </w:rPr>
        <w:t xml:space="preserve"> </w:t>
      </w:r>
      <w:r w:rsidR="00D060AD">
        <w:rPr>
          <w:lang w:val="ru-RU"/>
        </w:rPr>
        <w:t>потенциала</w:t>
      </w:r>
      <w:r w:rsidR="00D060AD" w:rsidRPr="00400891">
        <w:rPr>
          <w:lang w:val="ru-RU"/>
        </w:rPr>
        <w:t xml:space="preserve"> </w:t>
      </w:r>
      <w:r w:rsidR="00D060AD">
        <w:rPr>
          <w:lang w:val="ru-RU"/>
        </w:rPr>
        <w:t>будут</w:t>
      </w:r>
      <w:r w:rsidR="00D060AD" w:rsidRPr="00400891">
        <w:rPr>
          <w:lang w:val="ru-RU"/>
        </w:rPr>
        <w:t xml:space="preserve"> </w:t>
      </w:r>
      <w:r w:rsidR="00D060AD">
        <w:rPr>
          <w:lang w:val="ru-RU"/>
        </w:rPr>
        <w:t>представлены</w:t>
      </w:r>
      <w:r w:rsidR="00D060AD" w:rsidRPr="00400891">
        <w:rPr>
          <w:lang w:val="ru-RU"/>
        </w:rPr>
        <w:t xml:space="preserve"> </w:t>
      </w:r>
      <w:r w:rsidR="00D060AD">
        <w:rPr>
          <w:lang w:val="ru-RU"/>
        </w:rPr>
        <w:t>на</w:t>
      </w:r>
      <w:r w:rsidR="00D060AD" w:rsidRPr="00400891">
        <w:rPr>
          <w:lang w:val="ru-RU"/>
        </w:rPr>
        <w:t xml:space="preserve"> </w:t>
      </w:r>
      <w:r w:rsidR="00D060AD">
        <w:rPr>
          <w:lang w:val="ru-RU"/>
        </w:rPr>
        <w:t>четырнадцатой</w:t>
      </w:r>
      <w:r w:rsidR="00D060AD" w:rsidRPr="00400891">
        <w:rPr>
          <w:lang w:val="ru-RU"/>
        </w:rPr>
        <w:t xml:space="preserve"> </w:t>
      </w:r>
      <w:r w:rsidR="00D060AD">
        <w:rPr>
          <w:lang w:val="ru-RU"/>
        </w:rPr>
        <w:t>сессии</w:t>
      </w:r>
      <w:r w:rsidR="00D060AD" w:rsidRPr="00400891">
        <w:rPr>
          <w:lang w:val="ru-RU"/>
        </w:rPr>
        <w:t xml:space="preserve"> </w:t>
      </w:r>
      <w:r w:rsidR="00D060AD">
        <w:rPr>
          <w:lang w:val="ru-RU"/>
        </w:rPr>
        <w:t>Комитета</w:t>
      </w:r>
      <w:r w:rsidR="00D060AD" w:rsidRPr="00400891">
        <w:rPr>
          <w:lang w:val="ru-RU"/>
        </w:rPr>
        <w:t xml:space="preserve"> </w:t>
      </w:r>
      <w:r w:rsidR="00D060AD">
        <w:rPr>
          <w:lang w:val="ru-RU"/>
        </w:rPr>
        <w:t>в</w:t>
      </w:r>
      <w:r w:rsidR="00D060AD" w:rsidRPr="00400891">
        <w:rPr>
          <w:lang w:val="ru-RU"/>
        </w:rPr>
        <w:t xml:space="preserve"> 2019</w:t>
      </w:r>
      <w:r w:rsidR="00D060AD" w:rsidRPr="00400891">
        <w:rPr>
          <w:lang w:val="en-US"/>
        </w:rPr>
        <w:t> </w:t>
      </w:r>
      <w:r w:rsidR="00D060AD">
        <w:rPr>
          <w:lang w:val="ru-RU"/>
        </w:rPr>
        <w:t>г</w:t>
      </w:r>
      <w:r w:rsidR="00D060AD" w:rsidRPr="00400891">
        <w:rPr>
          <w:lang w:val="ru-RU"/>
        </w:rPr>
        <w:t>.</w:t>
      </w:r>
      <w:r w:rsidR="00AD435A" w:rsidRPr="00400891">
        <w:rPr>
          <w:lang w:val="ru-RU"/>
        </w:rPr>
        <w:t xml:space="preserve"> </w:t>
      </w:r>
      <w:r w:rsidR="00400891">
        <w:rPr>
          <w:lang w:val="ru-RU"/>
        </w:rPr>
        <w:t>К</w:t>
      </w:r>
      <w:r w:rsidR="00400891" w:rsidRPr="00400891">
        <w:rPr>
          <w:lang w:val="ru-RU"/>
        </w:rPr>
        <w:t xml:space="preserve"> </w:t>
      </w:r>
      <w:r w:rsidR="00400891">
        <w:rPr>
          <w:lang w:val="ru-RU"/>
        </w:rPr>
        <w:t>началу</w:t>
      </w:r>
      <w:r w:rsidR="00400891" w:rsidRPr="00400891">
        <w:rPr>
          <w:lang w:val="ru-RU"/>
        </w:rPr>
        <w:t xml:space="preserve"> 2020</w:t>
      </w:r>
      <w:r w:rsidR="00400891" w:rsidRPr="00400891">
        <w:rPr>
          <w:lang w:val="en-US"/>
        </w:rPr>
        <w:t> </w:t>
      </w:r>
      <w:r w:rsidR="00400891">
        <w:rPr>
          <w:lang w:val="ru-RU"/>
        </w:rPr>
        <w:t>г</w:t>
      </w:r>
      <w:r w:rsidR="00400891" w:rsidRPr="00400891">
        <w:rPr>
          <w:lang w:val="ru-RU"/>
        </w:rPr>
        <w:t xml:space="preserve">. </w:t>
      </w:r>
      <w:r w:rsidR="00400891">
        <w:rPr>
          <w:lang w:val="ru-RU"/>
        </w:rPr>
        <w:t xml:space="preserve">Секретариат будет готов выработать новые процедуры представления периодических докладов о выполнении Конвенции </w:t>
      </w:r>
      <w:r w:rsidR="005C786C">
        <w:rPr>
          <w:lang w:val="ru-RU"/>
        </w:rPr>
        <w:t>в первом регионе.</w:t>
      </w:r>
    </w:p>
    <w:p w:rsidR="00AD435A" w:rsidRPr="00BE48C6" w:rsidRDefault="00197D53" w:rsidP="00AD435A">
      <w:pPr>
        <w:pStyle w:val="COMPara"/>
        <w:numPr>
          <w:ilvl w:val="0"/>
          <w:numId w:val="13"/>
        </w:numPr>
        <w:spacing w:before="120"/>
        <w:ind w:left="567" w:hanging="567"/>
        <w:jc w:val="both"/>
        <w:rPr>
          <w:lang w:val="ru-RU"/>
        </w:rPr>
      </w:pPr>
      <w:r>
        <w:rPr>
          <w:lang w:val="ru-RU"/>
        </w:rPr>
        <w:t>Предлагаемый</w:t>
      </w:r>
      <w:r w:rsidRPr="00197D53">
        <w:rPr>
          <w:lang w:val="ru-RU"/>
        </w:rPr>
        <w:t xml:space="preserve"> </w:t>
      </w:r>
      <w:r>
        <w:rPr>
          <w:lang w:val="ru-RU"/>
        </w:rPr>
        <w:t>региональный</w:t>
      </w:r>
      <w:r w:rsidRPr="00197D53">
        <w:rPr>
          <w:lang w:val="ru-RU"/>
        </w:rPr>
        <w:t xml:space="preserve"> </w:t>
      </w:r>
      <w:r>
        <w:rPr>
          <w:lang w:val="ru-RU"/>
        </w:rPr>
        <w:t>цикл</w:t>
      </w:r>
      <w:r w:rsidRPr="00197D53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197D53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197D53">
        <w:rPr>
          <w:lang w:val="ru-RU"/>
        </w:rPr>
        <w:t xml:space="preserve"> </w:t>
      </w:r>
      <w:r>
        <w:rPr>
          <w:lang w:val="ru-RU"/>
        </w:rPr>
        <w:t>докладов</w:t>
      </w:r>
      <w:r w:rsidRPr="00197D53">
        <w:rPr>
          <w:lang w:val="ru-RU"/>
        </w:rPr>
        <w:t xml:space="preserve"> </w:t>
      </w:r>
      <w:r>
        <w:rPr>
          <w:lang w:val="ru-RU"/>
        </w:rPr>
        <w:t>будет длиться шесть лет.</w:t>
      </w:r>
      <w:r w:rsidR="00AD435A" w:rsidRPr="00197D53">
        <w:rPr>
          <w:lang w:val="ru-RU"/>
        </w:rPr>
        <w:t xml:space="preserve"> </w:t>
      </w:r>
      <w:r>
        <w:rPr>
          <w:lang w:val="ru-RU"/>
        </w:rPr>
        <w:t>Комитет</w:t>
      </w:r>
      <w:r w:rsidRPr="00A24BDD">
        <w:rPr>
          <w:lang w:val="ru-RU"/>
        </w:rPr>
        <w:t xml:space="preserve"> </w:t>
      </w:r>
      <w:r>
        <w:rPr>
          <w:lang w:val="ru-RU"/>
        </w:rPr>
        <w:t>отметил</w:t>
      </w:r>
      <w:r w:rsidRPr="00A24BDD">
        <w:rPr>
          <w:lang w:val="ru-RU"/>
        </w:rPr>
        <w:t xml:space="preserve">, </w:t>
      </w:r>
      <w:r>
        <w:rPr>
          <w:lang w:val="ru-RU"/>
        </w:rPr>
        <w:t>что</w:t>
      </w:r>
      <w:r w:rsidRPr="00A24BDD">
        <w:rPr>
          <w:lang w:val="ru-RU"/>
        </w:rPr>
        <w:t xml:space="preserve"> </w:t>
      </w:r>
      <w:r>
        <w:rPr>
          <w:lang w:val="ru-RU"/>
        </w:rPr>
        <w:t>график</w:t>
      </w:r>
      <w:r w:rsidRPr="00A24BDD">
        <w:rPr>
          <w:lang w:val="ru-RU"/>
        </w:rPr>
        <w:t xml:space="preserve"> </w:t>
      </w:r>
      <w:r>
        <w:rPr>
          <w:lang w:val="ru-RU"/>
        </w:rPr>
        <w:t>первого</w:t>
      </w:r>
      <w:r w:rsidRPr="00A24BDD">
        <w:rPr>
          <w:lang w:val="ru-RU"/>
        </w:rPr>
        <w:t xml:space="preserve"> </w:t>
      </w:r>
      <w:r>
        <w:rPr>
          <w:lang w:val="ru-RU"/>
        </w:rPr>
        <w:t>такого</w:t>
      </w:r>
      <w:r w:rsidRPr="00A24BDD">
        <w:rPr>
          <w:lang w:val="ru-RU"/>
        </w:rPr>
        <w:t xml:space="preserve"> </w:t>
      </w:r>
      <w:r>
        <w:rPr>
          <w:lang w:val="ru-RU"/>
        </w:rPr>
        <w:t>цикла</w:t>
      </w:r>
      <w:r w:rsidRPr="00A24BDD">
        <w:rPr>
          <w:lang w:val="ru-RU"/>
        </w:rPr>
        <w:t xml:space="preserve"> </w:t>
      </w:r>
      <w:r>
        <w:rPr>
          <w:lang w:val="ru-RU"/>
        </w:rPr>
        <w:t>будет</w:t>
      </w:r>
      <w:r w:rsidRPr="00A24BDD">
        <w:rPr>
          <w:lang w:val="ru-RU"/>
        </w:rPr>
        <w:t xml:space="preserve"> </w:t>
      </w:r>
      <w:r>
        <w:rPr>
          <w:lang w:val="ru-RU"/>
        </w:rPr>
        <w:t>утверждён</w:t>
      </w:r>
      <w:r w:rsidRPr="00A24BDD">
        <w:rPr>
          <w:lang w:val="ru-RU"/>
        </w:rPr>
        <w:t xml:space="preserve"> </w:t>
      </w:r>
      <w:r>
        <w:rPr>
          <w:lang w:val="ru-RU"/>
        </w:rPr>
        <w:t>на</w:t>
      </w:r>
      <w:r w:rsidRPr="00A24BDD">
        <w:rPr>
          <w:lang w:val="ru-RU"/>
        </w:rPr>
        <w:t xml:space="preserve"> </w:t>
      </w:r>
      <w:r>
        <w:rPr>
          <w:lang w:val="ru-RU"/>
        </w:rPr>
        <w:t>тринадцатой</w:t>
      </w:r>
      <w:r w:rsidRPr="00A24BDD">
        <w:rPr>
          <w:lang w:val="ru-RU"/>
        </w:rPr>
        <w:t xml:space="preserve"> </w:t>
      </w:r>
      <w:r>
        <w:rPr>
          <w:lang w:val="ru-RU"/>
        </w:rPr>
        <w:t>сессии</w:t>
      </w:r>
      <w:r w:rsidRPr="00A24BDD">
        <w:rPr>
          <w:lang w:val="ru-RU"/>
        </w:rPr>
        <w:t xml:space="preserve"> </w:t>
      </w:r>
      <w:r>
        <w:rPr>
          <w:lang w:val="ru-RU"/>
        </w:rPr>
        <w:t>Комитета</w:t>
      </w:r>
      <w:r w:rsidRPr="00A24BDD">
        <w:rPr>
          <w:lang w:val="ru-RU"/>
        </w:rPr>
        <w:t xml:space="preserve"> </w:t>
      </w:r>
      <w:r>
        <w:rPr>
          <w:lang w:val="ru-RU"/>
        </w:rPr>
        <w:t>в</w:t>
      </w:r>
      <w:r w:rsidRPr="00A24BDD">
        <w:rPr>
          <w:lang w:val="ru-RU"/>
        </w:rPr>
        <w:t xml:space="preserve"> 2013</w:t>
      </w:r>
      <w:r w:rsidRPr="00197D53">
        <w:rPr>
          <w:lang w:val="en-US"/>
        </w:rPr>
        <w:t> </w:t>
      </w:r>
      <w:r>
        <w:rPr>
          <w:lang w:val="ru-RU"/>
        </w:rPr>
        <w:t>г</w:t>
      </w:r>
      <w:r w:rsidRPr="00A24BDD">
        <w:rPr>
          <w:lang w:val="ru-RU"/>
        </w:rPr>
        <w:t xml:space="preserve">. </w:t>
      </w:r>
      <w:r>
        <w:rPr>
          <w:lang w:val="ru-RU"/>
        </w:rPr>
        <w:t>с</w:t>
      </w:r>
      <w:r w:rsidRPr="00A24BDD">
        <w:rPr>
          <w:lang w:val="ru-RU"/>
        </w:rPr>
        <w:t xml:space="preserve"> </w:t>
      </w:r>
      <w:r>
        <w:rPr>
          <w:lang w:val="ru-RU"/>
        </w:rPr>
        <w:t>тем</w:t>
      </w:r>
      <w:r w:rsidRPr="00A24BDD">
        <w:rPr>
          <w:lang w:val="ru-RU"/>
        </w:rPr>
        <w:t xml:space="preserve">, </w:t>
      </w:r>
      <w:r>
        <w:rPr>
          <w:lang w:val="ru-RU"/>
        </w:rPr>
        <w:t>чтобы</w:t>
      </w:r>
      <w:r w:rsidRPr="00A24BDD">
        <w:rPr>
          <w:lang w:val="ru-RU"/>
        </w:rPr>
        <w:t xml:space="preserve"> </w:t>
      </w:r>
      <w:r w:rsidR="00A24BDD">
        <w:rPr>
          <w:lang w:val="ru-RU"/>
        </w:rPr>
        <w:t>установить</w:t>
      </w:r>
      <w:r w:rsidR="00A24BDD" w:rsidRPr="00A24BDD">
        <w:rPr>
          <w:lang w:val="ru-RU"/>
        </w:rPr>
        <w:t xml:space="preserve"> </w:t>
      </w:r>
      <w:r w:rsidR="00A24BDD">
        <w:rPr>
          <w:lang w:val="ru-RU"/>
        </w:rPr>
        <w:t>порядок</w:t>
      </w:r>
      <w:r w:rsidR="00A24BDD" w:rsidRPr="00A24BDD">
        <w:rPr>
          <w:lang w:val="ru-RU"/>
        </w:rPr>
        <w:t xml:space="preserve"> </w:t>
      </w:r>
      <w:r w:rsidR="00A24BDD">
        <w:rPr>
          <w:lang w:val="ru-RU"/>
        </w:rPr>
        <w:t>рассмотрения</w:t>
      </w:r>
      <w:r w:rsidR="00A24BDD" w:rsidRPr="00A24BDD">
        <w:rPr>
          <w:lang w:val="ru-RU"/>
        </w:rPr>
        <w:t xml:space="preserve"> </w:t>
      </w:r>
      <w:r w:rsidR="00A24BDD">
        <w:rPr>
          <w:lang w:val="ru-RU"/>
        </w:rPr>
        <w:t>согласно</w:t>
      </w:r>
      <w:r w:rsidR="00A24BDD" w:rsidRPr="00A24BDD">
        <w:rPr>
          <w:lang w:val="ru-RU"/>
        </w:rPr>
        <w:t xml:space="preserve"> </w:t>
      </w:r>
      <w:r w:rsidR="00A24BDD">
        <w:rPr>
          <w:lang w:val="ru-RU"/>
        </w:rPr>
        <w:t xml:space="preserve">избирательным группам. </w:t>
      </w:r>
      <w:r w:rsidR="00E57739">
        <w:rPr>
          <w:lang w:val="ru-RU"/>
        </w:rPr>
        <w:t>В</w:t>
      </w:r>
      <w:r w:rsidR="00E57739" w:rsidRPr="00E21FBD">
        <w:rPr>
          <w:lang w:val="ru-RU"/>
        </w:rPr>
        <w:t xml:space="preserve"> </w:t>
      </w:r>
      <w:r w:rsidR="00E57739">
        <w:rPr>
          <w:lang w:val="ru-RU"/>
        </w:rPr>
        <w:t>решении</w:t>
      </w:r>
      <w:r w:rsidR="00E57739" w:rsidRPr="00E21FBD">
        <w:rPr>
          <w:lang w:val="ru-RU"/>
        </w:rPr>
        <w:t xml:space="preserve"> </w:t>
      </w:r>
      <w:r w:rsidR="00E57739">
        <w:rPr>
          <w:lang w:val="ru-RU"/>
        </w:rPr>
        <w:t>Комитета</w:t>
      </w:r>
      <w:r w:rsidR="00E57739" w:rsidRPr="00E21FBD">
        <w:rPr>
          <w:lang w:val="ru-RU"/>
        </w:rPr>
        <w:t xml:space="preserve"> </w:t>
      </w:r>
      <w:r w:rsidR="00E57739">
        <w:rPr>
          <w:lang w:val="ru-RU"/>
        </w:rPr>
        <w:t>также</w:t>
      </w:r>
      <w:r w:rsidR="00E57739" w:rsidRPr="00E21FBD">
        <w:rPr>
          <w:lang w:val="ru-RU"/>
        </w:rPr>
        <w:t xml:space="preserve"> </w:t>
      </w:r>
      <w:r w:rsidR="00E57739">
        <w:rPr>
          <w:lang w:val="ru-RU"/>
        </w:rPr>
        <w:t>говорится</w:t>
      </w:r>
      <w:r w:rsidR="00E57739" w:rsidRPr="00E21FBD">
        <w:rPr>
          <w:lang w:val="ru-RU"/>
        </w:rPr>
        <w:t xml:space="preserve"> </w:t>
      </w:r>
      <w:r w:rsidR="00E57739">
        <w:rPr>
          <w:lang w:val="ru-RU"/>
        </w:rPr>
        <w:t>о</w:t>
      </w:r>
      <w:r w:rsidR="00E57739" w:rsidRPr="00E21FBD">
        <w:rPr>
          <w:lang w:val="ru-RU"/>
        </w:rPr>
        <w:t xml:space="preserve"> </w:t>
      </w:r>
      <w:r w:rsidR="00E57739">
        <w:rPr>
          <w:lang w:val="ru-RU"/>
        </w:rPr>
        <w:t>переходном</w:t>
      </w:r>
      <w:r w:rsidR="00E57739" w:rsidRPr="00E21FBD">
        <w:rPr>
          <w:lang w:val="ru-RU"/>
        </w:rPr>
        <w:t xml:space="preserve"> </w:t>
      </w:r>
      <w:r w:rsidR="00E57739">
        <w:rPr>
          <w:lang w:val="ru-RU"/>
        </w:rPr>
        <w:t>периоде</w:t>
      </w:r>
      <w:r w:rsidR="00E57739" w:rsidRPr="00E21FBD">
        <w:rPr>
          <w:lang w:val="ru-RU"/>
        </w:rPr>
        <w:t xml:space="preserve">, </w:t>
      </w:r>
      <w:r w:rsidR="00E57739">
        <w:rPr>
          <w:lang w:val="ru-RU"/>
        </w:rPr>
        <w:t>за</w:t>
      </w:r>
      <w:r w:rsidR="00E57739" w:rsidRPr="00E21FBD">
        <w:rPr>
          <w:lang w:val="ru-RU"/>
        </w:rPr>
        <w:t xml:space="preserve"> </w:t>
      </w:r>
      <w:r w:rsidR="00E57739">
        <w:rPr>
          <w:lang w:val="ru-RU"/>
        </w:rPr>
        <w:t>которым</w:t>
      </w:r>
      <w:r w:rsidR="00E57739" w:rsidRPr="00E21FBD">
        <w:rPr>
          <w:lang w:val="ru-RU"/>
        </w:rPr>
        <w:t xml:space="preserve"> </w:t>
      </w:r>
      <w:r w:rsidR="00E57739">
        <w:rPr>
          <w:lang w:val="ru-RU"/>
        </w:rPr>
        <w:t>последует</w:t>
      </w:r>
      <w:r w:rsidR="00E57739" w:rsidRPr="00E21FBD">
        <w:rPr>
          <w:lang w:val="ru-RU"/>
        </w:rPr>
        <w:t xml:space="preserve"> </w:t>
      </w:r>
      <w:r w:rsidR="00E57739">
        <w:rPr>
          <w:lang w:val="ru-RU"/>
        </w:rPr>
        <w:t>представление</w:t>
      </w:r>
      <w:r w:rsidR="00E57739" w:rsidRPr="00E21FBD">
        <w:rPr>
          <w:lang w:val="ru-RU"/>
        </w:rPr>
        <w:t xml:space="preserve"> </w:t>
      </w:r>
      <w:r w:rsidR="00E57739">
        <w:rPr>
          <w:lang w:val="ru-RU"/>
        </w:rPr>
        <w:t>национальных</w:t>
      </w:r>
      <w:r w:rsidR="00E57739" w:rsidRPr="00E21FBD">
        <w:rPr>
          <w:lang w:val="ru-RU"/>
        </w:rPr>
        <w:t xml:space="preserve"> </w:t>
      </w:r>
      <w:r w:rsidR="00E57739">
        <w:rPr>
          <w:lang w:val="ru-RU"/>
        </w:rPr>
        <w:t>докладов</w:t>
      </w:r>
      <w:r w:rsidR="00E21FBD" w:rsidRPr="00E21FBD">
        <w:rPr>
          <w:lang w:val="ru-RU"/>
        </w:rPr>
        <w:t xml:space="preserve"> </w:t>
      </w:r>
      <w:r w:rsidR="00E21FBD">
        <w:rPr>
          <w:lang w:val="ru-RU"/>
        </w:rPr>
        <w:t>из</w:t>
      </w:r>
      <w:r w:rsidR="00E21FBD" w:rsidRPr="00E21FBD">
        <w:rPr>
          <w:lang w:val="ru-RU"/>
        </w:rPr>
        <w:t xml:space="preserve"> </w:t>
      </w:r>
      <w:r w:rsidR="00E21FBD">
        <w:rPr>
          <w:lang w:val="ru-RU"/>
        </w:rPr>
        <w:t>первого</w:t>
      </w:r>
      <w:r w:rsidR="00E21FBD" w:rsidRPr="00E21FBD">
        <w:rPr>
          <w:lang w:val="ru-RU"/>
        </w:rPr>
        <w:t xml:space="preserve"> </w:t>
      </w:r>
      <w:r w:rsidR="00E21FBD">
        <w:rPr>
          <w:lang w:val="ru-RU"/>
        </w:rPr>
        <w:t>региона</w:t>
      </w:r>
      <w:r w:rsidR="00E21FBD" w:rsidRPr="00E21FBD">
        <w:rPr>
          <w:lang w:val="ru-RU"/>
        </w:rPr>
        <w:t xml:space="preserve"> </w:t>
      </w:r>
      <w:r w:rsidR="00E21FBD">
        <w:rPr>
          <w:lang w:val="ru-RU"/>
        </w:rPr>
        <w:t>к</w:t>
      </w:r>
      <w:r w:rsidR="00E21FBD" w:rsidRPr="00E21FBD">
        <w:rPr>
          <w:lang w:val="ru-RU"/>
        </w:rPr>
        <w:t xml:space="preserve"> 15 </w:t>
      </w:r>
      <w:r w:rsidR="00E21FBD">
        <w:rPr>
          <w:lang w:val="ru-RU"/>
        </w:rPr>
        <w:t>декабря</w:t>
      </w:r>
      <w:r w:rsidR="00E21FBD" w:rsidRPr="00E21FBD">
        <w:rPr>
          <w:lang w:val="ru-RU"/>
        </w:rPr>
        <w:t xml:space="preserve"> 2020</w:t>
      </w:r>
      <w:r w:rsidR="00E21FBD" w:rsidRPr="00E21FBD">
        <w:rPr>
          <w:lang w:val="en-US"/>
        </w:rPr>
        <w:t> </w:t>
      </w:r>
      <w:r w:rsidR="00E21FBD">
        <w:rPr>
          <w:lang w:val="ru-RU"/>
        </w:rPr>
        <w:t>г</w:t>
      </w:r>
      <w:r w:rsidR="00E21FBD" w:rsidRPr="00E21FBD">
        <w:rPr>
          <w:lang w:val="ru-RU"/>
        </w:rPr>
        <w:t xml:space="preserve">. </w:t>
      </w:r>
      <w:r w:rsidR="00E21FBD">
        <w:rPr>
          <w:lang w:val="ru-RU"/>
        </w:rPr>
        <w:t>для</w:t>
      </w:r>
      <w:r w:rsidR="00E21FBD" w:rsidRPr="00E21FBD">
        <w:rPr>
          <w:lang w:val="ru-RU"/>
        </w:rPr>
        <w:t xml:space="preserve"> </w:t>
      </w:r>
      <w:r w:rsidR="00E21FBD">
        <w:rPr>
          <w:lang w:val="ru-RU"/>
        </w:rPr>
        <w:t>рассмотрения</w:t>
      </w:r>
      <w:r w:rsidR="00E21FBD" w:rsidRPr="00E21FBD">
        <w:rPr>
          <w:lang w:val="ru-RU"/>
        </w:rPr>
        <w:t xml:space="preserve"> </w:t>
      </w:r>
      <w:r w:rsidR="00E21FBD">
        <w:rPr>
          <w:lang w:val="ru-RU"/>
        </w:rPr>
        <w:t>их</w:t>
      </w:r>
      <w:r w:rsidR="00E21FBD" w:rsidRPr="00E21FBD">
        <w:rPr>
          <w:lang w:val="ru-RU"/>
        </w:rPr>
        <w:t xml:space="preserve"> </w:t>
      </w:r>
      <w:r w:rsidR="00E21FBD">
        <w:rPr>
          <w:lang w:val="ru-RU"/>
        </w:rPr>
        <w:t>на</w:t>
      </w:r>
      <w:r w:rsidR="00E21FBD" w:rsidRPr="00E21FBD">
        <w:rPr>
          <w:lang w:val="ru-RU"/>
        </w:rPr>
        <w:t xml:space="preserve"> </w:t>
      </w:r>
      <w:r w:rsidR="00E21FBD">
        <w:rPr>
          <w:lang w:val="ru-RU"/>
        </w:rPr>
        <w:t>шестнадцатой</w:t>
      </w:r>
      <w:r w:rsidR="00E21FBD" w:rsidRPr="00E21FBD">
        <w:rPr>
          <w:lang w:val="ru-RU"/>
        </w:rPr>
        <w:t xml:space="preserve"> </w:t>
      </w:r>
      <w:r w:rsidR="00E21FBD">
        <w:rPr>
          <w:lang w:val="ru-RU"/>
        </w:rPr>
        <w:t>сессии</w:t>
      </w:r>
      <w:r w:rsidR="00E21FBD" w:rsidRPr="00E21FBD">
        <w:rPr>
          <w:lang w:val="ru-RU"/>
        </w:rPr>
        <w:t xml:space="preserve"> </w:t>
      </w:r>
      <w:r w:rsidR="00E21FBD">
        <w:rPr>
          <w:lang w:val="ru-RU"/>
        </w:rPr>
        <w:t>Комитета</w:t>
      </w:r>
      <w:r w:rsidR="00E21FBD" w:rsidRPr="00E21FBD">
        <w:rPr>
          <w:lang w:val="ru-RU"/>
        </w:rPr>
        <w:t xml:space="preserve"> </w:t>
      </w:r>
      <w:r w:rsidR="00E21FBD">
        <w:rPr>
          <w:lang w:val="ru-RU"/>
        </w:rPr>
        <w:t>в</w:t>
      </w:r>
      <w:r w:rsidR="00E21FBD" w:rsidRPr="00E21FBD">
        <w:rPr>
          <w:lang w:val="ru-RU"/>
        </w:rPr>
        <w:t xml:space="preserve"> 2021</w:t>
      </w:r>
      <w:r w:rsidR="00E21FBD" w:rsidRPr="00E21FBD">
        <w:rPr>
          <w:lang w:val="en-US"/>
        </w:rPr>
        <w:t> </w:t>
      </w:r>
      <w:r w:rsidR="00E21FBD">
        <w:rPr>
          <w:lang w:val="ru-RU"/>
        </w:rPr>
        <w:t>г</w:t>
      </w:r>
      <w:r w:rsidR="00E21FBD" w:rsidRPr="00E21FBD">
        <w:rPr>
          <w:lang w:val="ru-RU"/>
        </w:rPr>
        <w:t>.</w:t>
      </w:r>
      <w:r w:rsidR="00E21FBD">
        <w:rPr>
          <w:lang w:val="ru-RU"/>
        </w:rPr>
        <w:t xml:space="preserve"> В то же время государства-участники из второго региона начнут подготовку своих периодических докладов в 2021 г.</w:t>
      </w:r>
      <w:r w:rsidR="00E02E7D">
        <w:rPr>
          <w:lang w:val="ru-RU"/>
        </w:rPr>
        <w:t xml:space="preserve">, чтобы представить их к 15 декабря </w:t>
      </w:r>
      <w:r w:rsidR="00E02E7D">
        <w:rPr>
          <w:lang w:val="ru-RU"/>
        </w:rPr>
        <w:lastRenderedPageBreak/>
        <w:t xml:space="preserve">2021 г. </w:t>
      </w:r>
      <w:r w:rsidR="00D329AB">
        <w:rPr>
          <w:lang w:val="ru-RU"/>
        </w:rPr>
        <w:t xml:space="preserve">Аналогичный процесс будет повторяться для остальных регионов, пока Комитет не завершит рассмотрение докладов из всех регионов в 2026 г. </w:t>
      </w:r>
      <w:r w:rsidR="00E23B7C">
        <w:rPr>
          <w:lang w:val="ru-RU"/>
        </w:rPr>
        <w:t xml:space="preserve">Второй цикл может начаться в 2027 г. </w:t>
      </w:r>
      <w:r w:rsidR="001158D5">
        <w:rPr>
          <w:lang w:val="ru-RU"/>
        </w:rPr>
        <w:t>В отношении государств, недавно ратифицировавших Конвенцию</w:t>
      </w:r>
      <w:r w:rsidR="00990F00">
        <w:rPr>
          <w:lang w:val="ru-RU"/>
        </w:rPr>
        <w:t xml:space="preserve"> в ходе регионального цикла</w:t>
      </w:r>
      <w:r w:rsidR="00913EF1">
        <w:rPr>
          <w:lang w:val="ru-RU"/>
        </w:rPr>
        <w:t xml:space="preserve">, необходимо рассмотреть вопрос о </w:t>
      </w:r>
      <w:r w:rsidR="005F39E2">
        <w:rPr>
          <w:lang w:val="ru-RU"/>
        </w:rPr>
        <w:t>временн</w:t>
      </w:r>
      <w:r w:rsidR="005F39E2" w:rsidRPr="008D538D">
        <w:rPr>
          <w:i/>
          <w:lang w:val="ru-RU"/>
        </w:rPr>
        <w:t>о</w:t>
      </w:r>
      <w:r w:rsidR="005F39E2">
        <w:rPr>
          <w:lang w:val="ru-RU"/>
        </w:rPr>
        <w:t xml:space="preserve">м промежутке </w:t>
      </w:r>
      <w:r w:rsidR="00913EF1">
        <w:rPr>
          <w:lang w:val="ru-RU"/>
        </w:rPr>
        <w:t>между ратификацией и их первым обязательным докладом.</w:t>
      </w:r>
    </w:p>
    <w:p w:rsidR="00AD435A" w:rsidRPr="000F7AF2" w:rsidRDefault="008A2C44" w:rsidP="00AD435A">
      <w:pPr>
        <w:pStyle w:val="COMPara"/>
        <w:numPr>
          <w:ilvl w:val="0"/>
          <w:numId w:val="13"/>
        </w:numPr>
        <w:spacing w:before="120"/>
        <w:ind w:left="567" w:hanging="567"/>
        <w:jc w:val="both"/>
        <w:rPr>
          <w:lang w:val="ru-RU"/>
        </w:rPr>
      </w:pPr>
      <w:r>
        <w:rPr>
          <w:lang w:val="ru-RU"/>
        </w:rPr>
        <w:t>В</w:t>
      </w:r>
      <w:r w:rsidRPr="00BC7F98">
        <w:rPr>
          <w:lang w:val="ru-RU"/>
        </w:rPr>
        <w:t xml:space="preserve"> </w:t>
      </w:r>
      <w:r>
        <w:rPr>
          <w:lang w:val="ru-RU"/>
        </w:rPr>
        <w:t>настоящее</w:t>
      </w:r>
      <w:r w:rsidRPr="00BC7F98">
        <w:rPr>
          <w:lang w:val="ru-RU"/>
        </w:rPr>
        <w:t xml:space="preserve"> </w:t>
      </w:r>
      <w:r>
        <w:rPr>
          <w:lang w:val="ru-RU"/>
        </w:rPr>
        <w:t>время</w:t>
      </w:r>
      <w:r w:rsidRPr="00BC7F98">
        <w:rPr>
          <w:lang w:val="ru-RU"/>
        </w:rPr>
        <w:t xml:space="preserve"> </w:t>
      </w:r>
      <w:r>
        <w:rPr>
          <w:lang w:val="ru-RU"/>
        </w:rPr>
        <w:t>это</w:t>
      </w:r>
      <w:r w:rsidRPr="00BC7F98">
        <w:rPr>
          <w:lang w:val="ru-RU"/>
        </w:rPr>
        <w:t xml:space="preserve"> </w:t>
      </w:r>
      <w:r>
        <w:rPr>
          <w:lang w:val="ru-RU"/>
        </w:rPr>
        <w:t>изменение</w:t>
      </w:r>
      <w:r w:rsidRPr="00BC7F98">
        <w:rPr>
          <w:lang w:val="ru-RU"/>
        </w:rPr>
        <w:t xml:space="preserve"> </w:t>
      </w:r>
      <w:r>
        <w:rPr>
          <w:lang w:val="ru-RU"/>
        </w:rPr>
        <w:t>не</w:t>
      </w:r>
      <w:r w:rsidRPr="00BC7F98">
        <w:rPr>
          <w:lang w:val="ru-RU"/>
        </w:rPr>
        <w:t xml:space="preserve"> </w:t>
      </w:r>
      <w:r>
        <w:rPr>
          <w:lang w:val="ru-RU"/>
        </w:rPr>
        <w:t>повлияет</w:t>
      </w:r>
      <w:r w:rsidRPr="00BC7F98">
        <w:rPr>
          <w:lang w:val="ru-RU"/>
        </w:rPr>
        <w:t xml:space="preserve"> </w:t>
      </w:r>
      <w:r>
        <w:rPr>
          <w:lang w:val="ru-RU"/>
        </w:rPr>
        <w:t>на</w:t>
      </w:r>
      <w:r w:rsidRPr="00BC7F98">
        <w:rPr>
          <w:lang w:val="ru-RU"/>
        </w:rPr>
        <w:t xml:space="preserve"> </w:t>
      </w:r>
      <w:r>
        <w:rPr>
          <w:lang w:val="ru-RU"/>
        </w:rPr>
        <w:t>процедуру</w:t>
      </w:r>
      <w:r w:rsidRPr="00BC7F98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BC7F98">
        <w:rPr>
          <w:lang w:val="ru-RU"/>
        </w:rPr>
        <w:t xml:space="preserve"> </w:t>
      </w:r>
      <w:r>
        <w:rPr>
          <w:lang w:val="ru-RU"/>
        </w:rPr>
        <w:t>докладов</w:t>
      </w:r>
      <w:r w:rsidRPr="00BC7F98">
        <w:rPr>
          <w:lang w:val="ru-RU"/>
        </w:rPr>
        <w:t xml:space="preserve"> </w:t>
      </w:r>
      <w:r>
        <w:rPr>
          <w:lang w:val="ru-RU"/>
        </w:rPr>
        <w:t>о</w:t>
      </w:r>
      <w:r w:rsidRPr="00BC7F98">
        <w:rPr>
          <w:lang w:val="ru-RU"/>
        </w:rPr>
        <w:t xml:space="preserve"> </w:t>
      </w:r>
      <w:r>
        <w:rPr>
          <w:lang w:val="ru-RU"/>
        </w:rPr>
        <w:t>статусе</w:t>
      </w:r>
      <w:r w:rsidRPr="00BC7F98">
        <w:rPr>
          <w:lang w:val="ru-RU"/>
        </w:rPr>
        <w:t xml:space="preserve"> </w:t>
      </w:r>
      <w:r>
        <w:rPr>
          <w:lang w:val="ru-RU"/>
        </w:rPr>
        <w:t>элементов</w:t>
      </w:r>
      <w:r w:rsidRPr="00BC7F98">
        <w:rPr>
          <w:lang w:val="ru-RU"/>
        </w:rPr>
        <w:t xml:space="preserve">, </w:t>
      </w:r>
      <w:r>
        <w:rPr>
          <w:lang w:val="ru-RU"/>
        </w:rPr>
        <w:t>включённых</w:t>
      </w:r>
      <w:r w:rsidRPr="00BC7F98">
        <w:rPr>
          <w:lang w:val="ru-RU"/>
        </w:rPr>
        <w:t xml:space="preserve"> </w:t>
      </w:r>
      <w:r>
        <w:rPr>
          <w:lang w:val="ru-RU"/>
        </w:rPr>
        <w:t>в</w:t>
      </w:r>
      <w:r w:rsidRPr="00BC7F98">
        <w:rPr>
          <w:lang w:val="ru-RU"/>
        </w:rPr>
        <w:t xml:space="preserve"> </w:t>
      </w:r>
      <w:r w:rsidRPr="008A2C44">
        <w:rPr>
          <w:lang w:val="ru-RU"/>
        </w:rPr>
        <w:t>Сп</w:t>
      </w:r>
      <w:r>
        <w:rPr>
          <w:lang w:val="ru-RU"/>
        </w:rPr>
        <w:t>исок</w:t>
      </w:r>
      <w:r w:rsidRPr="00BC7F98">
        <w:rPr>
          <w:lang w:val="ru-RU"/>
        </w:rPr>
        <w:t xml:space="preserve"> </w:t>
      </w:r>
      <w:r>
        <w:rPr>
          <w:lang w:val="ru-RU"/>
        </w:rPr>
        <w:t>срочной</w:t>
      </w:r>
      <w:r w:rsidRPr="00BC7F98">
        <w:rPr>
          <w:lang w:val="ru-RU"/>
        </w:rPr>
        <w:t xml:space="preserve"> </w:t>
      </w:r>
      <w:r>
        <w:rPr>
          <w:lang w:val="ru-RU"/>
        </w:rPr>
        <w:t>охраны</w:t>
      </w:r>
      <w:r w:rsidRPr="00BC7F98">
        <w:rPr>
          <w:lang w:val="ru-RU"/>
        </w:rPr>
        <w:t xml:space="preserve">. </w:t>
      </w:r>
      <w:r w:rsidR="002D0CCF">
        <w:rPr>
          <w:lang w:val="ru-RU"/>
        </w:rPr>
        <w:t>Это</w:t>
      </w:r>
      <w:r w:rsidR="002D0CCF" w:rsidRPr="00D56A5B">
        <w:rPr>
          <w:lang w:val="ru-RU"/>
        </w:rPr>
        <w:t xml:space="preserve"> </w:t>
      </w:r>
      <w:r w:rsidR="002D0CCF">
        <w:rPr>
          <w:lang w:val="ru-RU"/>
        </w:rPr>
        <w:t>объясняется</w:t>
      </w:r>
      <w:r w:rsidR="002D0CCF" w:rsidRPr="00D56A5B">
        <w:rPr>
          <w:lang w:val="ru-RU"/>
        </w:rPr>
        <w:t xml:space="preserve"> </w:t>
      </w:r>
      <w:r w:rsidR="002D0CCF">
        <w:rPr>
          <w:lang w:val="ru-RU"/>
        </w:rPr>
        <w:t>прежде</w:t>
      </w:r>
      <w:r w:rsidR="002D0CCF" w:rsidRPr="00D56A5B">
        <w:rPr>
          <w:lang w:val="ru-RU"/>
        </w:rPr>
        <w:t xml:space="preserve"> </w:t>
      </w:r>
      <w:r w:rsidR="002D0CCF">
        <w:rPr>
          <w:lang w:val="ru-RU"/>
        </w:rPr>
        <w:t>всего</w:t>
      </w:r>
      <w:r w:rsidR="002D0CCF" w:rsidRPr="00D56A5B">
        <w:rPr>
          <w:lang w:val="ru-RU"/>
        </w:rPr>
        <w:t xml:space="preserve"> </w:t>
      </w:r>
      <w:r w:rsidR="00F53D72">
        <w:rPr>
          <w:lang w:val="ru-RU"/>
        </w:rPr>
        <w:t xml:space="preserve">тем, что Комитет приступил к рассмотрению </w:t>
      </w:r>
      <w:r w:rsidR="00B45041">
        <w:rPr>
          <w:lang w:val="ru-RU"/>
        </w:rPr>
        <w:t>будуще</w:t>
      </w:r>
      <w:r w:rsidR="00F53D72">
        <w:rPr>
          <w:lang w:val="ru-RU"/>
        </w:rPr>
        <w:t>го</w:t>
      </w:r>
      <w:r w:rsidR="00B45041" w:rsidRPr="00D56A5B">
        <w:rPr>
          <w:lang w:val="ru-RU"/>
        </w:rPr>
        <w:t xml:space="preserve"> </w:t>
      </w:r>
      <w:r w:rsidR="00B45041">
        <w:rPr>
          <w:lang w:val="ru-RU"/>
        </w:rPr>
        <w:t>списков</w:t>
      </w:r>
      <w:r w:rsidR="00B45041" w:rsidRPr="00D56A5B">
        <w:rPr>
          <w:lang w:val="ru-RU"/>
        </w:rPr>
        <w:t xml:space="preserve"> </w:t>
      </w:r>
      <w:r w:rsidR="00B45041">
        <w:rPr>
          <w:lang w:val="ru-RU"/>
        </w:rPr>
        <w:t>и</w:t>
      </w:r>
      <w:r w:rsidR="00B45041" w:rsidRPr="00D56A5B">
        <w:rPr>
          <w:lang w:val="ru-RU"/>
        </w:rPr>
        <w:t xml:space="preserve"> </w:t>
      </w:r>
      <w:r w:rsidR="00B45041">
        <w:rPr>
          <w:lang w:val="ru-RU"/>
        </w:rPr>
        <w:t>некоторы</w:t>
      </w:r>
      <w:r w:rsidR="001C43AC">
        <w:rPr>
          <w:lang w:val="ru-RU"/>
        </w:rPr>
        <w:t>х</w:t>
      </w:r>
      <w:r w:rsidR="00B45041" w:rsidRPr="00D56A5B">
        <w:rPr>
          <w:lang w:val="ru-RU"/>
        </w:rPr>
        <w:t xml:space="preserve"> </w:t>
      </w:r>
      <w:r w:rsidR="00B45041">
        <w:rPr>
          <w:lang w:val="ru-RU"/>
        </w:rPr>
        <w:t>важны</w:t>
      </w:r>
      <w:r w:rsidR="001C43AC">
        <w:rPr>
          <w:lang w:val="ru-RU"/>
        </w:rPr>
        <w:t>х связанных с ними</w:t>
      </w:r>
      <w:r w:rsidR="00B45041" w:rsidRPr="00D56A5B">
        <w:rPr>
          <w:lang w:val="ru-RU"/>
        </w:rPr>
        <w:t xml:space="preserve"> </w:t>
      </w:r>
      <w:r w:rsidR="00B45041">
        <w:rPr>
          <w:lang w:val="ru-RU"/>
        </w:rPr>
        <w:t>механизм</w:t>
      </w:r>
      <w:r w:rsidR="001C43AC">
        <w:rPr>
          <w:lang w:val="ru-RU"/>
        </w:rPr>
        <w:t>ов</w:t>
      </w:r>
      <w:r w:rsidR="00D56A5B" w:rsidRPr="00D56A5B">
        <w:rPr>
          <w:lang w:val="ru-RU"/>
        </w:rPr>
        <w:t xml:space="preserve">, </w:t>
      </w:r>
      <w:r w:rsidR="00D56A5B">
        <w:rPr>
          <w:lang w:val="ru-RU"/>
        </w:rPr>
        <w:t>таки</w:t>
      </w:r>
      <w:r w:rsidR="008D538D">
        <w:rPr>
          <w:lang w:val="ru-RU"/>
        </w:rPr>
        <w:t>х</w:t>
      </w:r>
      <w:r w:rsidR="00D56A5B" w:rsidRPr="00D56A5B">
        <w:rPr>
          <w:lang w:val="ru-RU"/>
        </w:rPr>
        <w:t xml:space="preserve"> </w:t>
      </w:r>
      <w:r w:rsidR="00D56A5B">
        <w:rPr>
          <w:lang w:val="ru-RU"/>
        </w:rPr>
        <w:t>как</w:t>
      </w:r>
      <w:r w:rsidR="00D56A5B" w:rsidRPr="00D56A5B">
        <w:rPr>
          <w:lang w:val="ru-RU"/>
        </w:rPr>
        <w:t xml:space="preserve"> </w:t>
      </w:r>
      <w:r w:rsidR="00D56A5B">
        <w:rPr>
          <w:lang w:val="ru-RU"/>
        </w:rPr>
        <w:t>перемещение</w:t>
      </w:r>
      <w:r w:rsidR="00D56A5B" w:rsidRPr="00D56A5B">
        <w:rPr>
          <w:lang w:val="ru-RU"/>
        </w:rPr>
        <w:t xml:space="preserve"> </w:t>
      </w:r>
      <w:r w:rsidR="00D56A5B">
        <w:rPr>
          <w:lang w:val="ru-RU"/>
        </w:rPr>
        <w:t>и</w:t>
      </w:r>
      <w:r w:rsidR="00D56A5B" w:rsidRPr="00D56A5B">
        <w:rPr>
          <w:lang w:val="ru-RU"/>
        </w:rPr>
        <w:t xml:space="preserve"> </w:t>
      </w:r>
      <w:r w:rsidR="00D56A5B">
        <w:rPr>
          <w:lang w:val="ru-RU"/>
        </w:rPr>
        <w:t>исключение</w:t>
      </w:r>
      <w:r w:rsidR="00D56A5B" w:rsidRPr="00D56A5B">
        <w:rPr>
          <w:lang w:val="ru-RU"/>
        </w:rPr>
        <w:t xml:space="preserve"> </w:t>
      </w:r>
      <w:r w:rsidR="00D56A5B">
        <w:rPr>
          <w:lang w:val="ru-RU"/>
        </w:rPr>
        <w:t>включённых</w:t>
      </w:r>
      <w:r w:rsidR="00D56A5B" w:rsidRPr="00D56A5B">
        <w:rPr>
          <w:lang w:val="ru-RU"/>
        </w:rPr>
        <w:t xml:space="preserve"> </w:t>
      </w:r>
      <w:r w:rsidR="00D56A5B">
        <w:rPr>
          <w:lang w:val="ru-RU"/>
        </w:rPr>
        <w:t>в</w:t>
      </w:r>
      <w:r w:rsidR="00D56A5B" w:rsidRPr="00D56A5B">
        <w:rPr>
          <w:lang w:val="ru-RU"/>
        </w:rPr>
        <w:t xml:space="preserve"> </w:t>
      </w:r>
      <w:r w:rsidR="00D56A5B">
        <w:rPr>
          <w:lang w:val="ru-RU"/>
        </w:rPr>
        <w:t>них</w:t>
      </w:r>
      <w:r w:rsidR="00D56A5B" w:rsidRPr="00D56A5B">
        <w:rPr>
          <w:lang w:val="ru-RU"/>
        </w:rPr>
        <w:t xml:space="preserve"> </w:t>
      </w:r>
      <w:r w:rsidR="00D56A5B">
        <w:rPr>
          <w:lang w:val="ru-RU"/>
        </w:rPr>
        <w:t xml:space="preserve">элементов. </w:t>
      </w:r>
      <w:r w:rsidR="005A7C1C">
        <w:rPr>
          <w:lang w:val="ru-RU"/>
        </w:rPr>
        <w:t>По</w:t>
      </w:r>
      <w:r w:rsidR="005A7C1C" w:rsidRPr="0073127E">
        <w:rPr>
          <w:lang w:val="ru-RU"/>
        </w:rPr>
        <w:t xml:space="preserve"> </w:t>
      </w:r>
      <w:r w:rsidR="005A7C1C">
        <w:rPr>
          <w:lang w:val="ru-RU"/>
        </w:rPr>
        <w:t>мере</w:t>
      </w:r>
      <w:r w:rsidR="005A7C1C" w:rsidRPr="0073127E">
        <w:rPr>
          <w:lang w:val="ru-RU"/>
        </w:rPr>
        <w:t xml:space="preserve"> </w:t>
      </w:r>
      <w:r w:rsidR="005A7C1C">
        <w:rPr>
          <w:lang w:val="ru-RU"/>
        </w:rPr>
        <w:t>углубления</w:t>
      </w:r>
      <w:r w:rsidR="005A7C1C" w:rsidRPr="0073127E">
        <w:rPr>
          <w:lang w:val="ru-RU"/>
        </w:rPr>
        <w:t xml:space="preserve"> </w:t>
      </w:r>
      <w:r w:rsidR="005A7C1C">
        <w:rPr>
          <w:lang w:val="ru-RU"/>
        </w:rPr>
        <w:t>такого</w:t>
      </w:r>
      <w:r w:rsidR="005A7C1C" w:rsidRPr="0073127E">
        <w:rPr>
          <w:lang w:val="ru-RU"/>
        </w:rPr>
        <w:t xml:space="preserve"> </w:t>
      </w:r>
      <w:r w:rsidR="005A7C1C">
        <w:rPr>
          <w:lang w:val="ru-RU"/>
        </w:rPr>
        <w:t>рассмотрения</w:t>
      </w:r>
      <w:r w:rsidR="005A7C1C" w:rsidRPr="0073127E">
        <w:rPr>
          <w:lang w:val="ru-RU"/>
        </w:rPr>
        <w:t xml:space="preserve"> </w:t>
      </w:r>
      <w:r w:rsidR="005A7C1C">
        <w:rPr>
          <w:lang w:val="ru-RU"/>
        </w:rPr>
        <w:t>Комитет</w:t>
      </w:r>
      <w:r w:rsidR="005A7C1C" w:rsidRPr="0073127E">
        <w:rPr>
          <w:lang w:val="ru-RU"/>
        </w:rPr>
        <w:t xml:space="preserve"> </w:t>
      </w:r>
      <w:r w:rsidR="005A7C1C">
        <w:rPr>
          <w:lang w:val="ru-RU"/>
        </w:rPr>
        <w:t>будет</w:t>
      </w:r>
      <w:r w:rsidR="005A7C1C" w:rsidRPr="0073127E">
        <w:rPr>
          <w:lang w:val="ru-RU"/>
        </w:rPr>
        <w:t xml:space="preserve"> </w:t>
      </w:r>
      <w:r w:rsidR="005A7C1C">
        <w:rPr>
          <w:lang w:val="ru-RU"/>
        </w:rPr>
        <w:t>иметь</w:t>
      </w:r>
      <w:r w:rsidR="005A7C1C" w:rsidRPr="0073127E">
        <w:rPr>
          <w:lang w:val="ru-RU"/>
        </w:rPr>
        <w:t xml:space="preserve"> </w:t>
      </w:r>
      <w:r w:rsidR="00584E00">
        <w:rPr>
          <w:lang w:val="ru-RU"/>
        </w:rPr>
        <w:t>больше</w:t>
      </w:r>
      <w:r w:rsidR="005A7C1C" w:rsidRPr="0073127E">
        <w:rPr>
          <w:lang w:val="ru-RU"/>
        </w:rPr>
        <w:t xml:space="preserve"> </w:t>
      </w:r>
      <w:r w:rsidR="005A7C1C">
        <w:rPr>
          <w:lang w:val="ru-RU"/>
        </w:rPr>
        <w:t>возможност</w:t>
      </w:r>
      <w:r w:rsidR="00584E00">
        <w:rPr>
          <w:lang w:val="ru-RU"/>
        </w:rPr>
        <w:t>ей</w:t>
      </w:r>
      <w:r w:rsidR="005A7C1C" w:rsidRPr="0073127E">
        <w:rPr>
          <w:lang w:val="ru-RU"/>
        </w:rPr>
        <w:t xml:space="preserve"> </w:t>
      </w:r>
      <w:r w:rsidR="005B4CD3">
        <w:rPr>
          <w:lang w:val="ru-RU"/>
        </w:rPr>
        <w:t>для</w:t>
      </w:r>
      <w:r w:rsidR="005B4CD3" w:rsidRPr="0073127E">
        <w:rPr>
          <w:lang w:val="ru-RU"/>
        </w:rPr>
        <w:t xml:space="preserve"> </w:t>
      </w:r>
      <w:r w:rsidR="005B4CD3">
        <w:rPr>
          <w:lang w:val="ru-RU"/>
        </w:rPr>
        <w:t>решения</w:t>
      </w:r>
      <w:r w:rsidR="005B4CD3" w:rsidRPr="0073127E">
        <w:rPr>
          <w:lang w:val="ru-RU"/>
        </w:rPr>
        <w:t xml:space="preserve"> </w:t>
      </w:r>
      <w:r w:rsidR="005B4CD3">
        <w:rPr>
          <w:lang w:val="ru-RU"/>
        </w:rPr>
        <w:t>вопроса</w:t>
      </w:r>
      <w:r w:rsidR="005B4CD3" w:rsidRPr="0073127E">
        <w:rPr>
          <w:lang w:val="ru-RU"/>
        </w:rPr>
        <w:t xml:space="preserve"> </w:t>
      </w:r>
      <w:r w:rsidR="005B4CD3">
        <w:rPr>
          <w:lang w:val="ru-RU"/>
        </w:rPr>
        <w:t>о</w:t>
      </w:r>
      <w:r w:rsidR="005B4CD3" w:rsidRPr="0073127E">
        <w:rPr>
          <w:lang w:val="ru-RU"/>
        </w:rPr>
        <w:t xml:space="preserve"> </w:t>
      </w:r>
      <w:r w:rsidR="005B4CD3">
        <w:rPr>
          <w:lang w:val="ru-RU"/>
        </w:rPr>
        <w:t>том</w:t>
      </w:r>
      <w:r w:rsidR="005B4CD3" w:rsidRPr="0073127E">
        <w:rPr>
          <w:lang w:val="ru-RU"/>
        </w:rPr>
        <w:t xml:space="preserve">, </w:t>
      </w:r>
      <w:r w:rsidR="005B4CD3">
        <w:rPr>
          <w:lang w:val="ru-RU"/>
        </w:rPr>
        <w:t>следует</w:t>
      </w:r>
      <w:r w:rsidR="005B4CD3" w:rsidRPr="0073127E">
        <w:rPr>
          <w:lang w:val="ru-RU"/>
        </w:rPr>
        <w:t xml:space="preserve"> </w:t>
      </w:r>
      <w:r w:rsidR="005B4CD3">
        <w:rPr>
          <w:lang w:val="ru-RU"/>
        </w:rPr>
        <w:t>ли</w:t>
      </w:r>
      <w:r w:rsidR="005B4CD3" w:rsidRPr="0073127E">
        <w:rPr>
          <w:lang w:val="ru-RU"/>
        </w:rPr>
        <w:t xml:space="preserve"> </w:t>
      </w:r>
      <w:r w:rsidR="005B4CD3">
        <w:rPr>
          <w:lang w:val="ru-RU"/>
        </w:rPr>
        <w:t>согласовать</w:t>
      </w:r>
      <w:r w:rsidR="005B4CD3" w:rsidRPr="0073127E">
        <w:rPr>
          <w:lang w:val="ru-RU"/>
        </w:rPr>
        <w:t xml:space="preserve"> </w:t>
      </w:r>
      <w:r w:rsidR="005B4CD3">
        <w:rPr>
          <w:lang w:val="ru-RU"/>
        </w:rPr>
        <w:t>механизм</w:t>
      </w:r>
      <w:r w:rsidR="005B4CD3" w:rsidRPr="0073127E">
        <w:rPr>
          <w:lang w:val="ru-RU"/>
        </w:rPr>
        <w:t xml:space="preserve"> </w:t>
      </w:r>
      <w:r w:rsidR="005B4CD3">
        <w:rPr>
          <w:lang w:val="ru-RU"/>
        </w:rPr>
        <w:t>представления</w:t>
      </w:r>
      <w:r w:rsidR="005B4CD3" w:rsidRPr="0073127E">
        <w:rPr>
          <w:lang w:val="ru-RU"/>
        </w:rPr>
        <w:t xml:space="preserve"> </w:t>
      </w:r>
      <w:r w:rsidR="005B4CD3">
        <w:rPr>
          <w:lang w:val="ru-RU"/>
        </w:rPr>
        <w:t>докладов</w:t>
      </w:r>
      <w:r w:rsidR="005B4CD3" w:rsidRPr="0073127E">
        <w:rPr>
          <w:lang w:val="ru-RU"/>
        </w:rPr>
        <w:t xml:space="preserve"> </w:t>
      </w:r>
      <w:r w:rsidR="005B4CD3">
        <w:rPr>
          <w:lang w:val="ru-RU"/>
        </w:rPr>
        <w:t>в</w:t>
      </w:r>
      <w:r w:rsidR="005B4CD3" w:rsidRPr="0073127E">
        <w:rPr>
          <w:lang w:val="ru-RU"/>
        </w:rPr>
        <w:t xml:space="preserve"> </w:t>
      </w:r>
      <w:r w:rsidR="005B4CD3">
        <w:rPr>
          <w:lang w:val="ru-RU"/>
        </w:rPr>
        <w:t>отношении</w:t>
      </w:r>
      <w:r w:rsidR="005B4CD3" w:rsidRPr="0073127E">
        <w:rPr>
          <w:lang w:val="ru-RU"/>
        </w:rPr>
        <w:t xml:space="preserve"> </w:t>
      </w:r>
      <w:r w:rsidR="005B4CD3">
        <w:rPr>
          <w:lang w:val="ru-RU"/>
        </w:rPr>
        <w:t>Списка</w:t>
      </w:r>
      <w:r w:rsidR="005B4CD3" w:rsidRPr="0073127E">
        <w:rPr>
          <w:lang w:val="ru-RU"/>
        </w:rPr>
        <w:t xml:space="preserve"> </w:t>
      </w:r>
      <w:r w:rsidR="005B4CD3">
        <w:rPr>
          <w:lang w:val="ru-RU"/>
        </w:rPr>
        <w:t>срочной</w:t>
      </w:r>
      <w:r w:rsidR="005B4CD3" w:rsidRPr="0073127E">
        <w:rPr>
          <w:lang w:val="ru-RU"/>
        </w:rPr>
        <w:t xml:space="preserve"> </w:t>
      </w:r>
      <w:r w:rsidR="005B4CD3">
        <w:rPr>
          <w:lang w:val="ru-RU"/>
        </w:rPr>
        <w:t>охраны</w:t>
      </w:r>
      <w:r w:rsidR="005B4CD3" w:rsidRPr="0073127E">
        <w:rPr>
          <w:lang w:val="ru-RU"/>
        </w:rPr>
        <w:t xml:space="preserve"> </w:t>
      </w:r>
      <w:r w:rsidR="0073127E">
        <w:rPr>
          <w:lang w:val="ru-RU"/>
        </w:rPr>
        <w:t>с</w:t>
      </w:r>
      <w:r w:rsidR="005B4CD3" w:rsidRPr="0073127E">
        <w:rPr>
          <w:lang w:val="ru-RU"/>
        </w:rPr>
        <w:t xml:space="preserve"> </w:t>
      </w:r>
      <w:r w:rsidR="005B4CD3">
        <w:rPr>
          <w:lang w:val="ru-RU"/>
        </w:rPr>
        <w:t>региональным</w:t>
      </w:r>
      <w:r w:rsidR="005B4CD3" w:rsidRPr="0073127E">
        <w:rPr>
          <w:lang w:val="ru-RU"/>
        </w:rPr>
        <w:t xml:space="preserve"> </w:t>
      </w:r>
      <w:r w:rsidR="005B4CD3">
        <w:rPr>
          <w:lang w:val="ru-RU"/>
        </w:rPr>
        <w:t>графиком</w:t>
      </w:r>
      <w:r w:rsidR="00FF687D" w:rsidRPr="0073127E">
        <w:rPr>
          <w:lang w:val="ru-RU"/>
        </w:rPr>
        <w:t xml:space="preserve"> </w:t>
      </w:r>
      <w:r w:rsidR="00FF687D">
        <w:rPr>
          <w:lang w:val="ru-RU"/>
        </w:rPr>
        <w:t>или</w:t>
      </w:r>
      <w:r w:rsidR="00FF687D" w:rsidRPr="0073127E">
        <w:rPr>
          <w:lang w:val="ru-RU"/>
        </w:rPr>
        <w:t xml:space="preserve"> </w:t>
      </w:r>
      <w:r w:rsidR="00FF687D">
        <w:rPr>
          <w:lang w:val="ru-RU"/>
        </w:rPr>
        <w:t>сохранить</w:t>
      </w:r>
      <w:r w:rsidR="00FF687D" w:rsidRPr="0073127E">
        <w:rPr>
          <w:lang w:val="ru-RU"/>
        </w:rPr>
        <w:t xml:space="preserve"> </w:t>
      </w:r>
      <w:r w:rsidR="00FF687D">
        <w:rPr>
          <w:lang w:val="ru-RU"/>
        </w:rPr>
        <w:t>его</w:t>
      </w:r>
      <w:r w:rsidR="00FF687D" w:rsidRPr="0073127E">
        <w:rPr>
          <w:lang w:val="ru-RU"/>
        </w:rPr>
        <w:t xml:space="preserve"> </w:t>
      </w:r>
      <w:r w:rsidR="00FF687D">
        <w:rPr>
          <w:lang w:val="ru-RU"/>
        </w:rPr>
        <w:t>как</w:t>
      </w:r>
      <w:r w:rsidR="00FF687D" w:rsidRPr="0073127E">
        <w:rPr>
          <w:lang w:val="ru-RU"/>
        </w:rPr>
        <w:t xml:space="preserve"> </w:t>
      </w:r>
      <w:r w:rsidR="00FF687D">
        <w:rPr>
          <w:lang w:val="ru-RU"/>
        </w:rPr>
        <w:t>отдельную</w:t>
      </w:r>
      <w:r w:rsidR="00FF687D" w:rsidRPr="0073127E">
        <w:rPr>
          <w:lang w:val="ru-RU"/>
        </w:rPr>
        <w:t xml:space="preserve"> </w:t>
      </w:r>
      <w:r w:rsidR="00FF687D">
        <w:rPr>
          <w:lang w:val="ru-RU"/>
        </w:rPr>
        <w:t>систему</w:t>
      </w:r>
      <w:r w:rsidR="00FF687D" w:rsidRPr="0073127E">
        <w:rPr>
          <w:lang w:val="ru-RU"/>
        </w:rPr>
        <w:t xml:space="preserve"> </w:t>
      </w:r>
      <w:r w:rsidR="0073127E">
        <w:rPr>
          <w:lang w:val="ru-RU"/>
        </w:rPr>
        <w:t>в её теперешнем виде</w:t>
      </w:r>
      <w:r w:rsidR="00456E62">
        <w:rPr>
          <w:lang w:val="ru-RU"/>
        </w:rPr>
        <w:t xml:space="preserve">, когда доклады зависят от даты включения </w:t>
      </w:r>
      <w:r w:rsidR="00974F8C">
        <w:rPr>
          <w:lang w:val="ru-RU"/>
        </w:rPr>
        <w:t xml:space="preserve">и представляются раз в четыре года. </w:t>
      </w:r>
      <w:r w:rsidR="00601914">
        <w:rPr>
          <w:lang w:val="ru-RU"/>
        </w:rPr>
        <w:t>Кроме</w:t>
      </w:r>
      <w:r w:rsidR="00A971E0" w:rsidRPr="007A3EA6">
        <w:rPr>
          <w:lang w:val="ru-RU"/>
        </w:rPr>
        <w:t xml:space="preserve"> </w:t>
      </w:r>
      <w:r w:rsidR="00A971E0">
        <w:rPr>
          <w:lang w:val="ru-RU"/>
        </w:rPr>
        <w:t>того</w:t>
      </w:r>
      <w:r w:rsidR="00A971E0" w:rsidRPr="007A3EA6">
        <w:rPr>
          <w:lang w:val="ru-RU"/>
        </w:rPr>
        <w:t xml:space="preserve">, </w:t>
      </w:r>
      <w:r w:rsidR="00A971E0">
        <w:rPr>
          <w:lang w:val="ru-RU"/>
        </w:rPr>
        <w:t>не</w:t>
      </w:r>
      <w:r w:rsidR="00A971E0" w:rsidRPr="007A3EA6">
        <w:rPr>
          <w:lang w:val="ru-RU"/>
        </w:rPr>
        <w:t xml:space="preserve"> </w:t>
      </w:r>
      <w:r w:rsidR="00A971E0">
        <w:rPr>
          <w:lang w:val="ru-RU"/>
        </w:rPr>
        <w:t>предлагается</w:t>
      </w:r>
      <w:r w:rsidR="00A971E0" w:rsidRPr="007A3EA6">
        <w:rPr>
          <w:lang w:val="ru-RU"/>
        </w:rPr>
        <w:t xml:space="preserve"> </w:t>
      </w:r>
      <w:r w:rsidR="00A971E0">
        <w:rPr>
          <w:lang w:val="ru-RU"/>
        </w:rPr>
        <w:t>пересмотра</w:t>
      </w:r>
      <w:r w:rsidR="00A971E0" w:rsidRPr="007A3EA6">
        <w:rPr>
          <w:lang w:val="ru-RU"/>
        </w:rPr>
        <w:t xml:space="preserve"> </w:t>
      </w:r>
      <w:r w:rsidR="00A971E0">
        <w:rPr>
          <w:lang w:val="ru-RU"/>
        </w:rPr>
        <w:t>процедуры</w:t>
      </w:r>
      <w:r w:rsidR="00A971E0" w:rsidRPr="007A3EA6">
        <w:rPr>
          <w:lang w:val="ru-RU"/>
        </w:rPr>
        <w:t xml:space="preserve"> </w:t>
      </w:r>
      <w:r w:rsidR="007A3EA6">
        <w:rPr>
          <w:lang w:val="ru-RU"/>
        </w:rPr>
        <w:t>представления</w:t>
      </w:r>
      <w:r w:rsidR="007A3EA6" w:rsidRPr="007A3EA6">
        <w:rPr>
          <w:lang w:val="ru-RU"/>
        </w:rPr>
        <w:t xml:space="preserve"> </w:t>
      </w:r>
      <w:r w:rsidR="007A3EA6">
        <w:rPr>
          <w:lang w:val="ru-RU"/>
        </w:rPr>
        <w:t>докладов</w:t>
      </w:r>
      <w:r w:rsidR="007A3EA6" w:rsidRPr="007A3EA6">
        <w:rPr>
          <w:lang w:val="ru-RU"/>
        </w:rPr>
        <w:t xml:space="preserve"> </w:t>
      </w:r>
      <w:r w:rsidR="007A3EA6">
        <w:rPr>
          <w:lang w:val="ru-RU"/>
        </w:rPr>
        <w:t>государствами</w:t>
      </w:r>
      <w:r w:rsidR="007A3EA6" w:rsidRPr="007A3EA6">
        <w:rPr>
          <w:lang w:val="ru-RU"/>
        </w:rPr>
        <w:t xml:space="preserve">, </w:t>
      </w:r>
      <w:r w:rsidR="007A3EA6">
        <w:rPr>
          <w:lang w:val="ru-RU"/>
        </w:rPr>
        <w:t>не</w:t>
      </w:r>
      <w:r w:rsidR="007A3EA6" w:rsidRPr="007A3EA6">
        <w:rPr>
          <w:lang w:val="ru-RU"/>
        </w:rPr>
        <w:t xml:space="preserve"> </w:t>
      </w:r>
      <w:r w:rsidR="007A3EA6">
        <w:rPr>
          <w:lang w:val="ru-RU"/>
        </w:rPr>
        <w:t>являющимися</w:t>
      </w:r>
      <w:r w:rsidR="007A3EA6" w:rsidRPr="007A3EA6">
        <w:rPr>
          <w:lang w:val="ru-RU"/>
        </w:rPr>
        <w:t xml:space="preserve"> </w:t>
      </w:r>
      <w:r w:rsidR="007A3EA6">
        <w:rPr>
          <w:lang w:val="ru-RU"/>
        </w:rPr>
        <w:t>участниками</w:t>
      </w:r>
      <w:r w:rsidR="007A3EA6" w:rsidRPr="007A3EA6">
        <w:rPr>
          <w:lang w:val="ru-RU"/>
        </w:rPr>
        <w:t xml:space="preserve"> </w:t>
      </w:r>
      <w:r w:rsidR="007A3EA6">
        <w:rPr>
          <w:lang w:val="ru-RU"/>
        </w:rPr>
        <w:t>Конвенции</w:t>
      </w:r>
      <w:r w:rsidR="007A3EA6" w:rsidRPr="007A3EA6">
        <w:rPr>
          <w:lang w:val="ru-RU"/>
        </w:rPr>
        <w:t xml:space="preserve">, </w:t>
      </w:r>
      <w:r w:rsidR="007A3EA6">
        <w:rPr>
          <w:lang w:val="ru-RU"/>
        </w:rPr>
        <w:t>об</w:t>
      </w:r>
      <w:r w:rsidR="007A3EA6" w:rsidRPr="007A3EA6">
        <w:rPr>
          <w:lang w:val="ru-RU"/>
        </w:rPr>
        <w:t xml:space="preserve"> </w:t>
      </w:r>
      <w:r w:rsidR="007A3EA6">
        <w:rPr>
          <w:lang w:val="ru-RU"/>
        </w:rPr>
        <w:t>элементах</w:t>
      </w:r>
      <w:r w:rsidR="007A3EA6" w:rsidRPr="007A3EA6">
        <w:rPr>
          <w:lang w:val="ru-RU"/>
        </w:rPr>
        <w:t xml:space="preserve">, </w:t>
      </w:r>
      <w:r w:rsidR="007A3EA6">
        <w:rPr>
          <w:lang w:val="ru-RU"/>
        </w:rPr>
        <w:t>включённых</w:t>
      </w:r>
      <w:r w:rsidR="007A3EA6" w:rsidRPr="007A3EA6">
        <w:rPr>
          <w:lang w:val="ru-RU"/>
        </w:rPr>
        <w:t xml:space="preserve"> </w:t>
      </w:r>
      <w:r w:rsidR="007A3EA6">
        <w:rPr>
          <w:lang w:val="ru-RU"/>
        </w:rPr>
        <w:t>в</w:t>
      </w:r>
      <w:r w:rsidR="007A3EA6" w:rsidRPr="007A3EA6">
        <w:rPr>
          <w:lang w:val="ru-RU"/>
        </w:rPr>
        <w:t xml:space="preserve"> </w:t>
      </w:r>
      <w:r w:rsidR="007A3EA6">
        <w:rPr>
          <w:lang w:val="ru-RU"/>
        </w:rPr>
        <w:t>Репрезентативный</w:t>
      </w:r>
      <w:r w:rsidR="007A3EA6" w:rsidRPr="007A3EA6">
        <w:rPr>
          <w:lang w:val="ru-RU"/>
        </w:rPr>
        <w:t xml:space="preserve"> </w:t>
      </w:r>
      <w:r w:rsidR="007A3EA6">
        <w:rPr>
          <w:lang w:val="ru-RU"/>
        </w:rPr>
        <w:t>список</w:t>
      </w:r>
      <w:r w:rsidR="007A3EA6" w:rsidRPr="007A3EA6">
        <w:rPr>
          <w:lang w:val="ru-RU"/>
        </w:rPr>
        <w:t xml:space="preserve">; </w:t>
      </w:r>
      <w:r w:rsidR="007A3EA6">
        <w:rPr>
          <w:lang w:val="ru-RU"/>
        </w:rPr>
        <w:t>в</w:t>
      </w:r>
      <w:r w:rsidR="007A3EA6" w:rsidRPr="007A3EA6">
        <w:rPr>
          <w:lang w:val="ru-RU"/>
        </w:rPr>
        <w:t xml:space="preserve"> </w:t>
      </w:r>
      <w:r w:rsidR="007A3EA6">
        <w:rPr>
          <w:lang w:val="ru-RU"/>
        </w:rPr>
        <w:t>настоящее</w:t>
      </w:r>
      <w:r w:rsidR="007A3EA6" w:rsidRPr="007A3EA6">
        <w:rPr>
          <w:lang w:val="ru-RU"/>
        </w:rPr>
        <w:t xml:space="preserve"> </w:t>
      </w:r>
      <w:r w:rsidR="007A3EA6">
        <w:rPr>
          <w:lang w:val="ru-RU"/>
        </w:rPr>
        <w:t>время</w:t>
      </w:r>
      <w:r w:rsidR="007A3EA6" w:rsidRPr="007A3EA6">
        <w:rPr>
          <w:lang w:val="ru-RU"/>
        </w:rPr>
        <w:t xml:space="preserve"> </w:t>
      </w:r>
      <w:r w:rsidR="007A3EA6">
        <w:rPr>
          <w:lang w:val="ru-RU"/>
        </w:rPr>
        <w:t xml:space="preserve">это касается только одного государства (Российской Федерации). </w:t>
      </w:r>
      <w:r w:rsidR="00CE7532">
        <w:rPr>
          <w:lang w:val="ru-RU"/>
        </w:rPr>
        <w:t>Для</w:t>
      </w:r>
      <w:r w:rsidR="00CE7532" w:rsidRPr="000F7AF2">
        <w:rPr>
          <w:lang w:val="ru-RU"/>
        </w:rPr>
        <w:t xml:space="preserve"> </w:t>
      </w:r>
      <w:r w:rsidR="00CE7532">
        <w:rPr>
          <w:lang w:val="ru-RU"/>
        </w:rPr>
        <w:t>них</w:t>
      </w:r>
      <w:r w:rsidR="00CE7532" w:rsidRPr="000F7AF2">
        <w:rPr>
          <w:lang w:val="ru-RU"/>
        </w:rPr>
        <w:t xml:space="preserve"> </w:t>
      </w:r>
      <w:r w:rsidR="00CE7532">
        <w:rPr>
          <w:lang w:val="ru-RU"/>
        </w:rPr>
        <w:t>сохраняется</w:t>
      </w:r>
      <w:r w:rsidR="00CE7532" w:rsidRPr="000F7AF2">
        <w:rPr>
          <w:lang w:val="ru-RU"/>
        </w:rPr>
        <w:t xml:space="preserve"> </w:t>
      </w:r>
      <w:r w:rsidR="000F7AF2">
        <w:rPr>
          <w:lang w:val="ru-RU"/>
        </w:rPr>
        <w:t>система</w:t>
      </w:r>
      <w:r w:rsidR="000F7AF2" w:rsidRPr="000F7AF2">
        <w:rPr>
          <w:lang w:val="ru-RU"/>
        </w:rPr>
        <w:t xml:space="preserve"> </w:t>
      </w:r>
      <w:r w:rsidR="000F7AF2">
        <w:rPr>
          <w:lang w:val="ru-RU"/>
        </w:rPr>
        <w:t>представления</w:t>
      </w:r>
      <w:r w:rsidR="000F7AF2" w:rsidRPr="000F7AF2">
        <w:rPr>
          <w:lang w:val="ru-RU"/>
        </w:rPr>
        <w:t xml:space="preserve"> </w:t>
      </w:r>
      <w:r w:rsidR="000F7AF2">
        <w:rPr>
          <w:lang w:val="ru-RU"/>
        </w:rPr>
        <w:t>докладов</w:t>
      </w:r>
      <w:r w:rsidR="000F7AF2" w:rsidRPr="000F7AF2">
        <w:rPr>
          <w:lang w:val="ru-RU"/>
        </w:rPr>
        <w:t xml:space="preserve"> </w:t>
      </w:r>
      <w:r w:rsidR="000F7AF2">
        <w:rPr>
          <w:lang w:val="ru-RU"/>
        </w:rPr>
        <w:t>каждые</w:t>
      </w:r>
      <w:r w:rsidR="000F7AF2" w:rsidRPr="000F7AF2">
        <w:rPr>
          <w:lang w:val="ru-RU"/>
        </w:rPr>
        <w:t xml:space="preserve"> </w:t>
      </w:r>
      <w:r w:rsidR="000F7AF2">
        <w:rPr>
          <w:lang w:val="ru-RU"/>
        </w:rPr>
        <w:t>шесть</w:t>
      </w:r>
      <w:r w:rsidR="000F7AF2" w:rsidRPr="000F7AF2">
        <w:rPr>
          <w:lang w:val="ru-RU"/>
        </w:rPr>
        <w:t xml:space="preserve"> </w:t>
      </w:r>
      <w:r w:rsidR="000F7AF2">
        <w:rPr>
          <w:lang w:val="ru-RU"/>
        </w:rPr>
        <w:t>лет</w:t>
      </w:r>
      <w:r w:rsidR="000F7AF2" w:rsidRPr="000F7AF2">
        <w:rPr>
          <w:lang w:val="ru-RU"/>
        </w:rPr>
        <w:t xml:space="preserve">, </w:t>
      </w:r>
      <w:r w:rsidR="000F7AF2">
        <w:rPr>
          <w:lang w:val="ru-RU"/>
        </w:rPr>
        <w:t>основанная</w:t>
      </w:r>
      <w:r w:rsidR="000F7AF2" w:rsidRPr="000F7AF2">
        <w:rPr>
          <w:lang w:val="ru-RU"/>
        </w:rPr>
        <w:t xml:space="preserve"> </w:t>
      </w:r>
      <w:r w:rsidR="000F7AF2">
        <w:rPr>
          <w:lang w:val="ru-RU"/>
        </w:rPr>
        <w:t>на</w:t>
      </w:r>
      <w:r w:rsidR="000F7AF2" w:rsidRPr="000F7AF2">
        <w:rPr>
          <w:lang w:val="ru-RU"/>
        </w:rPr>
        <w:t xml:space="preserve"> </w:t>
      </w:r>
      <w:r w:rsidR="000F7AF2">
        <w:rPr>
          <w:lang w:val="ru-RU"/>
        </w:rPr>
        <w:t>годе</w:t>
      </w:r>
      <w:r w:rsidR="000F7AF2" w:rsidRPr="000F7AF2">
        <w:rPr>
          <w:lang w:val="ru-RU"/>
        </w:rPr>
        <w:t xml:space="preserve"> </w:t>
      </w:r>
      <w:r w:rsidR="000F7AF2">
        <w:rPr>
          <w:lang w:val="ru-RU"/>
        </w:rPr>
        <w:t>включения</w:t>
      </w:r>
      <w:r w:rsidR="000F7AF2" w:rsidRPr="000F7AF2">
        <w:rPr>
          <w:lang w:val="ru-RU"/>
        </w:rPr>
        <w:t xml:space="preserve"> </w:t>
      </w:r>
      <w:r w:rsidR="000F7AF2">
        <w:rPr>
          <w:lang w:val="ru-RU"/>
        </w:rPr>
        <w:t>Шедевра</w:t>
      </w:r>
      <w:r w:rsidR="000F7AF2" w:rsidRPr="000F7AF2">
        <w:rPr>
          <w:lang w:val="ru-RU"/>
        </w:rPr>
        <w:t xml:space="preserve"> </w:t>
      </w:r>
      <w:r w:rsidR="000F7AF2">
        <w:rPr>
          <w:lang w:val="ru-RU"/>
        </w:rPr>
        <w:t>в</w:t>
      </w:r>
      <w:r w:rsidR="000F7AF2" w:rsidRPr="000F7AF2">
        <w:rPr>
          <w:lang w:val="ru-RU"/>
        </w:rPr>
        <w:t xml:space="preserve"> </w:t>
      </w:r>
      <w:r w:rsidR="000F7AF2">
        <w:rPr>
          <w:lang w:val="ru-RU"/>
        </w:rPr>
        <w:t>Репрезентативный список</w:t>
      </w:r>
      <w:r w:rsidR="00AD435A" w:rsidRPr="000F7AF2">
        <w:rPr>
          <w:lang w:val="ru-RU"/>
        </w:rPr>
        <w:t>.</w:t>
      </w:r>
    </w:p>
    <w:p w:rsidR="00AD435A" w:rsidRPr="00320775" w:rsidRDefault="00DC378E" w:rsidP="00E055F0">
      <w:pPr>
        <w:pStyle w:val="COMPara"/>
        <w:numPr>
          <w:ilvl w:val="0"/>
          <w:numId w:val="13"/>
        </w:numPr>
        <w:spacing w:before="120"/>
        <w:ind w:left="567" w:hanging="567"/>
        <w:jc w:val="both"/>
        <w:rPr>
          <w:lang w:val="ru-RU"/>
        </w:rPr>
      </w:pPr>
      <w:r>
        <w:rPr>
          <w:lang w:val="ru-RU"/>
        </w:rPr>
        <w:t>Рекомендованные</w:t>
      </w:r>
      <w:r w:rsidRPr="00320775">
        <w:rPr>
          <w:lang w:val="ru-RU"/>
        </w:rPr>
        <w:t xml:space="preserve"> </w:t>
      </w:r>
      <w:r>
        <w:rPr>
          <w:lang w:val="ru-RU"/>
        </w:rPr>
        <w:t>Комитетом</w:t>
      </w:r>
      <w:r w:rsidRPr="00320775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320775">
        <w:rPr>
          <w:lang w:val="ru-RU"/>
        </w:rPr>
        <w:t xml:space="preserve"> </w:t>
      </w:r>
      <w:r>
        <w:rPr>
          <w:lang w:val="ru-RU"/>
        </w:rPr>
        <w:t>ассамблее</w:t>
      </w:r>
      <w:r w:rsidRPr="00320775">
        <w:rPr>
          <w:lang w:val="ru-RU"/>
        </w:rPr>
        <w:t xml:space="preserve"> </w:t>
      </w:r>
      <w:r w:rsidR="0084222F">
        <w:rPr>
          <w:lang w:val="ru-RU"/>
        </w:rPr>
        <w:t>п</w:t>
      </w:r>
      <w:r>
        <w:rPr>
          <w:lang w:val="ru-RU"/>
        </w:rPr>
        <w:t>оправки</w:t>
      </w:r>
      <w:r w:rsidRPr="00320775">
        <w:rPr>
          <w:lang w:val="ru-RU"/>
        </w:rPr>
        <w:t xml:space="preserve"> </w:t>
      </w:r>
      <w:r>
        <w:rPr>
          <w:lang w:val="ru-RU"/>
        </w:rPr>
        <w:t>к</w:t>
      </w:r>
      <w:r w:rsidRPr="00320775">
        <w:rPr>
          <w:lang w:val="ru-RU"/>
        </w:rPr>
        <w:t xml:space="preserve"> </w:t>
      </w:r>
      <w:r>
        <w:rPr>
          <w:lang w:val="ru-RU"/>
        </w:rPr>
        <w:t>Оперативному</w:t>
      </w:r>
      <w:r w:rsidRPr="00320775">
        <w:rPr>
          <w:lang w:val="ru-RU"/>
        </w:rPr>
        <w:t xml:space="preserve"> </w:t>
      </w:r>
      <w:r>
        <w:rPr>
          <w:lang w:val="ru-RU"/>
        </w:rPr>
        <w:t>руководству</w:t>
      </w:r>
      <w:r w:rsidR="0084222F" w:rsidRPr="00320775">
        <w:rPr>
          <w:lang w:val="ru-RU"/>
        </w:rPr>
        <w:t xml:space="preserve">, </w:t>
      </w:r>
      <w:r w:rsidR="0084222F">
        <w:rPr>
          <w:lang w:val="ru-RU"/>
        </w:rPr>
        <w:t>представленные</w:t>
      </w:r>
      <w:r w:rsidR="0084222F" w:rsidRPr="00320775">
        <w:rPr>
          <w:lang w:val="ru-RU"/>
        </w:rPr>
        <w:t xml:space="preserve"> </w:t>
      </w:r>
      <w:r w:rsidR="0084222F">
        <w:rPr>
          <w:lang w:val="ru-RU"/>
        </w:rPr>
        <w:t>в</w:t>
      </w:r>
      <w:r w:rsidR="0084222F" w:rsidRPr="00320775">
        <w:rPr>
          <w:lang w:val="ru-RU"/>
        </w:rPr>
        <w:t xml:space="preserve"> </w:t>
      </w:r>
      <w:r w:rsidR="0084222F">
        <w:rPr>
          <w:lang w:val="ru-RU"/>
        </w:rPr>
        <w:t>Приложении</w:t>
      </w:r>
      <w:r w:rsidR="0084222F" w:rsidRPr="00320775">
        <w:rPr>
          <w:lang w:val="ru-RU"/>
        </w:rPr>
        <w:t xml:space="preserve"> </w:t>
      </w:r>
      <w:r w:rsidR="0084222F">
        <w:rPr>
          <w:lang w:val="ru-RU"/>
        </w:rPr>
        <w:t>к</w:t>
      </w:r>
      <w:r w:rsidR="0084222F" w:rsidRPr="00320775">
        <w:rPr>
          <w:lang w:val="ru-RU"/>
        </w:rPr>
        <w:t xml:space="preserve"> </w:t>
      </w:r>
      <w:r w:rsidR="0084222F">
        <w:rPr>
          <w:lang w:val="ru-RU"/>
        </w:rPr>
        <w:t>настоящему</w:t>
      </w:r>
      <w:r w:rsidR="0084222F" w:rsidRPr="00320775">
        <w:rPr>
          <w:lang w:val="ru-RU"/>
        </w:rPr>
        <w:t xml:space="preserve"> </w:t>
      </w:r>
      <w:r w:rsidR="0084222F">
        <w:rPr>
          <w:lang w:val="ru-RU"/>
        </w:rPr>
        <w:t>документу</w:t>
      </w:r>
      <w:r w:rsidR="0084222F" w:rsidRPr="00320775">
        <w:rPr>
          <w:lang w:val="ru-RU"/>
        </w:rPr>
        <w:t xml:space="preserve">, </w:t>
      </w:r>
      <w:r w:rsidR="0084222F">
        <w:rPr>
          <w:lang w:val="ru-RU"/>
        </w:rPr>
        <w:t>отражают</w:t>
      </w:r>
      <w:r w:rsidR="0084222F" w:rsidRPr="00320775">
        <w:rPr>
          <w:lang w:val="ru-RU"/>
        </w:rPr>
        <w:t xml:space="preserve"> </w:t>
      </w:r>
      <w:r w:rsidR="0084222F">
        <w:rPr>
          <w:lang w:val="ru-RU"/>
        </w:rPr>
        <w:t>новый</w:t>
      </w:r>
      <w:r w:rsidR="0084222F" w:rsidRPr="00320775">
        <w:rPr>
          <w:lang w:val="ru-RU"/>
        </w:rPr>
        <w:t xml:space="preserve"> </w:t>
      </w:r>
      <w:r w:rsidR="0084222F">
        <w:rPr>
          <w:lang w:val="ru-RU"/>
        </w:rPr>
        <w:t>подход</w:t>
      </w:r>
      <w:r w:rsidR="0084222F" w:rsidRPr="00320775">
        <w:rPr>
          <w:lang w:val="ru-RU"/>
        </w:rPr>
        <w:t xml:space="preserve"> </w:t>
      </w:r>
      <w:r w:rsidR="0084222F">
        <w:rPr>
          <w:lang w:val="ru-RU"/>
        </w:rPr>
        <w:t>к</w:t>
      </w:r>
      <w:r w:rsidR="0084222F" w:rsidRPr="00320775">
        <w:rPr>
          <w:lang w:val="ru-RU"/>
        </w:rPr>
        <w:t xml:space="preserve"> </w:t>
      </w:r>
      <w:r w:rsidR="0084222F">
        <w:rPr>
          <w:lang w:val="ru-RU"/>
        </w:rPr>
        <w:t>представлению</w:t>
      </w:r>
      <w:r w:rsidR="0084222F" w:rsidRPr="00320775">
        <w:rPr>
          <w:lang w:val="ru-RU"/>
        </w:rPr>
        <w:t xml:space="preserve"> </w:t>
      </w:r>
      <w:r w:rsidR="0084222F">
        <w:rPr>
          <w:lang w:val="ru-RU"/>
        </w:rPr>
        <w:t>периодических</w:t>
      </w:r>
      <w:r w:rsidR="0084222F" w:rsidRPr="00320775">
        <w:rPr>
          <w:lang w:val="ru-RU"/>
        </w:rPr>
        <w:t xml:space="preserve"> </w:t>
      </w:r>
      <w:r w:rsidR="0084222F">
        <w:rPr>
          <w:lang w:val="ru-RU"/>
        </w:rPr>
        <w:t>докладов</w:t>
      </w:r>
      <w:r w:rsidR="0084222F" w:rsidRPr="00320775">
        <w:rPr>
          <w:lang w:val="ru-RU"/>
        </w:rPr>
        <w:t xml:space="preserve">, </w:t>
      </w:r>
      <w:r w:rsidR="00320775">
        <w:rPr>
          <w:lang w:val="ru-RU"/>
        </w:rPr>
        <w:t>который</w:t>
      </w:r>
      <w:r w:rsidR="00320775" w:rsidRPr="00320775">
        <w:rPr>
          <w:lang w:val="ru-RU"/>
        </w:rPr>
        <w:t xml:space="preserve"> </w:t>
      </w:r>
      <w:r w:rsidR="00320775">
        <w:rPr>
          <w:lang w:val="ru-RU"/>
        </w:rPr>
        <w:t>объясняется</w:t>
      </w:r>
      <w:r w:rsidR="00320775" w:rsidRPr="00320775">
        <w:rPr>
          <w:lang w:val="ru-RU"/>
        </w:rPr>
        <w:t xml:space="preserve"> </w:t>
      </w:r>
      <w:r w:rsidR="00320775">
        <w:rPr>
          <w:lang w:val="ru-RU"/>
        </w:rPr>
        <w:t>в</w:t>
      </w:r>
      <w:r w:rsidR="00320775" w:rsidRPr="00320775">
        <w:rPr>
          <w:lang w:val="ru-RU"/>
        </w:rPr>
        <w:t xml:space="preserve"> </w:t>
      </w:r>
      <w:r w:rsidR="00320775">
        <w:rPr>
          <w:lang w:val="ru-RU"/>
        </w:rPr>
        <w:t>данном</w:t>
      </w:r>
      <w:r w:rsidR="00320775" w:rsidRPr="00320775">
        <w:rPr>
          <w:lang w:val="ru-RU"/>
        </w:rPr>
        <w:t xml:space="preserve"> </w:t>
      </w:r>
      <w:r w:rsidR="00320775">
        <w:rPr>
          <w:lang w:val="ru-RU"/>
        </w:rPr>
        <w:t>документе</w:t>
      </w:r>
      <w:r w:rsidR="00320775" w:rsidRPr="00320775">
        <w:rPr>
          <w:lang w:val="ru-RU"/>
        </w:rPr>
        <w:t xml:space="preserve"> </w:t>
      </w:r>
      <w:r w:rsidR="00320775">
        <w:rPr>
          <w:lang w:val="ru-RU"/>
        </w:rPr>
        <w:t>и</w:t>
      </w:r>
      <w:r w:rsidR="00320775" w:rsidRPr="00320775">
        <w:rPr>
          <w:lang w:val="ru-RU"/>
        </w:rPr>
        <w:t xml:space="preserve">, </w:t>
      </w:r>
      <w:r w:rsidR="00320775">
        <w:rPr>
          <w:lang w:val="ru-RU"/>
        </w:rPr>
        <w:t>более</w:t>
      </w:r>
      <w:r w:rsidR="00320775" w:rsidRPr="00320775">
        <w:rPr>
          <w:lang w:val="ru-RU"/>
        </w:rPr>
        <w:t xml:space="preserve"> </w:t>
      </w:r>
      <w:r w:rsidR="00320775">
        <w:rPr>
          <w:lang w:val="ru-RU"/>
        </w:rPr>
        <w:t>детально</w:t>
      </w:r>
      <w:r w:rsidR="00320775" w:rsidRPr="00320775">
        <w:rPr>
          <w:lang w:val="ru-RU"/>
        </w:rPr>
        <w:t xml:space="preserve">, </w:t>
      </w:r>
      <w:r w:rsidR="00320775">
        <w:rPr>
          <w:lang w:val="ru-RU"/>
        </w:rPr>
        <w:t>в</w:t>
      </w:r>
      <w:r w:rsidR="00320775" w:rsidRPr="00320775">
        <w:rPr>
          <w:lang w:val="ru-RU"/>
        </w:rPr>
        <w:t xml:space="preserve"> </w:t>
      </w:r>
      <w:r w:rsidR="00320775">
        <w:rPr>
          <w:lang w:val="ru-RU"/>
        </w:rPr>
        <w:t xml:space="preserve">документе двенадцатой сессии Комитета </w:t>
      </w:r>
      <w:r w:rsidR="00AD435A" w:rsidRPr="00320775">
        <w:rPr>
          <w:lang w:val="ru-RU"/>
        </w:rPr>
        <w:t>(</w:t>
      </w:r>
      <w:r w:rsidR="007461D9">
        <w:rPr>
          <w:lang w:val="ru-RU"/>
        </w:rPr>
        <w:t>документ</w:t>
      </w:r>
      <w:r w:rsidR="00AD435A">
        <w:t> </w:t>
      </w:r>
      <w:hyperlink r:id="rId12" w:history="1">
        <w:r w:rsidR="00E055F0">
          <w:rPr>
            <w:rStyle w:val="Hyperlink"/>
            <w:lang w:val="ru-RU"/>
          </w:rPr>
          <w:t>ITH/1</w:t>
        </w:r>
        <w:r w:rsidR="00E055F0" w:rsidRPr="00E055F0">
          <w:rPr>
            <w:rStyle w:val="Hyperlink"/>
            <w:lang w:val="ru-RU"/>
          </w:rPr>
          <w:t>7</w:t>
        </w:r>
        <w:r w:rsidR="00E055F0">
          <w:rPr>
            <w:rStyle w:val="Hyperlink"/>
            <w:lang w:val="ru-RU"/>
          </w:rPr>
          <w:t>/12.COM/10</w:t>
        </w:r>
      </w:hyperlink>
      <w:r w:rsidR="00AD435A" w:rsidRPr="00320775">
        <w:rPr>
          <w:lang w:val="ru-RU"/>
        </w:rPr>
        <w:t>).</w:t>
      </w:r>
    </w:p>
    <w:p w:rsidR="00AD435A" w:rsidRPr="00BF264E" w:rsidRDefault="00B32706" w:rsidP="00AD435A">
      <w:pPr>
        <w:pStyle w:val="COMPara"/>
        <w:numPr>
          <w:ilvl w:val="0"/>
          <w:numId w:val="13"/>
        </w:numPr>
        <w:spacing w:before="120"/>
        <w:ind w:left="567" w:hanging="567"/>
        <w:jc w:val="both"/>
        <w:rPr>
          <w:lang w:val="ru-RU"/>
        </w:rPr>
      </w:pPr>
      <w:r>
        <w:rPr>
          <w:lang w:val="ru-RU"/>
        </w:rPr>
        <w:t>В</w:t>
      </w:r>
      <w:r w:rsidRPr="00BB0B23">
        <w:rPr>
          <w:lang w:val="ru-RU"/>
        </w:rPr>
        <w:t xml:space="preserve"> </w:t>
      </w:r>
      <w:r>
        <w:rPr>
          <w:lang w:val="ru-RU"/>
        </w:rPr>
        <w:t>дополнение</w:t>
      </w:r>
      <w:r w:rsidRPr="00BB0B23">
        <w:rPr>
          <w:lang w:val="ru-RU"/>
        </w:rPr>
        <w:t xml:space="preserve"> </w:t>
      </w:r>
      <w:r>
        <w:rPr>
          <w:lang w:val="ru-RU"/>
        </w:rPr>
        <w:t>к</w:t>
      </w:r>
      <w:r w:rsidRPr="00BB0B23">
        <w:rPr>
          <w:lang w:val="ru-RU"/>
        </w:rPr>
        <w:t xml:space="preserve"> </w:t>
      </w:r>
      <w:r>
        <w:rPr>
          <w:lang w:val="ru-RU"/>
        </w:rPr>
        <w:t>вышеупомянутым</w:t>
      </w:r>
      <w:r w:rsidRPr="00BB0B23">
        <w:rPr>
          <w:lang w:val="ru-RU"/>
        </w:rPr>
        <w:t xml:space="preserve"> </w:t>
      </w:r>
      <w:r>
        <w:rPr>
          <w:lang w:val="ru-RU"/>
        </w:rPr>
        <w:t>изменениям</w:t>
      </w:r>
      <w:r w:rsidRPr="00BB0B23">
        <w:rPr>
          <w:lang w:val="ru-RU"/>
        </w:rPr>
        <w:t xml:space="preserve">, </w:t>
      </w:r>
      <w:r>
        <w:rPr>
          <w:lang w:val="ru-RU"/>
        </w:rPr>
        <w:t>касающимся</w:t>
      </w:r>
      <w:r w:rsidRPr="00BB0B23">
        <w:rPr>
          <w:lang w:val="ru-RU"/>
        </w:rPr>
        <w:t xml:space="preserve"> </w:t>
      </w:r>
      <w:r>
        <w:rPr>
          <w:lang w:val="ru-RU"/>
        </w:rPr>
        <w:t>перехода</w:t>
      </w:r>
      <w:r w:rsidRPr="00BB0B23">
        <w:rPr>
          <w:lang w:val="ru-RU"/>
        </w:rPr>
        <w:t xml:space="preserve"> </w:t>
      </w:r>
      <w:r>
        <w:rPr>
          <w:lang w:val="ru-RU"/>
        </w:rPr>
        <w:t>к</w:t>
      </w:r>
      <w:r w:rsidRPr="00BB0B23">
        <w:rPr>
          <w:lang w:val="ru-RU"/>
        </w:rPr>
        <w:t xml:space="preserve"> </w:t>
      </w:r>
      <w:r>
        <w:rPr>
          <w:lang w:val="ru-RU"/>
        </w:rPr>
        <w:t>региональному</w:t>
      </w:r>
      <w:r w:rsidRPr="00BB0B23">
        <w:rPr>
          <w:lang w:val="ru-RU"/>
        </w:rPr>
        <w:t xml:space="preserve"> </w:t>
      </w:r>
      <w:r>
        <w:rPr>
          <w:lang w:val="ru-RU"/>
        </w:rPr>
        <w:t>циклу</w:t>
      </w:r>
      <w:r w:rsidRPr="00BB0B23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BB0B23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BB0B23">
        <w:rPr>
          <w:lang w:val="ru-RU"/>
        </w:rPr>
        <w:t xml:space="preserve"> </w:t>
      </w:r>
      <w:r>
        <w:rPr>
          <w:lang w:val="ru-RU"/>
        </w:rPr>
        <w:t>докладов</w:t>
      </w:r>
      <w:r w:rsidRPr="00BB0B23">
        <w:rPr>
          <w:lang w:val="ru-RU"/>
        </w:rPr>
        <w:t xml:space="preserve">, </w:t>
      </w:r>
      <w:r>
        <w:rPr>
          <w:lang w:val="ru-RU"/>
        </w:rPr>
        <w:t>Комитет</w:t>
      </w:r>
      <w:r w:rsidRPr="00BB0B23">
        <w:rPr>
          <w:lang w:val="ru-RU"/>
        </w:rPr>
        <w:t xml:space="preserve"> </w:t>
      </w:r>
      <w:r>
        <w:rPr>
          <w:lang w:val="ru-RU"/>
        </w:rPr>
        <w:t>рекомендовал</w:t>
      </w:r>
      <w:r w:rsidRPr="00BB0B23">
        <w:rPr>
          <w:lang w:val="ru-RU"/>
        </w:rPr>
        <w:t xml:space="preserve"> </w:t>
      </w:r>
      <w:r>
        <w:rPr>
          <w:lang w:val="ru-RU"/>
        </w:rPr>
        <w:t>пересмотреть</w:t>
      </w:r>
      <w:r w:rsidRPr="00BB0B23">
        <w:rPr>
          <w:lang w:val="ru-RU"/>
        </w:rPr>
        <w:t xml:space="preserve"> </w:t>
      </w:r>
      <w:r>
        <w:rPr>
          <w:lang w:val="ru-RU"/>
        </w:rPr>
        <w:t>и</w:t>
      </w:r>
      <w:r w:rsidRPr="00BB0B23">
        <w:rPr>
          <w:lang w:val="ru-RU"/>
        </w:rPr>
        <w:t xml:space="preserve"> </w:t>
      </w:r>
      <w:r>
        <w:rPr>
          <w:lang w:val="ru-RU"/>
        </w:rPr>
        <w:t>другие</w:t>
      </w:r>
      <w:r w:rsidRPr="00BB0B23">
        <w:rPr>
          <w:lang w:val="ru-RU"/>
        </w:rPr>
        <w:t xml:space="preserve"> </w:t>
      </w:r>
      <w:r>
        <w:rPr>
          <w:lang w:val="ru-RU"/>
        </w:rPr>
        <w:t>пункты</w:t>
      </w:r>
      <w:r w:rsidRPr="00BB0B23">
        <w:rPr>
          <w:lang w:val="ru-RU"/>
        </w:rPr>
        <w:t xml:space="preserve"> </w:t>
      </w:r>
      <w:r>
        <w:rPr>
          <w:lang w:val="ru-RU"/>
        </w:rPr>
        <w:t>Оперативного</w:t>
      </w:r>
      <w:r w:rsidRPr="00BB0B23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BB0B23">
        <w:rPr>
          <w:lang w:val="ru-RU"/>
        </w:rPr>
        <w:t xml:space="preserve">, </w:t>
      </w:r>
      <w:r>
        <w:rPr>
          <w:lang w:val="ru-RU"/>
        </w:rPr>
        <w:t>чтобы</w:t>
      </w:r>
      <w:r w:rsidRPr="00BB0B23">
        <w:rPr>
          <w:lang w:val="ru-RU"/>
        </w:rPr>
        <w:t xml:space="preserve"> </w:t>
      </w:r>
      <w:r>
        <w:rPr>
          <w:lang w:val="ru-RU"/>
        </w:rPr>
        <w:t>учесть</w:t>
      </w:r>
      <w:r w:rsidRPr="00BB0B23">
        <w:rPr>
          <w:lang w:val="ru-RU"/>
        </w:rPr>
        <w:t xml:space="preserve"> </w:t>
      </w:r>
      <w:r>
        <w:rPr>
          <w:lang w:val="ru-RU"/>
        </w:rPr>
        <w:t>то</w:t>
      </w:r>
      <w:r w:rsidRPr="00BB0B23">
        <w:rPr>
          <w:lang w:val="ru-RU"/>
        </w:rPr>
        <w:t xml:space="preserve"> </w:t>
      </w:r>
      <w:r>
        <w:rPr>
          <w:lang w:val="ru-RU"/>
        </w:rPr>
        <w:t>обстоятельство</w:t>
      </w:r>
      <w:r w:rsidRPr="00BB0B23">
        <w:rPr>
          <w:lang w:val="ru-RU"/>
        </w:rPr>
        <w:t xml:space="preserve">, </w:t>
      </w:r>
      <w:r>
        <w:rPr>
          <w:lang w:val="ru-RU"/>
        </w:rPr>
        <w:t>что</w:t>
      </w:r>
      <w:r w:rsidRPr="00BB0B23">
        <w:rPr>
          <w:lang w:val="ru-RU"/>
        </w:rPr>
        <w:t xml:space="preserve"> </w:t>
      </w:r>
      <w:r w:rsidR="00BB0B23">
        <w:rPr>
          <w:lang w:val="ru-RU"/>
        </w:rPr>
        <w:t>с</w:t>
      </w:r>
      <w:r w:rsidR="00BB0B23" w:rsidRPr="00BB0B23">
        <w:rPr>
          <w:lang w:val="ru-RU"/>
        </w:rPr>
        <w:t xml:space="preserve"> 2018</w:t>
      </w:r>
      <w:r w:rsidR="00BB0B23" w:rsidRPr="00BB0B23">
        <w:rPr>
          <w:lang w:val="en-US"/>
        </w:rPr>
        <w:t> </w:t>
      </w:r>
      <w:r w:rsidR="00BB0B23">
        <w:rPr>
          <w:lang w:val="ru-RU"/>
        </w:rPr>
        <w:t>г</w:t>
      </w:r>
      <w:r w:rsidR="00BB0B23" w:rsidRPr="00BB0B23">
        <w:rPr>
          <w:lang w:val="ru-RU"/>
        </w:rPr>
        <w:t xml:space="preserve">. </w:t>
      </w:r>
      <w:r w:rsidR="009D4D80">
        <w:rPr>
          <w:lang w:val="ru-RU"/>
        </w:rPr>
        <w:t>п</w:t>
      </w:r>
      <w:r w:rsidR="00BB0B23">
        <w:rPr>
          <w:lang w:val="ru-RU"/>
        </w:rPr>
        <w:t xml:space="preserve">ериодические доклады будут представляться онлайн (пункты 152, 161 и 169). </w:t>
      </w:r>
      <w:r w:rsidR="00FE5283">
        <w:rPr>
          <w:lang w:val="ru-RU"/>
        </w:rPr>
        <w:t>Благодаря</w:t>
      </w:r>
      <w:r w:rsidR="00FE5283" w:rsidRPr="005758F4">
        <w:rPr>
          <w:lang w:val="ru-RU"/>
        </w:rPr>
        <w:t xml:space="preserve"> </w:t>
      </w:r>
      <w:r w:rsidR="00FE5283">
        <w:rPr>
          <w:lang w:val="ru-RU"/>
        </w:rPr>
        <w:t>щедрому</w:t>
      </w:r>
      <w:r w:rsidR="00FE5283" w:rsidRPr="005758F4">
        <w:rPr>
          <w:lang w:val="ru-RU"/>
        </w:rPr>
        <w:t xml:space="preserve"> </w:t>
      </w:r>
      <w:r w:rsidR="00FE5283">
        <w:rPr>
          <w:lang w:val="ru-RU"/>
        </w:rPr>
        <w:t>взносу</w:t>
      </w:r>
      <w:r w:rsidR="00FE5283" w:rsidRPr="005758F4">
        <w:rPr>
          <w:lang w:val="ru-RU"/>
        </w:rPr>
        <w:t xml:space="preserve"> </w:t>
      </w:r>
      <w:r w:rsidR="00FE5283">
        <w:rPr>
          <w:lang w:val="ru-RU"/>
        </w:rPr>
        <w:t>Республики</w:t>
      </w:r>
      <w:r w:rsidR="00FE5283" w:rsidRPr="005758F4">
        <w:rPr>
          <w:lang w:val="ru-RU"/>
        </w:rPr>
        <w:t xml:space="preserve"> </w:t>
      </w:r>
      <w:r w:rsidR="00FE5283">
        <w:rPr>
          <w:lang w:val="ru-RU"/>
        </w:rPr>
        <w:t>Корея</w:t>
      </w:r>
      <w:r w:rsidR="00FE5283" w:rsidRPr="005758F4">
        <w:rPr>
          <w:lang w:val="ru-RU"/>
        </w:rPr>
        <w:t xml:space="preserve"> </w:t>
      </w:r>
      <w:r w:rsidR="006D26B2">
        <w:rPr>
          <w:lang w:val="ru-RU"/>
        </w:rPr>
        <w:t>в</w:t>
      </w:r>
      <w:r w:rsidR="006D26B2" w:rsidRPr="005758F4">
        <w:rPr>
          <w:lang w:val="ru-RU"/>
        </w:rPr>
        <w:t xml:space="preserve"> </w:t>
      </w:r>
      <w:r w:rsidR="006D26B2">
        <w:rPr>
          <w:lang w:val="ru-RU"/>
        </w:rPr>
        <w:t>Фонд</w:t>
      </w:r>
      <w:r w:rsidR="006D26B2" w:rsidRPr="005758F4">
        <w:rPr>
          <w:lang w:val="ru-RU"/>
        </w:rPr>
        <w:t xml:space="preserve"> </w:t>
      </w:r>
      <w:r w:rsidR="006D26B2">
        <w:rPr>
          <w:lang w:val="ru-RU"/>
        </w:rPr>
        <w:t>нематериального</w:t>
      </w:r>
      <w:r w:rsidR="006D26B2" w:rsidRPr="005758F4">
        <w:rPr>
          <w:lang w:val="ru-RU"/>
        </w:rPr>
        <w:t xml:space="preserve"> </w:t>
      </w:r>
      <w:r w:rsidR="006D26B2">
        <w:rPr>
          <w:lang w:val="ru-RU"/>
        </w:rPr>
        <w:t>культурного</w:t>
      </w:r>
      <w:r w:rsidR="006D26B2" w:rsidRPr="005758F4">
        <w:rPr>
          <w:lang w:val="ru-RU"/>
        </w:rPr>
        <w:t xml:space="preserve"> </w:t>
      </w:r>
      <w:r w:rsidR="006D26B2">
        <w:rPr>
          <w:lang w:val="ru-RU"/>
        </w:rPr>
        <w:t>наследия</w:t>
      </w:r>
      <w:r w:rsidR="006D26B2" w:rsidRPr="005758F4">
        <w:rPr>
          <w:lang w:val="ru-RU"/>
        </w:rPr>
        <w:t xml:space="preserve"> </w:t>
      </w:r>
      <w:r w:rsidR="00EF1C5A">
        <w:rPr>
          <w:lang w:val="ru-RU"/>
        </w:rPr>
        <w:t xml:space="preserve">на </w:t>
      </w:r>
      <w:r w:rsidR="006D26B2">
        <w:rPr>
          <w:lang w:val="ru-RU"/>
        </w:rPr>
        <w:t>совершенствовани</w:t>
      </w:r>
      <w:r w:rsidR="00EF1C5A">
        <w:rPr>
          <w:lang w:val="ru-RU"/>
        </w:rPr>
        <w:t>е</w:t>
      </w:r>
      <w:r w:rsidR="006D26B2" w:rsidRPr="005758F4">
        <w:rPr>
          <w:lang w:val="ru-RU"/>
        </w:rPr>
        <w:t xml:space="preserve"> </w:t>
      </w:r>
      <w:r w:rsidR="006D26B2">
        <w:rPr>
          <w:lang w:val="ru-RU"/>
        </w:rPr>
        <w:t>механизма</w:t>
      </w:r>
      <w:r w:rsidR="006D26B2" w:rsidRPr="005758F4">
        <w:rPr>
          <w:lang w:val="ru-RU"/>
        </w:rPr>
        <w:t xml:space="preserve"> </w:t>
      </w:r>
      <w:r w:rsidR="006D26B2">
        <w:rPr>
          <w:lang w:val="ru-RU"/>
        </w:rPr>
        <w:t>представления</w:t>
      </w:r>
      <w:r w:rsidR="006D26B2" w:rsidRPr="005758F4">
        <w:rPr>
          <w:lang w:val="ru-RU"/>
        </w:rPr>
        <w:t xml:space="preserve"> </w:t>
      </w:r>
      <w:r w:rsidR="006D26B2">
        <w:rPr>
          <w:lang w:val="ru-RU"/>
        </w:rPr>
        <w:t>периодических</w:t>
      </w:r>
      <w:r w:rsidR="006D26B2" w:rsidRPr="005758F4">
        <w:rPr>
          <w:lang w:val="ru-RU"/>
        </w:rPr>
        <w:t xml:space="preserve"> </w:t>
      </w:r>
      <w:r w:rsidR="006D26B2">
        <w:rPr>
          <w:lang w:val="ru-RU"/>
        </w:rPr>
        <w:t>докладов</w:t>
      </w:r>
      <w:r w:rsidR="006D26B2" w:rsidRPr="005758F4">
        <w:rPr>
          <w:lang w:val="ru-RU"/>
        </w:rPr>
        <w:t xml:space="preserve">, </w:t>
      </w:r>
      <w:r w:rsidR="006D26B2">
        <w:rPr>
          <w:lang w:val="ru-RU"/>
        </w:rPr>
        <w:t>Секретариат</w:t>
      </w:r>
      <w:r w:rsidR="006D26B2" w:rsidRPr="005758F4">
        <w:rPr>
          <w:lang w:val="ru-RU"/>
        </w:rPr>
        <w:t xml:space="preserve"> </w:t>
      </w:r>
      <w:r w:rsidR="005758F4">
        <w:rPr>
          <w:lang w:val="ru-RU"/>
        </w:rPr>
        <w:t>смог</w:t>
      </w:r>
      <w:r w:rsidR="005758F4" w:rsidRPr="005758F4">
        <w:rPr>
          <w:lang w:val="ru-RU"/>
        </w:rPr>
        <w:t xml:space="preserve"> </w:t>
      </w:r>
      <w:r w:rsidR="005758F4">
        <w:rPr>
          <w:lang w:val="ru-RU"/>
        </w:rPr>
        <w:t>разработать</w:t>
      </w:r>
      <w:r w:rsidR="005758F4" w:rsidRPr="005758F4">
        <w:rPr>
          <w:lang w:val="ru-RU"/>
        </w:rPr>
        <w:t xml:space="preserve"> </w:t>
      </w:r>
      <w:r w:rsidR="005758F4">
        <w:rPr>
          <w:lang w:val="ru-RU"/>
        </w:rPr>
        <w:t>онлайновый</w:t>
      </w:r>
      <w:r w:rsidR="005758F4" w:rsidRPr="005758F4">
        <w:rPr>
          <w:lang w:val="ru-RU"/>
        </w:rPr>
        <w:t xml:space="preserve"> </w:t>
      </w:r>
      <w:r w:rsidR="005758F4">
        <w:rPr>
          <w:lang w:val="ru-RU"/>
        </w:rPr>
        <w:t xml:space="preserve">инструмент, позволяющий государствам заполнять свои доклады в режиме онлайн. </w:t>
      </w:r>
      <w:r w:rsidR="00996055">
        <w:rPr>
          <w:lang w:val="ru-RU"/>
        </w:rPr>
        <w:t>Этот</w:t>
      </w:r>
      <w:r w:rsidR="00996055" w:rsidRPr="00BF264E">
        <w:rPr>
          <w:lang w:val="ru-RU"/>
        </w:rPr>
        <w:t xml:space="preserve"> </w:t>
      </w:r>
      <w:r w:rsidR="00996055">
        <w:rPr>
          <w:lang w:val="ru-RU"/>
        </w:rPr>
        <w:t>инструмент</w:t>
      </w:r>
      <w:r w:rsidR="00996055" w:rsidRPr="00BF264E">
        <w:rPr>
          <w:lang w:val="ru-RU"/>
        </w:rPr>
        <w:t xml:space="preserve"> </w:t>
      </w:r>
      <w:r w:rsidR="00996055">
        <w:rPr>
          <w:lang w:val="ru-RU"/>
        </w:rPr>
        <w:t>уже</w:t>
      </w:r>
      <w:r w:rsidR="00996055" w:rsidRPr="00BF264E">
        <w:rPr>
          <w:lang w:val="ru-RU"/>
        </w:rPr>
        <w:t xml:space="preserve"> </w:t>
      </w:r>
      <w:r w:rsidR="00996055">
        <w:rPr>
          <w:lang w:val="ru-RU"/>
        </w:rPr>
        <w:t>доступен</w:t>
      </w:r>
      <w:r w:rsidR="00996055" w:rsidRPr="00BF264E">
        <w:rPr>
          <w:lang w:val="ru-RU"/>
        </w:rPr>
        <w:t xml:space="preserve"> </w:t>
      </w:r>
      <w:r w:rsidR="00996055">
        <w:rPr>
          <w:lang w:val="ru-RU"/>
        </w:rPr>
        <w:t>для</w:t>
      </w:r>
      <w:r w:rsidR="00996055" w:rsidRPr="00BF264E">
        <w:rPr>
          <w:lang w:val="ru-RU"/>
        </w:rPr>
        <w:t xml:space="preserve"> </w:t>
      </w:r>
      <w:r w:rsidR="00996055">
        <w:rPr>
          <w:lang w:val="ru-RU"/>
        </w:rPr>
        <w:t>докладов</w:t>
      </w:r>
      <w:r w:rsidR="00996055" w:rsidRPr="00BF264E">
        <w:rPr>
          <w:lang w:val="ru-RU"/>
        </w:rPr>
        <w:t xml:space="preserve"> </w:t>
      </w:r>
      <w:r w:rsidR="00996055">
        <w:rPr>
          <w:lang w:val="ru-RU"/>
        </w:rPr>
        <w:t>об</w:t>
      </w:r>
      <w:r w:rsidR="00996055" w:rsidRPr="00BF264E">
        <w:rPr>
          <w:lang w:val="ru-RU"/>
        </w:rPr>
        <w:t xml:space="preserve"> </w:t>
      </w:r>
      <w:r w:rsidR="00996055">
        <w:rPr>
          <w:lang w:val="ru-RU"/>
        </w:rPr>
        <w:t>элементах</w:t>
      </w:r>
      <w:r w:rsidR="00996055" w:rsidRPr="00BF264E">
        <w:rPr>
          <w:lang w:val="ru-RU"/>
        </w:rPr>
        <w:t xml:space="preserve">, </w:t>
      </w:r>
      <w:r w:rsidR="00996055">
        <w:rPr>
          <w:lang w:val="ru-RU"/>
        </w:rPr>
        <w:t>включённых</w:t>
      </w:r>
      <w:r w:rsidR="00996055" w:rsidRPr="00BF264E">
        <w:rPr>
          <w:lang w:val="ru-RU"/>
        </w:rPr>
        <w:t xml:space="preserve"> </w:t>
      </w:r>
      <w:r w:rsidR="00996055">
        <w:rPr>
          <w:lang w:val="ru-RU"/>
        </w:rPr>
        <w:t>в</w:t>
      </w:r>
      <w:r w:rsidR="00996055" w:rsidRPr="00BF264E">
        <w:rPr>
          <w:lang w:val="ru-RU"/>
        </w:rPr>
        <w:t xml:space="preserve"> </w:t>
      </w:r>
      <w:r w:rsidR="00996055">
        <w:rPr>
          <w:lang w:val="ru-RU"/>
        </w:rPr>
        <w:t>Список</w:t>
      </w:r>
      <w:r w:rsidR="00996055" w:rsidRPr="00BF264E">
        <w:rPr>
          <w:lang w:val="ru-RU"/>
        </w:rPr>
        <w:t xml:space="preserve"> </w:t>
      </w:r>
      <w:r w:rsidR="00996055">
        <w:rPr>
          <w:lang w:val="ru-RU"/>
        </w:rPr>
        <w:t>срочной</w:t>
      </w:r>
      <w:r w:rsidR="00996055" w:rsidRPr="00BF264E">
        <w:rPr>
          <w:lang w:val="ru-RU"/>
        </w:rPr>
        <w:t xml:space="preserve"> </w:t>
      </w:r>
      <w:r w:rsidR="00996055">
        <w:rPr>
          <w:lang w:val="ru-RU"/>
        </w:rPr>
        <w:t>охраны</w:t>
      </w:r>
      <w:r w:rsidR="00996055" w:rsidRPr="00BF264E">
        <w:rPr>
          <w:lang w:val="ru-RU"/>
        </w:rPr>
        <w:t xml:space="preserve"> </w:t>
      </w:r>
      <w:r w:rsidR="00AD435A" w:rsidRPr="00BF264E">
        <w:rPr>
          <w:lang w:val="ru-RU"/>
        </w:rPr>
        <w:t>(</w:t>
      </w:r>
      <w:r w:rsidR="007461D9">
        <w:rPr>
          <w:lang w:val="ru-RU"/>
        </w:rPr>
        <w:t>форма</w:t>
      </w:r>
      <w:r w:rsidR="00AD435A" w:rsidRPr="00BF264E">
        <w:rPr>
          <w:lang w:val="ru-RU"/>
        </w:rPr>
        <w:t xml:space="preserve"> </w:t>
      </w:r>
      <w:r w:rsidR="00AD435A">
        <w:rPr>
          <w:lang w:val="en-US"/>
        </w:rPr>
        <w:t>ICH</w:t>
      </w:r>
      <w:r w:rsidR="00AD435A" w:rsidRPr="00BF264E">
        <w:rPr>
          <w:lang w:val="ru-RU"/>
        </w:rPr>
        <w:t>-11)</w:t>
      </w:r>
      <w:r w:rsidR="00996055" w:rsidRPr="00BF264E">
        <w:rPr>
          <w:lang w:val="ru-RU"/>
        </w:rPr>
        <w:t>,</w:t>
      </w:r>
      <w:r w:rsidR="00AD435A" w:rsidRPr="00BF264E">
        <w:rPr>
          <w:lang w:val="ru-RU"/>
        </w:rPr>
        <w:t xml:space="preserve"> </w:t>
      </w:r>
      <w:r w:rsidR="00BF264E">
        <w:rPr>
          <w:lang w:val="ru-RU"/>
        </w:rPr>
        <w:t>и</w:t>
      </w:r>
      <w:r w:rsidR="00BF264E" w:rsidRPr="00BF264E">
        <w:rPr>
          <w:lang w:val="ru-RU"/>
        </w:rPr>
        <w:t xml:space="preserve"> </w:t>
      </w:r>
      <w:r w:rsidR="00BF264E">
        <w:rPr>
          <w:lang w:val="ru-RU"/>
        </w:rPr>
        <w:t>на</w:t>
      </w:r>
      <w:r w:rsidR="00BF264E" w:rsidRPr="00BF264E">
        <w:rPr>
          <w:lang w:val="ru-RU"/>
        </w:rPr>
        <w:t xml:space="preserve"> </w:t>
      </w:r>
      <w:r w:rsidR="00BF264E">
        <w:rPr>
          <w:lang w:val="ru-RU"/>
        </w:rPr>
        <w:t xml:space="preserve">более позднем этапе реформы он будет адаптирован </w:t>
      </w:r>
      <w:r w:rsidR="00ED7408">
        <w:rPr>
          <w:lang w:val="ru-RU"/>
        </w:rPr>
        <w:t xml:space="preserve">к периодическим докладам о выполнении Конвенции </w:t>
      </w:r>
      <w:r w:rsidR="00AD435A" w:rsidRPr="00BF264E">
        <w:rPr>
          <w:lang w:val="ru-RU"/>
        </w:rPr>
        <w:t>(</w:t>
      </w:r>
      <w:r w:rsidR="007461D9">
        <w:rPr>
          <w:lang w:val="ru-RU"/>
        </w:rPr>
        <w:t>форма</w:t>
      </w:r>
      <w:r w:rsidR="00AD435A" w:rsidRPr="00BF264E">
        <w:rPr>
          <w:lang w:val="ru-RU"/>
        </w:rPr>
        <w:t xml:space="preserve"> </w:t>
      </w:r>
      <w:r w:rsidR="00AD435A" w:rsidRPr="00385AED">
        <w:t>ICH</w:t>
      </w:r>
      <w:r w:rsidR="00AD435A" w:rsidRPr="00BF264E">
        <w:rPr>
          <w:lang w:val="ru-RU"/>
        </w:rPr>
        <w:t>-10).</w:t>
      </w:r>
    </w:p>
    <w:p w:rsidR="00AD435A" w:rsidRPr="006841BB" w:rsidRDefault="002E2C41" w:rsidP="00AD435A">
      <w:pPr>
        <w:pStyle w:val="COMPara"/>
        <w:numPr>
          <w:ilvl w:val="0"/>
          <w:numId w:val="13"/>
        </w:numPr>
        <w:spacing w:before="120"/>
        <w:ind w:left="567" w:hanging="567"/>
        <w:jc w:val="both"/>
        <w:rPr>
          <w:lang w:val="ru-RU"/>
        </w:rPr>
      </w:pPr>
      <w:r>
        <w:rPr>
          <w:lang w:val="ru-RU"/>
        </w:rPr>
        <w:t>Наконец</w:t>
      </w:r>
      <w:r w:rsidRPr="00CA0AEF">
        <w:rPr>
          <w:lang w:val="ru-RU"/>
        </w:rPr>
        <w:t xml:space="preserve">, </w:t>
      </w:r>
      <w:r>
        <w:rPr>
          <w:lang w:val="ru-RU"/>
        </w:rPr>
        <w:t>Комитет</w:t>
      </w:r>
      <w:r w:rsidRPr="00CA0AEF">
        <w:rPr>
          <w:lang w:val="ru-RU"/>
        </w:rPr>
        <w:t xml:space="preserve"> </w:t>
      </w:r>
      <w:r>
        <w:rPr>
          <w:lang w:val="ru-RU"/>
        </w:rPr>
        <w:t>рекомендовал</w:t>
      </w:r>
      <w:r w:rsidRPr="00CA0AEF">
        <w:rPr>
          <w:lang w:val="ru-RU"/>
        </w:rPr>
        <w:t xml:space="preserve"> </w:t>
      </w:r>
      <w:r>
        <w:rPr>
          <w:lang w:val="ru-RU"/>
        </w:rPr>
        <w:t>пересмотреть</w:t>
      </w:r>
      <w:r w:rsidRPr="00CA0AEF">
        <w:rPr>
          <w:lang w:val="ru-RU"/>
        </w:rPr>
        <w:t xml:space="preserve"> </w:t>
      </w:r>
      <w:r>
        <w:rPr>
          <w:lang w:val="ru-RU"/>
        </w:rPr>
        <w:t>пункт</w:t>
      </w:r>
      <w:r w:rsidRPr="00CA0AEF">
        <w:rPr>
          <w:lang w:val="ru-RU"/>
        </w:rPr>
        <w:t xml:space="preserve"> 166 </w:t>
      </w:r>
      <w:r w:rsidR="00A63FD9">
        <w:rPr>
          <w:lang w:val="ru-RU"/>
        </w:rPr>
        <w:t>в</w:t>
      </w:r>
      <w:r w:rsidR="00A63FD9" w:rsidRPr="00CA0AEF">
        <w:rPr>
          <w:lang w:val="ru-RU"/>
        </w:rPr>
        <w:t xml:space="preserve"> </w:t>
      </w:r>
      <w:r w:rsidR="00A63FD9">
        <w:rPr>
          <w:lang w:val="ru-RU"/>
        </w:rPr>
        <w:t>целях</w:t>
      </w:r>
      <w:r w:rsidR="00A63FD9" w:rsidRPr="00CA0AEF">
        <w:rPr>
          <w:lang w:val="ru-RU"/>
        </w:rPr>
        <w:t xml:space="preserve"> </w:t>
      </w:r>
      <w:r w:rsidR="00A63FD9">
        <w:rPr>
          <w:lang w:val="ru-RU"/>
        </w:rPr>
        <w:t>соответствия</w:t>
      </w:r>
      <w:r w:rsidR="00A63FD9" w:rsidRPr="00CA0AEF">
        <w:rPr>
          <w:lang w:val="ru-RU"/>
        </w:rPr>
        <w:t xml:space="preserve"> </w:t>
      </w:r>
      <w:r w:rsidR="00A63FD9">
        <w:rPr>
          <w:lang w:val="ru-RU"/>
        </w:rPr>
        <w:t>существующей</w:t>
      </w:r>
      <w:r w:rsidR="00A63FD9" w:rsidRPr="00CA0AEF">
        <w:rPr>
          <w:lang w:val="ru-RU"/>
        </w:rPr>
        <w:t xml:space="preserve"> </w:t>
      </w:r>
      <w:r w:rsidR="00A63FD9">
        <w:rPr>
          <w:lang w:val="ru-RU"/>
        </w:rPr>
        <w:t>практике</w:t>
      </w:r>
      <w:r w:rsidR="00A63FD9" w:rsidRPr="00CA0AEF">
        <w:rPr>
          <w:lang w:val="ru-RU"/>
        </w:rPr>
        <w:t xml:space="preserve"> </w:t>
      </w:r>
      <w:r w:rsidR="00A63FD9">
        <w:rPr>
          <w:lang w:val="ru-RU"/>
        </w:rPr>
        <w:t>публикации</w:t>
      </w:r>
      <w:r w:rsidR="00A63FD9" w:rsidRPr="00CA0AEF">
        <w:rPr>
          <w:lang w:val="ru-RU"/>
        </w:rPr>
        <w:t xml:space="preserve"> </w:t>
      </w:r>
      <w:r w:rsidR="00A63FD9">
        <w:rPr>
          <w:lang w:val="ru-RU"/>
        </w:rPr>
        <w:t>докладов</w:t>
      </w:r>
      <w:r w:rsidR="00A63FD9" w:rsidRPr="00CA0AEF">
        <w:rPr>
          <w:lang w:val="ru-RU"/>
        </w:rPr>
        <w:t xml:space="preserve"> </w:t>
      </w:r>
      <w:r w:rsidR="00A63FD9">
        <w:rPr>
          <w:lang w:val="ru-RU"/>
        </w:rPr>
        <w:t>и</w:t>
      </w:r>
      <w:r w:rsidR="00A63FD9" w:rsidRPr="00CA0AEF">
        <w:rPr>
          <w:lang w:val="ru-RU"/>
        </w:rPr>
        <w:t xml:space="preserve"> </w:t>
      </w:r>
      <w:r w:rsidR="00A63FD9">
        <w:rPr>
          <w:lang w:val="ru-RU"/>
        </w:rPr>
        <w:t>их</w:t>
      </w:r>
      <w:r w:rsidR="00A63FD9" w:rsidRPr="00CA0AEF">
        <w:rPr>
          <w:lang w:val="ru-RU"/>
        </w:rPr>
        <w:t xml:space="preserve"> </w:t>
      </w:r>
      <w:r w:rsidR="00A63FD9">
        <w:rPr>
          <w:lang w:val="ru-RU"/>
        </w:rPr>
        <w:t>обзора</w:t>
      </w:r>
      <w:r w:rsidR="00A63FD9" w:rsidRPr="00CA0AEF">
        <w:rPr>
          <w:lang w:val="ru-RU"/>
        </w:rPr>
        <w:t xml:space="preserve">. </w:t>
      </w:r>
      <w:r w:rsidR="00A63FD9">
        <w:rPr>
          <w:lang w:val="ru-RU"/>
        </w:rPr>
        <w:t>Комитет</w:t>
      </w:r>
      <w:r w:rsidR="00A63FD9" w:rsidRPr="006841BB">
        <w:rPr>
          <w:lang w:val="ru-RU"/>
        </w:rPr>
        <w:t xml:space="preserve"> </w:t>
      </w:r>
      <w:r w:rsidR="00A63FD9">
        <w:rPr>
          <w:lang w:val="ru-RU"/>
        </w:rPr>
        <w:t>также</w:t>
      </w:r>
      <w:r w:rsidR="00A63FD9" w:rsidRPr="006841BB">
        <w:rPr>
          <w:lang w:val="ru-RU"/>
        </w:rPr>
        <w:t xml:space="preserve"> </w:t>
      </w:r>
      <w:r w:rsidR="00A63FD9">
        <w:rPr>
          <w:lang w:val="ru-RU"/>
        </w:rPr>
        <w:t>рекомендовал</w:t>
      </w:r>
      <w:r w:rsidR="00A63FD9" w:rsidRPr="006841BB">
        <w:rPr>
          <w:lang w:val="ru-RU"/>
        </w:rPr>
        <w:t xml:space="preserve"> </w:t>
      </w:r>
      <w:r w:rsidR="00A63FD9">
        <w:rPr>
          <w:lang w:val="ru-RU"/>
        </w:rPr>
        <w:t>исключить</w:t>
      </w:r>
      <w:r w:rsidR="00A63FD9" w:rsidRPr="006841BB">
        <w:rPr>
          <w:lang w:val="ru-RU"/>
        </w:rPr>
        <w:t xml:space="preserve"> </w:t>
      </w:r>
      <w:r w:rsidR="00407696">
        <w:rPr>
          <w:lang w:val="ru-RU"/>
        </w:rPr>
        <w:t>пункт</w:t>
      </w:r>
      <w:r w:rsidR="00407696" w:rsidRPr="006841BB">
        <w:rPr>
          <w:lang w:val="ru-RU"/>
        </w:rPr>
        <w:t xml:space="preserve"> 16</w:t>
      </w:r>
      <w:r w:rsidR="00C229D2" w:rsidRPr="006841BB">
        <w:rPr>
          <w:lang w:val="ru-RU"/>
        </w:rPr>
        <w:t xml:space="preserve">7, </w:t>
      </w:r>
      <w:r w:rsidR="00C229D2" w:rsidRPr="0087008A">
        <w:rPr>
          <w:lang w:val="ru-RU"/>
        </w:rPr>
        <w:t>поско</w:t>
      </w:r>
      <w:r w:rsidR="00C229D2">
        <w:rPr>
          <w:lang w:val="ru-RU"/>
        </w:rPr>
        <w:t>льку</w:t>
      </w:r>
      <w:r w:rsidR="00C229D2" w:rsidRPr="006841BB">
        <w:rPr>
          <w:lang w:val="ru-RU"/>
        </w:rPr>
        <w:t xml:space="preserve"> </w:t>
      </w:r>
      <w:r w:rsidR="00C229D2">
        <w:rPr>
          <w:lang w:val="ru-RU"/>
        </w:rPr>
        <w:t>его</w:t>
      </w:r>
      <w:r w:rsidR="00C229D2" w:rsidRPr="006841BB">
        <w:rPr>
          <w:lang w:val="ru-RU"/>
        </w:rPr>
        <w:t xml:space="preserve"> </w:t>
      </w:r>
      <w:r w:rsidR="00C229D2">
        <w:rPr>
          <w:lang w:val="ru-RU"/>
        </w:rPr>
        <w:t>вторую</w:t>
      </w:r>
      <w:r w:rsidR="00C229D2" w:rsidRPr="006841BB">
        <w:rPr>
          <w:lang w:val="ru-RU"/>
        </w:rPr>
        <w:t xml:space="preserve"> </w:t>
      </w:r>
      <w:r w:rsidR="00C229D2">
        <w:rPr>
          <w:lang w:val="ru-RU"/>
        </w:rPr>
        <w:t>половину</w:t>
      </w:r>
      <w:r w:rsidR="00C229D2" w:rsidRPr="006841BB">
        <w:rPr>
          <w:lang w:val="ru-RU"/>
        </w:rPr>
        <w:t xml:space="preserve"> </w:t>
      </w:r>
      <w:r w:rsidR="00C229D2">
        <w:rPr>
          <w:lang w:val="ru-RU"/>
        </w:rPr>
        <w:t>лучше</w:t>
      </w:r>
      <w:r w:rsidR="00C229D2" w:rsidRPr="006841BB">
        <w:rPr>
          <w:lang w:val="ru-RU"/>
        </w:rPr>
        <w:t xml:space="preserve"> </w:t>
      </w:r>
      <w:r w:rsidR="00C229D2">
        <w:rPr>
          <w:lang w:val="ru-RU"/>
        </w:rPr>
        <w:t>теперь</w:t>
      </w:r>
      <w:r w:rsidR="00C229D2" w:rsidRPr="006841BB">
        <w:rPr>
          <w:lang w:val="ru-RU"/>
        </w:rPr>
        <w:t xml:space="preserve"> </w:t>
      </w:r>
      <w:r w:rsidR="001A5C00">
        <w:rPr>
          <w:lang w:val="ru-RU"/>
        </w:rPr>
        <w:t>включить</w:t>
      </w:r>
      <w:r w:rsidR="001A5C00" w:rsidRPr="006841BB">
        <w:rPr>
          <w:lang w:val="ru-RU"/>
        </w:rPr>
        <w:t xml:space="preserve"> </w:t>
      </w:r>
      <w:r w:rsidR="001A5C00">
        <w:rPr>
          <w:lang w:val="ru-RU"/>
        </w:rPr>
        <w:t>в</w:t>
      </w:r>
      <w:r w:rsidR="00C229D2" w:rsidRPr="006841BB">
        <w:rPr>
          <w:lang w:val="ru-RU"/>
        </w:rPr>
        <w:t xml:space="preserve"> </w:t>
      </w:r>
      <w:r w:rsidR="00C229D2">
        <w:rPr>
          <w:lang w:val="ru-RU"/>
        </w:rPr>
        <w:t>пункт</w:t>
      </w:r>
      <w:r w:rsidR="00C229D2" w:rsidRPr="006841BB">
        <w:rPr>
          <w:lang w:val="ru-RU"/>
        </w:rPr>
        <w:t xml:space="preserve"> 166</w:t>
      </w:r>
      <w:r w:rsidR="001A5C00" w:rsidRPr="006841BB">
        <w:rPr>
          <w:lang w:val="ru-RU"/>
        </w:rPr>
        <w:t xml:space="preserve">, </w:t>
      </w:r>
      <w:r w:rsidR="001A5C00">
        <w:rPr>
          <w:lang w:val="ru-RU"/>
        </w:rPr>
        <w:t>и</w:t>
      </w:r>
      <w:r w:rsidR="001A5C00" w:rsidRPr="006841BB">
        <w:rPr>
          <w:lang w:val="ru-RU"/>
        </w:rPr>
        <w:t xml:space="preserve"> </w:t>
      </w:r>
      <w:r w:rsidR="001A5C00">
        <w:rPr>
          <w:lang w:val="ru-RU"/>
        </w:rPr>
        <w:t>пересмотреть</w:t>
      </w:r>
      <w:r w:rsidR="001A5C00" w:rsidRPr="006841BB">
        <w:rPr>
          <w:lang w:val="ru-RU"/>
        </w:rPr>
        <w:t xml:space="preserve"> </w:t>
      </w:r>
      <w:r w:rsidR="001A5C00">
        <w:rPr>
          <w:lang w:val="ru-RU"/>
        </w:rPr>
        <w:t>пункт</w:t>
      </w:r>
      <w:r w:rsidR="001A5C00" w:rsidRPr="006841BB">
        <w:rPr>
          <w:lang w:val="ru-RU"/>
        </w:rPr>
        <w:t xml:space="preserve"> 162</w:t>
      </w:r>
      <w:r w:rsidR="00F0512B" w:rsidRPr="006841BB">
        <w:rPr>
          <w:lang w:val="ru-RU"/>
        </w:rPr>
        <w:t xml:space="preserve"> </w:t>
      </w:r>
      <w:r w:rsidR="00F0512B">
        <w:rPr>
          <w:lang w:val="ru-RU"/>
        </w:rPr>
        <w:t>о</w:t>
      </w:r>
      <w:r w:rsidR="00F0512B" w:rsidRPr="006841BB">
        <w:rPr>
          <w:lang w:val="ru-RU"/>
        </w:rPr>
        <w:t xml:space="preserve"> </w:t>
      </w:r>
      <w:r w:rsidR="00F0512B">
        <w:rPr>
          <w:lang w:val="ru-RU"/>
        </w:rPr>
        <w:t>докладах</w:t>
      </w:r>
      <w:r w:rsidR="00F0512B" w:rsidRPr="006841BB">
        <w:rPr>
          <w:lang w:val="ru-RU"/>
        </w:rPr>
        <w:t xml:space="preserve"> </w:t>
      </w:r>
      <w:r w:rsidR="00F0512B">
        <w:rPr>
          <w:lang w:val="ru-RU"/>
        </w:rPr>
        <w:t>о</w:t>
      </w:r>
      <w:r w:rsidR="00F0512B" w:rsidRPr="006841BB">
        <w:rPr>
          <w:lang w:val="ru-RU"/>
        </w:rPr>
        <w:t xml:space="preserve"> </w:t>
      </w:r>
      <w:r w:rsidR="00F0512B">
        <w:rPr>
          <w:lang w:val="ru-RU"/>
        </w:rPr>
        <w:t>Списке</w:t>
      </w:r>
      <w:r w:rsidR="00F0512B" w:rsidRPr="006841BB">
        <w:rPr>
          <w:lang w:val="ru-RU"/>
        </w:rPr>
        <w:t xml:space="preserve"> </w:t>
      </w:r>
      <w:r w:rsidR="00F0512B">
        <w:rPr>
          <w:lang w:val="ru-RU"/>
        </w:rPr>
        <w:t>срочной</w:t>
      </w:r>
      <w:r w:rsidR="00F0512B" w:rsidRPr="006841BB">
        <w:rPr>
          <w:lang w:val="ru-RU"/>
        </w:rPr>
        <w:t xml:space="preserve"> </w:t>
      </w:r>
      <w:r w:rsidR="00F0512B">
        <w:rPr>
          <w:lang w:val="ru-RU"/>
        </w:rPr>
        <w:t>охраны</w:t>
      </w:r>
      <w:r w:rsidR="00F0512B" w:rsidRPr="006841BB">
        <w:rPr>
          <w:lang w:val="ru-RU"/>
        </w:rPr>
        <w:t xml:space="preserve"> </w:t>
      </w:r>
      <w:r w:rsidR="00F0512B">
        <w:rPr>
          <w:lang w:val="ru-RU"/>
        </w:rPr>
        <w:t>в</w:t>
      </w:r>
      <w:r w:rsidR="00F0512B" w:rsidRPr="006841BB">
        <w:rPr>
          <w:lang w:val="ru-RU"/>
        </w:rPr>
        <w:t xml:space="preserve"> </w:t>
      </w:r>
      <w:r w:rsidR="00F0512B">
        <w:rPr>
          <w:lang w:val="ru-RU"/>
        </w:rPr>
        <w:t>целях</w:t>
      </w:r>
      <w:r w:rsidR="00F0512B" w:rsidRPr="006841BB">
        <w:rPr>
          <w:lang w:val="ru-RU"/>
        </w:rPr>
        <w:t xml:space="preserve"> </w:t>
      </w:r>
      <w:r w:rsidR="00F0512B">
        <w:rPr>
          <w:lang w:val="ru-RU"/>
        </w:rPr>
        <w:t>выполнения</w:t>
      </w:r>
      <w:r w:rsidR="00F0512B" w:rsidRPr="006841BB">
        <w:rPr>
          <w:lang w:val="ru-RU"/>
        </w:rPr>
        <w:t xml:space="preserve"> </w:t>
      </w:r>
      <w:r w:rsidR="00F0512B">
        <w:rPr>
          <w:lang w:val="ru-RU"/>
        </w:rPr>
        <w:t>требования</w:t>
      </w:r>
      <w:r w:rsidR="00F0512B" w:rsidRPr="006841BB">
        <w:rPr>
          <w:lang w:val="ru-RU"/>
        </w:rPr>
        <w:t xml:space="preserve"> </w:t>
      </w:r>
      <w:r w:rsidR="00F0512B">
        <w:rPr>
          <w:lang w:val="ru-RU"/>
        </w:rPr>
        <w:t>Комитета</w:t>
      </w:r>
      <w:r w:rsidR="0087008A" w:rsidRPr="006841BB">
        <w:rPr>
          <w:lang w:val="ru-RU"/>
        </w:rPr>
        <w:t xml:space="preserve">, </w:t>
      </w:r>
      <w:r w:rsidR="0087008A">
        <w:rPr>
          <w:lang w:val="ru-RU"/>
        </w:rPr>
        <w:t>высказанного</w:t>
      </w:r>
      <w:r w:rsidR="0087008A" w:rsidRPr="006841BB">
        <w:rPr>
          <w:lang w:val="ru-RU"/>
        </w:rPr>
        <w:t xml:space="preserve"> </w:t>
      </w:r>
      <w:r w:rsidR="0087008A">
        <w:rPr>
          <w:lang w:val="ru-RU"/>
        </w:rPr>
        <w:t>на</w:t>
      </w:r>
      <w:r w:rsidR="0087008A" w:rsidRPr="006841BB">
        <w:rPr>
          <w:lang w:val="ru-RU"/>
        </w:rPr>
        <w:t xml:space="preserve"> </w:t>
      </w:r>
      <w:r w:rsidR="0087008A">
        <w:rPr>
          <w:lang w:val="ru-RU"/>
        </w:rPr>
        <w:t>десятой</w:t>
      </w:r>
      <w:r w:rsidR="0087008A" w:rsidRPr="006841BB">
        <w:rPr>
          <w:lang w:val="ru-RU"/>
        </w:rPr>
        <w:t xml:space="preserve"> </w:t>
      </w:r>
      <w:r w:rsidR="0087008A">
        <w:rPr>
          <w:lang w:val="ru-RU"/>
        </w:rPr>
        <w:t>сессии</w:t>
      </w:r>
      <w:r w:rsidR="0087008A" w:rsidRPr="006841BB">
        <w:rPr>
          <w:lang w:val="ru-RU"/>
        </w:rPr>
        <w:t xml:space="preserve"> </w:t>
      </w:r>
      <w:r w:rsidR="0087008A">
        <w:rPr>
          <w:lang w:val="ru-RU"/>
        </w:rPr>
        <w:t>в</w:t>
      </w:r>
      <w:r w:rsidR="0087008A" w:rsidRPr="006841BB">
        <w:rPr>
          <w:lang w:val="ru-RU"/>
        </w:rPr>
        <w:t xml:space="preserve"> 2015</w:t>
      </w:r>
      <w:r w:rsidR="0087008A" w:rsidRPr="0087008A">
        <w:rPr>
          <w:lang w:val="en-US"/>
        </w:rPr>
        <w:t> </w:t>
      </w:r>
      <w:r w:rsidR="0087008A">
        <w:rPr>
          <w:lang w:val="ru-RU"/>
        </w:rPr>
        <w:t>г</w:t>
      </w:r>
      <w:r w:rsidR="0087008A" w:rsidRPr="006841BB">
        <w:rPr>
          <w:lang w:val="ru-RU"/>
        </w:rPr>
        <w:t xml:space="preserve">., </w:t>
      </w:r>
      <w:r w:rsidR="0087008A">
        <w:rPr>
          <w:lang w:val="ru-RU"/>
        </w:rPr>
        <w:t>о</w:t>
      </w:r>
      <w:r w:rsidR="0087008A" w:rsidRPr="006841BB">
        <w:rPr>
          <w:lang w:val="ru-RU"/>
        </w:rPr>
        <w:t xml:space="preserve"> </w:t>
      </w:r>
      <w:r w:rsidR="0087008A">
        <w:rPr>
          <w:lang w:val="ru-RU"/>
        </w:rPr>
        <w:t>возможности</w:t>
      </w:r>
      <w:r w:rsidR="0087008A" w:rsidRPr="006841BB">
        <w:rPr>
          <w:lang w:val="ru-RU"/>
        </w:rPr>
        <w:t xml:space="preserve"> </w:t>
      </w:r>
      <w:r w:rsidR="0087008A">
        <w:rPr>
          <w:lang w:val="ru-RU"/>
        </w:rPr>
        <w:t>обновления</w:t>
      </w:r>
      <w:r w:rsidR="0087008A" w:rsidRPr="006841BB">
        <w:rPr>
          <w:lang w:val="ru-RU"/>
        </w:rPr>
        <w:t xml:space="preserve"> </w:t>
      </w:r>
      <w:r w:rsidR="0087008A">
        <w:rPr>
          <w:lang w:val="ru-RU"/>
        </w:rPr>
        <w:t>планов</w:t>
      </w:r>
      <w:r w:rsidR="0087008A" w:rsidRPr="006841BB">
        <w:rPr>
          <w:lang w:val="ru-RU"/>
        </w:rPr>
        <w:t xml:space="preserve"> </w:t>
      </w:r>
      <w:r w:rsidR="0087008A">
        <w:rPr>
          <w:lang w:val="ru-RU"/>
        </w:rPr>
        <w:t>по</w:t>
      </w:r>
      <w:r w:rsidR="0087008A" w:rsidRPr="006841BB">
        <w:rPr>
          <w:lang w:val="ru-RU"/>
        </w:rPr>
        <w:t xml:space="preserve"> </w:t>
      </w:r>
      <w:r w:rsidR="0087008A">
        <w:rPr>
          <w:lang w:val="ru-RU"/>
        </w:rPr>
        <w:t>охране</w:t>
      </w:r>
      <w:r w:rsidR="0087008A" w:rsidRPr="006841BB">
        <w:rPr>
          <w:lang w:val="ru-RU"/>
        </w:rPr>
        <w:t xml:space="preserve"> </w:t>
      </w:r>
      <w:r w:rsidR="0087008A">
        <w:rPr>
          <w:lang w:val="ru-RU"/>
        </w:rPr>
        <w:t>представляющими</w:t>
      </w:r>
      <w:r w:rsidR="0087008A" w:rsidRPr="006841BB">
        <w:rPr>
          <w:lang w:val="ru-RU"/>
        </w:rPr>
        <w:t xml:space="preserve"> </w:t>
      </w:r>
      <w:r w:rsidR="0087008A">
        <w:rPr>
          <w:lang w:val="ru-RU"/>
        </w:rPr>
        <w:t>доклады</w:t>
      </w:r>
      <w:r w:rsidR="0087008A" w:rsidRPr="006841BB">
        <w:rPr>
          <w:lang w:val="ru-RU"/>
        </w:rPr>
        <w:t xml:space="preserve"> </w:t>
      </w:r>
      <w:r w:rsidR="0087008A">
        <w:rPr>
          <w:lang w:val="ru-RU"/>
        </w:rPr>
        <w:t>государствами</w:t>
      </w:r>
      <w:r w:rsidR="00F0512B" w:rsidRPr="006841BB">
        <w:rPr>
          <w:lang w:val="ru-RU"/>
        </w:rPr>
        <w:t xml:space="preserve"> </w:t>
      </w:r>
      <w:r w:rsidR="00AD435A" w:rsidRPr="006841BB">
        <w:rPr>
          <w:lang w:val="ru-RU"/>
        </w:rPr>
        <w:t>(</w:t>
      </w:r>
      <w:hyperlink r:id="rId13" w:history="1">
        <w:r w:rsidR="007461D9">
          <w:rPr>
            <w:rStyle w:val="Hyperlink"/>
            <w:lang w:val="ru-RU"/>
          </w:rPr>
          <w:t>решение</w:t>
        </w:r>
        <w:r w:rsidR="00AD435A" w:rsidRPr="006841BB">
          <w:rPr>
            <w:rStyle w:val="Hyperlink"/>
            <w:lang w:val="ru-RU"/>
          </w:rPr>
          <w:t xml:space="preserve"> 10.</w:t>
        </w:r>
        <w:r w:rsidR="00AD435A" w:rsidRPr="00555C73">
          <w:rPr>
            <w:rStyle w:val="Hyperlink"/>
          </w:rPr>
          <w:t>COM </w:t>
        </w:r>
        <w:r w:rsidR="00AD435A" w:rsidRPr="006841BB">
          <w:rPr>
            <w:rStyle w:val="Hyperlink"/>
            <w:lang w:val="ru-RU"/>
          </w:rPr>
          <w:t>6.</w:t>
        </w:r>
        <w:r w:rsidR="00AD435A" w:rsidRPr="00555C73">
          <w:rPr>
            <w:rStyle w:val="Hyperlink"/>
          </w:rPr>
          <w:t>b</w:t>
        </w:r>
      </w:hyperlink>
      <w:r w:rsidR="00AD435A" w:rsidRPr="006841BB">
        <w:rPr>
          <w:lang w:val="ru-RU"/>
        </w:rPr>
        <w:t>).</w:t>
      </w:r>
    </w:p>
    <w:p w:rsidR="00AD435A" w:rsidRPr="007461D9" w:rsidRDefault="008F7951" w:rsidP="00AD435A">
      <w:pPr>
        <w:pStyle w:val="COMPara"/>
        <w:numPr>
          <w:ilvl w:val="0"/>
          <w:numId w:val="13"/>
        </w:numPr>
        <w:spacing w:before="120"/>
        <w:ind w:left="567" w:hanging="567"/>
        <w:jc w:val="both"/>
        <w:rPr>
          <w:lang w:val="ru-RU"/>
        </w:rPr>
      </w:pPr>
      <w:r w:rsidRPr="008006BB">
        <w:rPr>
          <w:lang w:val="ru-RU"/>
        </w:rPr>
        <w:t xml:space="preserve">Генеральной ассамблее предлагается </w:t>
      </w:r>
      <w:r w:rsidRPr="002402C9">
        <w:rPr>
          <w:lang w:val="ru-RU"/>
        </w:rPr>
        <w:t xml:space="preserve">принять </w:t>
      </w:r>
      <w:r w:rsidRPr="008006BB">
        <w:rPr>
          <w:lang w:val="ru-RU"/>
        </w:rPr>
        <w:t xml:space="preserve">резолюцию следующего </w:t>
      </w:r>
      <w:proofErr w:type="gramStart"/>
      <w:r w:rsidRPr="008006BB">
        <w:rPr>
          <w:lang w:val="ru-RU"/>
        </w:rPr>
        <w:t>содержания</w:t>
      </w:r>
      <w:r w:rsidRPr="002402C9" w:rsidDel="008F7951">
        <w:rPr>
          <w:lang w:val="ru-RU"/>
        </w:rPr>
        <w:t xml:space="preserve"> </w:t>
      </w:r>
      <w:r w:rsidR="00AD435A" w:rsidRPr="007461D9">
        <w:rPr>
          <w:lang w:val="ru-RU"/>
        </w:rPr>
        <w:t>:</w:t>
      </w:r>
      <w:proofErr w:type="gramEnd"/>
    </w:p>
    <w:p w:rsidR="00AD435A" w:rsidRPr="007461D9" w:rsidRDefault="007461D9" w:rsidP="00AD435A">
      <w:pPr>
        <w:pStyle w:val="COMTitleDecision"/>
        <w:rPr>
          <w:rFonts w:eastAsia="SimSun"/>
          <w:lang w:val="ru-RU"/>
        </w:rPr>
      </w:pPr>
      <w:r>
        <w:rPr>
          <w:lang w:val="ru-RU"/>
        </w:rPr>
        <w:t>ПРОЕКТ РЕЗОЛЮЦИИ</w:t>
      </w:r>
      <w:r w:rsidR="00AD435A" w:rsidRPr="007461D9">
        <w:rPr>
          <w:lang w:val="ru-RU"/>
        </w:rPr>
        <w:t xml:space="preserve"> 7.</w:t>
      </w:r>
      <w:r w:rsidR="00AD435A">
        <w:t>GA </w:t>
      </w:r>
      <w:r w:rsidR="00AD435A" w:rsidRPr="007461D9">
        <w:rPr>
          <w:lang w:val="ru-RU"/>
        </w:rPr>
        <w:t>10</w:t>
      </w:r>
    </w:p>
    <w:p w:rsidR="00AD435A" w:rsidRPr="007461D9" w:rsidRDefault="007461D9" w:rsidP="00AD435A">
      <w:pPr>
        <w:pStyle w:val="COMPreambulaDecisions"/>
        <w:rPr>
          <w:rFonts w:eastAsia="SimSun"/>
          <w:lang w:val="ru-RU"/>
        </w:rPr>
      </w:pPr>
      <w:r>
        <w:rPr>
          <w:lang w:val="ru-RU"/>
        </w:rPr>
        <w:t>Генеральная ассамблея</w:t>
      </w:r>
      <w:r w:rsidR="00AD435A" w:rsidRPr="007461D9">
        <w:rPr>
          <w:lang w:val="ru-RU"/>
        </w:rPr>
        <w:t>,</w:t>
      </w:r>
    </w:p>
    <w:p w:rsidR="00AD435A" w:rsidRPr="00345CB4" w:rsidRDefault="007461D9" w:rsidP="00AD435A">
      <w:pPr>
        <w:pStyle w:val="COMParaDecision"/>
        <w:numPr>
          <w:ilvl w:val="0"/>
          <w:numId w:val="10"/>
        </w:numPr>
        <w:ind w:left="1134" w:hanging="567"/>
      </w:pPr>
      <w:r>
        <w:rPr>
          <w:lang w:val="ru-RU"/>
        </w:rPr>
        <w:t>Рассмотрев</w:t>
      </w:r>
      <w:r w:rsidR="00AD435A" w:rsidRPr="00F32C23">
        <w:rPr>
          <w:u w:val="none"/>
        </w:rPr>
        <w:t xml:space="preserve"> </w:t>
      </w:r>
      <w:r>
        <w:rPr>
          <w:u w:val="none"/>
          <w:lang w:val="ru-RU"/>
        </w:rPr>
        <w:t>документ</w:t>
      </w:r>
      <w:r w:rsidR="00AD435A">
        <w:rPr>
          <w:u w:val="none"/>
        </w:rPr>
        <w:t xml:space="preserve"> ITH/18/7.GA</w:t>
      </w:r>
      <w:r w:rsidR="00AD435A" w:rsidRPr="002A591C">
        <w:rPr>
          <w:u w:val="none"/>
        </w:rPr>
        <w:t>/10</w:t>
      </w:r>
      <w:r w:rsidR="00AD435A" w:rsidRPr="00F32C23">
        <w:rPr>
          <w:u w:val="none"/>
        </w:rPr>
        <w:t>,</w:t>
      </w:r>
    </w:p>
    <w:p w:rsidR="00AD435A" w:rsidRPr="00D17759" w:rsidRDefault="007461D9" w:rsidP="00AD435A">
      <w:pPr>
        <w:pStyle w:val="COMParaDecision"/>
        <w:numPr>
          <w:ilvl w:val="0"/>
          <w:numId w:val="10"/>
        </w:numPr>
        <w:ind w:left="1134" w:hanging="567"/>
        <w:rPr>
          <w:lang w:val="ru-RU"/>
        </w:rPr>
      </w:pPr>
      <w:r>
        <w:rPr>
          <w:lang w:val="ru-RU"/>
        </w:rPr>
        <w:t>Приветствует</w:t>
      </w:r>
      <w:r w:rsidR="00AD435A" w:rsidRPr="00D17759">
        <w:rPr>
          <w:u w:val="none"/>
          <w:lang w:val="ru-RU"/>
        </w:rPr>
        <w:t xml:space="preserve"> </w:t>
      </w:r>
      <w:r w:rsidR="00D17759">
        <w:rPr>
          <w:u w:val="none"/>
          <w:lang w:val="ru-RU"/>
        </w:rPr>
        <w:t>инициированную</w:t>
      </w:r>
      <w:r w:rsidR="00D17759" w:rsidRPr="00D17759">
        <w:rPr>
          <w:u w:val="none"/>
          <w:lang w:val="ru-RU"/>
        </w:rPr>
        <w:t xml:space="preserve"> </w:t>
      </w:r>
      <w:r w:rsidR="00D17759">
        <w:rPr>
          <w:u w:val="none"/>
          <w:lang w:val="ru-RU"/>
        </w:rPr>
        <w:t>Комитетом</w:t>
      </w:r>
      <w:r w:rsidR="00D17759" w:rsidRPr="00D17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реформу</w:t>
      </w:r>
      <w:r w:rsidRPr="00D17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процесса</w:t>
      </w:r>
      <w:r w:rsidRPr="00D17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представления</w:t>
      </w:r>
      <w:r w:rsidRPr="00D17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периодических</w:t>
      </w:r>
      <w:r w:rsidRPr="00D17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докладов</w:t>
      </w:r>
      <w:r w:rsidR="00D17759" w:rsidRPr="00D17759">
        <w:rPr>
          <w:u w:val="none"/>
          <w:lang w:val="ru-RU"/>
        </w:rPr>
        <w:t xml:space="preserve"> </w:t>
      </w:r>
      <w:r w:rsidR="00D17759">
        <w:rPr>
          <w:u w:val="none"/>
          <w:lang w:val="ru-RU"/>
        </w:rPr>
        <w:t>и</w:t>
      </w:r>
      <w:r w:rsidR="00D17759" w:rsidRPr="00D17759">
        <w:rPr>
          <w:u w:val="none"/>
          <w:lang w:val="ru-RU"/>
        </w:rPr>
        <w:t xml:space="preserve"> </w:t>
      </w:r>
      <w:r w:rsidR="00D17759" w:rsidRPr="00D17759">
        <w:rPr>
          <w:lang w:val="ru-RU"/>
        </w:rPr>
        <w:t>поддерживает</w:t>
      </w:r>
      <w:r w:rsidR="00D17759" w:rsidRPr="00D17759">
        <w:rPr>
          <w:u w:val="none"/>
          <w:lang w:val="ru-RU"/>
        </w:rPr>
        <w:t xml:space="preserve"> </w:t>
      </w:r>
      <w:r w:rsidR="00D17759">
        <w:rPr>
          <w:u w:val="none"/>
          <w:lang w:val="ru-RU"/>
        </w:rPr>
        <w:t>его</w:t>
      </w:r>
      <w:r w:rsidR="00D17759" w:rsidRPr="00D17759">
        <w:rPr>
          <w:u w:val="none"/>
          <w:lang w:val="ru-RU"/>
        </w:rPr>
        <w:t xml:space="preserve"> </w:t>
      </w:r>
      <w:r w:rsidR="00D17759">
        <w:rPr>
          <w:u w:val="none"/>
          <w:lang w:val="ru-RU"/>
        </w:rPr>
        <w:t>решение</w:t>
      </w:r>
      <w:r w:rsidR="00D17759" w:rsidRPr="00D17759">
        <w:rPr>
          <w:u w:val="none"/>
          <w:lang w:val="ru-RU"/>
        </w:rPr>
        <w:t xml:space="preserve"> </w:t>
      </w:r>
      <w:r w:rsidR="00D17759">
        <w:rPr>
          <w:u w:val="none"/>
          <w:lang w:val="ru-RU"/>
        </w:rPr>
        <w:t>о</w:t>
      </w:r>
      <w:r w:rsidR="00D17759" w:rsidRPr="00D17759">
        <w:rPr>
          <w:u w:val="none"/>
          <w:lang w:val="ru-RU"/>
        </w:rPr>
        <w:t xml:space="preserve"> </w:t>
      </w:r>
      <w:r w:rsidR="00D17759">
        <w:rPr>
          <w:u w:val="none"/>
          <w:lang w:val="ru-RU"/>
        </w:rPr>
        <w:t>переходе</w:t>
      </w:r>
      <w:r w:rsidR="00D17759" w:rsidRPr="00D17759">
        <w:rPr>
          <w:u w:val="none"/>
          <w:lang w:val="ru-RU"/>
        </w:rPr>
        <w:t xml:space="preserve"> </w:t>
      </w:r>
      <w:r w:rsidR="00D17759">
        <w:rPr>
          <w:u w:val="none"/>
          <w:lang w:val="ru-RU"/>
        </w:rPr>
        <w:t>к</w:t>
      </w:r>
      <w:r w:rsidR="00D17759" w:rsidRPr="00D17759">
        <w:rPr>
          <w:u w:val="none"/>
          <w:lang w:val="ru-RU"/>
        </w:rPr>
        <w:t xml:space="preserve"> </w:t>
      </w:r>
      <w:r w:rsidR="00D17759">
        <w:rPr>
          <w:u w:val="none"/>
          <w:lang w:val="ru-RU"/>
        </w:rPr>
        <w:t>региональному</w:t>
      </w:r>
      <w:r w:rsidR="00D17759" w:rsidRPr="00D17759">
        <w:rPr>
          <w:u w:val="none"/>
          <w:lang w:val="ru-RU"/>
        </w:rPr>
        <w:t xml:space="preserve"> </w:t>
      </w:r>
      <w:r w:rsidR="00D17759">
        <w:rPr>
          <w:u w:val="none"/>
          <w:lang w:val="ru-RU"/>
        </w:rPr>
        <w:t>циклу</w:t>
      </w:r>
      <w:r w:rsidR="00D17759" w:rsidRPr="00D17759">
        <w:rPr>
          <w:u w:val="none"/>
          <w:lang w:val="ru-RU"/>
        </w:rPr>
        <w:t xml:space="preserve"> </w:t>
      </w:r>
      <w:r w:rsidR="00D17759">
        <w:rPr>
          <w:u w:val="none"/>
          <w:lang w:val="ru-RU"/>
        </w:rPr>
        <w:t>представления</w:t>
      </w:r>
      <w:r w:rsidR="00D17759" w:rsidRPr="00D17759">
        <w:rPr>
          <w:u w:val="none"/>
          <w:lang w:val="ru-RU"/>
        </w:rPr>
        <w:t xml:space="preserve"> </w:t>
      </w:r>
      <w:r w:rsidR="00D17759">
        <w:rPr>
          <w:u w:val="none"/>
          <w:lang w:val="ru-RU"/>
        </w:rPr>
        <w:t>национальных</w:t>
      </w:r>
      <w:r w:rsidR="00D17759" w:rsidRPr="00D17759">
        <w:rPr>
          <w:u w:val="none"/>
          <w:lang w:val="ru-RU"/>
        </w:rPr>
        <w:t xml:space="preserve"> </w:t>
      </w:r>
      <w:r w:rsidR="00D17759">
        <w:rPr>
          <w:u w:val="none"/>
          <w:lang w:val="ru-RU"/>
        </w:rPr>
        <w:t>докладов</w:t>
      </w:r>
      <w:r w:rsidR="00AD435A" w:rsidRPr="00D17759">
        <w:rPr>
          <w:u w:val="none"/>
          <w:lang w:val="ru-RU"/>
        </w:rPr>
        <w:t>;</w:t>
      </w:r>
    </w:p>
    <w:p w:rsidR="00AD435A" w:rsidRDefault="003B5233" w:rsidP="00AD435A">
      <w:pPr>
        <w:pStyle w:val="COMParaDecision"/>
        <w:numPr>
          <w:ilvl w:val="0"/>
          <w:numId w:val="10"/>
        </w:numPr>
        <w:ind w:left="1134" w:hanging="567"/>
        <w:rPr>
          <w:u w:val="none"/>
          <w:lang w:val="ru-RU"/>
        </w:rPr>
      </w:pPr>
      <w:r>
        <w:rPr>
          <w:lang w:val="ru-RU"/>
        </w:rPr>
        <w:t>Утверждает</w:t>
      </w:r>
      <w:r w:rsidR="00AD435A" w:rsidRPr="003B5233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поправки</w:t>
      </w:r>
      <w:r w:rsidRPr="003B5233">
        <w:rPr>
          <w:u w:val="none"/>
          <w:lang w:val="ru-RU"/>
        </w:rPr>
        <w:t xml:space="preserve"> </w:t>
      </w:r>
      <w:r>
        <w:rPr>
          <w:u w:val="none"/>
          <w:lang w:val="ru-RU"/>
        </w:rPr>
        <w:t>к</w:t>
      </w:r>
      <w:r w:rsidRPr="003B5233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Оперативному</w:t>
      </w:r>
      <w:r w:rsidRPr="003B5233">
        <w:rPr>
          <w:u w:val="none"/>
          <w:lang w:val="ru-RU"/>
        </w:rPr>
        <w:t xml:space="preserve"> </w:t>
      </w:r>
      <w:r>
        <w:rPr>
          <w:u w:val="none"/>
          <w:lang w:val="ru-RU"/>
        </w:rPr>
        <w:t>руководству</w:t>
      </w:r>
      <w:r w:rsidRPr="003B5233">
        <w:rPr>
          <w:u w:val="none"/>
          <w:lang w:val="ru-RU"/>
        </w:rPr>
        <w:t xml:space="preserve">, </w:t>
      </w:r>
      <w:r>
        <w:rPr>
          <w:u w:val="none"/>
          <w:lang w:val="ru-RU"/>
        </w:rPr>
        <w:t>прилагаемые</w:t>
      </w:r>
      <w:r w:rsidRPr="003B5233">
        <w:rPr>
          <w:u w:val="none"/>
          <w:lang w:val="ru-RU"/>
        </w:rPr>
        <w:t xml:space="preserve"> </w:t>
      </w:r>
      <w:r>
        <w:rPr>
          <w:u w:val="none"/>
          <w:lang w:val="ru-RU"/>
        </w:rPr>
        <w:t>к</w:t>
      </w:r>
      <w:r w:rsidRPr="003B5233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настоящей резолюции.</w:t>
      </w:r>
    </w:p>
    <w:p w:rsidR="00F40D41" w:rsidRPr="00CA0AEF" w:rsidRDefault="00F40D41" w:rsidP="00E23B7C">
      <w:pPr>
        <w:pStyle w:val="GAPara"/>
        <w:numPr>
          <w:ilvl w:val="0"/>
          <w:numId w:val="0"/>
        </w:numPr>
        <w:rPr>
          <w:lang w:val="ru-RU"/>
        </w:rPr>
        <w:sectPr w:rsidR="00F40D41" w:rsidRPr="00CA0AEF" w:rsidSect="00655736">
          <w:headerReference w:type="even" r:id="rId14"/>
          <w:headerReference w:type="default" r:id="rId15"/>
          <w:headerReference w:type="first" r:id="rId16"/>
          <w:pgSz w:w="11906" w:h="16838" w:code="9"/>
          <w:pgMar w:top="1418" w:right="1134" w:bottom="1134" w:left="1134" w:header="397" w:footer="284" w:gutter="0"/>
          <w:cols w:space="708"/>
          <w:titlePg/>
          <w:docGrid w:linePitch="360"/>
        </w:sectPr>
      </w:pPr>
    </w:p>
    <w:p w:rsidR="00F40D41" w:rsidRPr="009E04B8" w:rsidRDefault="009E04B8" w:rsidP="00F40D41">
      <w:pPr>
        <w:pStyle w:val="Marge"/>
        <w:jc w:val="center"/>
        <w:rPr>
          <w:b/>
          <w:bCs/>
          <w:lang w:val="be-BY"/>
        </w:rPr>
      </w:pPr>
      <w:r>
        <w:rPr>
          <w:b/>
          <w:bCs/>
          <w:lang w:val="be-BY"/>
        </w:rPr>
        <w:lastRenderedPageBreak/>
        <w:t>ПР</w:t>
      </w:r>
      <w:r>
        <w:rPr>
          <w:b/>
          <w:bCs/>
          <w:lang w:val="ru-RU"/>
        </w:rPr>
        <w:t>И</w:t>
      </w:r>
      <w:r>
        <w:rPr>
          <w:b/>
          <w:bCs/>
          <w:lang w:val="be-BY"/>
        </w:rPr>
        <w:t>ЛОЖЕНИЕ</w:t>
      </w:r>
    </w:p>
    <w:tbl>
      <w:tblPr>
        <w:tblW w:w="147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1"/>
        <w:gridCol w:w="466"/>
        <w:gridCol w:w="271"/>
        <w:gridCol w:w="6634"/>
        <w:gridCol w:w="737"/>
        <w:gridCol w:w="6363"/>
      </w:tblGrid>
      <w:tr w:rsidR="00F40D41" w:rsidRPr="00EB77E6" w:rsidTr="004972F8">
        <w:trPr>
          <w:gridBefore w:val="1"/>
          <w:wBefore w:w="92" w:type="pct"/>
          <w:cantSplit/>
        </w:trPr>
        <w:tc>
          <w:tcPr>
            <w:tcW w:w="250" w:type="pct"/>
            <w:gridSpan w:val="2"/>
            <w:shd w:val="clear" w:color="auto" w:fill="auto"/>
          </w:tcPr>
          <w:p w:rsidR="00F40D41" w:rsidRPr="009D2FCA" w:rsidRDefault="00F40D41" w:rsidP="00BB3A44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250" w:type="pct"/>
            <w:shd w:val="clear" w:color="auto" w:fill="auto"/>
          </w:tcPr>
          <w:p w:rsidR="00F40D41" w:rsidRPr="009D2FCA" w:rsidRDefault="009E04B8" w:rsidP="009E04B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ru-RU"/>
              </w:rPr>
              <w:t>Оперативное руководство</w:t>
            </w:r>
          </w:p>
        </w:tc>
        <w:tc>
          <w:tcPr>
            <w:tcW w:w="250" w:type="pct"/>
          </w:tcPr>
          <w:p w:rsidR="00F40D41" w:rsidRPr="009D2FCA" w:rsidRDefault="00F40D41" w:rsidP="00BB3A44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158" w:type="pct"/>
          </w:tcPr>
          <w:p w:rsidR="00F40D41" w:rsidRPr="00DD7D44" w:rsidRDefault="00BB57EB" w:rsidP="0065051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ru-RU"/>
              </w:rPr>
              <w:t>Предлагаемые поправки</w:t>
            </w:r>
          </w:p>
        </w:tc>
      </w:tr>
      <w:tr w:rsidR="00F40D41" w:rsidRPr="00EB77E6" w:rsidTr="004972F8">
        <w:trPr>
          <w:gridBefore w:val="1"/>
          <w:wBefore w:w="92" w:type="pct"/>
          <w:cantSplit/>
        </w:trPr>
        <w:tc>
          <w:tcPr>
            <w:tcW w:w="250" w:type="pct"/>
            <w:gridSpan w:val="2"/>
            <w:shd w:val="clear" w:color="auto" w:fill="auto"/>
          </w:tcPr>
          <w:p w:rsidR="00F40D41" w:rsidRPr="00B36C17" w:rsidRDefault="00F40D41" w:rsidP="00BB3A4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6C1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V.1</w:t>
            </w:r>
          </w:p>
        </w:tc>
        <w:tc>
          <w:tcPr>
            <w:tcW w:w="2250" w:type="pct"/>
            <w:shd w:val="clear" w:color="auto" w:fill="auto"/>
          </w:tcPr>
          <w:p w:rsidR="00F40D41" w:rsidRPr="0065051E" w:rsidRDefault="0065051E" w:rsidP="0065051E">
            <w:pPr>
              <w:spacing w:before="120" w:after="12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Доклады государств-участников о выполнении Конвенции</w:t>
            </w:r>
          </w:p>
        </w:tc>
        <w:tc>
          <w:tcPr>
            <w:tcW w:w="250" w:type="pct"/>
          </w:tcPr>
          <w:p w:rsidR="00F40D41" w:rsidRPr="00B36C17" w:rsidRDefault="00F40D41" w:rsidP="00BB3A4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6C1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V.1</w:t>
            </w:r>
          </w:p>
        </w:tc>
        <w:tc>
          <w:tcPr>
            <w:tcW w:w="2158" w:type="pct"/>
          </w:tcPr>
          <w:p w:rsidR="00F40D41" w:rsidRPr="00B36C17" w:rsidRDefault="0065051E" w:rsidP="0065051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Без изменений</w:t>
            </w:r>
            <w:r w:rsidR="00F40D41" w:rsidRPr="00B36C17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F40D41" w:rsidRPr="00EB77E6" w:rsidTr="004972F8">
        <w:trPr>
          <w:gridBefore w:val="1"/>
          <w:wBefore w:w="92" w:type="pct"/>
          <w:cantSplit/>
        </w:trPr>
        <w:tc>
          <w:tcPr>
            <w:tcW w:w="250" w:type="pct"/>
            <w:gridSpan w:val="2"/>
            <w:shd w:val="clear" w:color="auto" w:fill="auto"/>
          </w:tcPr>
          <w:p w:rsidR="00F40D41" w:rsidRPr="00A1056C" w:rsidRDefault="00F40D41" w:rsidP="00BB3A4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151</w:t>
            </w:r>
            <w:r w:rsidRPr="00A1056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2250" w:type="pct"/>
            <w:shd w:val="clear" w:color="auto" w:fill="auto"/>
          </w:tcPr>
          <w:p w:rsidR="00F40D41" w:rsidRPr="008A5A5E" w:rsidRDefault="00C06169" w:rsidP="008A5A5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Каждое</w:t>
            </w:r>
            <w:r w:rsidRPr="00CF43B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государство</w:t>
            </w:r>
            <w:r w:rsidRPr="00CF43BD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</w:t>
            </w:r>
            <w:r w:rsidRPr="00CF43B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Конвенции</w:t>
            </w:r>
            <w:r w:rsidRPr="00CF43B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периодически</w:t>
            </w:r>
            <w:r w:rsidRPr="00CF43B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представляет</w:t>
            </w:r>
            <w:r w:rsidRPr="00CF43B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Комитету</w:t>
            </w:r>
            <w:r w:rsidRPr="00CF43B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доклады</w:t>
            </w:r>
            <w:r w:rsidRPr="00CF43B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CF43B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законодательных</w:t>
            </w:r>
            <w:r w:rsidRPr="00CF43BD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регламентирующих</w:t>
            </w:r>
            <w:r w:rsidRPr="00CF43B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CF43B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иных</w:t>
            </w:r>
            <w:r w:rsidRPr="00CF43B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мерах</w:t>
            </w:r>
            <w:r w:rsidRPr="00CF43BD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принятых</w:t>
            </w:r>
            <w:r w:rsidRPr="00CF43B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для</w:t>
            </w:r>
            <w:r w:rsidRPr="00CF43B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выполнения</w:t>
            </w:r>
            <w:r w:rsidRPr="00CF43B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Конвенции</w:t>
            </w:r>
            <w:r w:rsidRPr="00CF43BD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="00F40D41" w:rsidRPr="00CF43B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F43BD">
              <w:rPr>
                <w:rFonts w:ascii="Arial" w:hAnsi="Arial" w:cs="Arial"/>
                <w:sz w:val="22"/>
                <w:szCs w:val="22"/>
                <w:lang w:val="ru-RU"/>
              </w:rPr>
              <w:t>Государства</w:t>
            </w:r>
            <w:r w:rsidR="00CF43BD" w:rsidRPr="008A5A5E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="00CF43BD">
              <w:rPr>
                <w:rFonts w:ascii="Arial" w:hAnsi="Arial" w:cs="Arial"/>
                <w:sz w:val="22"/>
                <w:szCs w:val="22"/>
                <w:lang w:val="ru-RU"/>
              </w:rPr>
              <w:t>участники</w:t>
            </w:r>
            <w:r w:rsidR="00CF43BD" w:rsidRPr="008A5A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F43BD">
              <w:rPr>
                <w:rFonts w:ascii="Arial" w:hAnsi="Arial" w:cs="Arial"/>
                <w:sz w:val="22"/>
                <w:szCs w:val="22"/>
                <w:lang w:val="ru-RU"/>
              </w:rPr>
              <w:t>поощряются</w:t>
            </w:r>
            <w:r w:rsidR="00CF43BD" w:rsidRPr="008A5A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F43BD">
              <w:rPr>
                <w:rFonts w:ascii="Arial" w:hAnsi="Arial" w:cs="Arial"/>
                <w:sz w:val="22"/>
                <w:szCs w:val="22"/>
                <w:lang w:val="ru-RU"/>
              </w:rPr>
              <w:t>к</w:t>
            </w:r>
            <w:r w:rsidR="00CF43BD" w:rsidRPr="008A5A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F43BD">
              <w:rPr>
                <w:rFonts w:ascii="Arial" w:hAnsi="Arial" w:cs="Arial"/>
                <w:sz w:val="22"/>
                <w:szCs w:val="22"/>
                <w:lang w:val="ru-RU"/>
              </w:rPr>
              <w:t>тому</w:t>
            </w:r>
            <w:r w:rsidR="00CF43BD" w:rsidRPr="008A5A5E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CF43BD">
              <w:rPr>
                <w:rFonts w:ascii="Arial" w:hAnsi="Arial" w:cs="Arial"/>
                <w:sz w:val="22"/>
                <w:szCs w:val="22"/>
                <w:lang w:val="ru-RU"/>
              </w:rPr>
              <w:t>чтобы</w:t>
            </w:r>
            <w:r w:rsidR="00CF43BD" w:rsidRPr="008A5A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8A5A5E">
              <w:rPr>
                <w:rFonts w:ascii="Arial" w:hAnsi="Arial" w:cs="Arial"/>
                <w:sz w:val="22"/>
                <w:szCs w:val="22"/>
                <w:lang w:val="ru-RU"/>
              </w:rPr>
              <w:t>дополнять</w:t>
            </w:r>
            <w:r w:rsidR="008A5A5E" w:rsidRPr="008A5A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8A5A5E">
              <w:rPr>
                <w:rFonts w:ascii="Arial" w:hAnsi="Arial" w:cs="Arial"/>
                <w:sz w:val="22"/>
                <w:szCs w:val="22"/>
                <w:lang w:val="ru-RU"/>
              </w:rPr>
              <w:t>собранные</w:t>
            </w:r>
            <w:r w:rsidR="008A5A5E" w:rsidRPr="008A5A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8A5A5E">
              <w:rPr>
                <w:rFonts w:ascii="Arial" w:hAnsi="Arial" w:cs="Arial"/>
                <w:sz w:val="22"/>
                <w:szCs w:val="22"/>
                <w:lang w:val="ru-RU"/>
              </w:rPr>
              <w:t>данные</w:t>
            </w:r>
            <w:r w:rsidR="008A5A5E" w:rsidRPr="008A5A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8A5A5E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="008A5A5E" w:rsidRPr="008A5A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8A5A5E">
              <w:rPr>
                <w:rFonts w:ascii="Arial" w:hAnsi="Arial" w:cs="Arial"/>
                <w:sz w:val="22"/>
                <w:szCs w:val="22"/>
                <w:lang w:val="ru-RU"/>
              </w:rPr>
              <w:t>выполнении</w:t>
            </w:r>
            <w:r w:rsidR="008A5A5E" w:rsidRPr="008A5A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8A5A5E">
              <w:rPr>
                <w:rFonts w:ascii="Arial" w:hAnsi="Arial" w:cs="Arial"/>
                <w:sz w:val="22"/>
                <w:szCs w:val="22"/>
                <w:lang w:val="ru-RU"/>
              </w:rPr>
              <w:t>Конвенции</w:t>
            </w:r>
            <w:r w:rsidR="008A5A5E" w:rsidRPr="008A5A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8A5A5E">
              <w:rPr>
                <w:rFonts w:ascii="Arial" w:hAnsi="Arial" w:cs="Arial"/>
                <w:sz w:val="22"/>
                <w:szCs w:val="22"/>
                <w:lang w:val="ru-RU"/>
              </w:rPr>
              <w:t>информацией, предоставляемой соответствующими неправительственными организациями.</w:t>
            </w:r>
          </w:p>
        </w:tc>
        <w:tc>
          <w:tcPr>
            <w:tcW w:w="250" w:type="pct"/>
          </w:tcPr>
          <w:p w:rsidR="00F40D41" w:rsidRPr="00BA4171" w:rsidRDefault="00F40D41" w:rsidP="00BB3A4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151</w:t>
            </w:r>
            <w:r w:rsidRPr="00BA4171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2158" w:type="pct"/>
          </w:tcPr>
          <w:p w:rsidR="00F40D41" w:rsidRPr="004815DD" w:rsidRDefault="0065051E" w:rsidP="0065051E">
            <w:pPr>
              <w:spacing w:before="120" w:after="120"/>
              <w:ind w:right="175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Без изменений</w:t>
            </w:r>
            <w:r w:rsidR="00F40D41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F40D41" w:rsidRPr="008B5C8B" w:rsidTr="004972F8">
        <w:trPr>
          <w:gridBefore w:val="1"/>
          <w:wBefore w:w="92" w:type="pct"/>
          <w:cantSplit/>
        </w:trPr>
        <w:tc>
          <w:tcPr>
            <w:tcW w:w="250" w:type="pct"/>
            <w:gridSpan w:val="2"/>
            <w:shd w:val="clear" w:color="auto" w:fill="auto"/>
          </w:tcPr>
          <w:p w:rsidR="00F40D41" w:rsidRPr="00A1056C" w:rsidRDefault="00F40D41" w:rsidP="00BB3A4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152</w:t>
            </w:r>
            <w:r w:rsidRPr="00A1056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2250" w:type="pct"/>
            <w:shd w:val="clear" w:color="auto" w:fill="auto"/>
          </w:tcPr>
          <w:p w:rsidR="00F40D41" w:rsidRPr="00E336A1" w:rsidRDefault="00FE75DD" w:rsidP="00043FEE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Государство</w:t>
            </w:r>
            <w:r w:rsidRP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участник</w:t>
            </w:r>
            <w:r w:rsidRP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представляет</w:t>
            </w:r>
            <w:r w:rsidRP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Комитету</w:t>
            </w:r>
            <w:r w:rsidRP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641CBF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свой</w:t>
            </w:r>
            <w:r w:rsidR="00641CBF" w:rsidRP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641CBF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периодический</w:t>
            </w:r>
            <w:r w:rsidR="00641CBF" w:rsidRP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641CBF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доклад</w:t>
            </w:r>
            <w:r w:rsidR="00BB3A44" w:rsidRP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, </w:t>
            </w:r>
            <w:r w:rsid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к</w:t>
            </w:r>
            <w:r w:rsidR="00BB3A44" w:rsidRP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15 </w:t>
            </w:r>
            <w:r w:rsid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декабря</w:t>
            </w:r>
            <w:r w:rsidR="00BB3A44" w:rsidRP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шестого</w:t>
            </w:r>
            <w:r w:rsidR="00BB3A44" w:rsidRP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года</w:t>
            </w:r>
            <w:r w:rsidR="00BB3A44" w:rsidRP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после</w:t>
            </w:r>
            <w:r w:rsidR="00BB3A44" w:rsidRP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года</w:t>
            </w:r>
            <w:r w:rsidR="00BB3A44" w:rsidRP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, </w:t>
            </w:r>
            <w:r w:rsid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в</w:t>
            </w:r>
            <w:r w:rsidR="00BB3A44" w:rsidRP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котором</w:t>
            </w:r>
            <w:r w:rsidR="00BB3A44" w:rsidRP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оно</w:t>
            </w:r>
            <w:r w:rsidR="00BB3A44" w:rsidRP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сдало</w:t>
            </w:r>
            <w:r w:rsidR="00BB3A44" w:rsidRP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на</w:t>
            </w:r>
            <w:r w:rsidR="00BB3A44" w:rsidRP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хранение</w:t>
            </w:r>
            <w:r w:rsidR="00BB3A44" w:rsidRP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свою</w:t>
            </w:r>
            <w:r w:rsidR="00BB3A44" w:rsidRP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ратификационную</w:t>
            </w:r>
            <w:r w:rsidR="00BB3A44" w:rsidRP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грамоту</w:t>
            </w:r>
            <w:r w:rsidR="00BB3A44" w:rsidRP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, </w:t>
            </w:r>
            <w:r w:rsid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документ</w:t>
            </w:r>
            <w:r w:rsidR="00BB3A44" w:rsidRP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о</w:t>
            </w:r>
            <w:r w:rsidR="00BB3A44" w:rsidRP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принятии</w:t>
            </w:r>
            <w:r w:rsidR="00BB3A44" w:rsidRP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или</w:t>
            </w:r>
            <w:r w:rsidR="00BB3A44" w:rsidRP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утверждении</w:t>
            </w:r>
            <w:r w:rsidR="00BB3A44" w:rsidRP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, </w:t>
            </w:r>
            <w:r w:rsid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и</w:t>
            </w:r>
            <w:r w:rsidR="00BB3A44" w:rsidRP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каждый</w:t>
            </w:r>
            <w:r w:rsidR="00BB3A44" w:rsidRP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шестой</w:t>
            </w:r>
            <w:r w:rsidR="00BB3A44" w:rsidRP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год</w:t>
            </w:r>
            <w:r w:rsidR="00BB3A44" w:rsidRP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в</w:t>
            </w:r>
            <w:r w:rsidR="00BB3A44" w:rsidRP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дальнейшем</w:t>
            </w:r>
            <w:r w:rsidR="00BB3A44" w:rsidRP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.</w:t>
            </w:r>
            <w:r w:rsid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Для</w:t>
            </w:r>
            <w:r w:rsidR="00BB3A44" w:rsidRP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этих</w:t>
            </w:r>
            <w:r w:rsidR="00BB3A44" w:rsidRP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докладов</w:t>
            </w:r>
            <w:r w:rsidR="00BB3A44" w:rsidRP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используется</w:t>
            </w:r>
            <w:r w:rsidR="00BB3A44" w:rsidRP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форма</w:t>
            </w:r>
            <w:r w:rsidR="00F40D41" w:rsidRP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F40D41" w:rsidRPr="003942C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ICH</w:t>
            </w:r>
            <w:r w:rsidR="00F40D41" w:rsidRP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-10</w:t>
            </w:r>
            <w:r w:rsidR="00BB3A44" w:rsidRP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, </w:t>
            </w:r>
            <w:r w:rsid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доступная</w:t>
            </w:r>
            <w:r w:rsidR="00BB3A44" w:rsidRP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по</w:t>
            </w:r>
            <w:r w:rsidR="00BB3A44" w:rsidRP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адресу</w:t>
            </w:r>
            <w:r w:rsidR="00F40D41" w:rsidRP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hyperlink r:id="rId17" w:history="1">
              <w:r w:rsidR="00F40D41" w:rsidRPr="00FB2BF4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www</w:t>
              </w:r>
              <w:r w:rsidR="00F40D41" w:rsidRPr="00BB3A44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proofErr w:type="spellStart"/>
              <w:r w:rsidR="00F40D41" w:rsidRPr="00FB2BF4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unesco</w:t>
              </w:r>
              <w:proofErr w:type="spellEnd"/>
              <w:r w:rsidR="00F40D41" w:rsidRPr="00BB3A44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r w:rsidR="00F40D41" w:rsidRPr="00FB2BF4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org</w:t>
              </w:r>
              <w:r w:rsidR="00F40D41" w:rsidRPr="00BB3A44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/</w:t>
              </w:r>
              <w:r w:rsidR="00F40D41" w:rsidRPr="00FB2BF4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culture</w:t>
              </w:r>
              <w:r w:rsidR="00F40D41" w:rsidRPr="00BB3A44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/</w:t>
              </w:r>
              <w:proofErr w:type="spellStart"/>
              <w:r w:rsidR="00F40D41" w:rsidRPr="00FB2BF4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ich</w:t>
              </w:r>
              <w:proofErr w:type="spellEnd"/>
            </w:hyperlink>
            <w:r w:rsidR="00F40D41" w:rsidRP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BB3A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или предоставляемая по запросу Секретариатом. </w:t>
            </w:r>
            <w:r w:rsidR="00043FEE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Доклады</w:t>
            </w:r>
            <w:r w:rsidR="00043FEE" w:rsidRPr="00043FE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043FEE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должны</w:t>
            </w:r>
            <w:r w:rsidR="00043FEE" w:rsidRPr="00043FE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043FEE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содержать</w:t>
            </w:r>
            <w:r w:rsidR="00043FEE" w:rsidRPr="00043FE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043FEE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только</w:t>
            </w:r>
            <w:r w:rsidR="00043FEE" w:rsidRPr="00043FE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043FEE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информацию</w:t>
            </w:r>
            <w:r w:rsidR="00043FEE" w:rsidRPr="00043FE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, </w:t>
            </w:r>
            <w:r w:rsidR="00043FEE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запрашиваемую</w:t>
            </w:r>
            <w:r w:rsidR="00043FEE" w:rsidRPr="00043FE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043FEE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в</w:t>
            </w:r>
            <w:r w:rsidR="00043FEE" w:rsidRPr="00043FE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043FEE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форме</w:t>
            </w:r>
            <w:r w:rsidR="00043FEE" w:rsidRPr="00043FE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50" w:type="pct"/>
          </w:tcPr>
          <w:p w:rsidR="00F40D41" w:rsidRPr="00DB7B2C" w:rsidRDefault="00F40D41" w:rsidP="00BB3A4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B7B2C">
              <w:rPr>
                <w:rFonts w:ascii="Arial" w:hAnsi="Arial" w:cs="Arial"/>
                <w:sz w:val="22"/>
                <w:szCs w:val="22"/>
                <w:lang w:val="en-GB"/>
              </w:rPr>
              <w:t>152.</w:t>
            </w:r>
          </w:p>
        </w:tc>
        <w:tc>
          <w:tcPr>
            <w:tcW w:w="2158" w:type="pct"/>
          </w:tcPr>
          <w:p w:rsidR="00F40D41" w:rsidRPr="000D2F3B" w:rsidRDefault="00524696">
            <w:pPr>
              <w:spacing w:before="120" w:after="120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>Государство</w:t>
            </w:r>
            <w:r w:rsidRPr="003C4112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>участник</w:t>
            </w:r>
            <w:r w:rsidRPr="003C4112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>представляет</w:t>
            </w:r>
            <w:r w:rsidRPr="003C4112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827B89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Государства</w:t>
            </w:r>
            <w:r w:rsidR="00827B89" w:rsidRPr="003C411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-</w:t>
            </w:r>
            <w:r w:rsidR="00827B89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участники</w:t>
            </w:r>
            <w:r w:rsidR="00827B89" w:rsidRPr="003C411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 w:rsidR="00827B89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представляют</w:t>
            </w:r>
            <w:r w:rsidR="00827B89" w:rsidRPr="003C4112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B753C6" w:rsidRPr="00B753C6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Комитету</w:t>
            </w:r>
            <w:r w:rsidR="00B753C6" w:rsidRPr="003C4112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0A7DDF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>свой периодический доклад</w:t>
            </w:r>
            <w:r w:rsidR="000A7DDF" w:rsidRPr="000A7DDF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0A7DDF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с</w:t>
            </w:r>
            <w:r w:rsidR="004972F8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вои</w:t>
            </w:r>
            <w:r w:rsidR="004972F8" w:rsidRPr="003C411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 w:rsidR="004972F8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национальные</w:t>
            </w:r>
            <w:r w:rsidR="004972F8" w:rsidRPr="003C411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 w:rsidR="004972F8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периодические</w:t>
            </w:r>
            <w:r w:rsidR="004972F8" w:rsidRPr="003C411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 w:rsidR="004972F8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доклады</w:t>
            </w:r>
            <w:r w:rsidR="00103036" w:rsidRPr="003C4112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103036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к</w:t>
            </w:r>
            <w:r w:rsidR="00103036" w:rsidRPr="003C4112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15 </w:t>
            </w:r>
            <w:r w:rsidR="00103036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декабря</w:t>
            </w:r>
            <w:r w:rsidR="00103036" w:rsidRPr="003C4112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827B89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раз в </w:t>
            </w:r>
            <w:r w:rsidR="00827B89" w:rsidRPr="009C05B9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шесть</w:t>
            </w:r>
            <w:r w:rsidR="00827B89" w:rsidRPr="003C411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 w:rsidR="00827B89" w:rsidRPr="009C05B9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лет</w:t>
            </w:r>
            <w:r w:rsidR="00827B89" w:rsidRPr="003C411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 w:rsidR="00827B89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на</w:t>
            </w:r>
            <w:r w:rsidR="00827B89" w:rsidRPr="003C411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 w:rsidR="00827B89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основе</w:t>
            </w:r>
            <w:r w:rsidR="00827B89" w:rsidRPr="003C411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 w:rsidR="00827B89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ротации</w:t>
            </w:r>
            <w:r w:rsidR="00827B89" w:rsidRPr="003C411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 w:rsidR="00827B89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по</w:t>
            </w:r>
            <w:r w:rsidR="00827B89" w:rsidRPr="003C411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 w:rsidR="00827B89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регионам</w:t>
            </w:r>
            <w:r w:rsidR="00827B89" w:rsidRPr="003C411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.</w:t>
            </w:r>
            <w:r w:rsidR="00827B89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 Порядок</w:t>
            </w:r>
            <w:r w:rsidR="00827B89" w:rsidRPr="009502A6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 w:rsidR="00827B89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такой</w:t>
            </w:r>
            <w:r w:rsidR="00827B89" w:rsidRPr="009502A6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 w:rsidR="00827B89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ротации</w:t>
            </w:r>
            <w:r w:rsidR="00827B89" w:rsidRPr="009502A6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 w:rsidR="00827B89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устанавливает</w:t>
            </w:r>
            <w:r w:rsidR="00827B89" w:rsidRPr="009502A6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 w:rsidR="00827B89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Комитет</w:t>
            </w:r>
            <w:r w:rsidR="00827B89" w:rsidRPr="009502A6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 w:rsidR="00827B89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в</w:t>
            </w:r>
            <w:r w:rsidR="00827B89" w:rsidRPr="009502A6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 w:rsidR="00827B89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начале</w:t>
            </w:r>
            <w:r w:rsidR="00827B89" w:rsidRPr="009502A6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 w:rsidR="00827B89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шестилетнего цикла представления периодических докладов </w:t>
            </w:r>
            <w:r w:rsidR="000A7DDF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>шестого года после года, в кот</w:t>
            </w:r>
            <w:r w:rsidR="00BC7F98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>о</w:t>
            </w:r>
            <w:r w:rsidR="000A7DDF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>ром оно сдало на хранение свою ратификационную грамоту, документ о принятии или утверждении, и каждый шестой год в дальнейшем.</w:t>
            </w:r>
            <w:r w:rsidR="00BC7F98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827B89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Государства</w:t>
            </w:r>
            <w:r w:rsidR="00827B89" w:rsidRPr="00185032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-</w:t>
            </w:r>
            <w:r w:rsidR="00827B89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участники</w:t>
            </w:r>
            <w:r w:rsidR="00827B89" w:rsidRPr="00185032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827B89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используют</w:t>
            </w:r>
            <w:r w:rsidR="00827B89" w:rsidRPr="00185032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827B89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процесс</w:t>
            </w:r>
            <w:r w:rsidR="00827B89" w:rsidRPr="00185032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827B89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представления</w:t>
            </w:r>
            <w:r w:rsidR="00827B89" w:rsidRPr="00185032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827B89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периодических</w:t>
            </w:r>
            <w:r w:rsidR="00827B89" w:rsidRPr="00185032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827B89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докладов</w:t>
            </w:r>
            <w:r w:rsidR="00827B89" w:rsidRPr="00185032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827B89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для</w:t>
            </w:r>
            <w:r w:rsidR="00827B89" w:rsidRPr="00185032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827B89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расширения</w:t>
            </w:r>
            <w:r w:rsidR="00827B89" w:rsidRPr="00185032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827B89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активного</w:t>
            </w:r>
            <w:r w:rsidR="00827B89" w:rsidRPr="00185032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827B89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регионального</w:t>
            </w:r>
            <w:r w:rsidR="00827B89" w:rsidRPr="00185032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827B89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обмена</w:t>
            </w:r>
            <w:r w:rsidR="00827B89" w:rsidRPr="00185032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827B89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и</w:t>
            </w:r>
            <w:r w:rsidR="00827B89" w:rsidRPr="00185032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827B89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сотрудничества</w:t>
            </w:r>
            <w:r w:rsidR="00827B89" w:rsidRPr="00185032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.</w:t>
            </w:r>
            <w:r w:rsidR="00827B89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CA0AEF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>Для</w:t>
            </w:r>
            <w:r w:rsidR="00CA0AEF" w:rsidRPr="00E055F0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 xml:space="preserve"> </w:t>
            </w:r>
            <w:r w:rsidR="00CA0AEF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>этих</w:t>
            </w:r>
            <w:r w:rsidR="00CA0AEF" w:rsidRPr="00E055F0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 xml:space="preserve"> </w:t>
            </w:r>
            <w:r w:rsidR="00CA0AEF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>докладов</w:t>
            </w:r>
            <w:r w:rsidR="00CA0AEF" w:rsidRPr="00E055F0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 xml:space="preserve"> </w:t>
            </w:r>
            <w:r w:rsidR="00CA0AEF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>используется</w:t>
            </w:r>
            <w:r w:rsidR="00CA0AEF" w:rsidRPr="00E055F0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 xml:space="preserve"> </w:t>
            </w:r>
            <w:r w:rsidR="00CA0AEF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>форма</w:t>
            </w:r>
            <w:r w:rsidR="00CA0AEF" w:rsidRPr="00E055F0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 xml:space="preserve"> </w:t>
            </w:r>
            <w:r w:rsidR="000D2F3B" w:rsidRPr="000D2F3B"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  <w:t>ICH</w:t>
            </w:r>
            <w:r w:rsidR="000D2F3B" w:rsidRPr="00E055F0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 xml:space="preserve">-10, </w:t>
            </w:r>
            <w:r w:rsidR="000D2F3B" w:rsidRPr="000D2F3B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>доступная</w:t>
            </w:r>
            <w:r w:rsidR="000D2F3B" w:rsidRPr="00E055F0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 xml:space="preserve"> </w:t>
            </w:r>
            <w:r w:rsidR="000D2F3B" w:rsidRPr="000D2F3B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>по</w:t>
            </w:r>
            <w:r w:rsidR="000D2F3B" w:rsidRPr="00E055F0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 xml:space="preserve"> </w:t>
            </w:r>
            <w:r w:rsidR="000D2F3B" w:rsidRPr="000D2F3B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>адресу</w:t>
            </w:r>
            <w:r w:rsidR="000D2F3B" w:rsidRPr="00E055F0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 xml:space="preserve"> </w:t>
            </w:r>
            <w:hyperlink r:id="rId18" w:history="1">
              <w:r w:rsidR="000D2F3B" w:rsidRPr="000D2F3B">
                <w:rPr>
                  <w:rStyle w:val="Hyperlink"/>
                  <w:rFonts w:ascii="Arial" w:hAnsi="Arial" w:cs="Arial"/>
                  <w:strike/>
                  <w:sz w:val="22"/>
                  <w:szCs w:val="22"/>
                  <w:lang w:val="en-GB"/>
                </w:rPr>
                <w:t>www</w:t>
              </w:r>
              <w:r w:rsidR="000D2F3B" w:rsidRPr="00E055F0">
                <w:rPr>
                  <w:rStyle w:val="Hyperlink"/>
                  <w:rFonts w:ascii="Arial" w:hAnsi="Arial" w:cs="Arial"/>
                  <w:strike/>
                  <w:sz w:val="22"/>
                  <w:szCs w:val="22"/>
                  <w:lang w:val="ru-RU"/>
                </w:rPr>
                <w:t>.</w:t>
              </w:r>
              <w:r w:rsidR="000D2F3B" w:rsidRPr="000D2F3B">
                <w:rPr>
                  <w:rStyle w:val="Hyperlink"/>
                  <w:rFonts w:ascii="Arial" w:hAnsi="Arial" w:cs="Arial"/>
                  <w:strike/>
                  <w:sz w:val="22"/>
                  <w:szCs w:val="22"/>
                  <w:lang w:val="en-GB"/>
                </w:rPr>
                <w:t>unesco</w:t>
              </w:r>
              <w:r w:rsidR="000D2F3B" w:rsidRPr="00E055F0">
                <w:rPr>
                  <w:rStyle w:val="Hyperlink"/>
                  <w:rFonts w:ascii="Arial" w:hAnsi="Arial" w:cs="Arial"/>
                  <w:strike/>
                  <w:sz w:val="22"/>
                  <w:szCs w:val="22"/>
                  <w:lang w:val="ru-RU"/>
                </w:rPr>
                <w:t>.</w:t>
              </w:r>
              <w:r w:rsidR="000D2F3B" w:rsidRPr="000D2F3B">
                <w:rPr>
                  <w:rStyle w:val="Hyperlink"/>
                  <w:rFonts w:ascii="Arial" w:hAnsi="Arial" w:cs="Arial"/>
                  <w:strike/>
                  <w:sz w:val="22"/>
                  <w:szCs w:val="22"/>
                  <w:lang w:val="en-GB"/>
                </w:rPr>
                <w:t>org</w:t>
              </w:r>
              <w:r w:rsidR="000D2F3B" w:rsidRPr="00E055F0">
                <w:rPr>
                  <w:rStyle w:val="Hyperlink"/>
                  <w:rFonts w:ascii="Arial" w:hAnsi="Arial" w:cs="Arial"/>
                  <w:strike/>
                  <w:sz w:val="22"/>
                  <w:szCs w:val="22"/>
                  <w:lang w:val="ru-RU"/>
                </w:rPr>
                <w:t>/</w:t>
              </w:r>
              <w:r w:rsidR="000D2F3B" w:rsidRPr="000D2F3B">
                <w:rPr>
                  <w:rStyle w:val="Hyperlink"/>
                  <w:rFonts w:ascii="Arial" w:hAnsi="Arial" w:cs="Arial"/>
                  <w:strike/>
                  <w:sz w:val="22"/>
                  <w:szCs w:val="22"/>
                  <w:lang w:val="en-GB"/>
                </w:rPr>
                <w:t>culture</w:t>
              </w:r>
              <w:r w:rsidR="000D2F3B" w:rsidRPr="00E055F0">
                <w:rPr>
                  <w:rStyle w:val="Hyperlink"/>
                  <w:rFonts w:ascii="Arial" w:hAnsi="Arial" w:cs="Arial"/>
                  <w:strike/>
                  <w:sz w:val="22"/>
                  <w:szCs w:val="22"/>
                  <w:lang w:val="ru-RU"/>
                </w:rPr>
                <w:t>/</w:t>
              </w:r>
              <w:r w:rsidR="000D2F3B" w:rsidRPr="000D2F3B">
                <w:rPr>
                  <w:rStyle w:val="Hyperlink"/>
                  <w:rFonts w:ascii="Arial" w:hAnsi="Arial" w:cs="Arial"/>
                  <w:strike/>
                  <w:sz w:val="22"/>
                  <w:szCs w:val="22"/>
                  <w:lang w:val="en-GB"/>
                </w:rPr>
                <w:t>ich</w:t>
              </w:r>
            </w:hyperlink>
            <w:r w:rsidR="000D2F3B" w:rsidRPr="00E055F0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 xml:space="preserve"> </w:t>
            </w:r>
            <w:r w:rsidR="000D2F3B" w:rsidRPr="000D2F3B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>или</w:t>
            </w:r>
            <w:r w:rsidR="000D2F3B" w:rsidRPr="00E055F0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 xml:space="preserve"> </w:t>
            </w:r>
            <w:r w:rsidR="000D2F3B" w:rsidRPr="000D2F3B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>предоставляемая</w:t>
            </w:r>
            <w:r w:rsidR="000D2F3B" w:rsidRPr="00E055F0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 xml:space="preserve"> </w:t>
            </w:r>
            <w:r w:rsidR="000D2F3B" w:rsidRPr="000D2F3B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>по</w:t>
            </w:r>
            <w:r w:rsidR="000D2F3B" w:rsidRPr="00E055F0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 xml:space="preserve"> </w:t>
            </w:r>
            <w:r w:rsidR="000D2F3B" w:rsidRPr="000D2F3B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>запросу</w:t>
            </w:r>
            <w:r w:rsidR="000D2F3B" w:rsidRPr="00E055F0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 xml:space="preserve"> </w:t>
            </w:r>
            <w:r w:rsidR="000D2F3B" w:rsidRPr="000D2F3B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>Секретариатом</w:t>
            </w:r>
            <w:r w:rsidR="000D2F3B" w:rsidRPr="00E055F0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 xml:space="preserve">. </w:t>
            </w:r>
            <w:r w:rsidR="000D2F3B" w:rsidRPr="000D2F3B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>Доклады должны содержать только информацию, запрашиваемую в форме.</w:t>
            </w:r>
            <w:r w:rsidR="000D2F3B" w:rsidRPr="000D2F3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185032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Форма</w:t>
            </w:r>
            <w:r w:rsidR="00185032" w:rsidRPr="000D2F3B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F40D41" w:rsidRPr="0018503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n-GB"/>
              </w:rPr>
              <w:t>ICH</w:t>
            </w:r>
            <w:r w:rsidR="00F40D41" w:rsidRPr="000D2F3B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-10</w:t>
            </w:r>
            <w:r w:rsidR="00185032" w:rsidRPr="000D2F3B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 w:rsidR="00185032" w:rsidRPr="0018503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должна</w:t>
            </w:r>
            <w:r w:rsidR="00185032" w:rsidRPr="000D2F3B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 w:rsidR="00185032" w:rsidRPr="0018503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быть</w:t>
            </w:r>
            <w:r w:rsidR="00185032" w:rsidRPr="000D2F3B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 w:rsidR="00185032" w:rsidRPr="0018503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заполнена</w:t>
            </w:r>
            <w:r w:rsidR="00185032" w:rsidRPr="000D2F3B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 w:rsidR="00185032" w:rsidRPr="0018503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онлайн</w:t>
            </w:r>
            <w:r w:rsidR="00185032" w:rsidRPr="000D2F3B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 w:rsidR="00185032" w:rsidRPr="0018503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каждым</w:t>
            </w:r>
            <w:r w:rsidR="00185032" w:rsidRPr="000D2F3B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 w:rsidR="00185032" w:rsidRPr="0018503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государством</w:t>
            </w:r>
            <w:r w:rsidR="00185032" w:rsidRPr="000D2F3B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-</w:t>
            </w:r>
            <w:r w:rsidR="00185032" w:rsidRPr="0018503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участником</w:t>
            </w:r>
            <w:r w:rsidR="00185032" w:rsidRPr="000D2F3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185032" w:rsidRPr="000D2F3B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(</w:t>
            </w:r>
            <w:hyperlink r:id="rId19" w:history="1">
              <w:r w:rsidR="00185032" w:rsidRPr="000A2E3E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en-GB"/>
                </w:rPr>
                <w:t>https</w:t>
              </w:r>
              <w:r w:rsidR="00185032" w:rsidRPr="000D2F3B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ru-RU"/>
                </w:rPr>
                <w:t>://</w:t>
              </w:r>
              <w:r w:rsidR="00185032" w:rsidRPr="000A2E3E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en-GB"/>
                </w:rPr>
                <w:t>ich</w:t>
              </w:r>
              <w:r w:rsidR="00185032" w:rsidRPr="000D2F3B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ru-RU"/>
                </w:rPr>
                <w:t>.</w:t>
              </w:r>
              <w:r w:rsidR="00185032" w:rsidRPr="000A2E3E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en-GB"/>
                </w:rPr>
                <w:t>unesco</w:t>
              </w:r>
              <w:r w:rsidR="00185032" w:rsidRPr="000D2F3B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ru-RU"/>
                </w:rPr>
                <w:t>.</w:t>
              </w:r>
              <w:r w:rsidR="00185032" w:rsidRPr="000A2E3E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en-GB"/>
                </w:rPr>
                <w:t>org</w:t>
              </w:r>
              <w:r w:rsidR="00185032" w:rsidRPr="000D2F3B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ru-RU"/>
                </w:rPr>
                <w:t>/</w:t>
              </w:r>
            </w:hyperlink>
            <w:r w:rsidR="000D2F3B" w:rsidRPr="000D2F3B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); </w:t>
            </w:r>
            <w:r w:rsidR="000D2F3B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эта</w:t>
            </w:r>
            <w:r w:rsidR="000D2F3B" w:rsidRPr="000D2F3B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 w:rsidR="000D2F3B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форма</w:t>
            </w:r>
            <w:r w:rsidR="000D2F3B" w:rsidRPr="000D2F3B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 w:rsidR="000D2F3B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с </w:t>
            </w:r>
            <w:r w:rsidR="00CC55CC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надлежащей</w:t>
            </w:r>
            <w:r w:rsidR="000D2F3B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 периодичностью пересматривается Секретариатом.</w:t>
            </w:r>
          </w:p>
        </w:tc>
      </w:tr>
      <w:tr w:rsidR="00F40D41" w:rsidRPr="00EB77E6" w:rsidTr="004972F8">
        <w:trPr>
          <w:cantSplit/>
        </w:trPr>
        <w:tc>
          <w:tcPr>
            <w:tcW w:w="250" w:type="pct"/>
            <w:gridSpan w:val="2"/>
            <w:shd w:val="clear" w:color="auto" w:fill="auto"/>
          </w:tcPr>
          <w:p w:rsidR="00F40D41" w:rsidRPr="00A1056C" w:rsidRDefault="00F40D41" w:rsidP="00BB3A4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153</w:t>
            </w:r>
            <w:r w:rsidRPr="00A1056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2342" w:type="pct"/>
            <w:gridSpan w:val="2"/>
            <w:shd w:val="clear" w:color="auto" w:fill="auto"/>
          </w:tcPr>
          <w:p w:rsidR="00F40D41" w:rsidRPr="00A22629" w:rsidRDefault="00A22629" w:rsidP="00BB3A44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Государство</w:t>
            </w:r>
            <w:r w:rsidRPr="00A22629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участник</w:t>
            </w:r>
            <w:r w:rsidRPr="00A22629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сообщает</w:t>
            </w:r>
            <w:r w:rsidRPr="00A22629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о</w:t>
            </w:r>
            <w:r w:rsidRPr="00A22629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законодательных</w:t>
            </w:r>
            <w:r w:rsidRPr="00A22629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регламентирующих</w:t>
            </w:r>
            <w:r w:rsidRPr="00A22629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и</w:t>
            </w:r>
            <w:r w:rsidRPr="00A22629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других</w:t>
            </w:r>
            <w:r w:rsidRPr="00A22629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мерах</w:t>
            </w:r>
            <w:r w:rsidRPr="00A22629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принятых</w:t>
            </w:r>
            <w:r w:rsidRPr="00A22629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на</w:t>
            </w:r>
            <w:r w:rsidRPr="00A22629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национальном</w:t>
            </w:r>
            <w:r w:rsidRPr="00A22629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уровне</w:t>
            </w:r>
            <w:r w:rsidRPr="00A22629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для</w:t>
            </w:r>
            <w:r w:rsidRPr="00A22629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выполнения</w:t>
            </w:r>
            <w:r w:rsidRPr="00A22629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Конвенции</w:t>
            </w:r>
            <w:r w:rsidRPr="00A22629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включая</w:t>
            </w:r>
            <w:r w:rsidRPr="00A22629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:</w:t>
            </w:r>
          </w:p>
          <w:p w:rsidR="00F40D41" w:rsidRPr="00A22629" w:rsidRDefault="00A22629" w:rsidP="00F40D41">
            <w:pPr>
              <w:pStyle w:val="U1"/>
              <w:widowControl/>
              <w:numPr>
                <w:ilvl w:val="0"/>
                <w:numId w:val="15"/>
              </w:numPr>
              <w:tabs>
                <w:tab w:val="clear" w:pos="1701"/>
              </w:tabs>
              <w:ind w:left="656" w:hanging="656"/>
              <w:jc w:val="both"/>
              <w:rPr>
                <w:lang w:val="ru-RU"/>
              </w:rPr>
            </w:pPr>
            <w:r>
              <w:rPr>
                <w:lang w:val="ru-RU"/>
              </w:rPr>
              <w:t>составление</w:t>
            </w:r>
            <w:r w:rsidRPr="00A2262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перечней</w:t>
            </w:r>
            <w:r w:rsidRPr="00A22629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нематериального</w:t>
            </w:r>
            <w:r w:rsidRPr="00A2262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культурного</w:t>
            </w:r>
            <w:r w:rsidRPr="00A22629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наследия</w:t>
            </w:r>
            <w:r w:rsidRPr="00A22629">
              <w:rPr>
                <w:lang w:val="ru-RU"/>
              </w:rPr>
              <w:t xml:space="preserve">, </w:t>
            </w:r>
            <w:r>
              <w:rPr>
                <w:lang w:val="ru-RU"/>
              </w:rPr>
              <w:t>имеющегося</w:t>
            </w:r>
            <w:r w:rsidRPr="00A22629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A22629">
              <w:rPr>
                <w:lang w:val="ru-RU"/>
              </w:rPr>
              <w:t xml:space="preserve"> </w:t>
            </w:r>
            <w:r>
              <w:rPr>
                <w:lang w:val="ru-RU"/>
              </w:rPr>
              <w:t>его</w:t>
            </w:r>
            <w:r w:rsidRPr="00A22629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территории</w:t>
            </w:r>
            <w:r w:rsidRPr="00A22629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как это предусматривается в статьях 11 и 12 Конвенции;</w:t>
            </w:r>
          </w:p>
          <w:p w:rsidR="00F40D41" w:rsidRPr="00592541" w:rsidRDefault="00592541" w:rsidP="00F40D41">
            <w:pPr>
              <w:pStyle w:val="U1"/>
              <w:widowControl/>
              <w:numPr>
                <w:ilvl w:val="0"/>
                <w:numId w:val="15"/>
              </w:numPr>
              <w:tabs>
                <w:tab w:val="clear" w:pos="1701"/>
              </w:tabs>
              <w:ind w:left="656" w:hanging="656"/>
              <w:jc w:val="both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  <w:r w:rsidRPr="005925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меры</w:t>
            </w:r>
            <w:r w:rsidRPr="005925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5925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охране</w:t>
            </w:r>
            <w:r w:rsidRPr="00592541">
              <w:rPr>
                <w:lang w:val="ru-RU"/>
              </w:rPr>
              <w:t xml:space="preserve">, </w:t>
            </w:r>
            <w:r>
              <w:rPr>
                <w:lang w:val="ru-RU"/>
              </w:rPr>
              <w:t>указанные</w:t>
            </w:r>
            <w:r w:rsidRPr="005925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592541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статьях</w:t>
            </w:r>
            <w:r w:rsidRPr="00592541">
              <w:rPr>
                <w:lang w:val="ru-RU"/>
              </w:rPr>
              <w:t xml:space="preserve"> 11 </w:t>
            </w:r>
            <w:r>
              <w:rPr>
                <w:lang w:val="ru-RU"/>
              </w:rPr>
              <w:t>и</w:t>
            </w:r>
            <w:r w:rsidRPr="00592541">
              <w:rPr>
                <w:lang w:val="ru-RU"/>
              </w:rPr>
              <w:t xml:space="preserve"> 13 </w:t>
            </w:r>
            <w:r>
              <w:rPr>
                <w:lang w:val="ru-RU"/>
              </w:rPr>
              <w:t>Конвенции</w:t>
            </w:r>
            <w:r w:rsidRPr="0059254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включая</w:t>
            </w:r>
            <w:r w:rsidRPr="00592541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следующее</w:t>
            </w:r>
            <w:r w:rsidRPr="00592541">
              <w:rPr>
                <w:lang w:val="ru-RU"/>
              </w:rPr>
              <w:t>:</w:t>
            </w:r>
          </w:p>
          <w:p w:rsidR="00F40D41" w:rsidRPr="00F543A5" w:rsidRDefault="00F543A5" w:rsidP="00F40D41">
            <w:pPr>
              <w:pStyle w:val="i"/>
              <w:numPr>
                <w:ilvl w:val="0"/>
                <w:numId w:val="17"/>
              </w:numPr>
              <w:tabs>
                <w:tab w:val="left" w:pos="1223"/>
              </w:tabs>
              <w:ind w:left="1223" w:hanging="567"/>
              <w:rPr>
                <w:w w:val="100"/>
                <w:lang w:val="ru-RU"/>
              </w:rPr>
            </w:pPr>
            <w:r>
              <w:rPr>
                <w:w w:val="100"/>
                <w:lang w:val="ru-RU"/>
              </w:rPr>
              <w:t>принятие</w:t>
            </w:r>
            <w:r w:rsidRPr="00F543A5">
              <w:rPr>
                <w:w w:val="100"/>
                <w:lang w:val="ru-RU"/>
              </w:rPr>
              <w:t xml:space="preserve"> </w:t>
            </w:r>
            <w:r>
              <w:rPr>
                <w:w w:val="100"/>
                <w:lang w:val="ru-RU"/>
              </w:rPr>
              <w:t>общей</w:t>
            </w:r>
            <w:r w:rsidRPr="00F543A5">
              <w:rPr>
                <w:w w:val="100"/>
                <w:lang w:val="ru-RU"/>
              </w:rPr>
              <w:t xml:space="preserve"> </w:t>
            </w:r>
            <w:r>
              <w:rPr>
                <w:w w:val="100"/>
                <w:lang w:val="ru-RU"/>
              </w:rPr>
              <w:t>политики</w:t>
            </w:r>
            <w:r w:rsidRPr="00F543A5">
              <w:rPr>
                <w:w w:val="100"/>
                <w:lang w:val="ru-RU"/>
              </w:rPr>
              <w:t xml:space="preserve">, </w:t>
            </w:r>
            <w:r>
              <w:rPr>
                <w:w w:val="100"/>
                <w:lang w:val="ru-RU"/>
              </w:rPr>
              <w:t>направленной</w:t>
            </w:r>
            <w:r w:rsidRPr="00F543A5">
              <w:rPr>
                <w:w w:val="100"/>
                <w:lang w:val="ru-RU"/>
              </w:rPr>
              <w:t xml:space="preserve"> </w:t>
            </w:r>
            <w:r>
              <w:rPr>
                <w:w w:val="100"/>
                <w:lang w:val="ru-RU"/>
              </w:rPr>
              <w:t>на</w:t>
            </w:r>
            <w:r w:rsidRPr="00F543A5">
              <w:rPr>
                <w:w w:val="100"/>
                <w:lang w:val="ru-RU"/>
              </w:rPr>
              <w:t xml:space="preserve"> </w:t>
            </w:r>
            <w:r>
              <w:rPr>
                <w:w w:val="100"/>
                <w:lang w:val="ru-RU"/>
              </w:rPr>
              <w:t>повышение</w:t>
            </w:r>
            <w:r w:rsidRPr="00F543A5">
              <w:rPr>
                <w:w w:val="100"/>
                <w:lang w:val="ru-RU"/>
              </w:rPr>
              <w:t xml:space="preserve"> </w:t>
            </w:r>
            <w:r>
              <w:rPr>
                <w:w w:val="100"/>
                <w:lang w:val="ru-RU"/>
              </w:rPr>
              <w:t>роли</w:t>
            </w:r>
            <w:r w:rsidRPr="00F543A5">
              <w:rPr>
                <w:w w:val="100"/>
                <w:lang w:val="ru-RU"/>
              </w:rPr>
              <w:t xml:space="preserve"> </w:t>
            </w:r>
            <w:r>
              <w:rPr>
                <w:w w:val="100"/>
                <w:lang w:val="ru-RU"/>
              </w:rPr>
              <w:t>нематериального</w:t>
            </w:r>
            <w:r w:rsidRPr="00F543A5">
              <w:rPr>
                <w:w w:val="100"/>
                <w:lang w:val="ru-RU"/>
              </w:rPr>
              <w:t xml:space="preserve"> </w:t>
            </w:r>
            <w:r>
              <w:rPr>
                <w:w w:val="100"/>
                <w:lang w:val="ru-RU"/>
              </w:rPr>
              <w:t>культурного</w:t>
            </w:r>
            <w:r w:rsidRPr="00F543A5">
              <w:rPr>
                <w:w w:val="100"/>
                <w:lang w:val="ru-RU"/>
              </w:rPr>
              <w:t xml:space="preserve"> </w:t>
            </w:r>
            <w:r>
              <w:rPr>
                <w:w w:val="100"/>
                <w:lang w:val="ru-RU"/>
              </w:rPr>
              <w:t>наследия</w:t>
            </w:r>
            <w:r w:rsidRPr="00F543A5">
              <w:rPr>
                <w:w w:val="100"/>
                <w:lang w:val="ru-RU"/>
              </w:rPr>
              <w:t xml:space="preserve"> </w:t>
            </w:r>
            <w:r>
              <w:rPr>
                <w:w w:val="100"/>
                <w:lang w:val="ru-RU"/>
              </w:rPr>
              <w:t>в</w:t>
            </w:r>
            <w:r w:rsidRPr="00F543A5">
              <w:rPr>
                <w:w w:val="100"/>
                <w:lang w:val="ru-RU"/>
              </w:rPr>
              <w:t xml:space="preserve"> </w:t>
            </w:r>
            <w:r>
              <w:rPr>
                <w:w w:val="100"/>
                <w:lang w:val="ru-RU"/>
              </w:rPr>
              <w:t>обществе</w:t>
            </w:r>
            <w:r w:rsidRPr="00F543A5">
              <w:rPr>
                <w:w w:val="100"/>
                <w:lang w:val="ru-RU"/>
              </w:rPr>
              <w:t xml:space="preserve"> </w:t>
            </w:r>
            <w:r>
              <w:rPr>
                <w:w w:val="100"/>
                <w:lang w:val="ru-RU"/>
              </w:rPr>
              <w:t>и включение охраны этого наследия в программы планирования;</w:t>
            </w:r>
          </w:p>
          <w:p w:rsidR="00F40D41" w:rsidRPr="00F543A5" w:rsidRDefault="00F543A5" w:rsidP="00F40D41">
            <w:pPr>
              <w:pStyle w:val="i"/>
              <w:numPr>
                <w:ilvl w:val="0"/>
                <w:numId w:val="17"/>
              </w:numPr>
              <w:tabs>
                <w:tab w:val="left" w:pos="1223"/>
              </w:tabs>
              <w:ind w:left="1223" w:hanging="567"/>
              <w:rPr>
                <w:w w:val="100"/>
                <w:lang w:val="ru-RU"/>
              </w:rPr>
            </w:pPr>
            <w:r>
              <w:rPr>
                <w:w w:val="100"/>
                <w:lang w:val="ru-RU"/>
              </w:rPr>
              <w:t>содействие</w:t>
            </w:r>
            <w:r w:rsidRPr="00F543A5">
              <w:rPr>
                <w:w w:val="100"/>
                <w:lang w:val="ru-RU"/>
              </w:rPr>
              <w:t xml:space="preserve"> </w:t>
            </w:r>
            <w:r>
              <w:rPr>
                <w:w w:val="100"/>
                <w:lang w:val="ru-RU"/>
              </w:rPr>
              <w:t>научным</w:t>
            </w:r>
            <w:r w:rsidRPr="00F543A5">
              <w:rPr>
                <w:w w:val="100"/>
                <w:lang w:val="ru-RU"/>
              </w:rPr>
              <w:t xml:space="preserve">, </w:t>
            </w:r>
            <w:r>
              <w:rPr>
                <w:w w:val="100"/>
                <w:lang w:val="ru-RU"/>
              </w:rPr>
              <w:t>техническим</w:t>
            </w:r>
            <w:r w:rsidRPr="00F543A5">
              <w:rPr>
                <w:w w:val="100"/>
                <w:lang w:val="ru-RU"/>
              </w:rPr>
              <w:t xml:space="preserve"> </w:t>
            </w:r>
            <w:r>
              <w:rPr>
                <w:w w:val="100"/>
                <w:lang w:val="ru-RU"/>
              </w:rPr>
              <w:t>и</w:t>
            </w:r>
            <w:r w:rsidRPr="00F543A5">
              <w:rPr>
                <w:w w:val="100"/>
                <w:lang w:val="ru-RU"/>
              </w:rPr>
              <w:t xml:space="preserve"> </w:t>
            </w:r>
            <w:r>
              <w:rPr>
                <w:w w:val="100"/>
                <w:lang w:val="ru-RU"/>
              </w:rPr>
              <w:t>искусствоведческим</w:t>
            </w:r>
            <w:r w:rsidRPr="00F543A5">
              <w:rPr>
                <w:w w:val="100"/>
                <w:lang w:val="ru-RU"/>
              </w:rPr>
              <w:t xml:space="preserve"> </w:t>
            </w:r>
            <w:r>
              <w:rPr>
                <w:w w:val="100"/>
                <w:lang w:val="ru-RU"/>
              </w:rPr>
              <w:t>исследованиям с целью обеспечения эффективной охраны;</w:t>
            </w:r>
          </w:p>
          <w:p w:rsidR="00F40D41" w:rsidRPr="007E5D76" w:rsidRDefault="007E5D76" w:rsidP="007E5D76">
            <w:pPr>
              <w:pStyle w:val="i"/>
              <w:numPr>
                <w:ilvl w:val="0"/>
                <w:numId w:val="17"/>
              </w:numPr>
              <w:tabs>
                <w:tab w:val="left" w:pos="1223"/>
              </w:tabs>
              <w:ind w:left="1223" w:hanging="567"/>
              <w:rPr>
                <w:color w:val="000000"/>
                <w:lang w:val="ru-RU"/>
              </w:rPr>
            </w:pPr>
            <w:r>
              <w:rPr>
                <w:w w:val="100"/>
                <w:lang w:val="ru-RU"/>
              </w:rPr>
              <w:t>максимальное</w:t>
            </w:r>
            <w:r w:rsidRPr="007E5D76">
              <w:rPr>
                <w:w w:val="100"/>
                <w:lang w:val="ru-RU"/>
              </w:rPr>
              <w:t xml:space="preserve">, </w:t>
            </w:r>
            <w:r>
              <w:rPr>
                <w:w w:val="100"/>
                <w:lang w:val="ru-RU"/>
              </w:rPr>
              <w:t>по</w:t>
            </w:r>
            <w:r w:rsidRPr="007E5D76">
              <w:rPr>
                <w:w w:val="100"/>
                <w:lang w:val="ru-RU"/>
              </w:rPr>
              <w:t xml:space="preserve"> </w:t>
            </w:r>
            <w:r>
              <w:rPr>
                <w:w w:val="100"/>
                <w:lang w:val="ru-RU"/>
              </w:rPr>
              <w:t>возможности</w:t>
            </w:r>
            <w:r w:rsidRPr="007E5D76">
              <w:rPr>
                <w:w w:val="100"/>
                <w:lang w:val="ru-RU"/>
              </w:rPr>
              <w:t xml:space="preserve">, </w:t>
            </w:r>
            <w:r>
              <w:rPr>
                <w:w w:val="100"/>
                <w:lang w:val="ru-RU"/>
              </w:rPr>
              <w:t>облегчение</w:t>
            </w:r>
            <w:r w:rsidRPr="007E5D76">
              <w:rPr>
                <w:w w:val="100"/>
                <w:lang w:val="ru-RU"/>
              </w:rPr>
              <w:t xml:space="preserve"> </w:t>
            </w:r>
            <w:r>
              <w:rPr>
                <w:w w:val="100"/>
                <w:lang w:val="ru-RU"/>
              </w:rPr>
              <w:t>доступа</w:t>
            </w:r>
            <w:r w:rsidRPr="007E5D76">
              <w:rPr>
                <w:w w:val="100"/>
                <w:lang w:val="ru-RU"/>
              </w:rPr>
              <w:t xml:space="preserve"> </w:t>
            </w:r>
            <w:r>
              <w:rPr>
                <w:w w:val="100"/>
                <w:lang w:val="ru-RU"/>
              </w:rPr>
              <w:t>к</w:t>
            </w:r>
            <w:r w:rsidRPr="007E5D76">
              <w:rPr>
                <w:w w:val="100"/>
                <w:lang w:val="ru-RU"/>
              </w:rPr>
              <w:t xml:space="preserve"> </w:t>
            </w:r>
            <w:r>
              <w:rPr>
                <w:w w:val="100"/>
                <w:lang w:val="ru-RU"/>
              </w:rPr>
              <w:t>информации</w:t>
            </w:r>
            <w:r w:rsidRPr="007E5D76">
              <w:rPr>
                <w:w w:val="100"/>
                <w:lang w:val="ru-RU"/>
              </w:rPr>
              <w:t xml:space="preserve">, </w:t>
            </w:r>
            <w:r>
              <w:rPr>
                <w:w w:val="100"/>
                <w:lang w:val="ru-RU"/>
              </w:rPr>
              <w:t>касающейся</w:t>
            </w:r>
            <w:r w:rsidRPr="007E5D76">
              <w:rPr>
                <w:w w:val="100"/>
                <w:lang w:val="ru-RU"/>
              </w:rPr>
              <w:t xml:space="preserve"> </w:t>
            </w:r>
            <w:r>
              <w:rPr>
                <w:w w:val="100"/>
                <w:lang w:val="ru-RU"/>
              </w:rPr>
              <w:t>нематериального</w:t>
            </w:r>
            <w:r w:rsidRPr="007E5D76">
              <w:rPr>
                <w:w w:val="100"/>
                <w:lang w:val="ru-RU"/>
              </w:rPr>
              <w:t xml:space="preserve"> </w:t>
            </w:r>
            <w:r>
              <w:rPr>
                <w:w w:val="100"/>
                <w:lang w:val="ru-RU"/>
              </w:rPr>
              <w:t>культурного</w:t>
            </w:r>
            <w:r w:rsidRPr="007E5D76">
              <w:rPr>
                <w:w w:val="100"/>
                <w:lang w:val="ru-RU"/>
              </w:rPr>
              <w:t xml:space="preserve"> </w:t>
            </w:r>
            <w:r>
              <w:rPr>
                <w:w w:val="100"/>
                <w:lang w:val="ru-RU"/>
              </w:rPr>
              <w:t>наследия</w:t>
            </w:r>
            <w:r w:rsidRPr="007E5D76">
              <w:rPr>
                <w:w w:val="100"/>
                <w:lang w:val="ru-RU"/>
              </w:rPr>
              <w:t xml:space="preserve">, </w:t>
            </w:r>
            <w:r>
              <w:rPr>
                <w:w w:val="100"/>
                <w:lang w:val="ru-RU"/>
              </w:rPr>
              <w:t>при</w:t>
            </w:r>
            <w:r w:rsidRPr="007E5D76">
              <w:rPr>
                <w:w w:val="100"/>
                <w:lang w:val="ru-RU"/>
              </w:rPr>
              <w:t xml:space="preserve"> </w:t>
            </w:r>
            <w:r>
              <w:rPr>
                <w:w w:val="100"/>
                <w:lang w:val="ru-RU"/>
              </w:rPr>
              <w:t>соблюдении</w:t>
            </w:r>
            <w:r w:rsidRPr="007E5D76">
              <w:rPr>
                <w:w w:val="100"/>
                <w:lang w:val="ru-RU"/>
              </w:rPr>
              <w:t xml:space="preserve"> </w:t>
            </w:r>
            <w:r>
              <w:rPr>
                <w:w w:val="100"/>
                <w:lang w:val="ru-RU"/>
              </w:rPr>
              <w:t>общепринятой</w:t>
            </w:r>
            <w:r w:rsidRPr="007E5D76">
              <w:rPr>
                <w:w w:val="100"/>
                <w:lang w:val="ru-RU"/>
              </w:rPr>
              <w:t xml:space="preserve"> </w:t>
            </w:r>
            <w:r>
              <w:rPr>
                <w:w w:val="100"/>
                <w:lang w:val="ru-RU"/>
              </w:rPr>
              <w:t>практики</w:t>
            </w:r>
            <w:r w:rsidRPr="007E5D76">
              <w:rPr>
                <w:w w:val="100"/>
                <w:lang w:val="ru-RU"/>
              </w:rPr>
              <w:t>, определяющей порядок дос</w:t>
            </w:r>
            <w:r>
              <w:rPr>
                <w:w w:val="100"/>
                <w:lang w:val="ru-RU"/>
              </w:rPr>
              <w:t>тупа к его конкретным аспектам.</w:t>
            </w:r>
          </w:p>
        </w:tc>
        <w:tc>
          <w:tcPr>
            <w:tcW w:w="250" w:type="pct"/>
          </w:tcPr>
          <w:p w:rsidR="00F40D41" w:rsidRPr="007E5D76" w:rsidRDefault="00F40D41" w:rsidP="00BB3A4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E5D76">
              <w:rPr>
                <w:rFonts w:ascii="Arial" w:hAnsi="Arial" w:cs="Arial"/>
                <w:sz w:val="22"/>
                <w:szCs w:val="22"/>
                <w:lang w:val="ru-RU"/>
              </w:rPr>
              <w:t>153.</w:t>
            </w:r>
          </w:p>
        </w:tc>
        <w:tc>
          <w:tcPr>
            <w:tcW w:w="2158" w:type="pct"/>
          </w:tcPr>
          <w:p w:rsidR="00F40D41" w:rsidRPr="00F3280F" w:rsidRDefault="00B753C6" w:rsidP="00B753C6">
            <w:pPr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Без изменений</w:t>
            </w:r>
            <w:r w:rsidR="00F40D41" w:rsidRPr="007E5D76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F40D41" w:rsidRPr="00EB77E6" w:rsidTr="004972F8">
        <w:trPr>
          <w:cantSplit/>
        </w:trPr>
        <w:tc>
          <w:tcPr>
            <w:tcW w:w="250" w:type="pct"/>
            <w:gridSpan w:val="2"/>
            <w:shd w:val="clear" w:color="auto" w:fill="auto"/>
          </w:tcPr>
          <w:p w:rsidR="00F40D41" w:rsidRPr="007E5D76" w:rsidRDefault="00F40D41" w:rsidP="00BB3A4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E5D76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154.</w:t>
            </w:r>
          </w:p>
        </w:tc>
        <w:tc>
          <w:tcPr>
            <w:tcW w:w="2342" w:type="pct"/>
            <w:gridSpan w:val="2"/>
            <w:shd w:val="clear" w:color="auto" w:fill="auto"/>
          </w:tcPr>
          <w:p w:rsidR="00F40D41" w:rsidRPr="004A4156" w:rsidRDefault="001C5AAC" w:rsidP="00BB3A4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Государство</w:t>
            </w:r>
            <w:r w:rsidRPr="004A4156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</w:t>
            </w:r>
            <w:r w:rsidRPr="004A415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сообщает</w:t>
            </w:r>
            <w:r w:rsidRPr="004A415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4A415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законодательных</w:t>
            </w:r>
            <w:r w:rsidRPr="004A4156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4A4156">
              <w:rPr>
                <w:rFonts w:ascii="Arial" w:hAnsi="Arial" w:cs="Arial"/>
                <w:sz w:val="22"/>
                <w:szCs w:val="22"/>
                <w:lang w:val="ru-RU"/>
              </w:rPr>
              <w:t>регламентирующих</w:t>
            </w:r>
            <w:r w:rsidR="004A4156" w:rsidRPr="004A415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A4156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4A4156" w:rsidRPr="004A415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A4156">
              <w:rPr>
                <w:rFonts w:ascii="Arial" w:hAnsi="Arial" w:cs="Arial"/>
                <w:sz w:val="22"/>
                <w:szCs w:val="22"/>
                <w:lang w:val="ru-RU"/>
              </w:rPr>
              <w:t>других</w:t>
            </w:r>
            <w:r w:rsidR="004A4156" w:rsidRPr="004A415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A4156">
              <w:rPr>
                <w:rFonts w:ascii="Arial" w:hAnsi="Arial" w:cs="Arial"/>
                <w:sz w:val="22"/>
                <w:szCs w:val="22"/>
                <w:lang w:val="ru-RU"/>
              </w:rPr>
              <w:t>мерах</w:t>
            </w:r>
            <w:r w:rsidR="004A4156" w:rsidRPr="004A4156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4A4156">
              <w:rPr>
                <w:rFonts w:ascii="Arial" w:hAnsi="Arial" w:cs="Arial"/>
                <w:sz w:val="22"/>
                <w:szCs w:val="22"/>
                <w:lang w:val="ru-RU"/>
              </w:rPr>
              <w:t>принятых</w:t>
            </w:r>
            <w:r w:rsidR="004A4156" w:rsidRPr="004A415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A4156"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="004A4156" w:rsidRPr="004A415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A4156">
              <w:rPr>
                <w:rFonts w:ascii="Arial" w:hAnsi="Arial" w:cs="Arial"/>
                <w:sz w:val="22"/>
                <w:szCs w:val="22"/>
                <w:lang w:val="ru-RU"/>
              </w:rPr>
              <w:t>национальном</w:t>
            </w:r>
            <w:r w:rsidR="004A4156" w:rsidRPr="004A415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A4156">
              <w:rPr>
                <w:rFonts w:ascii="Arial" w:hAnsi="Arial" w:cs="Arial"/>
                <w:sz w:val="22"/>
                <w:szCs w:val="22"/>
                <w:lang w:val="ru-RU"/>
              </w:rPr>
              <w:t>уровне</w:t>
            </w:r>
            <w:r w:rsidR="004A4156" w:rsidRPr="004A415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A4156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="004A4156" w:rsidRPr="004A415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A4156">
              <w:rPr>
                <w:rFonts w:ascii="Arial" w:hAnsi="Arial" w:cs="Arial"/>
                <w:sz w:val="22"/>
                <w:szCs w:val="22"/>
                <w:lang w:val="ru-RU"/>
              </w:rPr>
              <w:t>целью</w:t>
            </w:r>
            <w:r w:rsidR="004A4156" w:rsidRPr="004A415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A4156">
              <w:rPr>
                <w:rFonts w:ascii="Arial" w:hAnsi="Arial" w:cs="Arial"/>
                <w:sz w:val="22"/>
                <w:szCs w:val="22"/>
                <w:lang w:val="ru-RU"/>
              </w:rPr>
              <w:t>укрепления</w:t>
            </w:r>
            <w:r w:rsidR="004A4156" w:rsidRPr="004A415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A4156">
              <w:rPr>
                <w:rFonts w:ascii="Arial" w:hAnsi="Arial" w:cs="Arial"/>
                <w:sz w:val="22"/>
                <w:szCs w:val="22"/>
                <w:lang w:val="ru-RU"/>
              </w:rPr>
              <w:t>институционального</w:t>
            </w:r>
            <w:r w:rsidR="004A4156" w:rsidRPr="004A415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A4156">
              <w:rPr>
                <w:rFonts w:ascii="Arial" w:hAnsi="Arial" w:cs="Arial"/>
                <w:sz w:val="22"/>
                <w:szCs w:val="22"/>
                <w:lang w:val="ru-RU"/>
              </w:rPr>
              <w:t>потенциала в области охраны нематериального культурного наследия, как это предусматривается в статье 13 Конвенции</w:t>
            </w:r>
            <w:r w:rsidR="00A77E74">
              <w:rPr>
                <w:rFonts w:ascii="Arial" w:hAnsi="Arial" w:cs="Arial"/>
                <w:sz w:val="22"/>
                <w:szCs w:val="22"/>
                <w:lang w:val="ru-RU"/>
              </w:rPr>
              <w:t>, включая следующее:</w:t>
            </w:r>
          </w:p>
          <w:p w:rsidR="00F40D41" w:rsidRPr="00401B6A" w:rsidRDefault="00401B6A" w:rsidP="00F40D41">
            <w:pPr>
              <w:pStyle w:val="U1"/>
              <w:widowControl/>
              <w:numPr>
                <w:ilvl w:val="0"/>
                <w:numId w:val="18"/>
              </w:numPr>
              <w:tabs>
                <w:tab w:val="clear" w:pos="1701"/>
              </w:tabs>
              <w:ind w:left="656" w:hanging="656"/>
              <w:jc w:val="both"/>
              <w:rPr>
                <w:lang w:val="ru-RU"/>
              </w:rPr>
            </w:pPr>
            <w:r>
              <w:rPr>
                <w:lang w:val="ru-RU"/>
              </w:rPr>
              <w:t>определение</w:t>
            </w:r>
            <w:r w:rsidRPr="00401B6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401B6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создание</w:t>
            </w:r>
            <w:r w:rsidRPr="00401B6A"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одного</w:t>
            </w:r>
            <w:proofErr w:type="gramEnd"/>
            <w:r w:rsidRPr="00401B6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401B6A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нескольких</w:t>
            </w:r>
            <w:r w:rsidRPr="00401B6A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компетентных</w:t>
            </w:r>
            <w:r w:rsidRPr="00401B6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органов по охране его нематериального культурного наследия;</w:t>
            </w:r>
          </w:p>
          <w:p w:rsidR="00F40D41" w:rsidRPr="00401B6A" w:rsidRDefault="00401B6A" w:rsidP="00F40D41">
            <w:pPr>
              <w:pStyle w:val="U1"/>
              <w:widowControl/>
              <w:numPr>
                <w:ilvl w:val="0"/>
                <w:numId w:val="18"/>
              </w:numPr>
              <w:tabs>
                <w:tab w:val="clear" w:pos="1701"/>
              </w:tabs>
              <w:ind w:left="656" w:hanging="656"/>
              <w:jc w:val="both"/>
              <w:rPr>
                <w:lang w:val="ru-RU"/>
              </w:rPr>
            </w:pPr>
            <w:r>
              <w:rPr>
                <w:lang w:val="ru-RU"/>
              </w:rPr>
              <w:t>укрепление</w:t>
            </w:r>
            <w:r w:rsidRPr="00401B6A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учреждений</w:t>
            </w:r>
            <w:r w:rsidRPr="00401B6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401B6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подготовке</w:t>
            </w:r>
            <w:r w:rsidRPr="00401B6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кадров в области управления нематериальным культурным наследием и </w:t>
            </w:r>
            <w:r w:rsidR="007B357E">
              <w:rPr>
                <w:lang w:val="ru-RU"/>
              </w:rPr>
              <w:t>его передачи;</w:t>
            </w:r>
          </w:p>
          <w:p w:rsidR="00F40D41" w:rsidRPr="007B357E" w:rsidRDefault="007B357E" w:rsidP="007B357E">
            <w:pPr>
              <w:pStyle w:val="U1"/>
              <w:widowControl/>
              <w:numPr>
                <w:ilvl w:val="0"/>
                <w:numId w:val="18"/>
              </w:numPr>
              <w:tabs>
                <w:tab w:val="clear" w:pos="1701"/>
              </w:tabs>
              <w:ind w:left="656" w:hanging="656"/>
              <w:jc w:val="both"/>
              <w:rPr>
                <w:lang w:val="ru-RU"/>
              </w:rPr>
            </w:pPr>
            <w:r>
              <w:rPr>
                <w:lang w:val="ru-RU"/>
              </w:rPr>
              <w:t>создание</w:t>
            </w:r>
            <w:r w:rsidRPr="007B357E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учреждений</w:t>
            </w:r>
            <w:r w:rsidRPr="007B357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занимающихся</w:t>
            </w:r>
            <w:r w:rsidRPr="007B357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документацией</w:t>
            </w:r>
            <w:r w:rsidRPr="007B357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7B357E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нематериальному</w:t>
            </w:r>
            <w:r w:rsidRPr="007B357E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культурному</w:t>
            </w:r>
            <w:r w:rsidRPr="007B357E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наследию</w:t>
            </w:r>
            <w:r w:rsidRPr="007B357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и</w:t>
            </w:r>
            <w:r w:rsidRPr="007B357E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максимальное, по возможности, облегчение доступа к ним.</w:t>
            </w:r>
          </w:p>
        </w:tc>
        <w:tc>
          <w:tcPr>
            <w:tcW w:w="250" w:type="pct"/>
          </w:tcPr>
          <w:p w:rsidR="00F40D41" w:rsidRPr="007B357E" w:rsidRDefault="00F40D41" w:rsidP="00BB3A4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B357E">
              <w:rPr>
                <w:rFonts w:ascii="Arial" w:hAnsi="Arial" w:cs="Arial"/>
                <w:sz w:val="22"/>
                <w:szCs w:val="22"/>
                <w:lang w:val="ru-RU"/>
              </w:rPr>
              <w:t>154.</w:t>
            </w:r>
          </w:p>
        </w:tc>
        <w:tc>
          <w:tcPr>
            <w:tcW w:w="2158" w:type="pct"/>
          </w:tcPr>
          <w:p w:rsidR="00F40D41" w:rsidRPr="007B357E" w:rsidRDefault="00B753C6" w:rsidP="00B753C6">
            <w:pPr>
              <w:spacing w:before="120" w:after="120"/>
              <w:jc w:val="both"/>
              <w:rPr>
                <w:u w:val="single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Без изменений</w:t>
            </w:r>
            <w:r w:rsidR="00F40D41" w:rsidRPr="007B357E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F40D41" w:rsidRPr="00EB77E6" w:rsidTr="004972F8">
        <w:trPr>
          <w:cantSplit/>
        </w:trPr>
        <w:tc>
          <w:tcPr>
            <w:tcW w:w="250" w:type="pct"/>
            <w:gridSpan w:val="2"/>
            <w:shd w:val="clear" w:color="auto" w:fill="auto"/>
          </w:tcPr>
          <w:p w:rsidR="00F40D41" w:rsidRPr="007B357E" w:rsidRDefault="00F40D41" w:rsidP="00BB3A4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B357E">
              <w:rPr>
                <w:rFonts w:ascii="Arial" w:hAnsi="Arial" w:cs="Arial"/>
                <w:sz w:val="22"/>
                <w:szCs w:val="22"/>
                <w:lang w:val="ru-RU"/>
              </w:rPr>
              <w:t>155.</w:t>
            </w:r>
          </w:p>
        </w:tc>
        <w:tc>
          <w:tcPr>
            <w:tcW w:w="2342" w:type="pct"/>
            <w:gridSpan w:val="2"/>
            <w:shd w:val="clear" w:color="auto" w:fill="auto"/>
          </w:tcPr>
          <w:p w:rsidR="00F40D41" w:rsidRPr="004C39CE" w:rsidRDefault="004C39CE" w:rsidP="00BB3A4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Государство</w:t>
            </w:r>
            <w:r w:rsidRPr="004C39CE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</w:t>
            </w:r>
            <w:r w:rsidRPr="004C39C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сообщает</w:t>
            </w:r>
            <w:r w:rsidRPr="004C39C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4C39C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законодательных</w:t>
            </w:r>
            <w:r w:rsidRPr="004C39CE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регламентирующих</w:t>
            </w:r>
            <w:r w:rsidRPr="004C39C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4C39C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других</w:t>
            </w:r>
            <w:r w:rsidRPr="004C39C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мерах</w:t>
            </w:r>
            <w:r w:rsidRPr="004C39CE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принятых</w:t>
            </w:r>
            <w:r w:rsidRPr="004C39C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4C39C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национальном</w:t>
            </w:r>
            <w:r w:rsidRPr="004C39C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уровне</w:t>
            </w:r>
            <w:r w:rsidRPr="004C39C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4C39C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целью</w:t>
            </w:r>
            <w:r w:rsidRPr="004C39C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обеспечения</w:t>
            </w:r>
            <w:r w:rsidRPr="004C39C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более</w:t>
            </w:r>
            <w:r w:rsidRPr="004C39C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широкого</w:t>
            </w:r>
            <w:r w:rsidRPr="004C39C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признания</w:t>
            </w:r>
            <w:r w:rsidRPr="004C39CE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уважения</w:t>
            </w:r>
            <w:r w:rsidRPr="004C39C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4C39C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повышения</w:t>
            </w:r>
            <w:r w:rsidRPr="004C39C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роли</w:t>
            </w:r>
            <w:r w:rsidRPr="004C39C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Pr="004C39C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Pr="004C39C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Pr="004C39CE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4C39C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частности</w:t>
            </w:r>
            <w:r w:rsidRPr="004C39C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4C39C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мерах</w:t>
            </w:r>
            <w:r w:rsidRPr="004C39CE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предусматриваемых</w:t>
            </w:r>
            <w:r w:rsidRPr="004C39C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4C39C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статье</w:t>
            </w:r>
            <w:r w:rsidRPr="004C39CE">
              <w:rPr>
                <w:rFonts w:ascii="Arial" w:hAnsi="Arial" w:cs="Arial"/>
                <w:sz w:val="22"/>
                <w:szCs w:val="22"/>
                <w:lang w:val="ru-RU"/>
              </w:rPr>
              <w:t xml:space="preserve"> 14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Конвенции</w:t>
            </w:r>
            <w:r w:rsidR="00F40D41" w:rsidRPr="004C39CE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F40D41" w:rsidRPr="00CC6A02" w:rsidRDefault="004C39CE" w:rsidP="00F40D41">
            <w:pPr>
              <w:pStyle w:val="U1"/>
              <w:widowControl/>
              <w:numPr>
                <w:ilvl w:val="0"/>
                <w:numId w:val="19"/>
              </w:numPr>
              <w:tabs>
                <w:tab w:val="clear" w:pos="1701"/>
              </w:tabs>
              <w:ind w:left="656" w:hanging="656"/>
              <w:jc w:val="both"/>
              <w:rPr>
                <w:lang w:val="ru-RU"/>
              </w:rPr>
            </w:pPr>
            <w:r>
              <w:rPr>
                <w:lang w:val="ru-RU"/>
              </w:rPr>
              <w:t>программы</w:t>
            </w:r>
            <w:r w:rsidRPr="00CC6A0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CC6A0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области</w:t>
            </w:r>
            <w:r w:rsidRPr="00CC6A0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образования</w:t>
            </w:r>
            <w:r w:rsidRPr="00CC6A02">
              <w:rPr>
                <w:lang w:val="ru-RU"/>
              </w:rPr>
              <w:t xml:space="preserve">, </w:t>
            </w:r>
            <w:r w:rsidR="00CC6A02">
              <w:rPr>
                <w:lang w:val="ru-RU"/>
              </w:rPr>
              <w:t>повышения осведомлённости и информирования общественности</w:t>
            </w:r>
            <w:r w:rsidR="00F40D41" w:rsidRPr="00CC6A02">
              <w:rPr>
                <w:lang w:val="ru-RU"/>
              </w:rPr>
              <w:t>;</w:t>
            </w:r>
          </w:p>
          <w:p w:rsidR="00F40D41" w:rsidRPr="00CC6A02" w:rsidRDefault="00CC6A02" w:rsidP="00F40D41">
            <w:pPr>
              <w:pStyle w:val="U1"/>
              <w:widowControl/>
              <w:numPr>
                <w:ilvl w:val="0"/>
                <w:numId w:val="19"/>
              </w:numPr>
              <w:tabs>
                <w:tab w:val="clear" w:pos="1701"/>
              </w:tabs>
              <w:ind w:left="656" w:hanging="656"/>
              <w:jc w:val="both"/>
              <w:rPr>
                <w:lang w:val="ru-RU"/>
              </w:rPr>
            </w:pPr>
            <w:r>
              <w:rPr>
                <w:lang w:val="ru-RU"/>
              </w:rPr>
              <w:t>программы</w:t>
            </w:r>
            <w:r w:rsidRPr="00CC6A0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CC6A0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области</w:t>
            </w:r>
            <w:r w:rsidRPr="00CC6A0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образования</w:t>
            </w:r>
            <w:r w:rsidRPr="00CC6A0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CC6A0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подготовки</w:t>
            </w:r>
            <w:r w:rsidRPr="00CC6A0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кадров, предназначенные для соответствующих сообществ и групп</w:t>
            </w:r>
            <w:r w:rsidR="00F40D41" w:rsidRPr="00CC6A02">
              <w:rPr>
                <w:lang w:val="ru-RU"/>
              </w:rPr>
              <w:t>;</w:t>
            </w:r>
          </w:p>
          <w:p w:rsidR="00F40D41" w:rsidRPr="00F2426F" w:rsidRDefault="00F2426F" w:rsidP="00F40D41">
            <w:pPr>
              <w:pStyle w:val="U1"/>
              <w:widowControl/>
              <w:numPr>
                <w:ilvl w:val="0"/>
                <w:numId w:val="19"/>
              </w:numPr>
              <w:tabs>
                <w:tab w:val="clear" w:pos="1701"/>
              </w:tabs>
              <w:ind w:left="656" w:hanging="656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  <w:r w:rsidRPr="00F2426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F2426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созданию</w:t>
            </w:r>
            <w:r w:rsidRPr="00F2426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потенциала в области охраны нематериального культурного наследия</w:t>
            </w:r>
            <w:r w:rsidR="00F40D41" w:rsidRPr="00F2426F">
              <w:rPr>
                <w:lang w:val="ru-RU"/>
              </w:rPr>
              <w:t>;</w:t>
            </w:r>
          </w:p>
          <w:p w:rsidR="00F40D41" w:rsidRDefault="00F2426F" w:rsidP="00F40D41">
            <w:pPr>
              <w:pStyle w:val="U1"/>
              <w:widowControl/>
              <w:numPr>
                <w:ilvl w:val="0"/>
                <w:numId w:val="19"/>
              </w:numPr>
              <w:tabs>
                <w:tab w:val="clear" w:pos="1701"/>
              </w:tabs>
              <w:ind w:left="656" w:hanging="656"/>
              <w:jc w:val="both"/>
              <w:rPr>
                <w:lang w:val="en-GB"/>
              </w:rPr>
            </w:pPr>
            <w:r>
              <w:rPr>
                <w:lang w:val="ru-RU"/>
              </w:rPr>
              <w:t>неформальные средства передачи знаний</w:t>
            </w:r>
            <w:r w:rsidR="00F40D41" w:rsidRPr="0096363C">
              <w:rPr>
                <w:lang w:val="en-GB"/>
              </w:rPr>
              <w:t>;</w:t>
            </w:r>
          </w:p>
          <w:p w:rsidR="00F40D41" w:rsidRPr="00BF6D07" w:rsidRDefault="00F2426F" w:rsidP="00BF6D07">
            <w:pPr>
              <w:pStyle w:val="U1"/>
              <w:widowControl/>
              <w:numPr>
                <w:ilvl w:val="0"/>
                <w:numId w:val="19"/>
              </w:numPr>
              <w:tabs>
                <w:tab w:val="clear" w:pos="1701"/>
              </w:tabs>
              <w:ind w:left="656" w:hanging="656"/>
              <w:jc w:val="both"/>
              <w:rPr>
                <w:lang w:val="ru-RU"/>
              </w:rPr>
            </w:pPr>
            <w:r>
              <w:rPr>
                <w:lang w:val="ru-RU"/>
              </w:rPr>
              <w:t>образование</w:t>
            </w:r>
            <w:r w:rsidRPr="00BF6D0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BF6D0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вопросам</w:t>
            </w:r>
            <w:r w:rsidRPr="00BF6D07">
              <w:rPr>
                <w:lang w:val="ru-RU"/>
              </w:rPr>
              <w:t xml:space="preserve"> </w:t>
            </w:r>
            <w:r w:rsidR="00BF6D07">
              <w:rPr>
                <w:lang w:val="ru-RU"/>
              </w:rPr>
              <w:t>охраны</w:t>
            </w:r>
            <w:r w:rsidR="00BF6D07" w:rsidRPr="00BF6D07">
              <w:rPr>
                <w:lang w:val="ru-RU"/>
              </w:rPr>
              <w:t xml:space="preserve"> </w:t>
            </w:r>
            <w:r w:rsidR="00BF6D07">
              <w:rPr>
                <w:lang w:val="ru-RU"/>
              </w:rPr>
              <w:t>природных</w:t>
            </w:r>
            <w:r w:rsidR="00BF6D07" w:rsidRPr="00BF6D07">
              <w:rPr>
                <w:lang w:val="ru-RU"/>
              </w:rPr>
              <w:t xml:space="preserve"> </w:t>
            </w:r>
            <w:r w:rsidR="00BF6D07">
              <w:rPr>
                <w:lang w:val="ru-RU"/>
              </w:rPr>
              <w:t>объектов</w:t>
            </w:r>
            <w:r w:rsidR="00BF6D07" w:rsidRPr="00BF6D07">
              <w:rPr>
                <w:lang w:val="ru-RU"/>
              </w:rPr>
              <w:t xml:space="preserve"> </w:t>
            </w:r>
            <w:r w:rsidR="00BF6D07">
              <w:rPr>
                <w:lang w:val="ru-RU"/>
              </w:rPr>
              <w:t>и</w:t>
            </w:r>
            <w:r w:rsidR="00BF6D07" w:rsidRPr="00BF6D07">
              <w:rPr>
                <w:lang w:val="ru-RU"/>
              </w:rPr>
              <w:t xml:space="preserve"> </w:t>
            </w:r>
            <w:r w:rsidR="00BF6D07">
              <w:rPr>
                <w:lang w:val="ru-RU"/>
              </w:rPr>
              <w:t>памятных</w:t>
            </w:r>
            <w:r w:rsidR="00BF6D07" w:rsidRPr="00BF6D07">
              <w:rPr>
                <w:lang w:val="ru-RU"/>
              </w:rPr>
              <w:t xml:space="preserve"> </w:t>
            </w:r>
            <w:r w:rsidR="00BF6D07">
              <w:rPr>
                <w:lang w:val="ru-RU"/>
              </w:rPr>
              <w:t>мест</w:t>
            </w:r>
            <w:r w:rsidR="00BF6D07" w:rsidRPr="00BF6D07">
              <w:rPr>
                <w:lang w:val="ru-RU"/>
              </w:rPr>
              <w:t>.</w:t>
            </w:r>
          </w:p>
        </w:tc>
        <w:tc>
          <w:tcPr>
            <w:tcW w:w="250" w:type="pct"/>
          </w:tcPr>
          <w:p w:rsidR="00F40D41" w:rsidRPr="00BA4171" w:rsidRDefault="00F40D41" w:rsidP="00BB3A4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155</w:t>
            </w:r>
            <w:r w:rsidRPr="00BA4171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2158" w:type="pct"/>
          </w:tcPr>
          <w:p w:rsidR="00F40D41" w:rsidRPr="00BA4171" w:rsidRDefault="00B753C6" w:rsidP="00BB3A44">
            <w:pPr>
              <w:spacing w:before="120" w:after="120"/>
              <w:jc w:val="both"/>
              <w:rPr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Без</w:t>
            </w:r>
            <w:r w:rsidRPr="00BF6D0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изменений</w:t>
            </w:r>
            <w:r w:rsidR="00F40D41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4972F8" w:rsidRPr="000536A2" w:rsidTr="004972F8">
        <w:trPr>
          <w:cantSplit/>
        </w:trPr>
        <w:tc>
          <w:tcPr>
            <w:tcW w:w="250" w:type="pct"/>
            <w:gridSpan w:val="2"/>
            <w:shd w:val="clear" w:color="auto" w:fill="auto"/>
          </w:tcPr>
          <w:p w:rsidR="004972F8" w:rsidRPr="00A1056C" w:rsidRDefault="004972F8" w:rsidP="00D5134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156</w:t>
            </w:r>
            <w:r w:rsidRPr="00A1056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2342" w:type="pct"/>
            <w:gridSpan w:val="2"/>
            <w:shd w:val="clear" w:color="auto" w:fill="auto"/>
          </w:tcPr>
          <w:p w:rsidR="004972F8" w:rsidRPr="00B16AD6" w:rsidRDefault="00F756E8" w:rsidP="00B16AD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Государство</w:t>
            </w:r>
            <w:r w:rsidRPr="00B16AD6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</w:t>
            </w:r>
            <w:r w:rsidRPr="00B16AD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сообщает</w:t>
            </w:r>
            <w:r w:rsidRPr="00B16AD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B16AD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мерах</w:t>
            </w:r>
            <w:r w:rsidRPr="00B16AD6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B16AD6">
              <w:rPr>
                <w:rFonts w:ascii="Arial" w:hAnsi="Arial" w:cs="Arial"/>
                <w:sz w:val="22"/>
                <w:szCs w:val="22"/>
                <w:lang w:val="ru-RU"/>
              </w:rPr>
              <w:t>принятых</w:t>
            </w:r>
            <w:r w:rsidR="00B16AD6" w:rsidRPr="00B16AD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16AD6">
              <w:rPr>
                <w:rFonts w:ascii="Arial" w:hAnsi="Arial" w:cs="Arial"/>
                <w:sz w:val="22"/>
                <w:szCs w:val="22"/>
                <w:lang w:val="ru-RU"/>
              </w:rPr>
              <w:t>им</w:t>
            </w:r>
            <w:r w:rsidR="00B16AD6" w:rsidRPr="00B16AD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16AD6"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="00B16AD6" w:rsidRPr="00B16AD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16AD6">
              <w:rPr>
                <w:rFonts w:ascii="Arial" w:hAnsi="Arial" w:cs="Arial"/>
                <w:sz w:val="22"/>
                <w:szCs w:val="22"/>
                <w:lang w:val="ru-RU"/>
              </w:rPr>
              <w:t>двустороннем</w:t>
            </w:r>
            <w:r w:rsidR="00B16AD6" w:rsidRPr="00B16AD6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B16AD6">
              <w:rPr>
                <w:rFonts w:ascii="Arial" w:hAnsi="Arial" w:cs="Arial"/>
                <w:sz w:val="22"/>
                <w:szCs w:val="22"/>
                <w:lang w:val="ru-RU"/>
              </w:rPr>
              <w:t>субрегиональном</w:t>
            </w:r>
            <w:r w:rsidR="00B16AD6" w:rsidRPr="00B16AD6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B16AD6">
              <w:rPr>
                <w:rFonts w:ascii="Arial" w:hAnsi="Arial" w:cs="Arial"/>
                <w:sz w:val="22"/>
                <w:szCs w:val="22"/>
                <w:lang w:val="ru-RU"/>
              </w:rPr>
              <w:t>региональном</w:t>
            </w:r>
            <w:r w:rsidR="00B16AD6" w:rsidRPr="00B16AD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16AD6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B16AD6" w:rsidRPr="00B16AD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16AD6">
              <w:rPr>
                <w:rFonts w:ascii="Arial" w:hAnsi="Arial" w:cs="Arial"/>
                <w:sz w:val="22"/>
                <w:szCs w:val="22"/>
                <w:lang w:val="ru-RU"/>
              </w:rPr>
              <w:t>международном</w:t>
            </w:r>
            <w:r w:rsidR="00B16AD6" w:rsidRPr="00B16AD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16AD6">
              <w:rPr>
                <w:rFonts w:ascii="Arial" w:hAnsi="Arial" w:cs="Arial"/>
                <w:sz w:val="22"/>
                <w:szCs w:val="22"/>
                <w:lang w:val="ru-RU"/>
              </w:rPr>
              <w:t>уровнях</w:t>
            </w:r>
            <w:r w:rsidR="00B16AD6" w:rsidRPr="00B16AD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16AD6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="00B16AD6" w:rsidRPr="00B16AD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16AD6">
              <w:rPr>
                <w:rFonts w:ascii="Arial" w:hAnsi="Arial" w:cs="Arial"/>
                <w:sz w:val="22"/>
                <w:szCs w:val="22"/>
                <w:lang w:val="ru-RU"/>
              </w:rPr>
              <w:t>целью</w:t>
            </w:r>
            <w:r w:rsidR="00B16AD6" w:rsidRPr="00B16AD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16AD6">
              <w:rPr>
                <w:rFonts w:ascii="Arial" w:hAnsi="Arial" w:cs="Arial"/>
                <w:sz w:val="22"/>
                <w:szCs w:val="22"/>
                <w:lang w:val="ru-RU"/>
              </w:rPr>
              <w:t>выполнения</w:t>
            </w:r>
            <w:r w:rsidR="00B16AD6" w:rsidRPr="00B16AD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16AD6">
              <w:rPr>
                <w:rFonts w:ascii="Arial" w:hAnsi="Arial" w:cs="Arial"/>
                <w:sz w:val="22"/>
                <w:szCs w:val="22"/>
                <w:lang w:val="ru-RU"/>
              </w:rPr>
              <w:t>Конвенции</w:t>
            </w:r>
            <w:r w:rsidR="00B16AD6" w:rsidRPr="00B16AD6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B16AD6">
              <w:rPr>
                <w:rFonts w:ascii="Arial" w:hAnsi="Arial" w:cs="Arial"/>
                <w:sz w:val="22"/>
                <w:szCs w:val="22"/>
                <w:lang w:val="ru-RU"/>
              </w:rPr>
              <w:t>включая</w:t>
            </w:r>
            <w:r w:rsidR="00B16AD6" w:rsidRPr="00B16AD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16AD6">
              <w:rPr>
                <w:rFonts w:ascii="Arial" w:hAnsi="Arial" w:cs="Arial"/>
                <w:sz w:val="22"/>
                <w:szCs w:val="22"/>
                <w:lang w:val="ru-RU"/>
              </w:rPr>
              <w:t>такие</w:t>
            </w:r>
            <w:r w:rsidR="00B16AD6" w:rsidRPr="00B16AD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16AD6">
              <w:rPr>
                <w:rFonts w:ascii="Arial" w:hAnsi="Arial" w:cs="Arial"/>
                <w:sz w:val="22"/>
                <w:szCs w:val="22"/>
                <w:lang w:val="ru-RU"/>
              </w:rPr>
              <w:t>меры</w:t>
            </w:r>
            <w:r w:rsidR="00B16AD6" w:rsidRPr="00B16AD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16AD6"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="00B16AD6" w:rsidRPr="00B16AD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16AD6">
              <w:rPr>
                <w:rFonts w:ascii="Arial" w:hAnsi="Arial" w:cs="Arial"/>
                <w:sz w:val="22"/>
                <w:szCs w:val="22"/>
                <w:lang w:val="ru-RU"/>
              </w:rPr>
              <w:t>международному</w:t>
            </w:r>
            <w:r w:rsidR="00B16AD6" w:rsidRPr="00B16AD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16AD6">
              <w:rPr>
                <w:rFonts w:ascii="Arial" w:hAnsi="Arial" w:cs="Arial"/>
                <w:sz w:val="22"/>
                <w:szCs w:val="22"/>
                <w:lang w:val="ru-RU"/>
              </w:rPr>
              <w:t>сотрудничеству</w:t>
            </w:r>
            <w:r w:rsidR="00B16AD6" w:rsidRPr="00B16AD6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B16AD6">
              <w:rPr>
                <w:rFonts w:ascii="Arial" w:hAnsi="Arial" w:cs="Arial"/>
                <w:sz w:val="22"/>
                <w:szCs w:val="22"/>
                <w:lang w:val="ru-RU"/>
              </w:rPr>
              <w:t>как</w:t>
            </w:r>
            <w:r w:rsidR="00B16AD6" w:rsidRPr="00B16AD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16AD6">
              <w:rPr>
                <w:rFonts w:ascii="Arial" w:hAnsi="Arial" w:cs="Arial"/>
                <w:sz w:val="22"/>
                <w:szCs w:val="22"/>
                <w:lang w:val="ru-RU"/>
              </w:rPr>
              <w:t>обмен</w:t>
            </w:r>
            <w:r w:rsidR="00B16AD6" w:rsidRPr="00B16AD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16AD6">
              <w:rPr>
                <w:rFonts w:ascii="Arial" w:hAnsi="Arial" w:cs="Arial"/>
                <w:sz w:val="22"/>
                <w:szCs w:val="22"/>
                <w:lang w:val="ru-RU"/>
              </w:rPr>
              <w:t>информацией</w:t>
            </w:r>
            <w:r w:rsidR="00B16AD6" w:rsidRPr="00B16AD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16AD6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B16AD6" w:rsidRPr="00B16AD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16AD6">
              <w:rPr>
                <w:rFonts w:ascii="Arial" w:hAnsi="Arial" w:cs="Arial"/>
                <w:sz w:val="22"/>
                <w:szCs w:val="22"/>
                <w:lang w:val="ru-RU"/>
              </w:rPr>
              <w:t>опытом</w:t>
            </w:r>
            <w:r w:rsidR="00B16AD6" w:rsidRPr="00B16AD6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B16AD6"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  <w:r w:rsidR="00B16AD6" w:rsidRPr="00B16AD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16AD6">
              <w:rPr>
                <w:rFonts w:ascii="Arial" w:hAnsi="Arial" w:cs="Arial"/>
                <w:sz w:val="22"/>
                <w:szCs w:val="22"/>
                <w:lang w:val="ru-RU"/>
              </w:rPr>
              <w:t>также</w:t>
            </w:r>
            <w:r w:rsidR="00B16AD6" w:rsidRPr="00B16AD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16AD6">
              <w:rPr>
                <w:rFonts w:ascii="Arial" w:hAnsi="Arial" w:cs="Arial"/>
                <w:sz w:val="22"/>
                <w:szCs w:val="22"/>
                <w:lang w:val="ru-RU"/>
              </w:rPr>
              <w:t>другие</w:t>
            </w:r>
            <w:r w:rsidR="00B16AD6" w:rsidRPr="00B16AD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16AD6">
              <w:rPr>
                <w:rFonts w:ascii="Arial" w:hAnsi="Arial" w:cs="Arial"/>
                <w:sz w:val="22"/>
                <w:szCs w:val="22"/>
                <w:lang w:val="ru-RU"/>
              </w:rPr>
              <w:t>совместные</w:t>
            </w:r>
            <w:r w:rsidR="00B16AD6" w:rsidRPr="00B16AD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16AD6">
              <w:rPr>
                <w:rFonts w:ascii="Arial" w:hAnsi="Arial" w:cs="Arial"/>
                <w:sz w:val="22"/>
                <w:szCs w:val="22"/>
                <w:lang w:val="ru-RU"/>
              </w:rPr>
              <w:t>инициативы, предусматриваемые в статье 19 Конвенции.</w:t>
            </w:r>
          </w:p>
        </w:tc>
        <w:tc>
          <w:tcPr>
            <w:tcW w:w="250" w:type="pct"/>
          </w:tcPr>
          <w:p w:rsidR="004972F8" w:rsidRPr="00BA4171" w:rsidRDefault="004972F8" w:rsidP="00D5134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156</w:t>
            </w:r>
            <w:r w:rsidRPr="00BA4171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2158" w:type="pct"/>
          </w:tcPr>
          <w:p w:rsidR="004972F8" w:rsidRPr="00BA4171" w:rsidRDefault="004972F8" w:rsidP="004972F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Без изменений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4972F8" w:rsidRPr="00EB77E6" w:rsidTr="004972F8">
        <w:trPr>
          <w:cantSplit/>
        </w:trPr>
        <w:tc>
          <w:tcPr>
            <w:tcW w:w="250" w:type="pct"/>
            <w:gridSpan w:val="2"/>
            <w:shd w:val="clear" w:color="auto" w:fill="auto"/>
          </w:tcPr>
          <w:p w:rsidR="004972F8" w:rsidRPr="00A1056C" w:rsidRDefault="004972F8" w:rsidP="00D5134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157</w:t>
            </w:r>
            <w:r w:rsidRPr="00A1056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2342" w:type="pct"/>
            <w:gridSpan w:val="2"/>
            <w:shd w:val="clear" w:color="auto" w:fill="auto"/>
          </w:tcPr>
          <w:p w:rsidR="004972F8" w:rsidRPr="005C5208" w:rsidRDefault="00D5134F" w:rsidP="00D5134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Государство</w:t>
            </w:r>
            <w:r w:rsidRPr="00B56D2E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</w:t>
            </w:r>
            <w:r w:rsidRPr="00B56D2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сообщает</w:t>
            </w:r>
            <w:r w:rsidRPr="00B56D2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B56D2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нынешнем</w:t>
            </w:r>
            <w:r w:rsidRPr="00B56D2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состоянии</w:t>
            </w:r>
            <w:r w:rsidRPr="00B56D2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всех</w:t>
            </w:r>
            <w:r w:rsidRPr="00B56D2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элементов</w:t>
            </w:r>
            <w:r w:rsidRPr="00B56D2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Pr="00B56D2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Pr="00B56D2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Pr="00B56D2E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имеющихся</w:t>
            </w:r>
            <w:r w:rsidRPr="00B56D2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B56D2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его</w:t>
            </w:r>
            <w:r w:rsidRPr="00B56D2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территории</w:t>
            </w:r>
            <w:r w:rsidRPr="00B56D2E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которые</w:t>
            </w:r>
            <w:r w:rsidRPr="00B56D2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были</w:t>
            </w:r>
            <w:r w:rsidRPr="00B56D2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включены</w:t>
            </w:r>
            <w:r w:rsidRPr="00B56D2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B56D2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Репрезентативный</w:t>
            </w:r>
            <w:r w:rsidRPr="00B56D2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список</w:t>
            </w:r>
            <w:r w:rsidRPr="00B56D2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Pr="00B56D2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Pr="00B56D2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Pr="00B56D2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человечества</w:t>
            </w:r>
            <w:r w:rsidR="00981D80" w:rsidRPr="00B56D2E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 w:rsidR="00981D80">
              <w:rPr>
                <w:rFonts w:ascii="Arial" w:hAnsi="Arial" w:cs="Arial"/>
                <w:sz w:val="22"/>
                <w:szCs w:val="22"/>
                <w:lang w:val="ru-RU"/>
              </w:rPr>
              <w:t>Государство</w:t>
            </w:r>
            <w:r w:rsidR="00981D80" w:rsidRPr="005C5208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="00981D80">
              <w:rPr>
                <w:rFonts w:ascii="Arial" w:hAnsi="Arial" w:cs="Arial"/>
                <w:sz w:val="22"/>
                <w:szCs w:val="22"/>
                <w:lang w:val="ru-RU"/>
              </w:rPr>
              <w:t>участник</w:t>
            </w:r>
            <w:r w:rsidR="00981D80" w:rsidRPr="005C52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81D80">
              <w:rPr>
                <w:rFonts w:ascii="Arial" w:hAnsi="Arial" w:cs="Arial"/>
                <w:sz w:val="22"/>
                <w:szCs w:val="22"/>
                <w:lang w:val="ru-RU"/>
              </w:rPr>
              <w:t>должно</w:t>
            </w:r>
            <w:r w:rsidR="00981D80" w:rsidRPr="005C52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81D80">
              <w:rPr>
                <w:rFonts w:ascii="Arial" w:hAnsi="Arial" w:cs="Arial"/>
                <w:sz w:val="22"/>
                <w:szCs w:val="22"/>
                <w:lang w:val="ru-RU"/>
              </w:rPr>
              <w:t>уделять</w:t>
            </w:r>
            <w:r w:rsidR="00981D80" w:rsidRPr="005C52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81D80">
              <w:rPr>
                <w:rFonts w:ascii="Arial" w:hAnsi="Arial" w:cs="Arial"/>
                <w:sz w:val="22"/>
                <w:szCs w:val="22"/>
                <w:lang w:val="ru-RU"/>
              </w:rPr>
              <w:t>особое</w:t>
            </w:r>
            <w:r w:rsidR="00981D80" w:rsidRPr="005C52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81D80">
              <w:rPr>
                <w:rFonts w:ascii="Arial" w:hAnsi="Arial" w:cs="Arial"/>
                <w:sz w:val="22"/>
                <w:szCs w:val="22"/>
                <w:lang w:val="ru-RU"/>
              </w:rPr>
              <w:t>внимание</w:t>
            </w:r>
            <w:r w:rsidR="00981D80" w:rsidRPr="005C52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81D80">
              <w:rPr>
                <w:rFonts w:ascii="Arial" w:hAnsi="Arial" w:cs="Arial"/>
                <w:sz w:val="22"/>
                <w:szCs w:val="22"/>
                <w:lang w:val="ru-RU"/>
              </w:rPr>
              <w:t>роли</w:t>
            </w:r>
            <w:r w:rsidR="00981D80" w:rsidRPr="005C52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81D80">
              <w:rPr>
                <w:rFonts w:ascii="Arial" w:hAnsi="Arial" w:cs="Arial"/>
                <w:sz w:val="22"/>
                <w:szCs w:val="22"/>
                <w:lang w:val="ru-RU"/>
              </w:rPr>
              <w:t>гендерного</w:t>
            </w:r>
            <w:r w:rsidR="00981D80" w:rsidRPr="005C52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81D80">
              <w:rPr>
                <w:rFonts w:ascii="Arial" w:hAnsi="Arial" w:cs="Arial"/>
                <w:sz w:val="22"/>
                <w:szCs w:val="22"/>
                <w:lang w:val="ru-RU"/>
              </w:rPr>
              <w:t>фактора</w:t>
            </w:r>
            <w:r w:rsidR="00981D80" w:rsidRPr="005C52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81D80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981D80" w:rsidRPr="005C52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81D80">
              <w:rPr>
                <w:rFonts w:ascii="Arial" w:hAnsi="Arial" w:cs="Arial"/>
                <w:sz w:val="22"/>
                <w:szCs w:val="22"/>
                <w:lang w:val="ru-RU"/>
              </w:rPr>
              <w:t>стремится</w:t>
            </w:r>
            <w:r w:rsidR="00981D80" w:rsidRPr="005C52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81D80">
              <w:rPr>
                <w:rFonts w:ascii="Arial" w:hAnsi="Arial" w:cs="Arial"/>
                <w:sz w:val="22"/>
                <w:szCs w:val="22"/>
                <w:lang w:val="ru-RU"/>
              </w:rPr>
              <w:t>обеспечить</w:t>
            </w:r>
            <w:r w:rsidR="00981D80" w:rsidRPr="005C52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81D80">
              <w:rPr>
                <w:rFonts w:ascii="Arial" w:hAnsi="Arial" w:cs="Arial"/>
                <w:sz w:val="22"/>
                <w:szCs w:val="22"/>
                <w:lang w:val="ru-RU"/>
              </w:rPr>
              <w:t>максимальное</w:t>
            </w:r>
            <w:r w:rsidR="00981D80" w:rsidRPr="005C5208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981D80"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="00981D80" w:rsidRPr="005C52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81D80">
              <w:rPr>
                <w:rFonts w:ascii="Arial" w:hAnsi="Arial" w:cs="Arial"/>
                <w:sz w:val="22"/>
                <w:szCs w:val="22"/>
                <w:lang w:val="ru-RU"/>
              </w:rPr>
              <w:t>возможности</w:t>
            </w:r>
            <w:r w:rsidR="00981D80" w:rsidRPr="005C5208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981D80">
              <w:rPr>
                <w:rFonts w:ascii="Arial" w:hAnsi="Arial" w:cs="Arial"/>
                <w:sz w:val="22"/>
                <w:szCs w:val="22"/>
                <w:lang w:val="ru-RU"/>
              </w:rPr>
              <w:t>участие</w:t>
            </w:r>
            <w:r w:rsidR="00981D80" w:rsidRPr="005C52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81D80">
              <w:rPr>
                <w:rFonts w:ascii="Arial" w:hAnsi="Arial" w:cs="Arial"/>
                <w:sz w:val="22"/>
                <w:szCs w:val="22"/>
                <w:lang w:val="ru-RU"/>
              </w:rPr>
              <w:t>заинтересованных</w:t>
            </w:r>
            <w:r w:rsidR="00981D80" w:rsidRPr="005C52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81D80">
              <w:rPr>
                <w:rFonts w:ascii="Arial" w:hAnsi="Arial" w:cs="Arial"/>
                <w:sz w:val="22"/>
                <w:szCs w:val="22"/>
                <w:lang w:val="ru-RU"/>
              </w:rPr>
              <w:t>сообществ</w:t>
            </w:r>
            <w:r w:rsidR="00981D80" w:rsidRPr="005C5208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981D80">
              <w:rPr>
                <w:rFonts w:ascii="Arial" w:hAnsi="Arial" w:cs="Arial"/>
                <w:sz w:val="22"/>
                <w:szCs w:val="22"/>
                <w:lang w:val="ru-RU"/>
              </w:rPr>
              <w:t>групп</w:t>
            </w:r>
            <w:r w:rsidR="00981D80" w:rsidRPr="005C52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81D80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981D80" w:rsidRPr="005C5208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981D80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981D80" w:rsidRPr="005C52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81D80">
              <w:rPr>
                <w:rFonts w:ascii="Arial" w:hAnsi="Arial" w:cs="Arial"/>
                <w:sz w:val="22"/>
                <w:szCs w:val="22"/>
                <w:lang w:val="ru-RU"/>
              </w:rPr>
              <w:t>соответствующих</w:t>
            </w:r>
            <w:r w:rsidR="00981D80" w:rsidRPr="005C52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81D80">
              <w:rPr>
                <w:rFonts w:ascii="Arial" w:hAnsi="Arial" w:cs="Arial"/>
                <w:sz w:val="22"/>
                <w:szCs w:val="22"/>
                <w:lang w:val="ru-RU"/>
              </w:rPr>
              <w:t>случаях</w:t>
            </w:r>
            <w:r w:rsidR="00981D80" w:rsidRPr="005C5208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981D80">
              <w:rPr>
                <w:rFonts w:ascii="Arial" w:hAnsi="Arial" w:cs="Arial"/>
                <w:sz w:val="22"/>
                <w:szCs w:val="22"/>
                <w:lang w:val="ru-RU"/>
              </w:rPr>
              <w:t>отдельных</w:t>
            </w:r>
            <w:r w:rsidR="00981D80" w:rsidRPr="005C52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81D80">
              <w:rPr>
                <w:rFonts w:ascii="Arial" w:hAnsi="Arial" w:cs="Arial"/>
                <w:sz w:val="22"/>
                <w:szCs w:val="22"/>
                <w:lang w:val="ru-RU"/>
              </w:rPr>
              <w:t>лиц</w:t>
            </w:r>
            <w:r w:rsidR="00981D80" w:rsidRPr="005C5208">
              <w:rPr>
                <w:rFonts w:ascii="Arial" w:hAnsi="Arial" w:cs="Arial"/>
                <w:sz w:val="22"/>
                <w:szCs w:val="22"/>
                <w:lang w:val="ru-RU"/>
              </w:rPr>
              <w:t xml:space="preserve">, а также соответствующих неправительственных организаций </w:t>
            </w:r>
            <w:r w:rsidR="00981D80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981D80" w:rsidRPr="005C52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81D80">
              <w:rPr>
                <w:rFonts w:ascii="Arial" w:hAnsi="Arial" w:cs="Arial"/>
                <w:sz w:val="22"/>
                <w:szCs w:val="22"/>
                <w:lang w:val="ru-RU"/>
              </w:rPr>
              <w:t>подготовке</w:t>
            </w:r>
            <w:r w:rsidR="00981D80" w:rsidRPr="005C52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81D80">
              <w:rPr>
                <w:rFonts w:ascii="Arial" w:hAnsi="Arial" w:cs="Arial"/>
                <w:sz w:val="22"/>
                <w:szCs w:val="22"/>
                <w:lang w:val="ru-RU"/>
              </w:rPr>
              <w:t>таких</w:t>
            </w:r>
            <w:r w:rsidR="00981D80" w:rsidRPr="005C52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81D80">
              <w:rPr>
                <w:rFonts w:ascii="Arial" w:hAnsi="Arial" w:cs="Arial"/>
                <w:sz w:val="22"/>
                <w:szCs w:val="22"/>
                <w:lang w:val="ru-RU"/>
              </w:rPr>
              <w:t>отчётных</w:t>
            </w:r>
            <w:r w:rsidR="00981D80" w:rsidRPr="005C52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81D80">
              <w:rPr>
                <w:rFonts w:ascii="Arial" w:hAnsi="Arial" w:cs="Arial"/>
                <w:sz w:val="22"/>
                <w:szCs w:val="22"/>
                <w:lang w:val="ru-RU"/>
              </w:rPr>
              <w:t>докладов</w:t>
            </w:r>
            <w:r w:rsidR="00981D80" w:rsidRPr="005C5208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981D80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981D80" w:rsidRPr="005C52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81D80">
              <w:rPr>
                <w:rFonts w:ascii="Arial" w:hAnsi="Arial" w:cs="Arial"/>
                <w:sz w:val="22"/>
                <w:szCs w:val="22"/>
                <w:lang w:val="ru-RU"/>
              </w:rPr>
              <w:t>которых</w:t>
            </w:r>
            <w:r w:rsidR="00981D80" w:rsidRPr="005C52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81D80">
              <w:rPr>
                <w:rFonts w:ascii="Arial" w:hAnsi="Arial" w:cs="Arial"/>
                <w:sz w:val="22"/>
                <w:szCs w:val="22"/>
                <w:lang w:val="ru-RU"/>
              </w:rPr>
              <w:t>рассматриваются</w:t>
            </w:r>
            <w:r w:rsidR="00981D80" w:rsidRPr="005C52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81D80">
              <w:rPr>
                <w:rFonts w:ascii="Arial" w:hAnsi="Arial" w:cs="Arial"/>
                <w:sz w:val="22"/>
                <w:szCs w:val="22"/>
                <w:lang w:val="ru-RU"/>
              </w:rPr>
              <w:t>следующие</w:t>
            </w:r>
            <w:r w:rsidR="00981D80" w:rsidRPr="005C520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81D80">
              <w:rPr>
                <w:rFonts w:ascii="Arial" w:hAnsi="Arial" w:cs="Arial"/>
                <w:sz w:val="22"/>
                <w:szCs w:val="22"/>
                <w:lang w:val="ru-RU"/>
              </w:rPr>
              <w:t>вопросы</w:t>
            </w:r>
            <w:r w:rsidR="005C5208">
              <w:rPr>
                <w:rFonts w:ascii="Arial" w:hAnsi="Arial" w:cs="Arial"/>
                <w:sz w:val="22"/>
                <w:szCs w:val="22"/>
                <w:lang w:val="ru-RU"/>
              </w:rPr>
              <w:t xml:space="preserve"> применительно к каждому соответствующему элементу:</w:t>
            </w:r>
          </w:p>
          <w:p w:rsidR="004972F8" w:rsidRPr="007A5AF3" w:rsidRDefault="007A5AF3" w:rsidP="004972F8">
            <w:pPr>
              <w:numPr>
                <w:ilvl w:val="0"/>
                <w:numId w:val="14"/>
              </w:numPr>
              <w:spacing w:before="120" w:after="120"/>
              <w:ind w:left="656" w:hanging="656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A5AF3">
              <w:rPr>
                <w:rFonts w:ascii="Arial" w:hAnsi="Arial" w:cs="Arial"/>
                <w:sz w:val="22"/>
                <w:szCs w:val="22"/>
                <w:lang w:val="ru-RU"/>
              </w:rPr>
              <w:t xml:space="preserve">социальные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 культурные функции данного элемента</w:t>
            </w:r>
            <w:r w:rsidR="004972F8" w:rsidRPr="007A5AF3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4972F8" w:rsidRPr="008E6207" w:rsidRDefault="007A5AF3" w:rsidP="004972F8">
            <w:pPr>
              <w:numPr>
                <w:ilvl w:val="0"/>
                <w:numId w:val="14"/>
              </w:numPr>
              <w:spacing w:before="120" w:after="120"/>
              <w:ind w:left="656" w:hanging="656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оценка</w:t>
            </w:r>
            <w:r w:rsidRPr="008E62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его</w:t>
            </w:r>
            <w:r w:rsidRPr="008E62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жизнеспособности</w:t>
            </w:r>
            <w:r w:rsidRPr="008E62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8E62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грозящих</w:t>
            </w:r>
            <w:r w:rsidRPr="008E62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ему</w:t>
            </w:r>
            <w:r w:rsidRPr="008E62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опасностей, если таковые имеются</w:t>
            </w:r>
            <w:r w:rsidR="004972F8" w:rsidRPr="008E6207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4972F8" w:rsidRPr="008E6207" w:rsidRDefault="008E6207" w:rsidP="004972F8">
            <w:pPr>
              <w:numPr>
                <w:ilvl w:val="0"/>
                <w:numId w:val="14"/>
              </w:numPr>
              <w:spacing w:before="120" w:after="120"/>
              <w:ind w:left="656" w:hanging="656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его вклад в достижение целей Списка</w:t>
            </w:r>
            <w:r w:rsidR="004972F8" w:rsidRPr="008E6207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4972F8" w:rsidRPr="008E6207" w:rsidRDefault="008E6207" w:rsidP="004972F8">
            <w:pPr>
              <w:numPr>
                <w:ilvl w:val="0"/>
                <w:numId w:val="14"/>
              </w:numPr>
              <w:spacing w:before="120" w:after="120"/>
              <w:ind w:left="656" w:hanging="656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усилия</w:t>
            </w:r>
            <w:r w:rsidRPr="008E620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направленные</w:t>
            </w:r>
            <w:r w:rsidRPr="008E62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8E62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повышение</w:t>
            </w:r>
            <w:r w:rsidRPr="008E62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или</w:t>
            </w:r>
            <w:r w:rsidRPr="008E62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укрепление</w:t>
            </w:r>
            <w:r w:rsidRPr="008E62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роли</w:t>
            </w:r>
            <w:r w:rsidRPr="008E62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данного</w:t>
            </w:r>
            <w:r w:rsidRPr="008E62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элемента</w:t>
            </w:r>
            <w:r w:rsidR="006D1952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r w:rsidRPr="008E62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8E62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частности</w:t>
            </w:r>
            <w:r w:rsidRPr="008E62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осуществление</w:t>
            </w:r>
            <w:r w:rsidRPr="008E62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каких</w:t>
            </w:r>
            <w:r w:rsidRPr="008E6207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либо</w:t>
            </w:r>
            <w:r w:rsidRPr="008E62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мер</w:t>
            </w:r>
            <w:r w:rsidR="002C2BD5">
              <w:rPr>
                <w:rFonts w:ascii="Arial" w:hAnsi="Arial" w:cs="Arial"/>
                <w:sz w:val="22"/>
                <w:szCs w:val="22"/>
                <w:lang w:val="ru-RU"/>
              </w:rPr>
              <w:t>, необходимость которых могла бы быть продиктована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его включением в Список</w:t>
            </w:r>
            <w:r w:rsidR="004972F8" w:rsidRPr="008E6207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4972F8" w:rsidRPr="00780386" w:rsidRDefault="006D1952" w:rsidP="00780386">
            <w:pPr>
              <w:numPr>
                <w:ilvl w:val="0"/>
                <w:numId w:val="14"/>
              </w:numPr>
              <w:spacing w:before="120" w:after="120"/>
              <w:ind w:left="656" w:hanging="656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участие</w:t>
            </w:r>
            <w:r w:rsidRPr="0078038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сообществ</w:t>
            </w:r>
            <w:r w:rsidRPr="00780386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групп</w:t>
            </w:r>
            <w:r w:rsidRPr="0078038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78038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отдельных</w:t>
            </w:r>
            <w:r w:rsidRPr="0078038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лиц</w:t>
            </w:r>
            <w:r w:rsidRPr="00780386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  <w:r w:rsidRPr="0078038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также</w:t>
            </w:r>
            <w:r w:rsidRPr="0078038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соответствующих</w:t>
            </w:r>
            <w:r w:rsidRPr="0078038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неправительственных</w:t>
            </w:r>
            <w:r w:rsidRPr="0078038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организаций</w:t>
            </w:r>
            <w:r w:rsidRPr="0078038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78038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охране</w:t>
            </w:r>
            <w:r w:rsidRPr="0078038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данного</w:t>
            </w:r>
            <w:r w:rsidRPr="0078038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элемента</w:t>
            </w:r>
            <w:r w:rsidRPr="0078038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78038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их</w:t>
            </w:r>
            <w:r w:rsidRPr="0078038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неизменная</w:t>
            </w:r>
            <w:r w:rsidRPr="0078038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приверженность</w:t>
            </w:r>
            <w:r w:rsidRPr="0078038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делу</w:t>
            </w:r>
            <w:r w:rsidRPr="0078038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его</w:t>
            </w:r>
            <w:r w:rsidRPr="0078038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дальнейшей</w:t>
            </w:r>
            <w:r w:rsidRPr="0078038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охраны</w:t>
            </w:r>
            <w:r w:rsidRPr="00780386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250" w:type="pct"/>
          </w:tcPr>
          <w:p w:rsidR="004972F8" w:rsidRPr="00BA4171" w:rsidRDefault="004972F8" w:rsidP="00D5134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157</w:t>
            </w:r>
            <w:r w:rsidRPr="00BA4171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2158" w:type="pct"/>
          </w:tcPr>
          <w:p w:rsidR="004972F8" w:rsidRPr="00BA4171" w:rsidRDefault="004972F8" w:rsidP="004972F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Без</w:t>
            </w:r>
            <w:r w:rsidRPr="006D19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изменений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4972F8" w:rsidRPr="00BA4171" w:rsidTr="004972F8">
        <w:trPr>
          <w:cantSplit/>
        </w:trPr>
        <w:tc>
          <w:tcPr>
            <w:tcW w:w="250" w:type="pct"/>
            <w:gridSpan w:val="2"/>
            <w:shd w:val="clear" w:color="auto" w:fill="auto"/>
          </w:tcPr>
          <w:p w:rsidR="004972F8" w:rsidRPr="00A1056C" w:rsidRDefault="004972F8" w:rsidP="00D5134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158</w:t>
            </w:r>
            <w:r w:rsidRPr="00A1056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2342" w:type="pct"/>
            <w:gridSpan w:val="2"/>
            <w:shd w:val="clear" w:color="auto" w:fill="auto"/>
          </w:tcPr>
          <w:p w:rsidR="004972F8" w:rsidRPr="00FB62E3" w:rsidRDefault="00FB62E3" w:rsidP="00D5134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Государство</w:t>
            </w:r>
            <w:r w:rsidRPr="00FB62E3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</w:t>
            </w:r>
            <w:r w:rsidRPr="00FB62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сообщает</w:t>
            </w:r>
            <w:r w:rsidRPr="00FB62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FB62E3">
              <w:rPr>
                <w:rFonts w:ascii="Arial" w:hAnsi="Arial" w:cs="Arial"/>
                <w:sz w:val="22"/>
                <w:szCs w:val="22"/>
                <w:lang w:val="ru-RU"/>
              </w:rPr>
              <w:t xml:space="preserve">б институциональном контексте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элемента</w:t>
            </w:r>
            <w:r w:rsidRPr="00FB62E3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внесённого</w:t>
            </w:r>
            <w:r w:rsidRPr="00FB62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FB62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Репрезентативный</w:t>
            </w:r>
            <w:r w:rsidRPr="00FB62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список</w:t>
            </w:r>
            <w:r w:rsidRPr="00FB62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Pr="00FB62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Pr="00FB62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Pr="00FB62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человечества</w:t>
            </w:r>
            <w:r w:rsidRPr="00FB62E3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включая</w:t>
            </w:r>
            <w:r w:rsidRPr="00FB62E3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4972F8" w:rsidRPr="00FB62E3" w:rsidRDefault="00FB62E3" w:rsidP="004972F8">
            <w:pPr>
              <w:numPr>
                <w:ilvl w:val="0"/>
                <w:numId w:val="20"/>
              </w:numPr>
              <w:spacing w:before="120" w:after="120"/>
              <w:ind w:left="656" w:hanging="656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наличие</w:t>
            </w:r>
            <w:r w:rsidRPr="00FB62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компетентного</w:t>
            </w:r>
            <w:r w:rsidRPr="00FB62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органа</w:t>
            </w:r>
            <w:r w:rsidRPr="00FB62E3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компетентных</w:t>
            </w:r>
            <w:r w:rsidRPr="00FB62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органов</w:t>
            </w:r>
            <w:r w:rsidRPr="00FB62E3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, занимающегося (занимающихся) его управлением и/или охраной</w:t>
            </w:r>
            <w:r w:rsidR="004972F8" w:rsidRPr="00FB62E3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4972F8" w:rsidRPr="00927BB8" w:rsidRDefault="00FB62E3" w:rsidP="00927BB8">
            <w:pPr>
              <w:numPr>
                <w:ilvl w:val="0"/>
                <w:numId w:val="20"/>
              </w:numPr>
              <w:spacing w:before="120" w:after="120"/>
              <w:ind w:left="656" w:hanging="656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наличие</w:t>
            </w:r>
            <w:r w:rsidRPr="00927BB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организации</w:t>
            </w:r>
            <w:r w:rsidRPr="00927BB8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организаций</w:t>
            </w:r>
            <w:r w:rsidRPr="00927BB8">
              <w:rPr>
                <w:rFonts w:ascii="Arial" w:hAnsi="Arial" w:cs="Arial"/>
                <w:sz w:val="22"/>
                <w:szCs w:val="22"/>
                <w:lang w:val="ru-RU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соответствующего</w:t>
            </w:r>
            <w:r w:rsidRPr="00927BB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сообщества</w:t>
            </w:r>
            <w:r w:rsidRPr="00927BB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или</w:t>
            </w:r>
            <w:r w:rsidRPr="00927BB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группы</w:t>
            </w:r>
            <w:r w:rsidRPr="00927BB8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занимающейся</w:t>
            </w:r>
            <w:r w:rsidRPr="00927BB8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занимающихся</w:t>
            </w:r>
            <w:r w:rsidRPr="00927BB8">
              <w:rPr>
                <w:rFonts w:ascii="Arial" w:hAnsi="Arial" w:cs="Arial"/>
                <w:sz w:val="22"/>
                <w:szCs w:val="22"/>
                <w:lang w:val="ru-RU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вопросами</w:t>
            </w:r>
            <w:r w:rsidRPr="00927BB8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связанными</w:t>
            </w:r>
            <w:r w:rsidRPr="00927BB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927BB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этим</w:t>
            </w:r>
            <w:r w:rsidRPr="00927BB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элементом</w:t>
            </w:r>
            <w:r w:rsidR="00927BB8" w:rsidRPr="00927BB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27BB8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927BB8" w:rsidRPr="00927BB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27BB8">
              <w:rPr>
                <w:rFonts w:ascii="Arial" w:hAnsi="Arial" w:cs="Arial"/>
                <w:sz w:val="22"/>
                <w:szCs w:val="22"/>
                <w:lang w:val="ru-RU"/>
              </w:rPr>
              <w:t>его</w:t>
            </w:r>
            <w:r w:rsidR="00927BB8" w:rsidRPr="00927BB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27BB8">
              <w:rPr>
                <w:rFonts w:ascii="Arial" w:hAnsi="Arial" w:cs="Arial"/>
                <w:sz w:val="22"/>
                <w:szCs w:val="22"/>
                <w:lang w:val="ru-RU"/>
              </w:rPr>
              <w:t>охраной</w:t>
            </w:r>
            <w:r w:rsidR="00927BB8" w:rsidRPr="00927BB8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250" w:type="pct"/>
          </w:tcPr>
          <w:p w:rsidR="004972F8" w:rsidRPr="00BA4171" w:rsidRDefault="004972F8" w:rsidP="00D5134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158</w:t>
            </w:r>
            <w:r w:rsidRPr="00BA4171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2158" w:type="pct"/>
          </w:tcPr>
          <w:p w:rsidR="004972F8" w:rsidRPr="00BA4171" w:rsidRDefault="004972F8" w:rsidP="004972F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Без</w:t>
            </w:r>
            <w:r w:rsidRPr="00927BB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изменений</w:t>
            </w:r>
            <w:r w:rsidRPr="00BA4171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4972F8" w:rsidRPr="008B5C8B" w:rsidTr="004972F8">
        <w:trPr>
          <w:cantSplit/>
        </w:trPr>
        <w:tc>
          <w:tcPr>
            <w:tcW w:w="250" w:type="pct"/>
            <w:gridSpan w:val="2"/>
            <w:shd w:val="clear" w:color="auto" w:fill="auto"/>
          </w:tcPr>
          <w:p w:rsidR="004972F8" w:rsidRPr="00A1056C" w:rsidRDefault="004972F8" w:rsidP="00D5134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159</w:t>
            </w:r>
            <w:r w:rsidRPr="00A1056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2342" w:type="pct"/>
            <w:gridSpan w:val="2"/>
            <w:shd w:val="clear" w:color="auto" w:fill="auto"/>
          </w:tcPr>
          <w:p w:rsidR="004972F8" w:rsidRPr="00062627" w:rsidRDefault="00062627" w:rsidP="0006262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Государства</w:t>
            </w:r>
            <w:r w:rsidRPr="00062627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участники</w:t>
            </w:r>
            <w:r w:rsidRPr="0006262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своевременно</w:t>
            </w:r>
            <w:r w:rsidRPr="0006262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отвечают</w:t>
            </w:r>
            <w:r w:rsidRPr="0006262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06262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направленные</w:t>
            </w:r>
            <w:r w:rsidRPr="0006262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им</w:t>
            </w:r>
            <w:r w:rsidRPr="0006262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Комитетом</w:t>
            </w:r>
            <w:r w:rsidRPr="0006262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конкретные</w:t>
            </w:r>
            <w:r w:rsidRPr="0006262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запросы</w:t>
            </w:r>
            <w:r w:rsidRPr="0006262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06262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представлении</w:t>
            </w:r>
            <w:r w:rsidRPr="0006262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дополнительной</w:t>
            </w:r>
            <w:r w:rsidRPr="0006262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информации</w:t>
            </w:r>
            <w:r w:rsidRPr="0006262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если</w:t>
            </w:r>
            <w:r w:rsidRPr="0006262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таковая</w:t>
            </w:r>
            <w:r w:rsidRPr="0006262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потребуется</w:t>
            </w:r>
            <w:r w:rsidRPr="0006262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06262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период</w:t>
            </w:r>
            <w:r w:rsidRPr="0006262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между</w:t>
            </w:r>
            <w:r w:rsidRPr="0006262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сроками, установленными в пункте 152 выше.</w:t>
            </w:r>
          </w:p>
        </w:tc>
        <w:tc>
          <w:tcPr>
            <w:tcW w:w="250" w:type="pct"/>
          </w:tcPr>
          <w:p w:rsidR="004972F8" w:rsidRPr="00BA4171" w:rsidRDefault="004972F8" w:rsidP="00D5134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159</w:t>
            </w:r>
            <w:r w:rsidRPr="00BA4171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2158" w:type="pct"/>
          </w:tcPr>
          <w:p w:rsidR="004972F8" w:rsidRPr="003A3AA2" w:rsidRDefault="00EB12F6" w:rsidP="003A3AA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Государства</w:t>
            </w:r>
            <w:r w:rsidRPr="003A3AA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участники</w:t>
            </w:r>
            <w:r w:rsidRPr="003A3AA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своевременно</w:t>
            </w:r>
            <w:r w:rsidRPr="003A3AA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отвечают</w:t>
            </w:r>
            <w:r w:rsidRPr="003A3AA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3A3AA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направленные</w:t>
            </w:r>
            <w:r w:rsidRPr="003A3AA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им</w:t>
            </w:r>
            <w:r w:rsidRPr="003A3AA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Комитетом</w:t>
            </w:r>
            <w:r w:rsidRPr="003A3AA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конкретные</w:t>
            </w:r>
            <w:r w:rsidRPr="003A3AA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запросы</w:t>
            </w:r>
            <w:r w:rsidRPr="003A3AA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3A3AA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представлении</w:t>
            </w:r>
            <w:r w:rsidRPr="003A3AA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дополнительной</w:t>
            </w:r>
            <w:r w:rsidRPr="003A3AA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информации</w:t>
            </w:r>
            <w:r w:rsidR="00B56D2E" w:rsidRPr="003A3AA2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B56D2E">
              <w:rPr>
                <w:rFonts w:ascii="Arial" w:hAnsi="Arial" w:cs="Arial"/>
                <w:sz w:val="22"/>
                <w:szCs w:val="22"/>
                <w:lang w:val="ru-RU"/>
              </w:rPr>
              <w:t>если</w:t>
            </w:r>
            <w:r w:rsidR="00B56D2E" w:rsidRPr="003A3AA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56D2E">
              <w:rPr>
                <w:rFonts w:ascii="Arial" w:hAnsi="Arial" w:cs="Arial"/>
                <w:sz w:val="22"/>
                <w:szCs w:val="22"/>
                <w:lang w:val="ru-RU"/>
              </w:rPr>
              <w:t>таковая</w:t>
            </w:r>
            <w:r w:rsidR="00B56D2E" w:rsidRPr="003A3AA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56D2E">
              <w:rPr>
                <w:rFonts w:ascii="Arial" w:hAnsi="Arial" w:cs="Arial"/>
                <w:sz w:val="22"/>
                <w:szCs w:val="22"/>
                <w:lang w:val="ru-RU"/>
              </w:rPr>
              <w:t>потребуется</w:t>
            </w:r>
            <w:r w:rsidR="00B56D2E" w:rsidRPr="003A3AA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A3AA2" w:rsidRPr="003A3AA2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и </w:t>
            </w:r>
            <w:r w:rsidR="003A3AA2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независимо</w:t>
            </w:r>
            <w:r w:rsidR="003A3AA2" w:rsidRPr="003A3AA2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3A3AA2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от</w:t>
            </w:r>
            <w:r w:rsidR="003A3AA2" w:rsidRPr="003A3AA2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3A3AA2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регионального</w:t>
            </w:r>
            <w:r w:rsidR="003A3AA2" w:rsidRPr="003A3AA2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3A3AA2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цикла</w:t>
            </w:r>
            <w:r w:rsidR="003A3AA2" w:rsidRPr="003A3AA2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, </w:t>
            </w:r>
            <w:r w:rsidR="003A3AA2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установленного</w:t>
            </w:r>
            <w:r w:rsidR="003A3AA2" w:rsidRPr="003A3AA2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3A3AA2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Комитетом</w:t>
            </w:r>
            <w:r w:rsidR="003A3AA2" w:rsidRPr="003A3AA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A3AA2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в</w:t>
            </w:r>
            <w:r w:rsidR="003A3AA2" w:rsidRPr="003A3AA2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 w:rsidR="003A3AA2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период</w:t>
            </w:r>
            <w:r w:rsidR="003A3AA2" w:rsidRPr="003A3AA2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 w:rsidR="003A3AA2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между</w:t>
            </w:r>
            <w:r w:rsidR="003A3AA2" w:rsidRPr="003A3AA2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 w:rsidR="003A3AA2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сроками</w:t>
            </w:r>
            <w:r w:rsidR="003A3AA2" w:rsidRPr="003A3AA2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, </w:t>
            </w:r>
            <w:r w:rsidR="003A3AA2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установленными</w:t>
            </w:r>
            <w:r w:rsidR="003A3AA2" w:rsidRPr="003A3AA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A3AA2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в соответствии с пунктом</w:t>
            </w:r>
            <w:r w:rsidR="003A3AA2" w:rsidRPr="003A3AA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972F8" w:rsidRPr="003A3AA2">
              <w:rPr>
                <w:rFonts w:ascii="Arial" w:hAnsi="Arial" w:cs="Arial"/>
                <w:sz w:val="22"/>
                <w:szCs w:val="22"/>
                <w:lang w:val="ru-RU"/>
              </w:rPr>
              <w:t xml:space="preserve">152 </w:t>
            </w:r>
            <w:r w:rsidR="003A3AA2">
              <w:rPr>
                <w:rFonts w:ascii="Arial" w:hAnsi="Arial" w:cs="Arial"/>
                <w:sz w:val="22"/>
                <w:szCs w:val="22"/>
                <w:lang w:val="ru-RU"/>
              </w:rPr>
              <w:t>выше</w:t>
            </w:r>
            <w:r w:rsidR="004972F8" w:rsidRPr="003A3AA2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4972F8" w:rsidRPr="00BA4171" w:rsidTr="004972F8">
        <w:trPr>
          <w:cantSplit/>
        </w:trPr>
        <w:tc>
          <w:tcPr>
            <w:tcW w:w="250" w:type="pct"/>
            <w:gridSpan w:val="2"/>
            <w:shd w:val="clear" w:color="auto" w:fill="auto"/>
          </w:tcPr>
          <w:p w:rsidR="004972F8" w:rsidRPr="00B36C17" w:rsidRDefault="004972F8" w:rsidP="00D5134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V.2</w:t>
            </w:r>
          </w:p>
        </w:tc>
        <w:tc>
          <w:tcPr>
            <w:tcW w:w="2342" w:type="pct"/>
            <w:gridSpan w:val="2"/>
            <w:shd w:val="clear" w:color="auto" w:fill="auto"/>
          </w:tcPr>
          <w:p w:rsidR="004972F8" w:rsidRPr="000928CA" w:rsidRDefault="000928CA" w:rsidP="000928CA">
            <w:pPr>
              <w:spacing w:before="120" w:after="12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Доклады</w:t>
            </w:r>
            <w:r w:rsidRPr="000928CA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ru-RU"/>
              </w:rPr>
              <w:t>государств</w:t>
            </w:r>
            <w:r w:rsidRPr="000928CA">
              <w:rPr>
                <w:rFonts w:ascii="Arial" w:hAnsi="Arial" w:cs="Arial"/>
                <w:b/>
                <w:bCs/>
                <w:lang w:val="ru-RU"/>
              </w:rPr>
              <w:t>-</w:t>
            </w:r>
            <w:r>
              <w:rPr>
                <w:rFonts w:ascii="Arial" w:hAnsi="Arial" w:cs="Arial"/>
                <w:b/>
                <w:bCs/>
                <w:lang w:val="ru-RU"/>
              </w:rPr>
              <w:t>участников</w:t>
            </w:r>
            <w:r w:rsidRPr="000928CA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ru-RU"/>
              </w:rPr>
              <w:t>об</w:t>
            </w:r>
            <w:r w:rsidRPr="000928CA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ru-RU"/>
              </w:rPr>
              <w:t>элементах</w:t>
            </w:r>
            <w:r w:rsidRPr="000928CA">
              <w:rPr>
                <w:rFonts w:ascii="Arial" w:hAnsi="Arial" w:cs="Arial"/>
                <w:b/>
                <w:bCs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bCs/>
                <w:lang w:val="ru-RU"/>
              </w:rPr>
              <w:t>включённых</w:t>
            </w:r>
            <w:r w:rsidRPr="000928CA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ru-RU"/>
              </w:rPr>
              <w:t>в</w:t>
            </w:r>
            <w:r w:rsidRPr="000928CA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ru-RU"/>
              </w:rPr>
              <w:t>Список</w:t>
            </w:r>
            <w:r w:rsidRPr="000928CA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ru-RU"/>
              </w:rPr>
              <w:t>нематериального</w:t>
            </w:r>
            <w:r w:rsidRPr="000928CA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ru-RU"/>
              </w:rPr>
              <w:t>культурного</w:t>
            </w:r>
            <w:r w:rsidRPr="000928CA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ru-RU"/>
              </w:rPr>
              <w:t>наследия</w:t>
            </w:r>
            <w:r w:rsidRPr="000928CA">
              <w:rPr>
                <w:rFonts w:ascii="Arial" w:hAnsi="Arial" w:cs="Arial"/>
                <w:b/>
                <w:bCs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bCs/>
                <w:lang w:val="ru-RU"/>
              </w:rPr>
              <w:t>нуждающегося</w:t>
            </w:r>
            <w:r w:rsidRPr="000928CA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ru-RU"/>
              </w:rPr>
              <w:t>в</w:t>
            </w:r>
            <w:r w:rsidRPr="000928CA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ru-RU"/>
              </w:rPr>
              <w:t>срочной</w:t>
            </w:r>
            <w:r w:rsidRPr="000928CA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ru-RU"/>
              </w:rPr>
              <w:t>охране</w:t>
            </w:r>
          </w:p>
        </w:tc>
        <w:tc>
          <w:tcPr>
            <w:tcW w:w="250" w:type="pct"/>
          </w:tcPr>
          <w:p w:rsidR="004972F8" w:rsidRPr="00B36C17" w:rsidRDefault="004972F8" w:rsidP="00D5134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V.2</w:t>
            </w:r>
          </w:p>
        </w:tc>
        <w:tc>
          <w:tcPr>
            <w:tcW w:w="2158" w:type="pct"/>
          </w:tcPr>
          <w:p w:rsidR="004972F8" w:rsidRPr="00B36C17" w:rsidRDefault="004972F8" w:rsidP="00D5134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Без изменений</w:t>
            </w:r>
            <w:r w:rsidRPr="00B36C17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4972F8" w:rsidRPr="00BA4171" w:rsidTr="004972F8">
        <w:trPr>
          <w:cantSplit/>
        </w:trPr>
        <w:tc>
          <w:tcPr>
            <w:tcW w:w="250" w:type="pct"/>
            <w:gridSpan w:val="2"/>
            <w:shd w:val="clear" w:color="auto" w:fill="auto"/>
          </w:tcPr>
          <w:p w:rsidR="004972F8" w:rsidRPr="00A1056C" w:rsidRDefault="004972F8" w:rsidP="00D5134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160</w:t>
            </w:r>
            <w:r w:rsidRPr="00A1056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2342" w:type="pct"/>
            <w:gridSpan w:val="2"/>
            <w:shd w:val="clear" w:color="auto" w:fill="auto"/>
          </w:tcPr>
          <w:p w:rsidR="004972F8" w:rsidRPr="000928CA" w:rsidRDefault="000928CA" w:rsidP="000928C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Каждое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государство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представляет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Комитету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отчётные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доклады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состоянии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имеющихся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его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территории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элементов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которые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включены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Список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нуждающегося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срочной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охране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его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просьбе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или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>, в слу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чаях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чрезвычайной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срочности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после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консультаций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ним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Государство</w:t>
            </w:r>
            <w:r w:rsidRPr="000928CA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</w:t>
            </w:r>
            <w:r w:rsidRPr="000928C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стремится</w:t>
            </w:r>
            <w:r w:rsidRPr="000928C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привлекать</w:t>
            </w:r>
            <w:r w:rsidRPr="000928C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0928C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как</w:t>
            </w:r>
            <w:r w:rsidRPr="000928C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можно</w:t>
            </w:r>
            <w:r w:rsidRPr="000928C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более</w:t>
            </w:r>
            <w:r w:rsidRPr="000928C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широкой</w:t>
            </w:r>
            <w:r w:rsidRPr="000928C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основе</w:t>
            </w:r>
            <w:r w:rsidRPr="000928C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заинтересованные</w:t>
            </w:r>
            <w:r w:rsidRPr="000928C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сообщества</w:t>
            </w:r>
            <w:r w:rsidRPr="000928CA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группы</w:t>
            </w:r>
            <w:r w:rsidRPr="000928C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0928CA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0928C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соответствующих</w:t>
            </w:r>
            <w:r w:rsidRPr="000928C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случаях</w:t>
            </w:r>
            <w:r w:rsidRPr="000928CA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отдельных</w:t>
            </w:r>
            <w:r w:rsidRPr="000928C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лиц, а также соответствующие неправительственные организации к процессу подготовки таких докладов.</w:t>
            </w:r>
          </w:p>
        </w:tc>
        <w:tc>
          <w:tcPr>
            <w:tcW w:w="250" w:type="pct"/>
          </w:tcPr>
          <w:p w:rsidR="004972F8" w:rsidRPr="00BA4171" w:rsidRDefault="004972F8" w:rsidP="00D5134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160</w:t>
            </w:r>
            <w:r w:rsidRPr="00BA4171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2158" w:type="pct"/>
          </w:tcPr>
          <w:p w:rsidR="004972F8" w:rsidRPr="00BA4171" w:rsidRDefault="004972F8" w:rsidP="004972F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Без</w:t>
            </w:r>
            <w:r w:rsidRPr="000928C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изменений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4972F8" w:rsidRPr="008B5C8B" w:rsidTr="004972F8">
        <w:trPr>
          <w:cantSplit/>
        </w:trPr>
        <w:tc>
          <w:tcPr>
            <w:tcW w:w="250" w:type="pct"/>
            <w:gridSpan w:val="2"/>
            <w:shd w:val="clear" w:color="auto" w:fill="auto"/>
          </w:tcPr>
          <w:p w:rsidR="004972F8" w:rsidRPr="00A1056C" w:rsidRDefault="004972F8" w:rsidP="00D5134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161</w:t>
            </w:r>
            <w:r w:rsidRPr="00A1056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2342" w:type="pct"/>
            <w:gridSpan w:val="2"/>
            <w:shd w:val="clear" w:color="auto" w:fill="auto"/>
          </w:tcPr>
          <w:p w:rsidR="004972F8" w:rsidRPr="0003715C" w:rsidRDefault="00950EEE" w:rsidP="0003715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Такие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доклады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обычно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представляются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15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декабря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четвёртого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года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после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года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включения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элемента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Список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каждый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четвёртый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год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дальнейшем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Для</w:t>
            </w:r>
            <w:r w:rsidRPr="000371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этих</w:t>
            </w:r>
            <w:r w:rsidRPr="000371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докладов</w:t>
            </w:r>
            <w:r w:rsidRPr="000371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используется</w:t>
            </w:r>
            <w:r w:rsidRPr="000371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форма</w:t>
            </w:r>
            <w:r w:rsidRPr="000371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972F8" w:rsidRPr="006610D9">
              <w:rPr>
                <w:rFonts w:ascii="Arial" w:hAnsi="Arial" w:cs="Arial"/>
                <w:sz w:val="22"/>
                <w:szCs w:val="22"/>
                <w:lang w:val="en-GB"/>
              </w:rPr>
              <w:t>ICH</w:t>
            </w:r>
            <w:r w:rsidR="004972F8" w:rsidRPr="0003715C">
              <w:rPr>
                <w:rFonts w:ascii="Arial" w:hAnsi="Arial" w:cs="Arial"/>
                <w:sz w:val="22"/>
                <w:szCs w:val="22"/>
                <w:lang w:val="ru-RU"/>
              </w:rPr>
              <w:t>-11</w:t>
            </w:r>
            <w:r w:rsidR="0003715C" w:rsidRPr="0003715C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03715C">
              <w:rPr>
                <w:rFonts w:ascii="Arial" w:hAnsi="Arial" w:cs="Arial"/>
                <w:sz w:val="22"/>
                <w:szCs w:val="22"/>
                <w:lang w:val="ru-RU"/>
              </w:rPr>
              <w:t>доступная</w:t>
            </w:r>
            <w:r w:rsidR="0003715C" w:rsidRPr="000371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3715C"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="0003715C" w:rsidRPr="000371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3715C">
              <w:rPr>
                <w:rFonts w:ascii="Arial" w:hAnsi="Arial" w:cs="Arial"/>
                <w:sz w:val="22"/>
                <w:szCs w:val="22"/>
                <w:lang w:val="ru-RU"/>
              </w:rPr>
              <w:t>адресу</w:t>
            </w:r>
            <w:r w:rsidR="0003715C" w:rsidRPr="000371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hyperlink r:id="rId20" w:history="1">
              <w:r w:rsidR="004972F8" w:rsidRPr="0005136F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www</w:t>
              </w:r>
              <w:r w:rsidR="004972F8" w:rsidRPr="0003715C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proofErr w:type="spellStart"/>
              <w:r w:rsidR="004972F8" w:rsidRPr="0005136F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unesco</w:t>
              </w:r>
              <w:proofErr w:type="spellEnd"/>
              <w:r w:rsidR="004972F8" w:rsidRPr="0003715C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r w:rsidR="004972F8" w:rsidRPr="0005136F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org</w:t>
              </w:r>
              <w:r w:rsidR="004972F8" w:rsidRPr="0003715C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/</w:t>
              </w:r>
              <w:r w:rsidR="004972F8" w:rsidRPr="0005136F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culture</w:t>
              </w:r>
              <w:r w:rsidR="004972F8" w:rsidRPr="0003715C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/</w:t>
              </w:r>
              <w:proofErr w:type="spellStart"/>
              <w:r w:rsidR="004972F8" w:rsidRPr="0005136F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ich</w:t>
              </w:r>
              <w:proofErr w:type="spellEnd"/>
            </w:hyperlink>
            <w:r w:rsidR="004972F8" w:rsidRPr="000371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3715C">
              <w:rPr>
                <w:rFonts w:ascii="Arial" w:hAnsi="Arial" w:cs="Arial"/>
                <w:sz w:val="22"/>
                <w:szCs w:val="22"/>
                <w:lang w:val="ru-RU"/>
              </w:rPr>
              <w:t>или предоставляемая по запросу Секретариатом. Доклады</w:t>
            </w:r>
            <w:r w:rsidR="0003715C" w:rsidRPr="00E055F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3715C">
              <w:rPr>
                <w:rFonts w:ascii="Arial" w:hAnsi="Arial" w:cs="Arial"/>
                <w:sz w:val="22"/>
                <w:szCs w:val="22"/>
                <w:lang w:val="ru-RU"/>
              </w:rPr>
              <w:t>должны</w:t>
            </w:r>
            <w:r w:rsidR="0003715C" w:rsidRPr="00E055F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3715C">
              <w:rPr>
                <w:rFonts w:ascii="Arial" w:hAnsi="Arial" w:cs="Arial"/>
                <w:sz w:val="22"/>
                <w:szCs w:val="22"/>
                <w:lang w:val="ru-RU"/>
              </w:rPr>
              <w:t>содержать</w:t>
            </w:r>
            <w:r w:rsidR="0003715C" w:rsidRPr="00E055F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3715C">
              <w:rPr>
                <w:rFonts w:ascii="Arial" w:hAnsi="Arial" w:cs="Arial"/>
                <w:sz w:val="22"/>
                <w:szCs w:val="22"/>
                <w:lang w:val="ru-RU"/>
              </w:rPr>
              <w:t>только</w:t>
            </w:r>
            <w:r w:rsidR="0003715C" w:rsidRPr="00E055F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3715C">
              <w:rPr>
                <w:rFonts w:ascii="Arial" w:hAnsi="Arial" w:cs="Arial"/>
                <w:sz w:val="22"/>
                <w:szCs w:val="22"/>
                <w:lang w:val="ru-RU"/>
              </w:rPr>
              <w:t>информацию</w:t>
            </w:r>
            <w:r w:rsidR="0003715C" w:rsidRPr="00E055F0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03715C">
              <w:rPr>
                <w:rFonts w:ascii="Arial" w:hAnsi="Arial" w:cs="Arial"/>
                <w:sz w:val="22"/>
                <w:szCs w:val="22"/>
                <w:lang w:val="ru-RU"/>
              </w:rPr>
              <w:t>запрашиваемую</w:t>
            </w:r>
            <w:r w:rsidR="0003715C" w:rsidRPr="00E055F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3715C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03715C" w:rsidRPr="00E055F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3715C">
              <w:rPr>
                <w:rFonts w:ascii="Arial" w:hAnsi="Arial" w:cs="Arial"/>
                <w:sz w:val="22"/>
                <w:szCs w:val="22"/>
                <w:lang w:val="ru-RU"/>
              </w:rPr>
              <w:t>форме</w:t>
            </w:r>
            <w:r w:rsidR="0003715C" w:rsidRPr="00E055F0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 w:rsidR="0003715C">
              <w:rPr>
                <w:rFonts w:ascii="Arial" w:hAnsi="Arial" w:cs="Arial"/>
                <w:sz w:val="22"/>
                <w:szCs w:val="22"/>
                <w:lang w:val="ru-RU"/>
              </w:rPr>
              <w:t>При включении элемента в Список Комитет может в каждом конкретном случае устанавливать особый график представления докладов, который заменит обычный четырёхлетний цикл.</w:t>
            </w:r>
          </w:p>
        </w:tc>
        <w:tc>
          <w:tcPr>
            <w:tcW w:w="250" w:type="pct"/>
          </w:tcPr>
          <w:p w:rsidR="004972F8" w:rsidRPr="00BA4171" w:rsidRDefault="004972F8" w:rsidP="00D5134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161</w:t>
            </w:r>
            <w:r w:rsidRPr="00BA4171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2158" w:type="pct"/>
          </w:tcPr>
          <w:p w:rsidR="004972F8" w:rsidRPr="00D51E51" w:rsidRDefault="00E75011" w:rsidP="00CC55C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Такие</w:t>
            </w:r>
            <w:r w:rsidRPr="00D51E5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доклады</w:t>
            </w:r>
            <w:r w:rsidRPr="00D51E5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обычно</w:t>
            </w:r>
            <w:r w:rsidRPr="00D51E5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представляются</w:t>
            </w:r>
            <w:r w:rsidRPr="00D51E5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</w:t>
            </w:r>
            <w:r w:rsidRPr="00D51E51">
              <w:rPr>
                <w:rFonts w:ascii="Arial" w:hAnsi="Arial" w:cs="Arial"/>
                <w:sz w:val="22"/>
                <w:szCs w:val="22"/>
                <w:lang w:val="ru-RU"/>
              </w:rPr>
              <w:t xml:space="preserve"> 15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декабря</w:t>
            </w:r>
            <w:r w:rsidRPr="00D51E5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51E51">
              <w:rPr>
                <w:rFonts w:ascii="Arial" w:hAnsi="Arial" w:cs="Arial"/>
                <w:sz w:val="22"/>
                <w:szCs w:val="22"/>
                <w:lang w:val="ru-RU"/>
              </w:rPr>
              <w:t>четвёртого</w:t>
            </w:r>
            <w:r w:rsidR="00D51E51" w:rsidRPr="00D51E5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51E51">
              <w:rPr>
                <w:rFonts w:ascii="Arial" w:hAnsi="Arial" w:cs="Arial"/>
                <w:sz w:val="22"/>
                <w:szCs w:val="22"/>
                <w:lang w:val="ru-RU"/>
              </w:rPr>
              <w:t>года</w:t>
            </w:r>
            <w:r w:rsidR="00D51E51" w:rsidRPr="00D51E5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51E51">
              <w:rPr>
                <w:rFonts w:ascii="Arial" w:hAnsi="Arial" w:cs="Arial"/>
                <w:sz w:val="22"/>
                <w:szCs w:val="22"/>
                <w:lang w:val="ru-RU"/>
              </w:rPr>
              <w:t>после</w:t>
            </w:r>
            <w:r w:rsidR="00D51E51" w:rsidRPr="00D51E5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51E51">
              <w:rPr>
                <w:rFonts w:ascii="Arial" w:hAnsi="Arial" w:cs="Arial"/>
                <w:sz w:val="22"/>
                <w:szCs w:val="22"/>
                <w:lang w:val="ru-RU"/>
              </w:rPr>
              <w:t>года</w:t>
            </w:r>
            <w:r w:rsidR="00D51E51" w:rsidRPr="00D51E5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51E51">
              <w:rPr>
                <w:rFonts w:ascii="Arial" w:hAnsi="Arial" w:cs="Arial"/>
                <w:sz w:val="22"/>
                <w:szCs w:val="22"/>
                <w:lang w:val="ru-RU"/>
              </w:rPr>
              <w:t>включения</w:t>
            </w:r>
            <w:r w:rsidR="00D51E51" w:rsidRPr="00D51E5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51E51">
              <w:rPr>
                <w:rFonts w:ascii="Arial" w:hAnsi="Arial" w:cs="Arial"/>
                <w:sz w:val="22"/>
                <w:szCs w:val="22"/>
                <w:lang w:val="ru-RU"/>
              </w:rPr>
              <w:t>элемента</w:t>
            </w:r>
            <w:r w:rsidR="00D51E51" w:rsidRPr="00D51E5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51E51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D51E51" w:rsidRPr="00D51E5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51E51">
              <w:rPr>
                <w:rFonts w:ascii="Arial" w:hAnsi="Arial" w:cs="Arial"/>
                <w:sz w:val="22"/>
                <w:szCs w:val="22"/>
                <w:lang w:val="ru-RU"/>
              </w:rPr>
              <w:t>Список</w:t>
            </w:r>
            <w:r w:rsidR="00D51E51" w:rsidRPr="00D51E5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51E51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D51E51" w:rsidRPr="00D51E5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51E51">
              <w:rPr>
                <w:rFonts w:ascii="Arial" w:hAnsi="Arial" w:cs="Arial"/>
                <w:sz w:val="22"/>
                <w:szCs w:val="22"/>
                <w:lang w:val="ru-RU"/>
              </w:rPr>
              <w:t>каждый</w:t>
            </w:r>
            <w:r w:rsidR="00D51E51" w:rsidRPr="00D51E5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51E51">
              <w:rPr>
                <w:rFonts w:ascii="Arial" w:hAnsi="Arial" w:cs="Arial"/>
                <w:sz w:val="22"/>
                <w:szCs w:val="22"/>
                <w:lang w:val="ru-RU"/>
              </w:rPr>
              <w:t>четвёртый</w:t>
            </w:r>
            <w:r w:rsidR="00D51E51" w:rsidRPr="00D51E5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51E51">
              <w:rPr>
                <w:rFonts w:ascii="Arial" w:hAnsi="Arial" w:cs="Arial"/>
                <w:sz w:val="22"/>
                <w:szCs w:val="22"/>
                <w:lang w:val="ru-RU"/>
              </w:rPr>
              <w:t>год</w:t>
            </w:r>
            <w:r w:rsidR="00D51E51" w:rsidRPr="00D51E5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51E51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D51E51" w:rsidRPr="00D51E5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51E51">
              <w:rPr>
                <w:rFonts w:ascii="Arial" w:hAnsi="Arial" w:cs="Arial"/>
                <w:sz w:val="22"/>
                <w:szCs w:val="22"/>
                <w:lang w:val="ru-RU"/>
              </w:rPr>
              <w:t xml:space="preserve">дальнейшем. </w:t>
            </w:r>
            <w:r w:rsidR="00D51E51" w:rsidRPr="00D51E51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Для этих докладов используется форма </w:t>
            </w:r>
            <w:r w:rsidR="00D51E51" w:rsidRPr="00D51E51">
              <w:rPr>
                <w:rFonts w:ascii="Arial" w:hAnsi="Arial" w:cs="Arial"/>
                <w:strike/>
                <w:sz w:val="22"/>
                <w:szCs w:val="22"/>
                <w:lang w:val="en-GB"/>
              </w:rPr>
              <w:t>ICH</w:t>
            </w:r>
            <w:r w:rsidR="00D51E51" w:rsidRPr="00D51E51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-11, доступная по адресу </w:t>
            </w:r>
            <w:hyperlink r:id="rId21" w:history="1">
              <w:r w:rsidR="00D51E51" w:rsidRPr="00D51E51">
                <w:rPr>
                  <w:rStyle w:val="Hyperlink"/>
                  <w:rFonts w:ascii="Arial" w:hAnsi="Arial" w:cs="Arial"/>
                  <w:strike/>
                  <w:sz w:val="22"/>
                  <w:szCs w:val="22"/>
                  <w:lang w:val="en-GB"/>
                </w:rPr>
                <w:t>www</w:t>
              </w:r>
              <w:r w:rsidR="00D51E51" w:rsidRPr="00D51E51">
                <w:rPr>
                  <w:rStyle w:val="Hyperlink"/>
                  <w:rFonts w:ascii="Arial" w:hAnsi="Arial" w:cs="Arial"/>
                  <w:strike/>
                  <w:sz w:val="22"/>
                  <w:szCs w:val="22"/>
                  <w:lang w:val="ru-RU"/>
                </w:rPr>
                <w:t>.</w:t>
              </w:r>
              <w:r w:rsidR="00D51E51" w:rsidRPr="00D51E51">
                <w:rPr>
                  <w:rStyle w:val="Hyperlink"/>
                  <w:rFonts w:ascii="Arial" w:hAnsi="Arial" w:cs="Arial"/>
                  <w:strike/>
                  <w:sz w:val="22"/>
                  <w:szCs w:val="22"/>
                  <w:lang w:val="en-GB"/>
                </w:rPr>
                <w:t>unesco</w:t>
              </w:r>
              <w:r w:rsidR="00D51E51" w:rsidRPr="00D51E51">
                <w:rPr>
                  <w:rStyle w:val="Hyperlink"/>
                  <w:rFonts w:ascii="Arial" w:hAnsi="Arial" w:cs="Arial"/>
                  <w:strike/>
                  <w:sz w:val="22"/>
                  <w:szCs w:val="22"/>
                  <w:lang w:val="ru-RU"/>
                </w:rPr>
                <w:t>.</w:t>
              </w:r>
              <w:r w:rsidR="00D51E51" w:rsidRPr="00D51E51">
                <w:rPr>
                  <w:rStyle w:val="Hyperlink"/>
                  <w:rFonts w:ascii="Arial" w:hAnsi="Arial" w:cs="Arial"/>
                  <w:strike/>
                  <w:sz w:val="22"/>
                  <w:szCs w:val="22"/>
                  <w:lang w:val="en-GB"/>
                </w:rPr>
                <w:t>org</w:t>
              </w:r>
              <w:r w:rsidR="00D51E51" w:rsidRPr="00D51E51">
                <w:rPr>
                  <w:rStyle w:val="Hyperlink"/>
                  <w:rFonts w:ascii="Arial" w:hAnsi="Arial" w:cs="Arial"/>
                  <w:strike/>
                  <w:sz w:val="22"/>
                  <w:szCs w:val="22"/>
                  <w:lang w:val="ru-RU"/>
                </w:rPr>
                <w:t>/</w:t>
              </w:r>
              <w:r w:rsidR="00D51E51" w:rsidRPr="00D51E51">
                <w:rPr>
                  <w:rStyle w:val="Hyperlink"/>
                  <w:rFonts w:ascii="Arial" w:hAnsi="Arial" w:cs="Arial"/>
                  <w:strike/>
                  <w:sz w:val="22"/>
                  <w:szCs w:val="22"/>
                  <w:lang w:val="en-GB"/>
                </w:rPr>
                <w:t>culture</w:t>
              </w:r>
              <w:r w:rsidR="00D51E51" w:rsidRPr="00D51E51">
                <w:rPr>
                  <w:rStyle w:val="Hyperlink"/>
                  <w:rFonts w:ascii="Arial" w:hAnsi="Arial" w:cs="Arial"/>
                  <w:strike/>
                  <w:sz w:val="22"/>
                  <w:szCs w:val="22"/>
                  <w:lang w:val="ru-RU"/>
                </w:rPr>
                <w:t>/</w:t>
              </w:r>
              <w:r w:rsidR="00D51E51" w:rsidRPr="00D51E51">
                <w:rPr>
                  <w:rStyle w:val="Hyperlink"/>
                  <w:rFonts w:ascii="Arial" w:hAnsi="Arial" w:cs="Arial"/>
                  <w:strike/>
                  <w:sz w:val="22"/>
                  <w:szCs w:val="22"/>
                  <w:lang w:val="en-GB"/>
                </w:rPr>
                <w:t>ich</w:t>
              </w:r>
            </w:hyperlink>
            <w:r w:rsidR="00D51E51" w:rsidRPr="00D51E51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или предоставляемая по запросу Секретариатом. Доклады</w:t>
            </w:r>
            <w:r w:rsidR="00D51E51" w:rsidRPr="00E055F0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 w:rsidR="00D51E51" w:rsidRPr="00D51E51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должны</w:t>
            </w:r>
            <w:r w:rsidR="00D51E51" w:rsidRPr="00E055F0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 w:rsidR="00D51E51" w:rsidRPr="00D51E51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содержать</w:t>
            </w:r>
            <w:r w:rsidR="00D51E51" w:rsidRPr="00E055F0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 w:rsidR="00D51E51" w:rsidRPr="00D51E51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только</w:t>
            </w:r>
            <w:r w:rsidR="00D51E51" w:rsidRPr="00E055F0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 w:rsidR="00D51E51" w:rsidRPr="00D51E51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информацию</w:t>
            </w:r>
            <w:r w:rsidR="00D51E51" w:rsidRPr="00E055F0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, </w:t>
            </w:r>
            <w:r w:rsidR="00D51E51" w:rsidRPr="00D51E51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запрашиваемую</w:t>
            </w:r>
            <w:r w:rsidR="00D51E51" w:rsidRPr="00E055F0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 w:rsidR="00D51E51" w:rsidRPr="00D51E51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в</w:t>
            </w:r>
            <w:r w:rsidR="00D51E51" w:rsidRPr="00E055F0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 w:rsidR="00D51E51" w:rsidRPr="00D51E51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форме</w:t>
            </w:r>
            <w:r w:rsidR="00D51E51" w:rsidRPr="00E055F0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.</w:t>
            </w:r>
            <w:r w:rsidR="00D51E51" w:rsidRPr="00E055F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51E51" w:rsidRPr="00D51E51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Форма</w:t>
            </w:r>
            <w:r w:rsidR="00D51E51" w:rsidRPr="006626E7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4972F8" w:rsidRPr="00D51E51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ICH</w:t>
            </w:r>
            <w:r w:rsidR="004972F8" w:rsidRPr="006626E7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-11</w:t>
            </w:r>
            <w:r w:rsidR="00D51E51" w:rsidRPr="006626E7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D51E51" w:rsidRPr="00D51E51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должна</w:t>
            </w:r>
            <w:r w:rsidR="00D51E51" w:rsidRPr="006626E7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D51E51" w:rsidRPr="00D51E51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быть</w:t>
            </w:r>
            <w:r w:rsidR="00D51E51" w:rsidRPr="006626E7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D51E51" w:rsidRPr="00D51E51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заполнена</w:t>
            </w:r>
            <w:r w:rsidR="00D51E51" w:rsidRPr="006626E7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D51E51" w:rsidRPr="00D51E51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онлайн</w:t>
            </w:r>
            <w:r w:rsidR="00D51E51" w:rsidRPr="006626E7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D51E51" w:rsidRPr="00D51E51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каждым</w:t>
            </w:r>
            <w:r w:rsidR="00D51E51" w:rsidRPr="006626E7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D51E51" w:rsidRPr="00D51E51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государством</w:t>
            </w:r>
            <w:r w:rsidR="00D51E51" w:rsidRPr="006626E7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-</w:t>
            </w:r>
            <w:r w:rsidR="00D51E51" w:rsidRPr="00D51E51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участником</w:t>
            </w:r>
            <w:r w:rsidR="004972F8" w:rsidRPr="006626E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626E7" w:rsidRPr="006626E7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(</w:t>
            </w:r>
            <w:hyperlink r:id="rId22" w:history="1">
              <w:r w:rsidR="006626E7" w:rsidRPr="000A2E3E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en-GB"/>
                </w:rPr>
                <w:t>https</w:t>
              </w:r>
              <w:r w:rsidR="006626E7" w:rsidRPr="006626E7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ru-RU"/>
                </w:rPr>
                <w:t>://</w:t>
              </w:r>
              <w:r w:rsidR="006626E7" w:rsidRPr="000A2E3E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en-GB"/>
                </w:rPr>
                <w:t>ich</w:t>
              </w:r>
              <w:r w:rsidR="006626E7" w:rsidRPr="006626E7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ru-RU"/>
                </w:rPr>
                <w:t>.</w:t>
              </w:r>
              <w:r w:rsidR="006626E7" w:rsidRPr="000A2E3E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en-GB"/>
                </w:rPr>
                <w:t>unesco</w:t>
              </w:r>
              <w:r w:rsidR="006626E7" w:rsidRPr="006626E7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ru-RU"/>
                </w:rPr>
                <w:t>.</w:t>
              </w:r>
              <w:r w:rsidR="006626E7" w:rsidRPr="000A2E3E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en-GB"/>
                </w:rPr>
                <w:t>org</w:t>
              </w:r>
              <w:r w:rsidR="006626E7" w:rsidRPr="006626E7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ru-RU"/>
                </w:rPr>
                <w:t>/</w:t>
              </w:r>
            </w:hyperlink>
            <w:r w:rsidR="006626E7" w:rsidRPr="006626E7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); </w:t>
            </w:r>
            <w:r w:rsidR="006626E7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эта</w:t>
            </w:r>
            <w:r w:rsidR="006626E7" w:rsidRPr="006626E7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 w:rsidR="006626E7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форма</w:t>
            </w:r>
            <w:r w:rsidR="006626E7" w:rsidRPr="006626E7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 w:rsidR="006626E7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с</w:t>
            </w:r>
            <w:r w:rsidR="006626E7" w:rsidRPr="006626E7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 w:rsidR="00CC55CC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надлежаще</w:t>
            </w:r>
            <w:r w:rsidR="006626E7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й</w:t>
            </w:r>
            <w:r w:rsidR="006626E7" w:rsidRPr="006626E7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 w:rsidR="006626E7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периодичностью</w:t>
            </w:r>
            <w:r w:rsidR="006626E7" w:rsidRPr="006626E7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 w:rsidR="006626E7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пересматривается</w:t>
            </w:r>
            <w:r w:rsidR="006626E7" w:rsidRPr="006626E7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 w:rsidR="006626E7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Секретариатом.</w:t>
            </w:r>
            <w:r w:rsidR="006626E7" w:rsidRPr="006626E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D51E51">
              <w:rPr>
                <w:rFonts w:ascii="Arial" w:hAnsi="Arial" w:cs="Arial"/>
                <w:sz w:val="22"/>
                <w:szCs w:val="22"/>
                <w:lang w:val="ru-RU"/>
              </w:rPr>
              <w:t>При включении элемента в Список Комитет может в каждом конкретном случае устанавливать особый график представления докладов, который заменит обычный четырёхлетний цикл.</w:t>
            </w:r>
          </w:p>
        </w:tc>
      </w:tr>
      <w:tr w:rsidR="004972F8" w:rsidRPr="008B5C8B" w:rsidTr="004972F8">
        <w:trPr>
          <w:cantSplit/>
        </w:trPr>
        <w:tc>
          <w:tcPr>
            <w:tcW w:w="250" w:type="pct"/>
            <w:gridSpan w:val="2"/>
            <w:shd w:val="clear" w:color="auto" w:fill="auto"/>
          </w:tcPr>
          <w:p w:rsidR="004972F8" w:rsidRPr="00A1056C" w:rsidRDefault="004972F8" w:rsidP="00D5134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162</w:t>
            </w:r>
            <w:r w:rsidRPr="00A1056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2342" w:type="pct"/>
            <w:gridSpan w:val="2"/>
            <w:shd w:val="clear" w:color="auto" w:fill="auto"/>
          </w:tcPr>
          <w:p w:rsidR="004972F8" w:rsidRPr="0003715C" w:rsidRDefault="0003715C" w:rsidP="00D5134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Государство</w:t>
            </w:r>
            <w:r w:rsidRPr="0003715C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</w:t>
            </w:r>
            <w:r w:rsidRPr="000371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должно</w:t>
            </w:r>
            <w:r w:rsidRPr="000371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уделять</w:t>
            </w:r>
            <w:r w:rsidRPr="000371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особое</w:t>
            </w:r>
            <w:r w:rsidRPr="000371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внимание</w:t>
            </w:r>
            <w:r w:rsidRPr="000371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роли</w:t>
            </w:r>
            <w:r w:rsidRPr="000371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гендерного</w:t>
            </w:r>
            <w:r w:rsidRPr="000371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фактора</w:t>
            </w:r>
            <w:r w:rsidRPr="000371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0371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сообщать</w:t>
            </w:r>
            <w:r w:rsidRPr="000371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0371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нынешнем</w:t>
            </w:r>
            <w:r w:rsidRPr="000371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состоянии</w:t>
            </w:r>
            <w:r w:rsidRPr="000371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элемента</w:t>
            </w:r>
            <w:r w:rsidRPr="0003715C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включая</w:t>
            </w:r>
            <w:r w:rsidR="004972F8" w:rsidRPr="0003715C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4972F8" w:rsidRPr="0003715C" w:rsidRDefault="0003715C" w:rsidP="004972F8">
            <w:pPr>
              <w:numPr>
                <w:ilvl w:val="0"/>
                <w:numId w:val="21"/>
              </w:numPr>
              <w:spacing w:before="120" w:after="120"/>
              <w:ind w:left="493" w:hanging="49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его социальные и культурные функции</w:t>
            </w:r>
            <w:r w:rsidR="004972F8" w:rsidRPr="0003715C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4972F8" w:rsidRPr="0003715C" w:rsidRDefault="0003715C" w:rsidP="004972F8">
            <w:pPr>
              <w:numPr>
                <w:ilvl w:val="0"/>
                <w:numId w:val="21"/>
              </w:numPr>
              <w:spacing w:before="120" w:after="120"/>
              <w:ind w:left="493" w:hanging="49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оценку</w:t>
            </w:r>
            <w:r w:rsidRPr="000371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его</w:t>
            </w:r>
            <w:r w:rsidRPr="000371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жизнеспособности</w:t>
            </w:r>
            <w:r w:rsidRPr="000371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0371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опасностей</w:t>
            </w:r>
            <w:r w:rsidRPr="0003715C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грозящих</w:t>
            </w:r>
            <w:r w:rsidRPr="000371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ему</w:t>
            </w:r>
            <w:r w:rsidRPr="000371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0371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настоящее время</w:t>
            </w:r>
            <w:r w:rsidR="004972F8" w:rsidRPr="0003715C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4972F8" w:rsidRPr="00200A04" w:rsidRDefault="0003715C" w:rsidP="004972F8">
            <w:pPr>
              <w:numPr>
                <w:ilvl w:val="0"/>
                <w:numId w:val="21"/>
              </w:numPr>
              <w:spacing w:before="120" w:after="120"/>
              <w:ind w:left="493" w:hanging="49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результаты</w:t>
            </w:r>
            <w:r w:rsidRPr="00200A0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усилий</w:t>
            </w:r>
            <w:r w:rsidRPr="00200A0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200A0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охране</w:t>
            </w:r>
            <w:r w:rsidRPr="00200A0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элемента</w:t>
            </w:r>
            <w:r w:rsidRPr="00200A04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200A0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частности</w:t>
            </w:r>
            <w:r w:rsidRPr="00200A0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осуществления</w:t>
            </w:r>
            <w:r w:rsidRPr="00200A0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плана</w:t>
            </w:r>
            <w:r w:rsidRPr="00200A0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200A0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охране</w:t>
            </w:r>
            <w:r w:rsidRPr="00200A04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который</w:t>
            </w:r>
            <w:r w:rsidRPr="00200A0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был</w:t>
            </w:r>
            <w:r w:rsidRPr="00200A0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представлен</w:t>
            </w:r>
            <w:r w:rsidRPr="00200A0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</w:t>
            </w:r>
            <w:r w:rsidRPr="00200A0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время</w:t>
            </w:r>
            <w:r w:rsidRPr="00200A0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подачи</w:t>
            </w:r>
            <w:r w:rsidRPr="00200A0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номинации</w:t>
            </w:r>
            <w:r w:rsidR="004972F8" w:rsidRPr="00200A04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4972F8" w:rsidRPr="00200A04" w:rsidRDefault="00200A04" w:rsidP="00200A04">
            <w:pPr>
              <w:numPr>
                <w:ilvl w:val="0"/>
                <w:numId w:val="21"/>
              </w:numPr>
              <w:spacing w:before="120" w:after="120"/>
              <w:ind w:left="493" w:hanging="49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участие</w:t>
            </w:r>
            <w:r w:rsidRPr="00200A0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сообществ</w:t>
            </w:r>
            <w:r w:rsidRPr="00200A04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групп</w:t>
            </w:r>
            <w:r w:rsidRPr="00200A0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200A0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отдельных</w:t>
            </w:r>
            <w:r w:rsidRPr="00200A0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лиц</w:t>
            </w:r>
            <w:r w:rsidRPr="00200A04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  <w:r w:rsidRPr="00200A0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также</w:t>
            </w:r>
            <w:r w:rsidRPr="00200A0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соответствующих</w:t>
            </w:r>
            <w:r w:rsidRPr="00200A0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неправительственных</w:t>
            </w:r>
            <w:r w:rsidRPr="00200A0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организаций</w:t>
            </w:r>
            <w:r w:rsidRPr="00200A0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200A0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охране</w:t>
            </w:r>
            <w:r w:rsidRPr="00200A0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элемента</w:t>
            </w:r>
            <w:r w:rsidRPr="00200A0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200A0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их</w:t>
            </w:r>
            <w:r w:rsidRPr="00200A0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постоянную</w:t>
            </w:r>
            <w:r w:rsidRPr="00200A0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приверженность</w:t>
            </w:r>
            <w:r w:rsidRPr="00200A0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делу</w:t>
            </w:r>
            <w:r w:rsidRPr="00200A0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его</w:t>
            </w:r>
            <w:r w:rsidRPr="00200A0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дальнейшей</w:t>
            </w:r>
            <w:r w:rsidRPr="00200A0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охраны</w:t>
            </w:r>
            <w:r w:rsidRPr="00200A04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250" w:type="pct"/>
          </w:tcPr>
          <w:p w:rsidR="004972F8" w:rsidRPr="00BA4171" w:rsidRDefault="004972F8" w:rsidP="00D5134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162</w:t>
            </w:r>
            <w:r w:rsidRPr="00BA4171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2158" w:type="pct"/>
          </w:tcPr>
          <w:p w:rsidR="004972F8" w:rsidRPr="00A166FF" w:rsidRDefault="00A166FF" w:rsidP="00D5134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Государство</w:t>
            </w:r>
            <w:r w:rsidRPr="00A166FF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</w:t>
            </w:r>
            <w:r w:rsidRPr="00A166F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должно</w:t>
            </w:r>
            <w:r w:rsidRPr="00A166F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уделять</w:t>
            </w:r>
            <w:r w:rsidRPr="00A166F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особое</w:t>
            </w:r>
            <w:r w:rsidRPr="00A166F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внимание</w:t>
            </w:r>
            <w:r w:rsidRPr="00A166F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роли</w:t>
            </w:r>
            <w:r w:rsidRPr="00A166F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гендерного</w:t>
            </w:r>
            <w:r w:rsidRPr="00A166F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фактора</w:t>
            </w:r>
            <w:r w:rsidRPr="00A166F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A166F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сообщать</w:t>
            </w:r>
            <w:r w:rsidRPr="00A166F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A166F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нынешнем</w:t>
            </w:r>
            <w:r w:rsidRPr="00A166F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состоянии</w:t>
            </w:r>
            <w:r w:rsidRPr="00A166F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элемента</w:t>
            </w:r>
            <w:r w:rsidRPr="00A166FF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включая</w:t>
            </w:r>
            <w:r w:rsidR="004972F8" w:rsidRPr="00A166FF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4972F8" w:rsidRPr="00D94A1A" w:rsidRDefault="00A166FF" w:rsidP="004972F8">
            <w:pPr>
              <w:pStyle w:val="ListParagraph"/>
              <w:numPr>
                <w:ilvl w:val="0"/>
                <w:numId w:val="23"/>
              </w:numPr>
              <w:spacing w:before="120" w:after="120"/>
              <w:ind w:left="493" w:hanging="493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его социальные и культурные функции</w:t>
            </w:r>
            <w:r w:rsidR="004972F8" w:rsidRPr="00D94A1A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4972F8" w:rsidRPr="00D94A1A" w:rsidRDefault="00D94A1A" w:rsidP="004972F8">
            <w:pPr>
              <w:pStyle w:val="ListParagraph"/>
              <w:numPr>
                <w:ilvl w:val="0"/>
                <w:numId w:val="23"/>
              </w:numPr>
              <w:spacing w:before="120" w:after="120"/>
              <w:ind w:left="493" w:hanging="493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оценку</w:t>
            </w:r>
            <w:r w:rsidRPr="00D94A1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его</w:t>
            </w:r>
            <w:r w:rsidRPr="00D94A1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жизнеспособности</w:t>
            </w:r>
            <w:r w:rsidRPr="00D94A1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D94A1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опасностей</w:t>
            </w:r>
            <w:r w:rsidRPr="00D94A1A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грозящих</w:t>
            </w:r>
            <w:r w:rsidRPr="00D94A1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ему</w:t>
            </w:r>
            <w:r w:rsidRPr="00D94A1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D94A1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настоящее время</w:t>
            </w:r>
            <w:r w:rsidR="004972F8" w:rsidRPr="00D94A1A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4972F8" w:rsidRPr="009F5035" w:rsidRDefault="00D94A1A" w:rsidP="004972F8">
            <w:pPr>
              <w:pStyle w:val="ListParagraph"/>
              <w:numPr>
                <w:ilvl w:val="0"/>
                <w:numId w:val="23"/>
              </w:numPr>
              <w:spacing w:before="120" w:after="120"/>
              <w:ind w:left="493" w:hanging="493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результаты</w:t>
            </w:r>
            <w:r w:rsidRPr="009F50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усилий</w:t>
            </w:r>
            <w:r w:rsidRPr="009F50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9F50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охране</w:t>
            </w:r>
            <w:r w:rsidRPr="009F50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элемента</w:t>
            </w:r>
            <w:r w:rsidRPr="009F5035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9F50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частности</w:t>
            </w:r>
            <w:r w:rsidRPr="009F50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осуществления</w:t>
            </w:r>
            <w:r w:rsidRPr="009F50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плана</w:t>
            </w:r>
            <w:r w:rsidRPr="009F50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9F50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охране</w:t>
            </w:r>
            <w:r w:rsidRPr="009F5035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который</w:t>
            </w:r>
            <w:r w:rsidRPr="009F50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был</w:t>
            </w:r>
            <w:r w:rsidRPr="009F50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представлен</w:t>
            </w:r>
            <w:r w:rsidRPr="009F50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</w:t>
            </w:r>
            <w:r w:rsidRPr="009F50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время</w:t>
            </w:r>
            <w:r w:rsidRPr="009F50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подачи</w:t>
            </w:r>
            <w:r w:rsidRPr="009F50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номинации</w:t>
            </w:r>
            <w:r w:rsidR="004972F8" w:rsidRPr="009F5035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4972F8" w:rsidRPr="00A166FF" w:rsidRDefault="005E4160" w:rsidP="004972F8">
            <w:pPr>
              <w:pStyle w:val="ListParagraph"/>
              <w:numPr>
                <w:ilvl w:val="0"/>
                <w:numId w:val="23"/>
              </w:numPr>
              <w:spacing w:before="120" w:after="120"/>
              <w:ind w:left="493" w:hanging="493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обновление</w:t>
            </w:r>
            <w:r w:rsidRPr="00A166FF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плана</w:t>
            </w:r>
            <w:r w:rsidRPr="00A166FF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по</w:t>
            </w:r>
            <w:r w:rsidRPr="00A166FF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охране</w:t>
            </w:r>
            <w:r w:rsidRPr="00A166FF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который</w:t>
            </w:r>
            <w:r w:rsidRPr="00A166FF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был</w:t>
            </w:r>
            <w:r w:rsidRPr="00A166FF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включён</w:t>
            </w:r>
            <w:r w:rsidRPr="00A166FF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в</w:t>
            </w:r>
            <w:r w:rsidRPr="00A166FF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номинационное</w:t>
            </w:r>
            <w:proofErr w:type="spellEnd"/>
            <w:r w:rsidRPr="00A166FF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досье</w:t>
            </w:r>
            <w:r w:rsidRPr="00A166FF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или</w:t>
            </w:r>
            <w:r w:rsidRPr="00A166FF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предыдущий</w:t>
            </w:r>
            <w:r w:rsidRPr="00A166FF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доклад</w:t>
            </w:r>
            <w:r w:rsidR="004972F8" w:rsidRPr="00A166FF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;</w:t>
            </w:r>
          </w:p>
          <w:p w:rsidR="004972F8" w:rsidRPr="00F97F15" w:rsidRDefault="00A166FF" w:rsidP="00A166FF">
            <w:pPr>
              <w:pStyle w:val="ListParagraph"/>
              <w:numPr>
                <w:ilvl w:val="0"/>
                <w:numId w:val="23"/>
              </w:numPr>
              <w:spacing w:before="120" w:after="120"/>
              <w:ind w:left="493" w:hanging="493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5A4E50">
              <w:rPr>
                <w:rFonts w:ascii="Arial" w:hAnsi="Arial" w:cs="Arial"/>
                <w:sz w:val="22"/>
                <w:szCs w:val="22"/>
                <w:lang w:val="ru-RU"/>
              </w:rPr>
              <w:t>участие сообществ, групп и отдельных лиц, а также соответствующих неправительственных организаций в охране элемента и их постоянную приверженность делу его дальнейшей охраны</w:t>
            </w:r>
            <w:r w:rsidRPr="00F97F15">
              <w:rPr>
                <w:rFonts w:ascii="Arial" w:hAnsi="Arial" w:cs="Arial"/>
                <w:bCs/>
                <w:sz w:val="22"/>
                <w:szCs w:val="22"/>
                <w:lang w:val="ru-RU"/>
              </w:rPr>
              <w:t>.</w:t>
            </w:r>
          </w:p>
        </w:tc>
      </w:tr>
      <w:tr w:rsidR="004972F8" w:rsidRPr="00BA4171" w:rsidTr="004972F8">
        <w:trPr>
          <w:cantSplit/>
        </w:trPr>
        <w:tc>
          <w:tcPr>
            <w:tcW w:w="250" w:type="pct"/>
            <w:gridSpan w:val="2"/>
            <w:shd w:val="clear" w:color="auto" w:fill="auto"/>
          </w:tcPr>
          <w:p w:rsidR="004972F8" w:rsidRPr="00A1056C" w:rsidRDefault="004972F8" w:rsidP="00D5134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163</w:t>
            </w:r>
            <w:r w:rsidRPr="00A1056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2342" w:type="pct"/>
            <w:gridSpan w:val="2"/>
            <w:shd w:val="clear" w:color="auto" w:fill="auto"/>
          </w:tcPr>
          <w:p w:rsidR="004972F8" w:rsidRPr="009F5035" w:rsidRDefault="009F5035" w:rsidP="00D5134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Государство</w:t>
            </w:r>
            <w:r w:rsidRPr="009F5035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</w:t>
            </w:r>
            <w:r w:rsidRPr="009F50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сообщает</w:t>
            </w:r>
            <w:r w:rsidRPr="009F50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</w:t>
            </w:r>
            <w:r w:rsidRPr="009F50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институциональном</w:t>
            </w:r>
            <w:r w:rsidRPr="009F50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контексте</w:t>
            </w:r>
            <w:r w:rsidRPr="009F50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охраны</w:t>
            </w:r>
            <w:r w:rsidRPr="009F50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внесённого</w:t>
            </w:r>
            <w:r w:rsidRPr="009F50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9F50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Список</w:t>
            </w:r>
            <w:r w:rsidRPr="009F50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элемента</w:t>
            </w:r>
            <w:r w:rsidRPr="009F5035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включая</w:t>
            </w:r>
            <w:r w:rsidR="004972F8" w:rsidRPr="009F5035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4972F8" w:rsidRPr="009F5035" w:rsidRDefault="009F5035" w:rsidP="004972F8">
            <w:pPr>
              <w:numPr>
                <w:ilvl w:val="0"/>
                <w:numId w:val="22"/>
              </w:numPr>
              <w:spacing w:before="120" w:after="120"/>
              <w:ind w:left="656" w:hanging="656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наличие</w:t>
            </w:r>
            <w:r w:rsidRPr="009F50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компетентного</w:t>
            </w:r>
            <w:r w:rsidRPr="009F50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органа</w:t>
            </w:r>
            <w:r w:rsidRPr="009F5035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компетентных</w:t>
            </w:r>
            <w:r w:rsidRPr="009F50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органов</w:t>
            </w:r>
            <w:r w:rsidRPr="009F5035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, занимающегося (занимающихся) его охраной</w:t>
            </w:r>
            <w:r w:rsidR="004972F8" w:rsidRPr="009F5035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4972F8" w:rsidRPr="009F5035" w:rsidRDefault="009F5035" w:rsidP="004765DD">
            <w:pPr>
              <w:numPr>
                <w:ilvl w:val="0"/>
                <w:numId w:val="22"/>
              </w:numPr>
              <w:spacing w:before="120" w:after="120"/>
              <w:ind w:left="656" w:hanging="656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наличие</w:t>
            </w:r>
            <w:r w:rsidRPr="009F50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организации</w:t>
            </w:r>
            <w:r w:rsidRPr="009F5035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организаций</w:t>
            </w:r>
            <w:r w:rsidRPr="009F5035">
              <w:rPr>
                <w:rFonts w:ascii="Arial" w:hAnsi="Arial" w:cs="Arial"/>
                <w:sz w:val="22"/>
                <w:szCs w:val="22"/>
                <w:lang w:val="ru-RU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заинтересованного</w:t>
            </w:r>
            <w:r w:rsidRPr="009F50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сообщества</w:t>
            </w:r>
            <w:r w:rsidRPr="009F50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или</w:t>
            </w:r>
            <w:r w:rsidRPr="009F50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группы</w:t>
            </w:r>
            <w:r w:rsidRPr="009F5035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занимающейся</w:t>
            </w:r>
            <w:r w:rsidRPr="009F5035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занимающихся) вопросами, связанными </w:t>
            </w:r>
            <w:r w:rsidR="004765DD">
              <w:rPr>
                <w:rFonts w:ascii="Arial" w:hAnsi="Arial" w:cs="Arial"/>
                <w:sz w:val="22"/>
                <w:szCs w:val="22"/>
                <w:lang w:val="ru-RU"/>
              </w:rPr>
              <w:t>с этим элементом и его охраной</w:t>
            </w:r>
            <w:r w:rsidR="004972F8" w:rsidRPr="009F503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250" w:type="pct"/>
          </w:tcPr>
          <w:p w:rsidR="004972F8" w:rsidRPr="00BA4171" w:rsidRDefault="004972F8" w:rsidP="00D5134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163</w:t>
            </w:r>
            <w:r w:rsidRPr="00BA4171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2158" w:type="pct"/>
          </w:tcPr>
          <w:p w:rsidR="004972F8" w:rsidRPr="00BA4171" w:rsidRDefault="007D6969" w:rsidP="007D696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Без изменений</w:t>
            </w:r>
            <w:r w:rsidR="004972F8" w:rsidRPr="00BA4171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4972F8" w:rsidRPr="00BA4171" w:rsidTr="004972F8">
        <w:trPr>
          <w:cantSplit/>
        </w:trPr>
        <w:tc>
          <w:tcPr>
            <w:tcW w:w="250" w:type="pct"/>
            <w:gridSpan w:val="2"/>
            <w:shd w:val="clear" w:color="auto" w:fill="auto"/>
          </w:tcPr>
          <w:p w:rsidR="004972F8" w:rsidRPr="00A1056C" w:rsidRDefault="004972F8" w:rsidP="00D5134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164</w:t>
            </w:r>
            <w:r w:rsidRPr="00A1056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2342" w:type="pct"/>
            <w:gridSpan w:val="2"/>
            <w:shd w:val="clear" w:color="auto" w:fill="auto"/>
          </w:tcPr>
          <w:p w:rsidR="004972F8" w:rsidRPr="006F5F9A" w:rsidRDefault="006F5F9A" w:rsidP="006F5F9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Государства</w:t>
            </w:r>
            <w:r w:rsidRPr="006F5F9A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участники</w:t>
            </w:r>
            <w:r w:rsidRPr="006F5F9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своевременно</w:t>
            </w:r>
            <w:r w:rsidRPr="006F5F9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отвечают</w:t>
            </w:r>
            <w:r w:rsidRPr="006F5F9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6F5F9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направленные</w:t>
            </w:r>
            <w:r w:rsidRPr="006F5F9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им</w:t>
            </w:r>
            <w:r w:rsidRPr="006F5F9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Комитетом</w:t>
            </w:r>
            <w:r w:rsidRPr="006F5F9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конкретные</w:t>
            </w:r>
            <w:r w:rsidRPr="006F5F9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запросы</w:t>
            </w:r>
            <w:r w:rsidRPr="006F5F9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6F5F9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представлении</w:t>
            </w:r>
            <w:r w:rsidRPr="006F5F9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дополнительной</w:t>
            </w:r>
            <w:r w:rsidRPr="006F5F9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информации</w:t>
            </w:r>
            <w:r w:rsidRPr="006F5F9A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если</w:t>
            </w:r>
            <w:r w:rsidRPr="006F5F9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таковая</w:t>
            </w:r>
            <w:r w:rsidRPr="006F5F9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потребуется</w:t>
            </w:r>
            <w:r w:rsidRPr="006F5F9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6F5F9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период</w:t>
            </w:r>
            <w:r w:rsidRPr="006F5F9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между</w:t>
            </w:r>
            <w:r w:rsidRPr="006F5F9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сроками</w:t>
            </w:r>
            <w:r w:rsidRPr="006F5F9A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установленными</w:t>
            </w:r>
            <w:r w:rsidRPr="006F5F9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6F5F9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пункте</w:t>
            </w:r>
            <w:r w:rsidRPr="006F5F9A">
              <w:rPr>
                <w:rFonts w:ascii="Arial" w:hAnsi="Arial" w:cs="Arial"/>
                <w:sz w:val="22"/>
                <w:szCs w:val="22"/>
                <w:lang w:val="ru-RU"/>
              </w:rPr>
              <w:t xml:space="preserve"> 161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выше</w:t>
            </w:r>
            <w:r w:rsidRPr="006F5F9A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250" w:type="pct"/>
          </w:tcPr>
          <w:p w:rsidR="004972F8" w:rsidRPr="00BA4171" w:rsidRDefault="004972F8" w:rsidP="00D5134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164</w:t>
            </w:r>
            <w:r w:rsidRPr="00BA4171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2158" w:type="pct"/>
          </w:tcPr>
          <w:p w:rsidR="004972F8" w:rsidRPr="00BA4171" w:rsidRDefault="007D6969" w:rsidP="007D696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Без</w:t>
            </w:r>
            <w:r w:rsidRPr="006F5F9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изменений</w:t>
            </w:r>
            <w:r w:rsidR="004972F8" w:rsidRPr="00BA4171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4972F8" w:rsidRPr="00BA4171" w:rsidTr="004972F8">
        <w:trPr>
          <w:cantSplit/>
        </w:trPr>
        <w:tc>
          <w:tcPr>
            <w:tcW w:w="250" w:type="pct"/>
            <w:gridSpan w:val="2"/>
            <w:shd w:val="clear" w:color="auto" w:fill="auto"/>
          </w:tcPr>
          <w:p w:rsidR="004972F8" w:rsidRPr="00B36C17" w:rsidRDefault="004972F8" w:rsidP="00D5134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V.3</w:t>
            </w:r>
          </w:p>
        </w:tc>
        <w:tc>
          <w:tcPr>
            <w:tcW w:w="2342" w:type="pct"/>
            <w:gridSpan w:val="2"/>
            <w:shd w:val="clear" w:color="auto" w:fill="auto"/>
          </w:tcPr>
          <w:p w:rsidR="004972F8" w:rsidRPr="00E717A3" w:rsidRDefault="00496677" w:rsidP="00496677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Получение и обработка докладов</w:t>
            </w:r>
          </w:p>
        </w:tc>
        <w:tc>
          <w:tcPr>
            <w:tcW w:w="250" w:type="pct"/>
          </w:tcPr>
          <w:p w:rsidR="004972F8" w:rsidRPr="00B36C17" w:rsidRDefault="004972F8" w:rsidP="00D5134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V.3</w:t>
            </w:r>
          </w:p>
        </w:tc>
        <w:tc>
          <w:tcPr>
            <w:tcW w:w="2158" w:type="pct"/>
          </w:tcPr>
          <w:p w:rsidR="004972F8" w:rsidRPr="00B36C17" w:rsidRDefault="007D6969" w:rsidP="007D696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Без изменений</w:t>
            </w:r>
            <w:r w:rsidR="004972F8" w:rsidRPr="00B36C17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4972F8" w:rsidRPr="00385AED" w:rsidTr="004972F8">
        <w:trPr>
          <w:cantSplit/>
        </w:trPr>
        <w:tc>
          <w:tcPr>
            <w:tcW w:w="250" w:type="pct"/>
            <w:gridSpan w:val="2"/>
            <w:shd w:val="clear" w:color="auto" w:fill="auto"/>
          </w:tcPr>
          <w:p w:rsidR="004972F8" w:rsidRPr="00A1056C" w:rsidRDefault="004972F8" w:rsidP="00D5134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165</w:t>
            </w:r>
            <w:r w:rsidRPr="00A1056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2342" w:type="pct"/>
            <w:gridSpan w:val="2"/>
            <w:shd w:val="clear" w:color="auto" w:fill="auto"/>
          </w:tcPr>
          <w:p w:rsidR="004972F8" w:rsidRPr="00496677" w:rsidRDefault="00496677" w:rsidP="0049667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получению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отчётных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докладов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участников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Секретариат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регистрирует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подтверждает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их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получение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4966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случае</w:t>
            </w:r>
            <w:r w:rsidRPr="0049667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если</w:t>
            </w:r>
            <w:r w:rsidRPr="004966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какой</w:t>
            </w:r>
            <w:r w:rsidRPr="00496677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то</w:t>
            </w:r>
            <w:r w:rsidRPr="004966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доклад</w:t>
            </w:r>
            <w:r w:rsidRPr="004966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поступит</w:t>
            </w:r>
            <w:r w:rsidRPr="004966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4966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неполном</w:t>
            </w:r>
            <w:r w:rsidRPr="004966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виде</w:t>
            </w:r>
            <w:r w:rsidRPr="0049667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государству</w:t>
            </w:r>
            <w:r w:rsidRPr="00496677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участнику</w:t>
            </w:r>
            <w:r w:rsidRPr="004966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будет</w:t>
            </w:r>
            <w:r w:rsidRPr="004966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рекомендовано</w:t>
            </w:r>
            <w:r w:rsidRPr="0049667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каким</w:t>
            </w:r>
            <w:r w:rsidRPr="004966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образом</w:t>
            </w:r>
            <w:r w:rsidRPr="004966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доработать</w:t>
            </w:r>
            <w:r w:rsidRPr="004966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его.</w:t>
            </w:r>
          </w:p>
        </w:tc>
        <w:tc>
          <w:tcPr>
            <w:tcW w:w="250" w:type="pct"/>
          </w:tcPr>
          <w:p w:rsidR="004972F8" w:rsidRPr="00BA4171" w:rsidRDefault="004972F8" w:rsidP="00D5134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165.</w:t>
            </w:r>
          </w:p>
        </w:tc>
        <w:tc>
          <w:tcPr>
            <w:tcW w:w="2158" w:type="pct"/>
          </w:tcPr>
          <w:p w:rsidR="004972F8" w:rsidRPr="00BA4171" w:rsidRDefault="007D6969" w:rsidP="007D696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Без</w:t>
            </w:r>
            <w:r w:rsidRPr="0049667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изменений</w:t>
            </w:r>
            <w:r w:rsidR="004972F8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4972F8" w:rsidRPr="008B5C8B" w:rsidTr="004972F8">
        <w:trPr>
          <w:cantSplit/>
        </w:trPr>
        <w:tc>
          <w:tcPr>
            <w:tcW w:w="250" w:type="pct"/>
            <w:gridSpan w:val="2"/>
            <w:shd w:val="clear" w:color="auto" w:fill="auto"/>
          </w:tcPr>
          <w:p w:rsidR="004972F8" w:rsidRPr="00A1056C" w:rsidRDefault="004972F8" w:rsidP="00D5134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166</w:t>
            </w:r>
            <w:r w:rsidRPr="00A1056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2342" w:type="pct"/>
            <w:gridSpan w:val="2"/>
            <w:shd w:val="clear" w:color="auto" w:fill="auto"/>
          </w:tcPr>
          <w:p w:rsidR="004972F8" w:rsidRPr="00BF0058" w:rsidRDefault="00CC02A0" w:rsidP="00BF005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Секретариат</w:t>
            </w:r>
            <w:r w:rsidRPr="00CC02A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направляет</w:t>
            </w:r>
            <w:r w:rsidRPr="00CC02A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Комитету</w:t>
            </w:r>
            <w:r w:rsidRPr="00CC02A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обзор</w:t>
            </w:r>
            <w:r w:rsidRPr="00CC02A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всех</w:t>
            </w:r>
            <w:r w:rsidRPr="00CC02A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полученных</w:t>
            </w:r>
            <w:r w:rsidRPr="00CC02A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докладов</w:t>
            </w:r>
            <w:r w:rsidRPr="00CC02A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</w:t>
            </w:r>
            <w:r w:rsidRPr="00CC02A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четыре</w:t>
            </w:r>
            <w:r w:rsidRPr="00CC02A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недели</w:t>
            </w:r>
            <w:r w:rsidRPr="00CC02A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</w:t>
            </w:r>
            <w:r w:rsidRPr="00CC02A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его сессии. Этот</w:t>
            </w:r>
            <w:r w:rsidRPr="00BF005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обзор</w:t>
            </w:r>
            <w:r w:rsidRPr="00BF005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F0058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BF0058" w:rsidRPr="00BF005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F0058">
              <w:rPr>
                <w:rFonts w:ascii="Arial" w:hAnsi="Arial" w:cs="Arial"/>
                <w:sz w:val="22"/>
                <w:szCs w:val="22"/>
                <w:lang w:val="ru-RU"/>
              </w:rPr>
              <w:t>сами</w:t>
            </w:r>
            <w:r w:rsidR="00BF0058" w:rsidRPr="00BF005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F0058">
              <w:rPr>
                <w:rFonts w:ascii="Arial" w:hAnsi="Arial" w:cs="Arial"/>
                <w:sz w:val="22"/>
                <w:szCs w:val="22"/>
                <w:lang w:val="ru-RU"/>
              </w:rPr>
              <w:t>доклады</w:t>
            </w:r>
            <w:r w:rsidR="00BF0058" w:rsidRPr="00BF005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F0058">
              <w:rPr>
                <w:rFonts w:ascii="Arial" w:hAnsi="Arial" w:cs="Arial"/>
                <w:sz w:val="22"/>
                <w:szCs w:val="22"/>
                <w:lang w:val="ru-RU"/>
              </w:rPr>
              <w:t>также</w:t>
            </w:r>
            <w:r w:rsidR="00BF0058" w:rsidRPr="00BF005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F0058">
              <w:rPr>
                <w:rFonts w:ascii="Arial" w:hAnsi="Arial" w:cs="Arial"/>
                <w:sz w:val="22"/>
                <w:szCs w:val="22"/>
                <w:lang w:val="ru-RU"/>
              </w:rPr>
              <w:t>размещаются</w:t>
            </w:r>
            <w:r w:rsidR="00BF0058" w:rsidRPr="00BF005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F0058">
              <w:rPr>
                <w:rFonts w:ascii="Arial" w:hAnsi="Arial" w:cs="Arial"/>
                <w:sz w:val="22"/>
                <w:szCs w:val="22"/>
                <w:lang w:val="ru-RU"/>
              </w:rPr>
              <w:t>для</w:t>
            </w:r>
            <w:r w:rsidR="00BF0058" w:rsidRPr="00BF005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F0058">
              <w:rPr>
                <w:rFonts w:ascii="Arial" w:hAnsi="Arial" w:cs="Arial"/>
                <w:sz w:val="22"/>
                <w:szCs w:val="22"/>
                <w:lang w:val="ru-RU"/>
              </w:rPr>
              <w:t>ознакомления</w:t>
            </w:r>
            <w:r w:rsidR="00BF0058" w:rsidRPr="00BF005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F0058">
              <w:rPr>
                <w:rFonts w:ascii="Arial" w:hAnsi="Arial" w:cs="Arial"/>
                <w:sz w:val="22"/>
                <w:szCs w:val="22"/>
                <w:lang w:val="ru-RU"/>
              </w:rPr>
              <w:t>онлайн.</w:t>
            </w:r>
          </w:p>
        </w:tc>
        <w:tc>
          <w:tcPr>
            <w:tcW w:w="250" w:type="pct"/>
          </w:tcPr>
          <w:p w:rsidR="004972F8" w:rsidRPr="00BA4171" w:rsidRDefault="004972F8" w:rsidP="00D5134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166</w:t>
            </w:r>
            <w:r w:rsidRPr="00BA4171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2158" w:type="pct"/>
          </w:tcPr>
          <w:p w:rsidR="004972F8" w:rsidRPr="00A77C13" w:rsidRDefault="004D0E1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Секретариат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направляет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Комитету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обзор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всех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полученных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докладов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605155" w:rsidRPr="008B5C8B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в соответствии</w:t>
            </w:r>
            <w:r w:rsidR="00605155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с </w:t>
            </w:r>
            <w:r w:rsidRPr="004D0E12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пункт</w:t>
            </w:r>
            <w:r w:rsidR="00605155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ом</w:t>
            </w:r>
            <w:r w:rsidRPr="00F97F15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152,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83832">
              <w:rPr>
                <w:rFonts w:ascii="Arial" w:hAnsi="Arial" w:cs="Arial"/>
                <w:sz w:val="22"/>
                <w:szCs w:val="22"/>
                <w:lang w:val="ru-RU"/>
              </w:rPr>
              <w:t>четыре</w:t>
            </w:r>
            <w:r w:rsidR="00583832"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83832">
              <w:rPr>
                <w:rFonts w:ascii="Arial" w:hAnsi="Arial" w:cs="Arial"/>
                <w:sz w:val="22"/>
                <w:szCs w:val="22"/>
                <w:lang w:val="ru-RU"/>
              </w:rPr>
              <w:t>недели</w:t>
            </w:r>
            <w:r w:rsidR="00583832"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83832">
              <w:rPr>
                <w:rFonts w:ascii="Arial" w:hAnsi="Arial" w:cs="Arial"/>
                <w:sz w:val="22"/>
                <w:szCs w:val="22"/>
                <w:lang w:val="ru-RU"/>
              </w:rPr>
              <w:t>до</w:t>
            </w:r>
            <w:r w:rsidR="00583832"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83832">
              <w:rPr>
                <w:rFonts w:ascii="Arial" w:hAnsi="Arial" w:cs="Arial"/>
                <w:sz w:val="22"/>
                <w:szCs w:val="22"/>
                <w:lang w:val="ru-RU"/>
              </w:rPr>
              <w:t>его</w:t>
            </w:r>
            <w:r w:rsidR="00583832"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83832">
              <w:rPr>
                <w:rFonts w:ascii="Arial" w:hAnsi="Arial" w:cs="Arial"/>
                <w:sz w:val="22"/>
                <w:szCs w:val="22"/>
                <w:lang w:val="ru-RU"/>
              </w:rPr>
              <w:t>сессии</w:t>
            </w:r>
            <w:r w:rsidR="00583832"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 w:rsidR="00583832">
              <w:rPr>
                <w:rFonts w:ascii="Arial" w:hAnsi="Arial" w:cs="Arial"/>
                <w:sz w:val="22"/>
                <w:szCs w:val="22"/>
                <w:lang w:val="ru-RU"/>
              </w:rPr>
              <w:t>Этот</w:t>
            </w:r>
            <w:r w:rsidR="00583832" w:rsidRPr="00A77C1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83832">
              <w:rPr>
                <w:rFonts w:ascii="Arial" w:hAnsi="Arial" w:cs="Arial"/>
                <w:sz w:val="22"/>
                <w:szCs w:val="22"/>
                <w:lang w:val="ru-RU"/>
              </w:rPr>
              <w:t>обзор</w:t>
            </w:r>
            <w:r w:rsidR="00583832" w:rsidRPr="00A77C1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83832" w:rsidRPr="008E61B4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и</w:t>
            </w:r>
            <w:r w:rsidR="00583832" w:rsidRPr="00A77C13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 w:rsidR="00583832" w:rsidRPr="008E61B4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сами</w:t>
            </w:r>
            <w:r w:rsidR="00583832" w:rsidRPr="00A77C13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 w:rsidR="00583832" w:rsidRPr="008E61B4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доклады</w:t>
            </w:r>
            <w:r w:rsidR="00583832" w:rsidRPr="00A77C1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8E61B4" w:rsidRPr="00A77C13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также размещается онлайн д</w:t>
            </w:r>
            <w:bookmarkStart w:id="0" w:name="_GoBack"/>
            <w:bookmarkEnd w:id="0"/>
            <w:r w:rsidR="008E61B4" w:rsidRPr="00A77C13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ля </w:t>
            </w:r>
            <w:r w:rsidR="005A4E50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общественных</w:t>
            </w:r>
            <w:r w:rsidR="005A4E50" w:rsidRPr="00A77C13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8E61B4" w:rsidRPr="00A77C13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консультаций </w:t>
            </w:r>
            <w:r w:rsidR="00A77C13" w:rsidRPr="00A77C13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вместе с докладами, </w:t>
            </w:r>
            <w:r w:rsidR="00605155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полученными в соответствии с пунктами 152 и 161, </w:t>
            </w:r>
            <w:r w:rsidR="00A77C13" w:rsidRPr="00A77C13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на том языке, на котором они были представлены государствами-участниками, если Комитет не примет иного решения в исключительных случаях.</w:t>
            </w:r>
          </w:p>
        </w:tc>
      </w:tr>
      <w:tr w:rsidR="004972F8" w:rsidRPr="008B5C8B" w:rsidTr="004972F8">
        <w:trPr>
          <w:cantSplit/>
        </w:trPr>
        <w:tc>
          <w:tcPr>
            <w:tcW w:w="250" w:type="pct"/>
            <w:gridSpan w:val="2"/>
            <w:shd w:val="clear" w:color="auto" w:fill="auto"/>
          </w:tcPr>
          <w:p w:rsidR="004972F8" w:rsidRPr="00A1056C" w:rsidRDefault="004972F8" w:rsidP="00D5134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167</w:t>
            </w:r>
            <w:r w:rsidRPr="00A1056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2342" w:type="pct"/>
            <w:gridSpan w:val="2"/>
            <w:shd w:val="clear" w:color="auto" w:fill="auto"/>
          </w:tcPr>
          <w:p w:rsidR="004972F8" w:rsidRPr="008E680C" w:rsidRDefault="008E680C" w:rsidP="008E680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После</w:t>
            </w:r>
            <w:r w:rsidRPr="008E680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сессии</w:t>
            </w:r>
            <w:r w:rsidRPr="008E680C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8E680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которой</w:t>
            </w:r>
            <w:r w:rsidRPr="008E680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доклады</w:t>
            </w:r>
            <w:r w:rsidRPr="008E680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рассматриваются</w:t>
            </w:r>
            <w:r w:rsidRPr="008E680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Комитетом</w:t>
            </w:r>
            <w:r w:rsidRPr="008E680C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они</w:t>
            </w:r>
            <w:r w:rsidRPr="008E680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становятся</w:t>
            </w:r>
            <w:r w:rsidRPr="008E680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доступны</w:t>
            </w:r>
            <w:r w:rsidRPr="008E680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широкой</w:t>
            </w:r>
            <w:r w:rsidRPr="008E680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общественности</w:t>
            </w:r>
            <w:r w:rsidRPr="008E680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для</w:t>
            </w:r>
            <w:r w:rsidRPr="008E680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информации</w:t>
            </w:r>
            <w:r w:rsidRPr="008E680C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если</w:t>
            </w:r>
            <w:r w:rsidRPr="008E680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</w:t>
            </w:r>
            <w:r w:rsidRPr="008E680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</w:t>
            </w:r>
            <w:r w:rsidRPr="008E680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примет</w:t>
            </w:r>
            <w:r w:rsidRPr="008E680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иного</w:t>
            </w:r>
            <w:r w:rsidRPr="008E680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решения</w:t>
            </w:r>
            <w:r w:rsidRPr="008E680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8E680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исключительных</w:t>
            </w:r>
            <w:r w:rsidRPr="008E680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случаях</w:t>
            </w:r>
            <w:r w:rsidRPr="008E680C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250" w:type="pct"/>
          </w:tcPr>
          <w:p w:rsidR="004972F8" w:rsidRPr="00645C14" w:rsidRDefault="004972F8" w:rsidP="00D5134F">
            <w:pPr>
              <w:spacing w:before="120" w:after="120"/>
              <w:jc w:val="right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  <w:r w:rsidRPr="00645C14">
              <w:rPr>
                <w:rFonts w:ascii="Arial" w:hAnsi="Arial" w:cs="Arial"/>
                <w:strike/>
                <w:sz w:val="22"/>
                <w:szCs w:val="22"/>
                <w:lang w:val="en-GB"/>
              </w:rPr>
              <w:t>167.</w:t>
            </w:r>
          </w:p>
        </w:tc>
        <w:tc>
          <w:tcPr>
            <w:tcW w:w="2158" w:type="pct"/>
          </w:tcPr>
          <w:p w:rsidR="004972F8" w:rsidRPr="008E680C" w:rsidRDefault="008E680C" w:rsidP="008E680C">
            <w:pPr>
              <w:spacing w:before="120" w:after="120"/>
              <w:jc w:val="both"/>
              <w:rPr>
                <w:rFonts w:ascii="Arial" w:hAnsi="Arial" w:cs="Arial"/>
                <w:strike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После</w:t>
            </w:r>
            <w:r w:rsidRPr="008E680C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сессии</w:t>
            </w:r>
            <w:r w:rsidRPr="008E680C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на</w:t>
            </w:r>
            <w:r w:rsidRPr="008E680C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которой</w:t>
            </w:r>
            <w:r w:rsidRPr="008E680C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доклады</w:t>
            </w:r>
            <w:r w:rsidRPr="008E680C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рассматриваются</w:t>
            </w:r>
            <w:r w:rsidRPr="008E680C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Комитетом</w:t>
            </w:r>
            <w:r w:rsidRPr="008E680C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они</w:t>
            </w:r>
            <w:r w:rsidRPr="008E680C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становятся</w:t>
            </w:r>
            <w:r w:rsidRPr="008E680C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доступны</w:t>
            </w:r>
            <w:r w:rsidRPr="008E680C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широкой</w:t>
            </w:r>
            <w:r w:rsidRPr="008E680C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общественности</w:t>
            </w:r>
            <w:r w:rsidRPr="008E680C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для</w:t>
            </w:r>
            <w:r w:rsidRPr="008E680C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информации</w:t>
            </w:r>
            <w:r w:rsidRPr="008E680C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если</w:t>
            </w:r>
            <w:r w:rsidRPr="008E680C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Комитет</w:t>
            </w:r>
            <w:r w:rsidRPr="008E680C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не</w:t>
            </w:r>
            <w:r w:rsidRPr="008E680C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примет</w:t>
            </w:r>
            <w:r w:rsidRPr="008E680C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иного</w:t>
            </w:r>
            <w:r w:rsidRPr="008E680C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решения</w:t>
            </w:r>
            <w:r w:rsidRPr="008E680C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в</w:t>
            </w:r>
            <w:r w:rsidRPr="008E680C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исключительных</w:t>
            </w:r>
            <w:r w:rsidRPr="008E680C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случаях.</w:t>
            </w:r>
          </w:p>
        </w:tc>
      </w:tr>
      <w:tr w:rsidR="004972F8" w:rsidRPr="00B36C17" w:rsidTr="004972F8">
        <w:trPr>
          <w:cantSplit/>
        </w:trPr>
        <w:tc>
          <w:tcPr>
            <w:tcW w:w="250" w:type="pct"/>
            <w:gridSpan w:val="2"/>
            <w:shd w:val="clear" w:color="auto" w:fill="auto"/>
          </w:tcPr>
          <w:p w:rsidR="004972F8" w:rsidRPr="0096363C" w:rsidRDefault="004972F8" w:rsidP="00D5134F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6363C">
              <w:rPr>
                <w:rFonts w:ascii="Arial" w:hAnsi="Arial" w:cs="Arial"/>
                <w:b/>
                <w:sz w:val="22"/>
                <w:szCs w:val="22"/>
                <w:lang w:val="en-GB"/>
              </w:rPr>
              <w:t>V.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2342" w:type="pct"/>
            <w:gridSpan w:val="2"/>
            <w:shd w:val="clear" w:color="auto" w:fill="auto"/>
          </w:tcPr>
          <w:p w:rsidR="004972F8" w:rsidRPr="000169AC" w:rsidRDefault="000169AC" w:rsidP="000169AC">
            <w:pPr>
              <w:spacing w:before="120" w:after="120"/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Доклады</w:t>
            </w:r>
            <w:r w:rsidRPr="000169AC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государств</w:t>
            </w:r>
            <w:r w:rsidRPr="000169AC">
              <w:rPr>
                <w:rFonts w:ascii="Arial" w:hAnsi="Arial" w:cs="Arial"/>
                <w:b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lang w:val="ru-RU"/>
              </w:rPr>
              <w:t>не</w:t>
            </w:r>
            <w:r w:rsidRPr="000169AC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являющихся</w:t>
            </w:r>
            <w:r w:rsidRPr="000169AC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участниками</w:t>
            </w:r>
            <w:r w:rsidRPr="000169AC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Конвенции</w:t>
            </w:r>
            <w:r w:rsidRPr="000169AC">
              <w:rPr>
                <w:rFonts w:ascii="Arial" w:hAnsi="Arial" w:cs="Arial"/>
                <w:b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lang w:val="ru-RU"/>
              </w:rPr>
              <w:t>об</w:t>
            </w:r>
            <w:r w:rsidRPr="000169AC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элементах</w:t>
            </w:r>
            <w:r w:rsidRPr="000169AC">
              <w:rPr>
                <w:rFonts w:ascii="Arial" w:hAnsi="Arial" w:cs="Arial"/>
                <w:b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lang w:val="ru-RU"/>
              </w:rPr>
              <w:t>включённых</w:t>
            </w:r>
            <w:r w:rsidRPr="000169AC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в</w:t>
            </w:r>
            <w:r w:rsidRPr="000169AC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Репрезентативный</w:t>
            </w:r>
            <w:r w:rsidRPr="000169AC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список</w:t>
            </w:r>
            <w:r w:rsidRPr="000169AC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нематериального</w:t>
            </w:r>
            <w:r w:rsidRPr="000169AC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культурного</w:t>
            </w:r>
            <w:r w:rsidRPr="000169AC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наследия</w:t>
            </w:r>
            <w:r w:rsidRPr="000169AC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человечества</w:t>
            </w:r>
          </w:p>
        </w:tc>
        <w:tc>
          <w:tcPr>
            <w:tcW w:w="250" w:type="pct"/>
          </w:tcPr>
          <w:p w:rsidR="004972F8" w:rsidRPr="004815DD" w:rsidRDefault="004972F8" w:rsidP="00D5134F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815DD">
              <w:rPr>
                <w:rFonts w:ascii="Arial" w:hAnsi="Arial" w:cs="Arial"/>
                <w:b/>
                <w:sz w:val="22"/>
                <w:szCs w:val="22"/>
                <w:lang w:val="en-GB"/>
              </w:rPr>
              <w:t>V.4</w:t>
            </w:r>
          </w:p>
        </w:tc>
        <w:tc>
          <w:tcPr>
            <w:tcW w:w="2158" w:type="pct"/>
          </w:tcPr>
          <w:p w:rsidR="004972F8" w:rsidRPr="00B36C17" w:rsidRDefault="007D6969" w:rsidP="003134B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Без изменений</w:t>
            </w:r>
            <w:r w:rsidR="004972F8" w:rsidRPr="00B36C17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4972F8" w:rsidRPr="008B5C8B" w:rsidTr="004972F8">
        <w:trPr>
          <w:cantSplit/>
        </w:trPr>
        <w:tc>
          <w:tcPr>
            <w:tcW w:w="250" w:type="pct"/>
            <w:gridSpan w:val="2"/>
            <w:shd w:val="clear" w:color="auto" w:fill="auto"/>
          </w:tcPr>
          <w:p w:rsidR="004972F8" w:rsidRPr="00A1056C" w:rsidRDefault="004972F8" w:rsidP="00D5134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168</w:t>
            </w:r>
            <w:r w:rsidRPr="00A1056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2342" w:type="pct"/>
            <w:gridSpan w:val="2"/>
            <w:shd w:val="clear" w:color="auto" w:fill="auto"/>
          </w:tcPr>
          <w:p w:rsidR="004972F8" w:rsidRPr="00076924" w:rsidRDefault="00076924" w:rsidP="0007692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Положения</w:t>
            </w:r>
            <w:r w:rsidRPr="0007692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пунктов</w:t>
            </w:r>
            <w:r w:rsidRPr="0007692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972F8" w:rsidRPr="00076924">
              <w:rPr>
                <w:rFonts w:ascii="Arial" w:hAnsi="Arial" w:cs="Arial"/>
                <w:sz w:val="22"/>
                <w:szCs w:val="22"/>
                <w:lang w:val="ru-RU"/>
              </w:rPr>
              <w:t xml:space="preserve">157–159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4972F8" w:rsidRPr="00076924">
              <w:rPr>
                <w:rFonts w:ascii="Arial" w:hAnsi="Arial" w:cs="Arial"/>
                <w:sz w:val="22"/>
                <w:szCs w:val="22"/>
                <w:lang w:val="ru-RU"/>
              </w:rPr>
              <w:t xml:space="preserve"> 165–167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настоящего</w:t>
            </w:r>
            <w:r w:rsidRPr="0007692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Оперативного</w:t>
            </w:r>
            <w:r w:rsidRPr="0007692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руководства</w:t>
            </w:r>
            <w:r w:rsidRPr="0007692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07692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полном</w:t>
            </w:r>
            <w:r w:rsidRPr="0007692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объёме</w:t>
            </w:r>
            <w:r w:rsidRPr="0007692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распространяются</w:t>
            </w:r>
            <w:r w:rsidRPr="0007692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07692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государства</w:t>
            </w:r>
            <w:r w:rsidRPr="00076924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</w:t>
            </w:r>
            <w:r w:rsidRPr="0007692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являющиеся</w:t>
            </w:r>
            <w:r w:rsidRPr="0007692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участниками</w:t>
            </w:r>
            <w:r w:rsidRPr="0007692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Конвенции</w:t>
            </w:r>
            <w:r w:rsidRPr="00076924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которые</w:t>
            </w:r>
            <w:r w:rsidRPr="0007692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имеют</w:t>
            </w:r>
            <w:r w:rsidRPr="0007692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07692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своей</w:t>
            </w:r>
            <w:r w:rsidRPr="0007692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территории</w:t>
            </w:r>
            <w:r w:rsidRPr="0007692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провозглашённые</w:t>
            </w:r>
            <w:r w:rsidRPr="0007692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Шедевры</w:t>
            </w:r>
            <w:r w:rsidRPr="00076924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включённые</w:t>
            </w:r>
            <w:r w:rsidRPr="0007692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07692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Репрезентативный</w:t>
            </w:r>
            <w:r w:rsidRPr="0007692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список</w:t>
            </w:r>
            <w:r w:rsidRPr="0007692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Pr="0007692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Pr="0007692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Pr="0007692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человечества</w:t>
            </w:r>
            <w:r w:rsidRPr="00076924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07692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которые</w:t>
            </w:r>
            <w:r w:rsidRPr="0007692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согласились</w:t>
            </w:r>
            <w:r w:rsidRPr="0007692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осуществлять</w:t>
            </w:r>
            <w:r w:rsidRPr="0007692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соответствующие</w:t>
            </w:r>
            <w:r w:rsidRPr="0007692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права</w:t>
            </w:r>
            <w:r w:rsidRPr="0007692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07692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соблюдать</w:t>
            </w:r>
            <w:r w:rsidRPr="0007692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соответствующие</w:t>
            </w:r>
            <w:r w:rsidRPr="0007692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обязательства</w:t>
            </w:r>
            <w:r w:rsidRPr="00076924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250" w:type="pct"/>
          </w:tcPr>
          <w:p w:rsidR="004972F8" w:rsidRPr="00BA4171" w:rsidRDefault="004972F8" w:rsidP="00D5134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5BF2">
              <w:rPr>
                <w:rFonts w:ascii="Arial" w:hAnsi="Arial" w:cs="Arial"/>
                <w:strike/>
                <w:sz w:val="22"/>
                <w:szCs w:val="22"/>
                <w:lang w:val="en-GB"/>
              </w:rPr>
              <w:t>168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97F15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>167.</w:t>
            </w:r>
          </w:p>
        </w:tc>
        <w:tc>
          <w:tcPr>
            <w:tcW w:w="2158" w:type="pct"/>
          </w:tcPr>
          <w:p w:rsidR="004972F8" w:rsidRPr="00DB6D4E" w:rsidRDefault="00971C4B" w:rsidP="00DB6D4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Положения</w:t>
            </w:r>
            <w:r w:rsidRPr="00DB6D4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пунктов</w:t>
            </w:r>
            <w:r w:rsidRPr="00DB6D4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972F8" w:rsidRPr="00DB6D4E">
              <w:rPr>
                <w:rFonts w:ascii="Arial" w:hAnsi="Arial" w:cs="Arial"/>
                <w:sz w:val="22"/>
                <w:szCs w:val="22"/>
                <w:lang w:val="ru-RU"/>
              </w:rPr>
              <w:t xml:space="preserve">157–159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4972F8" w:rsidRPr="00DB6D4E">
              <w:rPr>
                <w:rFonts w:ascii="Arial" w:hAnsi="Arial" w:cs="Arial"/>
                <w:sz w:val="22"/>
                <w:szCs w:val="22"/>
                <w:lang w:val="ru-RU"/>
              </w:rPr>
              <w:t xml:space="preserve"> 165–16</w:t>
            </w:r>
            <w:r w:rsidR="004972F8" w:rsidRPr="00DB6D4E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7</w:t>
            </w:r>
            <w:r w:rsidR="004972F8" w:rsidRPr="00DB6D4E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ru-RU"/>
              </w:rPr>
              <w:t>6</w:t>
            </w:r>
            <w:r w:rsidRPr="00DB6D4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настоящего</w:t>
            </w:r>
            <w:r w:rsidRPr="00DB6D4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Оперативного</w:t>
            </w:r>
            <w:r w:rsidRPr="00DB6D4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руководства</w:t>
            </w:r>
            <w:r w:rsidRPr="00DB6D4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DB6D4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полном</w:t>
            </w:r>
            <w:r w:rsidRPr="00DB6D4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объёме</w:t>
            </w:r>
            <w:r w:rsidRPr="00DB6D4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распространяются</w:t>
            </w:r>
            <w:r w:rsidRPr="00DB6D4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E220A"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="00BE220A" w:rsidRPr="00DB6D4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E220A">
              <w:rPr>
                <w:rFonts w:ascii="Arial" w:hAnsi="Arial" w:cs="Arial"/>
                <w:sz w:val="22"/>
                <w:szCs w:val="22"/>
                <w:lang w:val="ru-RU"/>
              </w:rPr>
              <w:t>государства</w:t>
            </w:r>
            <w:r w:rsidR="00BE220A" w:rsidRPr="00DB6D4E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BE220A">
              <w:rPr>
                <w:rFonts w:ascii="Arial" w:hAnsi="Arial" w:cs="Arial"/>
                <w:sz w:val="22"/>
                <w:szCs w:val="22"/>
                <w:lang w:val="ru-RU"/>
              </w:rPr>
              <w:t>не</w:t>
            </w:r>
            <w:r w:rsidR="00BE220A" w:rsidRPr="00DB6D4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E220A">
              <w:rPr>
                <w:rFonts w:ascii="Arial" w:hAnsi="Arial" w:cs="Arial"/>
                <w:sz w:val="22"/>
                <w:szCs w:val="22"/>
                <w:lang w:val="ru-RU"/>
              </w:rPr>
              <w:t>являющиеся</w:t>
            </w:r>
            <w:r w:rsidR="00BE220A" w:rsidRPr="00DB6D4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E220A">
              <w:rPr>
                <w:rFonts w:ascii="Arial" w:hAnsi="Arial" w:cs="Arial"/>
                <w:sz w:val="22"/>
                <w:szCs w:val="22"/>
                <w:lang w:val="ru-RU"/>
              </w:rPr>
              <w:t>участниками</w:t>
            </w:r>
            <w:r w:rsidR="00BE220A" w:rsidRPr="00DB6D4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E220A">
              <w:rPr>
                <w:rFonts w:ascii="Arial" w:hAnsi="Arial" w:cs="Arial"/>
                <w:sz w:val="22"/>
                <w:szCs w:val="22"/>
                <w:lang w:val="ru-RU"/>
              </w:rPr>
              <w:t>Конвенции</w:t>
            </w:r>
            <w:r w:rsidR="00BE220A" w:rsidRPr="00DB6D4E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BE220A">
              <w:rPr>
                <w:rFonts w:ascii="Arial" w:hAnsi="Arial" w:cs="Arial"/>
                <w:sz w:val="22"/>
                <w:szCs w:val="22"/>
                <w:lang w:val="ru-RU"/>
              </w:rPr>
              <w:t>которые</w:t>
            </w:r>
            <w:r w:rsidR="00BE220A" w:rsidRPr="00DB6D4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E220A">
              <w:rPr>
                <w:rFonts w:ascii="Arial" w:hAnsi="Arial" w:cs="Arial"/>
                <w:sz w:val="22"/>
                <w:szCs w:val="22"/>
                <w:lang w:val="ru-RU"/>
              </w:rPr>
              <w:t>имеют</w:t>
            </w:r>
            <w:r w:rsidR="00BE220A" w:rsidRPr="00DB6D4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E220A"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="00BE220A" w:rsidRPr="00DB6D4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E220A">
              <w:rPr>
                <w:rFonts w:ascii="Arial" w:hAnsi="Arial" w:cs="Arial"/>
                <w:sz w:val="22"/>
                <w:szCs w:val="22"/>
                <w:lang w:val="ru-RU"/>
              </w:rPr>
              <w:t>своей</w:t>
            </w:r>
            <w:r w:rsidR="00BE220A" w:rsidRPr="00DB6D4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E220A">
              <w:rPr>
                <w:rFonts w:ascii="Arial" w:hAnsi="Arial" w:cs="Arial"/>
                <w:sz w:val="22"/>
                <w:szCs w:val="22"/>
                <w:lang w:val="ru-RU"/>
              </w:rPr>
              <w:t>территории</w:t>
            </w:r>
            <w:r w:rsidR="00BE220A" w:rsidRPr="00DB6D4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E220A">
              <w:rPr>
                <w:rFonts w:ascii="Arial" w:hAnsi="Arial" w:cs="Arial"/>
                <w:sz w:val="22"/>
                <w:szCs w:val="22"/>
                <w:lang w:val="ru-RU"/>
              </w:rPr>
              <w:t>провозглашённые</w:t>
            </w:r>
            <w:r w:rsidR="00BE220A" w:rsidRPr="00DB6D4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E220A">
              <w:rPr>
                <w:rFonts w:ascii="Arial" w:hAnsi="Arial" w:cs="Arial"/>
                <w:sz w:val="22"/>
                <w:szCs w:val="22"/>
                <w:lang w:val="ru-RU"/>
              </w:rPr>
              <w:t>Шедевры</w:t>
            </w:r>
            <w:r w:rsidR="00BE220A" w:rsidRPr="00DB6D4E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BE220A">
              <w:rPr>
                <w:rFonts w:ascii="Arial" w:hAnsi="Arial" w:cs="Arial"/>
                <w:sz w:val="22"/>
                <w:szCs w:val="22"/>
                <w:lang w:val="ru-RU"/>
              </w:rPr>
              <w:t>включённые</w:t>
            </w:r>
            <w:r w:rsidR="00BE220A" w:rsidRPr="00DB6D4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E220A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BE220A" w:rsidRPr="00DB6D4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E220A">
              <w:rPr>
                <w:rFonts w:ascii="Arial" w:hAnsi="Arial" w:cs="Arial"/>
                <w:sz w:val="22"/>
                <w:szCs w:val="22"/>
                <w:lang w:val="ru-RU"/>
              </w:rPr>
              <w:t>Репрезентативный</w:t>
            </w:r>
            <w:r w:rsidR="00BE220A" w:rsidRPr="00DB6D4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E220A">
              <w:rPr>
                <w:rFonts w:ascii="Arial" w:hAnsi="Arial" w:cs="Arial"/>
                <w:sz w:val="22"/>
                <w:szCs w:val="22"/>
                <w:lang w:val="ru-RU"/>
              </w:rPr>
              <w:t>список</w:t>
            </w:r>
            <w:r w:rsidR="00BE220A" w:rsidRPr="00DB6D4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E220A"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="00BE220A" w:rsidRPr="00DB6D4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E220A"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="00BE220A" w:rsidRPr="00DB6D4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E220A"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="00BE220A" w:rsidRPr="00DB6D4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E220A">
              <w:rPr>
                <w:rFonts w:ascii="Arial" w:hAnsi="Arial" w:cs="Arial"/>
                <w:sz w:val="22"/>
                <w:szCs w:val="22"/>
                <w:lang w:val="ru-RU"/>
              </w:rPr>
              <w:t>человечества</w:t>
            </w:r>
            <w:r w:rsidR="00BE220A" w:rsidRPr="00DB6D4E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BE220A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BE220A" w:rsidRPr="00DB6D4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E220A">
              <w:rPr>
                <w:rFonts w:ascii="Arial" w:hAnsi="Arial" w:cs="Arial"/>
                <w:sz w:val="22"/>
                <w:szCs w:val="22"/>
                <w:lang w:val="ru-RU"/>
              </w:rPr>
              <w:t>которые</w:t>
            </w:r>
            <w:r w:rsidR="00BE220A" w:rsidRPr="00DB6D4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B6D4E">
              <w:rPr>
                <w:rFonts w:ascii="Arial" w:hAnsi="Arial" w:cs="Arial"/>
                <w:sz w:val="22"/>
                <w:szCs w:val="22"/>
                <w:lang w:val="ru-RU"/>
              </w:rPr>
              <w:t>согласились</w:t>
            </w:r>
            <w:r w:rsidR="00DB6D4E" w:rsidRPr="00DB6D4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B6D4E">
              <w:rPr>
                <w:rFonts w:ascii="Arial" w:hAnsi="Arial" w:cs="Arial"/>
                <w:sz w:val="22"/>
                <w:szCs w:val="22"/>
                <w:lang w:val="ru-RU"/>
              </w:rPr>
              <w:t>осуществлять</w:t>
            </w:r>
            <w:r w:rsidR="00DB6D4E" w:rsidRPr="00DB6D4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B6D4E">
              <w:rPr>
                <w:rFonts w:ascii="Arial" w:hAnsi="Arial" w:cs="Arial"/>
                <w:sz w:val="22"/>
                <w:szCs w:val="22"/>
                <w:lang w:val="ru-RU"/>
              </w:rPr>
              <w:t>соответствующие</w:t>
            </w:r>
            <w:r w:rsidR="00DB6D4E" w:rsidRPr="00DB6D4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B6D4E">
              <w:rPr>
                <w:rFonts w:ascii="Arial" w:hAnsi="Arial" w:cs="Arial"/>
                <w:sz w:val="22"/>
                <w:szCs w:val="22"/>
                <w:lang w:val="ru-RU"/>
              </w:rPr>
              <w:t>права</w:t>
            </w:r>
            <w:r w:rsidR="00DB6D4E" w:rsidRPr="00DB6D4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B6D4E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DB6D4E" w:rsidRPr="00DB6D4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B6D4E">
              <w:rPr>
                <w:rFonts w:ascii="Arial" w:hAnsi="Arial" w:cs="Arial"/>
                <w:sz w:val="22"/>
                <w:szCs w:val="22"/>
                <w:lang w:val="ru-RU"/>
              </w:rPr>
              <w:t>соблюдать</w:t>
            </w:r>
            <w:r w:rsidR="00DB6D4E" w:rsidRPr="00DB6D4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B6D4E">
              <w:rPr>
                <w:rFonts w:ascii="Arial" w:hAnsi="Arial" w:cs="Arial"/>
                <w:sz w:val="22"/>
                <w:szCs w:val="22"/>
                <w:lang w:val="ru-RU"/>
              </w:rPr>
              <w:t>соответствующие</w:t>
            </w:r>
            <w:r w:rsidR="00DB6D4E" w:rsidRPr="00DB6D4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B6D4E">
              <w:rPr>
                <w:rFonts w:ascii="Arial" w:hAnsi="Arial" w:cs="Arial"/>
                <w:sz w:val="22"/>
                <w:szCs w:val="22"/>
                <w:lang w:val="ru-RU"/>
              </w:rPr>
              <w:t>обязательства</w:t>
            </w:r>
            <w:r w:rsidR="00DB6D4E" w:rsidRPr="00DB6D4E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4972F8" w:rsidRPr="008B5C8B" w:rsidTr="004972F8">
        <w:trPr>
          <w:cantSplit/>
        </w:trPr>
        <w:tc>
          <w:tcPr>
            <w:tcW w:w="250" w:type="pct"/>
            <w:gridSpan w:val="2"/>
            <w:shd w:val="clear" w:color="auto" w:fill="auto"/>
          </w:tcPr>
          <w:p w:rsidR="004972F8" w:rsidRPr="00A1056C" w:rsidRDefault="004972F8" w:rsidP="00D5134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169</w:t>
            </w:r>
            <w:r w:rsidRPr="00A1056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2342" w:type="pct"/>
            <w:gridSpan w:val="2"/>
            <w:shd w:val="clear" w:color="auto" w:fill="auto"/>
          </w:tcPr>
          <w:p w:rsidR="004972F8" w:rsidRPr="00710CE9" w:rsidRDefault="000F6D8D" w:rsidP="000F6D8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Такие</w:t>
            </w:r>
            <w:r w:rsidRPr="000F6D8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доклады</w:t>
            </w:r>
            <w:r w:rsidRPr="000F6D8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представляются</w:t>
            </w:r>
            <w:r w:rsidRPr="000F6D8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Комитету</w:t>
            </w:r>
            <w:r w:rsidRPr="000F6D8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государствами</w:t>
            </w:r>
            <w:r w:rsidRPr="000F6D8D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</w:t>
            </w:r>
            <w:r w:rsidRPr="000F6D8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являющимися</w:t>
            </w:r>
            <w:r w:rsidRPr="000F6D8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участниками</w:t>
            </w:r>
            <w:r w:rsidRPr="000F6D8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Конвенции</w:t>
            </w:r>
            <w:r w:rsidRPr="000F6D8D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</w:t>
            </w:r>
            <w:r w:rsidRPr="000F6D8D">
              <w:rPr>
                <w:rFonts w:ascii="Arial" w:hAnsi="Arial" w:cs="Arial"/>
                <w:sz w:val="22"/>
                <w:szCs w:val="22"/>
                <w:lang w:val="ru-RU"/>
              </w:rPr>
              <w:t xml:space="preserve"> 15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декабря</w:t>
            </w:r>
            <w:r w:rsidRPr="000F6D8D">
              <w:rPr>
                <w:rFonts w:ascii="Arial" w:hAnsi="Arial" w:cs="Arial"/>
                <w:sz w:val="22"/>
                <w:szCs w:val="22"/>
                <w:lang w:val="ru-RU"/>
              </w:rPr>
              <w:t xml:space="preserve"> 2014</w:t>
            </w:r>
            <w:r w:rsidRPr="000F6D8D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0F6D8D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0F6D8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каждые</w:t>
            </w:r>
            <w:r w:rsidRPr="000F6D8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шесть</w:t>
            </w:r>
            <w:r w:rsidRPr="000F6D8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лет</w:t>
            </w:r>
            <w:r w:rsidRPr="000F6D8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0F6D8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дальнейшем. Для</w:t>
            </w:r>
            <w:r w:rsidRPr="000F6D8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этих</w:t>
            </w:r>
            <w:r w:rsidRPr="000F6D8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докладов</w:t>
            </w:r>
            <w:r w:rsidRPr="000F6D8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используется</w:t>
            </w:r>
            <w:r w:rsidRPr="000F6D8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форма</w:t>
            </w:r>
            <w:r w:rsidRPr="000F6D8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972F8" w:rsidRPr="006610D9">
              <w:rPr>
                <w:rFonts w:ascii="Arial" w:hAnsi="Arial" w:cs="Arial"/>
                <w:sz w:val="22"/>
                <w:szCs w:val="22"/>
                <w:lang w:val="en-GB"/>
              </w:rPr>
              <w:t>ICH</w:t>
            </w:r>
            <w:r w:rsidR="004972F8" w:rsidRPr="000F6D8D">
              <w:rPr>
                <w:rFonts w:ascii="Arial" w:hAnsi="Arial" w:cs="Arial"/>
                <w:sz w:val="22"/>
                <w:szCs w:val="22"/>
                <w:lang w:val="ru-RU"/>
              </w:rPr>
              <w:t>-10</w:t>
            </w:r>
            <w:r w:rsidRPr="000F6D8D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доступная</w:t>
            </w:r>
            <w:r w:rsidRPr="000F6D8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0F6D8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адресу</w:t>
            </w:r>
            <w:r w:rsidRPr="000F6D8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hyperlink r:id="rId23" w:history="1">
              <w:r w:rsidR="004972F8" w:rsidRPr="006610D9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www</w:t>
              </w:r>
              <w:r w:rsidR="004972F8" w:rsidRPr="000F6D8D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proofErr w:type="spellStart"/>
              <w:r w:rsidR="004972F8" w:rsidRPr="006610D9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unesco</w:t>
              </w:r>
              <w:proofErr w:type="spellEnd"/>
              <w:r w:rsidR="004972F8" w:rsidRPr="000F6D8D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r w:rsidR="004972F8" w:rsidRPr="006610D9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org</w:t>
              </w:r>
              <w:r w:rsidR="004972F8" w:rsidRPr="000F6D8D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/</w:t>
              </w:r>
              <w:r w:rsidR="004972F8" w:rsidRPr="006610D9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culture</w:t>
              </w:r>
              <w:r w:rsidR="004972F8" w:rsidRPr="000F6D8D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/</w:t>
              </w:r>
              <w:proofErr w:type="spellStart"/>
              <w:r w:rsidR="004972F8" w:rsidRPr="006610D9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ich</w:t>
              </w:r>
              <w:proofErr w:type="spellEnd"/>
            </w:hyperlink>
            <w:r w:rsidR="004972F8" w:rsidRPr="000F6D8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или предоставляемая по запросу Секретариатом. Доклады должны содержать только информацию, запрашиваемую в форме.</w:t>
            </w:r>
          </w:p>
        </w:tc>
        <w:tc>
          <w:tcPr>
            <w:tcW w:w="250" w:type="pct"/>
          </w:tcPr>
          <w:p w:rsidR="004972F8" w:rsidRPr="00BA4171" w:rsidRDefault="004972F8" w:rsidP="00D5134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5BF2">
              <w:rPr>
                <w:rFonts w:ascii="Arial" w:hAnsi="Arial" w:cs="Arial"/>
                <w:strike/>
                <w:sz w:val="22"/>
                <w:szCs w:val="22"/>
                <w:lang w:val="en-GB"/>
              </w:rPr>
              <w:t>169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97F15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>168.</w:t>
            </w:r>
          </w:p>
        </w:tc>
        <w:tc>
          <w:tcPr>
            <w:tcW w:w="2158" w:type="pct"/>
          </w:tcPr>
          <w:p w:rsidR="004972F8" w:rsidRPr="00F97F15" w:rsidRDefault="00914F6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Такие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доклады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представляются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Комитету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государствами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являющимися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участниками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Конвенции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15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декабря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2014</w:t>
            </w:r>
            <w:r w:rsidRPr="00914F65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каждые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шесть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лет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дальнейшем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 w:rsidRPr="00914F65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Для этих докладов используется форма </w:t>
            </w:r>
            <w:r w:rsidRPr="00914F65">
              <w:rPr>
                <w:rFonts w:ascii="Arial" w:hAnsi="Arial" w:cs="Arial"/>
                <w:strike/>
                <w:sz w:val="22"/>
                <w:szCs w:val="22"/>
                <w:lang w:val="en-GB"/>
              </w:rPr>
              <w:t>ICH</w:t>
            </w:r>
            <w:r w:rsidRPr="00914F65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-10, доступная по адресу </w:t>
            </w:r>
            <w:hyperlink r:id="rId24" w:history="1">
              <w:r w:rsidRPr="00914F65">
                <w:rPr>
                  <w:rStyle w:val="Hyperlink"/>
                  <w:rFonts w:ascii="Arial" w:hAnsi="Arial" w:cs="Arial"/>
                  <w:strike/>
                  <w:sz w:val="22"/>
                  <w:szCs w:val="22"/>
                  <w:lang w:val="en-GB"/>
                </w:rPr>
                <w:t>www</w:t>
              </w:r>
              <w:r w:rsidRPr="00914F65">
                <w:rPr>
                  <w:rStyle w:val="Hyperlink"/>
                  <w:rFonts w:ascii="Arial" w:hAnsi="Arial" w:cs="Arial"/>
                  <w:strike/>
                  <w:sz w:val="22"/>
                  <w:szCs w:val="22"/>
                  <w:lang w:val="ru-RU"/>
                </w:rPr>
                <w:t>.</w:t>
              </w:r>
              <w:r w:rsidRPr="00914F65">
                <w:rPr>
                  <w:rStyle w:val="Hyperlink"/>
                  <w:rFonts w:ascii="Arial" w:hAnsi="Arial" w:cs="Arial"/>
                  <w:strike/>
                  <w:sz w:val="22"/>
                  <w:szCs w:val="22"/>
                  <w:lang w:val="en-GB"/>
                </w:rPr>
                <w:t>unesco</w:t>
              </w:r>
              <w:r w:rsidRPr="00914F65">
                <w:rPr>
                  <w:rStyle w:val="Hyperlink"/>
                  <w:rFonts w:ascii="Arial" w:hAnsi="Arial" w:cs="Arial"/>
                  <w:strike/>
                  <w:sz w:val="22"/>
                  <w:szCs w:val="22"/>
                  <w:lang w:val="ru-RU"/>
                </w:rPr>
                <w:t>.</w:t>
              </w:r>
              <w:r w:rsidRPr="00914F65">
                <w:rPr>
                  <w:rStyle w:val="Hyperlink"/>
                  <w:rFonts w:ascii="Arial" w:hAnsi="Arial" w:cs="Arial"/>
                  <w:strike/>
                  <w:sz w:val="22"/>
                  <w:szCs w:val="22"/>
                  <w:lang w:val="en-GB"/>
                </w:rPr>
                <w:t>org</w:t>
              </w:r>
              <w:r w:rsidRPr="00914F65">
                <w:rPr>
                  <w:rStyle w:val="Hyperlink"/>
                  <w:rFonts w:ascii="Arial" w:hAnsi="Arial" w:cs="Arial"/>
                  <w:strike/>
                  <w:sz w:val="22"/>
                  <w:szCs w:val="22"/>
                  <w:lang w:val="ru-RU"/>
                </w:rPr>
                <w:t>/</w:t>
              </w:r>
              <w:r w:rsidRPr="00914F65">
                <w:rPr>
                  <w:rStyle w:val="Hyperlink"/>
                  <w:rFonts w:ascii="Arial" w:hAnsi="Arial" w:cs="Arial"/>
                  <w:strike/>
                  <w:sz w:val="22"/>
                  <w:szCs w:val="22"/>
                  <w:lang w:val="en-GB"/>
                </w:rPr>
                <w:t>culture</w:t>
              </w:r>
              <w:r w:rsidRPr="00914F65">
                <w:rPr>
                  <w:rStyle w:val="Hyperlink"/>
                  <w:rFonts w:ascii="Arial" w:hAnsi="Arial" w:cs="Arial"/>
                  <w:strike/>
                  <w:sz w:val="22"/>
                  <w:szCs w:val="22"/>
                  <w:lang w:val="ru-RU"/>
                </w:rPr>
                <w:t>/</w:t>
              </w:r>
              <w:r w:rsidRPr="00914F65">
                <w:rPr>
                  <w:rStyle w:val="Hyperlink"/>
                  <w:rFonts w:ascii="Arial" w:hAnsi="Arial" w:cs="Arial"/>
                  <w:strike/>
                  <w:sz w:val="22"/>
                  <w:szCs w:val="22"/>
                  <w:lang w:val="en-GB"/>
                </w:rPr>
                <w:t>ich</w:t>
              </w:r>
            </w:hyperlink>
            <w:r w:rsidRPr="00914F65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или предоставляемая по запросу Секретариатом. Доклады</w:t>
            </w:r>
            <w:r w:rsidRPr="00F97F15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 w:rsidRPr="00914F65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должны</w:t>
            </w:r>
            <w:r w:rsidRPr="00F97F15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 w:rsidRPr="00914F65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содержать</w:t>
            </w:r>
            <w:r w:rsidRPr="00F97F15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 w:rsidRPr="00914F65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только</w:t>
            </w:r>
            <w:r w:rsidRPr="00F97F15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 w:rsidRPr="00914F65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информацию</w:t>
            </w:r>
            <w:r w:rsidRPr="00F97F15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, </w:t>
            </w:r>
            <w:r w:rsidRPr="00914F65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запрашиваемую</w:t>
            </w:r>
            <w:r w:rsidRPr="00F97F15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 w:rsidRPr="00914F65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в</w:t>
            </w:r>
            <w:r w:rsidRPr="00F97F15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 w:rsidRPr="00914F65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форме</w:t>
            </w:r>
            <w:r w:rsidRPr="00F97F1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="005A4E50" w:rsidRPr="00914F65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Форма</w:t>
            </w:r>
            <w:r w:rsidR="005A4E50" w:rsidRPr="00137BEC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5A4E50" w:rsidRPr="00914F65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ICH</w:t>
            </w:r>
            <w:r w:rsidR="005A4E50" w:rsidRPr="00137BEC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-10 </w:t>
            </w:r>
            <w:r w:rsidR="005A4E50" w:rsidRPr="00914F65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должна</w:t>
            </w:r>
            <w:r w:rsidR="005A4E50" w:rsidRPr="00137BEC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5A4E50" w:rsidRPr="00914F65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заполняться</w:t>
            </w:r>
            <w:r w:rsidR="005A4E50" w:rsidRPr="00137BEC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5A4E50" w:rsidRPr="00914F65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онлайн</w:t>
            </w:r>
            <w:r w:rsidR="005A4E50" w:rsidRPr="00137BEC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5A4E50" w:rsidRPr="00914F65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каждым</w:t>
            </w:r>
            <w:r w:rsidR="005A4E50" w:rsidRPr="00137BEC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5A4E50" w:rsidRPr="00914F65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государством</w:t>
            </w:r>
            <w:r w:rsidR="005A4E50" w:rsidRPr="00137BEC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-</w:t>
            </w:r>
            <w:r w:rsidR="005A4E50" w:rsidRPr="00914F65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участником</w:t>
            </w:r>
            <w:r w:rsidR="005A4E50" w:rsidRPr="00137BEC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5A4E50" w:rsidRPr="00137BEC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(</w:t>
            </w:r>
            <w:hyperlink r:id="rId25" w:history="1">
              <w:r w:rsidR="005A4E50" w:rsidRPr="000A2E3E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en-GB"/>
                </w:rPr>
                <w:t>https</w:t>
              </w:r>
              <w:r w:rsidR="005A4E50" w:rsidRPr="00137BEC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ru-RU"/>
                </w:rPr>
                <w:t>://</w:t>
              </w:r>
              <w:r w:rsidR="005A4E50" w:rsidRPr="000A2E3E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en-GB"/>
                </w:rPr>
                <w:t>ich</w:t>
              </w:r>
              <w:r w:rsidR="005A4E50" w:rsidRPr="00137BEC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ru-RU"/>
                </w:rPr>
                <w:t>.</w:t>
              </w:r>
              <w:r w:rsidR="005A4E50" w:rsidRPr="000A2E3E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en-GB"/>
                </w:rPr>
                <w:t>unesco</w:t>
              </w:r>
              <w:r w:rsidR="005A4E50" w:rsidRPr="00137BEC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ru-RU"/>
                </w:rPr>
                <w:t>.</w:t>
              </w:r>
              <w:r w:rsidR="005A4E50" w:rsidRPr="000A2E3E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en-GB"/>
                </w:rPr>
                <w:t>org</w:t>
              </w:r>
              <w:r w:rsidR="005A4E50" w:rsidRPr="00137BEC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ru-RU"/>
                </w:rPr>
                <w:t>/</w:t>
              </w:r>
            </w:hyperlink>
            <w:r w:rsidR="005A4E50" w:rsidRPr="00137BEC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); </w:t>
            </w:r>
            <w:r w:rsidR="005A4E5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эта</w:t>
            </w:r>
            <w:r w:rsidR="005A4E50" w:rsidRPr="00137BEC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 w:rsidR="005A4E5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форма</w:t>
            </w:r>
            <w:r w:rsidR="005A4E50" w:rsidRPr="00137BEC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 w:rsidR="005A4E5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с</w:t>
            </w:r>
            <w:r w:rsidR="005A4E50" w:rsidRPr="00137BEC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 w:rsidR="005A4E5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надлежащей</w:t>
            </w:r>
            <w:r w:rsidR="005A4E50" w:rsidRPr="00137BEC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 w:rsidR="005A4E5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периодичностью</w:t>
            </w:r>
            <w:r w:rsidR="005A4E50" w:rsidRPr="00137BEC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 w:rsidR="005A4E5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пересматривается</w:t>
            </w:r>
            <w:r w:rsidR="005A4E50" w:rsidRPr="00137BEC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 w:rsidR="005A4E5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Секретариатом</w:t>
            </w:r>
            <w:r w:rsidR="005A4E50" w:rsidRPr="00137BEC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.</w:t>
            </w:r>
          </w:p>
        </w:tc>
      </w:tr>
    </w:tbl>
    <w:p w:rsidR="00F40D41" w:rsidRPr="00F97F15" w:rsidRDefault="00F40D41" w:rsidP="00E23B7C">
      <w:pPr>
        <w:pStyle w:val="GAPara"/>
        <w:numPr>
          <w:ilvl w:val="0"/>
          <w:numId w:val="0"/>
        </w:numPr>
        <w:rPr>
          <w:lang w:val="ru-RU"/>
        </w:rPr>
      </w:pPr>
    </w:p>
    <w:sectPr w:rsidR="00F40D41" w:rsidRPr="00F97F15" w:rsidSect="00F97F15">
      <w:headerReference w:type="first" r:id="rId26"/>
      <w:pgSz w:w="16838" w:h="11906" w:orient="landscape" w:code="9"/>
      <w:pgMar w:top="1134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951" w:rsidRDefault="008F7951" w:rsidP="00655736">
      <w:r>
        <w:separator/>
      </w:r>
    </w:p>
  </w:endnote>
  <w:endnote w:type="continuationSeparator" w:id="0">
    <w:p w:rsidR="008F7951" w:rsidRDefault="008F7951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951" w:rsidRDefault="008F7951" w:rsidP="00655736">
      <w:r>
        <w:separator/>
      </w:r>
    </w:p>
  </w:footnote>
  <w:footnote w:type="continuationSeparator" w:id="0">
    <w:p w:rsidR="008F7951" w:rsidRDefault="008F7951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951" w:rsidRPr="00C23A97" w:rsidRDefault="008F7951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</w:rPr>
      <w:t>ITH/18/7.GA/</w:t>
    </w:r>
    <w:r>
      <w:rPr>
        <w:rFonts w:ascii="Arial" w:hAnsi="Arial" w:cs="Arial"/>
        <w:sz w:val="20"/>
        <w:szCs w:val="20"/>
        <w:lang w:val="ru-RU"/>
      </w:rPr>
      <w:t>10</w:t>
    </w:r>
    <w:r>
      <w:rPr>
        <w:rFonts w:ascii="Arial" w:hAnsi="Arial" w:cs="Arial"/>
        <w:sz w:val="20"/>
        <w:szCs w:val="20"/>
      </w:rPr>
      <w:t xml:space="preserve"> </w:t>
    </w:r>
    <w:r w:rsidR="00605155">
      <w:rPr>
        <w:rFonts w:ascii="Arial" w:hAnsi="Arial" w:cs="Arial"/>
        <w:sz w:val="20"/>
        <w:szCs w:val="20"/>
        <w:lang w:val="en-US"/>
      </w:rPr>
      <w:t xml:space="preserve">Rev. </w:t>
    </w:r>
    <w:r>
      <w:rPr>
        <w:rFonts w:ascii="Arial" w:hAnsi="Arial" w:cs="Arial"/>
        <w:sz w:val="20"/>
        <w:szCs w:val="20"/>
      </w:rPr>
      <w:t xml:space="preserve">– </w:t>
    </w:r>
    <w:r>
      <w:rPr>
        <w:rFonts w:ascii="Arial" w:hAnsi="Arial" w:cs="Arial"/>
        <w:bCs/>
        <w:sz w:val="20"/>
        <w:szCs w:val="20"/>
        <w:lang w:val="ru-RU"/>
      </w:rPr>
      <w:t>страница</w:t>
    </w:r>
    <w:r w:rsidRPr="00C23A97">
      <w:rPr>
        <w:rStyle w:val="PageNumber"/>
        <w:rFonts w:ascii="Arial" w:hAnsi="Arial" w:cs="Arial"/>
        <w:sz w:val="20"/>
        <w:szCs w:val="20"/>
        <w:lang w:val="en-GB"/>
      </w:rPr>
      <w:t xml:space="preserve"> </w: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8B5C8B">
      <w:rPr>
        <w:rStyle w:val="PageNumber"/>
        <w:rFonts w:ascii="Arial" w:hAnsi="Arial" w:cs="Arial"/>
        <w:noProof/>
        <w:sz w:val="20"/>
        <w:szCs w:val="20"/>
      </w:rPr>
      <w:t>12</w: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951" w:rsidRPr="0063300C" w:rsidRDefault="008F7951" w:rsidP="0063300C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</w:rPr>
      <w:t>ITH/18/7.GA/</w:t>
    </w:r>
    <w:r>
      <w:rPr>
        <w:rFonts w:ascii="Arial" w:hAnsi="Arial" w:cs="Arial"/>
        <w:sz w:val="20"/>
        <w:szCs w:val="20"/>
        <w:lang w:val="ru-RU"/>
      </w:rPr>
      <w:t>10</w:t>
    </w:r>
    <w:r>
      <w:rPr>
        <w:rFonts w:ascii="Arial" w:hAnsi="Arial" w:cs="Arial"/>
        <w:sz w:val="20"/>
        <w:szCs w:val="20"/>
      </w:rPr>
      <w:t xml:space="preserve"> </w:t>
    </w:r>
    <w:proofErr w:type="spellStart"/>
    <w:r w:rsidR="00605155">
      <w:rPr>
        <w:rFonts w:ascii="Arial" w:hAnsi="Arial" w:cs="Arial"/>
        <w:sz w:val="20"/>
        <w:szCs w:val="20"/>
      </w:rPr>
      <w:t>Rev</w:t>
    </w:r>
    <w:proofErr w:type="spellEnd"/>
    <w:r w:rsidR="00605155">
      <w:rPr>
        <w:rFonts w:ascii="Arial" w:hAnsi="Arial" w:cs="Arial"/>
        <w:sz w:val="20"/>
        <w:szCs w:val="20"/>
      </w:rPr>
      <w:t xml:space="preserve">. </w:t>
    </w:r>
    <w:r>
      <w:rPr>
        <w:rFonts w:ascii="Arial" w:hAnsi="Arial" w:cs="Arial"/>
        <w:sz w:val="20"/>
        <w:szCs w:val="20"/>
      </w:rPr>
      <w:t xml:space="preserve">– </w:t>
    </w:r>
    <w:r>
      <w:rPr>
        <w:rFonts w:ascii="Arial" w:hAnsi="Arial" w:cs="Arial"/>
        <w:sz w:val="20"/>
        <w:szCs w:val="20"/>
        <w:lang w:val="ru-RU"/>
      </w:rPr>
      <w:t>страница</w:t>
    </w:r>
    <w:r>
      <w:rPr>
        <w:rFonts w:ascii="Arial" w:hAnsi="Arial" w:cs="Arial"/>
        <w:sz w:val="20"/>
        <w:szCs w:val="20"/>
      </w:rPr>
      <w:t xml:space="preserve"> </w: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8B5C8B">
      <w:rPr>
        <w:rStyle w:val="PageNumber"/>
        <w:rFonts w:ascii="Arial" w:hAnsi="Arial" w:cs="Arial"/>
        <w:noProof/>
        <w:sz w:val="20"/>
        <w:szCs w:val="20"/>
      </w:rPr>
      <w:t>11</w: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951" w:rsidRPr="008724E5" w:rsidRDefault="008F7951">
    <w:pPr>
      <w:pStyle w:val="Header"/>
    </w:pPr>
    <w:r>
      <w:rPr>
        <w:rFonts w:ascii="Arial" w:hAnsi="Arial" w:cs="Arial"/>
        <w:b/>
        <w:noProof/>
        <w:sz w:val="44"/>
        <w:szCs w:val="44"/>
        <w:lang w:val="en-US" w:eastAsia="ko-K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100965</wp:posOffset>
          </wp:positionH>
          <wp:positionV relativeFrom="page">
            <wp:posOffset>237490</wp:posOffset>
          </wp:positionV>
          <wp:extent cx="2530800" cy="1443600"/>
          <wp:effectExtent l="0" t="0" r="3175" b="4445"/>
          <wp:wrapNone/>
          <wp:docPr id="5" name="Image 1" descr="unesco_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800" cy="14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7951" w:rsidRPr="002402C9" w:rsidRDefault="008F7951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nl-BE"/>
      </w:rPr>
    </w:pPr>
    <w:r>
      <w:rPr>
        <w:rFonts w:ascii="Arial" w:hAnsi="Arial" w:cs="Arial"/>
        <w:b/>
        <w:sz w:val="44"/>
        <w:szCs w:val="44"/>
        <w:lang w:val="nl-BE"/>
      </w:rPr>
      <w:t>7</w:t>
    </w:r>
    <w:r w:rsidRPr="002402C9">
      <w:rPr>
        <w:rFonts w:ascii="Arial" w:hAnsi="Arial" w:cs="Arial"/>
        <w:b/>
        <w:sz w:val="44"/>
        <w:szCs w:val="44"/>
        <w:lang w:val="nl-BE"/>
      </w:rPr>
      <w:t xml:space="preserve"> GA</w:t>
    </w:r>
  </w:p>
  <w:p w:rsidR="008F7951" w:rsidRPr="008B5C8B" w:rsidRDefault="008F7951" w:rsidP="00655736">
    <w:pPr>
      <w:jc w:val="right"/>
      <w:rPr>
        <w:rFonts w:ascii="Arial" w:hAnsi="Arial" w:cs="Arial"/>
        <w:b/>
        <w:sz w:val="22"/>
        <w:szCs w:val="22"/>
        <w:lang w:val="ru-RU"/>
      </w:rPr>
    </w:pPr>
    <w:r w:rsidRPr="002402C9">
      <w:rPr>
        <w:rFonts w:ascii="Arial" w:hAnsi="Arial" w:cs="Arial"/>
        <w:b/>
        <w:sz w:val="22"/>
        <w:szCs w:val="22"/>
        <w:lang w:val="nl-BE"/>
      </w:rPr>
      <w:t>ITH/1</w:t>
    </w:r>
    <w:r>
      <w:rPr>
        <w:rFonts w:ascii="Arial" w:hAnsi="Arial" w:cs="Arial"/>
        <w:b/>
        <w:sz w:val="22"/>
        <w:szCs w:val="22"/>
        <w:lang w:val="nl-BE"/>
      </w:rPr>
      <w:t>8</w:t>
    </w:r>
    <w:r w:rsidRPr="002402C9">
      <w:rPr>
        <w:rFonts w:ascii="Arial" w:hAnsi="Arial" w:cs="Arial"/>
        <w:b/>
        <w:sz w:val="22"/>
        <w:szCs w:val="22"/>
        <w:lang w:val="nl-BE"/>
      </w:rPr>
      <w:t>/</w:t>
    </w:r>
    <w:r>
      <w:rPr>
        <w:rFonts w:ascii="Arial" w:hAnsi="Arial" w:cs="Arial"/>
        <w:b/>
        <w:sz w:val="22"/>
        <w:szCs w:val="22"/>
        <w:lang w:val="nl-BE"/>
      </w:rPr>
      <w:t>7</w:t>
    </w:r>
    <w:r w:rsidRPr="002402C9">
      <w:rPr>
        <w:rFonts w:ascii="Arial" w:hAnsi="Arial" w:cs="Arial"/>
        <w:b/>
        <w:sz w:val="22"/>
        <w:szCs w:val="22"/>
        <w:lang w:val="nl-BE"/>
      </w:rPr>
      <w:t>.GA/</w:t>
    </w:r>
    <w:r>
      <w:rPr>
        <w:rFonts w:ascii="Arial" w:hAnsi="Arial" w:cs="Arial"/>
        <w:b/>
        <w:sz w:val="22"/>
        <w:szCs w:val="22"/>
        <w:lang w:val="ru-RU"/>
      </w:rPr>
      <w:t>10</w:t>
    </w:r>
    <w:r w:rsidR="00605155" w:rsidRPr="008B5C8B">
      <w:rPr>
        <w:rFonts w:ascii="Arial" w:hAnsi="Arial" w:cs="Arial"/>
        <w:b/>
        <w:sz w:val="22"/>
        <w:szCs w:val="22"/>
      </w:rPr>
      <w:t xml:space="preserve"> </w:t>
    </w:r>
    <w:proofErr w:type="spellStart"/>
    <w:r w:rsidR="00605155" w:rsidRPr="008B5C8B">
      <w:rPr>
        <w:rFonts w:ascii="Arial" w:hAnsi="Arial" w:cs="Arial"/>
        <w:b/>
        <w:sz w:val="22"/>
        <w:szCs w:val="22"/>
      </w:rPr>
      <w:t>Rev</w:t>
    </w:r>
    <w:proofErr w:type="spellEnd"/>
    <w:r w:rsidR="00605155" w:rsidRPr="008B5C8B">
      <w:rPr>
        <w:rFonts w:ascii="Arial" w:hAnsi="Arial" w:cs="Arial"/>
        <w:b/>
        <w:sz w:val="22"/>
        <w:szCs w:val="22"/>
      </w:rPr>
      <w:t>.</w:t>
    </w:r>
  </w:p>
  <w:p w:rsidR="008F7951" w:rsidRPr="002402C9" w:rsidRDefault="008F7951" w:rsidP="00F97F15">
    <w:pPr>
      <w:jc w:val="right"/>
      <w:rPr>
        <w:rFonts w:ascii="Arial" w:hAnsi="Arial" w:cs="Arial"/>
        <w:b/>
        <w:sz w:val="22"/>
        <w:szCs w:val="22"/>
        <w:lang w:val="ru-RU"/>
      </w:rPr>
    </w:pPr>
    <w:r>
      <w:rPr>
        <w:rFonts w:ascii="Arial" w:hAnsi="Arial" w:cs="Arial"/>
        <w:b/>
        <w:sz w:val="22"/>
        <w:szCs w:val="22"/>
        <w:lang w:val="ru-RU"/>
      </w:rPr>
      <w:t xml:space="preserve">Париж, </w:t>
    </w:r>
    <w:r w:rsidR="00605155">
      <w:rPr>
        <w:rFonts w:ascii="Arial" w:hAnsi="Arial" w:cs="Arial"/>
        <w:b/>
        <w:sz w:val="22"/>
        <w:szCs w:val="22"/>
        <w:lang w:val="nl-BE"/>
      </w:rPr>
      <w:t>31</w:t>
    </w:r>
    <w:r w:rsidR="00605155" w:rsidRPr="00F97F15">
      <w:rPr>
        <w:rFonts w:ascii="Arial" w:hAnsi="Arial" w:cs="Arial"/>
        <w:b/>
        <w:sz w:val="22"/>
        <w:szCs w:val="22"/>
        <w:lang w:val="nl-BE"/>
      </w:rPr>
      <w:t xml:space="preserve"> </w:t>
    </w:r>
    <w:proofErr w:type="spellStart"/>
    <w:r w:rsidR="00F97F15" w:rsidRPr="00F97F15">
      <w:rPr>
        <w:rFonts w:ascii="Arial" w:hAnsi="Arial" w:cs="Arial"/>
        <w:b/>
        <w:sz w:val="22"/>
        <w:szCs w:val="22"/>
        <w:lang w:val="nl-BE"/>
      </w:rPr>
      <w:t>мая</w:t>
    </w:r>
    <w:proofErr w:type="spellEnd"/>
    <w:r w:rsidR="00F97F15" w:rsidRPr="00F97F15">
      <w:rPr>
        <w:rFonts w:ascii="Arial" w:hAnsi="Arial" w:cs="Arial"/>
        <w:b/>
        <w:sz w:val="22"/>
        <w:szCs w:val="22"/>
        <w:lang w:val="nl-BE"/>
      </w:rPr>
      <w:t xml:space="preserve"> </w:t>
    </w:r>
    <w:r w:rsidRPr="002402C9">
      <w:rPr>
        <w:rFonts w:ascii="Arial" w:hAnsi="Arial" w:cs="Arial"/>
        <w:b/>
        <w:sz w:val="22"/>
        <w:szCs w:val="22"/>
        <w:lang w:val="ru-RU"/>
      </w:rPr>
      <w:t>201</w:t>
    </w:r>
    <w:r>
      <w:rPr>
        <w:rFonts w:ascii="Arial" w:hAnsi="Arial" w:cs="Arial"/>
        <w:b/>
        <w:sz w:val="22"/>
        <w:szCs w:val="22"/>
        <w:lang w:val="ru-RU"/>
      </w:rPr>
      <w:t>8</w:t>
    </w:r>
    <w:r w:rsidRPr="002402C9">
      <w:rPr>
        <w:rFonts w:ascii="Arial" w:hAnsi="Arial" w:cs="Arial"/>
        <w:b/>
        <w:sz w:val="22"/>
        <w:szCs w:val="22"/>
        <w:lang w:val="ru-RU"/>
      </w:rPr>
      <w:t xml:space="preserve"> </w:t>
    </w:r>
    <w:r>
      <w:rPr>
        <w:rFonts w:ascii="Arial" w:hAnsi="Arial" w:cs="Arial"/>
        <w:b/>
        <w:sz w:val="22"/>
        <w:szCs w:val="22"/>
        <w:lang w:val="ru-RU"/>
      </w:rPr>
      <w:t>г.</w:t>
    </w:r>
  </w:p>
  <w:p w:rsidR="008F7951" w:rsidRPr="002402C9" w:rsidRDefault="008F7951" w:rsidP="000048ED">
    <w:pPr>
      <w:jc w:val="right"/>
      <w:rPr>
        <w:rFonts w:ascii="Arial" w:hAnsi="Arial" w:cs="Arial"/>
        <w:b/>
        <w:sz w:val="22"/>
        <w:szCs w:val="22"/>
        <w:lang w:val="ru-RU"/>
      </w:rPr>
    </w:pPr>
    <w:r w:rsidRPr="00EC1E86">
      <w:rPr>
        <w:rFonts w:ascii="Arial" w:hAnsi="Arial" w:cs="Arial"/>
        <w:b/>
        <w:sz w:val="22"/>
        <w:szCs w:val="22"/>
        <w:lang w:val="ru-RU"/>
      </w:rPr>
      <w:t>Оригинал</w:t>
    </w:r>
    <w:r w:rsidRPr="00107309">
      <w:rPr>
        <w:rFonts w:ascii="Arial" w:hAnsi="Arial" w:cs="Arial"/>
        <w:b/>
        <w:sz w:val="22"/>
        <w:szCs w:val="22"/>
        <w:lang w:val="ru-RU"/>
      </w:rPr>
      <w:t>:</w:t>
    </w:r>
    <w:r w:rsidRPr="002402C9">
      <w:rPr>
        <w:rFonts w:ascii="Arial" w:hAnsi="Arial" w:cs="Arial"/>
        <w:b/>
        <w:sz w:val="22"/>
        <w:szCs w:val="22"/>
        <w:lang w:val="ru-RU"/>
      </w:rPr>
      <w:t xml:space="preserve"> </w:t>
    </w:r>
    <w:r>
      <w:rPr>
        <w:rFonts w:ascii="Arial" w:hAnsi="Arial" w:cs="Arial"/>
        <w:b/>
        <w:sz w:val="22"/>
        <w:szCs w:val="22"/>
        <w:lang w:val="ru-RU"/>
      </w:rPr>
      <w:t>английский</w:t>
    </w:r>
  </w:p>
  <w:p w:rsidR="008F7951" w:rsidRPr="002402C9" w:rsidRDefault="008F7951">
    <w:pPr>
      <w:pStyle w:val="Header"/>
      <w:rPr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15" w:rsidRPr="00F97F15" w:rsidRDefault="00F97F15" w:rsidP="00F97F15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</w:rPr>
      <w:t>ITH/18/7.GA/</w:t>
    </w:r>
    <w:r>
      <w:rPr>
        <w:rFonts w:ascii="Arial" w:hAnsi="Arial" w:cs="Arial"/>
        <w:sz w:val="20"/>
        <w:szCs w:val="20"/>
        <w:lang w:val="ru-RU"/>
      </w:rPr>
      <w:t>10</w:t>
    </w:r>
    <w:r>
      <w:rPr>
        <w:rFonts w:ascii="Arial" w:hAnsi="Arial" w:cs="Arial"/>
        <w:sz w:val="20"/>
        <w:szCs w:val="20"/>
      </w:rPr>
      <w:t xml:space="preserve"> </w:t>
    </w:r>
    <w:proofErr w:type="spellStart"/>
    <w:r w:rsidR="00605155">
      <w:rPr>
        <w:rFonts w:ascii="Arial" w:hAnsi="Arial" w:cs="Arial"/>
        <w:sz w:val="20"/>
        <w:szCs w:val="20"/>
      </w:rPr>
      <w:t>Rev</w:t>
    </w:r>
    <w:proofErr w:type="spellEnd"/>
    <w:r w:rsidR="00605155">
      <w:rPr>
        <w:rFonts w:ascii="Arial" w:hAnsi="Arial" w:cs="Arial"/>
        <w:sz w:val="20"/>
        <w:szCs w:val="20"/>
      </w:rPr>
      <w:t xml:space="preserve">. </w:t>
    </w:r>
    <w:r>
      <w:rPr>
        <w:rFonts w:ascii="Arial" w:hAnsi="Arial" w:cs="Arial"/>
        <w:sz w:val="20"/>
        <w:szCs w:val="20"/>
      </w:rPr>
      <w:t xml:space="preserve">– </w:t>
    </w:r>
    <w:r>
      <w:rPr>
        <w:rFonts w:ascii="Arial" w:hAnsi="Arial" w:cs="Arial"/>
        <w:bCs/>
        <w:sz w:val="20"/>
        <w:szCs w:val="20"/>
        <w:lang w:val="ru-RU"/>
      </w:rPr>
      <w:t>страница</w:t>
    </w:r>
    <w:r w:rsidRPr="00C23A97">
      <w:rPr>
        <w:rStyle w:val="PageNumber"/>
        <w:rFonts w:ascii="Arial" w:hAnsi="Arial" w:cs="Arial"/>
        <w:sz w:val="20"/>
        <w:szCs w:val="20"/>
        <w:lang w:val="en-GB"/>
      </w:rPr>
      <w:t xml:space="preserve"> </w: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8B5C8B">
      <w:rPr>
        <w:rStyle w:val="PageNumber"/>
        <w:rFonts w:ascii="Arial" w:hAnsi="Arial" w:cs="Arial"/>
        <w:noProof/>
        <w:sz w:val="20"/>
        <w:szCs w:val="20"/>
      </w:rPr>
      <w:t>4</w: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481"/>
    <w:multiLevelType w:val="hybridMultilevel"/>
    <w:tmpl w:val="C458E90A"/>
    <w:lvl w:ilvl="0" w:tplc="7FB23842">
      <w:start w:val="1"/>
      <w:numFmt w:val="lowerLetter"/>
      <w:lvlText w:val="(%1)"/>
      <w:lvlJc w:val="left"/>
      <w:pPr>
        <w:ind w:left="39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3" w:hanging="360"/>
      </w:pPr>
    </w:lvl>
    <w:lvl w:ilvl="2" w:tplc="040C001B" w:tentative="1">
      <w:start w:val="1"/>
      <w:numFmt w:val="lowerRoman"/>
      <w:lvlText w:val="%3."/>
      <w:lvlJc w:val="right"/>
      <w:pPr>
        <w:ind w:left="1833" w:hanging="180"/>
      </w:pPr>
    </w:lvl>
    <w:lvl w:ilvl="3" w:tplc="040C000F" w:tentative="1">
      <w:start w:val="1"/>
      <w:numFmt w:val="decimal"/>
      <w:lvlText w:val="%4."/>
      <w:lvlJc w:val="left"/>
      <w:pPr>
        <w:ind w:left="2553" w:hanging="360"/>
      </w:pPr>
    </w:lvl>
    <w:lvl w:ilvl="4" w:tplc="040C0019" w:tentative="1">
      <w:start w:val="1"/>
      <w:numFmt w:val="lowerLetter"/>
      <w:lvlText w:val="%5."/>
      <w:lvlJc w:val="left"/>
      <w:pPr>
        <w:ind w:left="3273" w:hanging="360"/>
      </w:pPr>
    </w:lvl>
    <w:lvl w:ilvl="5" w:tplc="040C001B" w:tentative="1">
      <w:start w:val="1"/>
      <w:numFmt w:val="lowerRoman"/>
      <w:lvlText w:val="%6."/>
      <w:lvlJc w:val="right"/>
      <w:pPr>
        <w:ind w:left="3993" w:hanging="180"/>
      </w:pPr>
    </w:lvl>
    <w:lvl w:ilvl="6" w:tplc="040C000F" w:tentative="1">
      <w:start w:val="1"/>
      <w:numFmt w:val="decimal"/>
      <w:lvlText w:val="%7."/>
      <w:lvlJc w:val="left"/>
      <w:pPr>
        <w:ind w:left="4713" w:hanging="360"/>
      </w:pPr>
    </w:lvl>
    <w:lvl w:ilvl="7" w:tplc="040C0019" w:tentative="1">
      <w:start w:val="1"/>
      <w:numFmt w:val="lowerLetter"/>
      <w:lvlText w:val="%8."/>
      <w:lvlJc w:val="left"/>
      <w:pPr>
        <w:ind w:left="5433" w:hanging="360"/>
      </w:pPr>
    </w:lvl>
    <w:lvl w:ilvl="8" w:tplc="040C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C166C6B"/>
    <w:multiLevelType w:val="hybridMultilevel"/>
    <w:tmpl w:val="24DA2972"/>
    <w:lvl w:ilvl="0" w:tplc="5C68720E">
      <w:start w:val="1"/>
      <w:numFmt w:val="lowerLetter"/>
      <w:lvlText w:val="(%1)"/>
      <w:lvlJc w:val="left"/>
      <w:pPr>
        <w:ind w:left="1215" w:hanging="8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5B111E"/>
    <w:multiLevelType w:val="hybridMultilevel"/>
    <w:tmpl w:val="24DA2972"/>
    <w:lvl w:ilvl="0" w:tplc="5C68720E">
      <w:start w:val="1"/>
      <w:numFmt w:val="lowerLetter"/>
      <w:lvlText w:val="(%1)"/>
      <w:lvlJc w:val="left"/>
      <w:pPr>
        <w:ind w:left="1215" w:hanging="8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47C22FB2"/>
    <w:multiLevelType w:val="hybridMultilevel"/>
    <w:tmpl w:val="C458E90A"/>
    <w:lvl w:ilvl="0" w:tplc="7FB23842">
      <w:start w:val="1"/>
      <w:numFmt w:val="lowerLetter"/>
      <w:lvlText w:val="(%1)"/>
      <w:lvlJc w:val="left"/>
      <w:pPr>
        <w:ind w:left="39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3" w:hanging="360"/>
      </w:pPr>
    </w:lvl>
    <w:lvl w:ilvl="2" w:tplc="040C001B" w:tentative="1">
      <w:start w:val="1"/>
      <w:numFmt w:val="lowerRoman"/>
      <w:lvlText w:val="%3."/>
      <w:lvlJc w:val="right"/>
      <w:pPr>
        <w:ind w:left="1833" w:hanging="180"/>
      </w:pPr>
    </w:lvl>
    <w:lvl w:ilvl="3" w:tplc="040C000F" w:tentative="1">
      <w:start w:val="1"/>
      <w:numFmt w:val="decimal"/>
      <w:lvlText w:val="%4."/>
      <w:lvlJc w:val="left"/>
      <w:pPr>
        <w:ind w:left="2553" w:hanging="360"/>
      </w:pPr>
    </w:lvl>
    <w:lvl w:ilvl="4" w:tplc="040C0019" w:tentative="1">
      <w:start w:val="1"/>
      <w:numFmt w:val="lowerLetter"/>
      <w:lvlText w:val="%5."/>
      <w:lvlJc w:val="left"/>
      <w:pPr>
        <w:ind w:left="3273" w:hanging="360"/>
      </w:pPr>
    </w:lvl>
    <w:lvl w:ilvl="5" w:tplc="040C001B" w:tentative="1">
      <w:start w:val="1"/>
      <w:numFmt w:val="lowerRoman"/>
      <w:lvlText w:val="%6."/>
      <w:lvlJc w:val="right"/>
      <w:pPr>
        <w:ind w:left="3993" w:hanging="180"/>
      </w:pPr>
    </w:lvl>
    <w:lvl w:ilvl="6" w:tplc="040C000F" w:tentative="1">
      <w:start w:val="1"/>
      <w:numFmt w:val="decimal"/>
      <w:lvlText w:val="%7."/>
      <w:lvlJc w:val="left"/>
      <w:pPr>
        <w:ind w:left="4713" w:hanging="360"/>
      </w:pPr>
    </w:lvl>
    <w:lvl w:ilvl="7" w:tplc="040C0019" w:tentative="1">
      <w:start w:val="1"/>
      <w:numFmt w:val="lowerLetter"/>
      <w:lvlText w:val="%8."/>
      <w:lvlJc w:val="left"/>
      <w:pPr>
        <w:ind w:left="5433" w:hanging="360"/>
      </w:pPr>
    </w:lvl>
    <w:lvl w:ilvl="8" w:tplc="040C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54C13D09"/>
    <w:multiLevelType w:val="hybridMultilevel"/>
    <w:tmpl w:val="24DA2972"/>
    <w:lvl w:ilvl="0" w:tplc="5C68720E">
      <w:start w:val="1"/>
      <w:numFmt w:val="lowerLetter"/>
      <w:lvlText w:val="(%1)"/>
      <w:lvlJc w:val="left"/>
      <w:pPr>
        <w:ind w:left="1215" w:hanging="8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A4266"/>
    <w:multiLevelType w:val="hybridMultilevel"/>
    <w:tmpl w:val="F2D68366"/>
    <w:lvl w:ilvl="0" w:tplc="5C6872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65844D09"/>
    <w:multiLevelType w:val="hybridMultilevel"/>
    <w:tmpl w:val="24DA2972"/>
    <w:lvl w:ilvl="0" w:tplc="5C68720E">
      <w:start w:val="1"/>
      <w:numFmt w:val="lowerLetter"/>
      <w:lvlText w:val="(%1)"/>
      <w:lvlJc w:val="left"/>
      <w:pPr>
        <w:ind w:left="1215" w:hanging="8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55861"/>
    <w:multiLevelType w:val="hybridMultilevel"/>
    <w:tmpl w:val="4740CCB6"/>
    <w:lvl w:ilvl="0" w:tplc="1EB0BCA6">
      <w:start w:val="1"/>
      <w:numFmt w:val="lowerRoman"/>
      <w:pStyle w:val="i"/>
      <w:lvlText w:val="%1."/>
      <w:lvlJc w:val="left"/>
      <w:pPr>
        <w:ind w:left="1147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6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8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0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2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74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6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8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07" w:hanging="180"/>
      </w:pPr>
      <w:rPr>
        <w:rFonts w:cs="Times New Roman"/>
      </w:rPr>
    </w:lvl>
  </w:abstractNum>
  <w:abstractNum w:abstractNumId="19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6587C"/>
    <w:multiLevelType w:val="hybridMultilevel"/>
    <w:tmpl w:val="C458E90A"/>
    <w:lvl w:ilvl="0" w:tplc="7FB23842">
      <w:start w:val="1"/>
      <w:numFmt w:val="lowerLetter"/>
      <w:lvlText w:val="(%1)"/>
      <w:lvlJc w:val="left"/>
      <w:pPr>
        <w:ind w:left="39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3" w:hanging="360"/>
      </w:pPr>
    </w:lvl>
    <w:lvl w:ilvl="2" w:tplc="040C001B" w:tentative="1">
      <w:start w:val="1"/>
      <w:numFmt w:val="lowerRoman"/>
      <w:lvlText w:val="%3."/>
      <w:lvlJc w:val="right"/>
      <w:pPr>
        <w:ind w:left="1833" w:hanging="180"/>
      </w:pPr>
    </w:lvl>
    <w:lvl w:ilvl="3" w:tplc="040C000F" w:tentative="1">
      <w:start w:val="1"/>
      <w:numFmt w:val="decimal"/>
      <w:lvlText w:val="%4."/>
      <w:lvlJc w:val="left"/>
      <w:pPr>
        <w:ind w:left="2553" w:hanging="360"/>
      </w:pPr>
    </w:lvl>
    <w:lvl w:ilvl="4" w:tplc="040C0019" w:tentative="1">
      <w:start w:val="1"/>
      <w:numFmt w:val="lowerLetter"/>
      <w:lvlText w:val="%5."/>
      <w:lvlJc w:val="left"/>
      <w:pPr>
        <w:ind w:left="3273" w:hanging="360"/>
      </w:pPr>
    </w:lvl>
    <w:lvl w:ilvl="5" w:tplc="040C001B" w:tentative="1">
      <w:start w:val="1"/>
      <w:numFmt w:val="lowerRoman"/>
      <w:lvlText w:val="%6."/>
      <w:lvlJc w:val="right"/>
      <w:pPr>
        <w:ind w:left="3993" w:hanging="180"/>
      </w:pPr>
    </w:lvl>
    <w:lvl w:ilvl="6" w:tplc="040C000F" w:tentative="1">
      <w:start w:val="1"/>
      <w:numFmt w:val="decimal"/>
      <w:lvlText w:val="%7."/>
      <w:lvlJc w:val="left"/>
      <w:pPr>
        <w:ind w:left="4713" w:hanging="360"/>
      </w:pPr>
    </w:lvl>
    <w:lvl w:ilvl="7" w:tplc="040C0019" w:tentative="1">
      <w:start w:val="1"/>
      <w:numFmt w:val="lowerLetter"/>
      <w:lvlText w:val="%8."/>
      <w:lvlJc w:val="left"/>
      <w:pPr>
        <w:ind w:left="5433" w:hanging="360"/>
      </w:pPr>
    </w:lvl>
    <w:lvl w:ilvl="8" w:tplc="040C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9"/>
  </w:num>
  <w:num w:numId="5">
    <w:abstractNumId w:val="17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8"/>
  </w:num>
  <w:num w:numId="11">
    <w:abstractNumId w:val="10"/>
  </w:num>
  <w:num w:numId="12">
    <w:abstractNumId w:val="9"/>
  </w:num>
  <w:num w:numId="13">
    <w:abstractNumId w:val="5"/>
    <w:lvlOverride w:ilvl="0">
      <w:startOverride w:val="1"/>
    </w:lvlOverride>
  </w:num>
  <w:num w:numId="14">
    <w:abstractNumId w:val="16"/>
  </w:num>
  <w:num w:numId="15">
    <w:abstractNumId w:val="12"/>
  </w:num>
  <w:num w:numId="16">
    <w:abstractNumId w:val="18"/>
  </w:num>
  <w:num w:numId="17">
    <w:abstractNumId w:val="18"/>
    <w:lvlOverride w:ilvl="0">
      <w:startOverride w:val="1"/>
    </w:lvlOverride>
  </w:num>
  <w:num w:numId="18">
    <w:abstractNumId w:val="20"/>
  </w:num>
  <w:num w:numId="19">
    <w:abstractNumId w:val="0"/>
  </w:num>
  <w:num w:numId="20">
    <w:abstractNumId w:val="7"/>
  </w:num>
  <w:num w:numId="21">
    <w:abstractNumId w:val="13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F5"/>
    <w:rsid w:val="00001581"/>
    <w:rsid w:val="00002EB6"/>
    <w:rsid w:val="000048ED"/>
    <w:rsid w:val="000169AC"/>
    <w:rsid w:val="0003715C"/>
    <w:rsid w:val="00040C79"/>
    <w:rsid w:val="00041A66"/>
    <w:rsid w:val="00043FEE"/>
    <w:rsid w:val="0005176E"/>
    <w:rsid w:val="00062627"/>
    <w:rsid w:val="000765F7"/>
    <w:rsid w:val="00076924"/>
    <w:rsid w:val="00077AB7"/>
    <w:rsid w:val="00081CD8"/>
    <w:rsid w:val="00084022"/>
    <w:rsid w:val="00090FAE"/>
    <w:rsid w:val="000928CA"/>
    <w:rsid w:val="000A7DDF"/>
    <w:rsid w:val="000A7F0E"/>
    <w:rsid w:val="000C0D61"/>
    <w:rsid w:val="000C7858"/>
    <w:rsid w:val="000D2F3B"/>
    <w:rsid w:val="000F3A3F"/>
    <w:rsid w:val="000F6D8D"/>
    <w:rsid w:val="000F7AF2"/>
    <w:rsid w:val="00102557"/>
    <w:rsid w:val="00103036"/>
    <w:rsid w:val="00113E84"/>
    <w:rsid w:val="001158D5"/>
    <w:rsid w:val="00164D56"/>
    <w:rsid w:val="00167B10"/>
    <w:rsid w:val="001713D6"/>
    <w:rsid w:val="0017402F"/>
    <w:rsid w:val="00185032"/>
    <w:rsid w:val="00196C1B"/>
    <w:rsid w:val="00197D53"/>
    <w:rsid w:val="001A5C00"/>
    <w:rsid w:val="001B0F73"/>
    <w:rsid w:val="001C43AC"/>
    <w:rsid w:val="001C5AAC"/>
    <w:rsid w:val="001D5C04"/>
    <w:rsid w:val="00200A04"/>
    <w:rsid w:val="00205742"/>
    <w:rsid w:val="00222A2D"/>
    <w:rsid w:val="00223029"/>
    <w:rsid w:val="00224A69"/>
    <w:rsid w:val="00232FE4"/>
    <w:rsid w:val="00234745"/>
    <w:rsid w:val="002402C9"/>
    <w:rsid w:val="002407AF"/>
    <w:rsid w:val="00266F25"/>
    <w:rsid w:val="002C09E3"/>
    <w:rsid w:val="002C2BD5"/>
    <w:rsid w:val="002D0CCF"/>
    <w:rsid w:val="002D620C"/>
    <w:rsid w:val="002E2C41"/>
    <w:rsid w:val="002E6363"/>
    <w:rsid w:val="002F7512"/>
    <w:rsid w:val="003134B3"/>
    <w:rsid w:val="00317566"/>
    <w:rsid w:val="00320775"/>
    <w:rsid w:val="00340C79"/>
    <w:rsid w:val="00345CB4"/>
    <w:rsid w:val="003510C6"/>
    <w:rsid w:val="00353FA5"/>
    <w:rsid w:val="00361A6E"/>
    <w:rsid w:val="00363B3C"/>
    <w:rsid w:val="00390626"/>
    <w:rsid w:val="003A3AA2"/>
    <w:rsid w:val="003B5233"/>
    <w:rsid w:val="003C2E94"/>
    <w:rsid w:val="003C4112"/>
    <w:rsid w:val="003C48AB"/>
    <w:rsid w:val="003D069C"/>
    <w:rsid w:val="003D7646"/>
    <w:rsid w:val="003F113A"/>
    <w:rsid w:val="003F1AFD"/>
    <w:rsid w:val="00400891"/>
    <w:rsid w:val="0040099B"/>
    <w:rsid w:val="00401B6A"/>
    <w:rsid w:val="00407696"/>
    <w:rsid w:val="004140B4"/>
    <w:rsid w:val="00414643"/>
    <w:rsid w:val="004421E5"/>
    <w:rsid w:val="0044794B"/>
    <w:rsid w:val="00452284"/>
    <w:rsid w:val="00456E62"/>
    <w:rsid w:val="004765DD"/>
    <w:rsid w:val="004856CA"/>
    <w:rsid w:val="00496677"/>
    <w:rsid w:val="0049705E"/>
    <w:rsid w:val="004972F8"/>
    <w:rsid w:val="004A34A0"/>
    <w:rsid w:val="004A4156"/>
    <w:rsid w:val="004C39CE"/>
    <w:rsid w:val="004D0E12"/>
    <w:rsid w:val="004F1223"/>
    <w:rsid w:val="004F4ADD"/>
    <w:rsid w:val="00524696"/>
    <w:rsid w:val="00526B7B"/>
    <w:rsid w:val="005308CE"/>
    <w:rsid w:val="0057439C"/>
    <w:rsid w:val="005758F4"/>
    <w:rsid w:val="00583832"/>
    <w:rsid w:val="00584E00"/>
    <w:rsid w:val="00592541"/>
    <w:rsid w:val="0059476C"/>
    <w:rsid w:val="005A4E50"/>
    <w:rsid w:val="005A7C1C"/>
    <w:rsid w:val="005B0127"/>
    <w:rsid w:val="005B2796"/>
    <w:rsid w:val="005B4CD3"/>
    <w:rsid w:val="005B7A35"/>
    <w:rsid w:val="005C00F5"/>
    <w:rsid w:val="005C4B73"/>
    <w:rsid w:val="005C5208"/>
    <w:rsid w:val="005C786C"/>
    <w:rsid w:val="005D2D96"/>
    <w:rsid w:val="005D6BF3"/>
    <w:rsid w:val="005E1D2B"/>
    <w:rsid w:val="005E4160"/>
    <w:rsid w:val="005E47FE"/>
    <w:rsid w:val="005F39E2"/>
    <w:rsid w:val="00600D93"/>
    <w:rsid w:val="00601914"/>
    <w:rsid w:val="006021F0"/>
    <w:rsid w:val="00605155"/>
    <w:rsid w:val="0063300C"/>
    <w:rsid w:val="00641CBF"/>
    <w:rsid w:val="0065051E"/>
    <w:rsid w:val="00655736"/>
    <w:rsid w:val="006626E7"/>
    <w:rsid w:val="00663B8D"/>
    <w:rsid w:val="006841BB"/>
    <w:rsid w:val="00685C27"/>
    <w:rsid w:val="00685FDE"/>
    <w:rsid w:val="00696C8D"/>
    <w:rsid w:val="006A2AC2"/>
    <w:rsid w:val="006A3617"/>
    <w:rsid w:val="006B7B0C"/>
    <w:rsid w:val="006C541A"/>
    <w:rsid w:val="006C7589"/>
    <w:rsid w:val="006D1952"/>
    <w:rsid w:val="006D26B2"/>
    <w:rsid w:val="006E46E4"/>
    <w:rsid w:val="006F50C3"/>
    <w:rsid w:val="006F5F9A"/>
    <w:rsid w:val="00717DA5"/>
    <w:rsid w:val="0073127E"/>
    <w:rsid w:val="00744484"/>
    <w:rsid w:val="007461D9"/>
    <w:rsid w:val="00773188"/>
    <w:rsid w:val="00780386"/>
    <w:rsid w:val="0078108B"/>
    <w:rsid w:val="00783782"/>
    <w:rsid w:val="00784B8C"/>
    <w:rsid w:val="007A3EA6"/>
    <w:rsid w:val="007A5AF3"/>
    <w:rsid w:val="007B357E"/>
    <w:rsid w:val="007D6969"/>
    <w:rsid w:val="007E0094"/>
    <w:rsid w:val="007E5D76"/>
    <w:rsid w:val="00823A11"/>
    <w:rsid w:val="00827B89"/>
    <w:rsid w:val="0084222F"/>
    <w:rsid w:val="0085414A"/>
    <w:rsid w:val="00860155"/>
    <w:rsid w:val="0086269D"/>
    <w:rsid w:val="0086543A"/>
    <w:rsid w:val="0087008A"/>
    <w:rsid w:val="008724E5"/>
    <w:rsid w:val="00872666"/>
    <w:rsid w:val="00884A9D"/>
    <w:rsid w:val="0088512B"/>
    <w:rsid w:val="008939D1"/>
    <w:rsid w:val="00896FE5"/>
    <w:rsid w:val="008A2B2D"/>
    <w:rsid w:val="008A2C44"/>
    <w:rsid w:val="008A4E1E"/>
    <w:rsid w:val="008A5A5E"/>
    <w:rsid w:val="008B5C0E"/>
    <w:rsid w:val="008B5C8B"/>
    <w:rsid w:val="008C296C"/>
    <w:rsid w:val="008D4305"/>
    <w:rsid w:val="008D538D"/>
    <w:rsid w:val="008E0A2A"/>
    <w:rsid w:val="008E61B4"/>
    <w:rsid w:val="008E6207"/>
    <w:rsid w:val="008E680C"/>
    <w:rsid w:val="008F6777"/>
    <w:rsid w:val="008F7951"/>
    <w:rsid w:val="00913EF1"/>
    <w:rsid w:val="00914F65"/>
    <w:rsid w:val="009163A7"/>
    <w:rsid w:val="00926ED7"/>
    <w:rsid w:val="00927BB8"/>
    <w:rsid w:val="00945608"/>
    <w:rsid w:val="00946D0B"/>
    <w:rsid w:val="009502A6"/>
    <w:rsid w:val="00950EEE"/>
    <w:rsid w:val="00951C28"/>
    <w:rsid w:val="00971C4B"/>
    <w:rsid w:val="00974F8C"/>
    <w:rsid w:val="00981D80"/>
    <w:rsid w:val="00990F00"/>
    <w:rsid w:val="00996055"/>
    <w:rsid w:val="009A18CD"/>
    <w:rsid w:val="009C05B9"/>
    <w:rsid w:val="009C2CA4"/>
    <w:rsid w:val="009D4D80"/>
    <w:rsid w:val="009E04B8"/>
    <w:rsid w:val="009F5035"/>
    <w:rsid w:val="00A12558"/>
    <w:rsid w:val="00A13903"/>
    <w:rsid w:val="00A166FF"/>
    <w:rsid w:val="00A22629"/>
    <w:rsid w:val="00A24BDD"/>
    <w:rsid w:val="00A34ED5"/>
    <w:rsid w:val="00A45DBF"/>
    <w:rsid w:val="00A63FD9"/>
    <w:rsid w:val="00A755A2"/>
    <w:rsid w:val="00A77C13"/>
    <w:rsid w:val="00A77E74"/>
    <w:rsid w:val="00A971E0"/>
    <w:rsid w:val="00AA6660"/>
    <w:rsid w:val="00AB0A78"/>
    <w:rsid w:val="00AB2C36"/>
    <w:rsid w:val="00AB70B6"/>
    <w:rsid w:val="00AD1A86"/>
    <w:rsid w:val="00AD435A"/>
    <w:rsid w:val="00AE103E"/>
    <w:rsid w:val="00AF0A07"/>
    <w:rsid w:val="00AF4AEC"/>
    <w:rsid w:val="00AF625E"/>
    <w:rsid w:val="00AF7986"/>
    <w:rsid w:val="00B00836"/>
    <w:rsid w:val="00B16AD6"/>
    <w:rsid w:val="00B2115C"/>
    <w:rsid w:val="00B23A2A"/>
    <w:rsid w:val="00B32706"/>
    <w:rsid w:val="00B37543"/>
    <w:rsid w:val="00B45041"/>
    <w:rsid w:val="00B465C1"/>
    <w:rsid w:val="00B56D2E"/>
    <w:rsid w:val="00B753C6"/>
    <w:rsid w:val="00BB020D"/>
    <w:rsid w:val="00BB04AF"/>
    <w:rsid w:val="00BB0B23"/>
    <w:rsid w:val="00BB3A44"/>
    <w:rsid w:val="00BB57EB"/>
    <w:rsid w:val="00BC4FEE"/>
    <w:rsid w:val="00BC7F98"/>
    <w:rsid w:val="00BD52C9"/>
    <w:rsid w:val="00BD5F0E"/>
    <w:rsid w:val="00BE220A"/>
    <w:rsid w:val="00BE48C6"/>
    <w:rsid w:val="00BE6354"/>
    <w:rsid w:val="00BF0058"/>
    <w:rsid w:val="00BF264E"/>
    <w:rsid w:val="00BF6D07"/>
    <w:rsid w:val="00C06169"/>
    <w:rsid w:val="00C229D2"/>
    <w:rsid w:val="00C23A97"/>
    <w:rsid w:val="00C43C73"/>
    <w:rsid w:val="00C70EA7"/>
    <w:rsid w:val="00C7516E"/>
    <w:rsid w:val="00C75770"/>
    <w:rsid w:val="00C843DC"/>
    <w:rsid w:val="00C95D03"/>
    <w:rsid w:val="00CA0AEF"/>
    <w:rsid w:val="00CA0F20"/>
    <w:rsid w:val="00CC02A0"/>
    <w:rsid w:val="00CC55CC"/>
    <w:rsid w:val="00CC6A02"/>
    <w:rsid w:val="00CD2B84"/>
    <w:rsid w:val="00CE47C2"/>
    <w:rsid w:val="00CE7532"/>
    <w:rsid w:val="00CF43BD"/>
    <w:rsid w:val="00D00B2B"/>
    <w:rsid w:val="00D060AD"/>
    <w:rsid w:val="00D17759"/>
    <w:rsid w:val="00D24877"/>
    <w:rsid w:val="00D329AB"/>
    <w:rsid w:val="00D33D17"/>
    <w:rsid w:val="00D5134F"/>
    <w:rsid w:val="00D51E51"/>
    <w:rsid w:val="00D56A5B"/>
    <w:rsid w:val="00D94A1A"/>
    <w:rsid w:val="00D95C4C"/>
    <w:rsid w:val="00DA36ED"/>
    <w:rsid w:val="00DB6D4E"/>
    <w:rsid w:val="00DC378E"/>
    <w:rsid w:val="00DE174B"/>
    <w:rsid w:val="00DE34F1"/>
    <w:rsid w:val="00DF4942"/>
    <w:rsid w:val="00E02E7D"/>
    <w:rsid w:val="00E055F0"/>
    <w:rsid w:val="00E21FBD"/>
    <w:rsid w:val="00E23B7C"/>
    <w:rsid w:val="00E57739"/>
    <w:rsid w:val="00E627B1"/>
    <w:rsid w:val="00E703E3"/>
    <w:rsid w:val="00E75011"/>
    <w:rsid w:val="00E81718"/>
    <w:rsid w:val="00E9376C"/>
    <w:rsid w:val="00EA2C84"/>
    <w:rsid w:val="00EA335E"/>
    <w:rsid w:val="00EA41C9"/>
    <w:rsid w:val="00EA528C"/>
    <w:rsid w:val="00EB12F6"/>
    <w:rsid w:val="00EB3EF7"/>
    <w:rsid w:val="00EC10CE"/>
    <w:rsid w:val="00ED7349"/>
    <w:rsid w:val="00ED7408"/>
    <w:rsid w:val="00EF1C5A"/>
    <w:rsid w:val="00EF34E2"/>
    <w:rsid w:val="00F0512B"/>
    <w:rsid w:val="00F07833"/>
    <w:rsid w:val="00F10FED"/>
    <w:rsid w:val="00F2426F"/>
    <w:rsid w:val="00F31F80"/>
    <w:rsid w:val="00F40D41"/>
    <w:rsid w:val="00F53D72"/>
    <w:rsid w:val="00F53DE9"/>
    <w:rsid w:val="00F543A5"/>
    <w:rsid w:val="00F576CB"/>
    <w:rsid w:val="00F71A02"/>
    <w:rsid w:val="00F756E8"/>
    <w:rsid w:val="00F93B2F"/>
    <w:rsid w:val="00F97F15"/>
    <w:rsid w:val="00FB62E3"/>
    <w:rsid w:val="00FD1226"/>
    <w:rsid w:val="00FE5283"/>
    <w:rsid w:val="00FE75DD"/>
    <w:rsid w:val="00FF4830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EB37A6A-F590-4A54-BAA9-1356EFF7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896FE5"/>
    <w:rPr>
      <w:color w:val="0563C1" w:themeColor="hyperlink"/>
      <w:u w:val="single"/>
    </w:rPr>
  </w:style>
  <w:style w:type="paragraph" w:customStyle="1" w:styleId="COMPara">
    <w:name w:val="COM Para"/>
    <w:qFormat/>
    <w:rsid w:val="00AD435A"/>
    <w:pPr>
      <w:spacing w:after="120"/>
      <w:ind w:left="720" w:hanging="36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COMTitleDecision">
    <w:name w:val="COM Title Decision"/>
    <w:basedOn w:val="Normal"/>
    <w:qFormat/>
    <w:rsid w:val="00AD435A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AD435A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AD435A"/>
    <w:pPr>
      <w:autoSpaceDE w:val="0"/>
      <w:autoSpaceDN w:val="0"/>
      <w:adjustRightInd w:val="0"/>
      <w:spacing w:after="120"/>
      <w:ind w:left="1287" w:hanging="360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customStyle="1" w:styleId="atenuated">
    <w:name w:val="atenuated"/>
    <w:basedOn w:val="DefaultParagraphFont"/>
    <w:rsid w:val="00AD435A"/>
  </w:style>
  <w:style w:type="paragraph" w:customStyle="1" w:styleId="U1">
    <w:name w:val="U.1"/>
    <w:basedOn w:val="Normal"/>
    <w:qFormat/>
    <w:rsid w:val="00F40D41"/>
    <w:pPr>
      <w:widowControl w:val="0"/>
      <w:tabs>
        <w:tab w:val="left" w:pos="1701"/>
      </w:tabs>
      <w:autoSpaceDE w:val="0"/>
      <w:autoSpaceDN w:val="0"/>
      <w:adjustRightInd w:val="0"/>
      <w:spacing w:after="120"/>
      <w:ind w:left="1701" w:hanging="567"/>
    </w:pPr>
    <w:rPr>
      <w:rFonts w:ascii="Arial" w:eastAsia="SimSun" w:hAnsi="Arial" w:cs="Arial"/>
      <w:sz w:val="22"/>
      <w:szCs w:val="22"/>
      <w:lang w:val="en-US"/>
    </w:rPr>
  </w:style>
  <w:style w:type="paragraph" w:customStyle="1" w:styleId="i">
    <w:name w:val="(i)"/>
    <w:basedOn w:val="Normal"/>
    <w:link w:val="iChar"/>
    <w:autoRedefine/>
    <w:qFormat/>
    <w:rsid w:val="00F40D41"/>
    <w:pPr>
      <w:numPr>
        <w:numId w:val="16"/>
      </w:numPr>
      <w:autoSpaceDE w:val="0"/>
      <w:autoSpaceDN w:val="0"/>
      <w:adjustRightInd w:val="0"/>
      <w:spacing w:before="120" w:after="120"/>
      <w:ind w:right="284"/>
      <w:jc w:val="both"/>
    </w:pPr>
    <w:rPr>
      <w:rFonts w:ascii="Arial" w:eastAsia="SimSun" w:hAnsi="Arial" w:cs="Arial"/>
      <w:w w:val="90"/>
      <w:sz w:val="22"/>
      <w:szCs w:val="22"/>
      <w:lang w:val="en-US"/>
    </w:rPr>
  </w:style>
  <w:style w:type="character" w:customStyle="1" w:styleId="iChar">
    <w:name w:val="(i) Char"/>
    <w:link w:val="i"/>
    <w:locked/>
    <w:rsid w:val="00F40D41"/>
    <w:rPr>
      <w:rFonts w:ascii="Arial" w:hAnsi="Arial" w:cs="Arial"/>
      <w:w w:val="90"/>
      <w:sz w:val="22"/>
      <w:szCs w:val="22"/>
      <w:lang w:val="en-US" w:eastAsia="fr-FR"/>
    </w:rPr>
  </w:style>
  <w:style w:type="paragraph" w:styleId="ListParagraph">
    <w:name w:val="List Paragraph"/>
    <w:basedOn w:val="Normal"/>
    <w:uiPriority w:val="34"/>
    <w:rsid w:val="00497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en/Decisions/12.COM/10" TargetMode="External"/><Relationship Id="rId13" Type="http://schemas.openxmlformats.org/officeDocument/2006/relationships/hyperlink" Target="https://ich.unesco.org/en/Decisions/10.COM/6.b" TargetMode="External"/><Relationship Id="rId18" Type="http://schemas.openxmlformats.org/officeDocument/2006/relationships/hyperlink" Target="http://www.unesco.org/culture/ich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www.unesco.org/culture/ic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ch.unesco.org/doc/src/ITH-17-12.COM-10-EN.docx" TargetMode="External"/><Relationship Id="rId17" Type="http://schemas.openxmlformats.org/officeDocument/2006/relationships/hyperlink" Target="http://www.unesco.org/culture/ich" TargetMode="External"/><Relationship Id="rId25" Type="http://schemas.openxmlformats.org/officeDocument/2006/relationships/hyperlink" Target="https://ich.unesco.org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unesco.org/culture/i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en/Decisions/12.COM/10" TargetMode="External"/><Relationship Id="rId24" Type="http://schemas.openxmlformats.org/officeDocument/2006/relationships/hyperlink" Target="http://www.unesco.org/culture/i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www.unesco.org/culture/ich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ch.unesco.org/doc/src/ITH-17-12.COM_WG-7-EN.doc" TargetMode="External"/><Relationship Id="rId19" Type="http://schemas.openxmlformats.org/officeDocument/2006/relationships/hyperlink" Target="https://ich.unesco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h.unesco.org/doc/src/ITH-17-12.COM_WG-5-EN.doc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ich.unesco.org/" TargetMode="Externa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47C7E-BDB9-46A0-819F-29982383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3418</Words>
  <Characters>19486</Characters>
  <Application>Microsoft Office Word</Application>
  <DocSecurity>0</DocSecurity>
  <Lines>162</Lines>
  <Paragraphs>45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UNESCO</Company>
  <LinksUpToDate>false</LinksUpToDate>
  <CharactersWithSpaces>22859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UNESCO</dc:creator>
  <cp:lastModifiedBy>Shin, Eunkyung</cp:lastModifiedBy>
  <cp:revision>4</cp:revision>
  <cp:lastPrinted>2011-08-06T09:22:00Z</cp:lastPrinted>
  <dcterms:created xsi:type="dcterms:W3CDTF">2018-05-31T14:04:00Z</dcterms:created>
  <dcterms:modified xsi:type="dcterms:W3CDTF">2018-05-31T14:46:00Z</dcterms:modified>
</cp:coreProperties>
</file>