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7" w:rightFromText="187" w:horzAnchor="margin" w:tblpXSpec="center" w:tblpY="2881"/>
        <w:tblW w:w="3307" w:type="pct"/>
        <w:tblBorders>
          <w:left w:val="single" w:sz="12" w:space="0" w:color="4F81BD" w:themeColor="accent1"/>
        </w:tblBorders>
        <w:tblCellMar>
          <w:left w:w="144" w:type="dxa"/>
          <w:right w:w="115" w:type="dxa"/>
        </w:tblCellMar>
        <w:tblLook w:val="04A0" w:firstRow="1" w:lastRow="0" w:firstColumn="1" w:lastColumn="0" w:noHBand="0" w:noVBand="1"/>
      </w:tblPr>
      <w:tblGrid>
        <w:gridCol w:w="6365"/>
      </w:tblGrid>
      <w:tr w:rsidR="00F10319" w:rsidRPr="00B7579F" w14:paraId="484DEBAC" w14:textId="77777777" w:rsidTr="00B7579F">
        <w:sdt>
          <w:sdtPr>
            <w:rPr>
              <w:rFonts w:ascii="Arial" w:hAnsi="Arial" w:cs="Arial"/>
              <w:color w:val="365F91" w:themeColor="accent1" w:themeShade="BF"/>
              <w:sz w:val="24"/>
              <w:szCs w:val="24"/>
            </w:rPr>
            <w:alias w:val="Société"/>
            <w:id w:val="522215403"/>
            <w:placeholder>
              <w:docPart w:val="73F59EB9CCF84F8AAC3A834DC83DB1D4"/>
            </w:placeholder>
            <w:dataBinding w:prefixMappings="xmlns:ns0='http://schemas.openxmlformats.org/officeDocument/2006/extended-properties'" w:xpath="/ns0:Properties[1]/ns0:Company[1]" w:storeItemID="{6668398D-A668-4E3E-A5EB-62B293D839F1}"/>
            <w:text/>
          </w:sdtPr>
          <w:sdtEndPr/>
          <w:sdtContent>
            <w:tc>
              <w:tcPr>
                <w:tcW w:w="6364" w:type="dxa"/>
                <w:tcMar>
                  <w:top w:w="216" w:type="dxa"/>
                  <w:left w:w="115" w:type="dxa"/>
                  <w:bottom w:w="216" w:type="dxa"/>
                  <w:right w:w="115" w:type="dxa"/>
                </w:tcMar>
              </w:tcPr>
              <w:p w14:paraId="4E770D81" w14:textId="5582C55C" w:rsidR="00F10319" w:rsidRPr="00FD1072" w:rsidRDefault="00B7579F" w:rsidP="00462280">
                <w:pPr>
                  <w:pStyle w:val="NoSpacing"/>
                  <w:rPr>
                    <w:rFonts w:ascii="Arial" w:hAnsi="Arial" w:cs="Arial"/>
                    <w:color w:val="365F91" w:themeColor="accent1" w:themeShade="BF"/>
                    <w:sz w:val="24"/>
                    <w:szCs w:val="24"/>
                  </w:rPr>
                </w:pPr>
                <w:r w:rsidRPr="00FD1072">
                  <w:rPr>
                    <w:rFonts w:ascii="Arial" w:hAnsi="Arial" w:cs="Arial"/>
                    <w:color w:val="365F91" w:themeColor="accent1" w:themeShade="BF"/>
                    <w:sz w:val="24"/>
                    <w:szCs w:val="24"/>
                  </w:rPr>
                  <w:t xml:space="preserve">POINT </w:t>
                </w:r>
                <w:r w:rsidR="00FD1072" w:rsidRPr="00FD1072">
                  <w:rPr>
                    <w:rFonts w:ascii="Arial" w:hAnsi="Arial" w:cs="Arial"/>
                    <w:color w:val="365F91" w:themeColor="accent1" w:themeShade="BF"/>
                    <w:sz w:val="24"/>
                    <w:szCs w:val="24"/>
                  </w:rPr>
                  <w:t>8</w:t>
                </w:r>
                <w:r w:rsidRPr="00FD1072">
                  <w:rPr>
                    <w:rFonts w:ascii="Arial" w:hAnsi="Arial" w:cs="Arial"/>
                    <w:color w:val="365F91" w:themeColor="accent1" w:themeShade="BF"/>
                    <w:sz w:val="24"/>
                    <w:szCs w:val="24"/>
                  </w:rPr>
                  <w:t>.D DE L</w:t>
                </w:r>
                <w:r w:rsidR="003C1C30" w:rsidRPr="00FD1072">
                  <w:rPr>
                    <w:rFonts w:ascii="Arial" w:hAnsi="Arial" w:cs="Arial"/>
                    <w:color w:val="365F91" w:themeColor="accent1" w:themeShade="BF"/>
                    <w:sz w:val="24"/>
                    <w:szCs w:val="24"/>
                  </w:rPr>
                  <w:t>’</w:t>
                </w:r>
                <w:r w:rsidRPr="00FD1072">
                  <w:rPr>
                    <w:rFonts w:ascii="Arial" w:hAnsi="Arial" w:cs="Arial"/>
                    <w:color w:val="365F91" w:themeColor="accent1" w:themeShade="BF"/>
                    <w:sz w:val="24"/>
                    <w:szCs w:val="24"/>
                  </w:rPr>
                  <w:t>ORDRE DU JOUR PROVISOIRE</w:t>
                </w:r>
              </w:p>
            </w:tc>
          </w:sdtContent>
        </w:sdt>
      </w:tr>
      <w:tr w:rsidR="00F10319" w:rsidRPr="00B7579F" w14:paraId="56EF4968" w14:textId="77777777" w:rsidTr="00B7579F">
        <w:tc>
          <w:tcPr>
            <w:tcW w:w="6364" w:type="dxa"/>
          </w:tcPr>
          <w:sdt>
            <w:sdtPr>
              <w:rPr>
                <w:rFonts w:ascii="Arial" w:eastAsiaTheme="majorEastAsia" w:hAnsi="Arial" w:cs="Arial"/>
                <w:b/>
                <w:bCs/>
                <w:color w:val="4472C4"/>
                <w:sz w:val="40"/>
                <w:szCs w:val="40"/>
              </w:rPr>
              <w:alias w:val="Titre"/>
              <w:id w:val="433558757"/>
              <w:placeholder>
                <w:docPart w:val="03F40005E45141508D094C00A16ADF01"/>
              </w:placeholder>
              <w:dataBinding w:prefixMappings="xmlns:ns0='http://schemas.openxmlformats.org/package/2006/metadata/core-properties' xmlns:ns1='http://purl.org/dc/elements/1.1/'" w:xpath="/ns0:coreProperties[1]/ns1:title[1]" w:storeItemID="{6C3C8BC8-F283-45AE-878A-BAB7291924A1}"/>
              <w:text/>
            </w:sdtPr>
            <w:sdtEndPr/>
            <w:sdtContent>
              <w:p w14:paraId="70570F35" w14:textId="6B8114EB" w:rsidR="00F10319" w:rsidRPr="00B7579F" w:rsidRDefault="00B7579F" w:rsidP="00462280">
                <w:pPr>
                  <w:pStyle w:val="NoSpacing"/>
                  <w:spacing w:line="216" w:lineRule="auto"/>
                  <w:rPr>
                    <w:rFonts w:ascii="Arial" w:eastAsiaTheme="majorEastAsia" w:hAnsi="Arial" w:cs="Arial"/>
                    <w:b/>
                    <w:bCs/>
                    <w:color w:val="4F81BD" w:themeColor="accent1"/>
                    <w:sz w:val="40"/>
                    <w:szCs w:val="40"/>
                  </w:rPr>
                </w:pPr>
                <w:r w:rsidRPr="00B7579F">
                  <w:rPr>
                    <w:rFonts w:ascii="Arial" w:eastAsiaTheme="majorEastAsia" w:hAnsi="Arial" w:cs="Arial"/>
                    <w:b/>
                    <w:bCs/>
                    <w:color w:val="4472C4"/>
                    <w:sz w:val="40"/>
                    <w:szCs w:val="40"/>
                  </w:rPr>
                  <w:t>Examen des demandes d</w:t>
                </w:r>
                <w:r w:rsidR="003C1C30">
                  <w:rPr>
                    <w:rFonts w:ascii="Arial" w:eastAsiaTheme="majorEastAsia" w:hAnsi="Arial" w:cs="Arial"/>
                    <w:b/>
                    <w:bCs/>
                    <w:color w:val="4472C4"/>
                    <w:sz w:val="40"/>
                    <w:szCs w:val="40"/>
                  </w:rPr>
                  <w:t>’</w:t>
                </w:r>
                <w:r w:rsidRPr="00B7579F">
                  <w:rPr>
                    <w:rFonts w:ascii="Arial" w:eastAsiaTheme="majorEastAsia" w:hAnsi="Arial" w:cs="Arial"/>
                    <w:b/>
                    <w:bCs/>
                    <w:color w:val="4472C4"/>
                    <w:sz w:val="40"/>
                    <w:szCs w:val="40"/>
                  </w:rPr>
                  <w:t>assistance i</w:t>
                </w:r>
                <w:r>
                  <w:rPr>
                    <w:rFonts w:ascii="Arial" w:eastAsiaTheme="majorEastAsia" w:hAnsi="Arial" w:cs="Arial"/>
                    <w:b/>
                    <w:bCs/>
                    <w:color w:val="4472C4"/>
                    <w:sz w:val="40"/>
                    <w:szCs w:val="40"/>
                  </w:rPr>
                  <w:t>nternationale</w:t>
                </w:r>
              </w:p>
            </w:sdtContent>
          </w:sdt>
        </w:tc>
      </w:tr>
      <w:tr w:rsidR="00F10319" w:rsidRPr="00132ECB" w14:paraId="0FFA3AF4" w14:textId="77777777" w:rsidTr="00B7579F">
        <w:tc>
          <w:tcPr>
            <w:tcW w:w="6364" w:type="dxa"/>
            <w:tcMar>
              <w:top w:w="216" w:type="dxa"/>
              <w:left w:w="115" w:type="dxa"/>
              <w:bottom w:w="216" w:type="dxa"/>
              <w:right w:w="115" w:type="dxa"/>
            </w:tcMar>
          </w:tcPr>
          <w:p w14:paraId="377BC802" w14:textId="22B4CC65" w:rsidR="009B5AC3" w:rsidRPr="00E642C7" w:rsidRDefault="00AB416C" w:rsidP="00462280">
            <w:pPr>
              <w:pStyle w:val="NoSpacing"/>
              <w:rPr>
                <w:rFonts w:ascii="Arial" w:hAnsi="Arial" w:cs="Arial"/>
                <w:color w:val="365F91" w:themeColor="accent1" w:themeShade="BF"/>
                <w:sz w:val="24"/>
                <w:szCs w:val="24"/>
              </w:rPr>
            </w:pPr>
            <w:r w:rsidRPr="00E642C7">
              <w:rPr>
                <w:rFonts w:ascii="Arial" w:hAnsi="Arial" w:cs="Arial"/>
                <w:color w:val="365F91" w:themeColor="accent1" w:themeShade="BF"/>
                <w:sz w:val="24"/>
                <w:szCs w:val="24"/>
              </w:rPr>
              <w:t xml:space="preserve">Quinzième session, Comité intergouvernemental de sauvegarde du patrimoine culturel immatériel </w:t>
            </w:r>
          </w:p>
          <w:p w14:paraId="34DFFD03" w14:textId="3BAB58D5" w:rsidR="00F10319" w:rsidRPr="0024701A" w:rsidRDefault="00AB416C" w:rsidP="00462280">
            <w:pPr>
              <w:pStyle w:val="NoSpacing"/>
              <w:rPr>
                <w:rFonts w:ascii="Arial" w:hAnsi="Arial" w:cs="Arial"/>
                <w:color w:val="365F91" w:themeColor="accent1" w:themeShade="BF"/>
                <w:sz w:val="24"/>
                <w:highlight w:val="yellow"/>
              </w:rPr>
            </w:pPr>
            <w:r w:rsidRPr="00E642C7">
              <w:rPr>
                <w:rFonts w:ascii="Arial" w:hAnsi="Arial" w:cs="Arial"/>
                <w:color w:val="365F91" w:themeColor="accent1" w:themeShade="BF"/>
                <w:sz w:val="24"/>
                <w:szCs w:val="24"/>
              </w:rPr>
              <w:t>(</w:t>
            </w:r>
            <w:r w:rsidR="00FD1072" w:rsidRPr="00E642C7">
              <w:rPr>
                <w:rFonts w:ascii="Arial" w:hAnsi="Arial" w:cs="Arial"/>
                <w:color w:val="365F91" w:themeColor="accent1" w:themeShade="BF"/>
                <w:sz w:val="24"/>
                <w:szCs w:val="24"/>
              </w:rPr>
              <w:t xml:space="preserve">En ligne, </w:t>
            </w:r>
            <w:r w:rsidRPr="00E642C7">
              <w:rPr>
                <w:rFonts w:ascii="Arial" w:hAnsi="Arial" w:cs="Arial"/>
                <w:color w:val="365F91" w:themeColor="accent1" w:themeShade="BF"/>
                <w:sz w:val="24"/>
                <w:szCs w:val="24"/>
              </w:rPr>
              <w:t>14 – 19 décembre 2020)</w:t>
            </w:r>
          </w:p>
        </w:tc>
      </w:tr>
    </w:tbl>
    <w:p w14:paraId="0DB45479" w14:textId="77777777" w:rsidR="00F10319" w:rsidRPr="00132ECB" w:rsidRDefault="00F10319">
      <w:pPr>
        <w:rPr>
          <w:rFonts w:eastAsia="SimSun" w:cs="Arial"/>
          <w:b/>
          <w:sz w:val="22"/>
          <w:szCs w:val="22"/>
          <w:lang w:eastAsia="zh-CN" w:bidi="en-US"/>
        </w:rPr>
      </w:pPr>
    </w:p>
    <w:tbl>
      <w:tblPr>
        <w:tblpPr w:leftFromText="187" w:rightFromText="187" w:vertAnchor="page" w:horzAnchor="margin" w:tblpXSpec="center" w:tblpY="11041"/>
        <w:tblW w:w="3857" w:type="pct"/>
        <w:tblLook w:val="04A0" w:firstRow="1" w:lastRow="0" w:firstColumn="1" w:lastColumn="0" w:noHBand="0" w:noVBand="1"/>
      </w:tblPr>
      <w:tblGrid>
        <w:gridCol w:w="7399"/>
      </w:tblGrid>
      <w:tr w:rsidR="00F10319" w:rsidRPr="00E86B95" w14:paraId="70222D12" w14:textId="77777777" w:rsidTr="00462280">
        <w:tc>
          <w:tcPr>
            <w:tcW w:w="6963" w:type="dxa"/>
            <w:tcBorders>
              <w:top w:val="single" w:sz="18" w:space="0" w:color="4472C4"/>
              <w:left w:val="single" w:sz="18" w:space="0" w:color="4472C4"/>
              <w:bottom w:val="single" w:sz="18" w:space="0" w:color="4472C4"/>
              <w:right w:val="single" w:sz="18" w:space="0" w:color="4472C4"/>
            </w:tcBorders>
            <w:tcMar>
              <w:top w:w="216" w:type="dxa"/>
              <w:left w:w="115" w:type="dxa"/>
              <w:bottom w:w="216" w:type="dxa"/>
              <w:right w:w="115" w:type="dxa"/>
            </w:tcMar>
          </w:tcPr>
          <w:p w14:paraId="5A19516A" w14:textId="77777777" w:rsidR="00F10319" w:rsidRPr="00B10BB8" w:rsidRDefault="00F10319" w:rsidP="00462280">
            <w:pPr>
              <w:spacing w:after="160" w:line="259" w:lineRule="auto"/>
              <w:rPr>
                <w:rFonts w:eastAsia="SimSun" w:cs="Arial"/>
                <w:b/>
                <w:bCs/>
                <w:color w:val="4F81BD" w:themeColor="accent1"/>
                <w:sz w:val="22"/>
                <w:szCs w:val="22"/>
              </w:rPr>
            </w:pPr>
            <w:r>
              <w:rPr>
                <w:b/>
                <w:bCs/>
                <w:color w:val="4F81BD" w:themeColor="accent1"/>
                <w:sz w:val="22"/>
                <w:szCs w:val="22"/>
              </w:rPr>
              <w:t>Résumé</w:t>
            </w:r>
          </w:p>
          <w:p w14:paraId="185536D6" w14:textId="09B81BB1" w:rsidR="00F10319" w:rsidRPr="00B10BB8" w:rsidRDefault="00F10319" w:rsidP="00B7579F">
            <w:pPr>
              <w:spacing w:after="160" w:line="259" w:lineRule="auto"/>
              <w:jc w:val="both"/>
              <w:rPr>
                <w:rFonts w:eastAsia="SimSun" w:cs="Arial"/>
                <w:color w:val="4F81BD" w:themeColor="accent1"/>
                <w:sz w:val="22"/>
                <w:szCs w:val="22"/>
              </w:rPr>
            </w:pPr>
            <w:r>
              <w:rPr>
                <w:color w:val="4F81BD" w:themeColor="accent1"/>
                <w:sz w:val="22"/>
                <w:szCs w:val="22"/>
              </w:rPr>
              <w:t>Le présent document comprend les recommandations de l</w:t>
            </w:r>
            <w:r w:rsidR="003C1C30">
              <w:rPr>
                <w:color w:val="4F81BD" w:themeColor="accent1"/>
                <w:sz w:val="22"/>
                <w:szCs w:val="22"/>
              </w:rPr>
              <w:t>’</w:t>
            </w:r>
            <w:r>
              <w:rPr>
                <w:color w:val="4F81BD" w:themeColor="accent1"/>
                <w:sz w:val="22"/>
                <w:szCs w:val="22"/>
              </w:rPr>
              <w:t>Organe d</w:t>
            </w:r>
            <w:r w:rsidR="003C1C30">
              <w:rPr>
                <w:color w:val="4F81BD" w:themeColor="accent1"/>
                <w:sz w:val="22"/>
                <w:szCs w:val="22"/>
              </w:rPr>
              <w:t>’</w:t>
            </w:r>
            <w:r>
              <w:rPr>
                <w:color w:val="4F81BD" w:themeColor="accent1"/>
                <w:sz w:val="22"/>
                <w:szCs w:val="22"/>
              </w:rPr>
              <w:t>évaluation concernant les demandes d</w:t>
            </w:r>
            <w:r w:rsidR="003C1C30">
              <w:rPr>
                <w:color w:val="4F81BD" w:themeColor="accent1"/>
                <w:sz w:val="22"/>
                <w:szCs w:val="22"/>
              </w:rPr>
              <w:t>’</w:t>
            </w:r>
            <w:r>
              <w:rPr>
                <w:color w:val="4F81BD" w:themeColor="accent1"/>
                <w:sz w:val="22"/>
                <w:szCs w:val="22"/>
              </w:rPr>
              <w:t>assistance internationale (partie A) et une série de projets de décision pour considération par le Comité (partie B). Un aperçu des dossiers de 2020 et les méthodes de travail de l</w:t>
            </w:r>
            <w:r w:rsidR="003C1C30">
              <w:rPr>
                <w:color w:val="4F81BD" w:themeColor="accent1"/>
                <w:sz w:val="22"/>
                <w:szCs w:val="22"/>
              </w:rPr>
              <w:t>’</w:t>
            </w:r>
            <w:r>
              <w:rPr>
                <w:color w:val="4F81BD" w:themeColor="accent1"/>
                <w:sz w:val="22"/>
                <w:szCs w:val="22"/>
              </w:rPr>
              <w:t>Orga</w:t>
            </w:r>
            <w:r w:rsidRPr="00FD1072">
              <w:rPr>
                <w:color w:val="4F81BD" w:themeColor="accent1"/>
                <w:sz w:val="22"/>
                <w:szCs w:val="22"/>
              </w:rPr>
              <w:t>ne d</w:t>
            </w:r>
            <w:r w:rsidR="003C1C30" w:rsidRPr="00FD1072">
              <w:rPr>
                <w:color w:val="4F81BD" w:themeColor="accent1"/>
                <w:sz w:val="22"/>
                <w:szCs w:val="22"/>
              </w:rPr>
              <w:t>’</w:t>
            </w:r>
            <w:r w:rsidRPr="00FD1072">
              <w:rPr>
                <w:color w:val="4F81BD" w:themeColor="accent1"/>
                <w:sz w:val="22"/>
                <w:szCs w:val="22"/>
              </w:rPr>
              <w:t xml:space="preserve">évaluation sont présentés dans le document </w:t>
            </w:r>
            <w:hyperlink r:id="rId8" w:history="1">
              <w:r w:rsidRPr="007E5214">
                <w:rPr>
                  <w:rStyle w:val="Hyperlink"/>
                  <w:sz w:val="22"/>
                  <w:szCs w:val="22"/>
                </w:rPr>
                <w:t>LHE/20/15.COM/</w:t>
              </w:r>
              <w:r w:rsidR="00FD1072" w:rsidRPr="007E5214">
                <w:rPr>
                  <w:rStyle w:val="Hyperlink"/>
                  <w:sz w:val="22"/>
                  <w:szCs w:val="22"/>
                </w:rPr>
                <w:t>8</w:t>
              </w:r>
            </w:hyperlink>
            <w:r w:rsidRPr="00FD1072">
              <w:rPr>
                <w:color w:val="4F81BD" w:themeColor="accent1"/>
                <w:sz w:val="22"/>
                <w:szCs w:val="22"/>
              </w:rPr>
              <w:t>.</w:t>
            </w:r>
          </w:p>
          <w:p w14:paraId="182575BA" w14:textId="7AD5678E" w:rsidR="00F10319" w:rsidRPr="00E86B95" w:rsidRDefault="00F10319" w:rsidP="00462280">
            <w:pPr>
              <w:pStyle w:val="NoSpacing"/>
              <w:rPr>
                <w:rFonts w:ascii="Arial" w:hAnsi="Arial" w:cs="Arial"/>
                <w:color w:val="4F81BD" w:themeColor="accent1"/>
                <w:sz w:val="28"/>
                <w:szCs w:val="28"/>
              </w:rPr>
            </w:pPr>
            <w:r>
              <w:rPr>
                <w:rFonts w:ascii="Arial" w:hAnsi="Arial"/>
                <w:b/>
                <w:bCs/>
                <w:color w:val="4F81BD" w:themeColor="accent1"/>
              </w:rPr>
              <w:t>Décision</w:t>
            </w:r>
            <w:r w:rsidR="00C8094E">
              <w:rPr>
                <w:rFonts w:ascii="Arial" w:hAnsi="Arial"/>
                <w:b/>
                <w:bCs/>
                <w:color w:val="4F81BD" w:themeColor="accent1"/>
              </w:rPr>
              <w:t>s</w:t>
            </w:r>
            <w:r>
              <w:rPr>
                <w:rFonts w:ascii="Arial" w:hAnsi="Arial"/>
                <w:b/>
                <w:bCs/>
                <w:color w:val="4F81BD" w:themeColor="accent1"/>
              </w:rPr>
              <w:t xml:space="preserve"> requise</w:t>
            </w:r>
            <w:r w:rsidR="00FC011B">
              <w:rPr>
                <w:rFonts w:ascii="Arial" w:hAnsi="Arial"/>
                <w:b/>
                <w:bCs/>
                <w:color w:val="4F81BD" w:themeColor="accent1"/>
              </w:rPr>
              <w:t>s</w:t>
            </w:r>
            <w:r>
              <w:rPr>
                <w:rFonts w:ascii="Arial" w:hAnsi="Arial"/>
                <w:color w:val="4F81BD" w:themeColor="accent1"/>
              </w:rPr>
              <w:t> : paragraphe 2</w:t>
            </w:r>
          </w:p>
        </w:tc>
      </w:tr>
    </w:tbl>
    <w:p w14:paraId="6A27F6D6" w14:textId="77777777" w:rsidR="00F10319" w:rsidRDefault="00F10319">
      <w:pPr>
        <w:rPr>
          <w:rFonts w:eastAsia="SimSun" w:cs="Arial"/>
          <w:b/>
          <w:sz w:val="22"/>
          <w:szCs w:val="22"/>
        </w:rPr>
      </w:pPr>
      <w:r>
        <w:br w:type="page"/>
      </w:r>
    </w:p>
    <w:p w14:paraId="1A354DC8" w14:textId="77777777" w:rsidR="00F10319" w:rsidRPr="00F14587" w:rsidRDefault="00F10319" w:rsidP="00FD1072">
      <w:pPr>
        <w:pStyle w:val="NoSpacing1"/>
        <w:keepNext/>
        <w:numPr>
          <w:ilvl w:val="0"/>
          <w:numId w:val="3"/>
        </w:numPr>
        <w:tabs>
          <w:tab w:val="left" w:pos="567"/>
        </w:tabs>
        <w:spacing w:before="360" w:after="240"/>
        <w:ind w:left="567" w:hanging="567"/>
        <w:jc w:val="both"/>
        <w:rPr>
          <w:rFonts w:ascii="Arial" w:hAnsi="Arial" w:cs="Arial"/>
          <w:b/>
        </w:rPr>
      </w:pPr>
      <w:r>
        <w:rPr>
          <w:rFonts w:ascii="Arial" w:hAnsi="Arial"/>
          <w:b/>
        </w:rPr>
        <w:lastRenderedPageBreak/>
        <w:t>Recommandations</w:t>
      </w:r>
    </w:p>
    <w:p w14:paraId="09F5A390" w14:textId="0ACBD28D" w:rsidR="00F10319" w:rsidRDefault="00F10319" w:rsidP="00FD1072">
      <w:pPr>
        <w:pStyle w:val="ListParagraph"/>
        <w:numPr>
          <w:ilvl w:val="0"/>
          <w:numId w:val="4"/>
        </w:numPr>
        <w:spacing w:before="240" w:after="240"/>
        <w:ind w:left="567" w:hanging="567"/>
        <w:jc w:val="both"/>
        <w:rPr>
          <w:rFonts w:ascii="Arial" w:hAnsi="Arial" w:cs="Arial"/>
          <w:snapToGrid w:val="0"/>
          <w:sz w:val="22"/>
          <w:szCs w:val="22"/>
        </w:rPr>
      </w:pPr>
      <w:bookmarkStart w:id="0" w:name="Recommend_to_refer"/>
      <w:bookmarkEnd w:id="0"/>
      <w:r w:rsidRPr="00B7579F">
        <w:rPr>
          <w:rFonts w:ascii="Arial" w:hAnsi="Arial" w:cs="Arial"/>
          <w:snapToGrid w:val="0"/>
          <w:sz w:val="22"/>
          <w:szCs w:val="22"/>
        </w:rPr>
        <w:t>L</w:t>
      </w:r>
      <w:r w:rsidR="003C1C30">
        <w:rPr>
          <w:rFonts w:ascii="Arial" w:hAnsi="Arial" w:cs="Arial"/>
          <w:snapToGrid w:val="0"/>
          <w:sz w:val="22"/>
          <w:szCs w:val="22"/>
        </w:rPr>
        <w:t>’</w:t>
      </w:r>
      <w:r w:rsidRPr="00B7579F">
        <w:rPr>
          <w:rFonts w:ascii="Arial" w:hAnsi="Arial" w:cs="Arial"/>
          <w:snapToGrid w:val="0"/>
          <w:sz w:val="22"/>
          <w:szCs w:val="22"/>
        </w:rPr>
        <w:t>Organe</w:t>
      </w:r>
      <w:r>
        <w:rPr>
          <w:rFonts w:ascii="Arial" w:hAnsi="Arial"/>
          <w:snapToGrid w:val="0"/>
          <w:sz w:val="22"/>
          <w:szCs w:val="22"/>
        </w:rPr>
        <w:t xml:space="preserve"> d</w:t>
      </w:r>
      <w:r w:rsidR="003C1C30">
        <w:rPr>
          <w:rFonts w:ascii="Arial" w:hAnsi="Arial"/>
          <w:snapToGrid w:val="0"/>
          <w:sz w:val="22"/>
          <w:szCs w:val="22"/>
        </w:rPr>
        <w:t>’</w:t>
      </w:r>
      <w:r>
        <w:rPr>
          <w:rFonts w:ascii="Arial" w:hAnsi="Arial"/>
          <w:snapToGrid w:val="0"/>
          <w:sz w:val="22"/>
          <w:szCs w:val="22"/>
        </w:rPr>
        <w:t xml:space="preserve">évaluation recommande au Comité de renvoyer les demandes suivantes aux États </w:t>
      </w:r>
      <w:r w:rsidR="00E642C7">
        <w:rPr>
          <w:rFonts w:ascii="Arial" w:hAnsi="Arial"/>
          <w:snapToGrid w:val="0"/>
          <w:sz w:val="22"/>
          <w:szCs w:val="22"/>
        </w:rPr>
        <w:t>demandeurs</w:t>
      </w:r>
      <w:r>
        <w:rPr>
          <w:rFonts w:ascii="Arial" w:hAnsi="Arial"/>
          <w:snapToGrid w:val="0"/>
          <w:sz w:val="22"/>
          <w:szCs w:val="22"/>
        </w:rPr>
        <w:t> :</w:t>
      </w:r>
    </w:p>
    <w:tbl>
      <w:tblPr>
        <w:tblW w:w="9072" w:type="dxa"/>
        <w:tblInd w:w="567"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A0" w:firstRow="1" w:lastRow="0" w:firstColumn="1" w:lastColumn="0" w:noHBand="0" w:noVBand="0"/>
      </w:tblPr>
      <w:tblGrid>
        <w:gridCol w:w="1703"/>
        <w:gridCol w:w="1554"/>
        <w:gridCol w:w="3551"/>
        <w:gridCol w:w="1268"/>
        <w:gridCol w:w="996"/>
      </w:tblGrid>
      <w:tr w:rsidR="001961DF" w:rsidRPr="00AE510F" w14:paraId="04F20567" w14:textId="77777777" w:rsidTr="008508C0">
        <w:trPr>
          <w:cantSplit/>
          <w:tblHeader/>
        </w:trPr>
        <w:tc>
          <w:tcPr>
            <w:tcW w:w="938" w:type="pct"/>
            <w:tcBorders>
              <w:top w:val="single" w:sz="4" w:space="0" w:color="auto"/>
              <w:bottom w:val="single" w:sz="4" w:space="0" w:color="auto"/>
              <w:right w:val="nil"/>
            </w:tcBorders>
            <w:shd w:val="clear" w:color="auto" w:fill="BFBFBF"/>
            <w:vAlign w:val="center"/>
          </w:tcPr>
          <w:p w14:paraId="2F907DBE" w14:textId="77777777" w:rsidR="001961DF" w:rsidRPr="00AE510F" w:rsidRDefault="001961DF" w:rsidP="00462280">
            <w:pPr>
              <w:spacing w:before="120" w:after="120"/>
              <w:jc w:val="center"/>
              <w:rPr>
                <w:rFonts w:cs="Arial"/>
                <w:sz w:val="22"/>
                <w:szCs w:val="22"/>
              </w:rPr>
            </w:pPr>
            <w:r>
              <w:rPr>
                <w:b/>
                <w:bCs/>
                <w:sz w:val="22"/>
                <w:szCs w:val="22"/>
              </w:rPr>
              <w:t>Projet de décision</w:t>
            </w:r>
          </w:p>
        </w:tc>
        <w:tc>
          <w:tcPr>
            <w:tcW w:w="856" w:type="pct"/>
            <w:tcBorders>
              <w:top w:val="single" w:sz="4" w:space="0" w:color="auto"/>
              <w:left w:val="nil"/>
              <w:bottom w:val="single" w:sz="4" w:space="0" w:color="auto"/>
            </w:tcBorders>
            <w:shd w:val="clear" w:color="auto" w:fill="BFBFBF"/>
            <w:vAlign w:val="center"/>
          </w:tcPr>
          <w:p w14:paraId="55349EDD" w14:textId="77777777" w:rsidR="001961DF" w:rsidRPr="00AE510F" w:rsidRDefault="001961DF" w:rsidP="00462280">
            <w:pPr>
              <w:spacing w:before="120" w:after="120"/>
              <w:jc w:val="center"/>
              <w:rPr>
                <w:rFonts w:cs="Arial"/>
                <w:sz w:val="22"/>
                <w:szCs w:val="22"/>
              </w:rPr>
            </w:pPr>
            <w:r>
              <w:rPr>
                <w:b/>
                <w:bCs/>
                <w:sz w:val="22"/>
                <w:szCs w:val="22"/>
              </w:rPr>
              <w:t>État demandeur</w:t>
            </w:r>
          </w:p>
        </w:tc>
        <w:tc>
          <w:tcPr>
            <w:tcW w:w="1957" w:type="pct"/>
            <w:tcBorders>
              <w:top w:val="single" w:sz="4" w:space="0" w:color="auto"/>
              <w:bottom w:val="single" w:sz="4" w:space="0" w:color="auto"/>
            </w:tcBorders>
            <w:shd w:val="clear" w:color="auto" w:fill="BFBFBF"/>
            <w:vAlign w:val="center"/>
          </w:tcPr>
          <w:p w14:paraId="5EBF7101" w14:textId="77777777" w:rsidR="001961DF" w:rsidRPr="00AE510F" w:rsidRDefault="001961DF" w:rsidP="00462280">
            <w:pPr>
              <w:spacing w:before="120" w:after="120"/>
              <w:jc w:val="center"/>
              <w:rPr>
                <w:rFonts w:cs="Arial"/>
                <w:sz w:val="22"/>
                <w:szCs w:val="22"/>
              </w:rPr>
            </w:pPr>
            <w:r>
              <w:rPr>
                <w:b/>
                <w:bCs/>
                <w:sz w:val="22"/>
                <w:szCs w:val="22"/>
              </w:rPr>
              <w:t>Titre</w:t>
            </w:r>
          </w:p>
        </w:tc>
        <w:tc>
          <w:tcPr>
            <w:tcW w:w="699" w:type="pct"/>
            <w:tcBorders>
              <w:top w:val="single" w:sz="4" w:space="0" w:color="auto"/>
              <w:bottom w:val="single" w:sz="4" w:space="0" w:color="auto"/>
            </w:tcBorders>
            <w:shd w:val="clear" w:color="auto" w:fill="BFBFBF"/>
            <w:vAlign w:val="center"/>
          </w:tcPr>
          <w:p w14:paraId="715F22B4" w14:textId="77777777" w:rsidR="001961DF" w:rsidRPr="00AE510F" w:rsidRDefault="001961DF" w:rsidP="00462280">
            <w:pPr>
              <w:spacing w:before="120" w:after="120"/>
              <w:jc w:val="center"/>
              <w:rPr>
                <w:rFonts w:cs="Arial"/>
                <w:b/>
                <w:bCs/>
                <w:sz w:val="22"/>
                <w:szCs w:val="22"/>
              </w:rPr>
            </w:pPr>
            <w:r>
              <w:rPr>
                <w:b/>
                <w:bCs/>
                <w:sz w:val="22"/>
                <w:szCs w:val="22"/>
              </w:rPr>
              <w:t>Montant demandé</w:t>
            </w:r>
          </w:p>
        </w:tc>
        <w:tc>
          <w:tcPr>
            <w:tcW w:w="549" w:type="pct"/>
            <w:tcBorders>
              <w:top w:val="single" w:sz="4" w:space="0" w:color="auto"/>
              <w:bottom w:val="single" w:sz="4" w:space="0" w:color="auto"/>
            </w:tcBorders>
            <w:shd w:val="clear" w:color="auto" w:fill="BFBFBF"/>
            <w:vAlign w:val="center"/>
          </w:tcPr>
          <w:p w14:paraId="69C35072" w14:textId="77777777" w:rsidR="001961DF" w:rsidRPr="00AE510F" w:rsidRDefault="001961DF" w:rsidP="00462280">
            <w:pPr>
              <w:spacing w:before="120" w:after="120"/>
              <w:jc w:val="center"/>
              <w:rPr>
                <w:rFonts w:cs="Arial"/>
                <w:sz w:val="22"/>
                <w:szCs w:val="22"/>
              </w:rPr>
            </w:pPr>
            <w:r>
              <w:rPr>
                <w:b/>
                <w:bCs/>
                <w:sz w:val="22"/>
                <w:szCs w:val="22"/>
              </w:rPr>
              <w:t>Dossier n°</w:t>
            </w:r>
          </w:p>
        </w:tc>
      </w:tr>
      <w:tr w:rsidR="001961DF" w:rsidRPr="001961DF" w14:paraId="1C473222" w14:textId="77777777" w:rsidTr="00FD1072">
        <w:trPr>
          <w:cantSplit/>
          <w:tblHeader/>
        </w:trPr>
        <w:tc>
          <w:tcPr>
            <w:tcW w:w="938" w:type="pct"/>
            <w:tcBorders>
              <w:top w:val="single" w:sz="4" w:space="0" w:color="auto"/>
              <w:bottom w:val="single" w:sz="4" w:space="0" w:color="auto"/>
              <w:right w:val="nil"/>
            </w:tcBorders>
          </w:tcPr>
          <w:p w14:paraId="53C5E7AE" w14:textId="6BF61C89" w:rsidR="001961DF" w:rsidRPr="001961DF" w:rsidRDefault="00084C79" w:rsidP="00E642C7">
            <w:pPr>
              <w:spacing w:before="120" w:after="120"/>
              <w:jc w:val="center"/>
              <w:rPr>
                <w:rFonts w:cs="Arial"/>
                <w:sz w:val="22"/>
                <w:szCs w:val="22"/>
              </w:rPr>
            </w:pPr>
            <w:hyperlink w:anchor="Decision_9d1" w:history="1">
              <w:r w:rsidR="00E247C7">
                <w:rPr>
                  <w:rStyle w:val="Hyperlink"/>
                  <w:sz w:val="22"/>
                  <w:szCs w:val="22"/>
                </w:rPr>
                <w:t xml:space="preserve">15.COM </w:t>
              </w:r>
              <w:r w:rsidR="00FD1072">
                <w:rPr>
                  <w:rStyle w:val="Hyperlink"/>
                  <w:sz w:val="22"/>
                  <w:szCs w:val="22"/>
                </w:rPr>
                <w:t>8</w:t>
              </w:r>
              <w:r w:rsidR="00E247C7">
                <w:rPr>
                  <w:rStyle w:val="Hyperlink"/>
                  <w:sz w:val="22"/>
                  <w:szCs w:val="22"/>
                </w:rPr>
                <w:t>.d.1</w:t>
              </w:r>
            </w:hyperlink>
          </w:p>
        </w:tc>
        <w:tc>
          <w:tcPr>
            <w:tcW w:w="856" w:type="pct"/>
            <w:tcBorders>
              <w:top w:val="single" w:sz="4" w:space="0" w:color="auto"/>
              <w:left w:val="nil"/>
              <w:bottom w:val="single" w:sz="4" w:space="0" w:color="auto"/>
            </w:tcBorders>
          </w:tcPr>
          <w:p w14:paraId="6A55DEF1" w14:textId="77777777" w:rsidR="001961DF" w:rsidRPr="001961DF" w:rsidRDefault="001961DF" w:rsidP="00462280">
            <w:pPr>
              <w:spacing w:before="120" w:after="120"/>
              <w:jc w:val="center"/>
              <w:rPr>
                <w:rFonts w:cs="Arial"/>
                <w:sz w:val="22"/>
                <w:szCs w:val="22"/>
              </w:rPr>
            </w:pPr>
            <w:r>
              <w:rPr>
                <w:sz w:val="22"/>
                <w:szCs w:val="22"/>
              </w:rPr>
              <w:t>République centrafricaine</w:t>
            </w:r>
          </w:p>
        </w:tc>
        <w:tc>
          <w:tcPr>
            <w:tcW w:w="1957" w:type="pct"/>
            <w:tcBorders>
              <w:top w:val="single" w:sz="4" w:space="0" w:color="auto"/>
              <w:bottom w:val="single" w:sz="4" w:space="0" w:color="auto"/>
            </w:tcBorders>
          </w:tcPr>
          <w:p w14:paraId="7B56B07E" w14:textId="77777777" w:rsidR="001961DF" w:rsidRPr="001961DF" w:rsidRDefault="001961DF" w:rsidP="00462280">
            <w:pPr>
              <w:spacing w:before="120" w:after="120"/>
              <w:rPr>
                <w:rFonts w:cs="Arial"/>
                <w:sz w:val="22"/>
                <w:szCs w:val="22"/>
              </w:rPr>
            </w:pPr>
            <w:r>
              <w:rPr>
                <w:sz w:val="22"/>
                <w:szCs w:val="22"/>
              </w:rPr>
              <w:t>Le renforcement des capacités pour la sauvegarde et la gestion du patrimoine culturel immatériel en Centrafrique</w:t>
            </w:r>
          </w:p>
        </w:tc>
        <w:tc>
          <w:tcPr>
            <w:tcW w:w="699" w:type="pct"/>
            <w:tcBorders>
              <w:top w:val="single" w:sz="4" w:space="0" w:color="auto"/>
              <w:bottom w:val="single" w:sz="4" w:space="0" w:color="auto"/>
            </w:tcBorders>
          </w:tcPr>
          <w:p w14:paraId="47BDD606" w14:textId="77777777" w:rsidR="001961DF" w:rsidRPr="001961DF" w:rsidRDefault="001961DF" w:rsidP="00462280">
            <w:pPr>
              <w:spacing w:before="120" w:after="120"/>
              <w:jc w:val="center"/>
              <w:rPr>
                <w:rFonts w:cs="Arial"/>
                <w:sz w:val="22"/>
                <w:szCs w:val="22"/>
              </w:rPr>
            </w:pPr>
            <w:r>
              <w:rPr>
                <w:sz w:val="22"/>
                <w:szCs w:val="22"/>
              </w:rPr>
              <w:t>420 730 dollars des États-Unis</w:t>
            </w:r>
          </w:p>
        </w:tc>
        <w:tc>
          <w:tcPr>
            <w:tcW w:w="549" w:type="pct"/>
            <w:tcBorders>
              <w:top w:val="single" w:sz="4" w:space="0" w:color="auto"/>
              <w:bottom w:val="single" w:sz="4" w:space="0" w:color="auto"/>
            </w:tcBorders>
            <w:shd w:val="clear" w:color="auto" w:fill="auto"/>
          </w:tcPr>
          <w:p w14:paraId="58C86E95" w14:textId="166777E8" w:rsidR="001961DF" w:rsidRPr="00FD1072" w:rsidRDefault="00084C79" w:rsidP="00462280">
            <w:pPr>
              <w:spacing w:before="120" w:after="120"/>
              <w:jc w:val="center"/>
              <w:rPr>
                <w:rFonts w:cs="Arial"/>
                <w:bCs/>
                <w:sz w:val="22"/>
                <w:szCs w:val="22"/>
              </w:rPr>
            </w:pPr>
            <w:hyperlink r:id="rId9" w:anchor="8.d.1" w:history="1">
              <w:r w:rsidR="001961DF" w:rsidRPr="00FD1072">
                <w:rPr>
                  <w:rStyle w:val="Hyperlink"/>
                  <w:bCs/>
                  <w:sz w:val="22"/>
                  <w:szCs w:val="22"/>
                </w:rPr>
                <w:t>01615</w:t>
              </w:r>
            </w:hyperlink>
          </w:p>
        </w:tc>
      </w:tr>
      <w:tr w:rsidR="001961DF" w:rsidRPr="001961DF" w14:paraId="70C18922" w14:textId="77777777" w:rsidTr="00FD1072">
        <w:trPr>
          <w:cantSplit/>
          <w:tblHeader/>
        </w:trPr>
        <w:tc>
          <w:tcPr>
            <w:tcW w:w="938" w:type="pct"/>
            <w:tcBorders>
              <w:top w:val="single" w:sz="4" w:space="0" w:color="auto"/>
              <w:bottom w:val="single" w:sz="4" w:space="0" w:color="auto"/>
              <w:right w:val="nil"/>
            </w:tcBorders>
          </w:tcPr>
          <w:p w14:paraId="725AFA52" w14:textId="497D9E35" w:rsidR="001961DF" w:rsidRPr="001961DF" w:rsidRDefault="00084C79" w:rsidP="00E642C7">
            <w:pPr>
              <w:spacing w:before="120" w:after="120"/>
              <w:jc w:val="center"/>
              <w:rPr>
                <w:sz w:val="22"/>
                <w:szCs w:val="22"/>
              </w:rPr>
            </w:pPr>
            <w:hyperlink w:anchor="Decision_9d2" w:history="1">
              <w:r w:rsidR="00E247C7">
                <w:rPr>
                  <w:rStyle w:val="Hyperlink"/>
                  <w:sz w:val="22"/>
                  <w:szCs w:val="22"/>
                </w:rPr>
                <w:t xml:space="preserve">15.COM </w:t>
              </w:r>
              <w:r w:rsidR="00FD1072">
                <w:rPr>
                  <w:rStyle w:val="Hyperlink"/>
                  <w:sz w:val="22"/>
                  <w:szCs w:val="22"/>
                </w:rPr>
                <w:t>8</w:t>
              </w:r>
              <w:r w:rsidR="00E247C7">
                <w:rPr>
                  <w:rStyle w:val="Hyperlink"/>
                  <w:sz w:val="22"/>
                  <w:szCs w:val="22"/>
                </w:rPr>
                <w:t>.d.2</w:t>
              </w:r>
            </w:hyperlink>
          </w:p>
        </w:tc>
        <w:tc>
          <w:tcPr>
            <w:tcW w:w="856" w:type="pct"/>
            <w:tcBorders>
              <w:top w:val="single" w:sz="4" w:space="0" w:color="auto"/>
              <w:left w:val="nil"/>
              <w:bottom w:val="single" w:sz="4" w:space="0" w:color="auto"/>
            </w:tcBorders>
          </w:tcPr>
          <w:p w14:paraId="27420FEE" w14:textId="77777777" w:rsidR="001961DF" w:rsidRPr="001961DF" w:rsidRDefault="001961DF" w:rsidP="00462280">
            <w:pPr>
              <w:spacing w:before="120" w:after="120"/>
              <w:jc w:val="center"/>
              <w:rPr>
                <w:rFonts w:cs="Arial"/>
                <w:sz w:val="22"/>
                <w:szCs w:val="22"/>
              </w:rPr>
            </w:pPr>
            <w:r>
              <w:rPr>
                <w:sz w:val="22"/>
                <w:szCs w:val="22"/>
              </w:rPr>
              <w:t>Malawi</w:t>
            </w:r>
          </w:p>
        </w:tc>
        <w:tc>
          <w:tcPr>
            <w:tcW w:w="1957" w:type="pct"/>
            <w:tcBorders>
              <w:top w:val="single" w:sz="4" w:space="0" w:color="auto"/>
              <w:bottom w:val="single" w:sz="4" w:space="0" w:color="auto"/>
            </w:tcBorders>
          </w:tcPr>
          <w:p w14:paraId="2C69E5EB" w14:textId="56BC8BD6" w:rsidR="001961DF" w:rsidRPr="001961DF" w:rsidRDefault="001961DF" w:rsidP="00462280">
            <w:pPr>
              <w:spacing w:before="120" w:after="120"/>
              <w:rPr>
                <w:rFonts w:cs="Arial"/>
                <w:sz w:val="22"/>
                <w:szCs w:val="22"/>
              </w:rPr>
            </w:pPr>
            <w:r>
              <w:rPr>
                <w:sz w:val="22"/>
                <w:szCs w:val="22"/>
              </w:rPr>
              <w:t>La sauvegarde de la ludodiversité du Malawi par l</w:t>
            </w:r>
            <w:r w:rsidR="003C1C30">
              <w:rPr>
                <w:sz w:val="22"/>
                <w:szCs w:val="22"/>
              </w:rPr>
              <w:t>’</w:t>
            </w:r>
            <w:r>
              <w:rPr>
                <w:sz w:val="22"/>
                <w:szCs w:val="22"/>
              </w:rPr>
              <w:t xml:space="preserve">éducation non formelle et la transmission </w:t>
            </w:r>
            <w:r w:rsidR="007D111E">
              <w:rPr>
                <w:sz w:val="22"/>
                <w:szCs w:val="22"/>
              </w:rPr>
              <w:t>par les communautés</w:t>
            </w:r>
          </w:p>
        </w:tc>
        <w:tc>
          <w:tcPr>
            <w:tcW w:w="699" w:type="pct"/>
            <w:tcBorders>
              <w:top w:val="single" w:sz="4" w:space="0" w:color="auto"/>
              <w:bottom w:val="single" w:sz="4" w:space="0" w:color="auto"/>
            </w:tcBorders>
          </w:tcPr>
          <w:p w14:paraId="75A634A5" w14:textId="77777777" w:rsidR="001961DF" w:rsidRPr="001961DF" w:rsidRDefault="001961DF" w:rsidP="00462280">
            <w:pPr>
              <w:spacing w:before="120" w:after="120"/>
              <w:jc w:val="center"/>
              <w:rPr>
                <w:rFonts w:cs="Arial"/>
                <w:sz w:val="22"/>
                <w:szCs w:val="22"/>
              </w:rPr>
            </w:pPr>
            <w:r>
              <w:rPr>
                <w:sz w:val="22"/>
                <w:szCs w:val="22"/>
              </w:rPr>
              <w:t>347 164 dollars des États-Unis</w:t>
            </w:r>
          </w:p>
        </w:tc>
        <w:tc>
          <w:tcPr>
            <w:tcW w:w="549" w:type="pct"/>
            <w:tcBorders>
              <w:top w:val="single" w:sz="4" w:space="0" w:color="auto"/>
              <w:bottom w:val="single" w:sz="4" w:space="0" w:color="auto"/>
            </w:tcBorders>
            <w:shd w:val="clear" w:color="auto" w:fill="auto"/>
          </w:tcPr>
          <w:p w14:paraId="043E9AB3" w14:textId="3A3DB4E6" w:rsidR="001961DF" w:rsidRPr="00FD1072" w:rsidRDefault="00084C79" w:rsidP="00462280">
            <w:pPr>
              <w:spacing w:before="120" w:after="120"/>
              <w:jc w:val="center"/>
              <w:rPr>
                <w:sz w:val="22"/>
                <w:szCs w:val="22"/>
              </w:rPr>
            </w:pPr>
            <w:hyperlink r:id="rId10" w:anchor="8.d.2" w:history="1">
              <w:r w:rsidR="001961DF" w:rsidRPr="00FD1072">
                <w:rPr>
                  <w:rStyle w:val="Hyperlink"/>
                  <w:sz w:val="22"/>
                  <w:szCs w:val="22"/>
                </w:rPr>
                <w:t>01498</w:t>
              </w:r>
            </w:hyperlink>
          </w:p>
        </w:tc>
      </w:tr>
    </w:tbl>
    <w:p w14:paraId="4BB6E1D3" w14:textId="77777777" w:rsidR="00F10319" w:rsidRPr="00434794" w:rsidRDefault="00F10319" w:rsidP="00FD1072">
      <w:pPr>
        <w:pStyle w:val="NoSpacing1"/>
        <w:keepNext/>
        <w:numPr>
          <w:ilvl w:val="0"/>
          <w:numId w:val="3"/>
        </w:numPr>
        <w:tabs>
          <w:tab w:val="left" w:pos="567"/>
        </w:tabs>
        <w:spacing w:before="360" w:after="240"/>
        <w:ind w:left="567" w:hanging="567"/>
        <w:jc w:val="both"/>
        <w:rPr>
          <w:rFonts w:ascii="Arial" w:hAnsi="Arial" w:cs="Arial"/>
          <w:b/>
        </w:rPr>
      </w:pPr>
      <w:r>
        <w:rPr>
          <w:rFonts w:ascii="Arial" w:hAnsi="Arial"/>
          <w:b/>
        </w:rPr>
        <w:t>Projets de décision</w:t>
      </w:r>
    </w:p>
    <w:p w14:paraId="42023AE3" w14:textId="77777777" w:rsidR="00F10319" w:rsidRPr="00505545" w:rsidRDefault="00F10319" w:rsidP="00E642C7">
      <w:pPr>
        <w:pStyle w:val="ListParagraph"/>
        <w:keepNext/>
        <w:numPr>
          <w:ilvl w:val="0"/>
          <w:numId w:val="4"/>
        </w:numPr>
        <w:spacing w:before="240" w:after="240"/>
        <w:ind w:left="567" w:hanging="567"/>
        <w:jc w:val="both"/>
        <w:rPr>
          <w:rFonts w:ascii="Arial" w:hAnsi="Arial" w:cs="Arial"/>
          <w:snapToGrid w:val="0"/>
          <w:sz w:val="22"/>
          <w:szCs w:val="22"/>
        </w:rPr>
      </w:pPr>
      <w:bookmarkStart w:id="1" w:name="_DRAFT_DECISION_10.COM"/>
      <w:bookmarkEnd w:id="1"/>
      <w:r>
        <w:rPr>
          <w:rFonts w:ascii="Arial" w:hAnsi="Arial"/>
          <w:snapToGrid w:val="0"/>
          <w:sz w:val="22"/>
          <w:szCs w:val="22"/>
        </w:rPr>
        <w:t>Le Comité souhaitera peut-être adopter les décisions suivantes :</w:t>
      </w:r>
    </w:p>
    <w:p w14:paraId="6A99EB22" w14:textId="197416C0" w:rsidR="002608A5" w:rsidRPr="0024701A" w:rsidRDefault="002608A5" w:rsidP="0021217A">
      <w:pPr>
        <w:pStyle w:val="Heading2"/>
        <w:numPr>
          <w:ilvl w:val="0"/>
          <w:numId w:val="2"/>
        </w:numPr>
        <w:spacing w:before="360" w:after="120"/>
        <w:ind w:left="567"/>
        <w:rPr>
          <w:b/>
          <w:bCs/>
          <w:sz w:val="22"/>
          <w:szCs w:val="22"/>
        </w:rPr>
      </w:pPr>
      <w:bookmarkStart w:id="2" w:name="Decision_9d1"/>
      <w:bookmarkEnd w:id="2"/>
      <w:r w:rsidRPr="0024701A">
        <w:rPr>
          <w:b/>
          <w:bCs/>
          <w:sz w:val="22"/>
          <w:szCs w:val="22"/>
        </w:rPr>
        <w:t>PROJET DE DÉCISION 15.COM </w:t>
      </w:r>
      <w:r w:rsidR="00FD1072">
        <w:rPr>
          <w:b/>
          <w:bCs/>
          <w:sz w:val="22"/>
          <w:szCs w:val="22"/>
        </w:rPr>
        <w:t>8</w:t>
      </w:r>
      <w:r w:rsidRPr="0024701A">
        <w:rPr>
          <w:b/>
          <w:bCs/>
          <w:sz w:val="22"/>
          <w:szCs w:val="22"/>
        </w:rPr>
        <w:t>.d.1</w:t>
      </w:r>
      <w:r w:rsidRPr="0024701A">
        <w:rPr>
          <w:b/>
          <w:bCs/>
          <w:sz w:val="22"/>
          <w:szCs w:val="22"/>
        </w:rPr>
        <w:tab/>
      </w:r>
      <w:r w:rsidR="00084C79">
        <w:rPr>
          <w:b/>
          <w:bCs/>
          <w:sz w:val="22"/>
          <w:szCs w:val="22"/>
        </w:rPr>
        <w:tab/>
      </w:r>
      <w:r w:rsidRPr="0024701A">
        <w:rPr>
          <w:noProof/>
          <w:sz w:val="22"/>
          <w:szCs w:val="22"/>
          <w:lang w:eastAsia="zh-CN"/>
        </w:rPr>
        <w:drawing>
          <wp:inline distT="0" distB="0" distL="0" distR="0" wp14:anchorId="1F2863B7" wp14:editId="6B8637EC">
            <wp:extent cx="104775" cy="104775"/>
            <wp:effectExtent l="0" t="0" r="9525" b="9525"/>
            <wp:docPr id="1" name="Picture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2DDE5AEF" w14:textId="77777777" w:rsidR="002608A5" w:rsidRPr="002608A5" w:rsidRDefault="002608A5" w:rsidP="008508C0">
      <w:pPr>
        <w:pStyle w:val="NoSpacing"/>
        <w:keepNext/>
        <w:tabs>
          <w:tab w:val="left" w:pos="567"/>
          <w:tab w:val="left" w:pos="1134"/>
          <w:tab w:val="left" w:pos="1701"/>
          <w:tab w:val="left" w:pos="2268"/>
        </w:tabs>
        <w:spacing w:before="120" w:after="120"/>
        <w:ind w:firstLine="567"/>
        <w:jc w:val="both"/>
        <w:rPr>
          <w:rFonts w:ascii="Arial" w:hAnsi="Arial" w:cs="Arial"/>
        </w:rPr>
      </w:pPr>
      <w:r>
        <w:rPr>
          <w:rFonts w:ascii="Arial" w:hAnsi="Arial"/>
        </w:rPr>
        <w:t>Le Comité,</w:t>
      </w:r>
    </w:p>
    <w:p w14:paraId="465345A9" w14:textId="5EDA5949" w:rsidR="00A5672D" w:rsidRPr="000556E6" w:rsidRDefault="00A5672D" w:rsidP="00FD1072">
      <w:pPr>
        <w:pStyle w:val="Style1"/>
        <w:keepNext/>
        <w:tabs>
          <w:tab w:val="clear" w:pos="1134"/>
          <w:tab w:val="left" w:pos="1276"/>
        </w:tabs>
        <w:ind w:left="1134"/>
      </w:pPr>
      <w:r>
        <w:rPr>
          <w:u w:val="single"/>
        </w:rPr>
        <w:t>Rappelant</w:t>
      </w:r>
      <w:r>
        <w:t xml:space="preserve"> l</w:t>
      </w:r>
      <w:r w:rsidR="003C1C30">
        <w:t>’</w:t>
      </w:r>
      <w:r>
        <w:t xml:space="preserve">article 23 de la Convention ainsi que le chapitre I.4 des Directives opérationnelles </w:t>
      </w:r>
      <w:r w:rsidR="00DE6F4F" w:rsidRPr="00B625A5">
        <w:t>relatifs à l’</w:t>
      </w:r>
      <w:r w:rsidRPr="00B625A5">
        <w:t xml:space="preserve">admissibilité et </w:t>
      </w:r>
      <w:r w:rsidR="00DE6F4F" w:rsidRPr="00B625A5">
        <w:t xml:space="preserve">aux critères </w:t>
      </w:r>
      <w:r w:rsidRPr="00B625A5">
        <w:t>des demandes d</w:t>
      </w:r>
      <w:r w:rsidR="003C1C30" w:rsidRPr="00B625A5">
        <w:t>’</w:t>
      </w:r>
      <w:r w:rsidRPr="00B625A5">
        <w:t>assistance internationale</w:t>
      </w:r>
      <w:r>
        <w:t>,</w:t>
      </w:r>
    </w:p>
    <w:p w14:paraId="03A43F23" w14:textId="11AADE6B" w:rsidR="00A5672D" w:rsidRPr="00A5672D" w:rsidRDefault="00A5672D" w:rsidP="00FD1072">
      <w:pPr>
        <w:pStyle w:val="Style1"/>
        <w:keepNext/>
        <w:tabs>
          <w:tab w:val="clear" w:pos="1134"/>
          <w:tab w:val="left" w:pos="1276"/>
        </w:tabs>
        <w:ind w:left="1134"/>
        <w:rPr>
          <w:snapToGrid w:val="0"/>
        </w:rPr>
      </w:pPr>
      <w:r>
        <w:rPr>
          <w:u w:val="single"/>
        </w:rPr>
        <w:t>Ayant examiné</w:t>
      </w:r>
      <w:r>
        <w:t xml:space="preserve"> </w:t>
      </w:r>
      <w:r>
        <w:rPr>
          <w:snapToGrid w:val="0"/>
        </w:rPr>
        <w:t xml:space="preserve">le document </w:t>
      </w:r>
      <w:r>
        <w:t>LHE</w:t>
      </w:r>
      <w:r>
        <w:rPr>
          <w:snapToGrid w:val="0"/>
        </w:rPr>
        <w:t>/20/15.COM/</w:t>
      </w:r>
      <w:r w:rsidR="00FD1072">
        <w:rPr>
          <w:snapToGrid w:val="0"/>
        </w:rPr>
        <w:t>8</w:t>
      </w:r>
      <w:r>
        <w:rPr>
          <w:snapToGrid w:val="0"/>
        </w:rPr>
        <w:t>.d ainsi que la demande d</w:t>
      </w:r>
      <w:r w:rsidR="003C1C30">
        <w:rPr>
          <w:snapToGrid w:val="0"/>
        </w:rPr>
        <w:t>’</w:t>
      </w:r>
      <w:r>
        <w:rPr>
          <w:snapToGrid w:val="0"/>
        </w:rPr>
        <w:t xml:space="preserve">assistance internationale n° 01615 </w:t>
      </w:r>
      <w:r w:rsidRPr="00FD1072">
        <w:t>soumise</w:t>
      </w:r>
      <w:r>
        <w:rPr>
          <w:snapToGrid w:val="0"/>
        </w:rPr>
        <w:t xml:space="preserve"> par la République centrafricaine</w:t>
      </w:r>
      <w:r>
        <w:t>,</w:t>
      </w:r>
    </w:p>
    <w:p w14:paraId="4F16D3EB" w14:textId="77777777" w:rsidR="002608A5" w:rsidRPr="002608A5" w:rsidRDefault="002608A5" w:rsidP="00FD1072">
      <w:pPr>
        <w:pStyle w:val="Style1"/>
        <w:keepNext/>
        <w:tabs>
          <w:tab w:val="clear" w:pos="1134"/>
          <w:tab w:val="left" w:pos="1276"/>
        </w:tabs>
        <w:ind w:left="1134"/>
      </w:pPr>
      <w:r>
        <w:rPr>
          <w:u w:val="single"/>
        </w:rPr>
        <w:t>Prend note</w:t>
      </w:r>
      <w:r>
        <w:t xml:space="preserve"> que la République centrafricaine a demandé une assistance internationale pour le projet intitulé </w:t>
      </w:r>
      <w:r>
        <w:rPr>
          <w:b/>
        </w:rPr>
        <w:t>Le renforcement des capacités pour la sauvegarde et la gestion du patrimoine culturel immatériel en Centrafrique</w:t>
      </w:r>
      <w:r>
        <w:t xml:space="preserve"> : </w:t>
      </w:r>
    </w:p>
    <w:p w14:paraId="39CCACAC" w14:textId="76546741" w:rsidR="002608A5" w:rsidRDefault="004758EE" w:rsidP="00434794">
      <w:pPr>
        <w:tabs>
          <w:tab w:val="left" w:pos="1134"/>
          <w:tab w:val="left" w:pos="1701"/>
          <w:tab w:val="left" w:pos="2268"/>
        </w:tabs>
        <w:spacing w:before="120" w:after="120"/>
        <w:ind w:left="1134"/>
        <w:jc w:val="both"/>
        <w:rPr>
          <w:rFonts w:cs="Arial"/>
          <w:noProof/>
          <w:sz w:val="22"/>
          <w:szCs w:val="22"/>
        </w:rPr>
      </w:pPr>
      <w:r>
        <w:rPr>
          <w:sz w:val="22"/>
          <w:szCs w:val="22"/>
        </w:rPr>
        <w:t>Ce projet d</w:t>
      </w:r>
      <w:r w:rsidR="003C1C30">
        <w:rPr>
          <w:sz w:val="22"/>
          <w:szCs w:val="22"/>
        </w:rPr>
        <w:t>’</w:t>
      </w:r>
      <w:r>
        <w:rPr>
          <w:sz w:val="22"/>
          <w:szCs w:val="22"/>
        </w:rPr>
        <w:t xml:space="preserve">une durée de trente-six mois vise à renforcer les capacités pour la sauvegarde et la gestion du patrimoine culturel immatériel </w:t>
      </w:r>
      <w:r w:rsidRPr="00787CC4">
        <w:rPr>
          <w:sz w:val="22"/>
          <w:szCs w:val="22"/>
        </w:rPr>
        <w:t xml:space="preserve">en </w:t>
      </w:r>
      <w:r w:rsidR="00787CC4" w:rsidRPr="0024701A">
        <w:rPr>
          <w:sz w:val="22"/>
          <w:szCs w:val="22"/>
        </w:rPr>
        <w:t>République centrafricaine</w:t>
      </w:r>
      <w:r w:rsidRPr="00787CC4">
        <w:rPr>
          <w:sz w:val="22"/>
          <w:szCs w:val="22"/>
        </w:rPr>
        <w:t>. Compte tenu de la pénurie de ressources humaines qualifiées et de l</w:t>
      </w:r>
      <w:r w:rsidR="003C1C30" w:rsidRPr="00787CC4">
        <w:rPr>
          <w:sz w:val="22"/>
          <w:szCs w:val="22"/>
        </w:rPr>
        <w:t>’</w:t>
      </w:r>
      <w:r w:rsidRPr="00787CC4">
        <w:rPr>
          <w:sz w:val="22"/>
          <w:szCs w:val="22"/>
        </w:rPr>
        <w:t xml:space="preserve">insuffisance des ressources financières et infrastructurelles, il est nécessaire de collecter, traiter, protéger et valoriser le riche patrimoine culturel immatériel </w:t>
      </w:r>
      <w:r w:rsidR="003C1C30" w:rsidRPr="00787CC4">
        <w:rPr>
          <w:sz w:val="22"/>
          <w:szCs w:val="22"/>
        </w:rPr>
        <w:t>présent</w:t>
      </w:r>
      <w:r w:rsidR="003C1C30">
        <w:rPr>
          <w:sz w:val="22"/>
          <w:szCs w:val="22"/>
        </w:rPr>
        <w:t xml:space="preserve"> dans le </w:t>
      </w:r>
      <w:r>
        <w:rPr>
          <w:sz w:val="22"/>
          <w:szCs w:val="22"/>
        </w:rPr>
        <w:t>pays. Pour ce faire, le projet vise dans un premier temps à renforcer les capacités de vingt cadres du Ministère des arts et de la culture à l</w:t>
      </w:r>
      <w:r w:rsidR="003C1C30">
        <w:rPr>
          <w:sz w:val="22"/>
          <w:szCs w:val="22"/>
        </w:rPr>
        <w:t>’</w:t>
      </w:r>
      <w:r>
        <w:rPr>
          <w:sz w:val="22"/>
          <w:szCs w:val="22"/>
        </w:rPr>
        <w:t xml:space="preserve">École du patrimoine africain </w:t>
      </w:r>
      <w:r w:rsidR="003C1C30">
        <w:rPr>
          <w:sz w:val="22"/>
          <w:szCs w:val="22"/>
        </w:rPr>
        <w:t xml:space="preserve">(EPA) </w:t>
      </w:r>
      <w:r>
        <w:rPr>
          <w:sz w:val="22"/>
          <w:szCs w:val="22"/>
        </w:rPr>
        <w:t>au Bénin, afin qu</w:t>
      </w:r>
      <w:r w:rsidR="003C1C30">
        <w:rPr>
          <w:sz w:val="22"/>
          <w:szCs w:val="22"/>
        </w:rPr>
        <w:t>’</w:t>
      </w:r>
      <w:r>
        <w:rPr>
          <w:sz w:val="22"/>
          <w:szCs w:val="22"/>
        </w:rPr>
        <w:t>ils disposent des ressources nécessaires pour identifier et sauvegarder le patrimoine culturel immatériel en partenariat avec les communautés locales. En second lieu, un diplôme universitaire dans le domaine du patrimoine vivant sera développé à l</w:t>
      </w:r>
      <w:r w:rsidR="003C1C30">
        <w:rPr>
          <w:sz w:val="22"/>
          <w:szCs w:val="22"/>
        </w:rPr>
        <w:t>’</w:t>
      </w:r>
      <w:r>
        <w:rPr>
          <w:sz w:val="22"/>
          <w:szCs w:val="22"/>
        </w:rPr>
        <w:t>École nationale des arts et évalué par l</w:t>
      </w:r>
      <w:r w:rsidR="003C1C30">
        <w:rPr>
          <w:sz w:val="22"/>
          <w:szCs w:val="22"/>
        </w:rPr>
        <w:t>’</w:t>
      </w:r>
      <w:r>
        <w:rPr>
          <w:sz w:val="22"/>
          <w:szCs w:val="22"/>
        </w:rPr>
        <w:t>Université de Bangui. Cela permettra au pays de se doter d</w:t>
      </w:r>
      <w:r w:rsidR="003C1C30">
        <w:rPr>
          <w:sz w:val="22"/>
          <w:szCs w:val="22"/>
        </w:rPr>
        <w:t>’</w:t>
      </w:r>
      <w:r>
        <w:rPr>
          <w:sz w:val="22"/>
          <w:szCs w:val="22"/>
        </w:rPr>
        <w:t>experts de la sauvegarde du patrimoine vivant et de sensibiliser des cadres des autorités nationales et régionales à l</w:t>
      </w:r>
      <w:r w:rsidR="003C1C30">
        <w:rPr>
          <w:sz w:val="22"/>
          <w:szCs w:val="22"/>
        </w:rPr>
        <w:t>’</w:t>
      </w:r>
      <w:r>
        <w:rPr>
          <w:sz w:val="22"/>
          <w:szCs w:val="22"/>
        </w:rPr>
        <w:t>importance du patrimoine culturel immatériel. Par la suite, une réunion scientifique sera organisée afin d</w:t>
      </w:r>
      <w:r w:rsidR="003C1C30">
        <w:rPr>
          <w:sz w:val="22"/>
          <w:szCs w:val="22"/>
        </w:rPr>
        <w:t>’</w:t>
      </w:r>
      <w:r>
        <w:rPr>
          <w:sz w:val="22"/>
          <w:szCs w:val="22"/>
        </w:rPr>
        <w:t>assurer le suivi du déroulement et du contenu du programme. L</w:t>
      </w:r>
      <w:r w:rsidR="003C1C30">
        <w:rPr>
          <w:sz w:val="22"/>
          <w:szCs w:val="22"/>
        </w:rPr>
        <w:t>’</w:t>
      </w:r>
      <w:r>
        <w:rPr>
          <w:sz w:val="22"/>
          <w:szCs w:val="22"/>
        </w:rPr>
        <w:t xml:space="preserve">approche envisagée devrait non seulement garantir la sauvegarde du patrimoine culturel immatériel </w:t>
      </w:r>
      <w:r w:rsidR="003C1C30">
        <w:rPr>
          <w:sz w:val="22"/>
          <w:szCs w:val="22"/>
        </w:rPr>
        <w:t xml:space="preserve">de </w:t>
      </w:r>
      <w:r>
        <w:rPr>
          <w:sz w:val="22"/>
          <w:szCs w:val="22"/>
        </w:rPr>
        <w:t>toutes les communautés du pays, mais aussi contribuer à l</w:t>
      </w:r>
      <w:r w:rsidR="003C1C30">
        <w:rPr>
          <w:sz w:val="22"/>
          <w:szCs w:val="22"/>
        </w:rPr>
        <w:t>’</w:t>
      </w:r>
      <w:r>
        <w:rPr>
          <w:sz w:val="22"/>
          <w:szCs w:val="22"/>
        </w:rPr>
        <w:t>élaboration d</w:t>
      </w:r>
      <w:r w:rsidR="003C1C30">
        <w:rPr>
          <w:sz w:val="22"/>
          <w:szCs w:val="22"/>
        </w:rPr>
        <w:t>’</w:t>
      </w:r>
      <w:r>
        <w:rPr>
          <w:sz w:val="22"/>
          <w:szCs w:val="22"/>
        </w:rPr>
        <w:t xml:space="preserve">inventaires et à la </w:t>
      </w:r>
      <w:r w:rsidR="003C1C30">
        <w:rPr>
          <w:sz w:val="22"/>
          <w:szCs w:val="22"/>
        </w:rPr>
        <w:t xml:space="preserve">sauvegarde </w:t>
      </w:r>
      <w:r>
        <w:rPr>
          <w:sz w:val="22"/>
          <w:szCs w:val="22"/>
        </w:rPr>
        <w:t>du patrimoine vivant des minorités.</w:t>
      </w:r>
    </w:p>
    <w:p w14:paraId="7C091534" w14:textId="619C2B01" w:rsidR="00A5672D" w:rsidRDefault="00A5672D" w:rsidP="00FD1072">
      <w:pPr>
        <w:pStyle w:val="Style1"/>
        <w:keepNext/>
        <w:tabs>
          <w:tab w:val="clear" w:pos="1134"/>
          <w:tab w:val="left" w:pos="1276"/>
        </w:tabs>
        <w:ind w:left="1134"/>
      </w:pPr>
      <w:r>
        <w:rPr>
          <w:u w:val="single"/>
        </w:rPr>
        <w:lastRenderedPageBreak/>
        <w:t>Prend note en outre</w:t>
      </w:r>
      <w:r>
        <w:t xml:space="preserve"> que cette assistance concerne l</w:t>
      </w:r>
      <w:r w:rsidR="003C1C30">
        <w:t>’</w:t>
      </w:r>
      <w:r>
        <w:t>appui à un projet mis en œuvre au niveau national, conformément à l</w:t>
      </w:r>
      <w:r w:rsidR="003C1C30">
        <w:t>’</w:t>
      </w:r>
      <w:r>
        <w:t>article 20 (c) de la Convention, et qu</w:t>
      </w:r>
      <w:r w:rsidR="003C1C30">
        <w:t>’</w:t>
      </w:r>
      <w:r>
        <w:t>elle prend la forme de l</w:t>
      </w:r>
      <w:r w:rsidR="003C1C30">
        <w:t>’</w:t>
      </w:r>
      <w:r>
        <w:rPr>
          <w:b/>
          <w:bCs/>
        </w:rPr>
        <w:t>octroi d</w:t>
      </w:r>
      <w:r w:rsidR="003C1C30">
        <w:rPr>
          <w:b/>
          <w:bCs/>
        </w:rPr>
        <w:t>’</w:t>
      </w:r>
      <w:r>
        <w:rPr>
          <w:b/>
          <w:bCs/>
        </w:rPr>
        <w:t>un don</w:t>
      </w:r>
      <w:r>
        <w:t>, conformément à l</w:t>
      </w:r>
      <w:r w:rsidR="003C1C30">
        <w:t>’</w:t>
      </w:r>
      <w:r>
        <w:t>article 21 (g) de la Convention ;</w:t>
      </w:r>
    </w:p>
    <w:p w14:paraId="037F5A1D" w14:textId="6D06F33B" w:rsidR="00A5672D" w:rsidRPr="002608A5" w:rsidRDefault="00A5672D" w:rsidP="00FD1072">
      <w:pPr>
        <w:pStyle w:val="Style1"/>
        <w:keepNext/>
        <w:tabs>
          <w:tab w:val="clear" w:pos="1134"/>
          <w:tab w:val="left" w:pos="1276"/>
        </w:tabs>
        <w:ind w:left="1134"/>
      </w:pPr>
      <w:r>
        <w:rPr>
          <w:u w:val="single"/>
        </w:rPr>
        <w:t xml:space="preserve">Prend </w:t>
      </w:r>
      <w:r w:rsidR="005C6CBE">
        <w:rPr>
          <w:u w:val="single"/>
        </w:rPr>
        <w:t xml:space="preserve">également </w:t>
      </w:r>
      <w:r>
        <w:rPr>
          <w:u w:val="single"/>
        </w:rPr>
        <w:t>note</w:t>
      </w:r>
      <w:r>
        <w:t xml:space="preserve"> que la République centrafricaine a demandé une allocation d</w:t>
      </w:r>
      <w:r w:rsidR="003C1C30">
        <w:t>’</w:t>
      </w:r>
      <w:r>
        <w:t>un montant de 420 730 dollars des États-Unis du Fonds du patrimoine culturel immatériel pour la mise en œuvre de ce projet ;</w:t>
      </w:r>
    </w:p>
    <w:p w14:paraId="47B0C581" w14:textId="31B77F94" w:rsidR="002608A5" w:rsidRPr="005C6CBE" w:rsidRDefault="00A5672D" w:rsidP="00FD1072">
      <w:pPr>
        <w:pStyle w:val="Style1"/>
        <w:keepNext/>
        <w:tabs>
          <w:tab w:val="clear" w:pos="1134"/>
          <w:tab w:val="left" w:pos="1276"/>
        </w:tabs>
        <w:ind w:left="1134"/>
        <w:rPr>
          <w:noProof/>
        </w:rPr>
      </w:pPr>
      <w:r w:rsidRPr="005C6CBE">
        <w:rPr>
          <w:u w:val="single"/>
        </w:rPr>
        <w:t>Estime</w:t>
      </w:r>
      <w:r w:rsidRPr="005C6CBE">
        <w:t xml:space="preserve"> que, </w:t>
      </w:r>
      <w:r w:rsidRPr="00B625A5">
        <w:t>d</w:t>
      </w:r>
      <w:r w:rsidR="003C1C30" w:rsidRPr="00B625A5">
        <w:t>’</w:t>
      </w:r>
      <w:r w:rsidRPr="00B625A5">
        <w:t>après les informations contenues dans le dossier, la demande satisfait aux critères d</w:t>
      </w:r>
      <w:r w:rsidR="003C1C30" w:rsidRPr="00B625A5">
        <w:t>’</w:t>
      </w:r>
      <w:r w:rsidRPr="00B625A5">
        <w:t>octroi de l</w:t>
      </w:r>
      <w:r w:rsidR="003C1C30" w:rsidRPr="00B625A5">
        <w:t>’</w:t>
      </w:r>
      <w:r w:rsidRPr="00B625A5">
        <w:t>assistance internationale énoncés aux paragraphes 10 et 12 des Directives opérationnelles comme suit</w:t>
      </w:r>
      <w:r w:rsidRPr="005C6CBE">
        <w:t> :</w:t>
      </w:r>
    </w:p>
    <w:p w14:paraId="6395BDD4" w14:textId="3F2ABB9A" w:rsidR="00B71762" w:rsidRDefault="00A5672D" w:rsidP="00434794">
      <w:pPr>
        <w:tabs>
          <w:tab w:val="left" w:pos="1134"/>
          <w:tab w:val="left" w:pos="1701"/>
          <w:tab w:val="left" w:pos="2268"/>
        </w:tabs>
        <w:spacing w:before="120" w:after="120"/>
        <w:ind w:left="1134"/>
        <w:jc w:val="both"/>
        <w:rPr>
          <w:rFonts w:cs="Arial"/>
          <w:noProof/>
          <w:sz w:val="22"/>
          <w:szCs w:val="22"/>
        </w:rPr>
      </w:pPr>
      <w:r>
        <w:rPr>
          <w:b/>
          <w:bCs/>
          <w:sz w:val="22"/>
          <w:szCs w:val="22"/>
        </w:rPr>
        <w:t>Critère A.1 </w:t>
      </w:r>
      <w:r>
        <w:rPr>
          <w:sz w:val="22"/>
          <w:szCs w:val="22"/>
        </w:rPr>
        <w:t>: La demande souligne l</w:t>
      </w:r>
      <w:r w:rsidR="003C1C30">
        <w:rPr>
          <w:sz w:val="22"/>
          <w:szCs w:val="22"/>
        </w:rPr>
        <w:t>’</w:t>
      </w:r>
      <w:r>
        <w:rPr>
          <w:sz w:val="22"/>
          <w:szCs w:val="22"/>
        </w:rPr>
        <w:t>importance du rôle joué par les communautés dans la sauvegarde du patrimoine culturel immatériel. Toutefois elle ne précise pas suffisamment dans quelle mesure les communautés concerné</w:t>
      </w:r>
      <w:r w:rsidR="002413DC">
        <w:rPr>
          <w:sz w:val="22"/>
          <w:szCs w:val="22"/>
        </w:rPr>
        <w:t>e</w:t>
      </w:r>
      <w:r>
        <w:rPr>
          <w:sz w:val="22"/>
          <w:szCs w:val="22"/>
        </w:rPr>
        <w:t>s ont participé à l</w:t>
      </w:r>
      <w:r w:rsidR="003C1C30">
        <w:rPr>
          <w:sz w:val="22"/>
          <w:szCs w:val="22"/>
        </w:rPr>
        <w:t>’</w:t>
      </w:r>
      <w:r>
        <w:rPr>
          <w:sz w:val="22"/>
          <w:szCs w:val="22"/>
        </w:rPr>
        <w:t>élaboration de la demande et seront impliqué</w:t>
      </w:r>
      <w:r w:rsidR="00570D41">
        <w:rPr>
          <w:sz w:val="22"/>
          <w:szCs w:val="22"/>
        </w:rPr>
        <w:t>e</w:t>
      </w:r>
      <w:r>
        <w:rPr>
          <w:sz w:val="22"/>
          <w:szCs w:val="22"/>
        </w:rPr>
        <w:t>s dans la mise en œuvre des activités proposées ainsi que dans leur évaluation et leur suivi. L</w:t>
      </w:r>
      <w:r w:rsidR="003C1C30">
        <w:rPr>
          <w:sz w:val="22"/>
          <w:szCs w:val="22"/>
        </w:rPr>
        <w:t>’</w:t>
      </w:r>
      <w:r>
        <w:rPr>
          <w:sz w:val="22"/>
          <w:szCs w:val="22"/>
        </w:rPr>
        <w:t>ensemble du programme paraît avoir été préparé du point de vue des représentants d</w:t>
      </w:r>
      <w:r w:rsidR="003C1C30">
        <w:rPr>
          <w:sz w:val="22"/>
          <w:szCs w:val="22"/>
        </w:rPr>
        <w:t>’</w:t>
      </w:r>
      <w:r>
        <w:rPr>
          <w:sz w:val="22"/>
          <w:szCs w:val="22"/>
        </w:rPr>
        <w:t xml:space="preserve">institutions publiques </w:t>
      </w:r>
      <w:r w:rsidR="00787CC4" w:rsidRPr="005C6CBE">
        <w:rPr>
          <w:sz w:val="22"/>
          <w:szCs w:val="22"/>
        </w:rPr>
        <w:t xml:space="preserve">et </w:t>
      </w:r>
      <w:r w:rsidR="00787CC4" w:rsidRPr="00B625A5">
        <w:rPr>
          <w:sz w:val="22"/>
          <w:szCs w:val="22"/>
        </w:rPr>
        <w:t xml:space="preserve">la </w:t>
      </w:r>
      <w:r w:rsidR="005C6CBE" w:rsidRPr="00B625A5">
        <w:rPr>
          <w:sz w:val="22"/>
          <w:szCs w:val="22"/>
        </w:rPr>
        <w:t>raison d’être du projet</w:t>
      </w:r>
      <w:r w:rsidR="00787CC4" w:rsidRPr="00B625A5">
        <w:rPr>
          <w:sz w:val="22"/>
          <w:szCs w:val="22"/>
        </w:rPr>
        <w:t xml:space="preserve"> semble être </w:t>
      </w:r>
      <w:r w:rsidRPr="00B625A5">
        <w:rPr>
          <w:sz w:val="22"/>
          <w:szCs w:val="22"/>
        </w:rPr>
        <w:t>de répondre</w:t>
      </w:r>
      <w:r>
        <w:rPr>
          <w:sz w:val="22"/>
          <w:szCs w:val="22"/>
        </w:rPr>
        <w:t xml:space="preserve"> à la nécessité de renforcer les capacités de ces représentants ou les capacités de ces institutions dans le domaine de la sauvegarde du patrimoine culturel immatériel. Le dossier ne contient aucune description de la manière dont les communautés tireront profit des résultats du projet.</w:t>
      </w:r>
    </w:p>
    <w:p w14:paraId="02A0514D" w14:textId="1326316B" w:rsidR="002608A5" w:rsidRPr="00F10319" w:rsidRDefault="00A5672D">
      <w:pPr>
        <w:tabs>
          <w:tab w:val="left" w:pos="1134"/>
          <w:tab w:val="left" w:pos="1701"/>
          <w:tab w:val="left" w:pos="2268"/>
        </w:tabs>
        <w:spacing w:before="120" w:after="120"/>
        <w:ind w:left="1134"/>
        <w:jc w:val="both"/>
        <w:rPr>
          <w:rFonts w:cs="Arial"/>
          <w:noProof/>
          <w:sz w:val="22"/>
          <w:szCs w:val="22"/>
        </w:rPr>
      </w:pPr>
      <w:r w:rsidRPr="005C6CBE">
        <w:rPr>
          <w:b/>
          <w:bCs/>
          <w:sz w:val="22"/>
          <w:szCs w:val="22"/>
        </w:rPr>
        <w:t>Critère A.2</w:t>
      </w:r>
      <w:r w:rsidRPr="005C6CBE">
        <w:rPr>
          <w:sz w:val="22"/>
          <w:szCs w:val="22"/>
        </w:rPr>
        <w:t> : Le montant de l</w:t>
      </w:r>
      <w:r w:rsidR="003C1C30" w:rsidRPr="005C6CBE">
        <w:rPr>
          <w:sz w:val="22"/>
          <w:szCs w:val="22"/>
        </w:rPr>
        <w:t>’</w:t>
      </w:r>
      <w:r w:rsidRPr="005C6CBE">
        <w:rPr>
          <w:sz w:val="22"/>
          <w:szCs w:val="22"/>
        </w:rPr>
        <w:t>assistance demandée étant relativement élevé, le dossier aurait dû contenir davantage d</w:t>
      </w:r>
      <w:r w:rsidR="003C1C30" w:rsidRPr="005C6CBE">
        <w:rPr>
          <w:sz w:val="22"/>
          <w:szCs w:val="22"/>
        </w:rPr>
        <w:t>’</w:t>
      </w:r>
      <w:r w:rsidRPr="005C6CBE">
        <w:rPr>
          <w:sz w:val="22"/>
          <w:szCs w:val="22"/>
        </w:rPr>
        <w:t xml:space="preserve">informations détaillées, notamment des exemples concrets et des précisions </w:t>
      </w:r>
      <w:r w:rsidRPr="00B625A5">
        <w:rPr>
          <w:sz w:val="22"/>
          <w:szCs w:val="22"/>
        </w:rPr>
        <w:t xml:space="preserve">sur </w:t>
      </w:r>
      <w:r w:rsidR="00787CC4" w:rsidRPr="00B625A5">
        <w:rPr>
          <w:sz w:val="22"/>
          <w:szCs w:val="22"/>
        </w:rPr>
        <w:t>le contenu</w:t>
      </w:r>
      <w:r w:rsidRPr="00B625A5">
        <w:rPr>
          <w:sz w:val="22"/>
          <w:szCs w:val="22"/>
        </w:rPr>
        <w:t xml:space="preserve"> d</w:t>
      </w:r>
      <w:r w:rsidR="005C6CBE" w:rsidRPr="00B625A5">
        <w:rPr>
          <w:sz w:val="22"/>
          <w:szCs w:val="22"/>
        </w:rPr>
        <w:t>es mesures de</w:t>
      </w:r>
      <w:r w:rsidRPr="005C6CBE">
        <w:rPr>
          <w:sz w:val="22"/>
          <w:szCs w:val="22"/>
        </w:rPr>
        <w:t xml:space="preserve"> renforcement des capacités ciblant les trois groupes de bénéficiaires. Le programme de renforcement des capacités est assez ambitieux. Toutefois, en raison du manque d</w:t>
      </w:r>
      <w:r w:rsidR="003C1C30" w:rsidRPr="005C6CBE">
        <w:rPr>
          <w:sz w:val="22"/>
          <w:szCs w:val="22"/>
        </w:rPr>
        <w:t>’</w:t>
      </w:r>
      <w:r w:rsidRPr="005C6CBE">
        <w:rPr>
          <w:sz w:val="22"/>
          <w:szCs w:val="22"/>
        </w:rPr>
        <w:t>informations concernant les différents aspects du programme (</w:t>
      </w:r>
      <w:r w:rsidR="00787CC4" w:rsidRPr="005C6CBE">
        <w:rPr>
          <w:sz w:val="22"/>
          <w:szCs w:val="22"/>
        </w:rPr>
        <w:t xml:space="preserve">par exemple, la </w:t>
      </w:r>
      <w:r w:rsidRPr="005C6CBE">
        <w:rPr>
          <w:sz w:val="22"/>
          <w:szCs w:val="22"/>
        </w:rPr>
        <w:t xml:space="preserve">durée de la formation sur la gestion, </w:t>
      </w:r>
      <w:r w:rsidR="00787CC4" w:rsidRPr="005C6CBE">
        <w:rPr>
          <w:sz w:val="22"/>
          <w:szCs w:val="22"/>
        </w:rPr>
        <w:t xml:space="preserve">la </w:t>
      </w:r>
      <w:r w:rsidRPr="005C6CBE">
        <w:rPr>
          <w:sz w:val="22"/>
          <w:szCs w:val="22"/>
        </w:rPr>
        <w:t>présentation des nombreux membres de l</w:t>
      </w:r>
      <w:r w:rsidR="003C1C30" w:rsidRPr="005C6CBE">
        <w:rPr>
          <w:sz w:val="22"/>
          <w:szCs w:val="22"/>
        </w:rPr>
        <w:t>’</w:t>
      </w:r>
      <w:r w:rsidRPr="005C6CBE">
        <w:rPr>
          <w:sz w:val="22"/>
          <w:szCs w:val="22"/>
        </w:rPr>
        <w:t>équipe de gestion et d</w:t>
      </w:r>
      <w:r w:rsidR="003C1C30" w:rsidRPr="005C6CBE">
        <w:rPr>
          <w:sz w:val="22"/>
          <w:szCs w:val="22"/>
        </w:rPr>
        <w:t>’</w:t>
      </w:r>
      <w:r w:rsidRPr="005C6CBE">
        <w:rPr>
          <w:sz w:val="22"/>
          <w:szCs w:val="22"/>
        </w:rPr>
        <w:t xml:space="preserve">administration, </w:t>
      </w:r>
      <w:r w:rsidR="00787CC4" w:rsidRPr="005C6CBE">
        <w:rPr>
          <w:sz w:val="22"/>
          <w:szCs w:val="22"/>
        </w:rPr>
        <w:t>l’</w:t>
      </w:r>
      <w:r w:rsidRPr="005C6CBE">
        <w:rPr>
          <w:sz w:val="22"/>
          <w:szCs w:val="22"/>
        </w:rPr>
        <w:t>estimation du coût de la location des salles et de la publication des documents), il n</w:t>
      </w:r>
      <w:r w:rsidR="003C1C30" w:rsidRPr="005C6CBE">
        <w:rPr>
          <w:sz w:val="22"/>
          <w:szCs w:val="22"/>
        </w:rPr>
        <w:t>’</w:t>
      </w:r>
      <w:r w:rsidRPr="005C6CBE">
        <w:rPr>
          <w:sz w:val="22"/>
          <w:szCs w:val="22"/>
        </w:rPr>
        <w:t>est pas possible de déterminer si ce montant est adapté. Par ailleurs, la structure du budget ne correspond pas précisément aux informations fournies dans le dossier.</w:t>
      </w:r>
    </w:p>
    <w:p w14:paraId="5B5B9DEF" w14:textId="57DC85E5" w:rsidR="002608A5" w:rsidRPr="00F10319" w:rsidRDefault="00A5672D" w:rsidP="00434794">
      <w:pPr>
        <w:tabs>
          <w:tab w:val="left" w:pos="1134"/>
          <w:tab w:val="left" w:pos="1701"/>
          <w:tab w:val="left" w:pos="2268"/>
        </w:tabs>
        <w:spacing w:before="120" w:after="120"/>
        <w:ind w:left="1134"/>
        <w:jc w:val="both"/>
        <w:rPr>
          <w:rFonts w:cs="Arial"/>
          <w:noProof/>
          <w:sz w:val="22"/>
          <w:szCs w:val="22"/>
        </w:rPr>
      </w:pPr>
      <w:r>
        <w:rPr>
          <w:b/>
          <w:bCs/>
          <w:sz w:val="22"/>
          <w:szCs w:val="22"/>
        </w:rPr>
        <w:t>Critère A.3</w:t>
      </w:r>
      <w:r>
        <w:rPr>
          <w:sz w:val="22"/>
          <w:szCs w:val="22"/>
        </w:rPr>
        <w:t xml:space="preserve"> : Le programme comprend trois </w:t>
      </w:r>
      <w:r w:rsidR="00B45EA7">
        <w:rPr>
          <w:sz w:val="22"/>
          <w:szCs w:val="22"/>
        </w:rPr>
        <w:t>principaux groupes d</w:t>
      </w:r>
      <w:r w:rsidR="003C1C30">
        <w:rPr>
          <w:sz w:val="22"/>
          <w:szCs w:val="22"/>
        </w:rPr>
        <w:t>’</w:t>
      </w:r>
      <w:r>
        <w:rPr>
          <w:sz w:val="22"/>
          <w:szCs w:val="22"/>
        </w:rPr>
        <w:t>activités</w:t>
      </w:r>
      <w:r w:rsidR="00B45EA7">
        <w:rPr>
          <w:sz w:val="22"/>
          <w:szCs w:val="22"/>
        </w:rPr>
        <w:t xml:space="preserve"> (eux-mêmes divisés en </w:t>
      </w:r>
      <w:r w:rsidR="009D1A33">
        <w:rPr>
          <w:sz w:val="22"/>
          <w:szCs w:val="22"/>
        </w:rPr>
        <w:t>dix-sept</w:t>
      </w:r>
      <w:r w:rsidR="00B45EA7">
        <w:rPr>
          <w:sz w:val="22"/>
          <w:szCs w:val="22"/>
        </w:rPr>
        <w:t xml:space="preserve"> activités)</w:t>
      </w:r>
      <w:r>
        <w:rPr>
          <w:sz w:val="22"/>
          <w:szCs w:val="22"/>
        </w:rPr>
        <w:t>, ciblant trois groupes distincts de participants : des cadres du Ministère de la culture, de futurs étudiants de l</w:t>
      </w:r>
      <w:r w:rsidR="003C1C30">
        <w:rPr>
          <w:sz w:val="22"/>
          <w:szCs w:val="22"/>
        </w:rPr>
        <w:t>’</w:t>
      </w:r>
      <w:r>
        <w:rPr>
          <w:sz w:val="22"/>
          <w:szCs w:val="22"/>
        </w:rPr>
        <w:t>École nationale des arts et des membres des communautés des quatre régions concernées. Cependant, aucun de ces groupes n</w:t>
      </w:r>
      <w:r w:rsidR="003C1C30">
        <w:rPr>
          <w:sz w:val="22"/>
          <w:szCs w:val="22"/>
        </w:rPr>
        <w:t>’</w:t>
      </w:r>
      <w:r>
        <w:rPr>
          <w:sz w:val="22"/>
          <w:szCs w:val="22"/>
        </w:rPr>
        <w:t>est défini</w:t>
      </w:r>
      <w:r w:rsidR="00787CC4">
        <w:rPr>
          <w:sz w:val="22"/>
          <w:szCs w:val="22"/>
        </w:rPr>
        <w:t xml:space="preserve"> de manière appropriée</w:t>
      </w:r>
      <w:r>
        <w:rPr>
          <w:sz w:val="22"/>
          <w:szCs w:val="22"/>
        </w:rPr>
        <w:t>. L</w:t>
      </w:r>
      <w:r w:rsidR="003C1C30">
        <w:rPr>
          <w:sz w:val="22"/>
          <w:szCs w:val="22"/>
        </w:rPr>
        <w:t>’</w:t>
      </w:r>
      <w:r>
        <w:rPr>
          <w:sz w:val="22"/>
          <w:szCs w:val="22"/>
        </w:rPr>
        <w:t>État partie a fourni une description détaillée des objectifs du projet, ainsi que de ses principaux éléments et des activités spécifiques du programme de renforcement des capacités nationales et locales pour la sauvegarde du patrimoine culturel immatériel. Néanmoins, les informations relatives à la formation des cadres du Ministère de la culture et à la création d</w:t>
      </w:r>
      <w:r w:rsidR="003C1C30">
        <w:rPr>
          <w:sz w:val="22"/>
          <w:szCs w:val="22"/>
        </w:rPr>
        <w:t>’</w:t>
      </w:r>
      <w:r>
        <w:rPr>
          <w:sz w:val="22"/>
          <w:szCs w:val="22"/>
        </w:rPr>
        <w:t>un diplôme universitaire professionnel sont lacunaires. L</w:t>
      </w:r>
      <w:r w:rsidR="003C1C30">
        <w:rPr>
          <w:sz w:val="22"/>
          <w:szCs w:val="22"/>
        </w:rPr>
        <w:t>’</w:t>
      </w:r>
      <w:r>
        <w:rPr>
          <w:sz w:val="22"/>
          <w:szCs w:val="22"/>
        </w:rPr>
        <w:t>État partie n</w:t>
      </w:r>
      <w:r w:rsidR="003C1C30">
        <w:rPr>
          <w:sz w:val="22"/>
          <w:szCs w:val="22"/>
        </w:rPr>
        <w:t>’</w:t>
      </w:r>
      <w:r>
        <w:rPr>
          <w:sz w:val="22"/>
          <w:szCs w:val="22"/>
        </w:rPr>
        <w:t>a pas apporté suffisamment de précisions sur le contenu du programme de formation, dont la durée semble par ailleurs excessive. En outre, l</w:t>
      </w:r>
      <w:r w:rsidR="003C1C30">
        <w:rPr>
          <w:sz w:val="22"/>
          <w:szCs w:val="22"/>
        </w:rPr>
        <w:t>’</w:t>
      </w:r>
      <w:r>
        <w:rPr>
          <w:sz w:val="22"/>
          <w:szCs w:val="22"/>
        </w:rPr>
        <w:t>État partie n</w:t>
      </w:r>
      <w:r w:rsidR="003C1C30">
        <w:rPr>
          <w:sz w:val="22"/>
          <w:szCs w:val="22"/>
        </w:rPr>
        <w:t>’</w:t>
      </w:r>
      <w:r>
        <w:rPr>
          <w:sz w:val="22"/>
          <w:szCs w:val="22"/>
        </w:rPr>
        <w:t>a pas communiqué assez d</w:t>
      </w:r>
      <w:r w:rsidR="003C1C30">
        <w:rPr>
          <w:sz w:val="22"/>
          <w:szCs w:val="22"/>
        </w:rPr>
        <w:t>’</w:t>
      </w:r>
      <w:r>
        <w:rPr>
          <w:sz w:val="22"/>
          <w:szCs w:val="22"/>
        </w:rPr>
        <w:t>informations sur les ressources à mettre en œuvre pour financer la participation de</w:t>
      </w:r>
      <w:r w:rsidR="00787CC4">
        <w:rPr>
          <w:sz w:val="22"/>
          <w:szCs w:val="22"/>
        </w:rPr>
        <w:t xml:space="preserve"> la première promotion d’</w:t>
      </w:r>
      <w:r>
        <w:rPr>
          <w:sz w:val="22"/>
          <w:szCs w:val="22"/>
        </w:rPr>
        <w:t xml:space="preserve">étudiants de ce programme diplômant. Les informations concernant le contenu de la formation proposée aux membres des communautés sont également </w:t>
      </w:r>
      <w:r w:rsidR="00787CC4">
        <w:rPr>
          <w:sz w:val="22"/>
          <w:szCs w:val="22"/>
        </w:rPr>
        <w:t>i</w:t>
      </w:r>
      <w:r>
        <w:rPr>
          <w:sz w:val="22"/>
          <w:szCs w:val="22"/>
        </w:rPr>
        <w:t>nsuffisantes.</w:t>
      </w:r>
      <w:r w:rsidR="00D414BB">
        <w:rPr>
          <w:sz w:val="22"/>
          <w:szCs w:val="22"/>
        </w:rPr>
        <w:t xml:space="preserve"> Le programme étant assez ambitieux, une procédure par étapes pourrait être</w:t>
      </w:r>
      <w:r w:rsidR="009D1A33">
        <w:rPr>
          <w:sz w:val="22"/>
          <w:szCs w:val="22"/>
        </w:rPr>
        <w:t xml:space="preserve"> considérée</w:t>
      </w:r>
      <w:r w:rsidR="00D414BB">
        <w:rPr>
          <w:sz w:val="22"/>
          <w:szCs w:val="22"/>
        </w:rPr>
        <w:t xml:space="preserve"> plus adaptée </w:t>
      </w:r>
      <w:r w:rsidR="00D414BB" w:rsidRPr="00D414BB">
        <w:rPr>
          <w:sz w:val="22"/>
          <w:szCs w:val="22"/>
        </w:rPr>
        <w:t xml:space="preserve">pour cibler les différents groupes </w:t>
      </w:r>
      <w:r w:rsidR="009D1A33">
        <w:rPr>
          <w:sz w:val="22"/>
          <w:szCs w:val="22"/>
        </w:rPr>
        <w:t>de parties prenantes concernées par le biais d</w:t>
      </w:r>
      <w:r w:rsidR="003C1C30">
        <w:rPr>
          <w:sz w:val="22"/>
          <w:szCs w:val="22"/>
        </w:rPr>
        <w:t>’</w:t>
      </w:r>
      <w:r w:rsidR="009D1A33">
        <w:rPr>
          <w:sz w:val="22"/>
          <w:szCs w:val="22"/>
        </w:rPr>
        <w:t>une approche en plusieurs phases basées sur</w:t>
      </w:r>
      <w:r w:rsidR="00787CC4">
        <w:rPr>
          <w:sz w:val="22"/>
          <w:szCs w:val="22"/>
        </w:rPr>
        <w:t xml:space="preserve"> des</w:t>
      </w:r>
      <w:r w:rsidR="009D1A33">
        <w:rPr>
          <w:sz w:val="22"/>
          <w:szCs w:val="22"/>
        </w:rPr>
        <w:t xml:space="preserve"> </w:t>
      </w:r>
      <w:r w:rsidR="00D414BB" w:rsidRPr="00D414BB">
        <w:rPr>
          <w:sz w:val="22"/>
          <w:szCs w:val="22"/>
        </w:rPr>
        <w:t xml:space="preserve">projets </w:t>
      </w:r>
      <w:r w:rsidR="009D1A33">
        <w:rPr>
          <w:sz w:val="22"/>
          <w:szCs w:val="22"/>
        </w:rPr>
        <w:t>de plus petite envergure</w:t>
      </w:r>
      <w:r w:rsidR="00D414BB" w:rsidRPr="00D414BB">
        <w:rPr>
          <w:sz w:val="22"/>
          <w:szCs w:val="22"/>
        </w:rPr>
        <w:t>.</w:t>
      </w:r>
    </w:p>
    <w:p w14:paraId="64C6C50C" w14:textId="05E742A9" w:rsidR="002608A5" w:rsidRPr="00F10319" w:rsidRDefault="00A5672D" w:rsidP="00434794">
      <w:pPr>
        <w:tabs>
          <w:tab w:val="left" w:pos="1134"/>
          <w:tab w:val="left" w:pos="1701"/>
          <w:tab w:val="left" w:pos="2268"/>
        </w:tabs>
        <w:spacing w:before="120" w:after="120"/>
        <w:ind w:left="1134"/>
        <w:jc w:val="both"/>
        <w:rPr>
          <w:rFonts w:cs="Arial"/>
          <w:noProof/>
          <w:sz w:val="22"/>
          <w:szCs w:val="22"/>
        </w:rPr>
      </w:pPr>
      <w:r>
        <w:rPr>
          <w:b/>
          <w:bCs/>
          <w:sz w:val="22"/>
          <w:szCs w:val="22"/>
        </w:rPr>
        <w:t>Critère A.4 </w:t>
      </w:r>
      <w:r>
        <w:rPr>
          <w:sz w:val="22"/>
          <w:szCs w:val="22"/>
        </w:rPr>
        <w:t>: La demande indique le nombre de personnes formant les trois groupes qui bénéficieront du programme de renforcement des capacités. L</w:t>
      </w:r>
      <w:r w:rsidR="003C1C30">
        <w:rPr>
          <w:sz w:val="22"/>
          <w:szCs w:val="22"/>
        </w:rPr>
        <w:t>’</w:t>
      </w:r>
      <w:r>
        <w:rPr>
          <w:sz w:val="22"/>
          <w:szCs w:val="22"/>
        </w:rPr>
        <w:t>augmentation des ressources humaines spécialement formées à la sauvegarde du patrimoine culturel immatériel est évidemment importante et représentera un atout pour la République centrafricaine. Toutefois, le dossier ne démontre pas la pérennité du projet. Il n</w:t>
      </w:r>
      <w:r w:rsidR="003C1C30">
        <w:rPr>
          <w:sz w:val="22"/>
          <w:szCs w:val="22"/>
        </w:rPr>
        <w:t>’</w:t>
      </w:r>
      <w:r>
        <w:rPr>
          <w:sz w:val="22"/>
          <w:szCs w:val="22"/>
        </w:rPr>
        <w:t>explique ni comment la continuité des formations et autres activités sera assurée une fois terminée la période de financement par l</w:t>
      </w:r>
      <w:r w:rsidR="003C1C30">
        <w:rPr>
          <w:sz w:val="22"/>
          <w:szCs w:val="22"/>
        </w:rPr>
        <w:t>’</w:t>
      </w:r>
      <w:r>
        <w:rPr>
          <w:sz w:val="22"/>
          <w:szCs w:val="22"/>
        </w:rPr>
        <w:t>UNESCO, ni comment ces nouveaux professionnels du patrimoine culturel immatériel entreront dans les institutions concernées ou sur le marché du travail. Aucune responsabilité ou tâche spécifique n</w:t>
      </w:r>
      <w:r w:rsidR="003C1C30">
        <w:rPr>
          <w:sz w:val="22"/>
          <w:szCs w:val="22"/>
        </w:rPr>
        <w:t>’</w:t>
      </w:r>
      <w:r>
        <w:rPr>
          <w:sz w:val="22"/>
          <w:szCs w:val="22"/>
        </w:rPr>
        <w:t>a été définie, et le dossier ne fait état d</w:t>
      </w:r>
      <w:r w:rsidR="003C1C30">
        <w:rPr>
          <w:sz w:val="22"/>
          <w:szCs w:val="22"/>
        </w:rPr>
        <w:t>’</w:t>
      </w:r>
      <w:r>
        <w:rPr>
          <w:sz w:val="22"/>
          <w:szCs w:val="22"/>
        </w:rPr>
        <w:t>aucune mesure de suivi concrète.</w:t>
      </w:r>
    </w:p>
    <w:p w14:paraId="38824B6E" w14:textId="08CD0D14" w:rsidR="002608A5" w:rsidRPr="00F10319" w:rsidRDefault="00A5672D" w:rsidP="00434794">
      <w:pPr>
        <w:tabs>
          <w:tab w:val="left" w:pos="1134"/>
          <w:tab w:val="left" w:pos="1701"/>
          <w:tab w:val="left" w:pos="2268"/>
        </w:tabs>
        <w:spacing w:before="120" w:after="120"/>
        <w:ind w:left="1134"/>
        <w:jc w:val="both"/>
        <w:rPr>
          <w:rFonts w:cs="Arial"/>
          <w:noProof/>
          <w:sz w:val="22"/>
          <w:szCs w:val="22"/>
        </w:rPr>
      </w:pPr>
      <w:r>
        <w:rPr>
          <w:b/>
          <w:bCs/>
          <w:sz w:val="22"/>
          <w:szCs w:val="22"/>
        </w:rPr>
        <w:t>Critère A.5</w:t>
      </w:r>
      <w:r>
        <w:rPr>
          <w:sz w:val="22"/>
          <w:szCs w:val="22"/>
        </w:rPr>
        <w:t> : L</w:t>
      </w:r>
      <w:r w:rsidR="003C1C30">
        <w:rPr>
          <w:sz w:val="22"/>
          <w:szCs w:val="22"/>
        </w:rPr>
        <w:t>’</w:t>
      </w:r>
      <w:r>
        <w:rPr>
          <w:sz w:val="22"/>
          <w:szCs w:val="22"/>
        </w:rPr>
        <w:t xml:space="preserve">État partie prévoit de fournir </w:t>
      </w:r>
      <w:r w:rsidR="00570D41">
        <w:rPr>
          <w:sz w:val="22"/>
          <w:szCs w:val="22"/>
        </w:rPr>
        <w:t>six</w:t>
      </w:r>
      <w:r>
        <w:rPr>
          <w:sz w:val="22"/>
          <w:szCs w:val="22"/>
        </w:rPr>
        <w:t> </w:t>
      </w:r>
      <w:r w:rsidR="009D1A33">
        <w:rPr>
          <w:sz w:val="22"/>
          <w:szCs w:val="22"/>
        </w:rPr>
        <w:t xml:space="preserve">pour cent </w:t>
      </w:r>
      <w:r w:rsidR="009D1A33" w:rsidRPr="006E5A04">
        <w:rPr>
          <w:rFonts w:cs="Arial"/>
          <w:sz w:val="22"/>
          <w:szCs w:val="22"/>
          <w:lang w:val="fr" w:eastAsia="en-GB"/>
        </w:rPr>
        <w:t>du montant total du projet pour lequel une assistance internationale est demandée au Fonds du patrimoine culturel immatériel</w:t>
      </w:r>
      <w:r>
        <w:rPr>
          <w:sz w:val="22"/>
          <w:szCs w:val="22"/>
        </w:rPr>
        <w:t>.</w:t>
      </w:r>
    </w:p>
    <w:p w14:paraId="79948E47" w14:textId="79BEAC95" w:rsidR="00D6330D" w:rsidRPr="00F10319" w:rsidRDefault="00A5672D" w:rsidP="00434794">
      <w:pPr>
        <w:tabs>
          <w:tab w:val="left" w:pos="1134"/>
          <w:tab w:val="left" w:pos="1701"/>
          <w:tab w:val="left" w:pos="2268"/>
        </w:tabs>
        <w:spacing w:before="120" w:after="120"/>
        <w:ind w:left="1134"/>
        <w:jc w:val="both"/>
        <w:rPr>
          <w:rFonts w:cs="Arial"/>
          <w:noProof/>
          <w:sz w:val="22"/>
          <w:szCs w:val="22"/>
        </w:rPr>
      </w:pPr>
      <w:r w:rsidRPr="003118C6">
        <w:rPr>
          <w:b/>
          <w:bCs/>
          <w:sz w:val="22"/>
          <w:szCs w:val="22"/>
        </w:rPr>
        <w:t>Critère A.6</w:t>
      </w:r>
      <w:r w:rsidRPr="003118C6">
        <w:rPr>
          <w:sz w:val="22"/>
          <w:szCs w:val="22"/>
        </w:rPr>
        <w:t xml:space="preserve"> : </w:t>
      </w:r>
      <w:r w:rsidRPr="00B625A5">
        <w:rPr>
          <w:sz w:val="22"/>
          <w:szCs w:val="22"/>
        </w:rPr>
        <w:t>Le principal objectif de cette demande d</w:t>
      </w:r>
      <w:r w:rsidR="003C1C30" w:rsidRPr="00B625A5">
        <w:rPr>
          <w:sz w:val="22"/>
          <w:szCs w:val="22"/>
        </w:rPr>
        <w:t>’</w:t>
      </w:r>
      <w:r w:rsidRPr="00B625A5">
        <w:rPr>
          <w:sz w:val="22"/>
          <w:szCs w:val="22"/>
        </w:rPr>
        <w:t>assistance est de renforcer les capacités en matière de sauvegarde du patrimoine culturel immatériel</w:t>
      </w:r>
      <w:r w:rsidR="003118C6" w:rsidRPr="003118C6">
        <w:rPr>
          <w:sz w:val="22"/>
          <w:szCs w:val="22"/>
        </w:rPr>
        <w:t xml:space="preserve"> dans le pays</w:t>
      </w:r>
      <w:r w:rsidRPr="003118C6">
        <w:rPr>
          <w:sz w:val="22"/>
          <w:szCs w:val="22"/>
        </w:rPr>
        <w:t>. À l</w:t>
      </w:r>
      <w:r w:rsidR="003C1C30" w:rsidRPr="003118C6">
        <w:rPr>
          <w:sz w:val="22"/>
          <w:szCs w:val="22"/>
        </w:rPr>
        <w:t>’</w:t>
      </w:r>
      <w:r w:rsidRPr="003118C6">
        <w:rPr>
          <w:sz w:val="22"/>
          <w:szCs w:val="22"/>
        </w:rPr>
        <w:t>issue de ce projet d</w:t>
      </w:r>
      <w:r w:rsidR="003C1C30" w:rsidRPr="003118C6">
        <w:rPr>
          <w:sz w:val="22"/>
          <w:szCs w:val="22"/>
        </w:rPr>
        <w:t>’</w:t>
      </w:r>
      <w:r w:rsidRPr="003118C6">
        <w:rPr>
          <w:sz w:val="22"/>
          <w:szCs w:val="22"/>
        </w:rPr>
        <w:t>une durée de trois ans, l</w:t>
      </w:r>
      <w:r w:rsidR="003C1C30" w:rsidRPr="003118C6">
        <w:rPr>
          <w:sz w:val="22"/>
          <w:szCs w:val="22"/>
        </w:rPr>
        <w:t>’</w:t>
      </w:r>
      <w:r w:rsidRPr="003118C6">
        <w:rPr>
          <w:sz w:val="22"/>
          <w:szCs w:val="22"/>
        </w:rPr>
        <w:t xml:space="preserve">État pourrait faire appel à vingt cadres, cinquante diplômés et quarante détenteurs (dix par région) connaissant la Convention et formés à la sauvegarde du patrimoine </w:t>
      </w:r>
      <w:r w:rsidR="00787CC4" w:rsidRPr="003118C6">
        <w:rPr>
          <w:sz w:val="22"/>
          <w:szCs w:val="22"/>
        </w:rPr>
        <w:t>vivant</w:t>
      </w:r>
      <w:r w:rsidRPr="003118C6">
        <w:rPr>
          <w:sz w:val="22"/>
          <w:szCs w:val="22"/>
        </w:rPr>
        <w:t>. Le projet concerne la formation professionnelle de cadres administratifs en matière de gestion du patrimoine culturel immatériel. Malheureusement, le volet ciblant les communautés locales est le point faible du programme proposé</w:t>
      </w:r>
      <w:r w:rsidR="009D1A33" w:rsidRPr="003118C6">
        <w:rPr>
          <w:sz w:val="22"/>
          <w:szCs w:val="22"/>
        </w:rPr>
        <w:t xml:space="preserve"> et n</w:t>
      </w:r>
      <w:r w:rsidR="003C1C30" w:rsidRPr="003118C6">
        <w:rPr>
          <w:sz w:val="22"/>
          <w:szCs w:val="22"/>
        </w:rPr>
        <w:t>’</w:t>
      </w:r>
      <w:r w:rsidR="009D1A33" w:rsidRPr="003118C6">
        <w:rPr>
          <w:sz w:val="22"/>
          <w:szCs w:val="22"/>
        </w:rPr>
        <w:t>est pas suffisamment explicité</w:t>
      </w:r>
      <w:r w:rsidRPr="003118C6">
        <w:rPr>
          <w:sz w:val="22"/>
          <w:szCs w:val="22"/>
        </w:rPr>
        <w:t>. De plus, l</w:t>
      </w:r>
      <w:r w:rsidR="003C1C30" w:rsidRPr="003118C6">
        <w:rPr>
          <w:sz w:val="22"/>
          <w:szCs w:val="22"/>
        </w:rPr>
        <w:t>’</w:t>
      </w:r>
      <w:r w:rsidRPr="003118C6">
        <w:rPr>
          <w:sz w:val="22"/>
          <w:szCs w:val="22"/>
        </w:rPr>
        <w:t>efficacité de certains parcours de formation peut être mise en doute car la demande ne contient pas assez d</w:t>
      </w:r>
      <w:r w:rsidR="003C1C30" w:rsidRPr="003118C6">
        <w:rPr>
          <w:sz w:val="22"/>
          <w:szCs w:val="22"/>
        </w:rPr>
        <w:t>’</w:t>
      </w:r>
      <w:r w:rsidRPr="003118C6">
        <w:rPr>
          <w:sz w:val="22"/>
          <w:szCs w:val="22"/>
        </w:rPr>
        <w:t>informations sur leur contenu.</w:t>
      </w:r>
    </w:p>
    <w:p w14:paraId="53233965" w14:textId="3E0245D1" w:rsidR="002608A5" w:rsidRPr="00D6330D" w:rsidRDefault="00A5672D" w:rsidP="00434794">
      <w:pPr>
        <w:tabs>
          <w:tab w:val="left" w:pos="1134"/>
          <w:tab w:val="left" w:pos="1701"/>
          <w:tab w:val="left" w:pos="2268"/>
        </w:tabs>
        <w:spacing w:before="120" w:after="120"/>
        <w:ind w:left="1134"/>
        <w:jc w:val="both"/>
        <w:rPr>
          <w:rFonts w:cs="Arial"/>
          <w:noProof/>
          <w:sz w:val="22"/>
          <w:szCs w:val="22"/>
        </w:rPr>
      </w:pPr>
      <w:r>
        <w:rPr>
          <w:b/>
          <w:bCs/>
          <w:sz w:val="22"/>
          <w:szCs w:val="22"/>
        </w:rPr>
        <w:t>Critère A.7</w:t>
      </w:r>
      <w:r>
        <w:rPr>
          <w:sz w:val="22"/>
          <w:szCs w:val="22"/>
        </w:rPr>
        <w:t> : L</w:t>
      </w:r>
      <w:r w:rsidR="003C1C30">
        <w:rPr>
          <w:sz w:val="22"/>
          <w:szCs w:val="22"/>
        </w:rPr>
        <w:t>’</w:t>
      </w:r>
      <w:r>
        <w:rPr>
          <w:sz w:val="22"/>
          <w:szCs w:val="22"/>
        </w:rPr>
        <w:t>État partie n</w:t>
      </w:r>
      <w:r w:rsidR="003C1C30">
        <w:rPr>
          <w:sz w:val="22"/>
          <w:szCs w:val="22"/>
        </w:rPr>
        <w:t>’</w:t>
      </w:r>
      <w:r>
        <w:rPr>
          <w:sz w:val="22"/>
          <w:szCs w:val="22"/>
        </w:rPr>
        <w:t>a, à ce jour, bénéficié d</w:t>
      </w:r>
      <w:r w:rsidR="003C1C30">
        <w:rPr>
          <w:sz w:val="22"/>
          <w:szCs w:val="22"/>
        </w:rPr>
        <w:t>’</w:t>
      </w:r>
      <w:r>
        <w:rPr>
          <w:sz w:val="22"/>
          <w:szCs w:val="22"/>
        </w:rPr>
        <w:t>aucune assistance financière de l</w:t>
      </w:r>
      <w:r w:rsidR="003C1C30">
        <w:rPr>
          <w:sz w:val="22"/>
          <w:szCs w:val="22"/>
        </w:rPr>
        <w:t>’</w:t>
      </w:r>
      <w:r>
        <w:rPr>
          <w:sz w:val="22"/>
          <w:szCs w:val="22"/>
        </w:rPr>
        <w:t>UNESCO provenant du Fonds du patrimoine culturel immatériel de la Convention de 2003 pour mettre en œuvre des activités similaires ou connexes dans le domaine du patrimoine culturel immatériel.</w:t>
      </w:r>
    </w:p>
    <w:p w14:paraId="095DBE6C" w14:textId="3D7B758F" w:rsidR="002608A5" w:rsidRPr="00A41FC9" w:rsidRDefault="00A5672D">
      <w:pPr>
        <w:tabs>
          <w:tab w:val="left" w:pos="1134"/>
          <w:tab w:val="left" w:pos="1701"/>
          <w:tab w:val="left" w:pos="2268"/>
        </w:tabs>
        <w:spacing w:before="120" w:after="120"/>
        <w:ind w:left="1134"/>
        <w:jc w:val="both"/>
        <w:rPr>
          <w:rFonts w:cs="Arial"/>
          <w:color w:val="444444"/>
          <w:sz w:val="20"/>
          <w:szCs w:val="20"/>
          <w:shd w:val="clear" w:color="auto" w:fill="EBEBEB"/>
        </w:rPr>
      </w:pPr>
      <w:r>
        <w:rPr>
          <w:b/>
          <w:bCs/>
          <w:sz w:val="22"/>
          <w:szCs w:val="22"/>
        </w:rPr>
        <w:t>Paragraphe 10(a)</w:t>
      </w:r>
      <w:r>
        <w:rPr>
          <w:sz w:val="22"/>
          <w:szCs w:val="22"/>
        </w:rPr>
        <w:t> :</w:t>
      </w:r>
      <w:r w:rsidR="00F11BDD">
        <w:rPr>
          <w:sz w:val="22"/>
          <w:szCs w:val="22"/>
        </w:rPr>
        <w:t> </w:t>
      </w:r>
      <w:r w:rsidR="00D414BB">
        <w:rPr>
          <w:sz w:val="22"/>
          <w:szCs w:val="22"/>
        </w:rPr>
        <w:t xml:space="preserve">Le programme a une portée locale, nationale et internationale, </w:t>
      </w:r>
      <w:r w:rsidR="00E23CEE">
        <w:rPr>
          <w:sz w:val="22"/>
          <w:szCs w:val="22"/>
        </w:rPr>
        <w:t>d</w:t>
      </w:r>
      <w:r w:rsidR="003C1C30">
        <w:rPr>
          <w:sz w:val="22"/>
          <w:szCs w:val="22"/>
        </w:rPr>
        <w:t>’</w:t>
      </w:r>
      <w:r w:rsidR="00E23CEE">
        <w:rPr>
          <w:sz w:val="22"/>
          <w:szCs w:val="22"/>
        </w:rPr>
        <w:t>autant qu</w:t>
      </w:r>
      <w:r w:rsidR="003C1C30">
        <w:rPr>
          <w:sz w:val="22"/>
          <w:szCs w:val="22"/>
        </w:rPr>
        <w:t>’</w:t>
      </w:r>
      <w:r w:rsidR="00E23CEE">
        <w:rPr>
          <w:sz w:val="22"/>
          <w:szCs w:val="22"/>
        </w:rPr>
        <w:t>une partie du renforcement des capacités des cadres de l</w:t>
      </w:r>
      <w:r w:rsidR="003C1C30">
        <w:rPr>
          <w:sz w:val="22"/>
          <w:szCs w:val="22"/>
        </w:rPr>
        <w:t>’</w:t>
      </w:r>
      <w:r w:rsidR="00E23CEE">
        <w:rPr>
          <w:sz w:val="22"/>
          <w:szCs w:val="22"/>
        </w:rPr>
        <w:t>administration est prévue au Bénin</w:t>
      </w:r>
      <w:r w:rsidR="00D414BB">
        <w:rPr>
          <w:sz w:val="22"/>
          <w:szCs w:val="22"/>
        </w:rPr>
        <w:t>.</w:t>
      </w:r>
      <w:r w:rsidR="00E23CEE">
        <w:rPr>
          <w:sz w:val="22"/>
          <w:szCs w:val="22"/>
        </w:rPr>
        <w:t xml:space="preserve"> </w:t>
      </w:r>
      <w:r w:rsidR="00F21F68">
        <w:rPr>
          <w:sz w:val="22"/>
          <w:szCs w:val="22"/>
        </w:rPr>
        <w:t>La</w:t>
      </w:r>
      <w:r w:rsidR="00E23CEE">
        <w:rPr>
          <w:sz w:val="22"/>
          <w:szCs w:val="22"/>
        </w:rPr>
        <w:t xml:space="preserve"> participation d</w:t>
      </w:r>
      <w:r w:rsidR="003C1C30">
        <w:rPr>
          <w:sz w:val="22"/>
          <w:szCs w:val="22"/>
        </w:rPr>
        <w:t>’</w:t>
      </w:r>
      <w:r w:rsidR="00E23CEE">
        <w:rPr>
          <w:sz w:val="22"/>
          <w:szCs w:val="22"/>
        </w:rPr>
        <w:t>expert</w:t>
      </w:r>
      <w:r w:rsidR="002413DC">
        <w:rPr>
          <w:sz w:val="22"/>
          <w:szCs w:val="22"/>
        </w:rPr>
        <w:t>s</w:t>
      </w:r>
      <w:r w:rsidR="00E23CEE">
        <w:rPr>
          <w:sz w:val="22"/>
          <w:szCs w:val="22"/>
        </w:rPr>
        <w:t xml:space="preserve"> de l</w:t>
      </w:r>
      <w:r w:rsidR="003C1C30">
        <w:rPr>
          <w:sz w:val="22"/>
          <w:szCs w:val="22"/>
        </w:rPr>
        <w:t>’</w:t>
      </w:r>
      <w:r w:rsidR="002413DC" w:rsidRPr="002413DC">
        <w:rPr>
          <w:sz w:val="22"/>
          <w:szCs w:val="22"/>
        </w:rPr>
        <w:t xml:space="preserve">Institut </w:t>
      </w:r>
      <w:r w:rsidR="002413DC">
        <w:rPr>
          <w:sz w:val="22"/>
          <w:szCs w:val="22"/>
        </w:rPr>
        <w:t>r</w:t>
      </w:r>
      <w:r w:rsidR="002413DC" w:rsidRPr="002413DC">
        <w:rPr>
          <w:sz w:val="22"/>
          <w:szCs w:val="22"/>
        </w:rPr>
        <w:t xml:space="preserve">égional </w:t>
      </w:r>
      <w:r w:rsidR="002413DC">
        <w:rPr>
          <w:sz w:val="22"/>
          <w:szCs w:val="22"/>
        </w:rPr>
        <w:t>d’e</w:t>
      </w:r>
      <w:r w:rsidR="002413DC" w:rsidRPr="002413DC">
        <w:rPr>
          <w:sz w:val="22"/>
          <w:szCs w:val="22"/>
        </w:rPr>
        <w:t xml:space="preserve">nseignement </w:t>
      </w:r>
      <w:r w:rsidR="002413DC">
        <w:rPr>
          <w:sz w:val="22"/>
          <w:szCs w:val="22"/>
        </w:rPr>
        <w:t>s</w:t>
      </w:r>
      <w:r w:rsidR="002413DC" w:rsidRPr="002413DC">
        <w:rPr>
          <w:sz w:val="22"/>
          <w:szCs w:val="22"/>
        </w:rPr>
        <w:t xml:space="preserve">upérieur et de </w:t>
      </w:r>
      <w:r w:rsidR="002413DC">
        <w:rPr>
          <w:sz w:val="22"/>
          <w:szCs w:val="22"/>
        </w:rPr>
        <w:t>r</w:t>
      </w:r>
      <w:r w:rsidR="002413DC" w:rsidRPr="002413DC">
        <w:rPr>
          <w:sz w:val="22"/>
          <w:szCs w:val="22"/>
        </w:rPr>
        <w:t xml:space="preserve">echerche en </w:t>
      </w:r>
      <w:r w:rsidR="002413DC">
        <w:rPr>
          <w:sz w:val="22"/>
          <w:szCs w:val="22"/>
        </w:rPr>
        <w:t>d</w:t>
      </w:r>
      <w:r w:rsidR="002413DC" w:rsidRPr="002413DC">
        <w:rPr>
          <w:sz w:val="22"/>
          <w:szCs w:val="22"/>
        </w:rPr>
        <w:t xml:space="preserve">éveloppement </w:t>
      </w:r>
      <w:r w:rsidR="002413DC">
        <w:rPr>
          <w:sz w:val="22"/>
          <w:szCs w:val="22"/>
        </w:rPr>
        <w:t>c</w:t>
      </w:r>
      <w:r w:rsidR="002413DC" w:rsidRPr="002413DC">
        <w:rPr>
          <w:sz w:val="22"/>
          <w:szCs w:val="22"/>
        </w:rPr>
        <w:t xml:space="preserve">ulturel </w:t>
      </w:r>
      <w:r w:rsidR="002413DC">
        <w:rPr>
          <w:sz w:val="22"/>
          <w:szCs w:val="22"/>
        </w:rPr>
        <w:t>(</w:t>
      </w:r>
      <w:r w:rsidR="00E23CEE" w:rsidRPr="001B4247">
        <w:rPr>
          <w:sz w:val="22"/>
          <w:szCs w:val="22"/>
        </w:rPr>
        <w:t>IRES-RDC</w:t>
      </w:r>
      <w:r w:rsidR="002413DC">
        <w:rPr>
          <w:sz w:val="22"/>
          <w:szCs w:val="22"/>
        </w:rPr>
        <w:t xml:space="preserve">, </w:t>
      </w:r>
      <w:r w:rsidR="00E23CEE">
        <w:rPr>
          <w:sz w:val="22"/>
          <w:szCs w:val="22"/>
        </w:rPr>
        <w:t>Togo</w:t>
      </w:r>
      <w:r w:rsidR="002413DC">
        <w:rPr>
          <w:sz w:val="22"/>
          <w:szCs w:val="22"/>
        </w:rPr>
        <w:t>)</w:t>
      </w:r>
      <w:r w:rsidR="00E23CEE" w:rsidRPr="001B4247">
        <w:rPr>
          <w:sz w:val="22"/>
          <w:szCs w:val="22"/>
        </w:rPr>
        <w:t xml:space="preserve"> et du </w:t>
      </w:r>
      <w:r w:rsidR="002413DC" w:rsidRPr="002413DC">
        <w:rPr>
          <w:sz w:val="22"/>
          <w:szCs w:val="22"/>
        </w:rPr>
        <w:t>Centre international de recherche et de documentation sur les traditions et les langues africaines</w:t>
      </w:r>
      <w:r w:rsidR="002413DC">
        <w:rPr>
          <w:sz w:val="22"/>
          <w:szCs w:val="22"/>
        </w:rPr>
        <w:t xml:space="preserve"> (</w:t>
      </w:r>
      <w:r w:rsidR="00E23CEE" w:rsidRPr="001B4247">
        <w:rPr>
          <w:sz w:val="22"/>
          <w:szCs w:val="22"/>
        </w:rPr>
        <w:t>CERDOTOLA</w:t>
      </w:r>
      <w:r w:rsidR="002413DC">
        <w:rPr>
          <w:sz w:val="22"/>
          <w:szCs w:val="22"/>
        </w:rPr>
        <w:t>,</w:t>
      </w:r>
      <w:r w:rsidR="00E23CEE">
        <w:rPr>
          <w:sz w:val="22"/>
          <w:szCs w:val="22"/>
        </w:rPr>
        <w:t xml:space="preserve"> Cameroun</w:t>
      </w:r>
      <w:r w:rsidR="002413DC">
        <w:rPr>
          <w:sz w:val="22"/>
          <w:szCs w:val="22"/>
        </w:rPr>
        <w:t>)</w:t>
      </w:r>
      <w:r w:rsidR="00F21F68">
        <w:rPr>
          <w:sz w:val="22"/>
          <w:szCs w:val="22"/>
        </w:rPr>
        <w:t xml:space="preserve"> est également prévue</w:t>
      </w:r>
      <w:r w:rsidR="00E23CEE">
        <w:rPr>
          <w:sz w:val="22"/>
          <w:szCs w:val="22"/>
        </w:rPr>
        <w:t xml:space="preserve">. </w:t>
      </w:r>
      <w:r w:rsidR="00E23CEE" w:rsidRPr="00E23CEE">
        <w:rPr>
          <w:sz w:val="22"/>
          <w:szCs w:val="22"/>
        </w:rPr>
        <w:t>Les termes de cette coopération ne sont pas</w:t>
      </w:r>
      <w:r w:rsidR="00F21F68">
        <w:rPr>
          <w:sz w:val="22"/>
          <w:szCs w:val="22"/>
        </w:rPr>
        <w:t xml:space="preserve"> toujours</w:t>
      </w:r>
      <w:r w:rsidR="00E23CEE" w:rsidRPr="00E23CEE">
        <w:rPr>
          <w:sz w:val="22"/>
          <w:szCs w:val="22"/>
        </w:rPr>
        <w:t xml:space="preserve"> judicieusement </w:t>
      </w:r>
      <w:r w:rsidR="00F11BDD" w:rsidRPr="00E23CEE">
        <w:rPr>
          <w:sz w:val="22"/>
          <w:szCs w:val="22"/>
        </w:rPr>
        <w:t>formulés</w:t>
      </w:r>
      <w:r w:rsidR="00E23CEE" w:rsidRPr="00E23CEE">
        <w:rPr>
          <w:sz w:val="22"/>
          <w:szCs w:val="22"/>
        </w:rPr>
        <w:t>, à l</w:t>
      </w:r>
      <w:r w:rsidR="003C1C30">
        <w:rPr>
          <w:sz w:val="22"/>
          <w:szCs w:val="22"/>
        </w:rPr>
        <w:t>’</w:t>
      </w:r>
      <w:r w:rsidR="00E23CEE" w:rsidRPr="00E23CEE">
        <w:rPr>
          <w:sz w:val="22"/>
          <w:szCs w:val="22"/>
        </w:rPr>
        <w:t xml:space="preserve">image de la délocalisation de la formation de </w:t>
      </w:r>
      <w:r w:rsidR="00F21F68">
        <w:rPr>
          <w:sz w:val="22"/>
          <w:szCs w:val="22"/>
        </w:rPr>
        <w:t>vingt</w:t>
      </w:r>
      <w:r w:rsidR="00E23CEE" w:rsidRPr="00E23CEE">
        <w:rPr>
          <w:sz w:val="22"/>
          <w:szCs w:val="22"/>
        </w:rPr>
        <w:t xml:space="preserve"> cadres au B</w:t>
      </w:r>
      <w:r w:rsidR="00F11BDD">
        <w:rPr>
          <w:sz w:val="22"/>
          <w:szCs w:val="22"/>
        </w:rPr>
        <w:t>é</w:t>
      </w:r>
      <w:r w:rsidR="00E23CEE" w:rsidRPr="00E23CEE">
        <w:rPr>
          <w:sz w:val="22"/>
          <w:szCs w:val="22"/>
        </w:rPr>
        <w:t xml:space="preserve">nin </w:t>
      </w:r>
      <w:r w:rsidR="00F11BDD">
        <w:rPr>
          <w:sz w:val="22"/>
          <w:szCs w:val="22"/>
        </w:rPr>
        <w:t xml:space="preserve">en raison d’une </w:t>
      </w:r>
      <w:r w:rsidR="00E23CEE" w:rsidRPr="00E23CEE">
        <w:rPr>
          <w:sz w:val="22"/>
          <w:szCs w:val="22"/>
        </w:rPr>
        <w:t>absence d</w:t>
      </w:r>
      <w:r w:rsidR="003C1C30">
        <w:rPr>
          <w:sz w:val="22"/>
          <w:szCs w:val="22"/>
        </w:rPr>
        <w:t>’</w:t>
      </w:r>
      <w:r w:rsidR="00E23CEE" w:rsidRPr="00E23CEE">
        <w:rPr>
          <w:sz w:val="22"/>
          <w:szCs w:val="22"/>
        </w:rPr>
        <w:t>espace adéquat dans l</w:t>
      </w:r>
      <w:r w:rsidR="003C1C30">
        <w:rPr>
          <w:sz w:val="22"/>
          <w:szCs w:val="22"/>
        </w:rPr>
        <w:t>’</w:t>
      </w:r>
      <w:r w:rsidR="00F11BDD">
        <w:rPr>
          <w:sz w:val="22"/>
          <w:szCs w:val="22"/>
        </w:rPr>
        <w:t>Ét</w:t>
      </w:r>
      <w:r w:rsidR="00E23CEE" w:rsidRPr="00E23CEE">
        <w:rPr>
          <w:sz w:val="22"/>
          <w:szCs w:val="22"/>
        </w:rPr>
        <w:t>at-partie.</w:t>
      </w:r>
      <w:r w:rsidR="00E23CEE" w:rsidDel="00D414BB">
        <w:rPr>
          <w:sz w:val="22"/>
          <w:szCs w:val="22"/>
        </w:rPr>
        <w:t xml:space="preserve"> </w:t>
      </w:r>
      <w:r w:rsidR="00E23CEE">
        <w:rPr>
          <w:sz w:val="22"/>
          <w:szCs w:val="22"/>
        </w:rPr>
        <w:t>En outre, b</w:t>
      </w:r>
      <w:r>
        <w:rPr>
          <w:sz w:val="22"/>
          <w:szCs w:val="22"/>
        </w:rPr>
        <w:t>ien que l</w:t>
      </w:r>
      <w:r w:rsidR="003C1C30">
        <w:rPr>
          <w:sz w:val="22"/>
          <w:szCs w:val="22"/>
        </w:rPr>
        <w:t>’</w:t>
      </w:r>
      <w:r>
        <w:rPr>
          <w:sz w:val="22"/>
          <w:szCs w:val="22"/>
        </w:rPr>
        <w:t xml:space="preserve">État partie envisage </w:t>
      </w:r>
      <w:r w:rsidR="00E23CEE">
        <w:rPr>
          <w:sz w:val="22"/>
          <w:szCs w:val="22"/>
        </w:rPr>
        <w:t>d</w:t>
      </w:r>
      <w:r w:rsidR="003C1C30">
        <w:rPr>
          <w:sz w:val="22"/>
          <w:szCs w:val="22"/>
        </w:rPr>
        <w:t>’</w:t>
      </w:r>
      <w:r w:rsidR="00E23CEE">
        <w:rPr>
          <w:sz w:val="22"/>
          <w:szCs w:val="22"/>
        </w:rPr>
        <w:t>établir</w:t>
      </w:r>
      <w:r>
        <w:rPr>
          <w:sz w:val="22"/>
          <w:szCs w:val="22"/>
        </w:rPr>
        <w:t xml:space="preserve"> un </w:t>
      </w:r>
      <w:r w:rsidR="00E23CEE" w:rsidRPr="0024701A">
        <w:rPr>
          <w:sz w:val="22"/>
          <w:szCs w:val="22"/>
        </w:rPr>
        <w:t>programme</w:t>
      </w:r>
      <w:r w:rsidR="00E23CEE" w:rsidRPr="00F21F68">
        <w:rPr>
          <w:sz w:val="22"/>
          <w:szCs w:val="22"/>
        </w:rPr>
        <w:t xml:space="preserve"> </w:t>
      </w:r>
      <w:r w:rsidRPr="00F21F68">
        <w:rPr>
          <w:sz w:val="22"/>
          <w:szCs w:val="22"/>
        </w:rPr>
        <w:t>d</w:t>
      </w:r>
      <w:r w:rsidR="003C1C30">
        <w:rPr>
          <w:sz w:val="22"/>
          <w:szCs w:val="22"/>
        </w:rPr>
        <w:t>’</w:t>
      </w:r>
      <w:r w:rsidRPr="00F21F68">
        <w:rPr>
          <w:sz w:val="22"/>
          <w:szCs w:val="22"/>
        </w:rPr>
        <w:t>enseignement supérieur</w:t>
      </w:r>
      <w:r>
        <w:rPr>
          <w:sz w:val="22"/>
          <w:szCs w:val="22"/>
        </w:rPr>
        <w:t xml:space="preserve"> à l</w:t>
      </w:r>
      <w:r w:rsidR="003C1C30">
        <w:rPr>
          <w:sz w:val="22"/>
          <w:szCs w:val="22"/>
        </w:rPr>
        <w:t>’</w:t>
      </w:r>
      <w:r>
        <w:rPr>
          <w:sz w:val="22"/>
          <w:szCs w:val="22"/>
        </w:rPr>
        <w:t xml:space="preserve">échelle sous-régionale, </w:t>
      </w:r>
      <w:r w:rsidR="00E23CEE">
        <w:rPr>
          <w:sz w:val="22"/>
          <w:szCs w:val="22"/>
        </w:rPr>
        <w:t xml:space="preserve">la demande suggère que cela aura lieu dans le futur, sans apporter de détails suffisants sur </w:t>
      </w:r>
      <w:r w:rsidR="00F11BDD">
        <w:rPr>
          <w:sz w:val="22"/>
          <w:szCs w:val="22"/>
        </w:rPr>
        <w:t xml:space="preserve">la manière et </w:t>
      </w:r>
      <w:r w:rsidR="00B31AD2">
        <w:rPr>
          <w:sz w:val="22"/>
          <w:szCs w:val="22"/>
        </w:rPr>
        <w:t>le calendrier</w:t>
      </w:r>
      <w:r w:rsidR="00E23CEE">
        <w:rPr>
          <w:sz w:val="22"/>
          <w:szCs w:val="22"/>
        </w:rPr>
        <w:t>.</w:t>
      </w:r>
    </w:p>
    <w:p w14:paraId="6C5EE9D5" w14:textId="33CAE963" w:rsidR="002608A5" w:rsidRPr="00A41FC9" w:rsidRDefault="00A5672D" w:rsidP="00434794">
      <w:pPr>
        <w:tabs>
          <w:tab w:val="left" w:pos="1134"/>
          <w:tab w:val="left" w:pos="1701"/>
          <w:tab w:val="left" w:pos="2268"/>
        </w:tabs>
        <w:spacing w:before="120" w:after="120"/>
        <w:ind w:left="1134"/>
        <w:jc w:val="both"/>
        <w:rPr>
          <w:rFonts w:cs="Arial"/>
          <w:b/>
          <w:bCs/>
          <w:noProof/>
          <w:sz w:val="22"/>
          <w:szCs w:val="22"/>
        </w:rPr>
      </w:pPr>
      <w:r>
        <w:rPr>
          <w:b/>
          <w:bCs/>
          <w:sz w:val="22"/>
          <w:szCs w:val="22"/>
        </w:rPr>
        <w:t>Paragraphe 10(b) </w:t>
      </w:r>
      <w:r w:rsidRPr="0024701A">
        <w:rPr>
          <w:sz w:val="22"/>
          <w:szCs w:val="22"/>
        </w:rPr>
        <w:t>:</w:t>
      </w:r>
      <w:r>
        <w:rPr>
          <w:b/>
          <w:bCs/>
          <w:sz w:val="22"/>
          <w:szCs w:val="22"/>
        </w:rPr>
        <w:t xml:space="preserve"> </w:t>
      </w:r>
      <w:r>
        <w:rPr>
          <w:sz w:val="22"/>
          <w:szCs w:val="22"/>
        </w:rPr>
        <w:t>Selon la demande, grâce aux connaissances et à l</w:t>
      </w:r>
      <w:r w:rsidR="003C1C30">
        <w:rPr>
          <w:sz w:val="22"/>
          <w:szCs w:val="22"/>
        </w:rPr>
        <w:t>’</w:t>
      </w:r>
      <w:r>
        <w:rPr>
          <w:sz w:val="22"/>
          <w:szCs w:val="22"/>
        </w:rPr>
        <w:t xml:space="preserve">expérience acquises sur le terrain dans le cadre de leur formation, les diplômés apprendront à sortir des sentiers battus </w:t>
      </w:r>
      <w:r w:rsidRPr="003118C6">
        <w:rPr>
          <w:sz w:val="22"/>
          <w:szCs w:val="22"/>
        </w:rPr>
        <w:t xml:space="preserve">pour développer de nouvelles idées qui intéresseront davantage les partenaires locaux, </w:t>
      </w:r>
      <w:r w:rsidR="009A2669" w:rsidRPr="00B625A5">
        <w:rPr>
          <w:sz w:val="22"/>
          <w:szCs w:val="22"/>
        </w:rPr>
        <w:t xml:space="preserve">ce qui </w:t>
      </w:r>
      <w:r w:rsidR="003118C6" w:rsidRPr="00B625A5">
        <w:rPr>
          <w:sz w:val="22"/>
          <w:szCs w:val="22"/>
        </w:rPr>
        <w:t>accroitrait</w:t>
      </w:r>
      <w:r w:rsidR="009A2669" w:rsidRPr="00B625A5">
        <w:rPr>
          <w:sz w:val="22"/>
          <w:szCs w:val="22"/>
        </w:rPr>
        <w:t xml:space="preserve"> ainsi</w:t>
      </w:r>
      <w:r w:rsidRPr="00B625A5">
        <w:rPr>
          <w:sz w:val="22"/>
          <w:szCs w:val="22"/>
        </w:rPr>
        <w:t xml:space="preserve"> les opportunités de sauvegarde du patrimoine culturel immatériel.</w:t>
      </w:r>
      <w:r w:rsidRPr="003118C6">
        <w:rPr>
          <w:sz w:val="22"/>
          <w:szCs w:val="22"/>
        </w:rPr>
        <w:t xml:space="preserve"> Toutefois</w:t>
      </w:r>
      <w:r>
        <w:rPr>
          <w:sz w:val="22"/>
          <w:szCs w:val="22"/>
        </w:rPr>
        <w:t>, le dossier ne contient pas d</w:t>
      </w:r>
      <w:r w:rsidR="003C1C30">
        <w:rPr>
          <w:sz w:val="22"/>
          <w:szCs w:val="22"/>
        </w:rPr>
        <w:t>’</w:t>
      </w:r>
      <w:r>
        <w:rPr>
          <w:sz w:val="22"/>
          <w:szCs w:val="22"/>
        </w:rPr>
        <w:t>informations concrètes sur les effets multiplicateurs</w:t>
      </w:r>
      <w:r w:rsidR="008E1F86">
        <w:rPr>
          <w:sz w:val="22"/>
          <w:szCs w:val="22"/>
        </w:rPr>
        <w:t xml:space="preserve"> potentiels</w:t>
      </w:r>
      <w:r>
        <w:rPr>
          <w:sz w:val="22"/>
          <w:szCs w:val="22"/>
        </w:rPr>
        <w:t xml:space="preserve"> de cette assistance qui pourraient susciter des contributions d</w:t>
      </w:r>
      <w:r w:rsidR="003C1C30">
        <w:rPr>
          <w:sz w:val="22"/>
          <w:szCs w:val="22"/>
        </w:rPr>
        <w:t>’</w:t>
      </w:r>
      <w:r>
        <w:rPr>
          <w:sz w:val="22"/>
          <w:szCs w:val="22"/>
        </w:rPr>
        <w:t>autres sources, parmi lesquels le secteur privé et d</w:t>
      </w:r>
      <w:r w:rsidR="003C1C30">
        <w:rPr>
          <w:sz w:val="22"/>
          <w:szCs w:val="22"/>
        </w:rPr>
        <w:t>’</w:t>
      </w:r>
      <w:r>
        <w:rPr>
          <w:sz w:val="22"/>
          <w:szCs w:val="22"/>
        </w:rPr>
        <w:t>autres organisations.</w:t>
      </w:r>
    </w:p>
    <w:p w14:paraId="103D7DDA" w14:textId="4459B8C1" w:rsidR="002608A5" w:rsidRPr="003118C6" w:rsidRDefault="00A5672D" w:rsidP="00FD1072">
      <w:pPr>
        <w:pStyle w:val="Style1"/>
        <w:tabs>
          <w:tab w:val="clear" w:pos="1134"/>
          <w:tab w:val="left" w:pos="1276"/>
        </w:tabs>
        <w:ind w:left="1134"/>
        <w:rPr>
          <w:noProof/>
        </w:rPr>
      </w:pPr>
      <w:r w:rsidRPr="003118C6">
        <w:rPr>
          <w:u w:val="single"/>
        </w:rPr>
        <w:t>Décide de renvoyer</w:t>
      </w:r>
      <w:r w:rsidRPr="003118C6">
        <w:t xml:space="preserve"> à </w:t>
      </w:r>
      <w:r w:rsidRPr="00B625A5">
        <w:t>l</w:t>
      </w:r>
      <w:r w:rsidR="003C1C30" w:rsidRPr="00B625A5">
        <w:t>’</w:t>
      </w:r>
      <w:r w:rsidRPr="00B625A5">
        <w:t xml:space="preserve">État </w:t>
      </w:r>
      <w:r w:rsidR="008E1F86" w:rsidRPr="00B625A5">
        <w:t xml:space="preserve">partie </w:t>
      </w:r>
      <w:r w:rsidRPr="00B625A5">
        <w:t>demandeur la demande d</w:t>
      </w:r>
      <w:r w:rsidR="003C1C30" w:rsidRPr="00B625A5">
        <w:t>’</w:t>
      </w:r>
      <w:r w:rsidRPr="00B625A5">
        <w:t>assistance internationale pour le projet intitu</w:t>
      </w:r>
      <w:r w:rsidRPr="003118C6">
        <w:t xml:space="preserve">lé </w:t>
      </w:r>
      <w:r w:rsidRPr="003118C6">
        <w:rPr>
          <w:b/>
        </w:rPr>
        <w:t>Le renforcement des capacités pour la sauvegarde et la gestion du patrimoine culturel immatériel en Centrafrique</w:t>
      </w:r>
      <w:r w:rsidRPr="003118C6">
        <w:t xml:space="preserve"> et l</w:t>
      </w:r>
      <w:r w:rsidR="003C1C30" w:rsidRPr="003118C6">
        <w:t>’</w:t>
      </w:r>
      <w:r w:rsidRPr="003118C6">
        <w:rPr>
          <w:u w:val="single"/>
        </w:rPr>
        <w:t>invite</w:t>
      </w:r>
      <w:r w:rsidRPr="003118C6">
        <w:t xml:space="preserve"> à soumettre une demande révisée au Comité pour examen au cours d</w:t>
      </w:r>
      <w:r w:rsidR="003C1C30" w:rsidRPr="003118C6">
        <w:t>’</w:t>
      </w:r>
      <w:r w:rsidRPr="003118C6">
        <w:t>un cycle ultérieur.</w:t>
      </w:r>
    </w:p>
    <w:p w14:paraId="2211D636" w14:textId="15997701" w:rsidR="002608A5" w:rsidRPr="0024701A" w:rsidRDefault="002608A5" w:rsidP="00FD1072">
      <w:pPr>
        <w:pStyle w:val="Heading2"/>
        <w:numPr>
          <w:ilvl w:val="0"/>
          <w:numId w:val="2"/>
        </w:numPr>
        <w:spacing w:before="360" w:after="120"/>
        <w:ind w:firstLine="567"/>
        <w:rPr>
          <w:b/>
          <w:bCs/>
          <w:sz w:val="22"/>
          <w:szCs w:val="22"/>
        </w:rPr>
      </w:pPr>
      <w:bookmarkStart w:id="3" w:name="Decision_9d2"/>
      <w:bookmarkEnd w:id="3"/>
      <w:r w:rsidRPr="0024701A">
        <w:rPr>
          <w:b/>
          <w:bCs/>
          <w:sz w:val="22"/>
          <w:szCs w:val="22"/>
        </w:rPr>
        <w:t>PROJET DE DÉCISION 1</w:t>
      </w:r>
      <w:r w:rsidR="00BF15E5" w:rsidRPr="0024701A">
        <w:rPr>
          <w:b/>
          <w:bCs/>
          <w:sz w:val="22"/>
          <w:szCs w:val="22"/>
        </w:rPr>
        <w:t>5</w:t>
      </w:r>
      <w:r w:rsidRPr="0024701A">
        <w:rPr>
          <w:b/>
          <w:bCs/>
          <w:sz w:val="22"/>
          <w:szCs w:val="22"/>
        </w:rPr>
        <w:t>.COM </w:t>
      </w:r>
      <w:r w:rsidR="00FD1072">
        <w:rPr>
          <w:b/>
          <w:bCs/>
          <w:sz w:val="22"/>
          <w:szCs w:val="22"/>
        </w:rPr>
        <w:t>8</w:t>
      </w:r>
      <w:r w:rsidRPr="0024701A">
        <w:rPr>
          <w:b/>
          <w:bCs/>
          <w:sz w:val="22"/>
          <w:szCs w:val="22"/>
        </w:rPr>
        <w:t>.d.2</w:t>
      </w:r>
      <w:r w:rsidRPr="0024701A">
        <w:rPr>
          <w:b/>
          <w:bCs/>
          <w:sz w:val="22"/>
          <w:szCs w:val="22"/>
        </w:rPr>
        <w:tab/>
      </w:r>
      <w:r w:rsidR="00084C79">
        <w:rPr>
          <w:b/>
          <w:bCs/>
          <w:sz w:val="22"/>
          <w:szCs w:val="22"/>
        </w:rPr>
        <w:tab/>
      </w:r>
      <w:bookmarkStart w:id="4" w:name="_GoBack"/>
      <w:bookmarkEnd w:id="4"/>
      <w:r w:rsidRPr="0024701A">
        <w:rPr>
          <w:noProof/>
          <w:sz w:val="22"/>
          <w:szCs w:val="22"/>
          <w:lang w:eastAsia="zh-CN"/>
        </w:rPr>
        <w:drawing>
          <wp:inline distT="0" distB="0" distL="0" distR="0" wp14:anchorId="171C4DC6" wp14:editId="33E07448">
            <wp:extent cx="104775" cy="104775"/>
            <wp:effectExtent l="0" t="0" r="9525" b="9525"/>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21538A12" w14:textId="77777777" w:rsidR="002608A5" w:rsidRPr="002608A5" w:rsidRDefault="002608A5" w:rsidP="008508C0">
      <w:pPr>
        <w:pStyle w:val="NoSpacing"/>
        <w:keepNext/>
        <w:tabs>
          <w:tab w:val="left" w:pos="567"/>
          <w:tab w:val="left" w:pos="1134"/>
          <w:tab w:val="left" w:pos="1701"/>
          <w:tab w:val="left" w:pos="2268"/>
        </w:tabs>
        <w:spacing w:before="120" w:after="120"/>
        <w:ind w:firstLine="567"/>
        <w:jc w:val="both"/>
        <w:rPr>
          <w:rFonts w:ascii="Arial" w:hAnsi="Arial" w:cs="Arial"/>
        </w:rPr>
      </w:pPr>
      <w:r>
        <w:rPr>
          <w:rFonts w:ascii="Arial" w:hAnsi="Arial"/>
        </w:rPr>
        <w:t>Le Comité,</w:t>
      </w:r>
    </w:p>
    <w:p w14:paraId="1CE48DB6" w14:textId="0B1263AA" w:rsidR="003C7328" w:rsidRPr="000556E6" w:rsidRDefault="003C7328" w:rsidP="00FD1072">
      <w:pPr>
        <w:pStyle w:val="Style1"/>
        <w:tabs>
          <w:tab w:val="clear" w:pos="1134"/>
          <w:tab w:val="left" w:pos="1418"/>
        </w:tabs>
        <w:ind w:left="1134"/>
        <w:rPr>
          <w:noProof/>
        </w:rPr>
      </w:pPr>
      <w:r>
        <w:rPr>
          <w:u w:val="single"/>
        </w:rPr>
        <w:t>Rappelant</w:t>
      </w:r>
      <w:r>
        <w:t xml:space="preserve"> l</w:t>
      </w:r>
      <w:r w:rsidR="003C1C30">
        <w:t>’</w:t>
      </w:r>
      <w:r>
        <w:t xml:space="preserve">article 23 de la Convention ainsi que le chapitre I.4 des Directives opérationnelles </w:t>
      </w:r>
      <w:r w:rsidR="00DE6F4F" w:rsidRPr="00B700C4">
        <w:t>relatifs à l’admissibilité et aux critères des demandes d’assistance internationale</w:t>
      </w:r>
      <w:r>
        <w:t>,</w:t>
      </w:r>
    </w:p>
    <w:p w14:paraId="071D494D" w14:textId="4BDEFD91" w:rsidR="003C7328" w:rsidRPr="000556E6" w:rsidRDefault="003C7328" w:rsidP="00FD1072">
      <w:pPr>
        <w:pStyle w:val="Style1"/>
        <w:tabs>
          <w:tab w:val="clear" w:pos="1134"/>
          <w:tab w:val="left" w:pos="1418"/>
        </w:tabs>
        <w:ind w:left="1134"/>
        <w:rPr>
          <w:snapToGrid w:val="0"/>
        </w:rPr>
      </w:pPr>
      <w:r>
        <w:rPr>
          <w:u w:val="single"/>
        </w:rPr>
        <w:t>Ayant examiné</w:t>
      </w:r>
      <w:r>
        <w:t xml:space="preserve"> le document LHE/20/15.COM/</w:t>
      </w:r>
      <w:r w:rsidR="00FD1072">
        <w:t>8</w:t>
      </w:r>
      <w:r>
        <w:t>.d ainsi que la demande d</w:t>
      </w:r>
      <w:r w:rsidR="003C1C30">
        <w:t>’</w:t>
      </w:r>
      <w:r>
        <w:t xml:space="preserve">assistance internationale n° 01498 </w:t>
      </w:r>
      <w:r>
        <w:rPr>
          <w:snapToGrid w:val="0"/>
        </w:rPr>
        <w:t>soumise par le Malawi</w:t>
      </w:r>
      <w:r>
        <w:t>,</w:t>
      </w:r>
    </w:p>
    <w:p w14:paraId="0991BBB5" w14:textId="1AB89F2E" w:rsidR="002608A5" w:rsidRPr="002608A5" w:rsidRDefault="002608A5" w:rsidP="00FD1072">
      <w:pPr>
        <w:pStyle w:val="Style1"/>
        <w:tabs>
          <w:tab w:val="clear" w:pos="1134"/>
          <w:tab w:val="left" w:pos="1418"/>
        </w:tabs>
        <w:ind w:left="1134"/>
      </w:pPr>
      <w:r>
        <w:rPr>
          <w:u w:val="single"/>
        </w:rPr>
        <w:t>Prend note</w:t>
      </w:r>
      <w:r>
        <w:t xml:space="preserve"> que le Malawi a demandé une assistance internationale pour le projet intitulé </w:t>
      </w:r>
      <w:r>
        <w:rPr>
          <w:b/>
        </w:rPr>
        <w:t>La sauvegarde de la ludodiversité du Malawi par l</w:t>
      </w:r>
      <w:r w:rsidR="003C1C30">
        <w:rPr>
          <w:b/>
        </w:rPr>
        <w:t>’</w:t>
      </w:r>
      <w:r>
        <w:rPr>
          <w:b/>
        </w:rPr>
        <w:t xml:space="preserve">éducation non formelle et la transmission </w:t>
      </w:r>
      <w:r w:rsidR="007D111E">
        <w:rPr>
          <w:b/>
        </w:rPr>
        <w:t>par les communautés</w:t>
      </w:r>
      <w:r w:rsidR="00156E72">
        <w:t> :</w:t>
      </w:r>
    </w:p>
    <w:p w14:paraId="36DAD317" w14:textId="03F430A5" w:rsidR="002608A5" w:rsidRPr="002608A5" w:rsidRDefault="002608A5" w:rsidP="00434794">
      <w:pPr>
        <w:tabs>
          <w:tab w:val="left" w:pos="1134"/>
          <w:tab w:val="left" w:pos="1701"/>
          <w:tab w:val="left" w:pos="2268"/>
        </w:tabs>
        <w:spacing w:before="120" w:after="120"/>
        <w:ind w:left="1134"/>
        <w:jc w:val="both"/>
        <w:rPr>
          <w:rFonts w:cs="Arial"/>
          <w:sz w:val="22"/>
          <w:szCs w:val="22"/>
        </w:rPr>
      </w:pPr>
      <w:r>
        <w:rPr>
          <w:sz w:val="22"/>
          <w:szCs w:val="22"/>
        </w:rPr>
        <w:t>L</w:t>
      </w:r>
      <w:r w:rsidR="003C1C30">
        <w:rPr>
          <w:sz w:val="22"/>
          <w:szCs w:val="22"/>
        </w:rPr>
        <w:t>’</w:t>
      </w:r>
      <w:r>
        <w:rPr>
          <w:sz w:val="22"/>
          <w:szCs w:val="22"/>
        </w:rPr>
        <w:t>objectif général de ce projet, qui sera mis en œuvre par la Commission nationale du Malawi pour l</w:t>
      </w:r>
      <w:r w:rsidR="003C1C30">
        <w:rPr>
          <w:sz w:val="22"/>
          <w:szCs w:val="22"/>
        </w:rPr>
        <w:t>’</w:t>
      </w:r>
      <w:r>
        <w:rPr>
          <w:sz w:val="22"/>
          <w:szCs w:val="22"/>
        </w:rPr>
        <w:t>UNESCO, est de contribuer à la sauvegarde de la ludodiversité du Malawi par l</w:t>
      </w:r>
      <w:r w:rsidR="003C1C30">
        <w:rPr>
          <w:sz w:val="22"/>
          <w:szCs w:val="22"/>
        </w:rPr>
        <w:t>’</w:t>
      </w:r>
      <w:r>
        <w:rPr>
          <w:sz w:val="22"/>
          <w:szCs w:val="22"/>
        </w:rPr>
        <w:t xml:space="preserve">éducation non formelle et la transmission </w:t>
      </w:r>
      <w:r w:rsidR="007D111E">
        <w:rPr>
          <w:sz w:val="22"/>
          <w:szCs w:val="22"/>
        </w:rPr>
        <w:t>par les communautés</w:t>
      </w:r>
      <w:r>
        <w:rPr>
          <w:sz w:val="22"/>
          <w:szCs w:val="22"/>
        </w:rPr>
        <w:t>. En 2013, un inventaire sur la ludodiversité du Malawi a été réalisé par des praticiens avec l</w:t>
      </w:r>
      <w:r w:rsidR="003C1C30">
        <w:rPr>
          <w:sz w:val="22"/>
          <w:szCs w:val="22"/>
        </w:rPr>
        <w:t>’</w:t>
      </w:r>
      <w:r>
        <w:rPr>
          <w:sz w:val="22"/>
          <w:szCs w:val="22"/>
        </w:rPr>
        <w:t>aide d</w:t>
      </w:r>
      <w:r w:rsidR="003C1C30">
        <w:rPr>
          <w:sz w:val="22"/>
          <w:szCs w:val="22"/>
        </w:rPr>
        <w:t>’</w:t>
      </w:r>
      <w:r>
        <w:rPr>
          <w:sz w:val="22"/>
          <w:szCs w:val="22"/>
        </w:rPr>
        <w:t xml:space="preserve">experts du patrimoine vivant. Il a permis </w:t>
      </w:r>
      <w:r w:rsidR="00156E72">
        <w:rPr>
          <w:sz w:val="22"/>
          <w:szCs w:val="22"/>
        </w:rPr>
        <w:t>d’inventorier</w:t>
      </w:r>
      <w:r>
        <w:rPr>
          <w:sz w:val="22"/>
          <w:szCs w:val="22"/>
        </w:rPr>
        <w:t xml:space="preserve"> </w:t>
      </w:r>
      <w:r w:rsidR="004049D0">
        <w:rPr>
          <w:sz w:val="22"/>
          <w:szCs w:val="22"/>
        </w:rPr>
        <w:t>trente-deux </w:t>
      </w:r>
      <w:r>
        <w:rPr>
          <w:sz w:val="22"/>
          <w:szCs w:val="22"/>
        </w:rPr>
        <w:t>jeux traditionnels et de développer un plan de sauvegarde. Ce projet d</w:t>
      </w:r>
      <w:r w:rsidR="003C1C30">
        <w:rPr>
          <w:sz w:val="22"/>
          <w:szCs w:val="22"/>
        </w:rPr>
        <w:t>’</w:t>
      </w:r>
      <w:r>
        <w:rPr>
          <w:sz w:val="22"/>
          <w:szCs w:val="22"/>
        </w:rPr>
        <w:t xml:space="preserve">une durée de </w:t>
      </w:r>
      <w:r w:rsidR="004049D0">
        <w:rPr>
          <w:sz w:val="22"/>
          <w:szCs w:val="22"/>
        </w:rPr>
        <w:t>trente-six </w:t>
      </w:r>
      <w:r>
        <w:rPr>
          <w:sz w:val="22"/>
          <w:szCs w:val="22"/>
        </w:rPr>
        <w:t>mois vise à sauvegarder la ludodiversité à travers l</w:t>
      </w:r>
      <w:r w:rsidR="003C1C30">
        <w:rPr>
          <w:sz w:val="22"/>
          <w:szCs w:val="22"/>
        </w:rPr>
        <w:t>’</w:t>
      </w:r>
      <w:r>
        <w:rPr>
          <w:sz w:val="22"/>
          <w:szCs w:val="22"/>
        </w:rPr>
        <w:t>apprentissage non formel de neuf de ces jeux traditionnels et leur transmission informelle par les praticiens et au sein de leurs communautés. Plus précisément, le projet s</w:t>
      </w:r>
      <w:r w:rsidR="003C1C30">
        <w:rPr>
          <w:sz w:val="22"/>
          <w:szCs w:val="22"/>
        </w:rPr>
        <w:t>’</w:t>
      </w:r>
      <w:r>
        <w:rPr>
          <w:sz w:val="22"/>
          <w:szCs w:val="22"/>
        </w:rPr>
        <w:t xml:space="preserve">articule autour des objectifs suivants : </w:t>
      </w:r>
      <w:r w:rsidR="0035304C">
        <w:rPr>
          <w:sz w:val="22"/>
          <w:szCs w:val="22"/>
        </w:rPr>
        <w:t>consultations auprès des</w:t>
      </w:r>
      <w:r>
        <w:rPr>
          <w:sz w:val="22"/>
          <w:szCs w:val="22"/>
        </w:rPr>
        <w:t xml:space="preserve"> communautés pratiquant les mêmes types de jeux, des experts du développement des sports tenant le rôle d</w:t>
      </w:r>
      <w:r w:rsidR="003C1C30">
        <w:rPr>
          <w:sz w:val="22"/>
          <w:szCs w:val="22"/>
        </w:rPr>
        <w:t>’</w:t>
      </w:r>
      <w:r>
        <w:rPr>
          <w:sz w:val="22"/>
          <w:szCs w:val="22"/>
        </w:rPr>
        <w:t xml:space="preserve">observateurs afin de parvenir à un consensus sur les règles </w:t>
      </w:r>
      <w:r w:rsidR="0035304C">
        <w:rPr>
          <w:sz w:val="22"/>
          <w:szCs w:val="22"/>
        </w:rPr>
        <w:t xml:space="preserve">et règlements </w:t>
      </w:r>
      <w:r>
        <w:rPr>
          <w:sz w:val="22"/>
          <w:szCs w:val="22"/>
        </w:rPr>
        <w:t>généra</w:t>
      </w:r>
      <w:r w:rsidR="0035304C">
        <w:rPr>
          <w:sz w:val="22"/>
          <w:szCs w:val="22"/>
        </w:rPr>
        <w:t>ux</w:t>
      </w:r>
      <w:r>
        <w:rPr>
          <w:sz w:val="22"/>
          <w:szCs w:val="22"/>
        </w:rPr>
        <w:t xml:space="preserve"> des jeux ; la publication d</w:t>
      </w:r>
      <w:r w:rsidR="003C1C30">
        <w:rPr>
          <w:sz w:val="22"/>
          <w:szCs w:val="22"/>
        </w:rPr>
        <w:t>’</w:t>
      </w:r>
      <w:r>
        <w:rPr>
          <w:sz w:val="22"/>
          <w:szCs w:val="22"/>
        </w:rPr>
        <w:t xml:space="preserve">un manuel présentant ces règles </w:t>
      </w:r>
      <w:r w:rsidR="0035304C">
        <w:rPr>
          <w:sz w:val="22"/>
          <w:szCs w:val="22"/>
        </w:rPr>
        <w:t xml:space="preserve">et règlements </w:t>
      </w:r>
      <w:r>
        <w:rPr>
          <w:sz w:val="22"/>
          <w:szCs w:val="22"/>
        </w:rPr>
        <w:t>et la distribution de 2</w:t>
      </w:r>
      <w:r w:rsidR="00835EB7">
        <w:rPr>
          <w:sz w:val="22"/>
          <w:szCs w:val="22"/>
        </w:rPr>
        <w:t> </w:t>
      </w:r>
      <w:r>
        <w:rPr>
          <w:sz w:val="22"/>
          <w:szCs w:val="22"/>
        </w:rPr>
        <w:t>0</w:t>
      </w:r>
      <w:r w:rsidR="00835EB7">
        <w:rPr>
          <w:sz w:val="22"/>
          <w:szCs w:val="22"/>
        </w:rPr>
        <w:t>0</w:t>
      </w:r>
      <w:r>
        <w:rPr>
          <w:sz w:val="22"/>
          <w:szCs w:val="22"/>
        </w:rPr>
        <w:t xml:space="preserve">0 exemplaires dans les établissements de formation des enseignants, les bibliothèques </w:t>
      </w:r>
      <w:r w:rsidR="007D111E">
        <w:rPr>
          <w:sz w:val="22"/>
          <w:szCs w:val="22"/>
        </w:rPr>
        <w:t xml:space="preserve">des communautés </w:t>
      </w:r>
      <w:r>
        <w:rPr>
          <w:sz w:val="22"/>
          <w:szCs w:val="22"/>
        </w:rPr>
        <w:t>et les écoles ; la formation d</w:t>
      </w:r>
      <w:r w:rsidR="003C1C30">
        <w:rPr>
          <w:sz w:val="22"/>
          <w:szCs w:val="22"/>
        </w:rPr>
        <w:t>’</w:t>
      </w:r>
      <w:r>
        <w:rPr>
          <w:sz w:val="22"/>
          <w:szCs w:val="22"/>
        </w:rPr>
        <w:t>enseignants et d</w:t>
      </w:r>
      <w:r w:rsidR="003C1C30">
        <w:rPr>
          <w:sz w:val="22"/>
          <w:szCs w:val="22"/>
        </w:rPr>
        <w:t>’</w:t>
      </w:r>
      <w:r>
        <w:rPr>
          <w:sz w:val="22"/>
          <w:szCs w:val="22"/>
        </w:rPr>
        <w:t>élèves des écoles primaires locales par le biais d</w:t>
      </w:r>
      <w:r w:rsidR="003C1C30">
        <w:rPr>
          <w:sz w:val="22"/>
          <w:szCs w:val="22"/>
        </w:rPr>
        <w:t>’</w:t>
      </w:r>
      <w:r>
        <w:rPr>
          <w:sz w:val="22"/>
          <w:szCs w:val="22"/>
        </w:rPr>
        <w:t>un apprentissage auprès de praticiens des communautés ; et l</w:t>
      </w:r>
      <w:r w:rsidR="003C1C30">
        <w:rPr>
          <w:sz w:val="22"/>
          <w:szCs w:val="22"/>
        </w:rPr>
        <w:t>’</w:t>
      </w:r>
      <w:r>
        <w:rPr>
          <w:sz w:val="22"/>
          <w:szCs w:val="22"/>
        </w:rPr>
        <w:t>organisation du premier festival annuel régional consacré aux jeux traditionnels par les communautés de praticiens. Reposant sur une participation active des communautés concernées, le projet devrait renforcer les capacités en matière de documentation, de gestion et de promotion du patrimoine vivant mais aussi les capacités du Comité national du patrimoine culturel immatériel en matière de coordination de la participation des communautés, groupes et individus concernés.</w:t>
      </w:r>
    </w:p>
    <w:p w14:paraId="03E0E603" w14:textId="0C42314E" w:rsidR="003C7328" w:rsidRDefault="003C7328" w:rsidP="00FD1072">
      <w:pPr>
        <w:pStyle w:val="Style1"/>
        <w:tabs>
          <w:tab w:val="clear" w:pos="1134"/>
          <w:tab w:val="left" w:pos="1418"/>
        </w:tabs>
        <w:ind w:left="1134"/>
        <w:rPr>
          <w:noProof/>
        </w:rPr>
      </w:pPr>
      <w:r>
        <w:rPr>
          <w:u w:val="single"/>
        </w:rPr>
        <w:t>Prend note en outre</w:t>
      </w:r>
      <w:r>
        <w:t xml:space="preserve"> que cette assistance concerne l</w:t>
      </w:r>
      <w:r w:rsidR="003C1C30">
        <w:t>’</w:t>
      </w:r>
      <w:r>
        <w:t>appui à un projet mis en œuvre au niveau national, conformément à l</w:t>
      </w:r>
      <w:r w:rsidR="003C1C30">
        <w:t>’</w:t>
      </w:r>
      <w:r>
        <w:t>article 20 (c) de la Convention, et qu</w:t>
      </w:r>
      <w:r w:rsidR="003C1C30">
        <w:t>’</w:t>
      </w:r>
      <w:r>
        <w:t>elle prend la forme de l</w:t>
      </w:r>
      <w:r w:rsidR="003C1C30">
        <w:t>’</w:t>
      </w:r>
      <w:r>
        <w:rPr>
          <w:b/>
          <w:bCs/>
        </w:rPr>
        <w:t>octroi d</w:t>
      </w:r>
      <w:r w:rsidR="003C1C30">
        <w:rPr>
          <w:b/>
          <w:bCs/>
        </w:rPr>
        <w:t>’</w:t>
      </w:r>
      <w:r>
        <w:rPr>
          <w:b/>
          <w:bCs/>
        </w:rPr>
        <w:t>un don</w:t>
      </w:r>
      <w:r>
        <w:t>, conformément à l</w:t>
      </w:r>
      <w:r w:rsidR="003C1C30">
        <w:t>’</w:t>
      </w:r>
      <w:r>
        <w:t>article 21 (g) de la Convention ;</w:t>
      </w:r>
    </w:p>
    <w:p w14:paraId="65E4AD98" w14:textId="1F74E683" w:rsidR="003C7328" w:rsidRPr="003C7328" w:rsidRDefault="003C7328" w:rsidP="00FD1072">
      <w:pPr>
        <w:pStyle w:val="Style1"/>
        <w:tabs>
          <w:tab w:val="clear" w:pos="1134"/>
          <w:tab w:val="left" w:pos="1418"/>
        </w:tabs>
        <w:ind w:left="1134"/>
      </w:pPr>
      <w:r>
        <w:rPr>
          <w:u w:val="single"/>
        </w:rPr>
        <w:t xml:space="preserve">Prend </w:t>
      </w:r>
      <w:r w:rsidR="005C6CBE">
        <w:rPr>
          <w:u w:val="single"/>
        </w:rPr>
        <w:t xml:space="preserve">également </w:t>
      </w:r>
      <w:r>
        <w:rPr>
          <w:u w:val="single"/>
        </w:rPr>
        <w:t>note</w:t>
      </w:r>
      <w:r>
        <w:t xml:space="preserve"> que le Malawi a demandé une allocation d</w:t>
      </w:r>
      <w:r w:rsidR="003C1C30">
        <w:t>’</w:t>
      </w:r>
      <w:r>
        <w:t>un montant de 347 164 dollars des États-Unis du Fonds du patrimoine culturel immatériel pour la mise en œuvre de ce projet ;</w:t>
      </w:r>
    </w:p>
    <w:p w14:paraId="10E49C61" w14:textId="0D5597B4" w:rsidR="002608A5" w:rsidRPr="002608A5" w:rsidRDefault="003C7328" w:rsidP="00FD1072">
      <w:pPr>
        <w:pStyle w:val="Style1"/>
        <w:tabs>
          <w:tab w:val="clear" w:pos="1134"/>
          <w:tab w:val="left" w:pos="1418"/>
        </w:tabs>
        <w:ind w:left="1134"/>
        <w:rPr>
          <w:noProof/>
        </w:rPr>
      </w:pPr>
      <w:r>
        <w:rPr>
          <w:u w:val="single"/>
        </w:rPr>
        <w:t>Estime</w:t>
      </w:r>
      <w:r>
        <w:t xml:space="preserve"> que, d</w:t>
      </w:r>
      <w:r w:rsidR="003C1C30">
        <w:t>’</w:t>
      </w:r>
      <w:r>
        <w:t>après les informations contenues dans le dossier, la demande satisfait aux critères d</w:t>
      </w:r>
      <w:r w:rsidR="003C1C30">
        <w:t>’</w:t>
      </w:r>
      <w:r>
        <w:t>octroi de l</w:t>
      </w:r>
      <w:r w:rsidR="003C1C30">
        <w:t>’</w:t>
      </w:r>
      <w:r>
        <w:t>assistance internationale énoncés aux paragraphes 10 et 12 des Directives opérationnelles comme suit :</w:t>
      </w:r>
    </w:p>
    <w:p w14:paraId="2D4FE7E4" w14:textId="2507D5EA" w:rsidR="002608A5" w:rsidRPr="00F10319" w:rsidRDefault="003C7328" w:rsidP="00434794">
      <w:pPr>
        <w:tabs>
          <w:tab w:val="left" w:pos="1134"/>
          <w:tab w:val="left" w:pos="1701"/>
          <w:tab w:val="left" w:pos="2268"/>
        </w:tabs>
        <w:spacing w:before="120" w:after="120"/>
        <w:ind w:left="1134"/>
        <w:jc w:val="both"/>
        <w:rPr>
          <w:rFonts w:cs="Arial"/>
          <w:noProof/>
          <w:sz w:val="22"/>
          <w:szCs w:val="22"/>
        </w:rPr>
      </w:pPr>
      <w:r>
        <w:rPr>
          <w:b/>
          <w:bCs/>
          <w:sz w:val="22"/>
          <w:szCs w:val="22"/>
        </w:rPr>
        <w:t>Critère A.1 </w:t>
      </w:r>
      <w:r>
        <w:rPr>
          <w:sz w:val="22"/>
          <w:szCs w:val="22"/>
        </w:rPr>
        <w:t>: Les activités du projet s</w:t>
      </w:r>
      <w:r w:rsidR="003C1C30">
        <w:rPr>
          <w:sz w:val="22"/>
          <w:szCs w:val="22"/>
        </w:rPr>
        <w:t>’</w:t>
      </w:r>
      <w:r>
        <w:rPr>
          <w:sz w:val="22"/>
          <w:szCs w:val="22"/>
        </w:rPr>
        <w:t>articulent autour des communautés concernées. La demande décrit précisément la manière dont les chefs traditionnels, les jeunes, les enseignants, les techniciens de l</w:t>
      </w:r>
      <w:r w:rsidR="003C1C30">
        <w:rPr>
          <w:sz w:val="22"/>
          <w:szCs w:val="22"/>
        </w:rPr>
        <w:t>’</w:t>
      </w:r>
      <w:r>
        <w:rPr>
          <w:sz w:val="22"/>
          <w:szCs w:val="22"/>
        </w:rPr>
        <w:t>audiovisuel, les chercheurs et les praticiens des jeux traditionnels participeront activement à toutes les étapes du projet. Elle fournit également des informations sur l</w:t>
      </w:r>
      <w:r w:rsidR="003C1C30">
        <w:rPr>
          <w:sz w:val="22"/>
          <w:szCs w:val="22"/>
        </w:rPr>
        <w:t>’</w:t>
      </w:r>
      <w:r>
        <w:rPr>
          <w:sz w:val="22"/>
          <w:szCs w:val="22"/>
        </w:rPr>
        <w:t>implication d</w:t>
      </w:r>
      <w:r w:rsidR="003C1C30">
        <w:rPr>
          <w:sz w:val="22"/>
          <w:szCs w:val="22"/>
        </w:rPr>
        <w:t>’</w:t>
      </w:r>
      <w:r>
        <w:rPr>
          <w:sz w:val="22"/>
          <w:szCs w:val="22"/>
        </w:rPr>
        <w:t xml:space="preserve">organisations </w:t>
      </w:r>
      <w:r w:rsidR="007D111E">
        <w:rPr>
          <w:sz w:val="22"/>
          <w:szCs w:val="22"/>
        </w:rPr>
        <w:t xml:space="preserve">des communautés </w:t>
      </w:r>
      <w:r>
        <w:rPr>
          <w:sz w:val="22"/>
          <w:szCs w:val="22"/>
        </w:rPr>
        <w:t xml:space="preserve">telles que la Fondation </w:t>
      </w:r>
      <w:proofErr w:type="spellStart"/>
      <w:r>
        <w:rPr>
          <w:sz w:val="22"/>
          <w:szCs w:val="22"/>
        </w:rPr>
        <w:t>Nsikwa</w:t>
      </w:r>
      <w:proofErr w:type="spellEnd"/>
      <w:r>
        <w:rPr>
          <w:sz w:val="22"/>
          <w:szCs w:val="22"/>
        </w:rPr>
        <w:t xml:space="preserve">, qui vise à populariser le jeu </w:t>
      </w:r>
      <w:proofErr w:type="spellStart"/>
      <w:r>
        <w:rPr>
          <w:sz w:val="22"/>
          <w:szCs w:val="22"/>
        </w:rPr>
        <w:t>nsikwa</w:t>
      </w:r>
      <w:proofErr w:type="spellEnd"/>
      <w:r>
        <w:rPr>
          <w:sz w:val="22"/>
          <w:szCs w:val="22"/>
        </w:rPr>
        <w:t>, et l</w:t>
      </w:r>
      <w:r w:rsidR="003C1C30">
        <w:rPr>
          <w:sz w:val="22"/>
          <w:szCs w:val="22"/>
        </w:rPr>
        <w:t>’</w:t>
      </w:r>
      <w:r>
        <w:rPr>
          <w:sz w:val="22"/>
          <w:szCs w:val="22"/>
        </w:rPr>
        <w:t xml:space="preserve">Association </w:t>
      </w:r>
      <w:proofErr w:type="spellStart"/>
      <w:r>
        <w:rPr>
          <w:sz w:val="22"/>
          <w:szCs w:val="22"/>
        </w:rPr>
        <w:t>Mbalika</w:t>
      </w:r>
      <w:proofErr w:type="spellEnd"/>
      <w:r>
        <w:rPr>
          <w:sz w:val="22"/>
          <w:szCs w:val="22"/>
        </w:rPr>
        <w:t xml:space="preserve">, qui vise à populariser le jeu </w:t>
      </w:r>
      <w:proofErr w:type="spellStart"/>
      <w:r>
        <w:rPr>
          <w:sz w:val="22"/>
          <w:szCs w:val="22"/>
        </w:rPr>
        <w:t>mbalika</w:t>
      </w:r>
      <w:proofErr w:type="spellEnd"/>
      <w:r>
        <w:rPr>
          <w:sz w:val="22"/>
          <w:szCs w:val="22"/>
        </w:rPr>
        <w:t xml:space="preserve">. Ces organisations se sont appuyées sur leurs réseaux pour atteindre des zones où certains jeux traditionnels étaient encore pratiqués. </w:t>
      </w:r>
    </w:p>
    <w:p w14:paraId="6D7FE793" w14:textId="1A10F0FB" w:rsidR="002608A5" w:rsidRPr="00F10319" w:rsidRDefault="003C7328" w:rsidP="00434794">
      <w:pPr>
        <w:tabs>
          <w:tab w:val="left" w:pos="1134"/>
          <w:tab w:val="left" w:pos="1701"/>
          <w:tab w:val="left" w:pos="2268"/>
        </w:tabs>
        <w:spacing w:before="120" w:after="120"/>
        <w:ind w:left="1134"/>
        <w:jc w:val="both"/>
        <w:rPr>
          <w:rFonts w:cs="Arial"/>
          <w:noProof/>
          <w:sz w:val="22"/>
          <w:szCs w:val="22"/>
        </w:rPr>
      </w:pPr>
      <w:r>
        <w:rPr>
          <w:b/>
          <w:bCs/>
          <w:sz w:val="22"/>
          <w:szCs w:val="22"/>
        </w:rPr>
        <w:t>Critère A.2</w:t>
      </w:r>
      <w:r>
        <w:rPr>
          <w:sz w:val="22"/>
          <w:szCs w:val="22"/>
        </w:rPr>
        <w:t> : L</w:t>
      </w:r>
      <w:r w:rsidR="003C1C30">
        <w:rPr>
          <w:sz w:val="22"/>
          <w:szCs w:val="22"/>
        </w:rPr>
        <w:t>’</w:t>
      </w:r>
      <w:r>
        <w:rPr>
          <w:sz w:val="22"/>
          <w:szCs w:val="22"/>
        </w:rPr>
        <w:t>État partie a détaillé la plupart des dépenses liées aux activités mentionnées dans la demande. Toutefois, la répartition du budget suscite quelques interrogations. En effet, elle prévoit que la majeure partie des fonds soit dédiée à l</w:t>
      </w:r>
      <w:r w:rsidR="003C1C30">
        <w:rPr>
          <w:sz w:val="22"/>
          <w:szCs w:val="22"/>
        </w:rPr>
        <w:t>’</w:t>
      </w:r>
      <w:r>
        <w:rPr>
          <w:sz w:val="22"/>
          <w:szCs w:val="22"/>
        </w:rPr>
        <w:t>organisation du festival consacré aux jeux traditionnels. En outre, le dossier n</w:t>
      </w:r>
      <w:r w:rsidR="003C1C30">
        <w:rPr>
          <w:sz w:val="22"/>
          <w:szCs w:val="22"/>
        </w:rPr>
        <w:t>’</w:t>
      </w:r>
      <w:r>
        <w:rPr>
          <w:sz w:val="22"/>
          <w:szCs w:val="22"/>
        </w:rPr>
        <w:t xml:space="preserve">explique pas assez clairement comment seraient couverts les frais engagés par les communautés pour la mise en œuvre du projet. Il y a par ailleurs quelques incohérences entre le calendrier joint au dossier et </w:t>
      </w:r>
      <w:r w:rsidR="00505F1F">
        <w:rPr>
          <w:sz w:val="22"/>
          <w:szCs w:val="22"/>
        </w:rPr>
        <w:t>la description des activités</w:t>
      </w:r>
      <w:r>
        <w:rPr>
          <w:sz w:val="22"/>
          <w:szCs w:val="22"/>
        </w:rPr>
        <w:t>.</w:t>
      </w:r>
    </w:p>
    <w:p w14:paraId="5EE3D2C2" w14:textId="32FE4476" w:rsidR="002608A5" w:rsidRPr="00F10319" w:rsidRDefault="003C7328" w:rsidP="00434794">
      <w:pPr>
        <w:tabs>
          <w:tab w:val="left" w:pos="1134"/>
          <w:tab w:val="left" w:pos="1701"/>
          <w:tab w:val="left" w:pos="2268"/>
        </w:tabs>
        <w:spacing w:before="120" w:after="120"/>
        <w:ind w:left="1134"/>
        <w:jc w:val="both"/>
        <w:rPr>
          <w:rFonts w:cs="Arial"/>
          <w:noProof/>
          <w:sz w:val="22"/>
          <w:szCs w:val="22"/>
        </w:rPr>
      </w:pPr>
      <w:r>
        <w:rPr>
          <w:b/>
          <w:bCs/>
          <w:sz w:val="22"/>
          <w:szCs w:val="22"/>
        </w:rPr>
        <w:t>Critère A.3</w:t>
      </w:r>
      <w:r>
        <w:rPr>
          <w:sz w:val="22"/>
          <w:szCs w:val="22"/>
        </w:rPr>
        <w:t> : Le projet a pour objectif de sauvegarder neuf jeux traditionnels en mettant en place des études, des travaux documentaires, des sessions d</w:t>
      </w:r>
      <w:r w:rsidR="003C1C30">
        <w:rPr>
          <w:sz w:val="22"/>
          <w:szCs w:val="22"/>
        </w:rPr>
        <w:t>’</w:t>
      </w:r>
      <w:r>
        <w:rPr>
          <w:sz w:val="22"/>
          <w:szCs w:val="22"/>
        </w:rPr>
        <w:t xml:space="preserve">apprentissage, des groupes de praticiens et des activités de sensibilisation. Les activités proposées pour atteindre </w:t>
      </w:r>
      <w:r w:rsidR="005C1013">
        <w:rPr>
          <w:sz w:val="22"/>
          <w:szCs w:val="22"/>
        </w:rPr>
        <w:t xml:space="preserve">les </w:t>
      </w:r>
      <w:r>
        <w:rPr>
          <w:sz w:val="22"/>
          <w:szCs w:val="22"/>
        </w:rPr>
        <w:t>objectif</w:t>
      </w:r>
      <w:r w:rsidR="005C1013">
        <w:rPr>
          <w:sz w:val="22"/>
          <w:szCs w:val="22"/>
        </w:rPr>
        <w:t>s du projet</w:t>
      </w:r>
      <w:r>
        <w:rPr>
          <w:sz w:val="22"/>
          <w:szCs w:val="22"/>
        </w:rPr>
        <w:t xml:space="preserve"> semblent bien conçues et réalisables. Cela s</w:t>
      </w:r>
      <w:r w:rsidR="003C1C30">
        <w:rPr>
          <w:sz w:val="22"/>
          <w:szCs w:val="22"/>
        </w:rPr>
        <w:t>’</w:t>
      </w:r>
      <w:r>
        <w:rPr>
          <w:sz w:val="22"/>
          <w:szCs w:val="22"/>
        </w:rPr>
        <w:t>explique peut-être par le fait que ce projet découle d</w:t>
      </w:r>
      <w:r w:rsidR="003C1C30">
        <w:rPr>
          <w:sz w:val="22"/>
          <w:szCs w:val="22"/>
        </w:rPr>
        <w:t>’</w:t>
      </w:r>
      <w:r>
        <w:rPr>
          <w:sz w:val="22"/>
          <w:szCs w:val="22"/>
        </w:rPr>
        <w:t>activités actuellement menées dans le domaine de la sauvegarde du patrimoine culturel immatériel avec le soutien de l</w:t>
      </w:r>
      <w:r w:rsidR="003C1C30">
        <w:rPr>
          <w:sz w:val="22"/>
          <w:szCs w:val="22"/>
        </w:rPr>
        <w:t>’</w:t>
      </w:r>
      <w:r>
        <w:rPr>
          <w:sz w:val="22"/>
          <w:szCs w:val="22"/>
        </w:rPr>
        <w:t>UNESCO et la participation de diverses parties prenantes.</w:t>
      </w:r>
    </w:p>
    <w:p w14:paraId="65194D18" w14:textId="5FD1D5A5" w:rsidR="002608A5" w:rsidRPr="00F10319" w:rsidRDefault="003C7328" w:rsidP="00434794">
      <w:pPr>
        <w:tabs>
          <w:tab w:val="left" w:pos="1134"/>
          <w:tab w:val="left" w:pos="1701"/>
          <w:tab w:val="left" w:pos="2268"/>
        </w:tabs>
        <w:spacing w:before="120" w:after="120"/>
        <w:ind w:left="1134"/>
        <w:jc w:val="both"/>
        <w:rPr>
          <w:rFonts w:cs="Arial"/>
          <w:noProof/>
          <w:sz w:val="22"/>
          <w:szCs w:val="22"/>
        </w:rPr>
      </w:pPr>
      <w:r>
        <w:rPr>
          <w:b/>
          <w:bCs/>
          <w:sz w:val="22"/>
          <w:szCs w:val="22"/>
        </w:rPr>
        <w:t>Critère A.4 </w:t>
      </w:r>
      <w:r>
        <w:rPr>
          <w:sz w:val="22"/>
          <w:szCs w:val="22"/>
        </w:rPr>
        <w:t>: La demande indique que les documents produits dans le cadre du projet seront mis à la disposition des communautés par les chefs</w:t>
      </w:r>
      <w:r w:rsidR="00505F1F">
        <w:rPr>
          <w:sz w:val="22"/>
          <w:szCs w:val="22"/>
        </w:rPr>
        <w:t xml:space="preserve"> traditionnels</w:t>
      </w:r>
      <w:r>
        <w:rPr>
          <w:sz w:val="22"/>
          <w:szCs w:val="22"/>
        </w:rPr>
        <w:t xml:space="preserve">, les bibliothèques </w:t>
      </w:r>
      <w:r w:rsidR="007D111E">
        <w:rPr>
          <w:sz w:val="22"/>
          <w:szCs w:val="22"/>
        </w:rPr>
        <w:t xml:space="preserve">des communautés </w:t>
      </w:r>
      <w:r>
        <w:rPr>
          <w:sz w:val="22"/>
          <w:szCs w:val="22"/>
        </w:rPr>
        <w:t>et les écoles. L</w:t>
      </w:r>
      <w:r w:rsidR="003C1C30">
        <w:rPr>
          <w:sz w:val="22"/>
          <w:szCs w:val="22"/>
        </w:rPr>
        <w:t>’</w:t>
      </w:r>
      <w:r>
        <w:rPr>
          <w:sz w:val="22"/>
          <w:szCs w:val="22"/>
        </w:rPr>
        <w:t>expérience acquise par les jeunes sur le terrain pourra être utilisée pour mener un travail documentaire plus approfondi sur le patrimoine culturel immatériel, si nécessaire. Néanmoins, aucun argument convaincant ne démontre que les résultats du projet, comme l</w:t>
      </w:r>
      <w:r w:rsidR="003C1C30">
        <w:rPr>
          <w:sz w:val="22"/>
          <w:szCs w:val="22"/>
        </w:rPr>
        <w:t>’</w:t>
      </w:r>
      <w:r>
        <w:rPr>
          <w:sz w:val="22"/>
          <w:szCs w:val="22"/>
        </w:rPr>
        <w:t>organisation du festival, pourront durer au-delà de la période de financement.</w:t>
      </w:r>
    </w:p>
    <w:p w14:paraId="16AF6BC9" w14:textId="49827B58" w:rsidR="002608A5" w:rsidRPr="00F10319" w:rsidRDefault="005F2CDF" w:rsidP="00434794">
      <w:pPr>
        <w:tabs>
          <w:tab w:val="left" w:pos="1134"/>
          <w:tab w:val="left" w:pos="1701"/>
          <w:tab w:val="left" w:pos="2268"/>
        </w:tabs>
        <w:spacing w:before="120" w:after="120"/>
        <w:ind w:left="1134"/>
        <w:jc w:val="both"/>
        <w:rPr>
          <w:rFonts w:cs="Arial"/>
          <w:noProof/>
          <w:sz w:val="22"/>
          <w:szCs w:val="22"/>
        </w:rPr>
      </w:pPr>
      <w:r>
        <w:rPr>
          <w:b/>
          <w:bCs/>
          <w:sz w:val="22"/>
          <w:szCs w:val="22"/>
        </w:rPr>
        <w:t>Critère A.5 </w:t>
      </w:r>
      <w:r w:rsidR="003C7328" w:rsidRPr="0024701A">
        <w:rPr>
          <w:sz w:val="22"/>
          <w:szCs w:val="22"/>
        </w:rPr>
        <w:t>:</w:t>
      </w:r>
      <w:r w:rsidR="003C7328">
        <w:rPr>
          <w:sz w:val="22"/>
          <w:szCs w:val="22"/>
        </w:rPr>
        <w:t xml:space="preserve"> L</w:t>
      </w:r>
      <w:r w:rsidR="003C1C30">
        <w:rPr>
          <w:sz w:val="22"/>
          <w:szCs w:val="22"/>
        </w:rPr>
        <w:t>’</w:t>
      </w:r>
      <w:r w:rsidR="003C7328">
        <w:rPr>
          <w:sz w:val="22"/>
          <w:szCs w:val="22"/>
        </w:rPr>
        <w:t xml:space="preserve">État partie prévoit de fournir </w:t>
      </w:r>
      <w:r w:rsidR="00E0028D">
        <w:rPr>
          <w:sz w:val="22"/>
          <w:szCs w:val="22"/>
        </w:rPr>
        <w:t>quatre</w:t>
      </w:r>
      <w:r w:rsidR="003C7328">
        <w:rPr>
          <w:sz w:val="22"/>
          <w:szCs w:val="22"/>
        </w:rPr>
        <w:t> </w:t>
      </w:r>
      <w:r w:rsidR="009D1A33">
        <w:rPr>
          <w:sz w:val="22"/>
          <w:szCs w:val="22"/>
        </w:rPr>
        <w:t xml:space="preserve">pour cent </w:t>
      </w:r>
      <w:r w:rsidR="009D1A33" w:rsidRPr="006E5A04">
        <w:rPr>
          <w:rFonts w:cs="Arial"/>
          <w:sz w:val="22"/>
          <w:szCs w:val="22"/>
          <w:lang w:val="fr" w:eastAsia="en-GB"/>
        </w:rPr>
        <w:t>du montant total du projet pour lequel une assistance internationale est demandée au Fonds du patrimoine culturel immatériel</w:t>
      </w:r>
      <w:r w:rsidR="003C7328">
        <w:rPr>
          <w:sz w:val="22"/>
          <w:szCs w:val="22"/>
        </w:rPr>
        <w:t>.</w:t>
      </w:r>
    </w:p>
    <w:p w14:paraId="62C6BE3B" w14:textId="7934B82F" w:rsidR="00EB7155" w:rsidRPr="00F10319" w:rsidRDefault="005F2CDF" w:rsidP="00434794">
      <w:pPr>
        <w:tabs>
          <w:tab w:val="left" w:pos="1134"/>
          <w:tab w:val="left" w:pos="1701"/>
          <w:tab w:val="left" w:pos="2268"/>
        </w:tabs>
        <w:spacing w:before="120" w:after="120"/>
        <w:ind w:left="1134"/>
        <w:jc w:val="both"/>
        <w:rPr>
          <w:rFonts w:cs="Arial"/>
          <w:noProof/>
          <w:sz w:val="22"/>
          <w:szCs w:val="22"/>
        </w:rPr>
      </w:pPr>
      <w:r>
        <w:rPr>
          <w:b/>
          <w:bCs/>
          <w:sz w:val="22"/>
          <w:szCs w:val="22"/>
        </w:rPr>
        <w:t>Critère A.6 </w:t>
      </w:r>
      <w:r w:rsidR="003C7328" w:rsidRPr="0024701A">
        <w:rPr>
          <w:sz w:val="22"/>
          <w:szCs w:val="22"/>
        </w:rPr>
        <w:t>:</w:t>
      </w:r>
      <w:r w:rsidR="003C7328" w:rsidRPr="005C1013">
        <w:rPr>
          <w:sz w:val="22"/>
          <w:szCs w:val="22"/>
        </w:rPr>
        <w:t xml:space="preserve"> </w:t>
      </w:r>
      <w:r w:rsidR="003C7328">
        <w:rPr>
          <w:sz w:val="22"/>
          <w:szCs w:val="22"/>
        </w:rPr>
        <w:t>Pendant la mise en œuvre du projet, différentes méthodes seront adoptées pour renforcer les capacités des communautés (chefs traditionnels, praticiens, enseignants et jeunes). Il s</w:t>
      </w:r>
      <w:r w:rsidR="003C1C30">
        <w:rPr>
          <w:sz w:val="22"/>
          <w:szCs w:val="22"/>
        </w:rPr>
        <w:t>’</w:t>
      </w:r>
      <w:r w:rsidR="003C7328">
        <w:rPr>
          <w:sz w:val="22"/>
          <w:szCs w:val="22"/>
        </w:rPr>
        <w:t>agit notamment de leur capacité à documenter, transmettre et faire connaître leur patrimoine culturel immatériel, mais aussi de leur capacité à gérer des programmes de sauvegarde. Les capacités des chercheurs, techniciens de l</w:t>
      </w:r>
      <w:r w:rsidR="003C1C30">
        <w:rPr>
          <w:sz w:val="22"/>
          <w:szCs w:val="22"/>
        </w:rPr>
        <w:t>’</w:t>
      </w:r>
      <w:r w:rsidR="003C7328">
        <w:rPr>
          <w:sz w:val="22"/>
          <w:szCs w:val="22"/>
        </w:rPr>
        <w:t>audiovisuel, médias</w:t>
      </w:r>
      <w:r w:rsidR="005C1013">
        <w:rPr>
          <w:sz w:val="22"/>
          <w:szCs w:val="22"/>
        </w:rPr>
        <w:t>,</w:t>
      </w:r>
      <w:r w:rsidR="003C7328">
        <w:rPr>
          <w:sz w:val="22"/>
          <w:szCs w:val="22"/>
        </w:rPr>
        <w:t xml:space="preserve"> fonctionnaires en matière de documentation, de gestion et de promotion du patrimoine vivant, entre autres, seront également améliorées. Enfin, le projet permettra de développer les capacités des parties prenantes concernées </w:t>
      </w:r>
      <w:r w:rsidR="005C1013">
        <w:rPr>
          <w:sz w:val="22"/>
          <w:szCs w:val="22"/>
        </w:rPr>
        <w:t>–</w:t>
      </w:r>
      <w:r w:rsidR="00CA12E6">
        <w:rPr>
          <w:sz w:val="22"/>
          <w:szCs w:val="22"/>
        </w:rPr>
        <w:t> </w:t>
      </w:r>
      <w:r w:rsidR="005C1013">
        <w:rPr>
          <w:sz w:val="22"/>
          <w:szCs w:val="22"/>
        </w:rPr>
        <w:t xml:space="preserve">y compris les organisations non gouvernementales – pour </w:t>
      </w:r>
      <w:r w:rsidR="003C7328">
        <w:rPr>
          <w:sz w:val="22"/>
          <w:szCs w:val="22"/>
        </w:rPr>
        <w:t>la coordination des efforts de sauvegarde au moyen d</w:t>
      </w:r>
      <w:r w:rsidR="003C1C30">
        <w:rPr>
          <w:sz w:val="22"/>
          <w:szCs w:val="22"/>
        </w:rPr>
        <w:t>’</w:t>
      </w:r>
      <w:r w:rsidR="003C7328">
        <w:rPr>
          <w:sz w:val="22"/>
          <w:szCs w:val="22"/>
        </w:rPr>
        <w:t>une approche participative.</w:t>
      </w:r>
    </w:p>
    <w:p w14:paraId="7D7CD0D2" w14:textId="2CEBD55B" w:rsidR="002608A5" w:rsidRPr="003F3A64" w:rsidRDefault="003C7328" w:rsidP="00434794">
      <w:pPr>
        <w:tabs>
          <w:tab w:val="left" w:pos="1134"/>
          <w:tab w:val="left" w:pos="1701"/>
          <w:tab w:val="left" w:pos="2268"/>
        </w:tabs>
        <w:spacing w:before="120" w:after="120"/>
        <w:ind w:left="1134"/>
        <w:jc w:val="both"/>
        <w:rPr>
          <w:rFonts w:cs="Arial"/>
          <w:noProof/>
          <w:sz w:val="22"/>
          <w:szCs w:val="22"/>
        </w:rPr>
      </w:pPr>
      <w:r>
        <w:rPr>
          <w:b/>
          <w:bCs/>
          <w:sz w:val="22"/>
          <w:szCs w:val="22"/>
        </w:rPr>
        <w:t>Critère A.7</w:t>
      </w:r>
      <w:r>
        <w:rPr>
          <w:sz w:val="22"/>
          <w:szCs w:val="22"/>
        </w:rPr>
        <w:t> : Le Malawi a bénéficié d</w:t>
      </w:r>
      <w:r w:rsidR="003C1C30">
        <w:rPr>
          <w:sz w:val="22"/>
          <w:szCs w:val="22"/>
        </w:rPr>
        <w:t>’</w:t>
      </w:r>
      <w:r>
        <w:rPr>
          <w:sz w:val="22"/>
          <w:szCs w:val="22"/>
        </w:rPr>
        <w:t>une assistance internationale du Fonds du patrimoine culturel immatériel</w:t>
      </w:r>
      <w:r w:rsidR="004B063E">
        <w:rPr>
          <w:sz w:val="22"/>
          <w:szCs w:val="22"/>
        </w:rPr>
        <w:t xml:space="preserve"> à trois reprises</w:t>
      </w:r>
      <w:r>
        <w:rPr>
          <w:sz w:val="22"/>
          <w:szCs w:val="22"/>
        </w:rPr>
        <w:t xml:space="preserve">, pour les projets intitulés « La sauvegarde des proverbes et contes populaires des </w:t>
      </w:r>
      <w:proofErr w:type="spellStart"/>
      <w:r>
        <w:rPr>
          <w:sz w:val="22"/>
          <w:szCs w:val="22"/>
        </w:rPr>
        <w:t>Nkhonde</w:t>
      </w:r>
      <w:proofErr w:type="spellEnd"/>
      <w:r>
        <w:rPr>
          <w:sz w:val="22"/>
          <w:szCs w:val="22"/>
        </w:rPr>
        <w:t xml:space="preserve">, </w:t>
      </w:r>
      <w:proofErr w:type="spellStart"/>
      <w:r>
        <w:rPr>
          <w:sz w:val="22"/>
          <w:szCs w:val="22"/>
        </w:rPr>
        <w:t>Tumbuka</w:t>
      </w:r>
      <w:proofErr w:type="spellEnd"/>
      <w:r>
        <w:rPr>
          <w:sz w:val="22"/>
          <w:szCs w:val="22"/>
        </w:rPr>
        <w:t xml:space="preserve"> et </w:t>
      </w:r>
      <w:proofErr w:type="spellStart"/>
      <w:r>
        <w:rPr>
          <w:sz w:val="22"/>
          <w:szCs w:val="22"/>
        </w:rPr>
        <w:t>Chewa</w:t>
      </w:r>
      <w:proofErr w:type="spellEnd"/>
      <w:r>
        <w:rPr>
          <w:sz w:val="22"/>
          <w:szCs w:val="22"/>
        </w:rPr>
        <w:t> » (dossier n° 01060, 201</w:t>
      </w:r>
      <w:r w:rsidR="004B063E">
        <w:rPr>
          <w:sz w:val="22"/>
          <w:szCs w:val="22"/>
        </w:rPr>
        <w:t>5</w:t>
      </w:r>
      <w:r>
        <w:rPr>
          <w:sz w:val="22"/>
          <w:szCs w:val="22"/>
        </w:rPr>
        <w:t>-201</w:t>
      </w:r>
      <w:r w:rsidR="004B063E">
        <w:rPr>
          <w:sz w:val="22"/>
          <w:szCs w:val="22"/>
        </w:rPr>
        <w:t>7</w:t>
      </w:r>
      <w:r>
        <w:rPr>
          <w:sz w:val="22"/>
          <w:szCs w:val="22"/>
        </w:rPr>
        <w:t>, 90 533 dollars des États-Unis) et « </w:t>
      </w:r>
      <w:r w:rsidR="002E0A00">
        <w:rPr>
          <w:sz w:val="22"/>
          <w:szCs w:val="22"/>
        </w:rPr>
        <w:t>Élaboration</w:t>
      </w:r>
      <w:r>
        <w:rPr>
          <w:sz w:val="22"/>
          <w:szCs w:val="22"/>
        </w:rPr>
        <w:t xml:space="preserve"> d</w:t>
      </w:r>
      <w:r w:rsidR="003C1C30">
        <w:rPr>
          <w:sz w:val="22"/>
          <w:szCs w:val="22"/>
        </w:rPr>
        <w:t>’</w:t>
      </w:r>
      <w:r>
        <w:rPr>
          <w:sz w:val="22"/>
          <w:szCs w:val="22"/>
        </w:rPr>
        <w:t xml:space="preserve">un inventaire du patrimoine immatériel du Malawi » (dossier n° 00609, 2012-2013, 24 947 dollars des États-Unis) ; ainsi que pour le projet en cours intitulé « Sauvegarder le </w:t>
      </w:r>
      <w:r w:rsidR="002E0A00">
        <w:rPr>
          <w:sz w:val="22"/>
          <w:szCs w:val="22"/>
        </w:rPr>
        <w:t>PCI</w:t>
      </w:r>
      <w:r>
        <w:rPr>
          <w:sz w:val="22"/>
          <w:szCs w:val="22"/>
        </w:rPr>
        <w:t xml:space="preserve"> au Malawi par la transmission et l</w:t>
      </w:r>
      <w:r w:rsidR="003C1C30">
        <w:rPr>
          <w:sz w:val="22"/>
          <w:szCs w:val="22"/>
        </w:rPr>
        <w:t>’</w:t>
      </w:r>
      <w:r>
        <w:rPr>
          <w:sz w:val="22"/>
          <w:szCs w:val="22"/>
        </w:rPr>
        <w:t>apprentissage non formel</w:t>
      </w:r>
      <w:r w:rsidR="004B063E">
        <w:rPr>
          <w:sz w:val="22"/>
          <w:szCs w:val="22"/>
        </w:rPr>
        <w:t> »</w:t>
      </w:r>
      <w:r>
        <w:rPr>
          <w:sz w:val="22"/>
          <w:szCs w:val="22"/>
        </w:rPr>
        <w:t xml:space="preserve"> (dossier n° 01530, 2019-2021, 91 860 dollars des États-Unis). Le travail décrit dans les contrats relatifs à ces projets a jusqu</w:t>
      </w:r>
      <w:r w:rsidR="003C1C30">
        <w:rPr>
          <w:sz w:val="22"/>
          <w:szCs w:val="22"/>
        </w:rPr>
        <w:t>’</w:t>
      </w:r>
      <w:r>
        <w:rPr>
          <w:sz w:val="22"/>
          <w:szCs w:val="22"/>
        </w:rPr>
        <w:t>à présent été effectué conformément aux réglementations de l</w:t>
      </w:r>
      <w:r w:rsidR="003C1C30">
        <w:rPr>
          <w:sz w:val="22"/>
          <w:szCs w:val="22"/>
        </w:rPr>
        <w:t>’</w:t>
      </w:r>
      <w:r>
        <w:rPr>
          <w:sz w:val="22"/>
          <w:szCs w:val="22"/>
        </w:rPr>
        <w:t>UNESCO.</w:t>
      </w:r>
    </w:p>
    <w:p w14:paraId="3863FE01" w14:textId="0E5032FC" w:rsidR="002608A5" w:rsidRPr="00DF6531" w:rsidRDefault="003C7328" w:rsidP="00434794">
      <w:pPr>
        <w:tabs>
          <w:tab w:val="left" w:pos="1134"/>
          <w:tab w:val="left" w:pos="1701"/>
          <w:tab w:val="left" w:pos="2268"/>
        </w:tabs>
        <w:spacing w:before="120" w:after="120"/>
        <w:ind w:left="1134"/>
        <w:jc w:val="both"/>
        <w:rPr>
          <w:rFonts w:cs="Arial"/>
          <w:noProof/>
          <w:sz w:val="22"/>
          <w:szCs w:val="22"/>
        </w:rPr>
      </w:pPr>
      <w:r w:rsidRPr="00B625A5">
        <w:rPr>
          <w:b/>
          <w:bCs/>
          <w:sz w:val="22"/>
          <w:szCs w:val="22"/>
        </w:rPr>
        <w:t>Paragraphe 10(a)</w:t>
      </w:r>
      <w:r w:rsidRPr="00B625A5">
        <w:rPr>
          <w:sz w:val="22"/>
          <w:szCs w:val="22"/>
        </w:rPr>
        <w:t> :</w:t>
      </w:r>
      <w:r w:rsidRPr="003118C6">
        <w:rPr>
          <w:sz w:val="22"/>
          <w:szCs w:val="22"/>
        </w:rPr>
        <w:t xml:space="preserve"> Le projet est de portée nationale, la Commission nationale du Malawi jouant un rôle crucial pour la gestion de ses aspects financiers et administratifs. La demande décrit les rôles assignés aux différents acteurs/partenaires. Toutefois, au regard du budget demandé, elle ne donne pas suffisamment de détails sur chacun d</w:t>
      </w:r>
      <w:r w:rsidR="003C1C30" w:rsidRPr="003118C6">
        <w:rPr>
          <w:sz w:val="22"/>
          <w:szCs w:val="22"/>
        </w:rPr>
        <w:t>’</w:t>
      </w:r>
      <w:r w:rsidRPr="003118C6">
        <w:rPr>
          <w:sz w:val="22"/>
          <w:szCs w:val="22"/>
        </w:rPr>
        <w:t>eux. Le Département de l</w:t>
      </w:r>
      <w:r w:rsidR="003C1C30" w:rsidRPr="003118C6">
        <w:rPr>
          <w:sz w:val="22"/>
          <w:szCs w:val="22"/>
        </w:rPr>
        <w:t>’</w:t>
      </w:r>
      <w:r w:rsidRPr="003118C6">
        <w:rPr>
          <w:sz w:val="22"/>
          <w:szCs w:val="22"/>
        </w:rPr>
        <w:t>éducation est très peu mentionné, alors même que la participation des écoles sera essentielle à la réussite de l</w:t>
      </w:r>
      <w:r w:rsidR="003C1C30" w:rsidRPr="003118C6">
        <w:rPr>
          <w:sz w:val="22"/>
          <w:szCs w:val="22"/>
        </w:rPr>
        <w:t>’</w:t>
      </w:r>
      <w:r w:rsidRPr="003118C6">
        <w:rPr>
          <w:sz w:val="22"/>
          <w:szCs w:val="22"/>
        </w:rPr>
        <w:t xml:space="preserve">initiative. </w:t>
      </w:r>
      <w:r w:rsidR="004643C3" w:rsidRPr="003118C6">
        <w:rPr>
          <w:sz w:val="22"/>
          <w:szCs w:val="22"/>
        </w:rPr>
        <w:t xml:space="preserve">Des </w:t>
      </w:r>
      <w:r w:rsidRPr="003118C6">
        <w:rPr>
          <w:sz w:val="22"/>
          <w:szCs w:val="22"/>
        </w:rPr>
        <w:t>associations sont citées, mais le dossier ne contient pas assez d</w:t>
      </w:r>
      <w:r w:rsidR="003C1C30" w:rsidRPr="003118C6">
        <w:rPr>
          <w:sz w:val="22"/>
          <w:szCs w:val="22"/>
        </w:rPr>
        <w:t>’</w:t>
      </w:r>
      <w:r w:rsidRPr="003118C6">
        <w:rPr>
          <w:sz w:val="22"/>
          <w:szCs w:val="22"/>
        </w:rPr>
        <w:t>informations relatives à l</w:t>
      </w:r>
      <w:r w:rsidR="004643C3" w:rsidRPr="003118C6">
        <w:rPr>
          <w:sz w:val="22"/>
          <w:szCs w:val="22"/>
        </w:rPr>
        <w:t xml:space="preserve">eur </w:t>
      </w:r>
      <w:r w:rsidRPr="003118C6">
        <w:rPr>
          <w:sz w:val="22"/>
          <w:szCs w:val="22"/>
        </w:rPr>
        <w:t>organisation, leur gouvernance et leur pérennité.</w:t>
      </w:r>
    </w:p>
    <w:p w14:paraId="6F142DA0" w14:textId="5A37BA8B" w:rsidR="002608A5" w:rsidRDefault="003C7328" w:rsidP="00434794">
      <w:pPr>
        <w:tabs>
          <w:tab w:val="left" w:pos="1134"/>
          <w:tab w:val="left" w:pos="1701"/>
          <w:tab w:val="left" w:pos="2268"/>
        </w:tabs>
        <w:spacing w:before="120" w:after="120"/>
        <w:ind w:left="1134"/>
        <w:jc w:val="both"/>
        <w:rPr>
          <w:rFonts w:cs="Arial"/>
          <w:color w:val="444444"/>
          <w:sz w:val="20"/>
          <w:szCs w:val="20"/>
          <w:shd w:val="clear" w:color="auto" w:fill="EBEBEB"/>
        </w:rPr>
      </w:pPr>
      <w:r>
        <w:rPr>
          <w:b/>
          <w:bCs/>
          <w:sz w:val="22"/>
          <w:szCs w:val="22"/>
        </w:rPr>
        <w:t>Paragraphe 10(b) </w:t>
      </w:r>
      <w:r>
        <w:rPr>
          <w:sz w:val="22"/>
          <w:szCs w:val="22"/>
        </w:rPr>
        <w:t xml:space="preserve">: La demande indique que les universités et les communautés concernées seront encouragées à exploiter les résultats du projet pour mobiliser davantage de fonds afin de </w:t>
      </w:r>
      <w:r w:rsidR="004643C3">
        <w:rPr>
          <w:sz w:val="22"/>
          <w:szCs w:val="22"/>
        </w:rPr>
        <w:t xml:space="preserve">continuer </w:t>
      </w:r>
      <w:r>
        <w:rPr>
          <w:sz w:val="22"/>
          <w:szCs w:val="22"/>
        </w:rPr>
        <w:t>la pratique des jeux traditionnels et de mettre en place d</w:t>
      </w:r>
      <w:r w:rsidR="003C1C30">
        <w:rPr>
          <w:sz w:val="22"/>
          <w:szCs w:val="22"/>
        </w:rPr>
        <w:t>’</w:t>
      </w:r>
      <w:r>
        <w:rPr>
          <w:sz w:val="22"/>
          <w:szCs w:val="22"/>
        </w:rPr>
        <w:t xml:space="preserve">autres mesures de sauvegarde </w:t>
      </w:r>
      <w:r w:rsidRPr="003118C6">
        <w:rPr>
          <w:sz w:val="22"/>
          <w:szCs w:val="22"/>
        </w:rPr>
        <w:t>concernant d</w:t>
      </w:r>
      <w:r w:rsidR="003C1C30" w:rsidRPr="003118C6">
        <w:rPr>
          <w:sz w:val="22"/>
          <w:szCs w:val="22"/>
        </w:rPr>
        <w:t>’</w:t>
      </w:r>
      <w:r w:rsidRPr="003118C6">
        <w:rPr>
          <w:sz w:val="22"/>
          <w:szCs w:val="22"/>
        </w:rPr>
        <w:t xml:space="preserve">autres jeux et éléments. </w:t>
      </w:r>
      <w:r w:rsidR="004643C3" w:rsidRPr="00B625A5">
        <w:rPr>
          <w:sz w:val="22"/>
          <w:szCs w:val="22"/>
        </w:rPr>
        <w:t>L</w:t>
      </w:r>
      <w:r w:rsidRPr="00B625A5">
        <w:rPr>
          <w:sz w:val="22"/>
          <w:szCs w:val="22"/>
        </w:rPr>
        <w:t>a demande</w:t>
      </w:r>
      <w:r w:rsidR="004643C3" w:rsidRPr="00B625A5">
        <w:rPr>
          <w:sz w:val="22"/>
          <w:szCs w:val="22"/>
        </w:rPr>
        <w:t xml:space="preserve"> exprime</w:t>
      </w:r>
      <w:r w:rsidR="003118C6" w:rsidRPr="00B625A5">
        <w:rPr>
          <w:sz w:val="22"/>
          <w:szCs w:val="22"/>
        </w:rPr>
        <w:t xml:space="preserve"> également</w:t>
      </w:r>
      <w:r w:rsidR="004643C3" w:rsidRPr="00B625A5">
        <w:rPr>
          <w:sz w:val="22"/>
          <w:szCs w:val="22"/>
        </w:rPr>
        <w:t xml:space="preserve"> l’espoir</w:t>
      </w:r>
      <w:r w:rsidR="004643C3" w:rsidRPr="003118C6">
        <w:rPr>
          <w:sz w:val="22"/>
          <w:szCs w:val="22"/>
        </w:rPr>
        <w:t xml:space="preserve"> que </w:t>
      </w:r>
      <w:r w:rsidRPr="003118C6">
        <w:rPr>
          <w:sz w:val="22"/>
          <w:szCs w:val="22"/>
        </w:rPr>
        <w:t>les documents publiés dans le cadre du projet devraient inciter le Ministère de l</w:t>
      </w:r>
      <w:r w:rsidR="003C1C30" w:rsidRPr="003118C6">
        <w:rPr>
          <w:sz w:val="22"/>
          <w:szCs w:val="22"/>
        </w:rPr>
        <w:t>’</w:t>
      </w:r>
      <w:r w:rsidRPr="003118C6">
        <w:rPr>
          <w:sz w:val="22"/>
          <w:szCs w:val="22"/>
        </w:rPr>
        <w:t>éducation à</w:t>
      </w:r>
      <w:r w:rsidR="004643C3" w:rsidRPr="003118C6">
        <w:rPr>
          <w:sz w:val="22"/>
          <w:szCs w:val="22"/>
        </w:rPr>
        <w:t xml:space="preserve"> se concentrer</w:t>
      </w:r>
      <w:r w:rsidR="004643C3">
        <w:rPr>
          <w:sz w:val="22"/>
          <w:szCs w:val="22"/>
        </w:rPr>
        <w:t xml:space="preserve"> sur et</w:t>
      </w:r>
      <w:r>
        <w:rPr>
          <w:sz w:val="22"/>
          <w:szCs w:val="22"/>
        </w:rPr>
        <w:t xml:space="preserve"> investir dans le développement de supports pédagogiques s</w:t>
      </w:r>
      <w:r w:rsidR="003C1C30">
        <w:rPr>
          <w:sz w:val="22"/>
          <w:szCs w:val="22"/>
        </w:rPr>
        <w:t>’</w:t>
      </w:r>
      <w:r>
        <w:rPr>
          <w:sz w:val="22"/>
          <w:szCs w:val="22"/>
        </w:rPr>
        <w:t>appuyant sur les traditions culturelles locales et en particulier sur les jeux traditionnels. Toutefois, ces traditions doivent être davantage intégrées aux programmes scolaires. Plusieurs effets multiplicateurs potentiels sont mentionnés dans différentes sections du dossier. Toutefois, rien ne démontre qu</w:t>
      </w:r>
      <w:r w:rsidR="003C1C30">
        <w:rPr>
          <w:sz w:val="22"/>
          <w:szCs w:val="22"/>
        </w:rPr>
        <w:t>’</w:t>
      </w:r>
      <w:r>
        <w:rPr>
          <w:sz w:val="22"/>
          <w:szCs w:val="22"/>
        </w:rPr>
        <w:t>ils verront le jour et qu</w:t>
      </w:r>
      <w:r w:rsidR="003C1C30">
        <w:rPr>
          <w:sz w:val="22"/>
          <w:szCs w:val="22"/>
        </w:rPr>
        <w:t>’</w:t>
      </w:r>
      <w:r>
        <w:rPr>
          <w:sz w:val="22"/>
          <w:szCs w:val="22"/>
        </w:rPr>
        <w:t>ils se poursuivront au terme du projet et de la période de financement.</w:t>
      </w:r>
    </w:p>
    <w:p w14:paraId="742734FA" w14:textId="35C0A272" w:rsidR="002608A5" w:rsidRPr="002608A5" w:rsidRDefault="00765E36" w:rsidP="00FD1072">
      <w:pPr>
        <w:pStyle w:val="Style1"/>
        <w:tabs>
          <w:tab w:val="clear" w:pos="1134"/>
          <w:tab w:val="left" w:pos="1418"/>
        </w:tabs>
        <w:ind w:left="1134"/>
        <w:rPr>
          <w:noProof/>
        </w:rPr>
      </w:pPr>
      <w:r>
        <w:rPr>
          <w:u w:val="single"/>
        </w:rPr>
        <w:t>Décide de renvoyer</w:t>
      </w:r>
      <w:r>
        <w:t xml:space="preserve"> à l</w:t>
      </w:r>
      <w:r w:rsidR="003C1C30">
        <w:t>’</w:t>
      </w:r>
      <w:r>
        <w:t xml:space="preserve">État </w:t>
      </w:r>
      <w:r w:rsidR="004643C3">
        <w:t xml:space="preserve">partie </w:t>
      </w:r>
      <w:r>
        <w:t>demandeur la demande d</w:t>
      </w:r>
      <w:r w:rsidR="003C1C30">
        <w:t>’</w:t>
      </w:r>
      <w:r>
        <w:t xml:space="preserve">assistance internationale pour le projet intitulé </w:t>
      </w:r>
      <w:r>
        <w:rPr>
          <w:b/>
        </w:rPr>
        <w:t>La sauvegarde de la ludodiversité du Malawi par l</w:t>
      </w:r>
      <w:r w:rsidR="003C1C30">
        <w:rPr>
          <w:b/>
        </w:rPr>
        <w:t>’</w:t>
      </w:r>
      <w:r>
        <w:rPr>
          <w:b/>
        </w:rPr>
        <w:t xml:space="preserve">éducation non formelle et la transmission </w:t>
      </w:r>
      <w:r w:rsidR="007D111E">
        <w:rPr>
          <w:b/>
        </w:rPr>
        <w:t>par les communautés</w:t>
      </w:r>
      <w:r w:rsidR="007D111E">
        <w:t xml:space="preserve"> </w:t>
      </w:r>
      <w:r>
        <w:t>et l</w:t>
      </w:r>
      <w:r w:rsidR="003C1C30">
        <w:t>’</w:t>
      </w:r>
      <w:r>
        <w:rPr>
          <w:u w:val="single"/>
        </w:rPr>
        <w:t>invite</w:t>
      </w:r>
      <w:r>
        <w:t xml:space="preserve"> à soumettre une demande révisée au Comité pour examen au cours d</w:t>
      </w:r>
      <w:r w:rsidR="003C1C30">
        <w:t>’</w:t>
      </w:r>
      <w:r>
        <w:t>un cycle ultérieur.</w:t>
      </w:r>
    </w:p>
    <w:sectPr w:rsidR="002608A5" w:rsidRPr="002608A5" w:rsidSect="00BC4A50">
      <w:headerReference w:type="even" r:id="rId13"/>
      <w:headerReference w:type="default" r:id="rId14"/>
      <w:footerReference w:type="default" r:id="rId15"/>
      <w:headerReference w:type="first" r:id="rId16"/>
      <w:type w:val="continuous"/>
      <w:pgSz w:w="11906" w:h="16838"/>
      <w:pgMar w:top="1418" w:right="1134" w:bottom="1134" w:left="1134" w:header="709" w:footer="541" w:gutter="0"/>
      <w:pgBorders w:display="firstPage" w:offsetFrom="page">
        <w:top w:val="single" w:sz="12" w:space="24" w:color="0070C0"/>
        <w:left w:val="single" w:sz="12" w:space="24" w:color="0070C0"/>
        <w:bottom w:val="single" w:sz="12" w:space="24" w:color="0070C0"/>
        <w:right w:val="single" w:sz="12" w:space="24" w:color="0070C0"/>
      </w:pgBorders>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A46B5" w16cex:dateUtc="2020-08-21T12:12:00Z"/>
  <w16cex:commentExtensible w16cex:durableId="22EA46E3" w16cex:dateUtc="2020-08-21T12:13:00Z"/>
  <w16cex:commentExtensible w16cex:durableId="22EA476E" w16cex:dateUtc="2020-08-21T12:15:00Z"/>
  <w16cex:commentExtensible w16cex:durableId="22EA4847" w16cex:dateUtc="2020-08-21T12:19:00Z"/>
  <w16cex:commentExtensible w16cex:durableId="22EA4898" w16cex:dateUtc="2020-08-21T12:20:00Z"/>
  <w16cex:commentExtensible w16cex:durableId="22EA490F" w16cex:dateUtc="2020-08-21T12:22:00Z"/>
  <w16cex:commentExtensible w16cex:durableId="22EA492E" w16cex:dateUtc="2020-08-21T12:22:00Z"/>
  <w16cex:commentExtensible w16cex:durableId="22EA49D3" w16cex:dateUtc="2020-08-21T12:25:00Z"/>
  <w16cex:commentExtensible w16cex:durableId="22EA4BFE" w16cex:dateUtc="2020-08-21T12:34:00Z"/>
  <w16cex:commentExtensible w16cex:durableId="22EA4C8F" w16cex:dateUtc="2020-08-21T12:37:00Z"/>
  <w16cex:commentExtensible w16cex:durableId="22EA4F2C" w16cex:dateUtc="2020-08-21T12:48:00Z"/>
  <w16cex:commentExtensible w16cex:durableId="22EA69E6" w16cex:dateUtc="2020-08-21T14:42:00Z"/>
  <w16cex:commentExtensible w16cex:durableId="22EA4F6A" w16cex:dateUtc="2020-08-21T12:49:00Z"/>
  <w16cex:commentExtensible w16cex:durableId="22F0F3DA" w16cex:dateUtc="2020-08-26T13:44:00Z"/>
  <w16cex:commentExtensible w16cex:durableId="22EA510B" w16cex:dateUtc="2020-08-21T12:56:00Z"/>
  <w16cex:commentExtensible w16cex:durableId="22EA695C" w16cex:dateUtc="2020-08-21T14:40:00Z"/>
  <w16cex:commentExtensible w16cex:durableId="22EA68BB" w16cex:dateUtc="2020-08-21T14:37:00Z"/>
  <w16cex:commentExtensible w16cex:durableId="22EA6909" w16cex:dateUtc="2020-08-21T14:3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00AA0" w14:textId="77777777" w:rsidR="00315B69" w:rsidRDefault="00315B69" w:rsidP="004963DE">
      <w:r>
        <w:separator/>
      </w:r>
    </w:p>
  </w:endnote>
  <w:endnote w:type="continuationSeparator" w:id="0">
    <w:p w14:paraId="63EF9BC7" w14:textId="77777777" w:rsidR="00315B69" w:rsidRDefault="00315B69" w:rsidP="00496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1E695" w14:textId="7955AFC5" w:rsidR="00915040" w:rsidRPr="00845432" w:rsidRDefault="00915040" w:rsidP="00845432">
    <w:pPr>
      <w:pStyle w:val="Footer"/>
      <w:tabs>
        <w:tab w:val="clear" w:pos="4513"/>
        <w:tab w:val="clear" w:pos="9026"/>
        <w:tab w:val="right" w:pos="9639"/>
      </w:tabs>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748DE" w14:textId="77777777" w:rsidR="00315B69" w:rsidRDefault="00315B69" w:rsidP="004963DE">
      <w:r>
        <w:separator/>
      </w:r>
    </w:p>
  </w:footnote>
  <w:footnote w:type="continuationSeparator" w:id="0">
    <w:p w14:paraId="2CBF63DD" w14:textId="77777777" w:rsidR="00315B69" w:rsidRDefault="00315B69" w:rsidP="00496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AA561" w14:textId="4141FC80" w:rsidR="00AF172C" w:rsidRPr="00093D5A" w:rsidRDefault="00AF172C" w:rsidP="0024701A">
    <w:pPr>
      <w:pStyle w:val="Header"/>
      <w:rPr>
        <w:rFonts w:cs="Arial"/>
      </w:rPr>
    </w:pPr>
    <w:r w:rsidRPr="00FD1072">
      <w:rPr>
        <w:rFonts w:cs="Arial"/>
        <w:sz w:val="20"/>
        <w:szCs w:val="20"/>
      </w:rPr>
      <w:t>LHE/20/15.COM/</w:t>
    </w:r>
    <w:r w:rsidR="00FD1072" w:rsidRPr="00FD1072">
      <w:rPr>
        <w:rFonts w:cs="Arial"/>
        <w:sz w:val="20"/>
        <w:szCs w:val="20"/>
      </w:rPr>
      <w:t>8</w:t>
    </w:r>
    <w:r w:rsidRPr="00FD1072">
      <w:rPr>
        <w:rFonts w:cs="Arial"/>
        <w:sz w:val="20"/>
        <w:szCs w:val="20"/>
      </w:rPr>
      <w:t xml:space="preserve">.d – page </w:t>
    </w:r>
    <w:r w:rsidRPr="00FD1072">
      <w:rPr>
        <w:rStyle w:val="PageNumber"/>
        <w:rFonts w:cs="Arial"/>
        <w:sz w:val="20"/>
        <w:szCs w:val="20"/>
      </w:rPr>
      <w:fldChar w:fldCharType="begin"/>
    </w:r>
    <w:r w:rsidRPr="00FD1072">
      <w:rPr>
        <w:rStyle w:val="PageNumber"/>
        <w:rFonts w:cs="Arial"/>
        <w:sz w:val="20"/>
        <w:szCs w:val="20"/>
      </w:rPr>
      <w:instrText xml:space="preserve"> PAGE </w:instrText>
    </w:r>
    <w:r w:rsidRPr="00FD1072">
      <w:rPr>
        <w:rStyle w:val="PageNumber"/>
        <w:rFonts w:cs="Arial"/>
        <w:sz w:val="20"/>
        <w:szCs w:val="20"/>
      </w:rPr>
      <w:fldChar w:fldCharType="separate"/>
    </w:r>
    <w:r w:rsidRPr="00FD1072">
      <w:rPr>
        <w:rStyle w:val="PageNumber"/>
        <w:rFonts w:cs="Arial"/>
        <w:sz w:val="20"/>
        <w:szCs w:val="20"/>
      </w:rPr>
      <w:t>2</w:t>
    </w:r>
    <w:r w:rsidRPr="00FD1072">
      <w:rPr>
        <w:rStyle w:val="PageNumber"/>
        <w:rFonts w:cs="Arial"/>
        <w:sz w:val="20"/>
        <w:szCs w:val="20"/>
      </w:rPr>
      <w:fldChar w:fldCharType="end"/>
    </w:r>
  </w:p>
  <w:p w14:paraId="567E13A3" w14:textId="6745164B" w:rsidR="00695BBB" w:rsidRDefault="00695B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7E581" w14:textId="2EB0A050" w:rsidR="00AF172C" w:rsidRPr="00093D5A" w:rsidRDefault="00AF172C" w:rsidP="0024701A">
    <w:pPr>
      <w:pStyle w:val="Header"/>
      <w:jc w:val="right"/>
      <w:rPr>
        <w:rFonts w:cs="Arial"/>
      </w:rPr>
    </w:pPr>
    <w:r w:rsidRPr="00FD1072">
      <w:rPr>
        <w:rFonts w:cs="Arial"/>
        <w:sz w:val="20"/>
        <w:szCs w:val="20"/>
      </w:rPr>
      <w:t>LHE/20/15.COM/</w:t>
    </w:r>
    <w:r w:rsidR="00FD1072">
      <w:rPr>
        <w:rFonts w:cs="Arial"/>
        <w:sz w:val="20"/>
        <w:szCs w:val="20"/>
      </w:rPr>
      <w:t>8</w:t>
    </w:r>
    <w:r w:rsidRPr="00FD1072">
      <w:rPr>
        <w:rFonts w:cs="Arial"/>
        <w:sz w:val="20"/>
        <w:szCs w:val="20"/>
      </w:rPr>
      <w:t xml:space="preserve">.d – page </w:t>
    </w:r>
    <w:r w:rsidRPr="00FD1072">
      <w:rPr>
        <w:rStyle w:val="PageNumber"/>
        <w:rFonts w:cs="Arial"/>
        <w:sz w:val="20"/>
        <w:szCs w:val="20"/>
      </w:rPr>
      <w:fldChar w:fldCharType="begin"/>
    </w:r>
    <w:r w:rsidRPr="00FD1072">
      <w:rPr>
        <w:rStyle w:val="PageNumber"/>
        <w:rFonts w:cs="Arial"/>
        <w:sz w:val="20"/>
        <w:szCs w:val="20"/>
      </w:rPr>
      <w:instrText xml:space="preserve"> PAGE </w:instrText>
    </w:r>
    <w:r w:rsidRPr="00FD1072">
      <w:rPr>
        <w:rStyle w:val="PageNumber"/>
        <w:rFonts w:cs="Arial"/>
        <w:sz w:val="20"/>
        <w:szCs w:val="20"/>
      </w:rPr>
      <w:fldChar w:fldCharType="separate"/>
    </w:r>
    <w:r w:rsidRPr="00FD1072">
      <w:rPr>
        <w:rStyle w:val="PageNumber"/>
        <w:rFonts w:cs="Arial"/>
        <w:sz w:val="20"/>
        <w:szCs w:val="20"/>
      </w:rPr>
      <w:t>2</w:t>
    </w:r>
    <w:r w:rsidRPr="00FD1072">
      <w:rPr>
        <w:rStyle w:val="PageNumber"/>
        <w:rFonts w:cs="Arial"/>
        <w:sz w:val="20"/>
        <w:szCs w:val="20"/>
      </w:rPr>
      <w:fldChar w:fldCharType="end"/>
    </w:r>
  </w:p>
  <w:p w14:paraId="50DAF6D3" w14:textId="607533A7" w:rsidR="00915040" w:rsidRPr="00CE77CF" w:rsidRDefault="00915040" w:rsidP="004963DE">
    <w:pPr>
      <w:pStyle w:val="Header"/>
      <w:jc w:val="center"/>
      <w:rPr>
        <w:b/>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4ECD6" w14:textId="0EB989A9" w:rsidR="00F10319" w:rsidRPr="005F2CDF" w:rsidRDefault="00B7579F" w:rsidP="00F10319">
    <w:pPr>
      <w:tabs>
        <w:tab w:val="center" w:pos="4536"/>
        <w:tab w:val="right" w:pos="9072"/>
      </w:tabs>
      <w:spacing w:after="520"/>
      <w:jc w:val="right"/>
      <w:rPr>
        <w:rFonts w:cs="Arial"/>
        <w:b/>
        <w:color w:val="4472C4"/>
        <w:sz w:val="44"/>
        <w:szCs w:val="44"/>
        <w:lang w:val="pt-BR"/>
      </w:rPr>
    </w:pPr>
    <w:r w:rsidRPr="00A53185">
      <w:rPr>
        <w:noProof/>
        <w:color w:val="0070C0"/>
      </w:rPr>
      <w:drawing>
        <wp:anchor distT="0" distB="0" distL="114300" distR="114300" simplePos="0" relativeHeight="251667456" behindDoc="0" locked="0" layoutInCell="1" allowOverlap="1" wp14:anchorId="1DBDA005" wp14:editId="6C1378F7">
          <wp:simplePos x="0" y="0"/>
          <wp:positionH relativeFrom="page">
            <wp:posOffset>345440</wp:posOffset>
          </wp:positionH>
          <wp:positionV relativeFrom="page">
            <wp:posOffset>342265</wp:posOffset>
          </wp:positionV>
          <wp:extent cx="2037600" cy="1530000"/>
          <wp:effectExtent l="0" t="0" r="1270" b="0"/>
          <wp:wrapNone/>
          <wp:docPr id="6"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10319" w:rsidRPr="005F2CDF">
      <w:rPr>
        <w:b/>
        <w:color w:val="4472C4"/>
        <w:sz w:val="44"/>
        <w:szCs w:val="44"/>
        <w:lang w:val="pt-BR"/>
      </w:rPr>
      <w:t>15 COM</w:t>
    </w:r>
  </w:p>
  <w:p w14:paraId="69DD3149" w14:textId="2E03C7A5" w:rsidR="00835EB7" w:rsidRDefault="00835EB7" w:rsidP="00835EB7">
    <w:pPr>
      <w:jc w:val="right"/>
      <w:rPr>
        <w:rFonts w:cs="Arial"/>
        <w:b/>
        <w:color w:val="4472C4"/>
        <w:sz w:val="22"/>
        <w:szCs w:val="22"/>
        <w:lang w:val="pt-PT"/>
      </w:rPr>
    </w:pPr>
    <w:r w:rsidRPr="0069073A">
      <w:rPr>
        <w:rFonts w:cs="Arial"/>
        <w:b/>
        <w:color w:val="4472C4"/>
        <w:sz w:val="22"/>
        <w:szCs w:val="22"/>
        <w:lang w:val="pt-PT"/>
      </w:rPr>
      <w:t>LHE/20/15.COM</w:t>
    </w:r>
    <w:r>
      <w:rPr>
        <w:rFonts w:cs="Arial"/>
        <w:b/>
        <w:color w:val="4472C4"/>
        <w:sz w:val="22"/>
        <w:szCs w:val="22"/>
        <w:lang w:val="pt-PT"/>
      </w:rPr>
      <w:t>/</w:t>
    </w:r>
    <w:proofErr w:type="gramStart"/>
    <w:r>
      <w:rPr>
        <w:rFonts w:cs="Arial"/>
        <w:b/>
        <w:color w:val="4472C4"/>
        <w:sz w:val="22"/>
        <w:szCs w:val="22"/>
        <w:lang w:val="pt-PT"/>
      </w:rPr>
      <w:t>8</w:t>
    </w:r>
    <w:r w:rsidR="00FD1072">
      <w:rPr>
        <w:rFonts w:cs="Arial"/>
        <w:b/>
        <w:color w:val="4472C4"/>
        <w:sz w:val="22"/>
        <w:szCs w:val="22"/>
        <w:lang w:val="pt-PT"/>
      </w:rPr>
      <w:t>.d</w:t>
    </w:r>
    <w:proofErr w:type="gramEnd"/>
  </w:p>
  <w:p w14:paraId="751663F0" w14:textId="6E9F7AAC" w:rsidR="00F10319" w:rsidRPr="00FD1072" w:rsidRDefault="00F10319" w:rsidP="00F10319">
    <w:pPr>
      <w:jc w:val="right"/>
      <w:rPr>
        <w:rFonts w:cs="Arial"/>
        <w:b/>
        <w:color w:val="4472C4"/>
        <w:sz w:val="22"/>
        <w:szCs w:val="22"/>
        <w:lang w:val="pt-PT"/>
      </w:rPr>
    </w:pPr>
    <w:r w:rsidRPr="00FD1072">
      <w:rPr>
        <w:b/>
        <w:color w:val="4472C4"/>
        <w:sz w:val="22"/>
        <w:szCs w:val="22"/>
        <w:lang w:val="pt-PT"/>
      </w:rPr>
      <w:t xml:space="preserve">Paris, </w:t>
    </w:r>
    <w:proofErr w:type="spellStart"/>
    <w:r w:rsidR="008508C0" w:rsidRPr="00FD1072">
      <w:rPr>
        <w:b/>
        <w:color w:val="4472C4"/>
        <w:sz w:val="22"/>
        <w:szCs w:val="22"/>
        <w:lang w:val="pt-PT"/>
      </w:rPr>
      <w:t>le</w:t>
    </w:r>
    <w:proofErr w:type="spellEnd"/>
    <w:r w:rsidR="008508C0" w:rsidRPr="00FD1072">
      <w:rPr>
        <w:b/>
        <w:color w:val="4472C4"/>
        <w:sz w:val="22"/>
        <w:szCs w:val="22"/>
        <w:lang w:val="pt-PT"/>
      </w:rPr>
      <w:t xml:space="preserve"> </w:t>
    </w:r>
    <w:r w:rsidR="00B625A5" w:rsidRPr="00FD1072">
      <w:rPr>
        <w:b/>
        <w:color w:val="4472C4"/>
        <w:sz w:val="22"/>
        <w:szCs w:val="22"/>
        <w:lang w:val="pt-PT"/>
      </w:rPr>
      <w:t>1</w:t>
    </w:r>
    <w:r w:rsidR="00FD1072">
      <w:rPr>
        <w:b/>
        <w:color w:val="4472C4"/>
        <w:sz w:val="22"/>
        <w:szCs w:val="22"/>
        <w:lang w:val="pt-PT"/>
      </w:rPr>
      <w:t>6</w:t>
    </w:r>
    <w:r w:rsidR="00B625A5" w:rsidRPr="00FD1072">
      <w:rPr>
        <w:b/>
        <w:color w:val="4472C4"/>
        <w:sz w:val="22"/>
        <w:szCs w:val="22"/>
        <w:lang w:val="pt-PT"/>
      </w:rPr>
      <w:t xml:space="preserve"> </w:t>
    </w:r>
    <w:proofErr w:type="spellStart"/>
    <w:r w:rsidR="00B625A5" w:rsidRPr="00FD1072">
      <w:rPr>
        <w:b/>
        <w:color w:val="4472C4"/>
        <w:sz w:val="22"/>
        <w:szCs w:val="22"/>
        <w:lang w:val="pt-PT"/>
      </w:rPr>
      <w:t>novembre</w:t>
    </w:r>
    <w:proofErr w:type="spellEnd"/>
    <w:r w:rsidR="00015365" w:rsidRPr="00FD1072">
      <w:rPr>
        <w:b/>
        <w:color w:val="4472C4"/>
        <w:sz w:val="22"/>
        <w:szCs w:val="22"/>
        <w:lang w:val="pt-PT"/>
      </w:rPr>
      <w:t> </w:t>
    </w:r>
    <w:r w:rsidRPr="00FD1072">
      <w:rPr>
        <w:b/>
        <w:color w:val="4472C4"/>
        <w:sz w:val="22"/>
        <w:szCs w:val="22"/>
        <w:lang w:val="pt-PT"/>
      </w:rPr>
      <w:t>2020</w:t>
    </w:r>
  </w:p>
  <w:p w14:paraId="7704EA0A" w14:textId="77777777" w:rsidR="00F10319" w:rsidRPr="00FD1072" w:rsidRDefault="00F10319" w:rsidP="00F10319">
    <w:pPr>
      <w:jc w:val="right"/>
      <w:rPr>
        <w:rFonts w:ascii="Times New Roman" w:eastAsia="Malgun Gothic" w:hAnsi="Times New Roman" w:cs="Arial"/>
        <w:b/>
        <w:color w:val="4472C4"/>
        <w:sz w:val="22"/>
        <w:szCs w:val="22"/>
        <w:lang w:val="pt-PT"/>
      </w:rPr>
    </w:pPr>
    <w:proofErr w:type="gramStart"/>
    <w:r w:rsidRPr="00FD1072">
      <w:rPr>
        <w:b/>
        <w:color w:val="4472C4"/>
        <w:sz w:val="22"/>
        <w:szCs w:val="22"/>
        <w:lang w:val="pt-PT"/>
      </w:rPr>
      <w:t>Original :</w:t>
    </w:r>
    <w:proofErr w:type="gramEnd"/>
    <w:r w:rsidRPr="00FD1072">
      <w:rPr>
        <w:b/>
        <w:color w:val="4472C4"/>
        <w:sz w:val="22"/>
        <w:szCs w:val="22"/>
        <w:lang w:val="pt-PT"/>
      </w:rPr>
      <w:t xml:space="preserve"> </w:t>
    </w:r>
    <w:proofErr w:type="spellStart"/>
    <w:r w:rsidRPr="00FD1072">
      <w:rPr>
        <w:b/>
        <w:color w:val="4472C4"/>
        <w:sz w:val="22"/>
        <w:szCs w:val="22"/>
        <w:lang w:val="pt-PT"/>
      </w:rPr>
      <w:t>anglais</w:t>
    </w:r>
    <w:proofErr w:type="spellEnd"/>
  </w:p>
  <w:p w14:paraId="12938B94" w14:textId="77777777" w:rsidR="00F10319" w:rsidRPr="00FD1072" w:rsidRDefault="00F10319" w:rsidP="00F10319">
    <w:pPr>
      <w:pStyle w:val="Header"/>
      <w:rPr>
        <w:lang w:val="pt-PT"/>
      </w:rPr>
    </w:pPr>
  </w:p>
  <w:p w14:paraId="415E6FAD" w14:textId="77777777" w:rsidR="00F10319" w:rsidRPr="00FD1072" w:rsidRDefault="00F10319">
    <w:pPr>
      <w:pStyle w:val="Header"/>
      <w:rPr>
        <w:lang w:val="pt-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7117AC"/>
    <w:multiLevelType w:val="multilevel"/>
    <w:tmpl w:val="E70EBFFC"/>
    <w:numStyleLink w:val="Headingsubdecision"/>
  </w:abstractNum>
  <w:abstractNum w:abstractNumId="1" w15:restartNumberingAfterBreak="0">
    <w:nsid w:val="5ED01A0A"/>
    <w:multiLevelType w:val="hybridMultilevel"/>
    <w:tmpl w:val="03CAD052"/>
    <w:lvl w:ilvl="0" w:tplc="C81ED8EA">
      <w:start w:val="1"/>
      <w:numFmt w:val="upperLetter"/>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5984F42"/>
    <w:multiLevelType w:val="multilevel"/>
    <w:tmpl w:val="E70EBFFC"/>
    <w:styleLink w:val="Headingsubdecision"/>
    <w:lvl w:ilvl="0">
      <w:start w:val="1"/>
      <w:numFmt w:val="none"/>
      <w:suff w:val="nothing"/>
      <w:lvlText w:val="%1"/>
      <w:lvlJc w:val="left"/>
      <w:pPr>
        <w:ind w:left="0" w:firstLine="0"/>
      </w:pPr>
      <w:rPr>
        <w:rFonts w:ascii="Arial" w:hAnsi="Arial" w:hint="default"/>
        <w:color w:val="auto"/>
        <w:sz w:val="22"/>
      </w:rPr>
    </w:lvl>
    <w:lvl w:ilvl="1">
      <w:start w:val="1"/>
      <w:numFmt w:val="decimal"/>
      <w:pStyle w:val="Style1"/>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6E1B46F7"/>
    <w:multiLevelType w:val="hybridMultilevel"/>
    <w:tmpl w:val="AA86594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67"/>
  <w:hyphenationZone w:val="425"/>
  <w:evenAndOddHeaders/>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4F1"/>
    <w:rsid w:val="00003016"/>
    <w:rsid w:val="0000380D"/>
    <w:rsid w:val="00004BA0"/>
    <w:rsid w:val="00012543"/>
    <w:rsid w:val="00012A86"/>
    <w:rsid w:val="00015365"/>
    <w:rsid w:val="00021510"/>
    <w:rsid w:val="00022AE2"/>
    <w:rsid w:val="000257B5"/>
    <w:rsid w:val="00034DB4"/>
    <w:rsid w:val="00035E2B"/>
    <w:rsid w:val="00036D4C"/>
    <w:rsid w:val="00042D0B"/>
    <w:rsid w:val="0005140B"/>
    <w:rsid w:val="000540B0"/>
    <w:rsid w:val="00062E0E"/>
    <w:rsid w:val="00075C4A"/>
    <w:rsid w:val="00077110"/>
    <w:rsid w:val="0008302D"/>
    <w:rsid w:val="00084A1C"/>
    <w:rsid w:val="00084C79"/>
    <w:rsid w:val="00086B0C"/>
    <w:rsid w:val="00090B01"/>
    <w:rsid w:val="00090BFA"/>
    <w:rsid w:val="00091C1C"/>
    <w:rsid w:val="00091E2E"/>
    <w:rsid w:val="00092807"/>
    <w:rsid w:val="000968B2"/>
    <w:rsid w:val="000977C1"/>
    <w:rsid w:val="000A18EC"/>
    <w:rsid w:val="000A6D2D"/>
    <w:rsid w:val="000B4B06"/>
    <w:rsid w:val="000C1816"/>
    <w:rsid w:val="000D1665"/>
    <w:rsid w:val="000D5527"/>
    <w:rsid w:val="000E396A"/>
    <w:rsid w:val="000E43A1"/>
    <w:rsid w:val="000E7684"/>
    <w:rsid w:val="000F2639"/>
    <w:rsid w:val="000F2DA1"/>
    <w:rsid w:val="001011D5"/>
    <w:rsid w:val="001037DE"/>
    <w:rsid w:val="001057B9"/>
    <w:rsid w:val="0010727B"/>
    <w:rsid w:val="00111BD2"/>
    <w:rsid w:val="00111C08"/>
    <w:rsid w:val="00116253"/>
    <w:rsid w:val="0012058A"/>
    <w:rsid w:val="00123386"/>
    <w:rsid w:val="00132ECB"/>
    <w:rsid w:val="001348D6"/>
    <w:rsid w:val="00134BD0"/>
    <w:rsid w:val="00135214"/>
    <w:rsid w:val="001356EF"/>
    <w:rsid w:val="00135E6A"/>
    <w:rsid w:val="00136E20"/>
    <w:rsid w:val="0014538B"/>
    <w:rsid w:val="00151EF2"/>
    <w:rsid w:val="00156E72"/>
    <w:rsid w:val="00163E7F"/>
    <w:rsid w:val="001643B0"/>
    <w:rsid w:val="00164762"/>
    <w:rsid w:val="00167664"/>
    <w:rsid w:val="00170700"/>
    <w:rsid w:val="001771C3"/>
    <w:rsid w:val="001810CE"/>
    <w:rsid w:val="00191DD1"/>
    <w:rsid w:val="001961DF"/>
    <w:rsid w:val="001977CC"/>
    <w:rsid w:val="001A6512"/>
    <w:rsid w:val="001A6898"/>
    <w:rsid w:val="001A6D0F"/>
    <w:rsid w:val="001B0974"/>
    <w:rsid w:val="001B1690"/>
    <w:rsid w:val="001B4D6C"/>
    <w:rsid w:val="001B5342"/>
    <w:rsid w:val="001B5430"/>
    <w:rsid w:val="001C2779"/>
    <w:rsid w:val="001C2E16"/>
    <w:rsid w:val="001D5647"/>
    <w:rsid w:val="001D5834"/>
    <w:rsid w:val="001D5A13"/>
    <w:rsid w:val="001E44BF"/>
    <w:rsid w:val="001E4887"/>
    <w:rsid w:val="001F23C7"/>
    <w:rsid w:val="001F28C5"/>
    <w:rsid w:val="001F3C6E"/>
    <w:rsid w:val="001F3F82"/>
    <w:rsid w:val="001F78A0"/>
    <w:rsid w:val="00203881"/>
    <w:rsid w:val="002060D6"/>
    <w:rsid w:val="002069B1"/>
    <w:rsid w:val="0021217A"/>
    <w:rsid w:val="00215B93"/>
    <w:rsid w:val="00225521"/>
    <w:rsid w:val="002305EE"/>
    <w:rsid w:val="002352B0"/>
    <w:rsid w:val="0023552F"/>
    <w:rsid w:val="002413DC"/>
    <w:rsid w:val="00242101"/>
    <w:rsid w:val="002438B0"/>
    <w:rsid w:val="0024701A"/>
    <w:rsid w:val="00247ECF"/>
    <w:rsid w:val="002507AB"/>
    <w:rsid w:val="00252CE8"/>
    <w:rsid w:val="00255D05"/>
    <w:rsid w:val="002608A5"/>
    <w:rsid w:val="002724A5"/>
    <w:rsid w:val="00286398"/>
    <w:rsid w:val="002B0495"/>
    <w:rsid w:val="002B3ED7"/>
    <w:rsid w:val="002C14AB"/>
    <w:rsid w:val="002C2DC9"/>
    <w:rsid w:val="002C735A"/>
    <w:rsid w:val="002D1A1F"/>
    <w:rsid w:val="002D33F1"/>
    <w:rsid w:val="002D343E"/>
    <w:rsid w:val="002D4BE0"/>
    <w:rsid w:val="002D7AD9"/>
    <w:rsid w:val="002E0A00"/>
    <w:rsid w:val="002E1D15"/>
    <w:rsid w:val="002E364A"/>
    <w:rsid w:val="003017ED"/>
    <w:rsid w:val="00304ED8"/>
    <w:rsid w:val="0030744C"/>
    <w:rsid w:val="00310CD4"/>
    <w:rsid w:val="003118C6"/>
    <w:rsid w:val="00315B69"/>
    <w:rsid w:val="003167E6"/>
    <w:rsid w:val="00316C80"/>
    <w:rsid w:val="0032241B"/>
    <w:rsid w:val="00326DB1"/>
    <w:rsid w:val="00336C8B"/>
    <w:rsid w:val="00343164"/>
    <w:rsid w:val="00343545"/>
    <w:rsid w:val="00345D5D"/>
    <w:rsid w:val="0035304C"/>
    <w:rsid w:val="0035420E"/>
    <w:rsid w:val="00367638"/>
    <w:rsid w:val="003729E7"/>
    <w:rsid w:val="0037642E"/>
    <w:rsid w:val="00377524"/>
    <w:rsid w:val="003874B5"/>
    <w:rsid w:val="00397DEC"/>
    <w:rsid w:val="003A4CE7"/>
    <w:rsid w:val="003B2FE0"/>
    <w:rsid w:val="003B3FDD"/>
    <w:rsid w:val="003B534D"/>
    <w:rsid w:val="003C1C30"/>
    <w:rsid w:val="003C7328"/>
    <w:rsid w:val="003D1A9F"/>
    <w:rsid w:val="003D6881"/>
    <w:rsid w:val="003D7E53"/>
    <w:rsid w:val="003E2684"/>
    <w:rsid w:val="003E2C4F"/>
    <w:rsid w:val="003F23B5"/>
    <w:rsid w:val="003F3A64"/>
    <w:rsid w:val="003F61A7"/>
    <w:rsid w:val="003F6BE4"/>
    <w:rsid w:val="003F7D47"/>
    <w:rsid w:val="0040173D"/>
    <w:rsid w:val="004049D0"/>
    <w:rsid w:val="0040539B"/>
    <w:rsid w:val="00406035"/>
    <w:rsid w:val="00416D6E"/>
    <w:rsid w:val="0042006F"/>
    <w:rsid w:val="00420146"/>
    <w:rsid w:val="0042282D"/>
    <w:rsid w:val="00423EB3"/>
    <w:rsid w:val="00427011"/>
    <w:rsid w:val="00427F26"/>
    <w:rsid w:val="00434794"/>
    <w:rsid w:val="004424D7"/>
    <w:rsid w:val="00442F9A"/>
    <w:rsid w:val="00446180"/>
    <w:rsid w:val="004508A5"/>
    <w:rsid w:val="00452EFE"/>
    <w:rsid w:val="0045624F"/>
    <w:rsid w:val="00460553"/>
    <w:rsid w:val="004627CF"/>
    <w:rsid w:val="004643C3"/>
    <w:rsid w:val="00465734"/>
    <w:rsid w:val="0047196E"/>
    <w:rsid w:val="0047247F"/>
    <w:rsid w:val="00473697"/>
    <w:rsid w:val="004758EE"/>
    <w:rsid w:val="0048407B"/>
    <w:rsid w:val="004859A3"/>
    <w:rsid w:val="00492A57"/>
    <w:rsid w:val="004963DE"/>
    <w:rsid w:val="004979FB"/>
    <w:rsid w:val="00497C1B"/>
    <w:rsid w:val="004A04A5"/>
    <w:rsid w:val="004B063E"/>
    <w:rsid w:val="004B0BD6"/>
    <w:rsid w:val="004B2E23"/>
    <w:rsid w:val="004B4884"/>
    <w:rsid w:val="004C1FD7"/>
    <w:rsid w:val="004C3649"/>
    <w:rsid w:val="004C3D21"/>
    <w:rsid w:val="004C6AAD"/>
    <w:rsid w:val="004D3573"/>
    <w:rsid w:val="004E18B6"/>
    <w:rsid w:val="004E439D"/>
    <w:rsid w:val="004F4632"/>
    <w:rsid w:val="0050371D"/>
    <w:rsid w:val="00505F1F"/>
    <w:rsid w:val="00506F05"/>
    <w:rsid w:val="00507DA1"/>
    <w:rsid w:val="005118A2"/>
    <w:rsid w:val="005137D1"/>
    <w:rsid w:val="00517175"/>
    <w:rsid w:val="00520878"/>
    <w:rsid w:val="00525A13"/>
    <w:rsid w:val="00531768"/>
    <w:rsid w:val="00535110"/>
    <w:rsid w:val="0053703B"/>
    <w:rsid w:val="00542F45"/>
    <w:rsid w:val="005508D1"/>
    <w:rsid w:val="0055114C"/>
    <w:rsid w:val="0055212C"/>
    <w:rsid w:val="00552FFF"/>
    <w:rsid w:val="00553374"/>
    <w:rsid w:val="005564AC"/>
    <w:rsid w:val="0056321C"/>
    <w:rsid w:val="00564F37"/>
    <w:rsid w:val="00570D41"/>
    <w:rsid w:val="00575575"/>
    <w:rsid w:val="00575905"/>
    <w:rsid w:val="00591BDB"/>
    <w:rsid w:val="00592B45"/>
    <w:rsid w:val="0059357A"/>
    <w:rsid w:val="00594FBD"/>
    <w:rsid w:val="005A68DA"/>
    <w:rsid w:val="005B0D53"/>
    <w:rsid w:val="005B11B9"/>
    <w:rsid w:val="005B3223"/>
    <w:rsid w:val="005B66E9"/>
    <w:rsid w:val="005B68D7"/>
    <w:rsid w:val="005B7708"/>
    <w:rsid w:val="005C1013"/>
    <w:rsid w:val="005C235B"/>
    <w:rsid w:val="005C2B7E"/>
    <w:rsid w:val="005C41AC"/>
    <w:rsid w:val="005C6CBE"/>
    <w:rsid w:val="005D48F3"/>
    <w:rsid w:val="005D5D3C"/>
    <w:rsid w:val="005E1705"/>
    <w:rsid w:val="005E2EC6"/>
    <w:rsid w:val="005E36FD"/>
    <w:rsid w:val="005E7715"/>
    <w:rsid w:val="005F2CDF"/>
    <w:rsid w:val="005F7B51"/>
    <w:rsid w:val="00600AFC"/>
    <w:rsid w:val="006022E4"/>
    <w:rsid w:val="0060718D"/>
    <w:rsid w:val="00613C60"/>
    <w:rsid w:val="00614F3E"/>
    <w:rsid w:val="00626509"/>
    <w:rsid w:val="0063149D"/>
    <w:rsid w:val="00637894"/>
    <w:rsid w:val="006660FD"/>
    <w:rsid w:val="0066695D"/>
    <w:rsid w:val="00666BDC"/>
    <w:rsid w:val="0067248F"/>
    <w:rsid w:val="00677925"/>
    <w:rsid w:val="00677954"/>
    <w:rsid w:val="00677D03"/>
    <w:rsid w:val="00687871"/>
    <w:rsid w:val="006906EB"/>
    <w:rsid w:val="00694B89"/>
    <w:rsid w:val="00695BBB"/>
    <w:rsid w:val="006A5628"/>
    <w:rsid w:val="006B1199"/>
    <w:rsid w:val="006B6D8F"/>
    <w:rsid w:val="006C34F1"/>
    <w:rsid w:val="006C4F14"/>
    <w:rsid w:val="006C5294"/>
    <w:rsid w:val="006D13AE"/>
    <w:rsid w:val="006D35DD"/>
    <w:rsid w:val="006D5D4C"/>
    <w:rsid w:val="006D6087"/>
    <w:rsid w:val="006D792F"/>
    <w:rsid w:val="006E163B"/>
    <w:rsid w:val="006F201B"/>
    <w:rsid w:val="00706E57"/>
    <w:rsid w:val="00707336"/>
    <w:rsid w:val="00710221"/>
    <w:rsid w:val="00712223"/>
    <w:rsid w:val="0072192C"/>
    <w:rsid w:val="00730E82"/>
    <w:rsid w:val="00743B35"/>
    <w:rsid w:val="00746ACF"/>
    <w:rsid w:val="007511D9"/>
    <w:rsid w:val="00754CE4"/>
    <w:rsid w:val="00763C17"/>
    <w:rsid w:val="00765E36"/>
    <w:rsid w:val="00772853"/>
    <w:rsid w:val="00773EE9"/>
    <w:rsid w:val="007768B3"/>
    <w:rsid w:val="007800BA"/>
    <w:rsid w:val="0078310C"/>
    <w:rsid w:val="00785E80"/>
    <w:rsid w:val="0078635B"/>
    <w:rsid w:val="00787CC4"/>
    <w:rsid w:val="007916DF"/>
    <w:rsid w:val="00796FEE"/>
    <w:rsid w:val="007A1136"/>
    <w:rsid w:val="007A1739"/>
    <w:rsid w:val="007B12B4"/>
    <w:rsid w:val="007B20B9"/>
    <w:rsid w:val="007B614E"/>
    <w:rsid w:val="007C0466"/>
    <w:rsid w:val="007C17E8"/>
    <w:rsid w:val="007C4712"/>
    <w:rsid w:val="007D111E"/>
    <w:rsid w:val="007E31E3"/>
    <w:rsid w:val="007E5214"/>
    <w:rsid w:val="007E6D51"/>
    <w:rsid w:val="007F0990"/>
    <w:rsid w:val="007F11F9"/>
    <w:rsid w:val="0080382A"/>
    <w:rsid w:val="008060F3"/>
    <w:rsid w:val="00810B57"/>
    <w:rsid w:val="00811497"/>
    <w:rsid w:val="0081599E"/>
    <w:rsid w:val="00820D59"/>
    <w:rsid w:val="00833AAA"/>
    <w:rsid w:val="008341E2"/>
    <w:rsid w:val="00835EB7"/>
    <w:rsid w:val="00837E5F"/>
    <w:rsid w:val="00845432"/>
    <w:rsid w:val="00845498"/>
    <w:rsid w:val="008506B2"/>
    <w:rsid w:val="008508C0"/>
    <w:rsid w:val="0085549F"/>
    <w:rsid w:val="00862498"/>
    <w:rsid w:val="00874210"/>
    <w:rsid w:val="008805F9"/>
    <w:rsid w:val="0088407F"/>
    <w:rsid w:val="00886479"/>
    <w:rsid w:val="00890BF4"/>
    <w:rsid w:val="008A574B"/>
    <w:rsid w:val="008A5877"/>
    <w:rsid w:val="008A7169"/>
    <w:rsid w:val="008B4C51"/>
    <w:rsid w:val="008B4F50"/>
    <w:rsid w:val="008D06B7"/>
    <w:rsid w:val="008D0769"/>
    <w:rsid w:val="008D1B7A"/>
    <w:rsid w:val="008D5ED1"/>
    <w:rsid w:val="008E1F0E"/>
    <w:rsid w:val="008E1F86"/>
    <w:rsid w:val="008E3042"/>
    <w:rsid w:val="00903851"/>
    <w:rsid w:val="00904717"/>
    <w:rsid w:val="00904D8F"/>
    <w:rsid w:val="00911732"/>
    <w:rsid w:val="00915040"/>
    <w:rsid w:val="00915930"/>
    <w:rsid w:val="00916131"/>
    <w:rsid w:val="009171E5"/>
    <w:rsid w:val="0092107B"/>
    <w:rsid w:val="00923742"/>
    <w:rsid w:val="00932893"/>
    <w:rsid w:val="00933A6C"/>
    <w:rsid w:val="00940069"/>
    <w:rsid w:val="00945AC3"/>
    <w:rsid w:val="0094645E"/>
    <w:rsid w:val="00951845"/>
    <w:rsid w:val="00960C7F"/>
    <w:rsid w:val="009761A3"/>
    <w:rsid w:val="00977279"/>
    <w:rsid w:val="00985F05"/>
    <w:rsid w:val="00995EDB"/>
    <w:rsid w:val="00997BA4"/>
    <w:rsid w:val="009A2669"/>
    <w:rsid w:val="009A4765"/>
    <w:rsid w:val="009A52F7"/>
    <w:rsid w:val="009B5AC3"/>
    <w:rsid w:val="009B6BAC"/>
    <w:rsid w:val="009C3588"/>
    <w:rsid w:val="009C6CAD"/>
    <w:rsid w:val="009C720F"/>
    <w:rsid w:val="009C76F7"/>
    <w:rsid w:val="009D156F"/>
    <w:rsid w:val="009D19BD"/>
    <w:rsid w:val="009D1A33"/>
    <w:rsid w:val="009D6A73"/>
    <w:rsid w:val="009E1D96"/>
    <w:rsid w:val="009E3A6D"/>
    <w:rsid w:val="009E5A9D"/>
    <w:rsid w:val="009E6D11"/>
    <w:rsid w:val="009F1CC6"/>
    <w:rsid w:val="009F27C3"/>
    <w:rsid w:val="009F617C"/>
    <w:rsid w:val="00A0054F"/>
    <w:rsid w:val="00A10E4A"/>
    <w:rsid w:val="00A11B1D"/>
    <w:rsid w:val="00A12C9E"/>
    <w:rsid w:val="00A1614A"/>
    <w:rsid w:val="00A329AA"/>
    <w:rsid w:val="00A37BCF"/>
    <w:rsid w:val="00A412CB"/>
    <w:rsid w:val="00A41FC9"/>
    <w:rsid w:val="00A42939"/>
    <w:rsid w:val="00A45AAF"/>
    <w:rsid w:val="00A5120A"/>
    <w:rsid w:val="00A5672D"/>
    <w:rsid w:val="00A578CA"/>
    <w:rsid w:val="00A64D66"/>
    <w:rsid w:val="00A66D19"/>
    <w:rsid w:val="00A97DB5"/>
    <w:rsid w:val="00AA27FA"/>
    <w:rsid w:val="00AA5504"/>
    <w:rsid w:val="00AA668A"/>
    <w:rsid w:val="00AB416C"/>
    <w:rsid w:val="00AB5DF0"/>
    <w:rsid w:val="00AC37FD"/>
    <w:rsid w:val="00AC6123"/>
    <w:rsid w:val="00AD1315"/>
    <w:rsid w:val="00AD15E3"/>
    <w:rsid w:val="00AD3A3F"/>
    <w:rsid w:val="00AD5E3A"/>
    <w:rsid w:val="00AD7B8F"/>
    <w:rsid w:val="00AE07B9"/>
    <w:rsid w:val="00AE0C3C"/>
    <w:rsid w:val="00AE354E"/>
    <w:rsid w:val="00AE7E4B"/>
    <w:rsid w:val="00AF172C"/>
    <w:rsid w:val="00AF6DAC"/>
    <w:rsid w:val="00B06E5E"/>
    <w:rsid w:val="00B0712B"/>
    <w:rsid w:val="00B11665"/>
    <w:rsid w:val="00B1285F"/>
    <w:rsid w:val="00B13203"/>
    <w:rsid w:val="00B16E59"/>
    <w:rsid w:val="00B26DA6"/>
    <w:rsid w:val="00B27F0E"/>
    <w:rsid w:val="00B31AD2"/>
    <w:rsid w:val="00B43896"/>
    <w:rsid w:val="00B45EA7"/>
    <w:rsid w:val="00B529BE"/>
    <w:rsid w:val="00B553EA"/>
    <w:rsid w:val="00B57022"/>
    <w:rsid w:val="00B625A5"/>
    <w:rsid w:val="00B71762"/>
    <w:rsid w:val="00B72BD0"/>
    <w:rsid w:val="00B735C0"/>
    <w:rsid w:val="00B7579F"/>
    <w:rsid w:val="00B77DA9"/>
    <w:rsid w:val="00B90524"/>
    <w:rsid w:val="00B9699B"/>
    <w:rsid w:val="00BA3304"/>
    <w:rsid w:val="00BA54CE"/>
    <w:rsid w:val="00BA7C8E"/>
    <w:rsid w:val="00BB0D36"/>
    <w:rsid w:val="00BB4794"/>
    <w:rsid w:val="00BB59E3"/>
    <w:rsid w:val="00BC21D3"/>
    <w:rsid w:val="00BC4A50"/>
    <w:rsid w:val="00BD13A6"/>
    <w:rsid w:val="00BD3186"/>
    <w:rsid w:val="00BD4181"/>
    <w:rsid w:val="00BE7AC4"/>
    <w:rsid w:val="00BF15E5"/>
    <w:rsid w:val="00BF5B68"/>
    <w:rsid w:val="00C01FBE"/>
    <w:rsid w:val="00C049B8"/>
    <w:rsid w:val="00C10FC3"/>
    <w:rsid w:val="00C124F1"/>
    <w:rsid w:val="00C21C04"/>
    <w:rsid w:val="00C2597F"/>
    <w:rsid w:val="00C304D6"/>
    <w:rsid w:val="00C34AF0"/>
    <w:rsid w:val="00C35C24"/>
    <w:rsid w:val="00C36879"/>
    <w:rsid w:val="00C37979"/>
    <w:rsid w:val="00C50EF9"/>
    <w:rsid w:val="00C521D0"/>
    <w:rsid w:val="00C53E8E"/>
    <w:rsid w:val="00C65BAD"/>
    <w:rsid w:val="00C729C7"/>
    <w:rsid w:val="00C740ED"/>
    <w:rsid w:val="00C74670"/>
    <w:rsid w:val="00C74743"/>
    <w:rsid w:val="00C77B6E"/>
    <w:rsid w:val="00C8094E"/>
    <w:rsid w:val="00C81822"/>
    <w:rsid w:val="00C90F1A"/>
    <w:rsid w:val="00C955DF"/>
    <w:rsid w:val="00CA12E6"/>
    <w:rsid w:val="00CA3D2B"/>
    <w:rsid w:val="00CD0958"/>
    <w:rsid w:val="00CD14A6"/>
    <w:rsid w:val="00CD2545"/>
    <w:rsid w:val="00CE2985"/>
    <w:rsid w:val="00CE7281"/>
    <w:rsid w:val="00CE77CF"/>
    <w:rsid w:val="00CF004C"/>
    <w:rsid w:val="00CF02C4"/>
    <w:rsid w:val="00CF4B1C"/>
    <w:rsid w:val="00D14150"/>
    <w:rsid w:val="00D16EF2"/>
    <w:rsid w:val="00D174D2"/>
    <w:rsid w:val="00D17761"/>
    <w:rsid w:val="00D17890"/>
    <w:rsid w:val="00D23097"/>
    <w:rsid w:val="00D239C3"/>
    <w:rsid w:val="00D414BB"/>
    <w:rsid w:val="00D41D38"/>
    <w:rsid w:val="00D422F7"/>
    <w:rsid w:val="00D6330D"/>
    <w:rsid w:val="00D719D4"/>
    <w:rsid w:val="00D77F3B"/>
    <w:rsid w:val="00D85E51"/>
    <w:rsid w:val="00D87D16"/>
    <w:rsid w:val="00D91081"/>
    <w:rsid w:val="00DA134D"/>
    <w:rsid w:val="00DB29FC"/>
    <w:rsid w:val="00DB305B"/>
    <w:rsid w:val="00DB4B93"/>
    <w:rsid w:val="00DE67D6"/>
    <w:rsid w:val="00DE6F4F"/>
    <w:rsid w:val="00DF357C"/>
    <w:rsid w:val="00DF5C5D"/>
    <w:rsid w:val="00DF6531"/>
    <w:rsid w:val="00DF7561"/>
    <w:rsid w:val="00DF7B2F"/>
    <w:rsid w:val="00E0028D"/>
    <w:rsid w:val="00E2068B"/>
    <w:rsid w:val="00E23CEE"/>
    <w:rsid w:val="00E247C7"/>
    <w:rsid w:val="00E26752"/>
    <w:rsid w:val="00E33988"/>
    <w:rsid w:val="00E3787A"/>
    <w:rsid w:val="00E43134"/>
    <w:rsid w:val="00E438AA"/>
    <w:rsid w:val="00E43DB7"/>
    <w:rsid w:val="00E452E0"/>
    <w:rsid w:val="00E45881"/>
    <w:rsid w:val="00E52173"/>
    <w:rsid w:val="00E642C7"/>
    <w:rsid w:val="00E65915"/>
    <w:rsid w:val="00E744D6"/>
    <w:rsid w:val="00E76D0D"/>
    <w:rsid w:val="00E77922"/>
    <w:rsid w:val="00E80831"/>
    <w:rsid w:val="00E82DC9"/>
    <w:rsid w:val="00E834A2"/>
    <w:rsid w:val="00E852B4"/>
    <w:rsid w:val="00E8698F"/>
    <w:rsid w:val="00E96747"/>
    <w:rsid w:val="00E97D3D"/>
    <w:rsid w:val="00EA08E2"/>
    <w:rsid w:val="00EA443B"/>
    <w:rsid w:val="00EA4DAF"/>
    <w:rsid w:val="00EA6970"/>
    <w:rsid w:val="00EB0E75"/>
    <w:rsid w:val="00EB62B9"/>
    <w:rsid w:val="00EB7155"/>
    <w:rsid w:val="00EB7DE4"/>
    <w:rsid w:val="00EC4AFB"/>
    <w:rsid w:val="00ED43DB"/>
    <w:rsid w:val="00ED486C"/>
    <w:rsid w:val="00ED57E8"/>
    <w:rsid w:val="00ED6F59"/>
    <w:rsid w:val="00ED7401"/>
    <w:rsid w:val="00EE0251"/>
    <w:rsid w:val="00EE6BE9"/>
    <w:rsid w:val="00EF44D2"/>
    <w:rsid w:val="00EF5560"/>
    <w:rsid w:val="00F000EF"/>
    <w:rsid w:val="00F030A5"/>
    <w:rsid w:val="00F10319"/>
    <w:rsid w:val="00F1040F"/>
    <w:rsid w:val="00F11BDD"/>
    <w:rsid w:val="00F13A4D"/>
    <w:rsid w:val="00F1453E"/>
    <w:rsid w:val="00F21F68"/>
    <w:rsid w:val="00F30DD6"/>
    <w:rsid w:val="00F331B4"/>
    <w:rsid w:val="00F363BB"/>
    <w:rsid w:val="00F44162"/>
    <w:rsid w:val="00F53E6F"/>
    <w:rsid w:val="00F54D70"/>
    <w:rsid w:val="00F60A77"/>
    <w:rsid w:val="00F6276E"/>
    <w:rsid w:val="00F63295"/>
    <w:rsid w:val="00F66453"/>
    <w:rsid w:val="00F703A6"/>
    <w:rsid w:val="00F71506"/>
    <w:rsid w:val="00F73E0F"/>
    <w:rsid w:val="00F7778A"/>
    <w:rsid w:val="00F84519"/>
    <w:rsid w:val="00F8770E"/>
    <w:rsid w:val="00F9024B"/>
    <w:rsid w:val="00F911D2"/>
    <w:rsid w:val="00F96E1D"/>
    <w:rsid w:val="00FB004B"/>
    <w:rsid w:val="00FB2612"/>
    <w:rsid w:val="00FB3246"/>
    <w:rsid w:val="00FB6250"/>
    <w:rsid w:val="00FB761A"/>
    <w:rsid w:val="00FC011B"/>
    <w:rsid w:val="00FC57F5"/>
    <w:rsid w:val="00FC5D1E"/>
    <w:rsid w:val="00FD1072"/>
    <w:rsid w:val="00FD6DF3"/>
    <w:rsid w:val="00FE011D"/>
    <w:rsid w:val="00FE67F2"/>
    <w:rsid w:val="00FF6D46"/>
    <w:rsid w:val="00FF740C"/>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F256E1F"/>
  <w15:docId w15:val="{311921A1-DA72-416B-AA44-20F3102FC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7C1"/>
    <w:rPr>
      <w:rFonts w:ascii="Arial" w:eastAsia="Times New Roman" w:hAnsi="Arial"/>
      <w:sz w:val="24"/>
      <w:szCs w:val="24"/>
    </w:rPr>
  </w:style>
  <w:style w:type="paragraph" w:styleId="Heading2">
    <w:name w:val="heading 2"/>
    <w:basedOn w:val="Normal"/>
    <w:next w:val="Normal"/>
    <w:link w:val="Heading2Char"/>
    <w:unhideWhenUsed/>
    <w:qFormat/>
    <w:rsid w:val="0053703B"/>
    <w:pPr>
      <w:keepNext/>
      <w:keepLines/>
      <w:spacing w:before="40"/>
      <w:outlineLvl w:val="1"/>
    </w:pPr>
    <w:rPr>
      <w:rFonts w:eastAsiaTheme="majorEastAsia"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24F1"/>
    <w:pPr>
      <w:autoSpaceDE w:val="0"/>
      <w:autoSpaceDN w:val="0"/>
      <w:adjustRightInd w:val="0"/>
    </w:pPr>
    <w:rPr>
      <w:rFonts w:ascii="Arial" w:hAnsi="Arial" w:cs="Arial"/>
      <w:color w:val="000000"/>
      <w:sz w:val="24"/>
      <w:szCs w:val="24"/>
      <w:lang w:eastAsia="zh-CN"/>
    </w:rPr>
  </w:style>
  <w:style w:type="paragraph" w:styleId="BalloonText">
    <w:name w:val="Balloon Text"/>
    <w:basedOn w:val="Normal"/>
    <w:link w:val="BalloonTextChar"/>
    <w:uiPriority w:val="99"/>
    <w:semiHidden/>
    <w:unhideWhenUsed/>
    <w:rsid w:val="00C124F1"/>
    <w:rPr>
      <w:rFonts w:ascii="Tahoma" w:hAnsi="Tahoma" w:cs="Tahoma"/>
      <w:sz w:val="16"/>
      <w:szCs w:val="16"/>
    </w:rPr>
  </w:style>
  <w:style w:type="character" w:customStyle="1" w:styleId="BalloonTextChar">
    <w:name w:val="Balloon Text Char"/>
    <w:basedOn w:val="DefaultParagraphFont"/>
    <w:link w:val="BalloonText"/>
    <w:uiPriority w:val="99"/>
    <w:semiHidden/>
    <w:rsid w:val="00C124F1"/>
    <w:rPr>
      <w:rFonts w:ascii="Tahoma" w:eastAsia="Times New Roman" w:hAnsi="Tahoma" w:cs="Tahoma"/>
      <w:sz w:val="16"/>
      <w:szCs w:val="16"/>
      <w:lang w:val="fr-FR" w:eastAsia="fr-FR"/>
    </w:rPr>
  </w:style>
  <w:style w:type="paragraph" w:styleId="ListParagraph">
    <w:name w:val="List Paragraph"/>
    <w:basedOn w:val="Normal"/>
    <w:uiPriority w:val="34"/>
    <w:qFormat/>
    <w:rsid w:val="00E744D6"/>
    <w:pPr>
      <w:ind w:left="708"/>
    </w:pPr>
    <w:rPr>
      <w:rFonts w:ascii="Times New Roman" w:hAnsi="Times New Roman"/>
      <w:lang w:eastAsia="en-US"/>
    </w:rPr>
  </w:style>
  <w:style w:type="character" w:styleId="Hyperlink">
    <w:name w:val="Hyperlink"/>
    <w:basedOn w:val="DefaultParagraphFont"/>
    <w:uiPriority w:val="99"/>
    <w:unhideWhenUsed/>
    <w:rsid w:val="008D06B7"/>
    <w:rPr>
      <w:color w:val="0000FF"/>
      <w:u w:val="single"/>
    </w:rPr>
  </w:style>
  <w:style w:type="paragraph" w:styleId="NormalWeb">
    <w:name w:val="Normal (Web)"/>
    <w:basedOn w:val="Normal"/>
    <w:uiPriority w:val="99"/>
    <w:unhideWhenUsed/>
    <w:rsid w:val="00E43134"/>
    <w:pPr>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4963DE"/>
    <w:pPr>
      <w:tabs>
        <w:tab w:val="center" w:pos="4513"/>
        <w:tab w:val="right" w:pos="9026"/>
      </w:tabs>
    </w:pPr>
  </w:style>
  <w:style w:type="character" w:customStyle="1" w:styleId="HeaderChar">
    <w:name w:val="Header Char"/>
    <w:basedOn w:val="DefaultParagraphFont"/>
    <w:link w:val="Header"/>
    <w:uiPriority w:val="99"/>
    <w:rsid w:val="004963DE"/>
    <w:rPr>
      <w:rFonts w:ascii="Arial" w:eastAsia="Times New Roman" w:hAnsi="Arial"/>
      <w:sz w:val="24"/>
      <w:szCs w:val="24"/>
      <w:lang w:val="fr-FR"/>
    </w:rPr>
  </w:style>
  <w:style w:type="paragraph" w:styleId="Footer">
    <w:name w:val="footer"/>
    <w:basedOn w:val="Normal"/>
    <w:link w:val="FooterChar"/>
    <w:uiPriority w:val="99"/>
    <w:unhideWhenUsed/>
    <w:rsid w:val="004963DE"/>
    <w:pPr>
      <w:tabs>
        <w:tab w:val="center" w:pos="4513"/>
        <w:tab w:val="right" w:pos="9026"/>
      </w:tabs>
    </w:pPr>
  </w:style>
  <w:style w:type="character" w:customStyle="1" w:styleId="FooterChar">
    <w:name w:val="Footer Char"/>
    <w:basedOn w:val="DefaultParagraphFont"/>
    <w:link w:val="Footer"/>
    <w:uiPriority w:val="99"/>
    <w:rsid w:val="004963DE"/>
    <w:rPr>
      <w:rFonts w:ascii="Arial" w:eastAsia="Times New Roman" w:hAnsi="Arial"/>
      <w:sz w:val="24"/>
      <w:szCs w:val="24"/>
      <w:lang w:val="fr-FR"/>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sid w:val="0023552F"/>
    <w:rPr>
      <w:rFonts w:ascii="Arial" w:eastAsia="Times New Roman" w:hAnsi="Arial"/>
      <w:lang w:val="fr-FR" w:eastAsia="fr-FR"/>
    </w:rPr>
  </w:style>
  <w:style w:type="paragraph" w:styleId="CommentSubject">
    <w:name w:val="annotation subject"/>
    <w:basedOn w:val="CommentText"/>
    <w:next w:val="CommentText"/>
    <w:link w:val="CommentSubjectChar"/>
    <w:uiPriority w:val="99"/>
    <w:semiHidden/>
    <w:unhideWhenUsed/>
    <w:rsid w:val="0023552F"/>
    <w:rPr>
      <w:b/>
      <w:bCs/>
    </w:rPr>
  </w:style>
  <w:style w:type="character" w:customStyle="1" w:styleId="CommentSubjectChar">
    <w:name w:val="Comment Subject Char"/>
    <w:basedOn w:val="CommentTextChar"/>
    <w:link w:val="CommentSubject"/>
    <w:uiPriority w:val="99"/>
    <w:semiHidden/>
    <w:rsid w:val="0023552F"/>
    <w:rPr>
      <w:rFonts w:ascii="Arial" w:eastAsia="Times New Roman" w:hAnsi="Arial"/>
      <w:b/>
      <w:bCs/>
      <w:lang w:val="fr-FR" w:eastAsia="fr-FR"/>
    </w:rPr>
  </w:style>
  <w:style w:type="table" w:styleId="TableGrid">
    <w:name w:val="Table Grid"/>
    <w:basedOn w:val="TableNormal"/>
    <w:uiPriority w:val="59"/>
    <w:rsid w:val="00C368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151EF2"/>
    <w:rPr>
      <w:sz w:val="22"/>
      <w:szCs w:val="22"/>
      <w:lang w:eastAsia="zh-CN"/>
    </w:rPr>
  </w:style>
  <w:style w:type="character" w:customStyle="1" w:styleId="Heading2Char">
    <w:name w:val="Heading 2 Char"/>
    <w:basedOn w:val="DefaultParagraphFont"/>
    <w:link w:val="Heading2"/>
    <w:uiPriority w:val="9"/>
    <w:rsid w:val="0053703B"/>
    <w:rPr>
      <w:rFonts w:ascii="Arial" w:eastAsiaTheme="majorEastAsia" w:hAnsi="Arial" w:cs="Arial"/>
      <w:sz w:val="24"/>
      <w:szCs w:val="24"/>
      <w:lang w:val="fr-FR"/>
    </w:rPr>
  </w:style>
  <w:style w:type="paragraph" w:customStyle="1" w:styleId="Style1">
    <w:name w:val="Style1"/>
    <w:basedOn w:val="Normal"/>
    <w:link w:val="Style1Char"/>
    <w:qFormat/>
    <w:rsid w:val="00730E82"/>
    <w:pPr>
      <w:numPr>
        <w:ilvl w:val="1"/>
        <w:numId w:val="2"/>
      </w:numPr>
      <w:tabs>
        <w:tab w:val="left" w:pos="1134"/>
        <w:tab w:val="left" w:pos="1701"/>
        <w:tab w:val="left" w:pos="2268"/>
      </w:tabs>
      <w:spacing w:before="120" w:after="120"/>
      <w:jc w:val="both"/>
    </w:pPr>
    <w:rPr>
      <w:rFonts w:cs="Arial"/>
      <w:sz w:val="22"/>
      <w:szCs w:val="22"/>
    </w:rPr>
  </w:style>
  <w:style w:type="numbering" w:customStyle="1" w:styleId="Headingsubdecision">
    <w:name w:val="Heading sub decision"/>
    <w:uiPriority w:val="99"/>
    <w:rsid w:val="00730E82"/>
    <w:pPr>
      <w:numPr>
        <w:numId w:val="1"/>
      </w:numPr>
    </w:pPr>
  </w:style>
  <w:style w:type="character" w:customStyle="1" w:styleId="Style1Char">
    <w:name w:val="Style1 Char"/>
    <w:basedOn w:val="DefaultParagraphFont"/>
    <w:link w:val="Style1"/>
    <w:rsid w:val="000977C1"/>
    <w:rPr>
      <w:rFonts w:ascii="Arial" w:eastAsia="Times New Roman" w:hAnsi="Arial" w:cs="Arial"/>
      <w:sz w:val="22"/>
      <w:szCs w:val="22"/>
    </w:rPr>
  </w:style>
  <w:style w:type="paragraph" w:customStyle="1" w:styleId="NoSpacing1">
    <w:name w:val="No Spacing1"/>
    <w:rsid w:val="00F10319"/>
    <w:rPr>
      <w:sz w:val="22"/>
      <w:szCs w:val="22"/>
      <w:lang w:eastAsia="zh-CN" w:bidi="en-US"/>
    </w:rPr>
  </w:style>
  <w:style w:type="character" w:customStyle="1" w:styleId="NoSpacingChar">
    <w:name w:val="No Spacing Char"/>
    <w:basedOn w:val="DefaultParagraphFont"/>
    <w:link w:val="NoSpacing"/>
    <w:uiPriority w:val="1"/>
    <w:rsid w:val="00F10319"/>
    <w:rPr>
      <w:sz w:val="22"/>
      <w:szCs w:val="22"/>
      <w:lang w:eastAsia="zh-CN"/>
    </w:rPr>
  </w:style>
  <w:style w:type="character" w:customStyle="1" w:styleId="UnresolvedMention1">
    <w:name w:val="Unresolved Mention1"/>
    <w:basedOn w:val="DefaultParagraphFont"/>
    <w:uiPriority w:val="99"/>
    <w:semiHidden/>
    <w:unhideWhenUsed/>
    <w:rsid w:val="001961DF"/>
    <w:rPr>
      <w:color w:val="605E5C"/>
      <w:shd w:val="clear" w:color="auto" w:fill="E1DFDD"/>
    </w:rPr>
  </w:style>
  <w:style w:type="character" w:styleId="PageNumber">
    <w:name w:val="page number"/>
    <w:basedOn w:val="DefaultParagraphFont"/>
    <w:semiHidden/>
    <w:rsid w:val="00AF172C"/>
  </w:style>
  <w:style w:type="character" w:styleId="UnresolvedMention">
    <w:name w:val="Unresolved Mention"/>
    <w:basedOn w:val="DefaultParagraphFont"/>
    <w:uiPriority w:val="99"/>
    <w:semiHidden/>
    <w:unhideWhenUsed/>
    <w:rsid w:val="00AF172C"/>
    <w:rPr>
      <w:color w:val="605E5C"/>
      <w:shd w:val="clear" w:color="auto" w:fill="E1DFDD"/>
    </w:rPr>
  </w:style>
  <w:style w:type="character" w:styleId="FollowedHyperlink">
    <w:name w:val="FollowedHyperlink"/>
    <w:basedOn w:val="DefaultParagraphFont"/>
    <w:uiPriority w:val="99"/>
    <w:semiHidden/>
    <w:unhideWhenUsed/>
    <w:rsid w:val="00BC4A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221832">
      <w:bodyDiv w:val="1"/>
      <w:marLeft w:val="0"/>
      <w:marRight w:val="0"/>
      <w:marTop w:val="0"/>
      <w:marBottom w:val="0"/>
      <w:divBdr>
        <w:top w:val="none" w:sz="0" w:space="0" w:color="auto"/>
        <w:left w:val="none" w:sz="0" w:space="0" w:color="auto"/>
        <w:bottom w:val="none" w:sz="0" w:space="0" w:color="auto"/>
        <w:right w:val="none" w:sz="0" w:space="0" w:color="auto"/>
      </w:divBdr>
    </w:div>
    <w:div w:id="1634293357">
      <w:bodyDiv w:val="1"/>
      <w:marLeft w:val="0"/>
      <w:marRight w:val="0"/>
      <w:marTop w:val="0"/>
      <w:marBottom w:val="0"/>
      <w:divBdr>
        <w:top w:val="none" w:sz="0" w:space="0" w:color="auto"/>
        <w:left w:val="none" w:sz="0" w:space="0" w:color="auto"/>
        <w:bottom w:val="none" w:sz="0" w:space="0" w:color="auto"/>
        <w:right w:val="none" w:sz="0" w:space="0" w:color="auto"/>
      </w:divBdr>
      <w:divsChild>
        <w:div w:id="944115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LHE-20-15.COM-8-FR.docx"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Recommend_to_refer"/><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ch.unesco.org/fr/8d-demandes-dassistance-internationale-0114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ch.unesco.org/fr/8d-demandes-dassistance-internationale-01148"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3F59EB9CCF84F8AAC3A834DC83DB1D4"/>
        <w:category>
          <w:name w:val="General"/>
          <w:gallery w:val="placeholder"/>
        </w:category>
        <w:types>
          <w:type w:val="bbPlcHdr"/>
        </w:types>
        <w:behaviors>
          <w:behavior w:val="content"/>
        </w:behaviors>
        <w:guid w:val="{2A546201-82D6-4BBE-87D0-2ADAEC4128F4}"/>
      </w:docPartPr>
      <w:docPartBody>
        <w:p w:rsidR="00DF6BD5" w:rsidRDefault="00044A53" w:rsidP="00044A53">
          <w:pPr>
            <w:pStyle w:val="73F59EB9CCF84F8AAC3A834DC83DB1D4"/>
          </w:pPr>
          <w:r>
            <w:rPr>
              <w:color w:val="2F5496" w:themeColor="accent1" w:themeShade="BF"/>
              <w:sz w:val="24"/>
              <w:szCs w:val="24"/>
            </w:rPr>
            <w:t>[Nom de la société]</w:t>
          </w:r>
        </w:p>
      </w:docPartBody>
    </w:docPart>
    <w:docPart>
      <w:docPartPr>
        <w:name w:val="03F40005E45141508D094C00A16ADF01"/>
        <w:category>
          <w:name w:val="General"/>
          <w:gallery w:val="placeholder"/>
        </w:category>
        <w:types>
          <w:type w:val="bbPlcHdr"/>
        </w:types>
        <w:behaviors>
          <w:behavior w:val="content"/>
        </w:behaviors>
        <w:guid w:val="{82DC0D0D-4040-4E40-AB2B-35E5AFEA46FC}"/>
      </w:docPartPr>
      <w:docPartBody>
        <w:p w:rsidR="00DF6BD5" w:rsidRDefault="00044A53" w:rsidP="00044A53">
          <w:pPr>
            <w:pStyle w:val="03F40005E45141508D094C00A16ADF01"/>
          </w:pPr>
          <w:r>
            <w:rPr>
              <w:rFonts w:asciiTheme="majorHAnsi" w:eastAsiaTheme="majorEastAsia" w:hAnsiTheme="majorHAnsi" w:cstheme="majorBidi"/>
              <w:color w:val="4472C4" w:themeColor="accent1"/>
              <w:sz w:val="88"/>
              <w:szCs w:val="88"/>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A53"/>
    <w:rsid w:val="00044951"/>
    <w:rsid w:val="00044A53"/>
    <w:rsid w:val="003B34CC"/>
    <w:rsid w:val="004664D1"/>
    <w:rsid w:val="009340BB"/>
    <w:rsid w:val="00A72BC9"/>
    <w:rsid w:val="00DF6BD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F59EB9CCF84F8AAC3A834DC83DB1D4">
    <w:name w:val="73F59EB9CCF84F8AAC3A834DC83DB1D4"/>
    <w:rsid w:val="00044A53"/>
  </w:style>
  <w:style w:type="paragraph" w:customStyle="1" w:styleId="03F40005E45141508D094C00A16ADF01">
    <w:name w:val="03F40005E45141508D094C00A16ADF01"/>
    <w:rsid w:val="00044A53"/>
  </w:style>
  <w:style w:type="paragraph" w:customStyle="1" w:styleId="E75D4E981FC047B89A2A45945770EBD7">
    <w:name w:val="E75D4E981FC047B89A2A45945770EBD7"/>
    <w:rsid w:val="00044A53"/>
  </w:style>
  <w:style w:type="paragraph" w:customStyle="1" w:styleId="399DDF6583EF4497AA494401696EE2D2">
    <w:name w:val="399DDF6583EF4497AA494401696EE2D2"/>
    <w:rsid w:val="004664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250AD-333C-4CAD-A80A-0DF75FCB7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7</Pages>
  <Words>3163</Words>
  <Characters>17398</Characters>
  <Application>Microsoft Office Word</Application>
  <DocSecurity>0</DocSecurity>
  <Lines>144</Lines>
  <Paragraphs>41</Paragraphs>
  <ScaleCrop>false</ScaleCrop>
  <HeadingPairs>
    <vt:vector size="6" baseType="variant">
      <vt:variant>
        <vt:lpstr>Title</vt:lpstr>
      </vt:variant>
      <vt:variant>
        <vt:i4>1</vt:i4>
      </vt:variant>
      <vt:variant>
        <vt:lpstr>Názov</vt:lpstr>
      </vt:variant>
      <vt:variant>
        <vt:i4>1</vt:i4>
      </vt:variant>
      <vt:variant>
        <vt:lpstr>Titre</vt:lpstr>
      </vt:variant>
      <vt:variant>
        <vt:i4>1</vt:i4>
      </vt:variant>
    </vt:vector>
  </HeadingPairs>
  <TitlesOfParts>
    <vt:vector size="3" baseType="lpstr">
      <vt:lpstr>Examen des demandes d’assistance internationale</vt:lpstr>
      <vt:lpstr>Examination of requests for International Assistance</vt:lpstr>
      <vt:lpstr/>
    </vt:vector>
  </TitlesOfParts>
  <Company>POINT 8.D DE L’ORDRE DU JOUR PROVISOIRE</Company>
  <LinksUpToDate>false</LinksUpToDate>
  <CharactersWithSpaces>20520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Examen des demandes d’assistance internationale</dc:title>
  <dc:subject>Quinzième session, Comité intergouvernemental de sauvegarde du patrimoine culturel immatériel (En ligne, 14 – 19 décembre 2020)</dc:subject>
  <dc:creator>CLT/CEH/ITH - H. Sicard</dc:creator>
  <cp:lastModifiedBy>Nakata, Julien</cp:lastModifiedBy>
  <cp:revision>9</cp:revision>
  <cp:lastPrinted>2009-05-07T17:43:00Z</cp:lastPrinted>
  <dcterms:created xsi:type="dcterms:W3CDTF">2020-11-12T19:57:00Z</dcterms:created>
  <dcterms:modified xsi:type="dcterms:W3CDTF">2020-11-15T14:31:00Z</dcterms:modified>
</cp:coreProperties>
</file>