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72CA3" w14:textId="601542F8" w:rsidR="00655736" w:rsidRPr="001C3312" w:rsidRDefault="00655736" w:rsidP="00655736">
      <w:pPr>
        <w:spacing w:before="1440"/>
        <w:jc w:val="center"/>
        <w:rPr>
          <w:rFonts w:ascii="Arial" w:hAnsi="Arial" w:cs="Arial"/>
          <w:b/>
          <w:sz w:val="22"/>
          <w:szCs w:val="22"/>
          <w:lang w:val="es-ES"/>
        </w:rPr>
      </w:pPr>
      <w:r>
        <w:rPr>
          <w:rFonts w:ascii="Arial" w:hAnsi="Arial" w:cs="Arial"/>
          <w:b/>
          <w:bCs/>
          <w:sz w:val="22"/>
          <w:szCs w:val="22"/>
          <w:lang w:val="es"/>
        </w:rPr>
        <w:t>CONVENCIÓN PARA LA SALVAGUARDIA DEL</w:t>
      </w:r>
      <w:r>
        <w:rPr>
          <w:rFonts w:ascii="Arial" w:hAnsi="Arial" w:cs="Arial"/>
          <w:sz w:val="22"/>
          <w:szCs w:val="22"/>
          <w:lang w:val="es"/>
        </w:rPr>
        <w:br/>
      </w:r>
      <w:r>
        <w:rPr>
          <w:rFonts w:ascii="Arial" w:hAnsi="Arial" w:cs="Arial"/>
          <w:b/>
          <w:bCs/>
          <w:sz w:val="22"/>
          <w:szCs w:val="22"/>
          <w:lang w:val="es"/>
        </w:rPr>
        <w:t>PATRIMONIO CULTURAL INMATERIAL</w:t>
      </w:r>
    </w:p>
    <w:p w14:paraId="20B82F5A" w14:textId="77777777" w:rsidR="00655736" w:rsidRPr="001C3312" w:rsidRDefault="00D95C4C" w:rsidP="00655736">
      <w:pPr>
        <w:spacing w:before="1200"/>
        <w:jc w:val="center"/>
        <w:rPr>
          <w:rFonts w:ascii="Arial" w:hAnsi="Arial" w:cs="Arial"/>
          <w:b/>
          <w:sz w:val="22"/>
          <w:szCs w:val="22"/>
          <w:lang w:val="es-ES"/>
        </w:rPr>
      </w:pPr>
      <w:r>
        <w:rPr>
          <w:rFonts w:ascii="Arial" w:hAnsi="Arial" w:cs="Arial"/>
          <w:b/>
          <w:bCs/>
          <w:sz w:val="22"/>
          <w:szCs w:val="22"/>
          <w:lang w:val="es"/>
        </w:rPr>
        <w:t>ASAMBLEA GENERAL DE LOS ESTADOS PARTES EN LA CONVENCIÓN</w:t>
      </w:r>
    </w:p>
    <w:p w14:paraId="54FD43C5" w14:textId="77777777" w:rsidR="00D95C4C" w:rsidRPr="001C3312" w:rsidRDefault="006F41B4" w:rsidP="00D95C4C">
      <w:pPr>
        <w:spacing w:before="840"/>
        <w:jc w:val="center"/>
        <w:rPr>
          <w:rFonts w:ascii="Arial" w:hAnsi="Arial" w:cs="Arial"/>
          <w:b/>
          <w:sz w:val="22"/>
          <w:szCs w:val="22"/>
          <w:lang w:val="es-ES"/>
        </w:rPr>
      </w:pPr>
      <w:r>
        <w:rPr>
          <w:rFonts w:ascii="Arial" w:hAnsi="Arial" w:cs="Arial"/>
          <w:b/>
          <w:bCs/>
          <w:sz w:val="22"/>
          <w:szCs w:val="22"/>
          <w:lang w:val="es"/>
        </w:rPr>
        <w:t>Octava reunión</w:t>
      </w:r>
    </w:p>
    <w:p w14:paraId="131DBFA0" w14:textId="77777777" w:rsidR="00D95C4C" w:rsidRPr="001C3312" w:rsidRDefault="00D95C4C" w:rsidP="00D95C4C">
      <w:pPr>
        <w:jc w:val="center"/>
        <w:rPr>
          <w:rFonts w:ascii="Arial" w:hAnsi="Arial" w:cs="Arial"/>
          <w:b/>
          <w:sz w:val="22"/>
          <w:szCs w:val="22"/>
          <w:lang w:val="es-ES"/>
        </w:rPr>
      </w:pPr>
      <w:r>
        <w:rPr>
          <w:rFonts w:ascii="Arial" w:hAnsi="Arial" w:cs="Arial"/>
          <w:b/>
          <w:bCs/>
          <w:sz w:val="22"/>
          <w:szCs w:val="22"/>
          <w:lang w:val="es"/>
        </w:rPr>
        <w:t>Sede de la UNESCO, Sala I</w:t>
      </w:r>
    </w:p>
    <w:p w14:paraId="774D158B" w14:textId="77777777" w:rsidR="00655736" w:rsidRPr="001C3312" w:rsidRDefault="00D25762" w:rsidP="00D95C4C">
      <w:pPr>
        <w:jc w:val="center"/>
        <w:rPr>
          <w:rFonts w:ascii="Arial" w:hAnsi="Arial" w:cs="Arial"/>
          <w:b/>
          <w:sz w:val="22"/>
          <w:szCs w:val="22"/>
          <w:lang w:val="es-ES"/>
        </w:rPr>
      </w:pPr>
      <w:r>
        <w:rPr>
          <w:rFonts w:ascii="Arial" w:hAnsi="Arial" w:cs="Arial"/>
          <w:b/>
          <w:bCs/>
          <w:sz w:val="22"/>
          <w:szCs w:val="22"/>
          <w:lang w:val="es"/>
        </w:rPr>
        <w:t>8 al 10 de septiembre de 2020</w:t>
      </w:r>
    </w:p>
    <w:p w14:paraId="63406D14" w14:textId="506EF269" w:rsidR="00655736" w:rsidRPr="001C3312" w:rsidRDefault="00655736" w:rsidP="00316F60">
      <w:pPr>
        <w:pStyle w:val="Sansinterligne2"/>
        <w:spacing w:before="960"/>
        <w:jc w:val="center"/>
        <w:rPr>
          <w:rFonts w:ascii="Arial" w:hAnsi="Arial" w:cs="Arial"/>
          <w:b/>
          <w:sz w:val="22"/>
          <w:szCs w:val="22"/>
          <w:lang w:val="es-ES"/>
        </w:rPr>
      </w:pPr>
      <w:r>
        <w:rPr>
          <w:rFonts w:ascii="Arial" w:hAnsi="Arial" w:cs="Arial"/>
          <w:b/>
          <w:bCs/>
          <w:sz w:val="22"/>
          <w:szCs w:val="22"/>
          <w:u w:val="single"/>
          <w:lang w:val="es"/>
        </w:rPr>
        <w:t>Punto 15 del orden del día provisional:</w:t>
      </w:r>
    </w:p>
    <w:p w14:paraId="39A59493" w14:textId="10B711D3" w:rsidR="002F312A" w:rsidRPr="001C3312" w:rsidRDefault="00817F87" w:rsidP="00316F60">
      <w:pPr>
        <w:pStyle w:val="Sansinterligne2"/>
        <w:spacing w:after="960"/>
        <w:jc w:val="center"/>
        <w:rPr>
          <w:rFonts w:ascii="Arial" w:hAnsi="Arial" w:cs="Arial"/>
          <w:b/>
          <w:sz w:val="22"/>
          <w:szCs w:val="22"/>
          <w:lang w:val="es-ES"/>
        </w:rPr>
      </w:pPr>
      <w:r>
        <w:rPr>
          <w:rFonts w:ascii="Arial" w:hAnsi="Arial" w:cs="Arial"/>
          <w:b/>
          <w:bCs/>
          <w:sz w:val="22"/>
          <w:szCs w:val="22"/>
          <w:lang w:val="es"/>
        </w:rPr>
        <w:t xml:space="preserve">Seguimiento de las recomendaciones del grupo de trabajo de composición abierta </w:t>
      </w:r>
      <w:r>
        <w:rPr>
          <w:rFonts w:ascii="Arial" w:hAnsi="Arial" w:cs="Arial"/>
          <w:sz w:val="22"/>
          <w:szCs w:val="22"/>
          <w:lang w:val="es"/>
        </w:rPr>
        <w:br/>
      </w:r>
      <w:r>
        <w:rPr>
          <w:rFonts w:ascii="Arial" w:hAnsi="Arial" w:cs="Arial"/>
          <w:b/>
          <w:bCs/>
          <w:sz w:val="22"/>
          <w:szCs w:val="22"/>
          <w:lang w:val="es"/>
        </w:rPr>
        <w:t xml:space="preserve">sobre la gobernanza, los procedimientos y los métodos de trabajo de la UNESCO </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CF60FD" w14:paraId="74EEAB66" w14:textId="77777777" w:rsidTr="002F312A">
        <w:trPr>
          <w:jc w:val="center"/>
        </w:trPr>
        <w:tc>
          <w:tcPr>
            <w:tcW w:w="5670" w:type="dxa"/>
            <w:vAlign w:val="center"/>
          </w:tcPr>
          <w:p w14:paraId="20418BFE" w14:textId="39D6A3CB" w:rsidR="0057439C" w:rsidRPr="001C3312" w:rsidRDefault="0057439C" w:rsidP="005B7A35">
            <w:pPr>
              <w:pStyle w:val="Sansinterligne1"/>
              <w:spacing w:before="200" w:after="200"/>
              <w:jc w:val="center"/>
              <w:rPr>
                <w:rFonts w:ascii="Arial" w:hAnsi="Arial" w:cs="Arial"/>
                <w:b/>
                <w:sz w:val="22"/>
                <w:szCs w:val="22"/>
                <w:lang w:val="es-ES"/>
              </w:rPr>
            </w:pPr>
            <w:r>
              <w:rPr>
                <w:rFonts w:ascii="Arial" w:hAnsi="Arial" w:cs="Arial"/>
                <w:b/>
                <w:bCs/>
                <w:sz w:val="22"/>
                <w:szCs w:val="22"/>
                <w:lang w:val="es"/>
              </w:rPr>
              <w:t>Resumen</w:t>
            </w:r>
          </w:p>
          <w:p w14:paraId="7A5676D0" w14:textId="3EA537BC" w:rsidR="00D743BB" w:rsidRPr="001C3312" w:rsidRDefault="00D743BB" w:rsidP="00D743BB">
            <w:pPr>
              <w:pStyle w:val="Sansinterligne1"/>
              <w:spacing w:before="200" w:after="200"/>
              <w:jc w:val="both"/>
              <w:rPr>
                <w:rFonts w:ascii="Arial" w:hAnsi="Arial" w:cs="Arial"/>
                <w:b/>
                <w:sz w:val="22"/>
                <w:szCs w:val="22"/>
                <w:lang w:val="es-ES"/>
              </w:rPr>
            </w:pPr>
            <w:r>
              <w:rPr>
                <w:rFonts w:ascii="Arial" w:hAnsi="Arial" w:cs="Arial"/>
                <w:lang w:val="es"/>
              </w:rPr>
              <w:t xml:space="preserve">En la séptima reunión de la Asamblea General de los Estados Partes en la Convención de 2003 se pidió que se inscribiera en el orden del día de la presente reunión de la Asamblea General un punto para tratar dos cuestiones interrelacionadas relativas a la gobernanza, los procedimientos y los métodos de trabajo de la Convención de 2003. En el presente documento se proporciona información sobre los progresos realizados a este respecto con una propuesta de </w:t>
            </w:r>
            <w:r w:rsidR="00444BC5">
              <w:rPr>
                <w:rFonts w:ascii="Arial" w:hAnsi="Arial" w:cs="Arial"/>
                <w:lang w:val="es"/>
              </w:rPr>
              <w:t>procedimiento</w:t>
            </w:r>
            <w:r>
              <w:rPr>
                <w:rFonts w:ascii="Arial" w:hAnsi="Arial" w:cs="Arial"/>
                <w:lang w:val="es"/>
              </w:rPr>
              <w:t xml:space="preserve"> a seguir.</w:t>
            </w:r>
          </w:p>
          <w:p w14:paraId="0DA458C8" w14:textId="7415F80B" w:rsidR="00655736" w:rsidRPr="00414643" w:rsidRDefault="00FB6630" w:rsidP="004251C4">
            <w:pPr>
              <w:pStyle w:val="Sansinterligne2"/>
              <w:spacing w:after="120"/>
              <w:jc w:val="both"/>
              <w:rPr>
                <w:rFonts w:ascii="Arial" w:hAnsi="Arial" w:cs="Arial"/>
                <w:b/>
                <w:sz w:val="22"/>
                <w:szCs w:val="22"/>
              </w:rPr>
            </w:pPr>
            <w:r>
              <w:rPr>
                <w:rFonts w:ascii="Arial" w:hAnsi="Arial" w:cs="Arial"/>
                <w:b/>
                <w:bCs/>
                <w:sz w:val="22"/>
                <w:szCs w:val="22"/>
                <w:lang w:val="es"/>
              </w:rPr>
              <w:t xml:space="preserve">Decisión requerida: </w:t>
            </w:r>
            <w:r>
              <w:rPr>
                <w:rFonts w:ascii="Arial" w:hAnsi="Arial" w:cs="Arial"/>
                <w:sz w:val="22"/>
                <w:szCs w:val="22"/>
                <w:lang w:val="es"/>
              </w:rPr>
              <w:t xml:space="preserve">párrafo </w:t>
            </w:r>
            <w:r w:rsidR="004251C4">
              <w:rPr>
                <w:rFonts w:ascii="Arial" w:hAnsi="Arial" w:cs="Arial"/>
                <w:sz w:val="22"/>
                <w:szCs w:val="22"/>
                <w:lang w:val="es"/>
              </w:rPr>
              <w:t>12</w:t>
            </w:r>
          </w:p>
        </w:tc>
      </w:tr>
    </w:tbl>
    <w:p w14:paraId="3C6CA50A" w14:textId="4EEBC8E3" w:rsidR="00FC78E8" w:rsidRPr="001C3312" w:rsidRDefault="00FC78E8" w:rsidP="00113B1A">
      <w:pPr>
        <w:pStyle w:val="GAPara"/>
        <w:pageBreakBefore/>
        <w:numPr>
          <w:ilvl w:val="0"/>
          <w:numId w:val="19"/>
        </w:numPr>
        <w:ind w:left="567" w:hanging="567"/>
        <w:jc w:val="both"/>
        <w:rPr>
          <w:lang w:val="es-ES"/>
        </w:rPr>
      </w:pPr>
      <w:r>
        <w:rPr>
          <w:lang w:val="es"/>
        </w:rPr>
        <w:lastRenderedPageBreak/>
        <w:t>En la séptima reunión de la Asamblea General de los Estados Partes en la Convención de 2003 se pidió que se inscribiera en el orden del día de la presente reunión de la Asamblea General un punto para tratar dos cuestiones interrelacionadas relativas a la gobernanza, los procedimientos y los métodos de trabajo de la Convención de 2003:</w:t>
      </w:r>
    </w:p>
    <w:p w14:paraId="13C7B456" w14:textId="7F03F77C" w:rsidR="00F8791F" w:rsidRPr="001C3312" w:rsidRDefault="00F8791F" w:rsidP="00F8791F">
      <w:pPr>
        <w:pStyle w:val="Marge"/>
        <w:numPr>
          <w:ilvl w:val="1"/>
          <w:numId w:val="19"/>
        </w:numPr>
        <w:rPr>
          <w:lang w:val="es-ES"/>
        </w:rPr>
      </w:pPr>
      <w:r>
        <w:rPr>
          <w:rFonts w:cs="Arial"/>
          <w:lang w:val="es"/>
        </w:rPr>
        <w:t>Seguimiento de la aplicación de las recomendaciones pertinentes del grupo de trabajo de composición abierta sobre la gobernanza, los procedimientos y los métodos de trabajo de los órganos rectores de la UNESCO, incluida la propuesta de proyectos de enmienda al Reglamento de la Asamblea General (</w:t>
      </w:r>
      <w:hyperlink r:id="rId8" w:history="1">
        <w:r>
          <w:rPr>
            <w:rStyle w:val="Lienhypertexte"/>
            <w:rFonts w:cs="Arial"/>
            <w:lang w:val="es"/>
          </w:rPr>
          <w:t>Resolución</w:t>
        </w:r>
        <w:r w:rsidR="004251C4">
          <w:rPr>
            <w:rStyle w:val="Lienhypertexte"/>
            <w:rFonts w:cs="Arial"/>
            <w:lang w:val="es"/>
          </w:rPr>
          <w:t> </w:t>
        </w:r>
        <w:r>
          <w:rPr>
            <w:rStyle w:val="Lienhypertexte"/>
            <w:rFonts w:cs="Arial"/>
            <w:lang w:val="es"/>
          </w:rPr>
          <w:t>7.GA</w:t>
        </w:r>
        <w:r w:rsidR="004251C4">
          <w:rPr>
            <w:rStyle w:val="Lienhypertexte"/>
            <w:rFonts w:cs="Arial"/>
            <w:lang w:val="es"/>
          </w:rPr>
          <w:t> </w:t>
        </w:r>
        <w:r>
          <w:rPr>
            <w:rStyle w:val="Lienhypertexte"/>
            <w:rFonts w:cs="Arial"/>
            <w:lang w:val="es"/>
          </w:rPr>
          <w:t>12</w:t>
        </w:r>
      </w:hyperlink>
      <w:r>
        <w:rPr>
          <w:rFonts w:cs="Arial"/>
          <w:lang w:val="es"/>
        </w:rPr>
        <w:t>),</w:t>
      </w:r>
    </w:p>
    <w:p w14:paraId="2F0443CF" w14:textId="7B70AE8A" w:rsidR="00E94D04" w:rsidRPr="001C3312" w:rsidRDefault="00E94D04" w:rsidP="00FC78E8">
      <w:pPr>
        <w:pStyle w:val="Marge"/>
        <w:numPr>
          <w:ilvl w:val="1"/>
          <w:numId w:val="19"/>
        </w:numPr>
        <w:rPr>
          <w:lang w:val="es-ES"/>
        </w:rPr>
      </w:pPr>
      <w:r>
        <w:rPr>
          <w:rFonts w:cs="Arial"/>
          <w:lang w:val="es"/>
        </w:rPr>
        <w:t>Armonización de los reglamentos de las seis convenciones sobre cultura (</w:t>
      </w:r>
      <w:hyperlink r:id="rId9" w:history="1">
        <w:r>
          <w:rPr>
            <w:rStyle w:val="Lienhypertexte"/>
            <w:lang w:val="es"/>
          </w:rPr>
          <w:t>Resolución 7.GA 13</w:t>
        </w:r>
      </w:hyperlink>
      <w:r>
        <w:rPr>
          <w:rStyle w:val="Lienhypertexte"/>
          <w:lang w:val="es"/>
        </w:rPr>
        <w:t>).</w:t>
      </w:r>
    </w:p>
    <w:p w14:paraId="7E8B00FC" w14:textId="039C2114" w:rsidR="0021539E" w:rsidRPr="001C3312" w:rsidRDefault="0021539E" w:rsidP="0021539E">
      <w:pPr>
        <w:pStyle w:val="GAPara"/>
        <w:numPr>
          <w:ilvl w:val="0"/>
          <w:numId w:val="19"/>
        </w:numPr>
        <w:ind w:left="567" w:hanging="567"/>
        <w:jc w:val="both"/>
        <w:rPr>
          <w:rStyle w:val="Lienhypertexte"/>
          <w:snapToGrid/>
          <w:color w:val="auto"/>
          <w:u w:val="none"/>
          <w:lang w:val="es-ES"/>
        </w:rPr>
      </w:pPr>
      <w:r>
        <w:rPr>
          <w:lang w:val="es"/>
        </w:rPr>
        <w:t xml:space="preserve">En su trigésimo octava reunión, celebrada en 2015 </w:t>
      </w:r>
      <w:r>
        <w:rPr>
          <w:snapToGrid/>
          <w:lang w:val="es"/>
        </w:rPr>
        <w:t>(</w:t>
      </w:r>
      <w:hyperlink r:id="rId10" w:history="1">
        <w:r>
          <w:rPr>
            <w:rStyle w:val="Lienhypertexte"/>
            <w:lang w:val="es"/>
          </w:rPr>
          <w:t>38C/Resolución 101</w:t>
        </w:r>
      </w:hyperlink>
      <w:r>
        <w:rPr>
          <w:rStyle w:val="Lienhypertexte"/>
          <w:lang w:val="es"/>
        </w:rPr>
        <w:t>;</w:t>
      </w:r>
      <w:r>
        <w:rPr>
          <w:rStyle w:val="Lienhypertexte"/>
          <w:color w:val="auto"/>
          <w:u w:val="none"/>
          <w:lang w:val="es"/>
        </w:rPr>
        <w:t xml:space="preserve"> documento 38 C/23)</w:t>
      </w:r>
      <w:r>
        <w:rPr>
          <w:lang w:val="es"/>
        </w:rPr>
        <w:t xml:space="preserve">, la Conferencia General de la UNESCO invitó a todos los programas intergubernamentales, comités y órganos de las Convenciones a examinar el seguimiento de las recomendaciones del informe del Auditor Externo para mejorar su gobernanza mediante medidas concretas. </w:t>
      </w:r>
      <w:r>
        <w:rPr>
          <w:snapToGrid/>
          <w:lang w:val="es"/>
        </w:rPr>
        <w:t xml:space="preserve">Al mismo tiempo, en la misma reunión de la Conferencia General se estableció también un Grupo de Trabajo de composición abierta sobre la gobernanza, </w:t>
      </w:r>
      <w:r>
        <w:rPr>
          <w:lang w:val="es"/>
        </w:rPr>
        <w:t>los procedimientos</w:t>
      </w:r>
      <w:r>
        <w:rPr>
          <w:snapToGrid/>
          <w:lang w:val="es"/>
        </w:rPr>
        <w:t xml:space="preserve"> y los métodos de trabajo de los órganos rectores de la UNESCO, con el objetivo de lograr una mayor sinergia, armonización, eficiencia e impacto</w:t>
      </w:r>
      <w:r>
        <w:rPr>
          <w:rStyle w:val="Lienhypertexte"/>
          <w:color w:val="auto"/>
          <w:u w:val="none"/>
          <w:lang w:val="es"/>
        </w:rPr>
        <w:t>.</w:t>
      </w:r>
    </w:p>
    <w:p w14:paraId="309C2E1A" w14:textId="68D9F5CA" w:rsidR="00582029" w:rsidRPr="001C3312" w:rsidRDefault="00960DD0" w:rsidP="00582029">
      <w:pPr>
        <w:pStyle w:val="GAPara"/>
        <w:numPr>
          <w:ilvl w:val="0"/>
          <w:numId w:val="19"/>
        </w:numPr>
        <w:ind w:left="567" w:hanging="567"/>
        <w:jc w:val="both"/>
        <w:rPr>
          <w:snapToGrid/>
          <w:lang w:val="es-ES"/>
        </w:rPr>
      </w:pPr>
      <w:r>
        <w:rPr>
          <w:lang w:val="es"/>
        </w:rPr>
        <w:t xml:space="preserve">Observando la disparidad de los reglamentos de los distintos órganos </w:t>
      </w:r>
      <w:r w:rsidR="00C760D2">
        <w:rPr>
          <w:lang w:val="es"/>
        </w:rPr>
        <w:t xml:space="preserve">rectores </w:t>
      </w:r>
      <w:r>
        <w:rPr>
          <w:lang w:val="es"/>
        </w:rPr>
        <w:t xml:space="preserve">de las convenciones de la UNESCO sobre cultura y de conformidad con las recomendaciones del Auditor Externo, </w:t>
      </w:r>
      <w:r>
        <w:rPr>
          <w:color w:val="000000" w:themeColor="text1"/>
          <w:lang w:val="es"/>
        </w:rPr>
        <w:t xml:space="preserve">la Asamblea General, en su sexta reunión de 2016, invitó a </w:t>
      </w:r>
      <w:r w:rsidR="001C3312">
        <w:rPr>
          <w:color w:val="000000" w:themeColor="text1"/>
          <w:lang w:val="es"/>
        </w:rPr>
        <w:t>los Estados Partes a presentar «</w:t>
      </w:r>
      <w:r>
        <w:rPr>
          <w:color w:val="000000" w:themeColor="text1"/>
          <w:lang w:val="es"/>
        </w:rPr>
        <w:t xml:space="preserve">propuestas de </w:t>
      </w:r>
      <w:r w:rsidR="001C3312">
        <w:rPr>
          <w:lang w:val="es"/>
        </w:rPr>
        <w:t>modificación de su Reglamento»</w:t>
      </w:r>
      <w:r>
        <w:rPr>
          <w:lang w:val="es"/>
        </w:rPr>
        <w:t xml:space="preserve"> (</w:t>
      </w:r>
      <w:hyperlink r:id="rId11" w:history="1">
        <w:r>
          <w:rPr>
            <w:rStyle w:val="Lienhypertexte"/>
            <w:lang w:val="es"/>
          </w:rPr>
          <w:t>Resolución 6.GA 11</w:t>
        </w:r>
      </w:hyperlink>
      <w:r>
        <w:rPr>
          <w:lang w:val="es"/>
        </w:rPr>
        <w:t xml:space="preserve">) para mejorar la coherencia entre las seis convenciones de la UNESCO en materia de cultura. </w:t>
      </w:r>
    </w:p>
    <w:p w14:paraId="7F9D2D56" w14:textId="563A42FC" w:rsidR="00582029" w:rsidRPr="001C3312" w:rsidRDefault="00582029" w:rsidP="00582029">
      <w:pPr>
        <w:pStyle w:val="GAPara"/>
        <w:numPr>
          <w:ilvl w:val="0"/>
          <w:numId w:val="19"/>
        </w:numPr>
        <w:ind w:left="567" w:hanging="567"/>
        <w:jc w:val="both"/>
        <w:rPr>
          <w:snapToGrid/>
          <w:lang w:val="es-ES"/>
        </w:rPr>
      </w:pPr>
      <w:r>
        <w:rPr>
          <w:lang w:val="es"/>
        </w:rPr>
        <w:t>En su trigésimo novena reunión, celebrada en 2017, la Conferencia General examinó el informe del Grupo de Trabajo de composición abierta (</w:t>
      </w:r>
      <w:hyperlink r:id="rId12" w:history="1">
        <w:r>
          <w:rPr>
            <w:rStyle w:val="Lienhypertexte"/>
            <w:lang w:val="es"/>
          </w:rPr>
          <w:t>documento 39 C/20</w:t>
        </w:r>
      </w:hyperlink>
      <w:r>
        <w:rPr>
          <w:lang w:val="es"/>
        </w:rPr>
        <w:t>) y en su 39 C/Resolución 87 hizo suyas las recomendaciones del Grupo, modificadas por la Comisión APX</w:t>
      </w:r>
      <w:r>
        <w:rPr>
          <w:rStyle w:val="Appelnotedebasdep"/>
          <w:lang w:val="es"/>
        </w:rPr>
        <w:footnoteReference w:id="1"/>
      </w:r>
      <w:r>
        <w:rPr>
          <w:lang w:val="es"/>
        </w:rPr>
        <w:t xml:space="preserve"> en el </w:t>
      </w:r>
      <w:hyperlink r:id="rId13" w:history="1">
        <w:r>
          <w:rPr>
            <w:rStyle w:val="Lienhypertexte"/>
            <w:lang w:val="es"/>
          </w:rPr>
          <w:t>documento 39 C/70</w:t>
        </w:r>
      </w:hyperlink>
      <w:r>
        <w:rPr>
          <w:lang w:val="es"/>
        </w:rPr>
        <w:t>. Además, en la misma resolución, la Conferencia General invitó al Comité Ejecutivo, a</w:t>
      </w:r>
      <w:r w:rsidR="008022F0">
        <w:rPr>
          <w:lang w:val="es"/>
        </w:rPr>
        <w:t xml:space="preserve"> </w:t>
      </w:r>
      <w:r>
        <w:rPr>
          <w:lang w:val="es"/>
        </w:rPr>
        <w:t>l</w:t>
      </w:r>
      <w:r w:rsidR="008022F0">
        <w:rPr>
          <w:lang w:val="es"/>
        </w:rPr>
        <w:t>a</w:t>
      </w:r>
      <w:r>
        <w:rPr>
          <w:lang w:val="es"/>
        </w:rPr>
        <w:t xml:space="preserve"> Director</w:t>
      </w:r>
      <w:r w:rsidR="008022F0">
        <w:rPr>
          <w:lang w:val="es"/>
        </w:rPr>
        <w:t>a</w:t>
      </w:r>
      <w:r>
        <w:rPr>
          <w:lang w:val="es"/>
        </w:rPr>
        <w:t xml:space="preserve"> General y a los órganos rectores de los diferentes órganos examinados por el Grupo de Trabajo de composición abierta sobre gobernanza a que aplicaran, según procediera, las recomendaciones refrendadas. El examen del Comité en su doceava reunión se limitó a las recomendaciones del Grupo de Trabajo de composición abierta que mencionan específicamente la Convención de 2003 (</w:t>
      </w:r>
      <w:hyperlink r:id="rId14" w:history="1">
        <w:r>
          <w:rPr>
            <w:rStyle w:val="Lienhypertexte"/>
            <w:lang w:val="es"/>
          </w:rPr>
          <w:t>documento</w:t>
        </w:r>
        <w:r w:rsidR="004251C4">
          <w:rPr>
            <w:rStyle w:val="Lienhypertexte"/>
            <w:lang w:val="es"/>
          </w:rPr>
          <w:t> </w:t>
        </w:r>
        <w:r>
          <w:rPr>
            <w:rStyle w:val="Lienhypertexte"/>
            <w:lang w:val="es"/>
          </w:rPr>
          <w:t>ITH/17/12.COM/16</w:t>
        </w:r>
      </w:hyperlink>
      <w:r>
        <w:rPr>
          <w:lang w:val="es"/>
        </w:rPr>
        <w:t xml:space="preserve">; </w:t>
      </w:r>
      <w:hyperlink r:id="rId15" w:history="1">
        <w:r>
          <w:rPr>
            <w:rStyle w:val="Lienhypertexte"/>
            <w:lang w:val="es"/>
          </w:rPr>
          <w:t>decisión 12.COM 16</w:t>
        </w:r>
      </w:hyperlink>
      <w:r>
        <w:rPr>
          <w:lang w:val="es"/>
        </w:rPr>
        <w:t>).</w:t>
      </w:r>
    </w:p>
    <w:p w14:paraId="482E9F35" w14:textId="0723B8A6" w:rsidR="003F7B9D" w:rsidRPr="001C3312" w:rsidRDefault="00754192" w:rsidP="00D64233">
      <w:pPr>
        <w:pStyle w:val="GAPara"/>
        <w:numPr>
          <w:ilvl w:val="0"/>
          <w:numId w:val="19"/>
        </w:numPr>
        <w:ind w:left="567" w:hanging="567"/>
        <w:jc w:val="both"/>
        <w:rPr>
          <w:snapToGrid/>
          <w:lang w:val="es-ES"/>
        </w:rPr>
      </w:pPr>
      <w:r>
        <w:rPr>
          <w:lang w:val="es"/>
        </w:rPr>
        <w:t>Posteriormente, e</w:t>
      </w:r>
      <w:r w:rsidR="00D64233">
        <w:rPr>
          <w:lang w:val="es"/>
        </w:rPr>
        <w:t>n la séptima reunión de la Asamblea General, celebrada en 2018, se examinaron al mismo tiempo dos puntos distintos relacionados con el seguimiento de la</w:t>
      </w:r>
      <w:r w:rsidR="00AB1FFD">
        <w:rPr>
          <w:lang w:val="es"/>
        </w:rPr>
        <w:t>s</w:t>
      </w:r>
      <w:r w:rsidR="00D64233">
        <w:rPr>
          <w:lang w:val="es"/>
        </w:rPr>
        <w:t xml:space="preserve"> recomendaci</w:t>
      </w:r>
      <w:r w:rsidR="00AB1FFD">
        <w:rPr>
          <w:lang w:val="es"/>
        </w:rPr>
        <w:t>o</w:t>
      </w:r>
      <w:r w:rsidR="00D64233">
        <w:rPr>
          <w:lang w:val="es"/>
        </w:rPr>
        <w:t>n</w:t>
      </w:r>
      <w:r w:rsidR="00AB1FFD">
        <w:rPr>
          <w:lang w:val="es"/>
        </w:rPr>
        <w:t>es</w:t>
      </w:r>
      <w:r w:rsidR="00D64233">
        <w:rPr>
          <w:lang w:val="es"/>
        </w:rPr>
        <w:t xml:space="preserve"> del Grupo de Trabajo de composición abierta y </w:t>
      </w:r>
      <w:r>
        <w:rPr>
          <w:lang w:val="es"/>
        </w:rPr>
        <w:t xml:space="preserve">con </w:t>
      </w:r>
      <w:r w:rsidR="00D64233">
        <w:rPr>
          <w:lang w:val="es"/>
        </w:rPr>
        <w:t xml:space="preserve">la revisión del Reglamento de la Asamblea General. Ello </w:t>
      </w:r>
      <w:r>
        <w:rPr>
          <w:lang w:val="es"/>
        </w:rPr>
        <w:t xml:space="preserve">en </w:t>
      </w:r>
      <w:r w:rsidR="00AB1FFD">
        <w:rPr>
          <w:lang w:val="es"/>
        </w:rPr>
        <w:t>con</w:t>
      </w:r>
      <w:r>
        <w:rPr>
          <w:lang w:val="es"/>
        </w:rPr>
        <w:t>sonancia con</w:t>
      </w:r>
      <w:r w:rsidR="00D64233">
        <w:rPr>
          <w:lang w:val="es"/>
        </w:rPr>
        <w:t xml:space="preserve"> las recomendaciones del Grupo de Trabajo de composición abierta </w:t>
      </w:r>
      <w:r w:rsidR="00AB1FFD">
        <w:rPr>
          <w:lang w:val="es"/>
        </w:rPr>
        <w:t xml:space="preserve">que </w:t>
      </w:r>
      <w:r w:rsidR="00D64233">
        <w:rPr>
          <w:lang w:val="es"/>
        </w:rPr>
        <w:t>pedía</w:t>
      </w:r>
      <w:r w:rsidR="00AB1FFD">
        <w:rPr>
          <w:lang w:val="es"/>
        </w:rPr>
        <w:t>n</w:t>
      </w:r>
      <w:r w:rsidR="00D64233">
        <w:rPr>
          <w:lang w:val="es"/>
        </w:rPr>
        <w:t xml:space="preserve"> la armonización de las normas y procedimientos de los órganos internacionales e intergubernamentales de la UNESCO, </w:t>
      </w:r>
      <w:r>
        <w:rPr>
          <w:lang w:val="es"/>
        </w:rPr>
        <w:t xml:space="preserve">y además con </w:t>
      </w:r>
      <w:r w:rsidR="00FA6F30">
        <w:rPr>
          <w:lang w:val="es"/>
        </w:rPr>
        <w:t>aquellas</w:t>
      </w:r>
      <w:r>
        <w:rPr>
          <w:lang w:val="es"/>
        </w:rPr>
        <w:t xml:space="preserve"> d</w:t>
      </w:r>
      <w:r w:rsidR="00D64233">
        <w:rPr>
          <w:lang w:val="es"/>
        </w:rPr>
        <w:t>el informe del Auditor Externo:</w:t>
      </w:r>
    </w:p>
    <w:p w14:paraId="6A12466B" w14:textId="006F7E97" w:rsidR="00D64233" w:rsidRPr="001C3312" w:rsidRDefault="004B048B" w:rsidP="00CF60FD">
      <w:pPr>
        <w:pStyle w:val="GAPara"/>
        <w:numPr>
          <w:ilvl w:val="0"/>
          <w:numId w:val="40"/>
        </w:numPr>
        <w:jc w:val="both"/>
        <w:rPr>
          <w:snapToGrid/>
          <w:lang w:val="es-ES"/>
        </w:rPr>
      </w:pPr>
      <w:r>
        <w:rPr>
          <w:lang w:val="es"/>
        </w:rPr>
        <w:t>La Asamblea tomó nota de las propuestas presentadas por seis Estados Partes (</w:t>
      </w:r>
      <w:hyperlink r:id="rId16" w:history="1">
        <w:r>
          <w:rPr>
            <w:rStyle w:val="Lienhypertexte"/>
            <w:lang w:val="es"/>
          </w:rPr>
          <w:t>documento ITH/18/7.GA/13</w:t>
        </w:r>
      </w:hyperlink>
      <w:r>
        <w:rPr>
          <w:lang w:val="es"/>
        </w:rPr>
        <w:t xml:space="preserve">) y pidió a la Secretaría, entre otras cuestiones, que preparara un conjunto consolidado de proyectos de enmienda para su examen en la </w:t>
      </w:r>
      <w:bookmarkStart w:id="0" w:name="_GoBack"/>
      <w:r>
        <w:rPr>
          <w:lang w:val="es"/>
        </w:rPr>
        <w:t>presente reunión de la Asamblea General (</w:t>
      </w:r>
      <w:hyperlink r:id="rId17" w:history="1">
        <w:r>
          <w:rPr>
            <w:rStyle w:val="Lienhypertexte"/>
            <w:lang w:val="es"/>
          </w:rPr>
          <w:t>Resolución 7.GA 13</w:t>
        </w:r>
      </w:hyperlink>
      <w:r>
        <w:rPr>
          <w:lang w:val="es"/>
        </w:rPr>
        <w:t>). Al mismo tiemp</w:t>
      </w:r>
      <w:r w:rsidR="003340BE">
        <w:rPr>
          <w:lang w:val="es"/>
        </w:rPr>
        <w:t xml:space="preserve">o, la </w:t>
      </w:r>
      <w:bookmarkEnd w:id="0"/>
      <w:r w:rsidR="003340BE">
        <w:rPr>
          <w:lang w:val="es"/>
        </w:rPr>
        <w:t>Asamblea General destacó «</w:t>
      </w:r>
      <w:r>
        <w:rPr>
          <w:lang w:val="es"/>
        </w:rPr>
        <w:t>el papel c</w:t>
      </w:r>
      <w:r w:rsidR="003340BE">
        <w:rPr>
          <w:lang w:val="es"/>
        </w:rPr>
        <w:t>rucial del sector de la cultura»</w:t>
      </w:r>
      <w:r>
        <w:rPr>
          <w:lang w:val="es"/>
        </w:rPr>
        <w:t xml:space="preserve"> e</w:t>
      </w:r>
      <w:r w:rsidR="003340BE">
        <w:rPr>
          <w:lang w:val="es"/>
        </w:rPr>
        <w:t xml:space="preserve">n la </w:t>
      </w:r>
      <w:r w:rsidR="007603E9">
        <w:rPr>
          <w:lang w:val="es"/>
        </w:rPr>
        <w:t xml:space="preserve">preparación </w:t>
      </w:r>
      <w:r w:rsidR="003340BE">
        <w:rPr>
          <w:lang w:val="es"/>
        </w:rPr>
        <w:t>de una matriz «</w:t>
      </w:r>
      <w:r>
        <w:rPr>
          <w:lang w:val="es"/>
        </w:rPr>
        <w:t>que contiene las enmiendas consolidadas de los reglame</w:t>
      </w:r>
      <w:r w:rsidR="003340BE">
        <w:rPr>
          <w:lang w:val="es"/>
        </w:rPr>
        <w:t>ntos de los órganos mencionados»</w:t>
      </w:r>
      <w:r>
        <w:rPr>
          <w:lang w:val="es"/>
        </w:rPr>
        <w:t>.</w:t>
      </w:r>
    </w:p>
    <w:p w14:paraId="6CCB036B" w14:textId="4C3D31A7" w:rsidR="0021539E" w:rsidRPr="001C3312" w:rsidRDefault="001B5301" w:rsidP="00CF60FD">
      <w:pPr>
        <w:pStyle w:val="GAPara"/>
        <w:numPr>
          <w:ilvl w:val="0"/>
          <w:numId w:val="40"/>
        </w:numPr>
        <w:jc w:val="both"/>
        <w:rPr>
          <w:lang w:val="es-ES"/>
        </w:rPr>
      </w:pPr>
      <w:r>
        <w:rPr>
          <w:lang w:val="es"/>
        </w:rPr>
        <w:lastRenderedPageBreak/>
        <w:t>Al mismo tiempo, en la séptima reunión de la Asamblea también se examinó la situación de cada una de las recomendaciones del Grupo de Trabajo de composición abierta sobre la gobernanza, los procedimientos y los métodos de trabajo de la UNESCO (</w:t>
      </w:r>
      <w:hyperlink r:id="rId18" w:history="1">
        <w:r>
          <w:rPr>
            <w:rStyle w:val="Lienhypertexte"/>
            <w:lang w:val="es"/>
          </w:rPr>
          <w:t>documento ITH/18/7.GA/12</w:t>
        </w:r>
      </w:hyperlink>
      <w:r>
        <w:rPr>
          <w:lang w:val="es"/>
        </w:rPr>
        <w:t>) y pidió que la Secretaría, entre otras cuestiones, propusiera proyectos de enmienda al Reglamento de la Asamblea General (</w:t>
      </w:r>
      <w:hyperlink r:id="rId19" w:history="1">
        <w:r>
          <w:rPr>
            <w:rStyle w:val="Lienhypertexte"/>
            <w:lang w:val="es"/>
          </w:rPr>
          <w:t>Resolución 7.GA 12</w:t>
        </w:r>
      </w:hyperlink>
      <w:r>
        <w:rPr>
          <w:lang w:val="es"/>
        </w:rPr>
        <w:t>).</w:t>
      </w:r>
    </w:p>
    <w:p w14:paraId="6617334B" w14:textId="1428AFF7" w:rsidR="000B1862" w:rsidRPr="001C3312" w:rsidRDefault="00ED652D" w:rsidP="000B1862">
      <w:pPr>
        <w:pStyle w:val="GAPara"/>
        <w:numPr>
          <w:ilvl w:val="0"/>
          <w:numId w:val="19"/>
        </w:numPr>
        <w:ind w:left="567" w:hanging="567"/>
        <w:jc w:val="both"/>
        <w:rPr>
          <w:lang w:val="es-ES"/>
        </w:rPr>
      </w:pPr>
      <w:r>
        <w:rPr>
          <w:lang w:val="es"/>
        </w:rPr>
        <w:t>Posteriormente, las</w:t>
      </w:r>
      <w:r w:rsidR="007603E9">
        <w:rPr>
          <w:lang w:val="es"/>
        </w:rPr>
        <w:t xml:space="preserve"> secretarias de todas las</w:t>
      </w:r>
      <w:r>
        <w:rPr>
          <w:lang w:val="es"/>
        </w:rPr>
        <w:t xml:space="preserve"> </w:t>
      </w:r>
      <w:r w:rsidR="007603E9">
        <w:rPr>
          <w:lang w:val="es"/>
        </w:rPr>
        <w:t>c</w:t>
      </w:r>
      <w:r>
        <w:rPr>
          <w:lang w:val="es"/>
        </w:rPr>
        <w:t xml:space="preserve">onvenciones </w:t>
      </w:r>
      <w:r w:rsidR="002B39B7">
        <w:rPr>
          <w:lang w:val="es"/>
        </w:rPr>
        <w:t xml:space="preserve">sobre cultura </w:t>
      </w:r>
      <w:r>
        <w:rPr>
          <w:lang w:val="es"/>
        </w:rPr>
        <w:t>establecieron un grupo de trabajo para llevar a cabo un análisis comparativo oficioso del reglamento de esos instrumentos.</w:t>
      </w:r>
      <w:r w:rsidR="007603E9">
        <w:rPr>
          <w:lang w:val="es"/>
        </w:rPr>
        <w:t xml:space="preserve"> L</w:t>
      </w:r>
      <w:r>
        <w:rPr>
          <w:lang w:val="es"/>
        </w:rPr>
        <w:t xml:space="preserve">a labor emprendida por el grupo planteó varias cuestiones, </w:t>
      </w:r>
      <w:r w:rsidR="007603E9">
        <w:rPr>
          <w:lang w:val="es"/>
        </w:rPr>
        <w:t>inclu</w:t>
      </w:r>
      <w:r w:rsidR="0000634B">
        <w:rPr>
          <w:lang w:val="es"/>
        </w:rPr>
        <w:t>ida</w:t>
      </w:r>
      <w:r w:rsidR="007603E9">
        <w:rPr>
          <w:lang w:val="es"/>
        </w:rPr>
        <w:t xml:space="preserve"> la pregunta</w:t>
      </w:r>
      <w:r>
        <w:rPr>
          <w:lang w:val="es"/>
        </w:rPr>
        <w:t xml:space="preserve"> sobre qué Reglamento utilizar como base para </w:t>
      </w:r>
      <w:r w:rsidR="007603E9">
        <w:rPr>
          <w:lang w:val="es"/>
        </w:rPr>
        <w:t xml:space="preserve">la </w:t>
      </w:r>
      <w:r>
        <w:rPr>
          <w:lang w:val="es"/>
        </w:rPr>
        <w:t>armonización.</w:t>
      </w:r>
    </w:p>
    <w:p w14:paraId="40F6731E" w14:textId="4E72D3C6" w:rsidR="00273128" w:rsidRPr="001C3312" w:rsidRDefault="000B1862" w:rsidP="000B1862">
      <w:pPr>
        <w:pStyle w:val="GAPara"/>
        <w:numPr>
          <w:ilvl w:val="0"/>
          <w:numId w:val="19"/>
        </w:numPr>
        <w:ind w:left="567" w:hanging="567"/>
        <w:jc w:val="both"/>
        <w:rPr>
          <w:lang w:val="es-ES"/>
        </w:rPr>
      </w:pPr>
      <w:r>
        <w:rPr>
          <w:lang w:val="es"/>
        </w:rPr>
        <w:t>La situación de cada una de las recomendaciones del Grupo de Trabajo de composición abierta se siguió examinando en la decimotercera reunión del Comité, celebrada en 2018 (</w:t>
      </w:r>
      <w:hyperlink r:id="rId20" w:history="1">
        <w:r>
          <w:rPr>
            <w:rStyle w:val="Lienhypertexte"/>
            <w:lang w:val="es"/>
          </w:rPr>
          <w:t>documento ITH/18/13.COM/17</w:t>
        </w:r>
      </w:hyperlink>
      <w:r>
        <w:rPr>
          <w:u w:val="single"/>
          <w:lang w:val="es"/>
        </w:rPr>
        <w:t xml:space="preserve">; </w:t>
      </w:r>
      <w:hyperlink r:id="rId21" w:history="1">
        <w:r>
          <w:rPr>
            <w:rStyle w:val="Lienhypertexte"/>
            <w:lang w:val="es"/>
          </w:rPr>
          <w:t>Decisión 13.COM 17</w:t>
        </w:r>
      </w:hyperlink>
      <w:r>
        <w:rPr>
          <w:lang w:val="es"/>
        </w:rPr>
        <w:t>). Al año siguiente, la decimocuarta reunión (</w:t>
      </w:r>
      <w:hyperlink r:id="rId22" w:history="1">
        <w:r>
          <w:rPr>
            <w:rStyle w:val="Lienhypertexte"/>
            <w:lang w:val="es"/>
          </w:rPr>
          <w:t>documento LHE/19/14.COM/19</w:t>
        </w:r>
      </w:hyperlink>
      <w:r>
        <w:rPr>
          <w:lang w:val="es"/>
        </w:rPr>
        <w:t xml:space="preserve">) del Comité tomó nota de que muchas de las recomendaciones ya se han aplicado, y varias de ellas se consideran buenas prácticas, tras haber recibido las medidas de seguimiento adecuadas. Además, ya se ha adoptado un conjunto de medidas de mitigación para la mayoría de las recomendaciones pendientes, mientras que, al mismo tiempo, algunas otras cuestiones requieren la adopción de medidas por los Estados Partes a largo plazo. </w:t>
      </w:r>
    </w:p>
    <w:p w14:paraId="02B56EF3" w14:textId="77F35837" w:rsidR="00273128" w:rsidRPr="001C3312" w:rsidRDefault="00273128" w:rsidP="00555191">
      <w:pPr>
        <w:pStyle w:val="GAPara"/>
        <w:numPr>
          <w:ilvl w:val="0"/>
          <w:numId w:val="19"/>
        </w:numPr>
        <w:ind w:left="567" w:hanging="567"/>
        <w:jc w:val="both"/>
        <w:rPr>
          <w:lang w:val="es-ES"/>
        </w:rPr>
      </w:pPr>
      <w:r>
        <w:rPr>
          <w:lang w:val="es"/>
        </w:rPr>
        <w:t>Un ejemplo claro de los esfuerzos de la Secretaría por seguir respondiendo a las recomendaciones del Grupo de Trabajo de composición abierta es la inclusión del punto 8 en el orden del día provisional de la actual reunión de la Asamblea General para examinar la contribución de los Estados Partes en la Convención de 2003 a la preparación de la nueva estrategia a plazo medio 2022-2029 (41C/4) y el proyecto de programa y presupuesto para 2022-2025 (41C/5)</w:t>
      </w:r>
      <w:r w:rsidR="00723DED">
        <w:rPr>
          <w:lang w:val="es"/>
        </w:rPr>
        <w:t>,</w:t>
      </w:r>
      <w:r>
        <w:rPr>
          <w:lang w:val="es"/>
        </w:rPr>
        <w:t xml:space="preserve"> mediante la consulta electrónica realizada en mayo de 2020 (</w:t>
      </w:r>
      <w:hyperlink r:id="rId23" w:history="1">
        <w:r w:rsidRPr="004251C4">
          <w:rPr>
            <w:rStyle w:val="Lienhypertexte"/>
            <w:lang w:val="es"/>
          </w:rPr>
          <w:t>documento</w:t>
        </w:r>
        <w:r w:rsidR="004251C4" w:rsidRPr="004251C4">
          <w:rPr>
            <w:rStyle w:val="Lienhypertexte"/>
            <w:lang w:val="es"/>
          </w:rPr>
          <w:t> </w:t>
        </w:r>
        <w:r w:rsidRPr="004251C4">
          <w:rPr>
            <w:rStyle w:val="Lienhypertexte"/>
            <w:lang w:val="es"/>
          </w:rPr>
          <w:t>LHE/20/8.GA/8</w:t>
        </w:r>
      </w:hyperlink>
      <w:r>
        <w:rPr>
          <w:lang w:val="es"/>
        </w:rPr>
        <w:t xml:space="preserve">). La consulta electrónica y el punto 8 del orden del día provisional son una respuesta directa a la recomendación 74 del Grupo de Trabajo de composición abierta por la que todos los </w:t>
      </w:r>
      <w:r w:rsidR="0090085E">
        <w:rPr>
          <w:lang w:val="es"/>
        </w:rPr>
        <w:t xml:space="preserve">OII (órganos internacionales e intergubernamentales) </w:t>
      </w:r>
      <w:r>
        <w:rPr>
          <w:lang w:val="es"/>
        </w:rPr>
        <w:t>deberían tener la oportunidad de presentar aportaciones oficiales a la estrategia de medio plazo C/4 y a los proyectos de programa y presupuesto C/5 de la UNESCO.</w:t>
      </w:r>
    </w:p>
    <w:p w14:paraId="43E927DC" w14:textId="03021EEF" w:rsidR="000B1862" w:rsidRPr="001C3312" w:rsidRDefault="003340BE" w:rsidP="000B1862">
      <w:pPr>
        <w:pStyle w:val="GAPara"/>
        <w:numPr>
          <w:ilvl w:val="0"/>
          <w:numId w:val="19"/>
        </w:numPr>
        <w:ind w:left="567" w:hanging="567"/>
        <w:jc w:val="both"/>
        <w:rPr>
          <w:lang w:val="es-ES"/>
        </w:rPr>
      </w:pPr>
      <w:r>
        <w:rPr>
          <w:lang w:val="es"/>
        </w:rPr>
        <w:t>Si bien la cuestión de la «armonización»</w:t>
      </w:r>
      <w:r w:rsidR="000B1862">
        <w:rPr>
          <w:lang w:val="es"/>
        </w:rPr>
        <w:t xml:space="preserve"> figura en varias recomendaciones del grupo de trabajo (p. ej. 58, 65, 66, 67, </w:t>
      </w:r>
      <w:r w:rsidR="000B1862" w:rsidRPr="004251C4">
        <w:rPr>
          <w:lang w:val="es"/>
        </w:rPr>
        <w:t>71 y 96</w:t>
      </w:r>
      <w:r w:rsidR="000B1862">
        <w:rPr>
          <w:lang w:val="es"/>
        </w:rPr>
        <w:t>), la mayoría de las cuales se consideran en curso, en la decimocuarta reunión del Comité se llegó a la conclusión de que los órganos rectores y la Secretaría han hecho progresos constantes en la contribución a la buena gestión de la Convención de 2003 y se pidió a la Secr</w:t>
      </w:r>
      <w:r>
        <w:rPr>
          <w:lang w:val="es"/>
        </w:rPr>
        <w:t>etaría que siguiera informando «como y cuando sea necesario»</w:t>
      </w:r>
      <w:r w:rsidR="000B1862">
        <w:rPr>
          <w:lang w:val="es"/>
        </w:rPr>
        <w:t xml:space="preserve"> sobre los nuevos progresos en relación con el estado de las recomendaciones (</w:t>
      </w:r>
      <w:hyperlink r:id="rId24" w:history="1">
        <w:r w:rsidR="000B1862">
          <w:rPr>
            <w:rStyle w:val="Lienhypertexte"/>
            <w:lang w:val="es"/>
          </w:rPr>
          <w:t>Decisión 14.COM 19</w:t>
        </w:r>
      </w:hyperlink>
      <w:r w:rsidR="000B1862">
        <w:rPr>
          <w:lang w:val="es"/>
        </w:rPr>
        <w:t>).</w:t>
      </w:r>
    </w:p>
    <w:p w14:paraId="2317A129" w14:textId="505FD5FC" w:rsidR="000B1862" w:rsidRPr="001C3312" w:rsidRDefault="000B1862" w:rsidP="000B1862">
      <w:pPr>
        <w:pStyle w:val="GAPara"/>
        <w:numPr>
          <w:ilvl w:val="0"/>
          <w:numId w:val="19"/>
        </w:numPr>
        <w:ind w:left="567" w:hanging="567"/>
        <w:jc w:val="both"/>
        <w:rPr>
          <w:lang w:val="es-ES"/>
        </w:rPr>
      </w:pPr>
      <w:r>
        <w:rPr>
          <w:lang w:val="es"/>
        </w:rPr>
        <w:t>Entretanto, en el marco del punto 7 de su orden del día provisional, se pide a la Asamblea General que examine la propuesta de revisión del Reglamento Financiero de la Cuenta Especial del Fondo para la Salvaguardia del Patrimonio Cultural Inmaterial de la Convención de 2003, a fin de ajustarlo al modelo de reglamento financiero de la Cuenta Especial para las Convenciones refrendadas por el Consejo Ejecutivo de la UNESCO (</w:t>
      </w:r>
      <w:hyperlink r:id="rId25" w:history="1">
        <w:r>
          <w:rPr>
            <w:rStyle w:val="Lienhypertexte"/>
            <w:lang w:val="es"/>
          </w:rPr>
          <w:t>documento LHE/20/8.GA/7 Rev.</w:t>
        </w:r>
      </w:hyperlink>
      <w:r>
        <w:rPr>
          <w:lang w:val="es"/>
        </w:rPr>
        <w:t>). Esto puede considerarse un ejemplo pertinente del esfuerzo por armonizar las normas que rigen la Convención de 2003 de modo que sean coherentes en la medida de lo posible con las normas similares que rigen otros instrumentos bajo la responsabilidad de la Organización.</w:t>
      </w:r>
    </w:p>
    <w:p w14:paraId="6E5F0761" w14:textId="541EA4B7" w:rsidR="00C42C66" w:rsidRPr="001C3312" w:rsidRDefault="001F18B9" w:rsidP="006749EF">
      <w:pPr>
        <w:pStyle w:val="GAPara"/>
        <w:numPr>
          <w:ilvl w:val="0"/>
          <w:numId w:val="19"/>
        </w:numPr>
        <w:ind w:left="567" w:hanging="567"/>
        <w:jc w:val="both"/>
        <w:rPr>
          <w:lang w:val="es-ES"/>
        </w:rPr>
      </w:pPr>
      <w:r>
        <w:rPr>
          <w:lang w:val="es"/>
        </w:rPr>
        <w:t xml:space="preserve">Considerando que el principal objetivo de la armonización del Reglamento era responder a las recomendaciones del grupo de trabajo de composición abierta, y considerando además que se han realizado suficientes progresos en relación con esas recomendaciones, como se confirmó en la decimocuarta reunión del Comité, la Secretaría propone que esta cuestión se considere ahora cerrada sin necesidad de informar a la Asamblea General en su siguiente reunión. Huelga decir que la Secretaría seguirá esforzándose por determinar nuevas posibilidades de armonizar el reglamento </w:t>
      </w:r>
      <w:r w:rsidR="00106A6E">
        <w:rPr>
          <w:lang w:val="es"/>
        </w:rPr>
        <w:t xml:space="preserve">de los órganos rectores </w:t>
      </w:r>
      <w:r>
        <w:rPr>
          <w:lang w:val="es"/>
        </w:rPr>
        <w:t xml:space="preserve">de la Convención de 2003 </w:t>
      </w:r>
      <w:r>
        <w:rPr>
          <w:lang w:val="es"/>
        </w:rPr>
        <w:lastRenderedPageBreak/>
        <w:t>con el de otras convenciones sobre cultura, siempre que sea pertinente y posible, e informará a los órganos rectores de la Convención en consecuencia.</w:t>
      </w:r>
    </w:p>
    <w:p w14:paraId="4EAAF5DF" w14:textId="77777777" w:rsidR="008A1ED4" w:rsidRPr="001C3312" w:rsidRDefault="008A1ED4" w:rsidP="008A1ED4">
      <w:pPr>
        <w:keepNext/>
        <w:numPr>
          <w:ilvl w:val="0"/>
          <w:numId w:val="19"/>
        </w:numPr>
        <w:ind w:left="567" w:hanging="567"/>
        <w:jc w:val="both"/>
        <w:rPr>
          <w:rFonts w:ascii="Arial" w:eastAsia="SimSun" w:hAnsi="Arial" w:cs="Arial"/>
          <w:sz w:val="22"/>
          <w:szCs w:val="22"/>
          <w:lang w:val="es-ES"/>
        </w:rPr>
      </w:pPr>
      <w:r>
        <w:rPr>
          <w:rFonts w:ascii="Arial" w:hAnsi="Arial"/>
          <w:sz w:val="22"/>
          <w:lang w:val="es"/>
        </w:rPr>
        <w:t>La Asamblea General podría aprobar la siguiente resolución:</w:t>
      </w:r>
    </w:p>
    <w:p w14:paraId="0FA73991" w14:textId="07A11013" w:rsidR="008A1ED4" w:rsidRPr="001C3312" w:rsidRDefault="00F010E0" w:rsidP="008A1ED4">
      <w:pPr>
        <w:pStyle w:val="GATitleResolution"/>
        <w:rPr>
          <w:lang w:val="es-ES"/>
        </w:rPr>
      </w:pPr>
      <w:r>
        <w:rPr>
          <w:bCs/>
          <w:lang w:val="es"/>
        </w:rPr>
        <w:t>PROYECTO DE RESOLUCIÓN 8.GA 15</w:t>
      </w:r>
    </w:p>
    <w:p w14:paraId="1D582314" w14:textId="77777777" w:rsidR="008A1ED4" w:rsidRPr="001C3312" w:rsidRDefault="008A1ED4" w:rsidP="008A1ED4">
      <w:pPr>
        <w:pStyle w:val="GAPreambulaResolution"/>
        <w:rPr>
          <w:rFonts w:eastAsia="SimSun"/>
          <w:lang w:val="es-ES"/>
        </w:rPr>
      </w:pPr>
      <w:r>
        <w:rPr>
          <w:lang w:val="es"/>
        </w:rPr>
        <w:t>La Asamblea General,</w:t>
      </w:r>
    </w:p>
    <w:p w14:paraId="594680F8" w14:textId="12D1FDCE" w:rsidR="008A1ED4" w:rsidRPr="001C3312" w:rsidRDefault="008A1ED4" w:rsidP="00555191">
      <w:pPr>
        <w:pStyle w:val="COMParaDecision"/>
        <w:numPr>
          <w:ilvl w:val="0"/>
          <w:numId w:val="10"/>
        </w:numPr>
        <w:ind w:left="1134" w:hanging="567"/>
        <w:rPr>
          <w:u w:val="none"/>
          <w:lang w:val="es-ES"/>
        </w:rPr>
      </w:pPr>
      <w:r>
        <w:rPr>
          <w:lang w:val="es"/>
        </w:rPr>
        <w:t>Habiendo examinado</w:t>
      </w:r>
      <w:r>
        <w:rPr>
          <w:u w:val="none"/>
          <w:lang w:val="es"/>
        </w:rPr>
        <w:t xml:space="preserve"> el documento LHE/20/8.GA/15,</w:t>
      </w:r>
    </w:p>
    <w:p w14:paraId="00CE879C" w14:textId="2A550F83" w:rsidR="008A1ED4" w:rsidRPr="004251C4" w:rsidRDefault="008A1ED4" w:rsidP="002B2472">
      <w:pPr>
        <w:pStyle w:val="COMParaDecision"/>
        <w:numPr>
          <w:ilvl w:val="0"/>
          <w:numId w:val="10"/>
        </w:numPr>
        <w:ind w:left="1134" w:hanging="567"/>
        <w:rPr>
          <w:lang w:val="pt-BR"/>
        </w:rPr>
      </w:pPr>
      <w:r w:rsidRPr="004251C4">
        <w:rPr>
          <w:lang w:val="pt-BR"/>
        </w:rPr>
        <w:t>Recordando</w:t>
      </w:r>
      <w:r w:rsidRPr="004251C4">
        <w:rPr>
          <w:u w:val="none"/>
          <w:lang w:val="pt-BR"/>
        </w:rPr>
        <w:t xml:space="preserve"> </w:t>
      </w:r>
      <w:proofErr w:type="spellStart"/>
      <w:r w:rsidRPr="004251C4">
        <w:rPr>
          <w:u w:val="none"/>
          <w:lang w:val="pt-BR"/>
        </w:rPr>
        <w:t>los</w:t>
      </w:r>
      <w:proofErr w:type="spellEnd"/>
      <w:r w:rsidRPr="004251C4">
        <w:rPr>
          <w:u w:val="none"/>
          <w:lang w:val="pt-BR"/>
        </w:rPr>
        <w:t xml:space="preserve"> documentos </w:t>
      </w:r>
      <w:hyperlink r:id="rId26" w:history="1">
        <w:r w:rsidRPr="004251C4">
          <w:rPr>
            <w:rStyle w:val="Lienhypertexte"/>
            <w:lang w:val="pt-BR"/>
          </w:rPr>
          <w:t>LHE/20/8.GA/7 Rev</w:t>
        </w:r>
      </w:hyperlink>
      <w:r w:rsidRPr="004251C4">
        <w:rPr>
          <w:u w:val="none"/>
          <w:lang w:val="pt-BR"/>
        </w:rPr>
        <w:t xml:space="preserve">., </w:t>
      </w:r>
      <w:hyperlink r:id="rId27" w:history="1">
        <w:r w:rsidRPr="004251C4">
          <w:rPr>
            <w:rStyle w:val="Lienhypertexte"/>
            <w:lang w:val="pt-BR"/>
          </w:rPr>
          <w:t>LHE/20/8.GA/8</w:t>
        </w:r>
      </w:hyperlink>
      <w:r w:rsidRPr="004251C4">
        <w:rPr>
          <w:u w:val="none"/>
          <w:lang w:val="pt-BR"/>
        </w:rPr>
        <w:t xml:space="preserve">, </w:t>
      </w:r>
      <w:hyperlink r:id="rId28" w:history="1">
        <w:r w:rsidRPr="004251C4">
          <w:rPr>
            <w:rStyle w:val="Lienhypertexte"/>
            <w:lang w:val="pt-BR"/>
          </w:rPr>
          <w:t>LHE/19/14.COM/19</w:t>
        </w:r>
      </w:hyperlink>
      <w:r w:rsidRPr="004251C4">
        <w:rPr>
          <w:rStyle w:val="Lienhypertexte"/>
          <w:lang w:val="pt-BR"/>
        </w:rPr>
        <w:t xml:space="preserve">, </w:t>
      </w:r>
      <w:hyperlink r:id="rId29" w:history="1">
        <w:r w:rsidRPr="004251C4">
          <w:rPr>
            <w:rStyle w:val="Lienhypertexte"/>
            <w:lang w:val="pt-BR"/>
          </w:rPr>
          <w:t>ITH/18/13.COM/17</w:t>
        </w:r>
      </w:hyperlink>
      <w:r w:rsidRPr="004251C4">
        <w:rPr>
          <w:u w:val="none"/>
          <w:lang w:val="pt-BR"/>
        </w:rPr>
        <w:t xml:space="preserve">, </w:t>
      </w:r>
      <w:hyperlink r:id="rId30" w:history="1">
        <w:r w:rsidRPr="004251C4">
          <w:rPr>
            <w:rStyle w:val="Lienhypertexte"/>
            <w:lang w:val="pt-BR"/>
          </w:rPr>
          <w:t>ITH/17/12.COM/16</w:t>
        </w:r>
      </w:hyperlink>
      <w:r w:rsidRPr="004251C4">
        <w:rPr>
          <w:u w:val="none"/>
          <w:lang w:val="pt-BR"/>
        </w:rPr>
        <w:t xml:space="preserve">, </w:t>
      </w:r>
      <w:hyperlink r:id="rId31" w:history="1">
        <w:r w:rsidRPr="004251C4">
          <w:rPr>
            <w:rStyle w:val="Lienhypertexte"/>
            <w:lang w:val="pt-BR"/>
          </w:rPr>
          <w:t>ITH/18/7.GA/13</w:t>
        </w:r>
      </w:hyperlink>
      <w:r w:rsidRPr="004251C4">
        <w:rPr>
          <w:u w:val="none"/>
          <w:lang w:val="pt-BR"/>
        </w:rPr>
        <w:t xml:space="preserve"> y </w:t>
      </w:r>
      <w:hyperlink r:id="rId32" w:history="1">
        <w:r w:rsidRPr="004251C4">
          <w:rPr>
            <w:rStyle w:val="Lienhypertexte"/>
            <w:lang w:val="pt-BR"/>
          </w:rPr>
          <w:t>ITH/18/7.GA/12</w:t>
        </w:r>
      </w:hyperlink>
      <w:r w:rsidRPr="004251C4">
        <w:rPr>
          <w:u w:val="none"/>
          <w:lang w:val="pt-BR"/>
        </w:rPr>
        <w:t xml:space="preserve">, </w:t>
      </w:r>
      <w:proofErr w:type="spellStart"/>
      <w:r w:rsidRPr="004251C4">
        <w:rPr>
          <w:u w:val="none"/>
          <w:lang w:val="pt-BR"/>
        </w:rPr>
        <w:t>Decisiones</w:t>
      </w:r>
      <w:proofErr w:type="spellEnd"/>
      <w:r w:rsidRPr="004251C4">
        <w:rPr>
          <w:u w:val="none"/>
          <w:lang w:val="pt-BR"/>
        </w:rPr>
        <w:t xml:space="preserve"> </w:t>
      </w:r>
      <w:hyperlink r:id="rId33" w:history="1">
        <w:r w:rsidRPr="004251C4">
          <w:rPr>
            <w:rStyle w:val="Lienhypertexte"/>
            <w:lang w:val="pt-BR"/>
          </w:rPr>
          <w:t>14.COM 19</w:t>
        </w:r>
      </w:hyperlink>
      <w:r w:rsidRPr="004251C4">
        <w:rPr>
          <w:rStyle w:val="Lienhypertexte"/>
          <w:lang w:val="pt-BR"/>
        </w:rPr>
        <w:t>,</w:t>
      </w:r>
      <w:r w:rsidRPr="004251C4">
        <w:rPr>
          <w:rStyle w:val="Lienhypertexte"/>
          <w:u w:val="none"/>
          <w:lang w:val="pt-BR"/>
        </w:rPr>
        <w:t xml:space="preserve"> </w:t>
      </w:r>
      <w:hyperlink r:id="rId34" w:history="1">
        <w:r w:rsidRPr="004251C4">
          <w:rPr>
            <w:rStyle w:val="Lienhypertexte"/>
            <w:lang w:val="pt-BR"/>
          </w:rPr>
          <w:t>13.COM 17</w:t>
        </w:r>
      </w:hyperlink>
      <w:r w:rsidRPr="004251C4">
        <w:rPr>
          <w:u w:val="none"/>
          <w:lang w:val="pt-BR"/>
        </w:rPr>
        <w:t xml:space="preserve">, </w:t>
      </w:r>
      <w:hyperlink r:id="rId35" w:history="1">
        <w:r w:rsidRPr="004251C4">
          <w:rPr>
            <w:rStyle w:val="Lienhypertexte"/>
            <w:lang w:val="pt-BR"/>
          </w:rPr>
          <w:t>12.COM 16</w:t>
        </w:r>
      </w:hyperlink>
      <w:r w:rsidRPr="004251C4">
        <w:rPr>
          <w:rStyle w:val="Lienhypertexte"/>
          <w:color w:val="auto"/>
          <w:u w:val="none"/>
          <w:lang w:val="pt-BR"/>
        </w:rPr>
        <w:t xml:space="preserve"> </w:t>
      </w:r>
      <w:r w:rsidRPr="004251C4">
        <w:rPr>
          <w:u w:val="none"/>
          <w:lang w:val="pt-BR"/>
        </w:rPr>
        <w:t xml:space="preserve">y </w:t>
      </w:r>
      <w:proofErr w:type="spellStart"/>
      <w:r w:rsidRPr="004251C4">
        <w:rPr>
          <w:u w:val="none"/>
          <w:lang w:val="pt-BR"/>
        </w:rPr>
        <w:t>Resoluciones</w:t>
      </w:r>
      <w:proofErr w:type="spellEnd"/>
      <w:r w:rsidRPr="004251C4">
        <w:rPr>
          <w:u w:val="none"/>
          <w:lang w:val="pt-BR"/>
        </w:rPr>
        <w:t xml:space="preserve"> </w:t>
      </w:r>
      <w:hyperlink r:id="rId36" w:history="1">
        <w:r w:rsidRPr="004251C4">
          <w:rPr>
            <w:rStyle w:val="Lienhypertexte"/>
            <w:lang w:val="pt-BR"/>
          </w:rPr>
          <w:t>7.GA 12</w:t>
        </w:r>
      </w:hyperlink>
      <w:r w:rsidRPr="004251C4">
        <w:rPr>
          <w:u w:val="none"/>
          <w:lang w:val="pt-BR"/>
        </w:rPr>
        <w:t xml:space="preserve">, </w:t>
      </w:r>
      <w:hyperlink r:id="rId37" w:history="1">
        <w:r w:rsidRPr="004251C4">
          <w:rPr>
            <w:rStyle w:val="Lienhypertexte"/>
            <w:lang w:val="pt-BR"/>
          </w:rPr>
          <w:t>7.GA 13</w:t>
        </w:r>
      </w:hyperlink>
      <w:r w:rsidRPr="004251C4">
        <w:rPr>
          <w:u w:val="none"/>
          <w:lang w:val="pt-BR"/>
        </w:rPr>
        <w:t xml:space="preserve"> y </w:t>
      </w:r>
      <w:hyperlink r:id="rId38" w:history="1">
        <w:r w:rsidRPr="004251C4">
          <w:rPr>
            <w:rStyle w:val="Lienhypertexte"/>
            <w:lang w:val="pt-BR"/>
          </w:rPr>
          <w:t>6.GA 11</w:t>
        </w:r>
      </w:hyperlink>
      <w:r w:rsidRPr="004251C4">
        <w:rPr>
          <w:u w:val="none"/>
          <w:lang w:val="pt-BR"/>
        </w:rPr>
        <w:t>,</w:t>
      </w:r>
    </w:p>
    <w:p w14:paraId="0E35132A" w14:textId="77777777" w:rsidR="00744371" w:rsidRPr="001C3312" w:rsidRDefault="008A1ED4" w:rsidP="00744371">
      <w:pPr>
        <w:pStyle w:val="COMParaDecision"/>
        <w:numPr>
          <w:ilvl w:val="0"/>
          <w:numId w:val="10"/>
        </w:numPr>
        <w:ind w:left="1134" w:hanging="567"/>
        <w:rPr>
          <w:lang w:val="es-ES"/>
        </w:rPr>
      </w:pPr>
      <w:r>
        <w:rPr>
          <w:lang w:val="es"/>
        </w:rPr>
        <w:t>Recordando además</w:t>
      </w:r>
      <w:r>
        <w:rPr>
          <w:u w:val="none"/>
          <w:lang w:val="es"/>
        </w:rPr>
        <w:t xml:space="preserve"> </w:t>
      </w:r>
      <w:hyperlink r:id="rId39" w:history="1">
        <w:r>
          <w:rPr>
            <w:rStyle w:val="Lienhypertexte"/>
            <w:lang w:val="es"/>
          </w:rPr>
          <w:t>38C/Resolución 101</w:t>
        </w:r>
      </w:hyperlink>
      <w:r>
        <w:rPr>
          <w:rStyle w:val="Lienhypertexte"/>
          <w:color w:val="auto"/>
          <w:u w:val="none"/>
          <w:lang w:val="es"/>
        </w:rPr>
        <w:t>y</w:t>
      </w:r>
      <w:r>
        <w:rPr>
          <w:rStyle w:val="Lienhypertexte"/>
          <w:color w:val="auto"/>
          <w:lang w:val="es"/>
        </w:rPr>
        <w:t xml:space="preserve"> </w:t>
      </w:r>
      <w:hyperlink r:id="rId40" w:history="1">
        <w:r>
          <w:rPr>
            <w:rStyle w:val="Lienhypertexte"/>
            <w:lang w:val="es"/>
          </w:rPr>
          <w:t>Resolución 39 C/87</w:t>
        </w:r>
      </w:hyperlink>
      <w:r>
        <w:rPr>
          <w:u w:val="none"/>
          <w:lang w:val="es"/>
        </w:rPr>
        <w:t>,</w:t>
      </w:r>
    </w:p>
    <w:p w14:paraId="252CDB2C" w14:textId="28FDAA5A" w:rsidR="002B2472" w:rsidRPr="001C3312" w:rsidRDefault="002B2472" w:rsidP="002B2472">
      <w:pPr>
        <w:pStyle w:val="COMParaDecision"/>
        <w:numPr>
          <w:ilvl w:val="0"/>
          <w:numId w:val="10"/>
        </w:numPr>
        <w:ind w:left="1134" w:hanging="567"/>
        <w:rPr>
          <w:lang w:val="es-ES"/>
        </w:rPr>
      </w:pPr>
      <w:r>
        <w:rPr>
          <w:lang w:val="es"/>
        </w:rPr>
        <w:t>Alienta</w:t>
      </w:r>
      <w:r>
        <w:rPr>
          <w:u w:val="none"/>
          <w:lang w:val="es"/>
        </w:rPr>
        <w:t xml:space="preserve"> al sector de cultura a que prosiga sus esfuerzos, cuando proceda, para armonizar los reglamentos de los órganos rectores </w:t>
      </w:r>
      <w:r w:rsidR="002B39B7">
        <w:rPr>
          <w:u w:val="none"/>
          <w:lang w:val="es"/>
        </w:rPr>
        <w:t>de las</w:t>
      </w:r>
      <w:r>
        <w:rPr>
          <w:u w:val="none"/>
          <w:lang w:val="es"/>
        </w:rPr>
        <w:t xml:space="preserve"> convenciones sobre cultura, de conformidad con la </w:t>
      </w:r>
      <w:hyperlink r:id="rId41" w:history="1">
        <w:r>
          <w:rPr>
            <w:rStyle w:val="Lienhypertexte"/>
            <w:lang w:val="es"/>
          </w:rPr>
          <w:t>Resolución 7.GA 13</w:t>
        </w:r>
      </w:hyperlink>
      <w:r>
        <w:rPr>
          <w:u w:val="none"/>
          <w:lang w:val="es"/>
        </w:rPr>
        <w:t>;</w:t>
      </w:r>
    </w:p>
    <w:p w14:paraId="03E5A30D" w14:textId="4D8C2CBE" w:rsidR="008A1ED4" w:rsidRPr="00113B1A" w:rsidRDefault="002B2472" w:rsidP="00113B1A">
      <w:pPr>
        <w:pStyle w:val="COMParaDecision"/>
        <w:numPr>
          <w:ilvl w:val="0"/>
          <w:numId w:val="10"/>
        </w:numPr>
        <w:ind w:left="1134" w:hanging="567"/>
        <w:rPr>
          <w:snapToGrid w:val="0"/>
          <w:lang w:val="es-ES"/>
        </w:rPr>
      </w:pPr>
      <w:r>
        <w:rPr>
          <w:lang w:val="es"/>
        </w:rPr>
        <w:t>Considera</w:t>
      </w:r>
      <w:r>
        <w:rPr>
          <w:u w:val="none"/>
          <w:lang w:val="es"/>
        </w:rPr>
        <w:t xml:space="preserve"> que se ha avanzado suficientemente en el seguimiento de la aplicación de las recomendaciones pertinentes del Grupo de Trabajo de composición abierta sobre la gobernanza, los procedimientos y los métodos de trabajo de los órganos rectores de la UNESCO que requieren la atención de la Asamblea General y </w:t>
      </w:r>
      <w:r>
        <w:rPr>
          <w:lang w:val="es"/>
        </w:rPr>
        <w:t>pide</w:t>
      </w:r>
      <w:r>
        <w:rPr>
          <w:u w:val="none"/>
          <w:lang w:val="es"/>
        </w:rPr>
        <w:t xml:space="preserve"> que la Secretaría siga informando, cuando sea necesario, sobre los nuevos progresos realizados en relación con la situación de las recomendaciones.</w:t>
      </w:r>
    </w:p>
    <w:sectPr w:rsidR="008A1ED4" w:rsidRPr="00113B1A" w:rsidSect="00176720">
      <w:headerReference w:type="even" r:id="rId42"/>
      <w:headerReference w:type="default" r:id="rId43"/>
      <w:headerReference w:type="first" r:id="rId4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16F63" w14:textId="77777777" w:rsidR="00331320" w:rsidRDefault="00331320" w:rsidP="00655736">
      <w:r>
        <w:separator/>
      </w:r>
    </w:p>
  </w:endnote>
  <w:endnote w:type="continuationSeparator" w:id="0">
    <w:p w14:paraId="00259E5B" w14:textId="77777777" w:rsidR="00331320" w:rsidRDefault="0033132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8406E" w14:textId="77777777" w:rsidR="00331320" w:rsidRDefault="00331320" w:rsidP="00655736">
      <w:r>
        <w:separator/>
      </w:r>
    </w:p>
  </w:footnote>
  <w:footnote w:type="continuationSeparator" w:id="0">
    <w:p w14:paraId="53FA6BEB" w14:textId="77777777" w:rsidR="00331320" w:rsidRDefault="00331320" w:rsidP="00655736">
      <w:r>
        <w:continuationSeparator/>
      </w:r>
    </w:p>
  </w:footnote>
  <w:footnote w:id="1">
    <w:p w14:paraId="4BE12B5C" w14:textId="50FEB57B" w:rsidR="00582029" w:rsidRPr="001C3312" w:rsidRDefault="00582029" w:rsidP="00582029">
      <w:pPr>
        <w:pStyle w:val="Notedebasdepage"/>
        <w:ind w:left="567" w:hanging="567"/>
        <w:rPr>
          <w:rFonts w:asciiTheme="minorBidi" w:hAnsiTheme="minorBidi" w:cstheme="minorBidi"/>
          <w:sz w:val="18"/>
          <w:szCs w:val="18"/>
          <w:lang w:val="es-ES"/>
        </w:rPr>
      </w:pPr>
      <w:r w:rsidRPr="007752C0">
        <w:rPr>
          <w:rStyle w:val="Appelnotedebasdep"/>
          <w:rFonts w:asciiTheme="minorBidi" w:hAnsiTheme="minorBidi" w:cstheme="minorBidi"/>
          <w:sz w:val="18"/>
          <w:szCs w:val="18"/>
          <w:vertAlign w:val="baseline"/>
          <w:lang w:val="es"/>
        </w:rPr>
        <w:footnoteRef/>
      </w:r>
      <w:r>
        <w:rPr>
          <w:rFonts w:asciiTheme="minorBidi" w:hAnsiTheme="minorBidi" w:cstheme="minorBidi"/>
          <w:sz w:val="18"/>
          <w:szCs w:val="18"/>
          <w:lang w:val="es"/>
        </w:rPr>
        <w:t xml:space="preserve">. </w:t>
      </w:r>
      <w:r>
        <w:rPr>
          <w:rFonts w:asciiTheme="minorBidi" w:hAnsiTheme="minorBidi" w:cstheme="minorBidi"/>
          <w:sz w:val="18"/>
          <w:szCs w:val="18"/>
          <w:lang w:val="es"/>
        </w:rPr>
        <w:tab/>
        <w:t xml:space="preserve">Comisión de </w:t>
      </w:r>
      <w:r w:rsidR="004B016F">
        <w:rPr>
          <w:rFonts w:asciiTheme="minorBidi" w:hAnsiTheme="minorBidi" w:cstheme="minorBidi"/>
          <w:sz w:val="18"/>
          <w:szCs w:val="18"/>
          <w:lang w:val="es"/>
        </w:rPr>
        <w:t xml:space="preserve">cuestiones </w:t>
      </w:r>
      <w:r>
        <w:rPr>
          <w:rFonts w:asciiTheme="minorBidi" w:hAnsiTheme="minorBidi" w:cstheme="minorBidi"/>
          <w:sz w:val="18"/>
          <w:szCs w:val="18"/>
          <w:lang w:val="es"/>
        </w:rPr>
        <w:t>administra</w:t>
      </w:r>
      <w:r w:rsidR="004B016F">
        <w:rPr>
          <w:rFonts w:asciiTheme="minorBidi" w:hAnsiTheme="minorBidi" w:cstheme="minorBidi"/>
          <w:sz w:val="18"/>
          <w:szCs w:val="18"/>
          <w:lang w:val="es"/>
        </w:rPr>
        <w:t>tivas,</w:t>
      </w:r>
      <w:r>
        <w:rPr>
          <w:rFonts w:asciiTheme="minorBidi" w:hAnsiTheme="minorBidi" w:cstheme="minorBidi"/>
          <w:sz w:val="18"/>
          <w:szCs w:val="18"/>
          <w:lang w:val="es"/>
        </w:rPr>
        <w:t xml:space="preserve"> asuntos generales, apoyo del programa y relaciones exteriores de la Conferencia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0D4C" w14:textId="7C84995B" w:rsidR="00D95C4C" w:rsidRPr="00C23A97" w:rsidRDefault="006F41B4">
    <w:pPr>
      <w:pStyle w:val="En-tte"/>
      <w:rPr>
        <w:rFonts w:ascii="Arial" w:hAnsi="Arial" w:cs="Arial"/>
      </w:rPr>
    </w:pPr>
    <w:r>
      <w:rPr>
        <w:rFonts w:ascii="Arial" w:hAnsi="Arial" w:cs="Arial"/>
        <w:sz w:val="20"/>
        <w:szCs w:val="20"/>
        <w:lang w:val="es"/>
      </w:rPr>
      <w:t xml:space="preserve">LHE/20/8.GA/15 - página </w:t>
    </w:r>
    <w:r>
      <w:rPr>
        <w:rStyle w:val="Numrodepage"/>
        <w:rFonts w:ascii="Arial" w:hAnsi="Arial" w:cs="Arial"/>
        <w:sz w:val="20"/>
        <w:szCs w:val="20"/>
        <w:lang w:val="es"/>
      </w:rPr>
      <w:fldChar w:fldCharType="begin"/>
    </w:r>
    <w:r>
      <w:rPr>
        <w:rStyle w:val="Numrodepage"/>
        <w:rFonts w:ascii="Arial" w:hAnsi="Arial" w:cs="Arial"/>
        <w:sz w:val="20"/>
        <w:szCs w:val="20"/>
        <w:lang w:val="es"/>
      </w:rPr>
      <w:instrText xml:space="preserve"> PAGE </w:instrText>
    </w:r>
    <w:r>
      <w:rPr>
        <w:rStyle w:val="Numrodepage"/>
        <w:rFonts w:ascii="Arial" w:hAnsi="Arial" w:cs="Arial"/>
        <w:sz w:val="20"/>
        <w:szCs w:val="20"/>
        <w:lang w:val="es"/>
      </w:rPr>
      <w:fldChar w:fldCharType="separate"/>
    </w:r>
    <w:r w:rsidR="007752C0">
      <w:rPr>
        <w:rStyle w:val="Numrodepage"/>
        <w:rFonts w:ascii="Arial" w:hAnsi="Arial" w:cs="Arial"/>
        <w:noProof/>
        <w:sz w:val="20"/>
        <w:szCs w:val="20"/>
        <w:lang w:val="es"/>
      </w:rPr>
      <w:t>4</w:t>
    </w:r>
    <w:r>
      <w:rPr>
        <w:rStyle w:val="Numrodepage"/>
        <w:rFonts w:ascii="Arial" w:hAnsi="Arial" w:cs="Arial"/>
        <w:sz w:val="20"/>
        <w:szCs w:val="20"/>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8218" w14:textId="5E28BDB1" w:rsidR="00D95C4C" w:rsidRPr="0063300C" w:rsidRDefault="00B96B09" w:rsidP="0063300C">
    <w:pPr>
      <w:pStyle w:val="En-tte"/>
      <w:jc w:val="right"/>
      <w:rPr>
        <w:rFonts w:ascii="Arial" w:hAnsi="Arial" w:cs="Arial"/>
      </w:rPr>
    </w:pPr>
    <w:r>
      <w:rPr>
        <w:rFonts w:ascii="Arial" w:hAnsi="Arial" w:cs="Arial"/>
        <w:sz w:val="20"/>
        <w:szCs w:val="20"/>
        <w:lang w:val="es"/>
      </w:rPr>
      <w:t xml:space="preserve">ITH/18/8.GA/15 - página </w:t>
    </w:r>
    <w:r>
      <w:rPr>
        <w:rStyle w:val="Numrodepage"/>
        <w:rFonts w:ascii="Arial" w:hAnsi="Arial" w:cs="Arial"/>
        <w:sz w:val="20"/>
        <w:szCs w:val="20"/>
        <w:lang w:val="es"/>
      </w:rPr>
      <w:fldChar w:fldCharType="begin"/>
    </w:r>
    <w:r>
      <w:rPr>
        <w:rStyle w:val="Numrodepage"/>
        <w:rFonts w:ascii="Arial" w:hAnsi="Arial" w:cs="Arial"/>
        <w:sz w:val="20"/>
        <w:szCs w:val="20"/>
        <w:lang w:val="es"/>
      </w:rPr>
      <w:instrText xml:space="preserve"> PAGE </w:instrText>
    </w:r>
    <w:r>
      <w:rPr>
        <w:rStyle w:val="Numrodepage"/>
        <w:rFonts w:ascii="Arial" w:hAnsi="Arial" w:cs="Arial"/>
        <w:sz w:val="20"/>
        <w:szCs w:val="20"/>
        <w:lang w:val="es"/>
      </w:rPr>
      <w:fldChar w:fldCharType="separate"/>
    </w:r>
    <w:r w:rsidR="007752C0">
      <w:rPr>
        <w:rStyle w:val="Numrodepage"/>
        <w:rFonts w:ascii="Arial" w:hAnsi="Arial" w:cs="Arial"/>
        <w:noProof/>
        <w:sz w:val="20"/>
        <w:szCs w:val="20"/>
        <w:lang w:val="es"/>
      </w:rPr>
      <w:t>3</w:t>
    </w:r>
    <w:r>
      <w:rPr>
        <w:rStyle w:val="Numrodepage"/>
        <w:rFonts w:ascii="Arial" w:hAnsi="Arial" w:cs="Arial"/>
        <w:sz w:val="20"/>
        <w:szCs w:val="20"/>
        <w:lang w:val="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FC11" w14:textId="655BE121" w:rsidR="00D95C4C" w:rsidRPr="004251C4" w:rsidRDefault="00495BE0" w:rsidP="003E6F2A">
    <w:pPr>
      <w:pStyle w:val="En-tte"/>
      <w:rPr>
        <w:lang w:val="es-419"/>
      </w:rPr>
    </w:pPr>
    <w:r w:rsidRPr="0064212C">
      <w:rPr>
        <w:noProof/>
        <w:lang w:eastAsia="ja-JP"/>
      </w:rPr>
      <w:drawing>
        <wp:anchor distT="0" distB="0" distL="114300" distR="114300" simplePos="0" relativeHeight="251659264" behindDoc="1" locked="0" layoutInCell="1" allowOverlap="1" wp14:anchorId="10D8A647" wp14:editId="626FABDC">
          <wp:simplePos x="0" y="0"/>
          <wp:positionH relativeFrom="margin">
            <wp:posOffset>0</wp:posOffset>
          </wp:positionH>
          <wp:positionV relativeFrom="page">
            <wp:posOffset>252095</wp:posOffset>
          </wp:positionV>
          <wp:extent cx="2109600" cy="1422000"/>
          <wp:effectExtent l="0" t="0" r="5080" b="6985"/>
          <wp:wrapNone/>
          <wp:docPr id="2"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b="7323"/>
                  <a:stretch>
                    <a:fillRect/>
                  </a:stretch>
                </pic:blipFill>
                <pic:spPr bwMode="auto">
                  <a:xfrm>
                    <a:off x="0" y="0"/>
                    <a:ext cx="2109600" cy="142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C1FE3A" w14:textId="77777777" w:rsidR="00D95C4C" w:rsidRPr="004251C4" w:rsidRDefault="006F41B4" w:rsidP="00655736">
    <w:pPr>
      <w:pStyle w:val="En-tte"/>
      <w:spacing w:after="520"/>
      <w:jc w:val="right"/>
      <w:rPr>
        <w:rFonts w:ascii="Arial" w:hAnsi="Arial" w:cs="Arial"/>
        <w:b/>
        <w:sz w:val="44"/>
        <w:szCs w:val="44"/>
        <w:lang w:val="es-419"/>
      </w:rPr>
    </w:pPr>
    <w:r w:rsidRPr="004251C4">
      <w:rPr>
        <w:rFonts w:ascii="Arial" w:hAnsi="Arial" w:cs="Arial"/>
        <w:b/>
        <w:bCs/>
        <w:sz w:val="44"/>
        <w:szCs w:val="44"/>
        <w:lang w:val="es-419"/>
      </w:rPr>
      <w:t>8 GA</w:t>
    </w:r>
  </w:p>
  <w:p w14:paraId="7842E031" w14:textId="3DCC745E" w:rsidR="00D95C4C" w:rsidRPr="004251C4" w:rsidRDefault="006F41B4" w:rsidP="00655736">
    <w:pPr>
      <w:jc w:val="right"/>
      <w:rPr>
        <w:rFonts w:ascii="Arial" w:hAnsi="Arial" w:cs="Arial"/>
        <w:b/>
        <w:sz w:val="22"/>
        <w:szCs w:val="22"/>
        <w:lang w:val="es-419"/>
      </w:rPr>
    </w:pPr>
    <w:r w:rsidRPr="004251C4">
      <w:rPr>
        <w:rFonts w:ascii="Arial" w:hAnsi="Arial" w:cs="Arial"/>
        <w:b/>
        <w:bCs/>
        <w:sz w:val="22"/>
        <w:szCs w:val="22"/>
        <w:lang w:val="es-419"/>
      </w:rPr>
      <w:t>LHE/20/8.GA/15</w:t>
    </w:r>
  </w:p>
  <w:p w14:paraId="389FB1EF" w14:textId="4E578C6C" w:rsidR="00D95C4C" w:rsidRPr="004251C4" w:rsidRDefault="00D95C4C" w:rsidP="00655736">
    <w:pPr>
      <w:jc w:val="right"/>
      <w:rPr>
        <w:rFonts w:ascii="Arial" w:hAnsi="Arial" w:cs="Arial"/>
        <w:b/>
        <w:sz w:val="22"/>
        <w:szCs w:val="22"/>
        <w:lang w:val="es-419"/>
      </w:rPr>
    </w:pPr>
    <w:r w:rsidRPr="004251C4">
      <w:rPr>
        <w:rFonts w:ascii="Arial" w:hAnsi="Arial" w:cs="Arial"/>
        <w:b/>
        <w:bCs/>
        <w:sz w:val="22"/>
        <w:szCs w:val="22"/>
        <w:lang w:val="es-419"/>
      </w:rPr>
      <w:t xml:space="preserve">París, </w:t>
    </w:r>
    <w:r w:rsidR="004251C4">
      <w:rPr>
        <w:rFonts w:ascii="Arial" w:hAnsi="Arial" w:cs="Arial"/>
        <w:b/>
        <w:bCs/>
        <w:sz w:val="22"/>
        <w:szCs w:val="22"/>
        <w:lang w:val="es-ES"/>
      </w:rPr>
      <w:t xml:space="preserve">7 </w:t>
    </w:r>
    <w:r w:rsidR="004251C4" w:rsidRPr="007F140E">
      <w:rPr>
        <w:rFonts w:ascii="Arial" w:hAnsi="Arial" w:cs="Arial"/>
        <w:b/>
        <w:bCs/>
        <w:sz w:val="22"/>
        <w:szCs w:val="22"/>
        <w:lang w:val="es-ES"/>
      </w:rPr>
      <w:t>de septiembre de</w:t>
    </w:r>
    <w:r w:rsidRPr="004251C4">
      <w:rPr>
        <w:rFonts w:ascii="Arial" w:hAnsi="Arial" w:cs="Arial"/>
        <w:b/>
        <w:bCs/>
        <w:sz w:val="22"/>
        <w:szCs w:val="22"/>
        <w:lang w:val="es-419"/>
      </w:rPr>
      <w:t>de 2020</w:t>
    </w:r>
  </w:p>
  <w:p w14:paraId="6179FAA9" w14:textId="2648C6C8" w:rsidR="00D95C4C" w:rsidRPr="004251C4" w:rsidRDefault="00D95C4C" w:rsidP="00703FBF">
    <w:pPr>
      <w:jc w:val="right"/>
      <w:rPr>
        <w:rFonts w:ascii="Arial" w:hAnsi="Arial" w:cs="Arial"/>
        <w:b/>
        <w:sz w:val="22"/>
        <w:szCs w:val="22"/>
        <w:lang w:val="es-419"/>
      </w:rPr>
    </w:pPr>
    <w:r w:rsidRPr="004251C4">
      <w:rPr>
        <w:rFonts w:ascii="Arial" w:hAnsi="Arial" w:cs="Arial"/>
        <w:b/>
        <w:bCs/>
        <w:sz w:val="22"/>
        <w:szCs w:val="22"/>
        <w:lang w:val="es-419"/>
      </w:rPr>
      <w:t xml:space="preserve">Original: </w:t>
    </w:r>
    <w:r w:rsidR="00E028E7" w:rsidRPr="003E6F2A">
      <w:rPr>
        <w:rFonts w:ascii="Arial" w:hAnsi="Arial" w:cs="Arial"/>
        <w:b/>
        <w:bCs/>
        <w:sz w:val="22"/>
        <w:szCs w:val="22"/>
        <w:lang w:val="es-419"/>
      </w:rPr>
      <w:t>i</w:t>
    </w:r>
    <w:r w:rsidRPr="004251C4">
      <w:rPr>
        <w:rFonts w:ascii="Arial" w:hAnsi="Arial" w:cs="Arial"/>
        <w:b/>
        <w:bCs/>
        <w:sz w:val="22"/>
        <w:szCs w:val="22"/>
        <w:lang w:val="es-419"/>
      </w:rPr>
      <w:t>nglés</w:t>
    </w:r>
  </w:p>
  <w:p w14:paraId="1F920142" w14:textId="77777777" w:rsidR="00540FE0" w:rsidRPr="004251C4" w:rsidRDefault="00540FE0" w:rsidP="00540FE0">
    <w:pPr>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2FD3"/>
    <w:multiLevelType w:val="hybridMultilevel"/>
    <w:tmpl w:val="A76459EE"/>
    <w:lvl w:ilvl="0" w:tplc="5E36DC3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044427B"/>
    <w:multiLevelType w:val="hybridMultilevel"/>
    <w:tmpl w:val="4D6A39A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98050B"/>
    <w:multiLevelType w:val="hybridMultilevel"/>
    <w:tmpl w:val="B0E4A6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54A22308"/>
    <w:multiLevelType w:val="hybridMultilevel"/>
    <w:tmpl w:val="297AB420"/>
    <w:lvl w:ilvl="0" w:tplc="AFB64EC8">
      <w:start w:val="64"/>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15:restartNumberingAfterBreak="0">
    <w:nsid w:val="5F7E20C1"/>
    <w:multiLevelType w:val="hybridMultilevel"/>
    <w:tmpl w:val="8960B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7"/>
  </w:num>
  <w:num w:numId="3">
    <w:abstractNumId w:val="4"/>
  </w:num>
  <w:num w:numId="4">
    <w:abstractNumId w:val="20"/>
  </w:num>
  <w:num w:numId="5">
    <w:abstractNumId w:val="18"/>
  </w:num>
  <w:num w:numId="6">
    <w:abstractNumId w:val="2"/>
  </w:num>
  <w:num w:numId="7">
    <w:abstractNumId w:val="5"/>
  </w:num>
  <w:num w:numId="8">
    <w:abstractNumId w:val="12"/>
  </w:num>
  <w:num w:numId="9">
    <w:abstractNumId w:val="6"/>
  </w:num>
  <w:num w:numId="10">
    <w:abstractNumId w:val="8"/>
  </w:num>
  <w:num w:numId="11">
    <w:abstractNumId w:val="11"/>
  </w:num>
  <w:num w:numId="12">
    <w:abstractNumId w:val="9"/>
  </w:num>
  <w:num w:numId="13">
    <w:abstractNumId w:val="19"/>
  </w:num>
  <w:num w:numId="14">
    <w:abstractNumId w:val="14"/>
  </w:num>
  <w:num w:numId="15">
    <w:abstractNumId w:val="15"/>
  </w:num>
  <w:num w:numId="16">
    <w:abstractNumId w:val="8"/>
  </w:num>
  <w:num w:numId="17">
    <w:abstractNumId w:val="8"/>
  </w:num>
  <w:num w:numId="18">
    <w:abstractNumId w:val="8"/>
  </w:num>
  <w:num w:numId="19">
    <w:abstractNumId w:val="0"/>
  </w:num>
  <w:num w:numId="20">
    <w:abstractNumId w:val="1"/>
  </w:num>
  <w:num w:numId="21">
    <w:abstractNumId w:val="6"/>
  </w:num>
  <w:num w:numId="22">
    <w:abstractNumId w:val="6"/>
  </w:num>
  <w:num w:numId="23">
    <w:abstractNumId w:val="6"/>
  </w:num>
  <w:num w:numId="24">
    <w:abstractNumId w:val="6"/>
  </w:num>
  <w:num w:numId="25">
    <w:abstractNumId w:val="6"/>
  </w:num>
  <w:num w:numId="26">
    <w:abstractNumId w:val="6"/>
  </w:num>
  <w:num w:numId="27">
    <w:abstractNumId w:val="13"/>
  </w:num>
  <w:num w:numId="28">
    <w:abstractNumId w:val="6"/>
  </w:num>
  <w:num w:numId="29">
    <w:abstractNumId w:val="6"/>
  </w:num>
  <w:num w:numId="30">
    <w:abstractNumId w:val="6"/>
  </w:num>
  <w:num w:numId="31">
    <w:abstractNumId w:val="17"/>
  </w:num>
  <w:num w:numId="32">
    <w:abstractNumId w:val="6"/>
  </w:num>
  <w:num w:numId="33">
    <w:abstractNumId w:val="6"/>
  </w:num>
  <w:num w:numId="34">
    <w:abstractNumId w:val="6"/>
  </w:num>
  <w:num w:numId="35">
    <w:abstractNumId w:val="6"/>
  </w:num>
  <w:num w:numId="36">
    <w:abstractNumId w:val="6"/>
  </w:num>
  <w:num w:numId="37">
    <w:abstractNumId w:val="10"/>
  </w:num>
  <w:num w:numId="38">
    <w:abstractNumId w:val="6"/>
  </w:num>
  <w:num w:numId="39">
    <w:abstractNumId w:val="6"/>
  </w:num>
  <w:num w:numId="40">
    <w:abstractNumId w:val="3"/>
  </w:num>
  <w:num w:numId="41">
    <w:abstractNumId w:val="6"/>
  </w:num>
  <w:num w:numId="42">
    <w:abstractNumId w:val="6"/>
  </w:num>
  <w:num w:numId="43">
    <w:abstractNumId w:val="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ES_tradnl" w:vendorID="64" w:dllVersion="0" w:nlCheck="1" w:checkStyle="0"/>
  <w:activeWritingStyle w:appName="MSWord" w:lang="pt-BR" w:vendorID="64" w:dllVersion="0" w:nlCheck="1" w:checkStyle="0"/>
  <w:activeWritingStyle w:appName="MSWord" w:lang="fr-FR" w:vendorID="64" w:dllVersion="0" w:nlCheck="1" w:checkStyle="0"/>
  <w:activeWritingStyle w:appName="MSWord" w:lang="es-419" w:vendorID="64" w:dllVersion="0" w:nlCheck="1" w:checkStyle="0"/>
  <w:activeWritingStyle w:appName="MSWord" w:lang="es-ES_tradnl" w:vendorID="64" w:dllVersion="131078" w:nlCheck="1" w:checkStyle="0"/>
  <w:activeWritingStyle w:appName="MSWord" w:lang="pt-BR" w:vendorID="64" w:dllVersion="131078" w:nlCheck="1" w:checkStyle="0"/>
  <w:activeWritingStyle w:appName="MSWord" w:lang="es-419"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0634B"/>
    <w:rsid w:val="00041A66"/>
    <w:rsid w:val="0005176E"/>
    <w:rsid w:val="000765F7"/>
    <w:rsid w:val="00077AB7"/>
    <w:rsid w:val="00081CD8"/>
    <w:rsid w:val="00082D24"/>
    <w:rsid w:val="000A3E40"/>
    <w:rsid w:val="000A7F0E"/>
    <w:rsid w:val="000B1862"/>
    <w:rsid w:val="000C0D61"/>
    <w:rsid w:val="000F3A3F"/>
    <w:rsid w:val="00102557"/>
    <w:rsid w:val="00106A6E"/>
    <w:rsid w:val="00113B1A"/>
    <w:rsid w:val="00141A3D"/>
    <w:rsid w:val="00164D56"/>
    <w:rsid w:val="00167B10"/>
    <w:rsid w:val="00170D77"/>
    <w:rsid w:val="0017402F"/>
    <w:rsid w:val="00176720"/>
    <w:rsid w:val="00196C1B"/>
    <w:rsid w:val="001A6D6E"/>
    <w:rsid w:val="001A7DA9"/>
    <w:rsid w:val="001B0F73"/>
    <w:rsid w:val="001B5301"/>
    <w:rsid w:val="001B6812"/>
    <w:rsid w:val="001C3312"/>
    <w:rsid w:val="001C4825"/>
    <w:rsid w:val="001D1AE3"/>
    <w:rsid w:val="001D5C04"/>
    <w:rsid w:val="001F18B9"/>
    <w:rsid w:val="001F2712"/>
    <w:rsid w:val="0020027A"/>
    <w:rsid w:val="0021539E"/>
    <w:rsid w:val="00222A2D"/>
    <w:rsid w:val="00223029"/>
    <w:rsid w:val="00234745"/>
    <w:rsid w:val="002407AF"/>
    <w:rsid w:val="002415CA"/>
    <w:rsid w:val="00257145"/>
    <w:rsid w:val="00273128"/>
    <w:rsid w:val="00284D2C"/>
    <w:rsid w:val="002B2472"/>
    <w:rsid w:val="002B39B7"/>
    <w:rsid w:val="002C09E3"/>
    <w:rsid w:val="002C475F"/>
    <w:rsid w:val="002D7033"/>
    <w:rsid w:val="002F312A"/>
    <w:rsid w:val="00316F60"/>
    <w:rsid w:val="00331320"/>
    <w:rsid w:val="003340BE"/>
    <w:rsid w:val="00335C6B"/>
    <w:rsid w:val="00344B1F"/>
    <w:rsid w:val="00345CB4"/>
    <w:rsid w:val="0035000E"/>
    <w:rsid w:val="003549B8"/>
    <w:rsid w:val="003918B7"/>
    <w:rsid w:val="0039795F"/>
    <w:rsid w:val="003A493E"/>
    <w:rsid w:val="003B1AAD"/>
    <w:rsid w:val="003D069C"/>
    <w:rsid w:val="003D7646"/>
    <w:rsid w:val="003E6F2A"/>
    <w:rsid w:val="003F113A"/>
    <w:rsid w:val="003F7B9D"/>
    <w:rsid w:val="004027E4"/>
    <w:rsid w:val="00414643"/>
    <w:rsid w:val="00414C9A"/>
    <w:rsid w:val="004251C4"/>
    <w:rsid w:val="0042539E"/>
    <w:rsid w:val="00427451"/>
    <w:rsid w:val="004421E5"/>
    <w:rsid w:val="00444BC5"/>
    <w:rsid w:val="00452284"/>
    <w:rsid w:val="00464C0C"/>
    <w:rsid w:val="004677DF"/>
    <w:rsid w:val="004856CA"/>
    <w:rsid w:val="0048632D"/>
    <w:rsid w:val="00495BE0"/>
    <w:rsid w:val="0049705E"/>
    <w:rsid w:val="004A34A0"/>
    <w:rsid w:val="004A43DE"/>
    <w:rsid w:val="004A715A"/>
    <w:rsid w:val="004B016F"/>
    <w:rsid w:val="004B048B"/>
    <w:rsid w:val="004B0E30"/>
    <w:rsid w:val="004C594C"/>
    <w:rsid w:val="004C70D6"/>
    <w:rsid w:val="004D5FE6"/>
    <w:rsid w:val="004F6BB0"/>
    <w:rsid w:val="00526B7B"/>
    <w:rsid w:val="005308CE"/>
    <w:rsid w:val="00540FE0"/>
    <w:rsid w:val="005438FC"/>
    <w:rsid w:val="00555191"/>
    <w:rsid w:val="00571FB4"/>
    <w:rsid w:val="00573A3B"/>
    <w:rsid w:val="0057439C"/>
    <w:rsid w:val="00582029"/>
    <w:rsid w:val="00595F83"/>
    <w:rsid w:val="005A386D"/>
    <w:rsid w:val="005B0127"/>
    <w:rsid w:val="005B7A35"/>
    <w:rsid w:val="005C4B73"/>
    <w:rsid w:val="005D29D5"/>
    <w:rsid w:val="005E1D2B"/>
    <w:rsid w:val="00600D93"/>
    <w:rsid w:val="0061133E"/>
    <w:rsid w:val="0063300C"/>
    <w:rsid w:val="0064212C"/>
    <w:rsid w:val="00655736"/>
    <w:rsid w:val="00663B8D"/>
    <w:rsid w:val="00666C30"/>
    <w:rsid w:val="006749EF"/>
    <w:rsid w:val="00691F9C"/>
    <w:rsid w:val="00696C8D"/>
    <w:rsid w:val="006A2AC2"/>
    <w:rsid w:val="006A3617"/>
    <w:rsid w:val="006A62CD"/>
    <w:rsid w:val="006B4F1C"/>
    <w:rsid w:val="006B6783"/>
    <w:rsid w:val="006D5012"/>
    <w:rsid w:val="006E300A"/>
    <w:rsid w:val="006E46E4"/>
    <w:rsid w:val="006F41B4"/>
    <w:rsid w:val="00703749"/>
    <w:rsid w:val="00703FBF"/>
    <w:rsid w:val="00717DA5"/>
    <w:rsid w:val="00723DED"/>
    <w:rsid w:val="00727AFE"/>
    <w:rsid w:val="00744371"/>
    <w:rsid w:val="00744484"/>
    <w:rsid w:val="00754192"/>
    <w:rsid w:val="007603E9"/>
    <w:rsid w:val="00763A0D"/>
    <w:rsid w:val="00763EE6"/>
    <w:rsid w:val="00773188"/>
    <w:rsid w:val="007752C0"/>
    <w:rsid w:val="00783782"/>
    <w:rsid w:val="00784B8C"/>
    <w:rsid w:val="00793872"/>
    <w:rsid w:val="007A3CF5"/>
    <w:rsid w:val="007D77B6"/>
    <w:rsid w:val="008022F0"/>
    <w:rsid w:val="00817F87"/>
    <w:rsid w:val="00823A11"/>
    <w:rsid w:val="008277DF"/>
    <w:rsid w:val="00834663"/>
    <w:rsid w:val="00837CAF"/>
    <w:rsid w:val="00852866"/>
    <w:rsid w:val="0085414A"/>
    <w:rsid w:val="0086269D"/>
    <w:rsid w:val="0086543A"/>
    <w:rsid w:val="008724E5"/>
    <w:rsid w:val="0087381D"/>
    <w:rsid w:val="00884A9D"/>
    <w:rsid w:val="0088512B"/>
    <w:rsid w:val="00892185"/>
    <w:rsid w:val="008948AA"/>
    <w:rsid w:val="008A1ED4"/>
    <w:rsid w:val="008A2B2D"/>
    <w:rsid w:val="008A4E1E"/>
    <w:rsid w:val="008B2844"/>
    <w:rsid w:val="008C296C"/>
    <w:rsid w:val="008D0CFE"/>
    <w:rsid w:val="008D4305"/>
    <w:rsid w:val="0090085E"/>
    <w:rsid w:val="0091468E"/>
    <w:rsid w:val="009163A7"/>
    <w:rsid w:val="00946D0B"/>
    <w:rsid w:val="00960DD0"/>
    <w:rsid w:val="00991367"/>
    <w:rsid w:val="009A18CD"/>
    <w:rsid w:val="00A12558"/>
    <w:rsid w:val="00A13903"/>
    <w:rsid w:val="00A34ED5"/>
    <w:rsid w:val="00A45DBF"/>
    <w:rsid w:val="00A645DF"/>
    <w:rsid w:val="00A65C29"/>
    <w:rsid w:val="00A755A2"/>
    <w:rsid w:val="00A9177F"/>
    <w:rsid w:val="00AA6660"/>
    <w:rsid w:val="00AB1FFD"/>
    <w:rsid w:val="00AB2C36"/>
    <w:rsid w:val="00AB70B6"/>
    <w:rsid w:val="00AD1A86"/>
    <w:rsid w:val="00AD3E62"/>
    <w:rsid w:val="00AD5F03"/>
    <w:rsid w:val="00AE103E"/>
    <w:rsid w:val="00AE6927"/>
    <w:rsid w:val="00AF0A07"/>
    <w:rsid w:val="00AF4AEC"/>
    <w:rsid w:val="00AF625E"/>
    <w:rsid w:val="00B275D9"/>
    <w:rsid w:val="00B324B7"/>
    <w:rsid w:val="00B40BA0"/>
    <w:rsid w:val="00B570C0"/>
    <w:rsid w:val="00B831C7"/>
    <w:rsid w:val="00B96B09"/>
    <w:rsid w:val="00BB04AF"/>
    <w:rsid w:val="00BB4FB7"/>
    <w:rsid w:val="00BC0FD0"/>
    <w:rsid w:val="00BD52C9"/>
    <w:rsid w:val="00BE3442"/>
    <w:rsid w:val="00BE6354"/>
    <w:rsid w:val="00C03E25"/>
    <w:rsid w:val="00C13BF3"/>
    <w:rsid w:val="00C15914"/>
    <w:rsid w:val="00C21BD0"/>
    <w:rsid w:val="00C23A97"/>
    <w:rsid w:val="00C424CF"/>
    <w:rsid w:val="00C42C66"/>
    <w:rsid w:val="00C55760"/>
    <w:rsid w:val="00C70EA7"/>
    <w:rsid w:val="00C7516E"/>
    <w:rsid w:val="00C75770"/>
    <w:rsid w:val="00C760D2"/>
    <w:rsid w:val="00C81CF1"/>
    <w:rsid w:val="00CB605C"/>
    <w:rsid w:val="00CB7DA1"/>
    <w:rsid w:val="00CF60FD"/>
    <w:rsid w:val="00D00B2B"/>
    <w:rsid w:val="00D139B4"/>
    <w:rsid w:val="00D24877"/>
    <w:rsid w:val="00D25762"/>
    <w:rsid w:val="00D33B90"/>
    <w:rsid w:val="00D417A5"/>
    <w:rsid w:val="00D64233"/>
    <w:rsid w:val="00D743BB"/>
    <w:rsid w:val="00D87792"/>
    <w:rsid w:val="00D91E28"/>
    <w:rsid w:val="00D95C4C"/>
    <w:rsid w:val="00DA05B5"/>
    <w:rsid w:val="00DA36ED"/>
    <w:rsid w:val="00DA7AD2"/>
    <w:rsid w:val="00DC7A5D"/>
    <w:rsid w:val="00DE34F1"/>
    <w:rsid w:val="00DF4942"/>
    <w:rsid w:val="00E028E7"/>
    <w:rsid w:val="00E04251"/>
    <w:rsid w:val="00E11D5E"/>
    <w:rsid w:val="00E36AAA"/>
    <w:rsid w:val="00E627B1"/>
    <w:rsid w:val="00E9376C"/>
    <w:rsid w:val="00E94D04"/>
    <w:rsid w:val="00EA335E"/>
    <w:rsid w:val="00EA528C"/>
    <w:rsid w:val="00ED440A"/>
    <w:rsid w:val="00ED652D"/>
    <w:rsid w:val="00EF19A6"/>
    <w:rsid w:val="00EF1FD0"/>
    <w:rsid w:val="00EF2896"/>
    <w:rsid w:val="00EF34E2"/>
    <w:rsid w:val="00EF4F1F"/>
    <w:rsid w:val="00EF69E3"/>
    <w:rsid w:val="00F010E0"/>
    <w:rsid w:val="00F53DE9"/>
    <w:rsid w:val="00F576CB"/>
    <w:rsid w:val="00F660FF"/>
    <w:rsid w:val="00F71A02"/>
    <w:rsid w:val="00F8791F"/>
    <w:rsid w:val="00FA6F30"/>
    <w:rsid w:val="00FB4D29"/>
    <w:rsid w:val="00FB6630"/>
    <w:rsid w:val="00FC7581"/>
    <w:rsid w:val="00FC78E8"/>
    <w:rsid w:val="00FD1226"/>
    <w:rsid w:val="00FD158F"/>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D1F95A"/>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Paragraphedeliste">
    <w:name w:val="List Paragraph"/>
    <w:basedOn w:val="Normal"/>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Lienhypertexte">
    <w:name w:val="Hyperlink"/>
    <w:basedOn w:val="Policepardfaut"/>
    <w:uiPriority w:val="99"/>
    <w:unhideWhenUsed/>
    <w:rsid w:val="00FC78E8"/>
    <w:rPr>
      <w:color w:val="0563C1" w:themeColor="hyperlink"/>
      <w:u w:val="single"/>
    </w:rPr>
  </w:style>
  <w:style w:type="character" w:styleId="Lienhypertextesuivivisit">
    <w:name w:val="FollowedHyperlink"/>
    <w:basedOn w:val="Policepardfaut"/>
    <w:uiPriority w:val="99"/>
    <w:semiHidden/>
    <w:unhideWhenUsed/>
    <w:rsid w:val="005438FC"/>
    <w:rPr>
      <w:color w:val="954F72" w:themeColor="followedHyperlink"/>
      <w:u w:val="single"/>
    </w:rPr>
  </w:style>
  <w:style w:type="character" w:styleId="Marquedecommentaire">
    <w:name w:val="annotation reference"/>
    <w:basedOn w:val="Policepardfaut"/>
    <w:uiPriority w:val="99"/>
    <w:semiHidden/>
    <w:unhideWhenUsed/>
    <w:rsid w:val="001B6812"/>
    <w:rPr>
      <w:sz w:val="16"/>
      <w:szCs w:val="16"/>
    </w:rPr>
  </w:style>
  <w:style w:type="paragraph" w:styleId="Commentaire">
    <w:name w:val="annotation text"/>
    <w:basedOn w:val="Normal"/>
    <w:link w:val="CommentaireCar"/>
    <w:uiPriority w:val="99"/>
    <w:semiHidden/>
    <w:unhideWhenUsed/>
    <w:rsid w:val="001B6812"/>
    <w:rPr>
      <w:sz w:val="20"/>
      <w:szCs w:val="20"/>
    </w:rPr>
  </w:style>
  <w:style w:type="character" w:customStyle="1" w:styleId="CommentaireCar">
    <w:name w:val="Commentaire Car"/>
    <w:basedOn w:val="Policepardfaut"/>
    <w:link w:val="Commentaire"/>
    <w:uiPriority w:val="99"/>
    <w:semiHidden/>
    <w:rsid w:val="001B6812"/>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1B6812"/>
    <w:rPr>
      <w:b/>
      <w:bCs/>
    </w:rPr>
  </w:style>
  <w:style w:type="character" w:customStyle="1" w:styleId="ObjetducommentaireCar">
    <w:name w:val="Objet du commentaire Car"/>
    <w:basedOn w:val="CommentaireCar"/>
    <w:link w:val="Objetducommentaire"/>
    <w:uiPriority w:val="99"/>
    <w:semiHidden/>
    <w:rsid w:val="001B6812"/>
    <w:rPr>
      <w:rFonts w:ascii="Times New Roman" w:eastAsia="Times New Roman" w:hAnsi="Times New Roman"/>
      <w:b/>
      <w:bCs/>
      <w:lang w:val="fr-FR" w:eastAsia="fr-FR"/>
    </w:rPr>
  </w:style>
  <w:style w:type="paragraph" w:customStyle="1" w:styleId="Texteduscnario">
    <w:name w:val="Texte du scénario"/>
    <w:basedOn w:val="Normal"/>
    <w:qFormat/>
    <w:rsid w:val="00AE6927"/>
    <w:pPr>
      <w:spacing w:after="240" w:line="360" w:lineRule="auto"/>
      <w:jc w:val="both"/>
    </w:pPr>
    <w:rPr>
      <w:rFonts w:ascii="Arial" w:eastAsia="SimSun" w:hAnsi="Arial" w:cs="Arial"/>
      <w:sz w:val="28"/>
      <w:lang w:val="en-GB"/>
    </w:rPr>
  </w:style>
  <w:style w:type="paragraph" w:styleId="Notedebasdepage">
    <w:name w:val="footnote text"/>
    <w:basedOn w:val="Normal"/>
    <w:link w:val="NotedebasdepageCar"/>
    <w:uiPriority w:val="99"/>
    <w:semiHidden/>
    <w:unhideWhenUsed/>
    <w:rsid w:val="00C81CF1"/>
    <w:rPr>
      <w:sz w:val="20"/>
      <w:szCs w:val="20"/>
    </w:rPr>
  </w:style>
  <w:style w:type="character" w:customStyle="1" w:styleId="NotedebasdepageCar">
    <w:name w:val="Note de bas de page Car"/>
    <w:basedOn w:val="Policepardfaut"/>
    <w:link w:val="Notedebasdepage"/>
    <w:uiPriority w:val="99"/>
    <w:semiHidden/>
    <w:rsid w:val="00C81CF1"/>
    <w:rPr>
      <w:rFonts w:ascii="Times New Roman" w:eastAsia="Times New Roman" w:hAnsi="Times New Roman"/>
      <w:lang w:val="fr-FR" w:eastAsia="fr-FR"/>
    </w:rPr>
  </w:style>
  <w:style w:type="character" w:styleId="Appelnotedebasdep">
    <w:name w:val="footnote reference"/>
    <w:basedOn w:val="Policepardfaut"/>
    <w:uiPriority w:val="99"/>
    <w:semiHidden/>
    <w:unhideWhenUsed/>
    <w:rsid w:val="00C81C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7.GA/12" TargetMode="External"/><Relationship Id="rId13" Type="http://schemas.openxmlformats.org/officeDocument/2006/relationships/hyperlink" Target="http://unesdoc.unesco.org/images/0026/002600/260089e.pdf" TargetMode="External"/><Relationship Id="rId18" Type="http://schemas.openxmlformats.org/officeDocument/2006/relationships/hyperlink" Target="https://ich.unesco.org/doc/src/ITH-18-7.GA-12-EN.docx" TargetMode="External"/><Relationship Id="rId26" Type="http://schemas.openxmlformats.org/officeDocument/2006/relationships/hyperlink" Target="https://ich.unesco.org/doc/src/LHE-20-8.GA-7_Rev.-ES.docx" TargetMode="External"/><Relationship Id="rId39" Type="http://schemas.openxmlformats.org/officeDocument/2006/relationships/hyperlink" Target="http://www.unesco.org/new/fileadmin/MULTIMEDIA/HQ/GBS/38GC/pdf/101_Resolution.pdf" TargetMode="External"/><Relationship Id="rId3" Type="http://schemas.openxmlformats.org/officeDocument/2006/relationships/styles" Target="styles.xml"/><Relationship Id="rId21" Type="http://schemas.openxmlformats.org/officeDocument/2006/relationships/hyperlink" Target="https://ich.unesco.org/en/Decisions/13.COM/17" TargetMode="External"/><Relationship Id="rId34" Type="http://schemas.openxmlformats.org/officeDocument/2006/relationships/hyperlink" Target="https://ich.unesco.org/en/Decisions/13.COM/17"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unesdoc.unesco.org/images/0025/002590/259081e.pdf" TargetMode="External"/><Relationship Id="rId17" Type="http://schemas.openxmlformats.org/officeDocument/2006/relationships/hyperlink" Target="https://ich.unesco.org/en/Resolutions/7.GA/13" TargetMode="External"/><Relationship Id="rId25" Type="http://schemas.openxmlformats.org/officeDocument/2006/relationships/hyperlink" Target="https://ich.unesco.org/doc/src/LHE-20-8.GA-7_Rev.-EN.docx" TargetMode="External"/><Relationship Id="rId33" Type="http://schemas.openxmlformats.org/officeDocument/2006/relationships/hyperlink" Target="https://ich.unesco.org/en/Decisions/14.COM/19" TargetMode="External"/><Relationship Id="rId38" Type="http://schemas.openxmlformats.org/officeDocument/2006/relationships/hyperlink" Target="https://ich.unesco.org/en/Resolutions/6.GA/1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doc/src/ITH-18-7.GA-13-EN.docx" TargetMode="External"/><Relationship Id="rId20" Type="http://schemas.openxmlformats.org/officeDocument/2006/relationships/hyperlink" Target="https://ich.unesco.org/doc/src/ITH-18-13.COM-17-EN.docx" TargetMode="External"/><Relationship Id="rId29" Type="http://schemas.openxmlformats.org/officeDocument/2006/relationships/hyperlink" Target="https://ich.unesco.org/doc/src/ITH-18-13.COM-17-EN.docx" TargetMode="External"/><Relationship Id="rId41" Type="http://schemas.openxmlformats.org/officeDocument/2006/relationships/hyperlink" Target="https://ich.unesco.org/en/Resolutions/7.GA/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6.GA/11" TargetMode="External"/><Relationship Id="rId24" Type="http://schemas.openxmlformats.org/officeDocument/2006/relationships/hyperlink" Target="https://ich.unesco.org/en/Decisions/14.COM/19" TargetMode="External"/><Relationship Id="rId32" Type="http://schemas.openxmlformats.org/officeDocument/2006/relationships/hyperlink" Target="https://ich.unesco.org/doc/src/ITH-18-7.GA-12-EN.docx" TargetMode="External"/><Relationship Id="rId37" Type="http://schemas.openxmlformats.org/officeDocument/2006/relationships/hyperlink" Target="https://ich.unesco.org/en/Resolutions/7.GA/13" TargetMode="External"/><Relationship Id="rId40" Type="http://schemas.openxmlformats.org/officeDocument/2006/relationships/hyperlink" Target="https://en.unesco.org/sites/default/files/39c-res87-governance-eng.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en/Decisions/12.COM/16" TargetMode="External"/><Relationship Id="rId23" Type="http://schemas.openxmlformats.org/officeDocument/2006/relationships/hyperlink" Target="https://ich.unesco.org/doc/src/LHE-20-8.GA-8-ES.docx" TargetMode="External"/><Relationship Id="rId28" Type="http://schemas.openxmlformats.org/officeDocument/2006/relationships/hyperlink" Target="https://ich.unesco.org/doc/src/LHE-19-14.COM-19-EN.docx" TargetMode="External"/><Relationship Id="rId36" Type="http://schemas.openxmlformats.org/officeDocument/2006/relationships/hyperlink" Target="https://ich.unesco.org/en/Resolutions/7.GA/12" TargetMode="External"/><Relationship Id="rId10" Type="http://schemas.openxmlformats.org/officeDocument/2006/relationships/hyperlink" Target="http://www.unesco.org/new/fileadmin/MULTIMEDIA/HQ/GBS/38GC/pdf/101_Resolution.pdf" TargetMode="External"/><Relationship Id="rId19" Type="http://schemas.openxmlformats.org/officeDocument/2006/relationships/hyperlink" Target="https://ich.unesco.org/en/Decisions/7.GA/12" TargetMode="External"/><Relationship Id="rId31" Type="http://schemas.openxmlformats.org/officeDocument/2006/relationships/hyperlink" Target="https://ich.unesco.org/doc/src/ITH-18-7.GA-13-EN.docx"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en/Resolutions/7.GA/13" TargetMode="External"/><Relationship Id="rId14" Type="http://schemas.openxmlformats.org/officeDocument/2006/relationships/hyperlink" Target="https://ich.unesco.org/doc/src/ITH-17-12.COM-16-EN.docx" TargetMode="External"/><Relationship Id="rId22" Type="http://schemas.openxmlformats.org/officeDocument/2006/relationships/hyperlink" Target="https://ich.unesco.org/doc/src/LHE-19-14.COM-19-EN.docx" TargetMode="External"/><Relationship Id="rId27" Type="http://schemas.openxmlformats.org/officeDocument/2006/relationships/hyperlink" Target="https://ich.unesco.org/doc/src/LHE-20-8.GA-8-ES.docx" TargetMode="External"/><Relationship Id="rId30" Type="http://schemas.openxmlformats.org/officeDocument/2006/relationships/hyperlink" Target="https://ich.unesco.org/doc/src/ITH-17-12.COM-16-EN.docx" TargetMode="External"/><Relationship Id="rId35" Type="http://schemas.openxmlformats.org/officeDocument/2006/relationships/hyperlink" Target="https://ich.unesco.org/en/Decisions/12.COM/16" TargetMode="External"/><Relationship Id="rId43"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6EE9-61D9-4ACE-8FFE-E9905DBC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7</TotalTime>
  <Pages>4</Pages>
  <Words>1933</Words>
  <Characters>10635</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Ohinata, Fumiko</cp:lastModifiedBy>
  <cp:revision>6</cp:revision>
  <cp:lastPrinted>2020-08-27T13:18:00Z</cp:lastPrinted>
  <dcterms:created xsi:type="dcterms:W3CDTF">2020-09-07T16:41:00Z</dcterms:created>
  <dcterms:modified xsi:type="dcterms:W3CDTF">2020-09-07T18:17:00Z</dcterms:modified>
</cp:coreProperties>
</file>