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CB73" w14:textId="77777777" w:rsidR="00655736" w:rsidRPr="00414643" w:rsidRDefault="00655736" w:rsidP="00655736">
      <w:pPr>
        <w:spacing w:before="1440"/>
        <w:jc w:val="center"/>
        <w:rPr>
          <w:rFonts w:ascii="Arial" w:hAnsi="Arial" w:cs="Arial"/>
          <w:b/>
          <w:sz w:val="22"/>
          <w:szCs w:val="22"/>
        </w:rPr>
      </w:pPr>
      <w:r>
        <w:rPr>
          <w:rFonts w:ascii="Arial" w:hAnsi="Arial" w:cs="Arial"/>
          <w:b/>
          <w:bCs/>
          <w:sz w:val="22"/>
          <w:szCs w:val="22"/>
        </w:rPr>
        <w:t>CONVENTION POUR LA SAUVEGARDE</w:t>
      </w:r>
      <w:r>
        <w:rPr>
          <w:rFonts w:ascii="Arial" w:hAnsi="Arial" w:cs="Arial"/>
          <w:sz w:val="22"/>
          <w:szCs w:val="22"/>
        </w:rPr>
        <w:br/>
      </w:r>
      <w:r>
        <w:rPr>
          <w:rFonts w:ascii="Arial" w:hAnsi="Arial" w:cs="Arial"/>
          <w:b/>
          <w:bCs/>
          <w:sz w:val="22"/>
          <w:szCs w:val="22"/>
        </w:rPr>
        <w:t>DU PATRIMOINE CULTUREL IMMATÉRIEL</w:t>
      </w:r>
    </w:p>
    <w:p w14:paraId="7B9AF761" w14:textId="77777777" w:rsidR="00655736" w:rsidRPr="00414643" w:rsidRDefault="00D95C4C" w:rsidP="00655736">
      <w:pPr>
        <w:spacing w:before="1200"/>
        <w:jc w:val="center"/>
        <w:rPr>
          <w:rFonts w:ascii="Arial" w:hAnsi="Arial" w:cs="Arial"/>
          <w:b/>
          <w:sz w:val="22"/>
          <w:szCs w:val="22"/>
        </w:rPr>
      </w:pPr>
      <w:r>
        <w:rPr>
          <w:rFonts w:ascii="Arial" w:hAnsi="Arial" w:cs="Arial"/>
          <w:b/>
          <w:bCs/>
          <w:sz w:val="22"/>
          <w:szCs w:val="22"/>
        </w:rPr>
        <w:t>ASSEMBLÉE GÉNÉRALE DES ÉTATS PARTIES À LA CONVENTION</w:t>
      </w:r>
    </w:p>
    <w:p w14:paraId="03114711" w14:textId="77777777" w:rsidR="00D95C4C" w:rsidRPr="00FD624F" w:rsidRDefault="006F41B4" w:rsidP="00D95C4C">
      <w:pPr>
        <w:spacing w:before="840"/>
        <w:jc w:val="center"/>
        <w:rPr>
          <w:rFonts w:ascii="Arial" w:hAnsi="Arial" w:cs="Arial"/>
          <w:b/>
          <w:sz w:val="22"/>
          <w:szCs w:val="22"/>
        </w:rPr>
      </w:pPr>
      <w:r>
        <w:rPr>
          <w:rFonts w:ascii="Arial" w:hAnsi="Arial" w:cs="Arial"/>
          <w:b/>
          <w:bCs/>
          <w:sz w:val="22"/>
          <w:szCs w:val="22"/>
        </w:rPr>
        <w:t>Huitième session</w:t>
      </w:r>
    </w:p>
    <w:p w14:paraId="48E01059" w14:textId="71CA60EF" w:rsidR="00D95C4C" w:rsidRPr="00FD624F" w:rsidRDefault="00D95C4C" w:rsidP="00D95C4C">
      <w:pPr>
        <w:jc w:val="center"/>
        <w:rPr>
          <w:rFonts w:ascii="Arial" w:hAnsi="Arial" w:cs="Arial"/>
          <w:b/>
          <w:sz w:val="22"/>
          <w:szCs w:val="22"/>
        </w:rPr>
      </w:pPr>
      <w:r>
        <w:rPr>
          <w:rFonts w:ascii="Arial" w:hAnsi="Arial" w:cs="Arial"/>
          <w:b/>
          <w:bCs/>
          <w:sz w:val="22"/>
          <w:szCs w:val="22"/>
        </w:rPr>
        <w:t>Siège de l</w:t>
      </w:r>
      <w:r w:rsidR="001B73DB">
        <w:rPr>
          <w:rFonts w:ascii="Arial" w:hAnsi="Arial" w:cs="Arial"/>
          <w:b/>
          <w:bCs/>
          <w:sz w:val="22"/>
          <w:szCs w:val="22"/>
        </w:rPr>
        <w:t>’</w:t>
      </w:r>
      <w:r>
        <w:rPr>
          <w:rFonts w:ascii="Arial" w:hAnsi="Arial" w:cs="Arial"/>
          <w:b/>
          <w:bCs/>
          <w:sz w:val="22"/>
          <w:szCs w:val="22"/>
        </w:rPr>
        <w:t>UNESCO, Salle I</w:t>
      </w:r>
    </w:p>
    <w:p w14:paraId="56DFF083" w14:textId="660EEE75" w:rsidR="00655736" w:rsidRPr="00414643" w:rsidRDefault="00D25762" w:rsidP="00D95C4C">
      <w:pPr>
        <w:jc w:val="center"/>
        <w:rPr>
          <w:rFonts w:ascii="Arial" w:hAnsi="Arial" w:cs="Arial"/>
          <w:b/>
          <w:sz w:val="22"/>
          <w:szCs w:val="22"/>
        </w:rPr>
      </w:pPr>
      <w:r>
        <w:rPr>
          <w:rFonts w:ascii="Arial" w:hAnsi="Arial" w:cs="Arial"/>
          <w:b/>
          <w:bCs/>
          <w:sz w:val="22"/>
          <w:szCs w:val="22"/>
        </w:rPr>
        <w:t xml:space="preserve">8 </w:t>
      </w:r>
      <w:r w:rsidR="00571C8F">
        <w:rPr>
          <w:rFonts w:ascii="Arial" w:hAnsi="Arial" w:cs="Arial"/>
          <w:b/>
          <w:bCs/>
          <w:sz w:val="22"/>
          <w:szCs w:val="22"/>
        </w:rPr>
        <w:t>–</w:t>
      </w:r>
      <w:r>
        <w:rPr>
          <w:rFonts w:ascii="Arial" w:hAnsi="Arial" w:cs="Arial"/>
          <w:b/>
          <w:bCs/>
          <w:sz w:val="22"/>
          <w:szCs w:val="22"/>
        </w:rPr>
        <w:t xml:space="preserve"> 10 septembre 2020</w:t>
      </w:r>
    </w:p>
    <w:p w14:paraId="681ABBB0" w14:textId="1C2204E1" w:rsidR="00655736" w:rsidRPr="00414643" w:rsidRDefault="00655736" w:rsidP="00316F60">
      <w:pPr>
        <w:pStyle w:val="Sansinterligne2"/>
        <w:spacing w:before="960"/>
        <w:jc w:val="center"/>
        <w:rPr>
          <w:rFonts w:ascii="Arial" w:hAnsi="Arial" w:cs="Arial"/>
          <w:b/>
          <w:sz w:val="22"/>
          <w:szCs w:val="22"/>
        </w:rPr>
      </w:pPr>
      <w:r>
        <w:rPr>
          <w:rFonts w:ascii="Arial" w:hAnsi="Arial" w:cs="Arial"/>
          <w:b/>
          <w:bCs/>
          <w:sz w:val="22"/>
          <w:szCs w:val="22"/>
          <w:u w:val="single"/>
        </w:rPr>
        <w:t>Point 15 de l</w:t>
      </w:r>
      <w:r w:rsidR="001B73DB">
        <w:rPr>
          <w:rFonts w:ascii="Arial" w:hAnsi="Arial" w:cs="Arial"/>
          <w:b/>
          <w:bCs/>
          <w:sz w:val="22"/>
          <w:szCs w:val="22"/>
          <w:u w:val="single"/>
        </w:rPr>
        <w:t>’</w:t>
      </w:r>
      <w:r>
        <w:rPr>
          <w:rFonts w:ascii="Arial" w:hAnsi="Arial" w:cs="Arial"/>
          <w:b/>
          <w:bCs/>
          <w:sz w:val="22"/>
          <w:szCs w:val="22"/>
          <w:u w:val="single"/>
        </w:rPr>
        <w:t>ordre du jour provisoire</w:t>
      </w:r>
      <w:r w:rsidR="002F6F89">
        <w:rPr>
          <w:rFonts w:ascii="Arial" w:hAnsi="Arial" w:cs="Arial"/>
          <w:b/>
          <w:bCs/>
          <w:sz w:val="22"/>
          <w:szCs w:val="22"/>
          <w:u w:val="single"/>
        </w:rPr>
        <w:t> :</w:t>
      </w:r>
    </w:p>
    <w:p w14:paraId="649F3091" w14:textId="12AA628C" w:rsidR="002F312A" w:rsidRPr="00414643" w:rsidRDefault="00382398" w:rsidP="00316F60">
      <w:pPr>
        <w:pStyle w:val="Sansinterligne2"/>
        <w:spacing w:after="960"/>
        <w:jc w:val="center"/>
        <w:rPr>
          <w:rFonts w:ascii="Arial" w:hAnsi="Arial" w:cs="Arial"/>
          <w:b/>
          <w:sz w:val="22"/>
          <w:szCs w:val="22"/>
        </w:rPr>
      </w:pPr>
      <w:r>
        <w:rPr>
          <w:rFonts w:ascii="Arial" w:hAnsi="Arial" w:cs="Arial"/>
          <w:b/>
          <w:bCs/>
          <w:sz w:val="22"/>
          <w:szCs w:val="22"/>
        </w:rPr>
        <w:t>Suivi des recommandations du G</w:t>
      </w:r>
      <w:r w:rsidR="00817F87">
        <w:rPr>
          <w:rFonts w:ascii="Arial" w:hAnsi="Arial" w:cs="Arial"/>
          <w:b/>
          <w:bCs/>
          <w:sz w:val="22"/>
          <w:szCs w:val="22"/>
        </w:rPr>
        <w:t xml:space="preserve">roupe de travail à composition non limitée </w:t>
      </w:r>
      <w:r w:rsidR="00817F87">
        <w:rPr>
          <w:rFonts w:ascii="Arial" w:hAnsi="Arial" w:cs="Arial"/>
          <w:sz w:val="22"/>
          <w:szCs w:val="22"/>
        </w:rPr>
        <w:br/>
      </w:r>
      <w:r w:rsidR="00817F87">
        <w:rPr>
          <w:rFonts w:ascii="Arial" w:hAnsi="Arial" w:cs="Arial"/>
          <w:b/>
          <w:bCs/>
          <w:sz w:val="22"/>
          <w:szCs w:val="22"/>
        </w:rPr>
        <w:t>sur la gouvernance, les procédures et les méthodes de travail de l</w:t>
      </w:r>
      <w:r w:rsidR="001B73DB">
        <w:rPr>
          <w:rFonts w:ascii="Arial" w:hAnsi="Arial" w:cs="Arial"/>
          <w:b/>
          <w:bCs/>
          <w:sz w:val="22"/>
          <w:szCs w:val="22"/>
        </w:rPr>
        <w:t>’</w:t>
      </w:r>
      <w:r w:rsidR="00817F87">
        <w:rPr>
          <w:rFonts w:ascii="Arial" w:hAnsi="Arial" w:cs="Arial"/>
          <w:b/>
          <w:bCs/>
          <w:sz w:val="22"/>
          <w:szCs w:val="22"/>
        </w:rPr>
        <w:t xml:space="preserve">UNESCO </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655736" w:rsidRPr="00CF60FD" w14:paraId="2564288A" w14:textId="77777777" w:rsidTr="002F6F89">
        <w:trPr>
          <w:trHeight w:val="3660"/>
          <w:jc w:val="center"/>
        </w:trPr>
        <w:tc>
          <w:tcPr>
            <w:tcW w:w="5670" w:type="dxa"/>
            <w:vAlign w:val="center"/>
          </w:tcPr>
          <w:p w14:paraId="4A171E84" w14:textId="77777777" w:rsidR="0057439C" w:rsidRDefault="0057439C" w:rsidP="005B7A35">
            <w:pPr>
              <w:pStyle w:val="Sansinterligne1"/>
              <w:spacing w:before="200" w:after="200"/>
              <w:jc w:val="center"/>
              <w:rPr>
                <w:rFonts w:ascii="Arial" w:hAnsi="Arial" w:cs="Arial"/>
                <w:b/>
                <w:sz w:val="22"/>
                <w:szCs w:val="22"/>
              </w:rPr>
            </w:pPr>
            <w:r>
              <w:rPr>
                <w:rFonts w:ascii="Arial" w:hAnsi="Arial" w:cs="Arial"/>
                <w:b/>
                <w:bCs/>
                <w:sz w:val="22"/>
                <w:szCs w:val="22"/>
              </w:rPr>
              <w:t>Résumé</w:t>
            </w:r>
          </w:p>
          <w:p w14:paraId="73FA80BF" w14:textId="16331B63" w:rsidR="00D743BB" w:rsidRPr="00D743BB" w:rsidRDefault="001B73DB" w:rsidP="00D743BB">
            <w:pPr>
              <w:pStyle w:val="Sansinterligne1"/>
              <w:spacing w:before="200" w:after="200"/>
              <w:jc w:val="both"/>
              <w:rPr>
                <w:rFonts w:ascii="Arial" w:hAnsi="Arial" w:cs="Arial"/>
                <w:b/>
                <w:sz w:val="22"/>
                <w:szCs w:val="22"/>
              </w:rPr>
            </w:pPr>
            <w:r>
              <w:rPr>
                <w:rFonts w:ascii="Arial" w:hAnsi="Arial" w:cs="Arial"/>
              </w:rPr>
              <w:t>La septième session de l’</w:t>
            </w:r>
            <w:r w:rsidR="00D743BB">
              <w:rPr>
                <w:rFonts w:ascii="Arial" w:hAnsi="Arial" w:cs="Arial"/>
              </w:rPr>
              <w:t>Assemblée générale des États parties à la Convention de 2003 a demandé qu</w:t>
            </w:r>
            <w:r>
              <w:rPr>
                <w:rFonts w:ascii="Arial" w:hAnsi="Arial" w:cs="Arial"/>
              </w:rPr>
              <w:t>’</w:t>
            </w:r>
            <w:r w:rsidR="00D743BB">
              <w:rPr>
                <w:rFonts w:ascii="Arial" w:hAnsi="Arial" w:cs="Arial"/>
              </w:rPr>
              <w:t>un point soit inscrit à l</w:t>
            </w:r>
            <w:r>
              <w:rPr>
                <w:rFonts w:ascii="Arial" w:hAnsi="Arial" w:cs="Arial"/>
              </w:rPr>
              <w:t>’</w:t>
            </w:r>
            <w:r w:rsidR="00D743BB">
              <w:rPr>
                <w:rFonts w:ascii="Arial" w:hAnsi="Arial" w:cs="Arial"/>
              </w:rPr>
              <w:t>ordre du j</w:t>
            </w:r>
            <w:r>
              <w:rPr>
                <w:rFonts w:ascii="Arial" w:hAnsi="Arial" w:cs="Arial"/>
              </w:rPr>
              <w:t>our de la présente session de l’</w:t>
            </w:r>
            <w:r w:rsidR="00D743BB">
              <w:rPr>
                <w:rFonts w:ascii="Arial" w:hAnsi="Arial" w:cs="Arial"/>
              </w:rPr>
              <w:t>Assemblée générale pour traiter deux questions interdépendantes portant sur la gouvernance, les procédures et les méthodes de travail de la Convention de 2003. Le présent document fournit des informations sur les progrès réalisés à cet égard et propose une marche à suivre.</w:t>
            </w:r>
          </w:p>
          <w:p w14:paraId="6C2A1492" w14:textId="259B5D87" w:rsidR="00655736" w:rsidRPr="00414643" w:rsidRDefault="00FB6630" w:rsidP="00D743BB">
            <w:pPr>
              <w:pStyle w:val="Sansinterligne2"/>
              <w:spacing w:after="120"/>
              <w:jc w:val="both"/>
              <w:rPr>
                <w:rFonts w:ascii="Arial" w:hAnsi="Arial" w:cs="Arial"/>
                <w:b/>
                <w:sz w:val="22"/>
                <w:szCs w:val="22"/>
              </w:rPr>
            </w:pPr>
            <w:r>
              <w:rPr>
                <w:rFonts w:ascii="Arial" w:hAnsi="Arial" w:cs="Arial"/>
                <w:b/>
                <w:bCs/>
                <w:sz w:val="22"/>
                <w:szCs w:val="22"/>
              </w:rPr>
              <w:t>Décision requise</w:t>
            </w:r>
            <w:r w:rsidR="002F6F89">
              <w:rPr>
                <w:rFonts w:ascii="Arial" w:hAnsi="Arial" w:cs="Arial"/>
                <w:b/>
                <w:bCs/>
                <w:sz w:val="22"/>
                <w:szCs w:val="22"/>
              </w:rPr>
              <w:t> :</w:t>
            </w:r>
            <w:r>
              <w:rPr>
                <w:rFonts w:ascii="Arial" w:hAnsi="Arial" w:cs="Arial"/>
                <w:b/>
                <w:bCs/>
                <w:sz w:val="22"/>
                <w:szCs w:val="22"/>
              </w:rPr>
              <w:t xml:space="preserve"> </w:t>
            </w:r>
            <w:r>
              <w:rPr>
                <w:rFonts w:ascii="Arial" w:hAnsi="Arial" w:cs="Arial"/>
                <w:sz w:val="22"/>
                <w:szCs w:val="22"/>
              </w:rPr>
              <w:t xml:space="preserve">paragraphe </w:t>
            </w:r>
            <w:r w:rsidR="00F221F0">
              <w:rPr>
                <w:rFonts w:ascii="Arial" w:hAnsi="Arial" w:cs="Arial"/>
                <w:sz w:val="22"/>
                <w:szCs w:val="22"/>
              </w:rPr>
              <w:t>12</w:t>
            </w:r>
          </w:p>
        </w:tc>
      </w:tr>
    </w:tbl>
    <w:p w14:paraId="2864EBEF" w14:textId="77777777" w:rsidR="00962B42" w:rsidRDefault="00962B42" w:rsidP="00AB5732">
      <w:pPr>
        <w:pStyle w:val="GAPara"/>
        <w:numPr>
          <w:ilvl w:val="0"/>
          <w:numId w:val="0"/>
        </w:numPr>
        <w:ind w:left="720" w:hanging="360"/>
        <w:jc w:val="both"/>
        <w:rPr>
          <w:highlight w:val="lightGray"/>
          <w:lang w:val="fr-FR"/>
        </w:rPr>
      </w:pPr>
    </w:p>
    <w:p w14:paraId="3DBE0AA0" w14:textId="77777777" w:rsidR="00962B42" w:rsidRDefault="00962B42">
      <w:pPr>
        <w:rPr>
          <w:rFonts w:ascii="Arial" w:hAnsi="Arial" w:cs="Arial"/>
          <w:snapToGrid w:val="0"/>
          <w:sz w:val="22"/>
          <w:szCs w:val="22"/>
          <w:highlight w:val="lightGray"/>
          <w:lang w:eastAsia="en-US"/>
        </w:rPr>
      </w:pPr>
      <w:r>
        <w:rPr>
          <w:highlight w:val="lightGray"/>
        </w:rPr>
        <w:br w:type="page"/>
      </w:r>
    </w:p>
    <w:p w14:paraId="0E740795" w14:textId="4B8D221A" w:rsidR="00FC78E8" w:rsidRPr="00F221F0" w:rsidRDefault="00FC78E8" w:rsidP="00125ED6">
      <w:pPr>
        <w:pStyle w:val="GAPara"/>
        <w:numPr>
          <w:ilvl w:val="0"/>
          <w:numId w:val="19"/>
        </w:numPr>
        <w:ind w:left="567" w:hanging="567"/>
        <w:jc w:val="both"/>
        <w:rPr>
          <w:lang w:val="fr-FR"/>
        </w:rPr>
      </w:pPr>
      <w:r w:rsidRPr="00F221F0">
        <w:rPr>
          <w:lang w:val="fr-FR"/>
        </w:rPr>
        <w:lastRenderedPageBreak/>
        <w:t>La septième session de l</w:t>
      </w:r>
      <w:r w:rsidR="001B73DB">
        <w:rPr>
          <w:lang w:val="fr-FR"/>
        </w:rPr>
        <w:t>’</w:t>
      </w:r>
      <w:r w:rsidRPr="00F221F0">
        <w:rPr>
          <w:lang w:val="fr-FR"/>
        </w:rPr>
        <w:t>Assemblée générale des États parties à la Convention de 2003 a demandé qu</w:t>
      </w:r>
      <w:r w:rsidR="001B73DB">
        <w:rPr>
          <w:lang w:val="fr-FR"/>
        </w:rPr>
        <w:t>’</w:t>
      </w:r>
      <w:r w:rsidRPr="00F221F0">
        <w:rPr>
          <w:lang w:val="fr-FR"/>
        </w:rPr>
        <w:t>un point soit inscrit à l</w:t>
      </w:r>
      <w:r w:rsidR="001B73DB">
        <w:rPr>
          <w:lang w:val="fr-FR"/>
        </w:rPr>
        <w:t>’</w:t>
      </w:r>
      <w:r w:rsidRPr="00F221F0">
        <w:rPr>
          <w:lang w:val="fr-FR"/>
        </w:rPr>
        <w:t>ordre du jour de la présente session de l</w:t>
      </w:r>
      <w:r w:rsidR="001B73DB">
        <w:rPr>
          <w:lang w:val="fr-FR"/>
        </w:rPr>
        <w:t>’</w:t>
      </w:r>
      <w:r w:rsidRPr="00F221F0">
        <w:rPr>
          <w:lang w:val="fr-FR"/>
        </w:rPr>
        <w:t>Assemblée générale pour traiter deux questions interdépendantes portant sur la gouvernance, les procédures et les méthodes de travail de la Convention de 2003</w:t>
      </w:r>
      <w:r w:rsidR="002F6F89" w:rsidRPr="00F221F0">
        <w:rPr>
          <w:lang w:val="fr-FR"/>
        </w:rPr>
        <w:t> :</w:t>
      </w:r>
    </w:p>
    <w:p w14:paraId="1453A39E" w14:textId="17578D3F" w:rsidR="00F8791F" w:rsidRPr="00E94D04" w:rsidRDefault="00F8791F" w:rsidP="00F8791F">
      <w:pPr>
        <w:pStyle w:val="Marge"/>
        <w:numPr>
          <w:ilvl w:val="1"/>
          <w:numId w:val="19"/>
        </w:numPr>
      </w:pPr>
      <w:r>
        <w:rPr>
          <w:rFonts w:cs="Arial"/>
        </w:rPr>
        <w:t xml:space="preserve">Suivi de la mise en œuvre des recommandations pertinentes du </w:t>
      </w:r>
      <w:r w:rsidR="00CD157D">
        <w:rPr>
          <w:rFonts w:cs="Arial"/>
        </w:rPr>
        <w:t>G</w:t>
      </w:r>
      <w:r>
        <w:rPr>
          <w:rFonts w:cs="Arial"/>
        </w:rPr>
        <w:t>roupe de travail à composition non limitée sur la gouvernance, les procédures et les méthodes de travail des organes directeurs de l</w:t>
      </w:r>
      <w:r w:rsidR="001B73DB">
        <w:rPr>
          <w:rFonts w:cs="Arial"/>
        </w:rPr>
        <w:t>’</w:t>
      </w:r>
      <w:r>
        <w:rPr>
          <w:rFonts w:cs="Arial"/>
        </w:rPr>
        <w:t>UNESCO, notamment en proposant des projets d</w:t>
      </w:r>
      <w:r w:rsidR="001B73DB">
        <w:rPr>
          <w:rFonts w:cs="Arial"/>
        </w:rPr>
        <w:t>’</w:t>
      </w:r>
      <w:r>
        <w:rPr>
          <w:rFonts w:cs="Arial"/>
        </w:rPr>
        <w:t>amendements au Règlement intérieur de l</w:t>
      </w:r>
      <w:r w:rsidR="001B73DB">
        <w:rPr>
          <w:rFonts w:cs="Arial"/>
        </w:rPr>
        <w:t>’</w:t>
      </w:r>
      <w:r>
        <w:rPr>
          <w:rFonts w:cs="Arial"/>
        </w:rPr>
        <w:t>Assemblée générale (</w:t>
      </w:r>
      <w:hyperlink r:id="rId8" w:history="1">
        <w:r w:rsidR="00571C8F">
          <w:rPr>
            <w:rStyle w:val="Hyperlink"/>
            <w:rFonts w:cs="Arial"/>
          </w:rPr>
          <w:t>r</w:t>
        </w:r>
        <w:r>
          <w:rPr>
            <w:rStyle w:val="Hyperlink"/>
            <w:rFonts w:cs="Arial"/>
          </w:rPr>
          <w:t>ésolution</w:t>
        </w:r>
        <w:r w:rsidR="001A22E2">
          <w:rPr>
            <w:rStyle w:val="Hyperlink"/>
            <w:rFonts w:cs="Arial"/>
          </w:rPr>
          <w:t> </w:t>
        </w:r>
        <w:r>
          <w:rPr>
            <w:rStyle w:val="Hyperlink"/>
            <w:rFonts w:cs="Arial"/>
          </w:rPr>
          <w:t>7.GA</w:t>
        </w:r>
        <w:r w:rsidR="001A22E2">
          <w:rPr>
            <w:rStyle w:val="Hyperlink"/>
            <w:rFonts w:cs="Arial"/>
          </w:rPr>
          <w:t> </w:t>
        </w:r>
        <w:r>
          <w:rPr>
            <w:rStyle w:val="Hyperlink"/>
            <w:rFonts w:cs="Arial"/>
          </w:rPr>
          <w:t>12</w:t>
        </w:r>
      </w:hyperlink>
      <w:r>
        <w:rPr>
          <w:rFonts w:cs="Arial"/>
        </w:rPr>
        <w:t>),</w:t>
      </w:r>
    </w:p>
    <w:p w14:paraId="67B8989F" w14:textId="0497DAB5" w:rsidR="00E94D04" w:rsidRPr="00E94D04" w:rsidRDefault="00E94D04" w:rsidP="00FC78E8">
      <w:pPr>
        <w:pStyle w:val="Marge"/>
        <w:numPr>
          <w:ilvl w:val="1"/>
          <w:numId w:val="19"/>
        </w:numPr>
      </w:pPr>
      <w:r>
        <w:rPr>
          <w:rFonts w:cs="Arial"/>
        </w:rPr>
        <w:t>Harmonisation d</w:t>
      </w:r>
      <w:r w:rsidR="00CD1F34">
        <w:rPr>
          <w:rFonts w:cs="Arial"/>
        </w:rPr>
        <w:t>es</w:t>
      </w:r>
      <w:r>
        <w:rPr>
          <w:rFonts w:cs="Arial"/>
        </w:rPr>
        <w:t xml:space="preserve"> Règlement</w:t>
      </w:r>
      <w:r w:rsidR="00CD1F34">
        <w:rPr>
          <w:rFonts w:cs="Arial"/>
        </w:rPr>
        <w:t>s</w:t>
      </w:r>
      <w:r>
        <w:rPr>
          <w:rFonts w:cs="Arial"/>
        </w:rPr>
        <w:t xml:space="preserve"> intérieur</w:t>
      </w:r>
      <w:r w:rsidR="00CD1F34">
        <w:rPr>
          <w:rFonts w:cs="Arial"/>
        </w:rPr>
        <w:t>s</w:t>
      </w:r>
      <w:r>
        <w:rPr>
          <w:rFonts w:cs="Arial"/>
        </w:rPr>
        <w:t xml:space="preserve"> des six conventions </w:t>
      </w:r>
      <w:r w:rsidR="00571C8F">
        <w:rPr>
          <w:rFonts w:cs="Arial"/>
        </w:rPr>
        <w:t>culturelles</w:t>
      </w:r>
      <w:r>
        <w:rPr>
          <w:rFonts w:cs="Arial"/>
        </w:rPr>
        <w:t xml:space="preserve"> (</w:t>
      </w:r>
      <w:hyperlink r:id="rId9" w:history="1">
        <w:r w:rsidR="00571C8F">
          <w:rPr>
            <w:rStyle w:val="Hyperlink"/>
          </w:rPr>
          <w:t>r</w:t>
        </w:r>
        <w:r>
          <w:rPr>
            <w:rStyle w:val="Hyperlink"/>
          </w:rPr>
          <w:t>ésolution</w:t>
        </w:r>
        <w:r w:rsidR="001A22E2">
          <w:rPr>
            <w:rStyle w:val="Hyperlink"/>
          </w:rPr>
          <w:t> </w:t>
        </w:r>
        <w:r>
          <w:rPr>
            <w:rStyle w:val="Hyperlink"/>
          </w:rPr>
          <w:t>7.GA 13</w:t>
        </w:r>
      </w:hyperlink>
      <w:r>
        <w:rPr>
          <w:rStyle w:val="Hyperlink"/>
        </w:rPr>
        <w:t>).</w:t>
      </w:r>
    </w:p>
    <w:p w14:paraId="2FC3FCC1" w14:textId="29AA5BA4" w:rsidR="0021539E" w:rsidRPr="00F221F0" w:rsidRDefault="0021539E" w:rsidP="0021539E">
      <w:pPr>
        <w:pStyle w:val="GAPara"/>
        <w:numPr>
          <w:ilvl w:val="0"/>
          <w:numId w:val="19"/>
        </w:numPr>
        <w:ind w:left="567" w:hanging="567"/>
        <w:jc w:val="both"/>
        <w:rPr>
          <w:rStyle w:val="Hyperlink"/>
          <w:snapToGrid/>
          <w:color w:val="auto"/>
          <w:u w:val="none"/>
          <w:lang w:val="fr-FR"/>
        </w:rPr>
      </w:pPr>
      <w:r w:rsidRPr="00F221F0">
        <w:rPr>
          <w:lang w:val="fr-FR"/>
        </w:rPr>
        <w:t xml:space="preserve">Lors de sa trente-huitième session en 2015 </w:t>
      </w:r>
      <w:r w:rsidRPr="00F221F0">
        <w:rPr>
          <w:snapToGrid/>
          <w:lang w:val="fr-FR"/>
        </w:rPr>
        <w:t>(</w:t>
      </w:r>
      <w:hyperlink r:id="rId10" w:anchor="%5B%7B%22num%22%3A264%2C%22gen%22%3A0%7D%2C%7B%22name%22%3A%22XYZ%22%7D%2C54%2C771%2C0%5D" w:history="1">
        <w:r w:rsidR="00571C8F">
          <w:rPr>
            <w:rStyle w:val="Hyperlink"/>
            <w:lang w:val="fr-FR"/>
          </w:rPr>
          <w:t>r</w:t>
        </w:r>
        <w:r w:rsidRPr="00F221F0">
          <w:rPr>
            <w:rStyle w:val="Hyperlink"/>
            <w:lang w:val="fr-FR"/>
          </w:rPr>
          <w:t xml:space="preserve">ésolution </w:t>
        </w:r>
        <w:r w:rsidR="009E400C" w:rsidRPr="00F221F0">
          <w:rPr>
            <w:rStyle w:val="Hyperlink"/>
            <w:lang w:val="fr-FR"/>
          </w:rPr>
          <w:t>38 C/</w:t>
        </w:r>
        <w:r w:rsidRPr="00F221F0">
          <w:rPr>
            <w:rStyle w:val="Hyperlink"/>
            <w:lang w:val="fr-FR"/>
          </w:rPr>
          <w:t>101</w:t>
        </w:r>
      </w:hyperlink>
      <w:r w:rsidR="009E400C" w:rsidRPr="00F221F0">
        <w:rPr>
          <w:lang w:val="fr-FR"/>
        </w:rPr>
        <w:t xml:space="preserve">, </w:t>
      </w:r>
      <w:r w:rsidRPr="00F221F0">
        <w:rPr>
          <w:rStyle w:val="Hyperlink"/>
          <w:color w:val="auto"/>
          <w:u w:val="none"/>
          <w:lang w:val="fr-FR"/>
        </w:rPr>
        <w:t>document 38 C/23)</w:t>
      </w:r>
      <w:r w:rsidRPr="00F221F0">
        <w:rPr>
          <w:lang w:val="fr-FR"/>
        </w:rPr>
        <w:t>, la Conférence générale de l</w:t>
      </w:r>
      <w:r w:rsidR="001B73DB">
        <w:rPr>
          <w:lang w:val="fr-FR"/>
        </w:rPr>
        <w:t>’</w:t>
      </w:r>
      <w:r w:rsidRPr="00F221F0">
        <w:rPr>
          <w:lang w:val="fr-FR"/>
        </w:rPr>
        <w:t>UNESCO a invité tous les programmes</w:t>
      </w:r>
      <w:r w:rsidR="00C3223D">
        <w:rPr>
          <w:lang w:val="fr-FR"/>
        </w:rPr>
        <w:t xml:space="preserve"> intergouvernementaux</w:t>
      </w:r>
      <w:r w:rsidRPr="00F221F0">
        <w:rPr>
          <w:lang w:val="fr-FR"/>
        </w:rPr>
        <w:t>, comités et organes des conventions à discuter du suivi des recommandations du rapport du Commissaire aux comptes afin d</w:t>
      </w:r>
      <w:r w:rsidR="001B73DB">
        <w:rPr>
          <w:lang w:val="fr-FR"/>
        </w:rPr>
        <w:t>’</w:t>
      </w:r>
      <w:r w:rsidRPr="00F221F0">
        <w:rPr>
          <w:lang w:val="fr-FR"/>
        </w:rPr>
        <w:t>améliorer leur gouvernance par des mesures concrètes. Parallèlement</w:t>
      </w:r>
      <w:r w:rsidRPr="00F221F0">
        <w:rPr>
          <w:snapToGrid/>
          <w:lang w:val="fr-FR"/>
        </w:rPr>
        <w:t xml:space="preserve">, la même session de la Conférence générale a également créé un </w:t>
      </w:r>
      <w:r w:rsidR="00382398" w:rsidRPr="00F221F0">
        <w:rPr>
          <w:snapToGrid/>
          <w:lang w:val="fr-FR"/>
        </w:rPr>
        <w:t>Groupe</w:t>
      </w:r>
      <w:r w:rsidRPr="00F221F0">
        <w:rPr>
          <w:snapToGrid/>
          <w:lang w:val="fr-FR"/>
        </w:rPr>
        <w:t xml:space="preserve"> de travail à composition non limitée sur la gouvernance, </w:t>
      </w:r>
      <w:r w:rsidRPr="00F221F0">
        <w:rPr>
          <w:lang w:val="fr-FR"/>
        </w:rPr>
        <w:t>les procédures</w:t>
      </w:r>
      <w:r w:rsidRPr="00F221F0">
        <w:rPr>
          <w:snapToGrid/>
          <w:lang w:val="fr-FR"/>
        </w:rPr>
        <w:t xml:space="preserve"> et les méthodes de travail des organes directeurs de l</w:t>
      </w:r>
      <w:r w:rsidR="001B73DB">
        <w:rPr>
          <w:snapToGrid/>
          <w:lang w:val="fr-FR"/>
        </w:rPr>
        <w:t>’</w:t>
      </w:r>
      <w:r w:rsidRPr="00F221F0">
        <w:rPr>
          <w:snapToGrid/>
          <w:lang w:val="fr-FR"/>
        </w:rPr>
        <w:t>UNESCO, en vue de rechercher une synergie, une harmonisation, une efficacité et un impact accrus</w:t>
      </w:r>
      <w:r w:rsidRPr="00F221F0">
        <w:rPr>
          <w:rStyle w:val="Hyperlink"/>
          <w:color w:val="auto"/>
          <w:u w:val="none"/>
          <w:lang w:val="fr-FR"/>
        </w:rPr>
        <w:t>.</w:t>
      </w:r>
    </w:p>
    <w:p w14:paraId="0CC44EA9" w14:textId="5DAA6988" w:rsidR="00582029" w:rsidRPr="00F221F0" w:rsidRDefault="00960DD0" w:rsidP="00582029">
      <w:pPr>
        <w:pStyle w:val="GAPara"/>
        <w:numPr>
          <w:ilvl w:val="0"/>
          <w:numId w:val="19"/>
        </w:numPr>
        <w:ind w:left="567" w:hanging="567"/>
        <w:jc w:val="both"/>
        <w:rPr>
          <w:snapToGrid/>
          <w:lang w:val="fr-FR"/>
        </w:rPr>
      </w:pPr>
      <w:r w:rsidRPr="00F221F0">
        <w:rPr>
          <w:lang w:val="fr-FR"/>
        </w:rPr>
        <w:t>Constatant la disparité des règlements intérieurs des différents organes des conventions</w:t>
      </w:r>
      <w:r w:rsidR="00C3223D">
        <w:rPr>
          <w:lang w:val="fr-FR"/>
        </w:rPr>
        <w:t xml:space="preserve"> culturelles</w:t>
      </w:r>
      <w:r w:rsidRPr="00F221F0">
        <w:rPr>
          <w:lang w:val="fr-FR"/>
        </w:rPr>
        <w:t xml:space="preserve"> de l</w:t>
      </w:r>
      <w:r w:rsidR="001B73DB">
        <w:rPr>
          <w:lang w:val="fr-FR"/>
        </w:rPr>
        <w:t>’</w:t>
      </w:r>
      <w:r w:rsidRPr="00F221F0">
        <w:rPr>
          <w:lang w:val="fr-FR"/>
        </w:rPr>
        <w:t xml:space="preserve">UNESCO et conformément aux recommandations du Commissaire aux comptes, </w:t>
      </w:r>
      <w:r w:rsidRPr="00F221F0">
        <w:rPr>
          <w:color w:val="000000" w:themeColor="text1"/>
          <w:lang w:val="fr-FR"/>
        </w:rPr>
        <w:t>l</w:t>
      </w:r>
      <w:r w:rsidR="001B73DB">
        <w:rPr>
          <w:color w:val="000000" w:themeColor="text1"/>
          <w:lang w:val="fr-FR"/>
        </w:rPr>
        <w:t>’</w:t>
      </w:r>
      <w:r w:rsidRPr="00F221F0">
        <w:rPr>
          <w:color w:val="000000" w:themeColor="text1"/>
          <w:lang w:val="fr-FR"/>
        </w:rPr>
        <w:t xml:space="preserve">Assemblée générale, lors de sa sixième session en 2016, a invité les États parties à soumettre </w:t>
      </w:r>
      <w:r w:rsidRPr="00571C8F">
        <w:rPr>
          <w:lang w:val="fr-FR"/>
        </w:rPr>
        <w:t xml:space="preserve">des « propositions </w:t>
      </w:r>
      <w:r w:rsidR="00571C8F" w:rsidRPr="00571C8F">
        <w:rPr>
          <w:lang w:val="fr-FR"/>
        </w:rPr>
        <w:t xml:space="preserve">pour modifier son </w:t>
      </w:r>
      <w:r w:rsidR="00C3223D">
        <w:rPr>
          <w:lang w:val="fr-FR"/>
        </w:rPr>
        <w:t>R</w:t>
      </w:r>
      <w:r w:rsidRPr="00F221F0">
        <w:rPr>
          <w:lang w:val="fr-FR"/>
        </w:rPr>
        <w:t>èglement intérieur » (</w:t>
      </w:r>
      <w:hyperlink r:id="rId11" w:history="1">
        <w:r w:rsidR="00571C8F">
          <w:rPr>
            <w:rStyle w:val="Hyperlink"/>
            <w:lang w:val="fr-FR"/>
          </w:rPr>
          <w:t>r</w:t>
        </w:r>
        <w:r w:rsidRPr="00F221F0">
          <w:rPr>
            <w:rStyle w:val="Hyperlink"/>
            <w:lang w:val="fr-FR"/>
          </w:rPr>
          <w:t>ésolution</w:t>
        </w:r>
        <w:r w:rsidR="001A22E2">
          <w:rPr>
            <w:rStyle w:val="Hyperlink"/>
            <w:lang w:val="fr-FR"/>
          </w:rPr>
          <w:t> </w:t>
        </w:r>
        <w:r w:rsidRPr="00F221F0">
          <w:rPr>
            <w:rStyle w:val="Hyperlink"/>
            <w:lang w:val="fr-FR"/>
          </w:rPr>
          <w:t>6.GA</w:t>
        </w:r>
        <w:r w:rsidR="001A22E2">
          <w:rPr>
            <w:rStyle w:val="Hyperlink"/>
            <w:lang w:val="fr-FR"/>
          </w:rPr>
          <w:t> </w:t>
        </w:r>
        <w:r w:rsidRPr="00F221F0">
          <w:rPr>
            <w:rStyle w:val="Hyperlink"/>
            <w:lang w:val="fr-FR"/>
          </w:rPr>
          <w:t>11</w:t>
        </w:r>
      </w:hyperlink>
      <w:r w:rsidRPr="00F221F0">
        <w:rPr>
          <w:lang w:val="fr-FR"/>
        </w:rPr>
        <w:t>) pour améliorer la cohérence entre les six conventions</w:t>
      </w:r>
      <w:r w:rsidR="00C3223D">
        <w:rPr>
          <w:lang w:val="fr-FR"/>
        </w:rPr>
        <w:t xml:space="preserve"> culturelles</w:t>
      </w:r>
      <w:r w:rsidRPr="00F221F0">
        <w:rPr>
          <w:lang w:val="fr-FR"/>
        </w:rPr>
        <w:t xml:space="preserve"> de l</w:t>
      </w:r>
      <w:r w:rsidR="001B73DB">
        <w:rPr>
          <w:lang w:val="fr-FR"/>
        </w:rPr>
        <w:t>’</w:t>
      </w:r>
      <w:r w:rsidRPr="00F221F0">
        <w:rPr>
          <w:lang w:val="fr-FR"/>
        </w:rPr>
        <w:t xml:space="preserve">UNESCO. </w:t>
      </w:r>
    </w:p>
    <w:p w14:paraId="620A5500" w14:textId="0F807C15" w:rsidR="00582029" w:rsidRPr="00F221F0" w:rsidRDefault="00582029" w:rsidP="00582029">
      <w:pPr>
        <w:pStyle w:val="GAPara"/>
        <w:numPr>
          <w:ilvl w:val="0"/>
          <w:numId w:val="19"/>
        </w:numPr>
        <w:ind w:left="567" w:hanging="567"/>
        <w:jc w:val="both"/>
        <w:rPr>
          <w:snapToGrid/>
          <w:lang w:val="fr-FR"/>
        </w:rPr>
      </w:pPr>
      <w:r w:rsidRPr="00F221F0">
        <w:rPr>
          <w:lang w:val="fr-FR"/>
        </w:rPr>
        <w:t xml:space="preserve">Lors de sa trente-neuvième session en 2017, la Conférence générale a examiné le rapport du </w:t>
      </w:r>
      <w:r w:rsidR="00382398" w:rsidRPr="00F221F0">
        <w:rPr>
          <w:lang w:val="fr-FR"/>
        </w:rPr>
        <w:t>Groupe</w:t>
      </w:r>
      <w:r w:rsidRPr="00F221F0">
        <w:rPr>
          <w:lang w:val="fr-FR"/>
        </w:rPr>
        <w:t xml:space="preserve"> de travail à composition non limitée (</w:t>
      </w:r>
      <w:hyperlink r:id="rId12" w:history="1">
        <w:r w:rsidRPr="00F221F0">
          <w:rPr>
            <w:rStyle w:val="Hyperlink"/>
            <w:lang w:val="fr-FR"/>
          </w:rPr>
          <w:t>document 39 C/20</w:t>
        </w:r>
      </w:hyperlink>
      <w:r w:rsidRPr="00F221F0">
        <w:rPr>
          <w:lang w:val="fr-FR"/>
        </w:rPr>
        <w:t xml:space="preserve">) et, par sa résolution 39 C/87, elle a fait siennes les recommandations du </w:t>
      </w:r>
      <w:r w:rsidR="00382398" w:rsidRPr="00F221F0">
        <w:rPr>
          <w:lang w:val="fr-FR"/>
        </w:rPr>
        <w:t>Groupe</w:t>
      </w:r>
      <w:r w:rsidRPr="00F221F0">
        <w:rPr>
          <w:lang w:val="fr-FR"/>
        </w:rPr>
        <w:t xml:space="preserve"> telles que modifiées par la Commission</w:t>
      </w:r>
      <w:r w:rsidR="00CD157D" w:rsidRPr="00CD157D">
        <w:rPr>
          <w:lang w:val="fr-FR"/>
        </w:rPr>
        <w:t xml:space="preserve"> </w:t>
      </w:r>
      <w:r w:rsidR="00CD157D" w:rsidRPr="00F221F0">
        <w:rPr>
          <w:lang w:val="fr-FR"/>
        </w:rPr>
        <w:t>APX</w:t>
      </w:r>
      <w:r w:rsidR="00CD157D" w:rsidRPr="00AB5732">
        <w:rPr>
          <w:rStyle w:val="FootnoteReference"/>
          <w:lang w:val="fr-FR"/>
        </w:rPr>
        <w:t xml:space="preserve"> </w:t>
      </w:r>
      <w:r>
        <w:rPr>
          <w:rStyle w:val="FootnoteReference"/>
        </w:rPr>
        <w:footnoteReference w:id="1"/>
      </w:r>
      <w:r w:rsidRPr="00F221F0">
        <w:rPr>
          <w:lang w:val="fr-FR"/>
        </w:rPr>
        <w:t xml:space="preserve"> dans le </w:t>
      </w:r>
      <w:hyperlink r:id="rId13" w:history="1">
        <w:r w:rsidRPr="00F221F0">
          <w:rPr>
            <w:rStyle w:val="Hyperlink"/>
            <w:lang w:val="fr-FR"/>
          </w:rPr>
          <w:t>document 39 C/70</w:t>
        </w:r>
      </w:hyperlink>
      <w:r w:rsidRPr="00F221F0">
        <w:rPr>
          <w:lang w:val="fr-FR"/>
        </w:rPr>
        <w:t xml:space="preserve">. En outre, par la même résolution, la Conférence générale a invité le Conseil exécutif, le Directeur général et les organes directeurs des différents organes examinés par le </w:t>
      </w:r>
      <w:r w:rsidR="00382398" w:rsidRPr="00F221F0">
        <w:rPr>
          <w:lang w:val="fr-FR"/>
        </w:rPr>
        <w:t>Groupe</w:t>
      </w:r>
      <w:r w:rsidRPr="00F221F0">
        <w:rPr>
          <w:lang w:val="fr-FR"/>
        </w:rPr>
        <w:t xml:space="preserve"> de travail à composition non limitée sur la gouvernance, à mettre en œuvre, le cas échéant, les recommandations approuvées. L</w:t>
      </w:r>
      <w:r w:rsidR="001B73DB">
        <w:rPr>
          <w:lang w:val="fr-FR"/>
        </w:rPr>
        <w:t>’</w:t>
      </w:r>
      <w:r w:rsidRPr="00F221F0">
        <w:rPr>
          <w:lang w:val="fr-FR"/>
        </w:rPr>
        <w:t xml:space="preserve">examen par la douzième session du </w:t>
      </w:r>
      <w:r w:rsidR="0042659B">
        <w:rPr>
          <w:lang w:val="fr-FR"/>
        </w:rPr>
        <w:t>C</w:t>
      </w:r>
      <w:r w:rsidRPr="00F221F0">
        <w:rPr>
          <w:lang w:val="fr-FR"/>
        </w:rPr>
        <w:t>omité s</w:t>
      </w:r>
      <w:r w:rsidR="001B73DB">
        <w:rPr>
          <w:lang w:val="fr-FR"/>
        </w:rPr>
        <w:t>’</w:t>
      </w:r>
      <w:r w:rsidRPr="00F221F0">
        <w:rPr>
          <w:lang w:val="fr-FR"/>
        </w:rPr>
        <w:t xml:space="preserve">est limité aux recommandations du </w:t>
      </w:r>
      <w:r w:rsidR="00382398" w:rsidRPr="00F221F0">
        <w:rPr>
          <w:lang w:val="fr-FR"/>
        </w:rPr>
        <w:t>Groupe</w:t>
      </w:r>
      <w:r w:rsidRPr="00F221F0">
        <w:rPr>
          <w:lang w:val="fr-FR"/>
        </w:rPr>
        <w:t xml:space="preserve"> de travail à composition non limitée qui mentionnent spécifiquement la Convention de 2003 (</w:t>
      </w:r>
      <w:hyperlink r:id="rId14" w:history="1">
        <w:r w:rsidRPr="00F221F0">
          <w:rPr>
            <w:rStyle w:val="Hyperlink"/>
            <w:lang w:val="fr-FR"/>
          </w:rPr>
          <w:t>document ITH/17/12.COM/16</w:t>
        </w:r>
      </w:hyperlink>
      <w:r w:rsidR="009E400C" w:rsidRPr="00F221F0">
        <w:rPr>
          <w:lang w:val="fr-FR"/>
        </w:rPr>
        <w:t xml:space="preserve">, </w:t>
      </w:r>
      <w:hyperlink r:id="rId15" w:history="1">
        <w:r w:rsidR="00571C8F">
          <w:rPr>
            <w:rStyle w:val="Hyperlink"/>
            <w:lang w:val="fr-FR"/>
          </w:rPr>
          <w:t>d</w:t>
        </w:r>
        <w:r w:rsidRPr="00F221F0">
          <w:rPr>
            <w:rStyle w:val="Hyperlink"/>
            <w:lang w:val="fr-FR"/>
          </w:rPr>
          <w:t>écision 12.COM 16</w:t>
        </w:r>
      </w:hyperlink>
      <w:r w:rsidRPr="00F221F0">
        <w:rPr>
          <w:lang w:val="fr-FR"/>
        </w:rPr>
        <w:t>).</w:t>
      </w:r>
    </w:p>
    <w:p w14:paraId="416BD643" w14:textId="2A217F16" w:rsidR="003F7B9D" w:rsidRPr="00F221F0" w:rsidRDefault="00D64233" w:rsidP="00D64233">
      <w:pPr>
        <w:pStyle w:val="GAPara"/>
        <w:numPr>
          <w:ilvl w:val="0"/>
          <w:numId w:val="19"/>
        </w:numPr>
        <w:ind w:left="567" w:hanging="567"/>
        <w:jc w:val="both"/>
        <w:rPr>
          <w:snapToGrid/>
          <w:lang w:val="fr-FR"/>
        </w:rPr>
      </w:pPr>
      <w:r w:rsidRPr="00F221F0">
        <w:rPr>
          <w:lang w:val="fr-FR"/>
        </w:rPr>
        <w:t>La septième session de l</w:t>
      </w:r>
      <w:r w:rsidR="001B73DB">
        <w:rPr>
          <w:lang w:val="fr-FR"/>
        </w:rPr>
        <w:t>’</w:t>
      </w:r>
      <w:r w:rsidRPr="00F221F0">
        <w:rPr>
          <w:lang w:val="fr-FR"/>
        </w:rPr>
        <w:t xml:space="preserve">Assemblée générale en 2018 a ensuite examiné </w:t>
      </w:r>
      <w:r w:rsidR="00CD1F34" w:rsidRPr="00F221F0">
        <w:rPr>
          <w:lang w:val="fr-FR"/>
        </w:rPr>
        <w:t>simultanément</w:t>
      </w:r>
      <w:r w:rsidRPr="00F221F0">
        <w:rPr>
          <w:lang w:val="fr-FR"/>
        </w:rPr>
        <w:t xml:space="preserve"> deux points distincts </w:t>
      </w:r>
      <w:r w:rsidR="0042659B">
        <w:rPr>
          <w:lang w:val="fr-FR"/>
        </w:rPr>
        <w:t>concernant le</w:t>
      </w:r>
      <w:r w:rsidRPr="00F221F0">
        <w:rPr>
          <w:lang w:val="fr-FR"/>
        </w:rPr>
        <w:t xml:space="preserve"> suivi de la recommandation du </w:t>
      </w:r>
      <w:r w:rsidR="00382398" w:rsidRPr="00F221F0">
        <w:rPr>
          <w:lang w:val="fr-FR"/>
        </w:rPr>
        <w:t>Groupe</w:t>
      </w:r>
      <w:r w:rsidRPr="00F221F0">
        <w:rPr>
          <w:lang w:val="fr-FR"/>
        </w:rPr>
        <w:t xml:space="preserve"> de travail à composition non limitée et la révision du </w:t>
      </w:r>
      <w:r w:rsidR="00CD1F34" w:rsidRPr="00F221F0">
        <w:rPr>
          <w:lang w:val="fr-FR"/>
        </w:rPr>
        <w:t>R</w:t>
      </w:r>
      <w:r w:rsidRPr="00F221F0">
        <w:rPr>
          <w:lang w:val="fr-FR"/>
        </w:rPr>
        <w:t>èglement intérieur de l</w:t>
      </w:r>
      <w:r w:rsidR="001B73DB">
        <w:rPr>
          <w:lang w:val="fr-FR"/>
        </w:rPr>
        <w:t>’</w:t>
      </w:r>
      <w:r w:rsidRPr="00F221F0">
        <w:rPr>
          <w:lang w:val="fr-FR"/>
        </w:rPr>
        <w:t>Assemblée générale</w:t>
      </w:r>
      <w:r w:rsidR="0042659B">
        <w:rPr>
          <w:lang w:val="fr-FR"/>
        </w:rPr>
        <w:t>, conformément à</w:t>
      </w:r>
      <w:r w:rsidR="00962B42">
        <w:rPr>
          <w:lang w:val="fr-FR"/>
        </w:rPr>
        <w:t xml:space="preserve"> </w:t>
      </w:r>
      <w:r w:rsidRPr="00F221F0">
        <w:rPr>
          <w:lang w:val="fr-FR"/>
        </w:rPr>
        <w:t xml:space="preserve">certaines recommandations du </w:t>
      </w:r>
      <w:r w:rsidR="00382398" w:rsidRPr="00F221F0">
        <w:rPr>
          <w:lang w:val="fr-FR"/>
        </w:rPr>
        <w:t>Groupe</w:t>
      </w:r>
      <w:r w:rsidRPr="00F221F0">
        <w:rPr>
          <w:lang w:val="fr-FR"/>
        </w:rPr>
        <w:t xml:space="preserve"> de travail à composition non limitée préconis</w:t>
      </w:r>
      <w:r w:rsidR="0042659B">
        <w:rPr>
          <w:lang w:val="fr-FR"/>
        </w:rPr>
        <w:t>a</w:t>
      </w:r>
      <w:r w:rsidRPr="00F221F0">
        <w:rPr>
          <w:lang w:val="fr-FR"/>
        </w:rPr>
        <w:t>nt l</w:t>
      </w:r>
      <w:r w:rsidR="001B73DB">
        <w:rPr>
          <w:lang w:val="fr-FR"/>
        </w:rPr>
        <w:t>’</w:t>
      </w:r>
      <w:r w:rsidRPr="00F221F0">
        <w:rPr>
          <w:lang w:val="fr-FR"/>
        </w:rPr>
        <w:t xml:space="preserve">harmonisation </w:t>
      </w:r>
      <w:r w:rsidR="00CD1F34" w:rsidRPr="00F221F0">
        <w:rPr>
          <w:lang w:val="fr-FR"/>
        </w:rPr>
        <w:t>des</w:t>
      </w:r>
      <w:r w:rsidRPr="00F221F0">
        <w:rPr>
          <w:lang w:val="fr-FR"/>
        </w:rPr>
        <w:t xml:space="preserve"> </w:t>
      </w:r>
      <w:r w:rsidR="00CD1F34" w:rsidRPr="00F221F0">
        <w:rPr>
          <w:lang w:val="fr-FR"/>
        </w:rPr>
        <w:t>R</w:t>
      </w:r>
      <w:r w:rsidRPr="00F221F0">
        <w:rPr>
          <w:lang w:val="fr-FR"/>
        </w:rPr>
        <w:t>èglement</w:t>
      </w:r>
      <w:r w:rsidR="00CD1F34" w:rsidRPr="00F221F0">
        <w:rPr>
          <w:lang w:val="fr-FR"/>
        </w:rPr>
        <w:t>s</w:t>
      </w:r>
      <w:r w:rsidRPr="00F221F0">
        <w:rPr>
          <w:lang w:val="fr-FR"/>
        </w:rPr>
        <w:t xml:space="preserve"> intérieur</w:t>
      </w:r>
      <w:r w:rsidR="00CD1F34" w:rsidRPr="00F221F0">
        <w:rPr>
          <w:lang w:val="fr-FR"/>
        </w:rPr>
        <w:t>s</w:t>
      </w:r>
      <w:r w:rsidRPr="00F221F0">
        <w:rPr>
          <w:lang w:val="fr-FR"/>
        </w:rPr>
        <w:t xml:space="preserve"> des organes internationaux et intergouvernementaux de l</w:t>
      </w:r>
      <w:r w:rsidR="001B73DB">
        <w:rPr>
          <w:lang w:val="fr-FR"/>
        </w:rPr>
        <w:t>’</w:t>
      </w:r>
      <w:r w:rsidRPr="00F221F0">
        <w:rPr>
          <w:lang w:val="fr-FR"/>
        </w:rPr>
        <w:t>UNESCO</w:t>
      </w:r>
      <w:r w:rsidR="0042659B">
        <w:rPr>
          <w:lang w:val="fr-FR"/>
        </w:rPr>
        <w:t xml:space="preserve"> et du</w:t>
      </w:r>
      <w:r w:rsidR="00962B42">
        <w:rPr>
          <w:lang w:val="fr-FR"/>
        </w:rPr>
        <w:t xml:space="preserve"> </w:t>
      </w:r>
      <w:r w:rsidRPr="00F221F0">
        <w:rPr>
          <w:lang w:val="fr-FR"/>
        </w:rPr>
        <w:t>rapport du Commissaire aux comptes</w:t>
      </w:r>
      <w:r w:rsidR="002F6F89" w:rsidRPr="00F221F0">
        <w:rPr>
          <w:lang w:val="fr-FR"/>
        </w:rPr>
        <w:t> :</w:t>
      </w:r>
    </w:p>
    <w:p w14:paraId="6107AC71" w14:textId="702E8134" w:rsidR="00D64233" w:rsidRPr="00F221F0" w:rsidRDefault="004B048B" w:rsidP="00CF60FD">
      <w:pPr>
        <w:pStyle w:val="GAPara"/>
        <w:numPr>
          <w:ilvl w:val="0"/>
          <w:numId w:val="40"/>
        </w:numPr>
        <w:jc w:val="both"/>
        <w:rPr>
          <w:snapToGrid/>
          <w:lang w:val="fr-FR"/>
        </w:rPr>
      </w:pPr>
      <w:r w:rsidRPr="00F221F0">
        <w:rPr>
          <w:lang w:val="fr-FR"/>
        </w:rPr>
        <w:t>L</w:t>
      </w:r>
      <w:r w:rsidR="001B73DB">
        <w:rPr>
          <w:lang w:val="fr-FR"/>
        </w:rPr>
        <w:t>’</w:t>
      </w:r>
      <w:r w:rsidRPr="00F221F0">
        <w:rPr>
          <w:lang w:val="fr-FR"/>
        </w:rPr>
        <w:t>Assemblée a pris note des propositions soumises par six États parties (</w:t>
      </w:r>
      <w:hyperlink r:id="rId16" w:history="1">
        <w:r w:rsidRPr="00F221F0">
          <w:rPr>
            <w:rStyle w:val="Hyperlink"/>
            <w:lang w:val="fr-FR"/>
          </w:rPr>
          <w:t>document</w:t>
        </w:r>
        <w:r w:rsidR="001A22E2">
          <w:rPr>
            <w:rStyle w:val="Hyperlink"/>
            <w:lang w:val="fr-FR"/>
          </w:rPr>
          <w:t> </w:t>
        </w:r>
        <w:r w:rsidRPr="00F221F0">
          <w:rPr>
            <w:rStyle w:val="Hyperlink"/>
            <w:lang w:val="fr-FR"/>
          </w:rPr>
          <w:t>ITH/18/7.GA/13</w:t>
        </w:r>
      </w:hyperlink>
      <w:r w:rsidRPr="00F221F0">
        <w:rPr>
          <w:lang w:val="fr-FR"/>
        </w:rPr>
        <w:t xml:space="preserve">) et a demandé au Secrétariat, entre autres, de préparer un ensemble </w:t>
      </w:r>
      <w:r w:rsidR="00962B42">
        <w:rPr>
          <w:lang w:val="fr-FR"/>
        </w:rPr>
        <w:t xml:space="preserve">de </w:t>
      </w:r>
      <w:r w:rsidRPr="00F221F0">
        <w:rPr>
          <w:lang w:val="fr-FR"/>
        </w:rPr>
        <w:t>projets d</w:t>
      </w:r>
      <w:r w:rsidR="001B73DB">
        <w:rPr>
          <w:lang w:val="fr-FR"/>
        </w:rPr>
        <w:t>’</w:t>
      </w:r>
      <w:r w:rsidRPr="00F221F0">
        <w:rPr>
          <w:lang w:val="fr-FR"/>
        </w:rPr>
        <w:t>amendements</w:t>
      </w:r>
      <w:r w:rsidR="00DF749D">
        <w:rPr>
          <w:lang w:val="fr-FR"/>
        </w:rPr>
        <w:t xml:space="preserve"> consolidé</w:t>
      </w:r>
      <w:r w:rsidR="00125ED6">
        <w:rPr>
          <w:lang w:val="fr-FR"/>
        </w:rPr>
        <w:t>s</w:t>
      </w:r>
      <w:r w:rsidRPr="00F221F0">
        <w:rPr>
          <w:lang w:val="fr-FR"/>
        </w:rPr>
        <w:t xml:space="preserve"> pour examen par la présente session de l</w:t>
      </w:r>
      <w:r w:rsidR="001B73DB">
        <w:rPr>
          <w:lang w:val="fr-FR"/>
        </w:rPr>
        <w:t>’</w:t>
      </w:r>
      <w:r w:rsidRPr="00F221F0">
        <w:rPr>
          <w:lang w:val="fr-FR"/>
        </w:rPr>
        <w:t>Assemblée générale (</w:t>
      </w:r>
      <w:hyperlink r:id="rId17" w:history="1">
        <w:r w:rsidR="00560AAF">
          <w:rPr>
            <w:rStyle w:val="Hyperlink"/>
            <w:lang w:val="fr-FR"/>
          </w:rPr>
          <w:t>r</w:t>
        </w:r>
        <w:r w:rsidRPr="00F221F0">
          <w:rPr>
            <w:rStyle w:val="Hyperlink"/>
            <w:lang w:val="fr-FR"/>
          </w:rPr>
          <w:t>ésolution 7.GA 13</w:t>
        </w:r>
      </w:hyperlink>
      <w:r w:rsidRPr="00F221F0">
        <w:rPr>
          <w:lang w:val="fr-FR"/>
        </w:rPr>
        <w:t>). L</w:t>
      </w:r>
      <w:r w:rsidR="001B73DB">
        <w:rPr>
          <w:lang w:val="fr-FR"/>
        </w:rPr>
        <w:t>’</w:t>
      </w:r>
      <w:r w:rsidRPr="00F221F0">
        <w:rPr>
          <w:lang w:val="fr-FR"/>
        </w:rPr>
        <w:t xml:space="preserve">Assemblée générale a également souligné « le rôle crucial du </w:t>
      </w:r>
      <w:r w:rsidR="0042659B">
        <w:rPr>
          <w:lang w:val="fr-FR"/>
        </w:rPr>
        <w:t>S</w:t>
      </w:r>
      <w:r w:rsidRPr="00F221F0">
        <w:rPr>
          <w:lang w:val="fr-FR"/>
        </w:rPr>
        <w:t xml:space="preserve">ecteur de la culture » dans la </w:t>
      </w:r>
      <w:r w:rsidR="00125ED6">
        <w:rPr>
          <w:lang w:val="fr-FR"/>
        </w:rPr>
        <w:t>préparation</w:t>
      </w:r>
      <w:r w:rsidR="00125ED6" w:rsidRPr="00F221F0">
        <w:rPr>
          <w:lang w:val="fr-FR"/>
        </w:rPr>
        <w:t xml:space="preserve"> </w:t>
      </w:r>
      <w:r w:rsidRPr="00F221F0">
        <w:rPr>
          <w:lang w:val="fr-FR"/>
        </w:rPr>
        <w:t>d</w:t>
      </w:r>
      <w:r w:rsidR="001B73DB">
        <w:rPr>
          <w:lang w:val="fr-FR"/>
        </w:rPr>
        <w:t>’</w:t>
      </w:r>
      <w:r w:rsidRPr="00F221F0">
        <w:rPr>
          <w:lang w:val="fr-FR"/>
        </w:rPr>
        <w:t xml:space="preserve">une matrice « contenant </w:t>
      </w:r>
      <w:r w:rsidR="00A037AD">
        <w:rPr>
          <w:lang w:val="fr-FR"/>
        </w:rPr>
        <w:t>les amendements consolidés</w:t>
      </w:r>
      <w:r w:rsidRPr="00F221F0">
        <w:rPr>
          <w:lang w:val="fr-FR"/>
        </w:rPr>
        <w:t xml:space="preserve"> </w:t>
      </w:r>
      <w:r w:rsidR="00A037AD">
        <w:rPr>
          <w:lang w:val="fr-FR"/>
        </w:rPr>
        <w:t>aux</w:t>
      </w:r>
      <w:r w:rsidR="00A037AD" w:rsidRPr="00F221F0">
        <w:rPr>
          <w:lang w:val="fr-FR"/>
        </w:rPr>
        <w:t xml:space="preserve"> </w:t>
      </w:r>
      <w:r w:rsidRPr="00F221F0">
        <w:rPr>
          <w:lang w:val="fr-FR"/>
        </w:rPr>
        <w:t>règlements intérieurs des organes susmentionnés ».</w:t>
      </w:r>
    </w:p>
    <w:p w14:paraId="7E6F5EA9" w14:textId="5DB6DC18" w:rsidR="0021539E" w:rsidRPr="00F221F0" w:rsidRDefault="001B5301" w:rsidP="00CF60FD">
      <w:pPr>
        <w:pStyle w:val="GAPara"/>
        <w:numPr>
          <w:ilvl w:val="0"/>
          <w:numId w:val="40"/>
        </w:numPr>
        <w:jc w:val="both"/>
        <w:rPr>
          <w:lang w:val="fr-FR"/>
        </w:rPr>
      </w:pPr>
      <w:r w:rsidRPr="00F221F0">
        <w:rPr>
          <w:lang w:val="fr-FR"/>
        </w:rPr>
        <w:lastRenderedPageBreak/>
        <w:t>Parallèlement, la septième session de l</w:t>
      </w:r>
      <w:r w:rsidR="001B73DB">
        <w:rPr>
          <w:lang w:val="fr-FR"/>
        </w:rPr>
        <w:t>’</w:t>
      </w:r>
      <w:r w:rsidRPr="00F221F0">
        <w:rPr>
          <w:lang w:val="fr-FR"/>
        </w:rPr>
        <w:t xml:space="preserve">Assemblée a également examiné </w:t>
      </w:r>
      <w:r w:rsidR="00AE75B2" w:rsidRPr="00F221F0">
        <w:rPr>
          <w:lang w:val="fr-FR"/>
        </w:rPr>
        <w:t>l</w:t>
      </w:r>
      <w:r w:rsidR="001B73DB">
        <w:rPr>
          <w:lang w:val="fr-FR"/>
        </w:rPr>
        <w:t>’</w:t>
      </w:r>
      <w:r w:rsidR="00AE75B2" w:rsidRPr="00F221F0">
        <w:rPr>
          <w:lang w:val="fr-FR"/>
        </w:rPr>
        <w:t>état</w:t>
      </w:r>
      <w:r w:rsidRPr="00F221F0">
        <w:rPr>
          <w:lang w:val="fr-FR"/>
        </w:rPr>
        <w:t xml:space="preserve"> de chaque recommandation du </w:t>
      </w:r>
      <w:r w:rsidR="00382398" w:rsidRPr="00F221F0">
        <w:rPr>
          <w:lang w:val="fr-FR"/>
        </w:rPr>
        <w:t>Groupe</w:t>
      </w:r>
      <w:r w:rsidRPr="00F221F0">
        <w:rPr>
          <w:lang w:val="fr-FR"/>
        </w:rPr>
        <w:t xml:space="preserve"> de travail à composition non limitée sur la gouvernance, les procédures et les méthodes de travail de l</w:t>
      </w:r>
      <w:r w:rsidR="001B73DB">
        <w:rPr>
          <w:lang w:val="fr-FR"/>
        </w:rPr>
        <w:t>’</w:t>
      </w:r>
      <w:r w:rsidRPr="00F221F0">
        <w:rPr>
          <w:lang w:val="fr-FR"/>
        </w:rPr>
        <w:t>UNESCO (</w:t>
      </w:r>
      <w:hyperlink r:id="rId18" w:history="1">
        <w:r w:rsidRPr="00F221F0">
          <w:rPr>
            <w:rStyle w:val="Hyperlink"/>
            <w:lang w:val="fr-FR"/>
          </w:rPr>
          <w:t>document</w:t>
        </w:r>
        <w:r w:rsidR="001A22E2">
          <w:rPr>
            <w:rStyle w:val="Hyperlink"/>
            <w:lang w:val="fr-FR"/>
          </w:rPr>
          <w:t> </w:t>
        </w:r>
        <w:r w:rsidRPr="00F221F0">
          <w:rPr>
            <w:rStyle w:val="Hyperlink"/>
            <w:lang w:val="fr-FR"/>
          </w:rPr>
          <w:t>ITH/18/7.GA/12</w:t>
        </w:r>
      </w:hyperlink>
      <w:r w:rsidRPr="00F221F0">
        <w:rPr>
          <w:lang w:val="fr-FR"/>
        </w:rPr>
        <w:t>) et a demandé que le Secrétariat propose, entre autres, des projets d</w:t>
      </w:r>
      <w:r w:rsidR="001B73DB">
        <w:rPr>
          <w:lang w:val="fr-FR"/>
        </w:rPr>
        <w:t>’</w:t>
      </w:r>
      <w:r w:rsidR="00A037AD">
        <w:rPr>
          <w:lang w:val="fr-FR"/>
        </w:rPr>
        <w:t>amendements</w:t>
      </w:r>
      <w:r w:rsidRPr="00F221F0">
        <w:rPr>
          <w:lang w:val="fr-FR"/>
        </w:rPr>
        <w:t xml:space="preserve"> </w:t>
      </w:r>
      <w:r w:rsidR="00A037AD">
        <w:rPr>
          <w:lang w:val="fr-FR"/>
        </w:rPr>
        <w:t>a</w:t>
      </w:r>
      <w:r w:rsidRPr="00F221F0">
        <w:rPr>
          <w:lang w:val="fr-FR"/>
        </w:rPr>
        <w:t xml:space="preserve">u </w:t>
      </w:r>
      <w:r w:rsidR="00AE75B2" w:rsidRPr="00F221F0">
        <w:rPr>
          <w:lang w:val="fr-FR"/>
        </w:rPr>
        <w:t>R</w:t>
      </w:r>
      <w:r w:rsidRPr="00F221F0">
        <w:rPr>
          <w:lang w:val="fr-FR"/>
        </w:rPr>
        <w:t>èglement intérieur de l</w:t>
      </w:r>
      <w:r w:rsidR="001B73DB">
        <w:rPr>
          <w:lang w:val="fr-FR"/>
        </w:rPr>
        <w:t>’</w:t>
      </w:r>
      <w:r w:rsidRPr="00F221F0">
        <w:rPr>
          <w:lang w:val="fr-FR"/>
        </w:rPr>
        <w:t>Assemblée générale (</w:t>
      </w:r>
      <w:hyperlink r:id="rId19" w:history="1">
        <w:r w:rsidR="00560AAF" w:rsidRPr="00560AAF">
          <w:rPr>
            <w:rStyle w:val="Hyperlink"/>
            <w:lang w:val="fr-FR"/>
          </w:rPr>
          <w:t>r</w:t>
        </w:r>
        <w:r w:rsidRPr="00F221F0">
          <w:rPr>
            <w:rStyle w:val="Hyperlink"/>
            <w:lang w:val="fr-FR"/>
          </w:rPr>
          <w:t>ésolution 7.GA 12</w:t>
        </w:r>
      </w:hyperlink>
      <w:r w:rsidRPr="00F221F0">
        <w:rPr>
          <w:lang w:val="fr-FR"/>
        </w:rPr>
        <w:t>).</w:t>
      </w:r>
    </w:p>
    <w:p w14:paraId="118F8404" w14:textId="32F77E18" w:rsidR="000B1862" w:rsidRPr="00F221F0" w:rsidRDefault="00ED652D" w:rsidP="000B1862">
      <w:pPr>
        <w:pStyle w:val="GAPara"/>
        <w:numPr>
          <w:ilvl w:val="0"/>
          <w:numId w:val="19"/>
        </w:numPr>
        <w:ind w:left="567" w:hanging="567"/>
        <w:jc w:val="both"/>
        <w:rPr>
          <w:lang w:val="fr-FR"/>
        </w:rPr>
      </w:pPr>
      <w:r w:rsidRPr="00F221F0">
        <w:rPr>
          <w:lang w:val="fr-FR"/>
        </w:rPr>
        <w:t xml:space="preserve">Par la suite, les </w:t>
      </w:r>
      <w:r w:rsidR="00DF749D">
        <w:rPr>
          <w:lang w:val="fr-FR"/>
        </w:rPr>
        <w:t xml:space="preserve">Secrétariats de toutes les </w:t>
      </w:r>
      <w:r w:rsidRPr="00F221F0">
        <w:rPr>
          <w:lang w:val="fr-FR"/>
        </w:rPr>
        <w:t xml:space="preserve">conventions </w:t>
      </w:r>
      <w:r w:rsidR="00DF749D">
        <w:rPr>
          <w:lang w:val="fr-FR"/>
        </w:rPr>
        <w:t>culturelles</w:t>
      </w:r>
      <w:r w:rsidRPr="00F221F0">
        <w:rPr>
          <w:lang w:val="fr-FR"/>
        </w:rPr>
        <w:t xml:space="preserve"> ont créé un </w:t>
      </w:r>
      <w:r w:rsidR="00382398" w:rsidRPr="00F221F0">
        <w:rPr>
          <w:lang w:val="fr-FR"/>
        </w:rPr>
        <w:t>Groupe</w:t>
      </w:r>
      <w:r w:rsidRPr="00F221F0">
        <w:rPr>
          <w:lang w:val="fr-FR"/>
        </w:rPr>
        <w:t xml:space="preserve"> de travail chargé de procéder à une analyse comparative informelle des </w:t>
      </w:r>
      <w:r w:rsidR="00962B42">
        <w:rPr>
          <w:lang w:val="fr-FR"/>
        </w:rPr>
        <w:t>r</w:t>
      </w:r>
      <w:r w:rsidRPr="00F221F0">
        <w:rPr>
          <w:lang w:val="fr-FR"/>
        </w:rPr>
        <w:t xml:space="preserve">èglements intérieurs de ces instruments. </w:t>
      </w:r>
      <w:r w:rsidR="00A037AD">
        <w:rPr>
          <w:lang w:val="fr-FR"/>
        </w:rPr>
        <w:t>L</w:t>
      </w:r>
      <w:r w:rsidRPr="00F221F0">
        <w:rPr>
          <w:lang w:val="fr-FR"/>
        </w:rPr>
        <w:t xml:space="preserve">es travaux entrepris par le </w:t>
      </w:r>
      <w:r w:rsidR="00382398" w:rsidRPr="00F221F0">
        <w:rPr>
          <w:lang w:val="fr-FR"/>
        </w:rPr>
        <w:t>Groupe</w:t>
      </w:r>
      <w:r w:rsidRPr="00F221F0">
        <w:rPr>
          <w:lang w:val="fr-FR"/>
        </w:rPr>
        <w:t xml:space="preserve"> ont soulevé plusieurs questions, notamment celle de savoir quel </w:t>
      </w:r>
      <w:r w:rsidR="00AE75B2" w:rsidRPr="00F221F0">
        <w:rPr>
          <w:lang w:val="fr-FR"/>
        </w:rPr>
        <w:t>r</w:t>
      </w:r>
      <w:r w:rsidRPr="00F221F0">
        <w:rPr>
          <w:lang w:val="fr-FR"/>
        </w:rPr>
        <w:t>èglement intérieur devrait servir de base à une quelconque harmonisation.</w:t>
      </w:r>
    </w:p>
    <w:p w14:paraId="49C8426D" w14:textId="4EA82B17" w:rsidR="00273128" w:rsidRPr="00F221F0" w:rsidRDefault="000B1862" w:rsidP="000B1862">
      <w:pPr>
        <w:pStyle w:val="GAPara"/>
        <w:numPr>
          <w:ilvl w:val="0"/>
          <w:numId w:val="19"/>
        </w:numPr>
        <w:ind w:left="567" w:hanging="567"/>
        <w:jc w:val="both"/>
        <w:rPr>
          <w:lang w:val="fr-FR"/>
        </w:rPr>
      </w:pPr>
      <w:r w:rsidRPr="00F221F0">
        <w:rPr>
          <w:lang w:val="fr-FR"/>
        </w:rPr>
        <w:t>L</w:t>
      </w:r>
      <w:r w:rsidR="001B73DB">
        <w:rPr>
          <w:lang w:val="fr-FR"/>
        </w:rPr>
        <w:t>’</w:t>
      </w:r>
      <w:r w:rsidR="00AE75B2" w:rsidRPr="00F221F0">
        <w:rPr>
          <w:lang w:val="fr-FR"/>
        </w:rPr>
        <w:t xml:space="preserve">état </w:t>
      </w:r>
      <w:r w:rsidRPr="00F221F0">
        <w:rPr>
          <w:lang w:val="fr-FR"/>
        </w:rPr>
        <w:t xml:space="preserve">de chaque recommandation du </w:t>
      </w:r>
      <w:r w:rsidR="00382398" w:rsidRPr="00F221F0">
        <w:rPr>
          <w:lang w:val="fr-FR"/>
        </w:rPr>
        <w:t>Groupe</w:t>
      </w:r>
      <w:r w:rsidRPr="00F221F0">
        <w:rPr>
          <w:lang w:val="fr-FR"/>
        </w:rPr>
        <w:t xml:space="preserve"> de travail à composition non limitée a été examiné plus en détail lors de la treizième session du Comité en 2018 (</w:t>
      </w:r>
      <w:hyperlink r:id="rId20" w:history="1">
        <w:r w:rsidRPr="00F221F0">
          <w:rPr>
            <w:rStyle w:val="Hyperlink"/>
            <w:lang w:val="fr-FR"/>
          </w:rPr>
          <w:t>document</w:t>
        </w:r>
        <w:r w:rsidR="001A22E2">
          <w:rPr>
            <w:rStyle w:val="Hyperlink"/>
            <w:lang w:val="fr-FR"/>
          </w:rPr>
          <w:t> </w:t>
        </w:r>
        <w:r w:rsidRPr="00F221F0">
          <w:rPr>
            <w:rStyle w:val="Hyperlink"/>
            <w:lang w:val="fr-FR"/>
          </w:rPr>
          <w:t>ITH/18/13.COM/17</w:t>
        </w:r>
      </w:hyperlink>
      <w:r w:rsidRPr="00560AAF">
        <w:rPr>
          <w:lang w:val="fr-FR"/>
        </w:rPr>
        <w:t>,</w:t>
      </w:r>
      <w:r w:rsidR="009E400C" w:rsidRPr="00560AAF">
        <w:rPr>
          <w:lang w:val="fr-FR"/>
        </w:rPr>
        <w:t xml:space="preserve"> </w:t>
      </w:r>
      <w:hyperlink r:id="rId21" w:history="1">
        <w:r w:rsidR="00560AAF">
          <w:rPr>
            <w:rStyle w:val="Hyperlink"/>
            <w:lang w:val="fr-FR"/>
          </w:rPr>
          <w:t>d</w:t>
        </w:r>
        <w:r w:rsidRPr="00F221F0">
          <w:rPr>
            <w:rStyle w:val="Hyperlink"/>
            <w:lang w:val="fr-FR"/>
          </w:rPr>
          <w:t>écision 13.COM 17</w:t>
        </w:r>
      </w:hyperlink>
      <w:r w:rsidRPr="00F221F0">
        <w:rPr>
          <w:lang w:val="fr-FR"/>
        </w:rPr>
        <w:t>). L</w:t>
      </w:r>
      <w:r w:rsidR="001B73DB">
        <w:rPr>
          <w:lang w:val="fr-FR"/>
        </w:rPr>
        <w:t>’</w:t>
      </w:r>
      <w:r w:rsidRPr="00F221F0">
        <w:rPr>
          <w:lang w:val="fr-FR"/>
        </w:rPr>
        <w:t>année suivante, la quatorzième session (</w:t>
      </w:r>
      <w:hyperlink r:id="rId22" w:history="1">
        <w:r w:rsidRPr="00F221F0">
          <w:rPr>
            <w:rStyle w:val="Hyperlink"/>
            <w:lang w:val="fr-FR"/>
          </w:rPr>
          <w:t>document LHE/19/14.COM/19</w:t>
        </w:r>
      </w:hyperlink>
      <w:r w:rsidRPr="00F221F0">
        <w:rPr>
          <w:lang w:val="fr-FR"/>
        </w:rPr>
        <w:t>) du Comité a pris note que nombre de recommandations sont désormais classées, et que plusieurs d</w:t>
      </w:r>
      <w:r w:rsidR="001B73DB">
        <w:rPr>
          <w:lang w:val="fr-FR"/>
        </w:rPr>
        <w:t>’</w:t>
      </w:r>
      <w:r w:rsidRPr="00F221F0">
        <w:rPr>
          <w:lang w:val="fr-FR"/>
        </w:rPr>
        <w:t>entre elles sont considérées comme des bonnes pratiques, après avoir fait l</w:t>
      </w:r>
      <w:r w:rsidR="001B73DB">
        <w:rPr>
          <w:lang w:val="fr-FR"/>
        </w:rPr>
        <w:t>’</w:t>
      </w:r>
      <w:r w:rsidRPr="00F221F0">
        <w:rPr>
          <w:lang w:val="fr-FR"/>
        </w:rPr>
        <w:t>objet de mesures de suivi appropriées. En outre, une série de mesures d</w:t>
      </w:r>
      <w:r w:rsidR="001B73DB">
        <w:rPr>
          <w:lang w:val="fr-FR"/>
        </w:rPr>
        <w:t>’</w:t>
      </w:r>
      <w:r w:rsidRPr="00F221F0">
        <w:rPr>
          <w:lang w:val="fr-FR"/>
        </w:rPr>
        <w:t xml:space="preserve">atténuation ont déjà été prises pour la plupart des recommandations </w:t>
      </w:r>
      <w:r w:rsidR="00540398">
        <w:rPr>
          <w:lang w:val="fr-FR"/>
        </w:rPr>
        <w:t>restantes</w:t>
      </w:r>
      <w:r w:rsidRPr="00F221F0">
        <w:rPr>
          <w:lang w:val="fr-FR"/>
        </w:rPr>
        <w:t>, alors qu</w:t>
      </w:r>
      <w:r w:rsidR="001B73DB">
        <w:rPr>
          <w:lang w:val="fr-FR"/>
        </w:rPr>
        <w:t>’</w:t>
      </w:r>
      <w:r w:rsidRPr="00F221F0">
        <w:rPr>
          <w:lang w:val="fr-FR"/>
        </w:rPr>
        <w:t>en parallèle, d</w:t>
      </w:r>
      <w:r w:rsidR="001B73DB">
        <w:rPr>
          <w:lang w:val="fr-FR"/>
        </w:rPr>
        <w:t>’</w:t>
      </w:r>
      <w:r w:rsidRPr="00F221F0">
        <w:rPr>
          <w:lang w:val="fr-FR"/>
        </w:rPr>
        <w:t xml:space="preserve">autres questions nécessitent une action des États parties sur le long terme. </w:t>
      </w:r>
    </w:p>
    <w:p w14:paraId="22A9398C" w14:textId="69A0E383" w:rsidR="00273128" w:rsidRPr="00F221F0" w:rsidRDefault="00273128" w:rsidP="00555191">
      <w:pPr>
        <w:pStyle w:val="GAPara"/>
        <w:numPr>
          <w:ilvl w:val="0"/>
          <w:numId w:val="19"/>
        </w:numPr>
        <w:ind w:left="567" w:hanging="567"/>
        <w:jc w:val="both"/>
        <w:rPr>
          <w:lang w:val="fr-FR"/>
        </w:rPr>
      </w:pPr>
      <w:r w:rsidRPr="00F221F0">
        <w:rPr>
          <w:lang w:val="fr-FR"/>
        </w:rPr>
        <w:t>Un exemple clair des efforts du Secrétariat pour continuer à répondre aux recommandations du Groupe de travail à composition non limitée est l</w:t>
      </w:r>
      <w:r w:rsidR="001B73DB">
        <w:rPr>
          <w:lang w:val="fr-FR"/>
        </w:rPr>
        <w:t>’</w:t>
      </w:r>
      <w:r w:rsidRPr="00F221F0">
        <w:rPr>
          <w:lang w:val="fr-FR"/>
        </w:rPr>
        <w:t xml:space="preserve">ajout du point 8 </w:t>
      </w:r>
      <w:r w:rsidR="00AE75B2" w:rsidRPr="00F221F0">
        <w:rPr>
          <w:lang w:val="fr-FR"/>
        </w:rPr>
        <w:t>à</w:t>
      </w:r>
      <w:r w:rsidRPr="00F221F0">
        <w:rPr>
          <w:lang w:val="fr-FR"/>
        </w:rPr>
        <w:t xml:space="preserve"> l</w:t>
      </w:r>
      <w:r w:rsidR="001B73DB">
        <w:rPr>
          <w:lang w:val="fr-FR"/>
        </w:rPr>
        <w:t>’</w:t>
      </w:r>
      <w:r w:rsidRPr="00F221F0">
        <w:rPr>
          <w:lang w:val="fr-FR"/>
        </w:rPr>
        <w:t>ordre du jour provisoire de la présente session de l</w:t>
      </w:r>
      <w:r w:rsidR="001B73DB">
        <w:rPr>
          <w:lang w:val="fr-FR"/>
        </w:rPr>
        <w:t>’</w:t>
      </w:r>
      <w:r w:rsidRPr="00F221F0">
        <w:rPr>
          <w:lang w:val="fr-FR"/>
        </w:rPr>
        <w:t xml:space="preserve">Assemblée générale pour discuter de la contribution des États parties à la Convention de 2003 à la préparation de la nouvelle </w:t>
      </w:r>
      <w:r w:rsidR="00A037AD">
        <w:rPr>
          <w:lang w:val="fr-FR"/>
        </w:rPr>
        <w:t>S</w:t>
      </w:r>
      <w:r w:rsidRPr="00F221F0">
        <w:rPr>
          <w:lang w:val="fr-FR"/>
        </w:rPr>
        <w:t>tratégie à moyen terme 2022-2029 (41</w:t>
      </w:r>
      <w:r w:rsidR="00540398">
        <w:rPr>
          <w:lang w:val="fr-FR"/>
        </w:rPr>
        <w:t xml:space="preserve"> </w:t>
      </w:r>
      <w:r w:rsidRPr="00F221F0">
        <w:rPr>
          <w:lang w:val="fr-FR"/>
        </w:rPr>
        <w:t xml:space="preserve">C/4), et du </w:t>
      </w:r>
      <w:r w:rsidR="00A037AD">
        <w:rPr>
          <w:lang w:val="fr-FR"/>
        </w:rPr>
        <w:t>P</w:t>
      </w:r>
      <w:r w:rsidRPr="00F221F0">
        <w:rPr>
          <w:lang w:val="fr-FR"/>
        </w:rPr>
        <w:t>rojet de programme et de budget 2022-2025 (41</w:t>
      </w:r>
      <w:r w:rsidR="00540398">
        <w:rPr>
          <w:lang w:val="fr-FR"/>
        </w:rPr>
        <w:t xml:space="preserve"> </w:t>
      </w:r>
      <w:r w:rsidRPr="00F221F0">
        <w:rPr>
          <w:lang w:val="fr-FR"/>
        </w:rPr>
        <w:t>C/5)</w:t>
      </w:r>
      <w:r w:rsidR="009D1F79" w:rsidRPr="00F221F0">
        <w:rPr>
          <w:lang w:val="fr-FR"/>
        </w:rPr>
        <w:t>,</w:t>
      </w:r>
      <w:r w:rsidRPr="00F221F0">
        <w:rPr>
          <w:lang w:val="fr-FR"/>
        </w:rPr>
        <w:t xml:space="preserve"> par le biais de la consultation électronique effectuée en mai 2020 (</w:t>
      </w:r>
      <w:hyperlink r:id="rId23" w:history="1">
        <w:r w:rsidRPr="00560AAF">
          <w:rPr>
            <w:rStyle w:val="Hyperlink"/>
            <w:lang w:val="fr-FR"/>
          </w:rPr>
          <w:t>document LHE/20/8.GA/8</w:t>
        </w:r>
      </w:hyperlink>
      <w:r w:rsidRPr="00F221F0">
        <w:rPr>
          <w:lang w:val="fr-FR"/>
        </w:rPr>
        <w:t>). La consultation électronique et le point 8 de l</w:t>
      </w:r>
      <w:r w:rsidR="001B73DB">
        <w:rPr>
          <w:lang w:val="fr-FR"/>
        </w:rPr>
        <w:t>’</w:t>
      </w:r>
      <w:r w:rsidRPr="00F221F0">
        <w:rPr>
          <w:lang w:val="fr-FR"/>
        </w:rPr>
        <w:t xml:space="preserve">ordre du jour provisoire font directement suite à la recommandation 74 du </w:t>
      </w:r>
      <w:r w:rsidR="00382398" w:rsidRPr="00F221F0">
        <w:rPr>
          <w:lang w:val="fr-FR"/>
        </w:rPr>
        <w:t>Groupe</w:t>
      </w:r>
      <w:r w:rsidRPr="00F221F0">
        <w:rPr>
          <w:lang w:val="fr-FR"/>
        </w:rPr>
        <w:t xml:space="preserve"> de travail à composition non limitée, selon laquelle tous les organismes internationaux et intergouvernementaux (IIB) devraient avoir la possibilité d</w:t>
      </w:r>
      <w:r w:rsidR="001B73DB">
        <w:rPr>
          <w:lang w:val="fr-FR"/>
        </w:rPr>
        <w:t>’</w:t>
      </w:r>
      <w:r w:rsidRPr="00F221F0">
        <w:rPr>
          <w:lang w:val="fr-FR"/>
        </w:rPr>
        <w:t xml:space="preserve">apporter des contributions officielles aux documents C/4 </w:t>
      </w:r>
      <w:r w:rsidR="004F607B">
        <w:rPr>
          <w:lang w:val="fr-FR"/>
        </w:rPr>
        <w:t>(S</w:t>
      </w:r>
      <w:r w:rsidRPr="00F221F0">
        <w:rPr>
          <w:lang w:val="fr-FR"/>
        </w:rPr>
        <w:t>tratégie à moyen terme</w:t>
      </w:r>
      <w:r w:rsidR="004F607B">
        <w:rPr>
          <w:lang w:val="fr-FR"/>
        </w:rPr>
        <w:t>)</w:t>
      </w:r>
      <w:r w:rsidRPr="00F221F0">
        <w:rPr>
          <w:lang w:val="fr-FR"/>
        </w:rPr>
        <w:t xml:space="preserve"> et C/5 </w:t>
      </w:r>
      <w:r w:rsidR="004F607B">
        <w:rPr>
          <w:lang w:val="fr-FR"/>
        </w:rPr>
        <w:t>(P</w:t>
      </w:r>
      <w:r w:rsidRPr="00F221F0">
        <w:rPr>
          <w:lang w:val="fr-FR"/>
        </w:rPr>
        <w:t>rojet de programme et de budget</w:t>
      </w:r>
      <w:r w:rsidR="004F607B">
        <w:rPr>
          <w:lang w:val="fr-FR"/>
        </w:rPr>
        <w:t>)</w:t>
      </w:r>
      <w:r w:rsidRPr="00F221F0">
        <w:rPr>
          <w:lang w:val="fr-FR"/>
        </w:rPr>
        <w:t xml:space="preserve"> de l</w:t>
      </w:r>
      <w:r w:rsidR="001B73DB">
        <w:rPr>
          <w:lang w:val="fr-FR"/>
        </w:rPr>
        <w:t>’</w:t>
      </w:r>
      <w:r w:rsidRPr="00F221F0">
        <w:rPr>
          <w:lang w:val="fr-FR"/>
        </w:rPr>
        <w:t>UNESCO.</w:t>
      </w:r>
    </w:p>
    <w:p w14:paraId="5111838E" w14:textId="3150C9DF" w:rsidR="000B1862" w:rsidRPr="00F221F0" w:rsidRDefault="000B1862" w:rsidP="000B1862">
      <w:pPr>
        <w:pStyle w:val="GAPara"/>
        <w:numPr>
          <w:ilvl w:val="0"/>
          <w:numId w:val="19"/>
        </w:numPr>
        <w:ind w:left="567" w:hanging="567"/>
        <w:jc w:val="both"/>
        <w:rPr>
          <w:lang w:val="fr-FR"/>
        </w:rPr>
      </w:pPr>
      <w:r w:rsidRPr="00F221F0">
        <w:rPr>
          <w:lang w:val="fr-FR"/>
        </w:rPr>
        <w:t>Bien que la question de l</w:t>
      </w:r>
      <w:r w:rsidR="001B73DB">
        <w:rPr>
          <w:lang w:val="fr-FR"/>
        </w:rPr>
        <w:t>’</w:t>
      </w:r>
      <w:r w:rsidRPr="00F221F0">
        <w:rPr>
          <w:lang w:val="fr-FR"/>
        </w:rPr>
        <w:t xml:space="preserve">« harmonisation » figure dans un certain nombre de recommandations du </w:t>
      </w:r>
      <w:r w:rsidR="00382398" w:rsidRPr="00F221F0">
        <w:rPr>
          <w:lang w:val="fr-FR"/>
        </w:rPr>
        <w:t>Groupe</w:t>
      </w:r>
      <w:r w:rsidRPr="00F221F0">
        <w:rPr>
          <w:lang w:val="fr-FR"/>
        </w:rPr>
        <w:t xml:space="preserve"> de travail (par exemple 58, 65, 66, 67, </w:t>
      </w:r>
      <w:r w:rsidRPr="00AB5732">
        <w:rPr>
          <w:lang w:val="fr-FR"/>
        </w:rPr>
        <w:t>71 et 96</w:t>
      </w:r>
      <w:r w:rsidRPr="00F221F0">
        <w:rPr>
          <w:lang w:val="fr-FR"/>
        </w:rPr>
        <w:t>), dont la plupart sont considérées comme étant en cours, la quatorzième session du Comité a conclu que les organes directeurs et le Secrétariat ont fait des progrès constants dans leur contribution à la bonne gouvernance de la Convention de 2003 et a demandé au Secrétariat de continuer à faire rapport « si nécessaire » sur les nouveaux progrès concernant l</w:t>
      </w:r>
      <w:r w:rsidR="001B73DB">
        <w:rPr>
          <w:lang w:val="fr-FR"/>
        </w:rPr>
        <w:t>’</w:t>
      </w:r>
      <w:r w:rsidRPr="00F221F0">
        <w:rPr>
          <w:lang w:val="fr-FR"/>
        </w:rPr>
        <w:t>état des recommandations (</w:t>
      </w:r>
      <w:hyperlink r:id="rId24" w:history="1">
        <w:r w:rsidR="00560AAF">
          <w:rPr>
            <w:rStyle w:val="Hyperlink"/>
            <w:lang w:val="fr-FR"/>
          </w:rPr>
          <w:t>d</w:t>
        </w:r>
        <w:r w:rsidRPr="00F221F0">
          <w:rPr>
            <w:rStyle w:val="Hyperlink"/>
            <w:lang w:val="fr-FR"/>
          </w:rPr>
          <w:t>écision 14.COM 19</w:t>
        </w:r>
      </w:hyperlink>
      <w:r w:rsidRPr="00F221F0">
        <w:rPr>
          <w:lang w:val="fr-FR"/>
        </w:rPr>
        <w:t>).</w:t>
      </w:r>
    </w:p>
    <w:p w14:paraId="27F0B44E" w14:textId="414F6F75" w:rsidR="000B1862" w:rsidRPr="00F221F0" w:rsidRDefault="000B1862" w:rsidP="000B1862">
      <w:pPr>
        <w:pStyle w:val="GAPara"/>
        <w:numPr>
          <w:ilvl w:val="0"/>
          <w:numId w:val="19"/>
        </w:numPr>
        <w:ind w:left="567" w:hanging="567"/>
        <w:jc w:val="both"/>
        <w:rPr>
          <w:lang w:val="fr-FR"/>
        </w:rPr>
      </w:pPr>
      <w:r w:rsidRPr="00F221F0">
        <w:rPr>
          <w:lang w:val="fr-FR"/>
        </w:rPr>
        <w:t>En attendant, la présente session de l</w:t>
      </w:r>
      <w:r w:rsidR="001B73DB">
        <w:rPr>
          <w:lang w:val="fr-FR"/>
        </w:rPr>
        <w:t>’</w:t>
      </w:r>
      <w:r w:rsidRPr="00F221F0">
        <w:rPr>
          <w:lang w:val="fr-FR"/>
        </w:rPr>
        <w:t>Assemblée générale est invitée, au titre du point 7 de son ordre du jour provisoire, à examiner la proposition de révision d</w:t>
      </w:r>
      <w:r w:rsidR="00540398">
        <w:rPr>
          <w:lang w:val="fr-FR"/>
        </w:rPr>
        <w:t>u</w:t>
      </w:r>
      <w:r w:rsidRPr="00F221F0">
        <w:rPr>
          <w:lang w:val="fr-FR"/>
        </w:rPr>
        <w:t xml:space="preserve"> Règlement financier du </w:t>
      </w:r>
      <w:r w:rsidR="004F607B">
        <w:rPr>
          <w:lang w:val="fr-FR"/>
        </w:rPr>
        <w:t>C</w:t>
      </w:r>
      <w:r w:rsidRPr="00F221F0">
        <w:rPr>
          <w:lang w:val="fr-FR"/>
        </w:rPr>
        <w:t xml:space="preserve">ompte spécial </w:t>
      </w:r>
      <w:r w:rsidR="00540398">
        <w:rPr>
          <w:lang w:val="fr-FR"/>
        </w:rPr>
        <w:t>pour le</w:t>
      </w:r>
      <w:r w:rsidR="00540398" w:rsidRPr="00F221F0">
        <w:rPr>
          <w:lang w:val="fr-FR"/>
        </w:rPr>
        <w:t xml:space="preserve"> </w:t>
      </w:r>
      <w:r w:rsidRPr="00F221F0">
        <w:rPr>
          <w:lang w:val="fr-FR"/>
        </w:rPr>
        <w:t>Fonds pour la sauvegarde du patrimoine culturel immatériel de la Convention de 2003 afin de l</w:t>
      </w:r>
      <w:r w:rsidR="001B73DB">
        <w:rPr>
          <w:lang w:val="fr-FR"/>
        </w:rPr>
        <w:t>’</w:t>
      </w:r>
      <w:r w:rsidRPr="00F221F0">
        <w:rPr>
          <w:lang w:val="fr-FR"/>
        </w:rPr>
        <w:t>aligner sur le modèle de</w:t>
      </w:r>
      <w:r w:rsidR="004F607B">
        <w:rPr>
          <w:lang w:val="fr-FR"/>
        </w:rPr>
        <w:t>s</w:t>
      </w:r>
      <w:r w:rsidRPr="00F221F0">
        <w:rPr>
          <w:lang w:val="fr-FR"/>
        </w:rPr>
        <w:t xml:space="preserve"> </w:t>
      </w:r>
      <w:r w:rsidR="00540398">
        <w:rPr>
          <w:lang w:val="fr-FR"/>
        </w:rPr>
        <w:t>r</w:t>
      </w:r>
      <w:r w:rsidRPr="00F221F0">
        <w:rPr>
          <w:lang w:val="fr-FR"/>
        </w:rPr>
        <w:t xml:space="preserve">èglements financiers pour les comptes spéciaux des </w:t>
      </w:r>
      <w:r w:rsidR="004F607B">
        <w:rPr>
          <w:lang w:val="fr-FR"/>
        </w:rPr>
        <w:t>C</w:t>
      </w:r>
      <w:r w:rsidRPr="00F221F0">
        <w:rPr>
          <w:lang w:val="fr-FR"/>
        </w:rPr>
        <w:t>onventions approuvé par le Conseil exécutif de l</w:t>
      </w:r>
      <w:r w:rsidR="001B73DB">
        <w:rPr>
          <w:lang w:val="fr-FR"/>
        </w:rPr>
        <w:t>’</w:t>
      </w:r>
      <w:r w:rsidRPr="00F221F0">
        <w:rPr>
          <w:lang w:val="fr-FR"/>
        </w:rPr>
        <w:t>UNESCO (</w:t>
      </w:r>
      <w:hyperlink r:id="rId25" w:history="1">
        <w:r w:rsidRPr="00F221F0">
          <w:rPr>
            <w:rStyle w:val="Hyperlink"/>
            <w:lang w:val="fr-FR"/>
          </w:rPr>
          <w:t>document</w:t>
        </w:r>
        <w:r w:rsidR="001A22E2">
          <w:rPr>
            <w:rStyle w:val="Hyperlink"/>
            <w:lang w:val="fr-FR"/>
          </w:rPr>
          <w:t> </w:t>
        </w:r>
        <w:r w:rsidRPr="00F221F0">
          <w:rPr>
            <w:rStyle w:val="Hyperlink"/>
            <w:lang w:val="fr-FR"/>
          </w:rPr>
          <w:t xml:space="preserve">LHE/20/8.GA/7 </w:t>
        </w:r>
        <w:proofErr w:type="spellStart"/>
        <w:r w:rsidRPr="00F221F0">
          <w:rPr>
            <w:rStyle w:val="Hyperlink"/>
            <w:lang w:val="fr-FR"/>
          </w:rPr>
          <w:t>Rev</w:t>
        </w:r>
        <w:proofErr w:type="spellEnd"/>
        <w:r w:rsidRPr="00F221F0">
          <w:rPr>
            <w:rStyle w:val="Hyperlink"/>
            <w:lang w:val="fr-FR"/>
          </w:rPr>
          <w:t>.</w:t>
        </w:r>
      </w:hyperlink>
      <w:r w:rsidRPr="00F221F0">
        <w:rPr>
          <w:lang w:val="fr-FR"/>
        </w:rPr>
        <w:t>). Cela peut être considéré comme un exemple pertinent de l</w:t>
      </w:r>
      <w:r w:rsidR="001B73DB">
        <w:rPr>
          <w:lang w:val="fr-FR"/>
        </w:rPr>
        <w:t>’</w:t>
      </w:r>
      <w:r w:rsidRPr="00F221F0">
        <w:rPr>
          <w:lang w:val="fr-FR"/>
        </w:rPr>
        <w:t>effort d</w:t>
      </w:r>
      <w:r w:rsidR="001B73DB">
        <w:rPr>
          <w:lang w:val="fr-FR"/>
        </w:rPr>
        <w:t>’</w:t>
      </w:r>
      <w:r w:rsidRPr="00F221F0">
        <w:rPr>
          <w:lang w:val="fr-FR"/>
        </w:rPr>
        <w:t>harmonisation des règlements régissant la Convention de 2003 afin qu</w:t>
      </w:r>
      <w:r w:rsidR="001B73DB">
        <w:rPr>
          <w:lang w:val="fr-FR"/>
        </w:rPr>
        <w:t>’</w:t>
      </w:r>
      <w:r w:rsidRPr="00F221F0">
        <w:rPr>
          <w:lang w:val="fr-FR"/>
        </w:rPr>
        <w:t>ils soient cohérents, dans la mesure du possible, par rapport aux règlements similaires régissant d</w:t>
      </w:r>
      <w:r w:rsidR="001B73DB">
        <w:rPr>
          <w:lang w:val="fr-FR"/>
        </w:rPr>
        <w:t>’</w:t>
      </w:r>
      <w:r w:rsidRPr="00F221F0">
        <w:rPr>
          <w:lang w:val="fr-FR"/>
        </w:rPr>
        <w:t>autres instruments sous la responsabilité de l</w:t>
      </w:r>
      <w:r w:rsidR="001B73DB">
        <w:rPr>
          <w:lang w:val="fr-FR"/>
        </w:rPr>
        <w:t>’</w:t>
      </w:r>
      <w:r w:rsidRPr="00F221F0">
        <w:rPr>
          <w:lang w:val="fr-FR"/>
        </w:rPr>
        <w:t>Organisation.</w:t>
      </w:r>
    </w:p>
    <w:p w14:paraId="5841E662" w14:textId="46C7CBE9" w:rsidR="00C42C66" w:rsidRPr="00F221F0" w:rsidRDefault="001F18B9" w:rsidP="006749EF">
      <w:pPr>
        <w:pStyle w:val="GAPara"/>
        <w:numPr>
          <w:ilvl w:val="0"/>
          <w:numId w:val="19"/>
        </w:numPr>
        <w:ind w:left="567" w:hanging="567"/>
        <w:jc w:val="both"/>
        <w:rPr>
          <w:lang w:val="fr-FR"/>
        </w:rPr>
      </w:pPr>
      <w:r w:rsidRPr="00F221F0">
        <w:rPr>
          <w:lang w:val="fr-FR"/>
        </w:rPr>
        <w:t>Considérant que l</w:t>
      </w:r>
      <w:r w:rsidR="001B73DB">
        <w:rPr>
          <w:lang w:val="fr-FR"/>
        </w:rPr>
        <w:t>’</w:t>
      </w:r>
      <w:r w:rsidRPr="00F221F0">
        <w:rPr>
          <w:lang w:val="fr-FR"/>
        </w:rPr>
        <w:t>objectif principal de l</w:t>
      </w:r>
      <w:r w:rsidR="001B73DB">
        <w:rPr>
          <w:lang w:val="fr-FR"/>
        </w:rPr>
        <w:t>’</w:t>
      </w:r>
      <w:r w:rsidRPr="00F221F0">
        <w:rPr>
          <w:lang w:val="fr-FR"/>
        </w:rPr>
        <w:t xml:space="preserve">harmonisation du Règlement intérieur était de répondre aux recommandations du </w:t>
      </w:r>
      <w:r w:rsidR="00382398" w:rsidRPr="00F221F0">
        <w:rPr>
          <w:lang w:val="fr-FR"/>
        </w:rPr>
        <w:t>Groupe</w:t>
      </w:r>
      <w:r w:rsidRPr="00F221F0">
        <w:rPr>
          <w:lang w:val="fr-FR"/>
        </w:rPr>
        <w:t xml:space="preserve"> de travail à composition non limitée et compte tenu en outre que des progrès suffisants ont été réalisés sur ces recommandations, comme l</w:t>
      </w:r>
      <w:r w:rsidR="001B73DB">
        <w:rPr>
          <w:lang w:val="fr-FR"/>
        </w:rPr>
        <w:t>’</w:t>
      </w:r>
      <w:r w:rsidRPr="00F221F0">
        <w:rPr>
          <w:lang w:val="fr-FR"/>
        </w:rPr>
        <w:t xml:space="preserve">a confirmé la quatorzième session du Comité, le Secrétariat propose que </w:t>
      </w:r>
      <w:r w:rsidR="00AE75B2" w:rsidRPr="00F221F0">
        <w:rPr>
          <w:lang w:val="fr-FR"/>
        </w:rPr>
        <w:t>cette question</w:t>
      </w:r>
      <w:r w:rsidRPr="00F221F0">
        <w:rPr>
          <w:lang w:val="fr-FR"/>
        </w:rPr>
        <w:t xml:space="preserve"> puisse désormais être considéré</w:t>
      </w:r>
      <w:r w:rsidR="00AE75B2" w:rsidRPr="00F221F0">
        <w:rPr>
          <w:lang w:val="fr-FR"/>
        </w:rPr>
        <w:t>e</w:t>
      </w:r>
      <w:r w:rsidRPr="00F221F0">
        <w:rPr>
          <w:lang w:val="fr-FR"/>
        </w:rPr>
        <w:t xml:space="preserve"> comme classé</w:t>
      </w:r>
      <w:r w:rsidR="00AE75B2" w:rsidRPr="00F221F0">
        <w:rPr>
          <w:lang w:val="fr-FR"/>
        </w:rPr>
        <w:t>e</w:t>
      </w:r>
      <w:r w:rsidRPr="00F221F0">
        <w:rPr>
          <w:lang w:val="fr-FR"/>
        </w:rPr>
        <w:t xml:space="preserve"> sans qu</w:t>
      </w:r>
      <w:r w:rsidR="001B73DB">
        <w:rPr>
          <w:lang w:val="fr-FR"/>
        </w:rPr>
        <w:t>’</w:t>
      </w:r>
      <w:r w:rsidRPr="00F221F0">
        <w:rPr>
          <w:lang w:val="fr-FR"/>
        </w:rPr>
        <w:t>il soit nécessaire d</w:t>
      </w:r>
      <w:r w:rsidR="001B73DB">
        <w:rPr>
          <w:lang w:val="fr-FR"/>
        </w:rPr>
        <w:t>’</w:t>
      </w:r>
      <w:r w:rsidRPr="00F221F0">
        <w:rPr>
          <w:lang w:val="fr-FR"/>
        </w:rPr>
        <w:t>en faire rapport à la session suivante de l</w:t>
      </w:r>
      <w:r w:rsidR="001B73DB">
        <w:rPr>
          <w:lang w:val="fr-FR"/>
        </w:rPr>
        <w:t>’</w:t>
      </w:r>
      <w:r w:rsidRPr="00F221F0">
        <w:rPr>
          <w:lang w:val="fr-FR"/>
        </w:rPr>
        <w:t>Assemblée générale. Il va sans dire que le Secrétariat continuera d</w:t>
      </w:r>
      <w:r w:rsidR="001B73DB">
        <w:rPr>
          <w:lang w:val="fr-FR"/>
        </w:rPr>
        <w:t>’</w:t>
      </w:r>
      <w:r w:rsidRPr="00F221F0">
        <w:rPr>
          <w:lang w:val="fr-FR"/>
        </w:rPr>
        <w:t>être attentif à toute opportunité d</w:t>
      </w:r>
      <w:r w:rsidR="001B73DB">
        <w:rPr>
          <w:lang w:val="fr-FR"/>
        </w:rPr>
        <w:t>’</w:t>
      </w:r>
      <w:r w:rsidRPr="00F221F0">
        <w:rPr>
          <w:lang w:val="fr-FR"/>
        </w:rPr>
        <w:t>harmonisation d</w:t>
      </w:r>
      <w:r w:rsidR="00BB052A">
        <w:rPr>
          <w:lang w:val="fr-FR"/>
        </w:rPr>
        <w:t>es</w:t>
      </w:r>
      <w:r w:rsidRPr="00F221F0">
        <w:rPr>
          <w:lang w:val="fr-FR"/>
        </w:rPr>
        <w:t xml:space="preserve"> </w:t>
      </w:r>
      <w:r w:rsidR="00BB052A">
        <w:rPr>
          <w:lang w:val="fr-FR"/>
        </w:rPr>
        <w:t>r</w:t>
      </w:r>
      <w:r w:rsidRPr="00F221F0">
        <w:rPr>
          <w:lang w:val="fr-FR"/>
        </w:rPr>
        <w:t>èglement</w:t>
      </w:r>
      <w:r w:rsidR="00BB052A">
        <w:rPr>
          <w:lang w:val="fr-FR"/>
        </w:rPr>
        <w:t>s</w:t>
      </w:r>
      <w:r w:rsidRPr="00F221F0">
        <w:rPr>
          <w:lang w:val="fr-FR"/>
        </w:rPr>
        <w:t xml:space="preserve"> intérieur</w:t>
      </w:r>
      <w:r w:rsidR="00BB052A">
        <w:rPr>
          <w:lang w:val="fr-FR"/>
        </w:rPr>
        <w:t>s</w:t>
      </w:r>
      <w:r w:rsidRPr="00F221F0">
        <w:rPr>
          <w:lang w:val="fr-FR"/>
        </w:rPr>
        <w:t xml:space="preserve"> </w:t>
      </w:r>
      <w:r w:rsidR="00B8613D">
        <w:rPr>
          <w:lang w:val="fr-FR"/>
        </w:rPr>
        <w:t xml:space="preserve">des organes directeurs </w:t>
      </w:r>
      <w:r w:rsidRPr="00F221F0">
        <w:rPr>
          <w:lang w:val="fr-FR"/>
        </w:rPr>
        <w:t xml:space="preserve">de la </w:t>
      </w:r>
      <w:r w:rsidRPr="00F221F0">
        <w:rPr>
          <w:lang w:val="fr-FR"/>
        </w:rPr>
        <w:lastRenderedPageBreak/>
        <w:t>Convention de 2003 avec celles d</w:t>
      </w:r>
      <w:r w:rsidR="001B73DB">
        <w:rPr>
          <w:lang w:val="fr-FR"/>
        </w:rPr>
        <w:t>’</w:t>
      </w:r>
      <w:r w:rsidRPr="00F221F0">
        <w:rPr>
          <w:lang w:val="fr-FR"/>
        </w:rPr>
        <w:t xml:space="preserve">autres conventions </w:t>
      </w:r>
      <w:r w:rsidR="00BB052A">
        <w:rPr>
          <w:lang w:val="fr-FR"/>
        </w:rPr>
        <w:t>culturelles</w:t>
      </w:r>
      <w:r w:rsidRPr="00F221F0">
        <w:rPr>
          <w:lang w:val="fr-FR"/>
        </w:rPr>
        <w:t>, dans la mesure du possible et lorsque cela s</w:t>
      </w:r>
      <w:r w:rsidR="001B73DB">
        <w:rPr>
          <w:lang w:val="fr-FR"/>
        </w:rPr>
        <w:t>’</w:t>
      </w:r>
      <w:r w:rsidRPr="00F221F0">
        <w:rPr>
          <w:lang w:val="fr-FR"/>
        </w:rPr>
        <w:t>avérera pertinent, et qu</w:t>
      </w:r>
      <w:r w:rsidR="001B73DB">
        <w:rPr>
          <w:lang w:val="fr-FR"/>
        </w:rPr>
        <w:t>’</w:t>
      </w:r>
      <w:r w:rsidRPr="00F221F0">
        <w:rPr>
          <w:lang w:val="fr-FR"/>
        </w:rPr>
        <w:t>il fera rapport aux organes directeurs de la Convention en conséquence.</w:t>
      </w:r>
    </w:p>
    <w:p w14:paraId="73301377" w14:textId="1C79F045" w:rsidR="008A1ED4" w:rsidRPr="005A4A42" w:rsidRDefault="008A1ED4" w:rsidP="008A1ED4">
      <w:pPr>
        <w:keepNext/>
        <w:numPr>
          <w:ilvl w:val="0"/>
          <w:numId w:val="19"/>
        </w:numPr>
        <w:ind w:left="567" w:hanging="567"/>
        <w:jc w:val="both"/>
        <w:rPr>
          <w:rFonts w:ascii="Arial" w:eastAsia="SimSun" w:hAnsi="Arial" w:cs="Arial"/>
          <w:sz w:val="22"/>
          <w:szCs w:val="22"/>
        </w:rPr>
      </w:pPr>
      <w:r>
        <w:rPr>
          <w:rFonts w:ascii="Arial" w:hAnsi="Arial"/>
          <w:sz w:val="22"/>
        </w:rPr>
        <w:t>L</w:t>
      </w:r>
      <w:r w:rsidR="001B73DB">
        <w:rPr>
          <w:rFonts w:ascii="Arial" w:hAnsi="Arial"/>
          <w:sz w:val="22"/>
        </w:rPr>
        <w:t>’</w:t>
      </w:r>
      <w:r>
        <w:rPr>
          <w:rFonts w:ascii="Arial" w:hAnsi="Arial"/>
          <w:sz w:val="22"/>
        </w:rPr>
        <w:t>Assemblée générale souhaitera peut-être adopter la résolution suivante</w:t>
      </w:r>
      <w:r w:rsidR="002F6F89">
        <w:rPr>
          <w:rFonts w:ascii="Arial" w:hAnsi="Arial"/>
          <w:sz w:val="22"/>
        </w:rPr>
        <w:t> :</w:t>
      </w:r>
    </w:p>
    <w:p w14:paraId="1667C294" w14:textId="77777777" w:rsidR="008A1ED4" w:rsidRPr="00F221F0" w:rsidRDefault="00F010E0" w:rsidP="008A1ED4">
      <w:pPr>
        <w:pStyle w:val="GATitleResolution"/>
        <w:rPr>
          <w:lang w:val="fr-FR"/>
        </w:rPr>
      </w:pPr>
      <w:r w:rsidRPr="00F221F0">
        <w:rPr>
          <w:bCs/>
          <w:lang w:val="fr-FR"/>
        </w:rPr>
        <w:t>PROJET DE RÉSOLUTION 8.GA 15</w:t>
      </w:r>
    </w:p>
    <w:p w14:paraId="25A07578" w14:textId="54A101DA" w:rsidR="008A1ED4" w:rsidRPr="00F221F0" w:rsidRDefault="008A1ED4" w:rsidP="008A1ED4">
      <w:pPr>
        <w:pStyle w:val="GAPreambulaResolution"/>
        <w:rPr>
          <w:rFonts w:eastAsia="SimSun"/>
          <w:lang w:val="fr-FR"/>
        </w:rPr>
      </w:pPr>
      <w:r w:rsidRPr="00F221F0">
        <w:rPr>
          <w:lang w:val="fr-FR"/>
        </w:rPr>
        <w:t>L</w:t>
      </w:r>
      <w:r w:rsidR="001B73DB">
        <w:rPr>
          <w:lang w:val="fr-FR"/>
        </w:rPr>
        <w:t>’</w:t>
      </w:r>
      <w:r w:rsidRPr="00F221F0">
        <w:rPr>
          <w:lang w:val="fr-FR"/>
        </w:rPr>
        <w:t>Assemblée générale,</w:t>
      </w:r>
    </w:p>
    <w:p w14:paraId="17C73DEF" w14:textId="77777777" w:rsidR="008A1ED4" w:rsidRPr="00F221F0" w:rsidRDefault="008A1ED4" w:rsidP="00555191">
      <w:pPr>
        <w:pStyle w:val="COMParaDecision"/>
        <w:numPr>
          <w:ilvl w:val="0"/>
          <w:numId w:val="10"/>
        </w:numPr>
        <w:ind w:left="1134" w:hanging="567"/>
        <w:rPr>
          <w:u w:val="none"/>
          <w:lang w:val="fr-FR"/>
        </w:rPr>
      </w:pPr>
      <w:r w:rsidRPr="00F221F0">
        <w:rPr>
          <w:lang w:val="fr-FR"/>
        </w:rPr>
        <w:t>Ayant examiné</w:t>
      </w:r>
      <w:r w:rsidRPr="00F221F0">
        <w:rPr>
          <w:u w:val="none"/>
          <w:lang w:val="fr-FR"/>
        </w:rPr>
        <w:t xml:space="preserve"> le document LHE/20/8.GA/15,</w:t>
      </w:r>
    </w:p>
    <w:p w14:paraId="519FBC49" w14:textId="312EBC28" w:rsidR="008A1ED4" w:rsidRPr="00F221F0" w:rsidRDefault="008A1ED4" w:rsidP="002B2472">
      <w:pPr>
        <w:pStyle w:val="COMParaDecision"/>
        <w:numPr>
          <w:ilvl w:val="0"/>
          <w:numId w:val="10"/>
        </w:numPr>
        <w:ind w:left="1134" w:hanging="567"/>
        <w:rPr>
          <w:lang w:val="fr-FR"/>
        </w:rPr>
      </w:pPr>
      <w:r w:rsidRPr="00F221F0">
        <w:rPr>
          <w:lang w:val="fr-FR"/>
        </w:rPr>
        <w:t>Rappelant</w:t>
      </w:r>
      <w:r w:rsidRPr="00F221F0">
        <w:rPr>
          <w:u w:val="none"/>
          <w:lang w:val="fr-FR"/>
        </w:rPr>
        <w:t xml:space="preserve"> les documents </w:t>
      </w:r>
      <w:hyperlink r:id="rId26" w:history="1">
        <w:r w:rsidRPr="00E95C4F">
          <w:rPr>
            <w:rStyle w:val="Hyperlink"/>
            <w:lang w:val="fr-FR"/>
          </w:rPr>
          <w:t xml:space="preserve">LHE/20/8.GA/7 </w:t>
        </w:r>
        <w:proofErr w:type="spellStart"/>
        <w:r w:rsidRPr="00E95C4F">
          <w:rPr>
            <w:rStyle w:val="Hyperlink"/>
            <w:lang w:val="fr-FR"/>
          </w:rPr>
          <w:t>Rev</w:t>
        </w:r>
        <w:proofErr w:type="spellEnd"/>
        <w:r w:rsidRPr="00E95C4F">
          <w:rPr>
            <w:rStyle w:val="Hyperlink"/>
            <w:lang w:val="fr-FR"/>
          </w:rPr>
          <w:t>.</w:t>
        </w:r>
      </w:hyperlink>
      <w:r w:rsidRPr="00F221F0">
        <w:rPr>
          <w:u w:val="none"/>
          <w:lang w:val="fr-FR"/>
        </w:rPr>
        <w:t xml:space="preserve"> et </w:t>
      </w:r>
      <w:hyperlink r:id="rId27" w:history="1">
        <w:r w:rsidRPr="00E95C4F">
          <w:rPr>
            <w:rStyle w:val="Hyperlink"/>
            <w:lang w:val="fr-FR"/>
          </w:rPr>
          <w:t>LHE/20/8.GA/8</w:t>
        </w:r>
      </w:hyperlink>
      <w:r w:rsidRPr="00F221F0">
        <w:rPr>
          <w:u w:val="none"/>
          <w:lang w:val="fr-FR"/>
        </w:rPr>
        <w:t xml:space="preserve">, </w:t>
      </w:r>
      <w:hyperlink r:id="rId28" w:history="1">
        <w:r w:rsidRPr="00F221F0">
          <w:rPr>
            <w:rStyle w:val="Hyperlink"/>
            <w:lang w:val="fr-FR"/>
          </w:rPr>
          <w:t>LHE/19/14.COM/19</w:t>
        </w:r>
      </w:hyperlink>
      <w:r w:rsidRPr="00F221F0">
        <w:rPr>
          <w:rStyle w:val="Hyperlink"/>
          <w:lang w:val="fr-FR"/>
        </w:rPr>
        <w:t xml:space="preserve">, </w:t>
      </w:r>
      <w:hyperlink r:id="rId29" w:history="1">
        <w:r w:rsidRPr="00F221F0">
          <w:rPr>
            <w:rStyle w:val="Hyperlink"/>
            <w:lang w:val="fr-FR"/>
          </w:rPr>
          <w:t>ITH/18/13.COM/17</w:t>
        </w:r>
      </w:hyperlink>
      <w:r w:rsidRPr="00F221F0">
        <w:rPr>
          <w:u w:val="none"/>
          <w:lang w:val="fr-FR"/>
        </w:rPr>
        <w:t xml:space="preserve">, </w:t>
      </w:r>
      <w:hyperlink r:id="rId30" w:history="1">
        <w:r w:rsidRPr="00F221F0">
          <w:rPr>
            <w:rStyle w:val="Hyperlink"/>
            <w:lang w:val="fr-FR"/>
          </w:rPr>
          <w:t>ITH/17/12.COM/16</w:t>
        </w:r>
      </w:hyperlink>
      <w:r w:rsidRPr="00F221F0">
        <w:rPr>
          <w:u w:val="none"/>
          <w:lang w:val="fr-FR"/>
        </w:rPr>
        <w:t xml:space="preserve">, </w:t>
      </w:r>
      <w:hyperlink r:id="rId31" w:history="1">
        <w:r w:rsidRPr="00F221F0">
          <w:rPr>
            <w:rStyle w:val="Hyperlink"/>
            <w:lang w:val="fr-FR"/>
          </w:rPr>
          <w:t>ITH/18/7.GA/13</w:t>
        </w:r>
      </w:hyperlink>
      <w:r w:rsidR="009533CC" w:rsidRPr="00F221F0">
        <w:rPr>
          <w:u w:val="none"/>
          <w:lang w:val="fr-FR"/>
        </w:rPr>
        <w:t xml:space="preserve"> </w:t>
      </w:r>
      <w:r w:rsidRPr="00F221F0">
        <w:rPr>
          <w:u w:val="none"/>
          <w:lang w:val="fr-FR"/>
        </w:rPr>
        <w:t xml:space="preserve">et </w:t>
      </w:r>
      <w:hyperlink r:id="rId32" w:history="1">
        <w:r w:rsidRPr="00F221F0">
          <w:rPr>
            <w:rStyle w:val="Hyperlink"/>
            <w:lang w:val="fr-FR"/>
          </w:rPr>
          <w:t>ITH/18/7.GA/12</w:t>
        </w:r>
      </w:hyperlink>
      <w:r w:rsidR="009E400C" w:rsidRPr="00F221F0">
        <w:rPr>
          <w:lang w:val="fr-FR"/>
        </w:rPr>
        <w:t>,</w:t>
      </w:r>
      <w:r w:rsidR="009E400C" w:rsidRPr="00F221F0">
        <w:rPr>
          <w:u w:val="none"/>
          <w:lang w:val="fr-FR"/>
        </w:rPr>
        <w:t xml:space="preserve"> </w:t>
      </w:r>
      <w:r w:rsidRPr="00F221F0">
        <w:rPr>
          <w:u w:val="none"/>
          <w:lang w:val="fr-FR"/>
        </w:rPr>
        <w:t xml:space="preserve">les décisions </w:t>
      </w:r>
      <w:hyperlink r:id="rId33" w:history="1">
        <w:r w:rsidRPr="00F221F0">
          <w:rPr>
            <w:rStyle w:val="Hyperlink"/>
            <w:lang w:val="fr-FR"/>
          </w:rPr>
          <w:t>14.COM 19</w:t>
        </w:r>
      </w:hyperlink>
      <w:r w:rsidRPr="00560AAF">
        <w:rPr>
          <w:rStyle w:val="Hyperlink"/>
          <w:color w:val="auto"/>
          <w:u w:val="none"/>
          <w:lang w:val="fr-FR"/>
        </w:rPr>
        <w:t>,</w:t>
      </w:r>
      <w:r w:rsidR="009E400C" w:rsidRPr="00560AAF">
        <w:rPr>
          <w:rStyle w:val="Hyperlink"/>
          <w:u w:val="none"/>
          <w:lang w:val="fr-FR"/>
        </w:rPr>
        <w:t xml:space="preserve"> </w:t>
      </w:r>
      <w:hyperlink r:id="rId34" w:history="1">
        <w:r w:rsidRPr="00F221F0">
          <w:rPr>
            <w:rStyle w:val="Hyperlink"/>
            <w:lang w:val="fr-FR"/>
          </w:rPr>
          <w:t>13.COM 17</w:t>
        </w:r>
      </w:hyperlink>
      <w:r w:rsidRPr="00560AAF">
        <w:rPr>
          <w:u w:val="none"/>
          <w:lang w:val="fr-FR"/>
        </w:rPr>
        <w:t>,</w:t>
      </w:r>
      <w:r w:rsidRPr="00F221F0">
        <w:rPr>
          <w:u w:val="none"/>
          <w:lang w:val="fr-FR"/>
        </w:rPr>
        <w:t xml:space="preserve"> </w:t>
      </w:r>
      <w:hyperlink r:id="rId35" w:history="1">
        <w:r w:rsidRPr="00F221F0">
          <w:rPr>
            <w:rStyle w:val="Hyperlink"/>
            <w:lang w:val="fr-FR"/>
          </w:rPr>
          <w:t>12.COM 16</w:t>
        </w:r>
      </w:hyperlink>
      <w:r w:rsidR="009E400C" w:rsidRPr="00F221F0">
        <w:rPr>
          <w:lang w:val="fr-FR"/>
        </w:rPr>
        <w:t xml:space="preserve"> </w:t>
      </w:r>
      <w:r w:rsidRPr="00F221F0">
        <w:rPr>
          <w:u w:val="none"/>
          <w:lang w:val="fr-FR"/>
        </w:rPr>
        <w:t xml:space="preserve">et </w:t>
      </w:r>
      <w:r w:rsidR="009E400C" w:rsidRPr="00F221F0">
        <w:rPr>
          <w:u w:val="none"/>
          <w:lang w:val="fr-FR"/>
        </w:rPr>
        <w:t>l</w:t>
      </w:r>
      <w:r w:rsidRPr="00F221F0">
        <w:rPr>
          <w:u w:val="none"/>
          <w:lang w:val="fr-FR"/>
        </w:rPr>
        <w:t xml:space="preserve">es résolutions </w:t>
      </w:r>
      <w:hyperlink r:id="rId36" w:history="1">
        <w:r w:rsidRPr="00F221F0">
          <w:rPr>
            <w:rStyle w:val="Hyperlink"/>
            <w:lang w:val="fr-FR"/>
          </w:rPr>
          <w:t>7.</w:t>
        </w:r>
        <w:r w:rsidR="001A22E2">
          <w:rPr>
            <w:rStyle w:val="Hyperlink"/>
            <w:lang w:val="fr-FR"/>
          </w:rPr>
          <w:t>GA</w:t>
        </w:r>
        <w:r w:rsidRPr="00F221F0">
          <w:rPr>
            <w:rStyle w:val="Hyperlink"/>
            <w:lang w:val="fr-FR"/>
          </w:rPr>
          <w:t xml:space="preserve"> 12</w:t>
        </w:r>
      </w:hyperlink>
      <w:r w:rsidRPr="00F221F0">
        <w:rPr>
          <w:u w:val="none"/>
          <w:lang w:val="fr-FR"/>
        </w:rPr>
        <w:t xml:space="preserve">, </w:t>
      </w:r>
      <w:hyperlink r:id="rId37" w:history="1">
        <w:r w:rsidRPr="00F221F0">
          <w:rPr>
            <w:rStyle w:val="Hyperlink"/>
            <w:lang w:val="fr-FR"/>
          </w:rPr>
          <w:t>7.</w:t>
        </w:r>
        <w:r w:rsidR="001A22E2">
          <w:rPr>
            <w:rStyle w:val="Hyperlink"/>
            <w:lang w:val="fr-FR"/>
          </w:rPr>
          <w:t>GA</w:t>
        </w:r>
        <w:r w:rsidRPr="00F221F0">
          <w:rPr>
            <w:rStyle w:val="Hyperlink"/>
            <w:lang w:val="fr-FR"/>
          </w:rPr>
          <w:t xml:space="preserve"> 13</w:t>
        </w:r>
      </w:hyperlink>
      <w:r w:rsidR="009E400C" w:rsidRPr="00F221F0">
        <w:rPr>
          <w:lang w:val="fr-FR"/>
        </w:rPr>
        <w:t xml:space="preserve"> </w:t>
      </w:r>
      <w:r w:rsidRPr="00F221F0">
        <w:rPr>
          <w:u w:val="none"/>
          <w:lang w:val="fr-FR"/>
        </w:rPr>
        <w:t xml:space="preserve">et </w:t>
      </w:r>
      <w:hyperlink r:id="rId38" w:history="1">
        <w:r w:rsidRPr="00F221F0">
          <w:rPr>
            <w:rStyle w:val="Hyperlink"/>
            <w:lang w:val="fr-FR"/>
          </w:rPr>
          <w:t>6.</w:t>
        </w:r>
        <w:r w:rsidR="001A22E2">
          <w:rPr>
            <w:rStyle w:val="Hyperlink"/>
            <w:lang w:val="fr-FR"/>
          </w:rPr>
          <w:t>GA</w:t>
        </w:r>
        <w:r w:rsidRPr="00F221F0">
          <w:rPr>
            <w:rStyle w:val="Hyperlink"/>
            <w:lang w:val="fr-FR"/>
          </w:rPr>
          <w:t xml:space="preserve"> 11</w:t>
        </w:r>
      </w:hyperlink>
      <w:r w:rsidRPr="00F221F0">
        <w:rPr>
          <w:u w:val="none"/>
          <w:lang w:val="fr-FR"/>
        </w:rPr>
        <w:t>,</w:t>
      </w:r>
    </w:p>
    <w:p w14:paraId="78071AC7" w14:textId="40D4BFD7" w:rsidR="00744371" w:rsidRPr="00F221F0" w:rsidRDefault="008A1ED4" w:rsidP="00744371">
      <w:pPr>
        <w:pStyle w:val="COMParaDecision"/>
        <w:numPr>
          <w:ilvl w:val="0"/>
          <w:numId w:val="10"/>
        </w:numPr>
        <w:ind w:left="1134" w:hanging="567"/>
        <w:rPr>
          <w:lang w:val="fr-FR"/>
        </w:rPr>
      </w:pPr>
      <w:r w:rsidRPr="00F221F0">
        <w:rPr>
          <w:lang w:val="fr-FR"/>
        </w:rPr>
        <w:t>Rappelant également</w:t>
      </w:r>
      <w:r w:rsidR="009E400C" w:rsidRPr="00AB5732">
        <w:rPr>
          <w:u w:val="none"/>
          <w:lang w:val="fr-FR"/>
        </w:rPr>
        <w:t xml:space="preserve"> </w:t>
      </w:r>
      <w:r w:rsidR="00560AAF">
        <w:rPr>
          <w:u w:val="none"/>
          <w:lang w:val="fr-FR"/>
        </w:rPr>
        <w:t xml:space="preserve">la </w:t>
      </w:r>
      <w:hyperlink r:id="rId39" w:anchor="%5B%7B%22num%22%3A264%2C%22gen%22%3A0%7D%2C%7B%22name%22%3A%22XYZ%22%7D%2C54%2C771%2C0%5D" w:history="1">
        <w:r w:rsidR="00560AAF">
          <w:rPr>
            <w:rStyle w:val="Hyperlink"/>
            <w:lang w:val="fr-FR"/>
          </w:rPr>
          <w:t>résolution 38 C/101</w:t>
        </w:r>
      </w:hyperlink>
      <w:r w:rsidR="009E400C" w:rsidRPr="00F221F0">
        <w:rPr>
          <w:lang w:val="fr-FR"/>
        </w:rPr>
        <w:t xml:space="preserve"> </w:t>
      </w:r>
      <w:r w:rsidRPr="00F221F0">
        <w:rPr>
          <w:rStyle w:val="Hyperlink"/>
          <w:color w:val="auto"/>
          <w:u w:val="none"/>
          <w:lang w:val="fr-FR"/>
        </w:rPr>
        <w:t>et la</w:t>
      </w:r>
      <w:hyperlink r:id="rId40" w:history="1">
        <w:r w:rsidRPr="00AB5732">
          <w:rPr>
            <w:rStyle w:val="Hyperlink"/>
            <w:u w:val="none"/>
            <w:lang w:val="fr-FR"/>
          </w:rPr>
          <w:t xml:space="preserve"> </w:t>
        </w:r>
        <w:r w:rsidR="00560AAF">
          <w:rPr>
            <w:rStyle w:val="Hyperlink"/>
            <w:lang w:val="fr-FR"/>
          </w:rPr>
          <w:t>r</w:t>
        </w:r>
        <w:r w:rsidRPr="00F221F0">
          <w:rPr>
            <w:rStyle w:val="Hyperlink"/>
            <w:lang w:val="fr-FR"/>
          </w:rPr>
          <w:t>ésolution 39</w:t>
        </w:r>
        <w:r w:rsidR="009E400C" w:rsidRPr="00F221F0">
          <w:rPr>
            <w:rStyle w:val="Hyperlink"/>
            <w:lang w:val="fr-FR"/>
          </w:rPr>
          <w:t xml:space="preserve"> </w:t>
        </w:r>
        <w:r w:rsidRPr="00F221F0">
          <w:rPr>
            <w:rStyle w:val="Hyperlink"/>
            <w:lang w:val="fr-FR"/>
          </w:rPr>
          <w:t>C/87</w:t>
        </w:r>
      </w:hyperlink>
      <w:r w:rsidRPr="00F221F0">
        <w:rPr>
          <w:u w:val="none"/>
          <w:lang w:val="fr-FR"/>
        </w:rPr>
        <w:t>,</w:t>
      </w:r>
    </w:p>
    <w:p w14:paraId="439B3177" w14:textId="22CD375D" w:rsidR="002B2472" w:rsidRPr="00F221F0" w:rsidRDefault="002B2472" w:rsidP="002B2472">
      <w:pPr>
        <w:pStyle w:val="COMParaDecision"/>
        <w:numPr>
          <w:ilvl w:val="0"/>
          <w:numId w:val="10"/>
        </w:numPr>
        <w:ind w:left="1134" w:hanging="567"/>
        <w:rPr>
          <w:lang w:val="fr-FR"/>
        </w:rPr>
      </w:pPr>
      <w:r w:rsidRPr="00F221F0">
        <w:rPr>
          <w:lang w:val="fr-FR"/>
        </w:rPr>
        <w:t>Encourage</w:t>
      </w:r>
      <w:r w:rsidRPr="00F221F0">
        <w:rPr>
          <w:u w:val="none"/>
          <w:lang w:val="fr-FR"/>
        </w:rPr>
        <w:t xml:space="preserve"> le </w:t>
      </w:r>
      <w:r w:rsidR="004E4677">
        <w:rPr>
          <w:u w:val="none"/>
          <w:lang w:val="fr-FR"/>
        </w:rPr>
        <w:t>S</w:t>
      </w:r>
      <w:r w:rsidRPr="00F221F0">
        <w:rPr>
          <w:u w:val="none"/>
          <w:lang w:val="fr-FR"/>
        </w:rPr>
        <w:t xml:space="preserve">ecteur de la culture à poursuivre ses efforts, le cas échéant, pour harmoniser les règlements intérieurs des organes directeurs avec les autres conventions </w:t>
      </w:r>
      <w:r w:rsidR="004E4677">
        <w:rPr>
          <w:u w:val="none"/>
          <w:lang w:val="fr-FR"/>
        </w:rPr>
        <w:t>culturelles</w:t>
      </w:r>
      <w:r w:rsidRPr="00F221F0">
        <w:rPr>
          <w:u w:val="none"/>
          <w:lang w:val="fr-FR"/>
        </w:rPr>
        <w:t xml:space="preserve">, conformément à la </w:t>
      </w:r>
      <w:hyperlink r:id="rId41" w:history="1">
        <w:r w:rsidR="00560AAF">
          <w:rPr>
            <w:rStyle w:val="Hyperlink"/>
            <w:lang w:val="fr-FR"/>
          </w:rPr>
          <w:t>r</w:t>
        </w:r>
        <w:r w:rsidRPr="00F221F0">
          <w:rPr>
            <w:rStyle w:val="Hyperlink"/>
            <w:lang w:val="fr-FR"/>
          </w:rPr>
          <w:t>ésolution 7.GA 13</w:t>
        </w:r>
      </w:hyperlink>
      <w:r w:rsidRPr="00F221F0">
        <w:rPr>
          <w:u w:val="none"/>
          <w:lang w:val="fr-FR"/>
        </w:rPr>
        <w:t> ;</w:t>
      </w:r>
    </w:p>
    <w:p w14:paraId="3835E73B" w14:textId="2748EA39" w:rsidR="008A1ED4" w:rsidRPr="001B73DB" w:rsidRDefault="002B2472" w:rsidP="008A1ED4">
      <w:pPr>
        <w:pStyle w:val="COMParaDecision"/>
        <w:numPr>
          <w:ilvl w:val="0"/>
          <w:numId w:val="10"/>
        </w:numPr>
        <w:ind w:left="1134" w:hanging="567"/>
        <w:rPr>
          <w:lang w:val="fr-FR"/>
        </w:rPr>
      </w:pPr>
      <w:r w:rsidRPr="00F221F0">
        <w:rPr>
          <w:lang w:val="fr-FR"/>
        </w:rPr>
        <w:t>Considère</w:t>
      </w:r>
      <w:r w:rsidRPr="00F221F0">
        <w:rPr>
          <w:u w:val="none"/>
          <w:lang w:val="fr-FR"/>
        </w:rPr>
        <w:t xml:space="preserve"> que des progrès suffisants ont été accomplis dans le suivi de la mise en œuvre des recommandations pertinentes du </w:t>
      </w:r>
      <w:r w:rsidR="00382398" w:rsidRPr="00F221F0">
        <w:rPr>
          <w:u w:val="none"/>
          <w:lang w:val="fr-FR"/>
        </w:rPr>
        <w:t>Groupe</w:t>
      </w:r>
      <w:r w:rsidRPr="00F221F0">
        <w:rPr>
          <w:u w:val="none"/>
          <w:lang w:val="fr-FR"/>
        </w:rPr>
        <w:t xml:space="preserve"> de travail à composition non limitée sur la gouvernance, les procédures et les méthodes de travail des organes directeurs de l</w:t>
      </w:r>
      <w:r w:rsidR="001B73DB">
        <w:rPr>
          <w:u w:val="none"/>
          <w:lang w:val="fr-FR"/>
        </w:rPr>
        <w:t>’</w:t>
      </w:r>
      <w:r w:rsidRPr="00F221F0">
        <w:rPr>
          <w:u w:val="none"/>
          <w:lang w:val="fr-FR"/>
        </w:rPr>
        <w:t>UNESCO qui requièrent l</w:t>
      </w:r>
      <w:r w:rsidR="001B73DB">
        <w:rPr>
          <w:u w:val="none"/>
          <w:lang w:val="fr-FR"/>
        </w:rPr>
        <w:t>’</w:t>
      </w:r>
      <w:r w:rsidRPr="00F221F0">
        <w:rPr>
          <w:u w:val="none"/>
          <w:lang w:val="fr-FR"/>
        </w:rPr>
        <w:t>attention de l</w:t>
      </w:r>
      <w:r w:rsidR="001B73DB">
        <w:rPr>
          <w:u w:val="none"/>
          <w:lang w:val="fr-FR"/>
        </w:rPr>
        <w:t>’</w:t>
      </w:r>
      <w:r w:rsidRPr="00F221F0">
        <w:rPr>
          <w:u w:val="none"/>
          <w:lang w:val="fr-FR"/>
        </w:rPr>
        <w:t xml:space="preserve">Assemblée générale et </w:t>
      </w:r>
      <w:r w:rsidRPr="00F221F0">
        <w:rPr>
          <w:lang w:val="fr-FR"/>
        </w:rPr>
        <w:t>demande</w:t>
      </w:r>
      <w:r w:rsidRPr="00F221F0">
        <w:rPr>
          <w:u w:val="none"/>
          <w:lang w:val="fr-FR"/>
        </w:rPr>
        <w:t xml:space="preserve"> que le Secrétariat continue de faire rapport, le cas échéant, sur les nouveaux progrès accomplis eu égard à l</w:t>
      </w:r>
      <w:r w:rsidR="001B73DB">
        <w:rPr>
          <w:u w:val="none"/>
          <w:lang w:val="fr-FR"/>
        </w:rPr>
        <w:t>’</w:t>
      </w:r>
      <w:r w:rsidRPr="00F221F0">
        <w:rPr>
          <w:u w:val="none"/>
          <w:lang w:val="fr-FR"/>
        </w:rPr>
        <w:t>état des recommandations.</w:t>
      </w:r>
    </w:p>
    <w:sectPr w:rsidR="008A1ED4" w:rsidRPr="001B73DB" w:rsidSect="00176720">
      <w:headerReference w:type="even" r:id="rId42"/>
      <w:headerReference w:type="default" r:id="rId43"/>
      <w:footerReference w:type="even" r:id="rId44"/>
      <w:footerReference w:type="default" r:id="rId45"/>
      <w:headerReference w:type="first" r:id="rId46"/>
      <w:footerReference w:type="first" r:id="rId47"/>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FB047" w14:textId="77777777" w:rsidR="000B1433" w:rsidRDefault="000B1433" w:rsidP="00655736">
      <w:r>
        <w:separator/>
      </w:r>
    </w:p>
  </w:endnote>
  <w:endnote w:type="continuationSeparator" w:id="0">
    <w:p w14:paraId="25D33870" w14:textId="77777777" w:rsidR="000B1433" w:rsidRDefault="000B1433"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5F5D" w14:textId="77777777" w:rsidR="007E39C5" w:rsidRDefault="007E3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DD3" w14:textId="77777777" w:rsidR="007E39C5" w:rsidRDefault="007E3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71768" w14:textId="77777777" w:rsidR="007E39C5" w:rsidRDefault="007E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FF655" w14:textId="77777777" w:rsidR="000B1433" w:rsidRDefault="000B1433" w:rsidP="00655736">
      <w:r>
        <w:separator/>
      </w:r>
    </w:p>
  </w:footnote>
  <w:footnote w:type="continuationSeparator" w:id="0">
    <w:p w14:paraId="3695946A" w14:textId="77777777" w:rsidR="000B1433" w:rsidRDefault="000B1433" w:rsidP="00655736">
      <w:r>
        <w:continuationSeparator/>
      </w:r>
    </w:p>
  </w:footnote>
  <w:footnote w:id="1">
    <w:p w14:paraId="2D878539" w14:textId="6BEA7F0C" w:rsidR="00582029" w:rsidRPr="00E863FC" w:rsidRDefault="00582029" w:rsidP="00582029">
      <w:pPr>
        <w:pStyle w:val="FootnoteText"/>
        <w:ind w:left="567" w:hanging="567"/>
        <w:rPr>
          <w:rFonts w:asciiTheme="minorBidi" w:hAnsiTheme="minorBidi" w:cstheme="minorBidi"/>
          <w:sz w:val="18"/>
          <w:szCs w:val="18"/>
        </w:rPr>
      </w:pPr>
      <w:r>
        <w:rPr>
          <w:rStyle w:val="FootnoteReference"/>
          <w:rFonts w:asciiTheme="minorBidi" w:hAnsiTheme="minorBidi" w:cstheme="minorBidi"/>
          <w:sz w:val="18"/>
          <w:szCs w:val="18"/>
        </w:rPr>
        <w:footnoteRef/>
      </w:r>
      <w:r>
        <w:rPr>
          <w:rFonts w:asciiTheme="minorBidi" w:hAnsiTheme="minorBidi" w:cstheme="minorBidi"/>
          <w:sz w:val="18"/>
          <w:szCs w:val="18"/>
        </w:rPr>
        <w:t xml:space="preserve">. </w:t>
      </w:r>
      <w:r>
        <w:rPr>
          <w:rFonts w:asciiTheme="minorBidi" w:hAnsiTheme="minorBidi" w:cstheme="minorBidi"/>
          <w:sz w:val="18"/>
          <w:szCs w:val="18"/>
        </w:rPr>
        <w:tab/>
      </w:r>
      <w:r w:rsidR="00CD157D">
        <w:rPr>
          <w:rFonts w:asciiTheme="minorBidi" w:hAnsiTheme="minorBidi" w:cstheme="minorBidi"/>
          <w:sz w:val="18"/>
          <w:szCs w:val="18"/>
        </w:rPr>
        <w:t>Commission APX (</w:t>
      </w:r>
      <w:r w:rsidR="00CD157D" w:rsidRPr="00AB5732">
        <w:rPr>
          <w:rFonts w:asciiTheme="minorBidi" w:hAnsiTheme="minorBidi" w:cstheme="minorBidi"/>
          <w:sz w:val="18"/>
          <w:szCs w:val="18"/>
        </w:rPr>
        <w:t>Finances, administration et questions générales, soutien du programme et relations extérieures)</w:t>
      </w:r>
      <w:r w:rsidR="00CD157D" w:rsidDel="00CD157D">
        <w:rPr>
          <w:rFonts w:asciiTheme="minorBidi" w:hAnsiTheme="minorBidi" w:cstheme="minorBidi"/>
          <w:sz w:val="18"/>
          <w:szCs w:val="18"/>
        </w:rPr>
        <w:t xml:space="preserve"> </w:t>
      </w:r>
      <w:r>
        <w:rPr>
          <w:rFonts w:asciiTheme="minorBidi" w:hAnsiTheme="minorBidi" w:cstheme="minorBidi"/>
          <w:sz w:val="18"/>
          <w:szCs w:val="18"/>
        </w:rPr>
        <w:t>de la Conférence générale.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B326" w14:textId="4B7E46A3" w:rsidR="00D95C4C" w:rsidRPr="00C23A97" w:rsidRDefault="006F41B4">
    <w:pPr>
      <w:pStyle w:val="Header"/>
      <w:rPr>
        <w:rFonts w:ascii="Arial" w:hAnsi="Arial" w:cs="Arial"/>
      </w:rPr>
    </w:pPr>
    <w:r>
      <w:rPr>
        <w:rFonts w:ascii="Arial" w:hAnsi="Arial" w:cs="Arial"/>
        <w:sz w:val="20"/>
        <w:szCs w:val="20"/>
      </w:rPr>
      <w:t xml:space="preserve">LHE/20/8.GA/15 - page </w:t>
    </w:r>
    <w:r w:rsidR="00B73382">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B73382">
      <w:rPr>
        <w:rStyle w:val="PageNumber"/>
        <w:rFonts w:ascii="Arial" w:hAnsi="Arial" w:cs="Arial"/>
        <w:sz w:val="20"/>
        <w:szCs w:val="20"/>
      </w:rPr>
      <w:fldChar w:fldCharType="separate"/>
    </w:r>
    <w:r w:rsidR="007E39C5">
      <w:rPr>
        <w:rStyle w:val="PageNumber"/>
        <w:rFonts w:ascii="Arial" w:hAnsi="Arial" w:cs="Arial"/>
        <w:noProof/>
        <w:sz w:val="20"/>
        <w:szCs w:val="20"/>
      </w:rPr>
      <w:t>4</w:t>
    </w:r>
    <w:r w:rsidR="00B73382">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F1834" w14:textId="1C1AF26D" w:rsidR="00D95C4C" w:rsidRPr="0063300C" w:rsidRDefault="001A22E2" w:rsidP="0063300C">
    <w:pPr>
      <w:pStyle w:val="Header"/>
      <w:jc w:val="right"/>
      <w:rPr>
        <w:rFonts w:ascii="Arial" w:hAnsi="Arial" w:cs="Arial"/>
      </w:rPr>
    </w:pPr>
    <w:r>
      <w:rPr>
        <w:rFonts w:ascii="Arial" w:hAnsi="Arial" w:cs="Arial"/>
        <w:sz w:val="20"/>
        <w:szCs w:val="20"/>
      </w:rPr>
      <w:t>LHE</w:t>
    </w:r>
    <w:r w:rsidR="00B96B09">
      <w:rPr>
        <w:rFonts w:ascii="Arial" w:hAnsi="Arial" w:cs="Arial"/>
        <w:sz w:val="20"/>
        <w:szCs w:val="20"/>
      </w:rPr>
      <w:t>/</w:t>
    </w:r>
    <w:r>
      <w:rPr>
        <w:rFonts w:ascii="Arial" w:hAnsi="Arial" w:cs="Arial"/>
        <w:sz w:val="20"/>
        <w:szCs w:val="20"/>
      </w:rPr>
      <w:t>20</w:t>
    </w:r>
    <w:r w:rsidR="00B96B09">
      <w:rPr>
        <w:rFonts w:ascii="Arial" w:hAnsi="Arial" w:cs="Arial"/>
        <w:sz w:val="20"/>
        <w:szCs w:val="20"/>
      </w:rPr>
      <w:t xml:space="preserve">/8.GA/15 - page </w:t>
    </w:r>
    <w:r w:rsidR="00B73382">
      <w:rPr>
        <w:rStyle w:val="PageNumber"/>
        <w:rFonts w:ascii="Arial" w:hAnsi="Arial" w:cs="Arial"/>
        <w:sz w:val="20"/>
        <w:szCs w:val="20"/>
      </w:rPr>
      <w:fldChar w:fldCharType="begin"/>
    </w:r>
    <w:r w:rsidR="00B96B09">
      <w:rPr>
        <w:rStyle w:val="PageNumber"/>
        <w:rFonts w:ascii="Arial" w:hAnsi="Arial" w:cs="Arial"/>
        <w:sz w:val="20"/>
        <w:szCs w:val="20"/>
      </w:rPr>
      <w:instrText xml:space="preserve"> PAGE </w:instrText>
    </w:r>
    <w:r w:rsidR="00B73382">
      <w:rPr>
        <w:rStyle w:val="PageNumber"/>
        <w:rFonts w:ascii="Arial" w:hAnsi="Arial" w:cs="Arial"/>
        <w:sz w:val="20"/>
        <w:szCs w:val="20"/>
      </w:rPr>
      <w:fldChar w:fldCharType="separate"/>
    </w:r>
    <w:r w:rsidR="007E39C5">
      <w:rPr>
        <w:rStyle w:val="PageNumber"/>
        <w:rFonts w:ascii="Arial" w:hAnsi="Arial" w:cs="Arial"/>
        <w:noProof/>
        <w:sz w:val="20"/>
        <w:szCs w:val="20"/>
      </w:rPr>
      <w:t>3</w:t>
    </w:r>
    <w:r w:rsidR="00B73382">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BBCC5" w14:textId="71329173" w:rsidR="00D95C4C" w:rsidRPr="008724E5" w:rsidRDefault="00571C8F">
    <w:pPr>
      <w:pStyle w:val="Header"/>
    </w:pPr>
    <w:r>
      <w:rPr>
        <w:noProof/>
      </w:rPr>
      <w:drawing>
        <wp:anchor distT="0" distB="0" distL="114300" distR="114300" simplePos="0" relativeHeight="251659264" behindDoc="0" locked="0" layoutInCell="1" allowOverlap="1" wp14:anchorId="4B7F9547" wp14:editId="31B68295">
          <wp:simplePos x="0" y="0"/>
          <wp:positionH relativeFrom="column">
            <wp:posOffset>-371475</wp:posOffset>
          </wp:positionH>
          <wp:positionV relativeFrom="paragraph">
            <wp:posOffset>9525</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59707" w14:textId="702650F0" w:rsidR="00D95C4C" w:rsidRPr="00D25762" w:rsidRDefault="006F41B4" w:rsidP="00655736">
    <w:pPr>
      <w:pStyle w:val="Header"/>
      <w:spacing w:after="520"/>
      <w:jc w:val="right"/>
      <w:rPr>
        <w:rFonts w:ascii="Arial" w:hAnsi="Arial" w:cs="Arial"/>
        <w:b/>
        <w:sz w:val="44"/>
        <w:szCs w:val="44"/>
      </w:rPr>
    </w:pPr>
    <w:r>
      <w:rPr>
        <w:rFonts w:ascii="Arial" w:hAnsi="Arial" w:cs="Arial"/>
        <w:b/>
        <w:bCs/>
        <w:sz w:val="44"/>
        <w:szCs w:val="44"/>
      </w:rPr>
      <w:t>8 GA</w:t>
    </w:r>
  </w:p>
  <w:p w14:paraId="406FA9A1" w14:textId="77777777" w:rsidR="00D95C4C" w:rsidRPr="00D25762" w:rsidRDefault="006F41B4" w:rsidP="00655736">
    <w:pPr>
      <w:jc w:val="right"/>
      <w:rPr>
        <w:rFonts w:ascii="Arial" w:hAnsi="Arial" w:cs="Arial"/>
        <w:b/>
        <w:sz w:val="22"/>
        <w:szCs w:val="22"/>
      </w:rPr>
    </w:pPr>
    <w:r>
      <w:rPr>
        <w:rFonts w:ascii="Arial" w:hAnsi="Arial" w:cs="Arial"/>
        <w:b/>
        <w:bCs/>
        <w:sz w:val="22"/>
        <w:szCs w:val="22"/>
      </w:rPr>
      <w:t>LHE/20/8.GA/15</w:t>
    </w:r>
  </w:p>
  <w:p w14:paraId="16CB6746" w14:textId="26A7B9DA" w:rsidR="00D95C4C" w:rsidRPr="00D25762" w:rsidRDefault="00D95C4C" w:rsidP="00655736">
    <w:pPr>
      <w:jc w:val="right"/>
      <w:rPr>
        <w:rFonts w:ascii="Arial" w:hAnsi="Arial" w:cs="Arial"/>
        <w:b/>
        <w:sz w:val="22"/>
        <w:szCs w:val="22"/>
      </w:rPr>
    </w:pPr>
    <w:r>
      <w:rPr>
        <w:rFonts w:ascii="Arial" w:hAnsi="Arial" w:cs="Arial"/>
        <w:b/>
        <w:bCs/>
        <w:sz w:val="22"/>
        <w:szCs w:val="22"/>
      </w:rPr>
      <w:t xml:space="preserve">Paris, le </w:t>
    </w:r>
    <w:r w:rsidR="007E39C5">
      <w:rPr>
        <w:rFonts w:ascii="Arial" w:hAnsi="Arial" w:cs="Arial"/>
        <w:b/>
        <w:bCs/>
        <w:sz w:val="22"/>
        <w:szCs w:val="22"/>
      </w:rPr>
      <w:t>4</w:t>
    </w:r>
    <w:bookmarkStart w:id="0" w:name="_GoBack"/>
    <w:bookmarkEnd w:id="0"/>
    <w:r w:rsidR="00F221F0">
      <w:rPr>
        <w:rFonts w:ascii="Arial" w:hAnsi="Arial" w:cs="Arial"/>
        <w:b/>
        <w:bCs/>
        <w:sz w:val="22"/>
        <w:szCs w:val="22"/>
      </w:rPr>
      <w:t xml:space="preserve"> septembre </w:t>
    </w:r>
    <w:r>
      <w:rPr>
        <w:rFonts w:ascii="Arial" w:hAnsi="Arial" w:cs="Arial"/>
        <w:b/>
        <w:bCs/>
        <w:sz w:val="22"/>
        <w:szCs w:val="22"/>
      </w:rPr>
      <w:t>2020</w:t>
    </w:r>
  </w:p>
  <w:p w14:paraId="14459D7B" w14:textId="77777777" w:rsidR="00D95C4C" w:rsidRPr="00555191" w:rsidRDefault="002F6F89" w:rsidP="00703FBF">
    <w:pPr>
      <w:jc w:val="right"/>
      <w:rPr>
        <w:rFonts w:ascii="Arial" w:hAnsi="Arial" w:cs="Arial"/>
        <w:b/>
        <w:sz w:val="22"/>
        <w:szCs w:val="22"/>
      </w:rPr>
    </w:pPr>
    <w:r>
      <w:rPr>
        <w:rFonts w:ascii="Arial" w:hAnsi="Arial" w:cs="Arial"/>
        <w:b/>
        <w:bCs/>
        <w:sz w:val="22"/>
        <w:szCs w:val="22"/>
      </w:rPr>
      <w:t>Original :</w:t>
    </w:r>
    <w:r w:rsidR="00D95C4C">
      <w:rPr>
        <w:rFonts w:ascii="Arial" w:hAnsi="Arial" w:cs="Arial"/>
        <w:b/>
        <w:bCs/>
        <w:sz w:val="22"/>
        <w:szCs w:val="22"/>
      </w:rPr>
      <w:t xml:space="preserve"> anglais</w:t>
    </w:r>
  </w:p>
  <w:p w14:paraId="4DB7423D" w14:textId="77777777" w:rsidR="00540FE0" w:rsidRPr="00555191" w:rsidRDefault="00540FE0" w:rsidP="00540FE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7A4"/>
    <w:multiLevelType w:val="hybridMultilevel"/>
    <w:tmpl w:val="35C4EF92"/>
    <w:lvl w:ilvl="0" w:tplc="5A82CA36">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2FD3"/>
    <w:multiLevelType w:val="hybridMultilevel"/>
    <w:tmpl w:val="A76459EE"/>
    <w:lvl w:ilvl="0" w:tplc="5E36DC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1044427B"/>
    <w:multiLevelType w:val="hybridMultilevel"/>
    <w:tmpl w:val="4D6A39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5"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E98050B"/>
    <w:multiLevelType w:val="hybridMultilevel"/>
    <w:tmpl w:val="B0E4A6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2"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54A22308"/>
    <w:multiLevelType w:val="hybridMultilevel"/>
    <w:tmpl w:val="297AB420"/>
    <w:lvl w:ilvl="0" w:tplc="AFB64EC8">
      <w:start w:val="64"/>
      <w:numFmt w:val="decimal"/>
      <w:lvlText w:val="%1."/>
      <w:lvlJc w:val="left"/>
      <w:pPr>
        <w:ind w:left="20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155AE9"/>
    <w:multiLevelType w:val="hybridMultilevel"/>
    <w:tmpl w:val="DFE29FF2"/>
    <w:lvl w:ilvl="0" w:tplc="879837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E7254"/>
    <w:multiLevelType w:val="hybridMultilevel"/>
    <w:tmpl w:val="49909E62"/>
    <w:lvl w:ilvl="0" w:tplc="5FF6C1AA">
      <w:start w:val="1"/>
      <w:numFmt w:val="upperRoman"/>
      <w:lvlText w:val="%1."/>
      <w:lvlJc w:val="left"/>
      <w:pPr>
        <w:ind w:left="1287" w:hanging="72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6"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5F7E20C1"/>
    <w:multiLevelType w:val="hybridMultilevel"/>
    <w:tmpl w:val="8960B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FB82F79"/>
    <w:multiLevelType w:val="hybridMultilevel"/>
    <w:tmpl w:val="EE7243B4"/>
    <w:lvl w:ilvl="0" w:tplc="4F7CBCD0">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7"/>
  </w:num>
  <w:num w:numId="3">
    <w:abstractNumId w:val="4"/>
  </w:num>
  <w:num w:numId="4">
    <w:abstractNumId w:val="20"/>
  </w:num>
  <w:num w:numId="5">
    <w:abstractNumId w:val="18"/>
  </w:num>
  <w:num w:numId="6">
    <w:abstractNumId w:val="2"/>
  </w:num>
  <w:num w:numId="7">
    <w:abstractNumId w:val="5"/>
  </w:num>
  <w:num w:numId="8">
    <w:abstractNumId w:val="12"/>
  </w:num>
  <w:num w:numId="9">
    <w:abstractNumId w:val="6"/>
  </w:num>
  <w:num w:numId="10">
    <w:abstractNumId w:val="8"/>
  </w:num>
  <w:num w:numId="11">
    <w:abstractNumId w:val="11"/>
  </w:num>
  <w:num w:numId="12">
    <w:abstractNumId w:val="9"/>
  </w:num>
  <w:num w:numId="13">
    <w:abstractNumId w:val="19"/>
  </w:num>
  <w:num w:numId="14">
    <w:abstractNumId w:val="14"/>
  </w:num>
  <w:num w:numId="15">
    <w:abstractNumId w:val="15"/>
  </w:num>
  <w:num w:numId="16">
    <w:abstractNumId w:val="8"/>
  </w:num>
  <w:num w:numId="17">
    <w:abstractNumId w:val="8"/>
  </w:num>
  <w:num w:numId="18">
    <w:abstractNumId w:val="8"/>
  </w:num>
  <w:num w:numId="19">
    <w:abstractNumId w:val="0"/>
  </w:num>
  <w:num w:numId="20">
    <w:abstractNumId w:val="1"/>
  </w:num>
  <w:num w:numId="21">
    <w:abstractNumId w:val="6"/>
  </w:num>
  <w:num w:numId="22">
    <w:abstractNumId w:val="6"/>
  </w:num>
  <w:num w:numId="23">
    <w:abstractNumId w:val="6"/>
  </w:num>
  <w:num w:numId="24">
    <w:abstractNumId w:val="6"/>
  </w:num>
  <w:num w:numId="25">
    <w:abstractNumId w:val="6"/>
  </w:num>
  <w:num w:numId="26">
    <w:abstractNumId w:val="6"/>
  </w:num>
  <w:num w:numId="27">
    <w:abstractNumId w:val="13"/>
  </w:num>
  <w:num w:numId="28">
    <w:abstractNumId w:val="6"/>
  </w:num>
  <w:num w:numId="29">
    <w:abstractNumId w:val="6"/>
  </w:num>
  <w:num w:numId="30">
    <w:abstractNumId w:val="6"/>
  </w:num>
  <w:num w:numId="31">
    <w:abstractNumId w:val="17"/>
  </w:num>
  <w:num w:numId="32">
    <w:abstractNumId w:val="6"/>
  </w:num>
  <w:num w:numId="33">
    <w:abstractNumId w:val="6"/>
  </w:num>
  <w:num w:numId="34">
    <w:abstractNumId w:val="6"/>
  </w:num>
  <w:num w:numId="35">
    <w:abstractNumId w:val="6"/>
  </w:num>
  <w:num w:numId="36">
    <w:abstractNumId w:val="6"/>
  </w:num>
  <w:num w:numId="37">
    <w:abstractNumId w:val="10"/>
  </w:num>
  <w:num w:numId="38">
    <w:abstractNumId w:val="6"/>
  </w:num>
  <w:num w:numId="39">
    <w:abstractNumId w:val="6"/>
  </w:num>
  <w:num w:numId="40">
    <w:abstractNumId w:val="3"/>
  </w:num>
  <w:num w:numId="41">
    <w:abstractNumId w:val="6"/>
  </w:num>
  <w:num w:numId="42">
    <w:abstractNumId w:val="6"/>
  </w:num>
  <w:num w:numId="43">
    <w:abstractNumId w:val="6"/>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fr-FR" w:vendorID="64" w:dllVersion="0" w:nlCheck="1" w:checkStyle="0"/>
  <w:activeWritingStyle w:appName="MSWord" w:lang="en-GB" w:vendorID="64" w:dllVersion="0" w:nlCheck="1" w:checkStyle="0"/>
  <w:activeWritingStyle w:appName="MSWord" w:lang="fr-FR"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866"/>
    <w:rsid w:val="000048ED"/>
    <w:rsid w:val="00041A66"/>
    <w:rsid w:val="0005176E"/>
    <w:rsid w:val="000765F7"/>
    <w:rsid w:val="00077AB7"/>
    <w:rsid w:val="00081CD8"/>
    <w:rsid w:val="000A3E40"/>
    <w:rsid w:val="000A7F0E"/>
    <w:rsid w:val="000B1433"/>
    <w:rsid w:val="000B1862"/>
    <w:rsid w:val="000C0D61"/>
    <w:rsid w:val="000F3A3F"/>
    <w:rsid w:val="00102557"/>
    <w:rsid w:val="00125ED6"/>
    <w:rsid w:val="00141A3D"/>
    <w:rsid w:val="00164D56"/>
    <w:rsid w:val="00167B10"/>
    <w:rsid w:val="00170D77"/>
    <w:rsid w:val="0017402F"/>
    <w:rsid w:val="00176720"/>
    <w:rsid w:val="00196C1B"/>
    <w:rsid w:val="001A22E2"/>
    <w:rsid w:val="001A6D6E"/>
    <w:rsid w:val="001A7DA9"/>
    <w:rsid w:val="001B0F73"/>
    <w:rsid w:val="001B5301"/>
    <w:rsid w:val="001B6812"/>
    <w:rsid w:val="001B73DB"/>
    <w:rsid w:val="001C4825"/>
    <w:rsid w:val="001D1AE3"/>
    <w:rsid w:val="001D5C04"/>
    <w:rsid w:val="001F18B9"/>
    <w:rsid w:val="001F2712"/>
    <w:rsid w:val="0020027A"/>
    <w:rsid w:val="0021539E"/>
    <w:rsid w:val="00222A2D"/>
    <w:rsid w:val="00223029"/>
    <w:rsid w:val="00234745"/>
    <w:rsid w:val="002407AF"/>
    <w:rsid w:val="002415CA"/>
    <w:rsid w:val="00257145"/>
    <w:rsid w:val="00273128"/>
    <w:rsid w:val="002B2472"/>
    <w:rsid w:val="002C09E3"/>
    <w:rsid w:val="002C475F"/>
    <w:rsid w:val="002D7033"/>
    <w:rsid w:val="002F312A"/>
    <w:rsid w:val="002F6F89"/>
    <w:rsid w:val="00316F60"/>
    <w:rsid w:val="00323D57"/>
    <w:rsid w:val="00335C6B"/>
    <w:rsid w:val="00344B1F"/>
    <w:rsid w:val="00345CB4"/>
    <w:rsid w:val="0035000E"/>
    <w:rsid w:val="003549B8"/>
    <w:rsid w:val="00382398"/>
    <w:rsid w:val="0039795F"/>
    <w:rsid w:val="003A493E"/>
    <w:rsid w:val="003B1AAD"/>
    <w:rsid w:val="003D069C"/>
    <w:rsid w:val="003D7646"/>
    <w:rsid w:val="003F113A"/>
    <w:rsid w:val="003F7B9D"/>
    <w:rsid w:val="004027E4"/>
    <w:rsid w:val="00414643"/>
    <w:rsid w:val="00414C9A"/>
    <w:rsid w:val="0042539E"/>
    <w:rsid w:val="0042659B"/>
    <w:rsid w:val="00427451"/>
    <w:rsid w:val="004421E5"/>
    <w:rsid w:val="00452284"/>
    <w:rsid w:val="00464C0C"/>
    <w:rsid w:val="004677DF"/>
    <w:rsid w:val="004856CA"/>
    <w:rsid w:val="0048632D"/>
    <w:rsid w:val="0049705E"/>
    <w:rsid w:val="004A34A0"/>
    <w:rsid w:val="004A43DE"/>
    <w:rsid w:val="004B048B"/>
    <w:rsid w:val="004B0E30"/>
    <w:rsid w:val="004C594C"/>
    <w:rsid w:val="004C70D6"/>
    <w:rsid w:val="004D5FE6"/>
    <w:rsid w:val="004E4677"/>
    <w:rsid w:val="004F607B"/>
    <w:rsid w:val="004F6BB0"/>
    <w:rsid w:val="00526B7B"/>
    <w:rsid w:val="005308CE"/>
    <w:rsid w:val="00540398"/>
    <w:rsid w:val="00540FE0"/>
    <w:rsid w:val="005438FC"/>
    <w:rsid w:val="00555191"/>
    <w:rsid w:val="00560AAF"/>
    <w:rsid w:val="00571C8F"/>
    <w:rsid w:val="00571FB4"/>
    <w:rsid w:val="00573A3B"/>
    <w:rsid w:val="0057439C"/>
    <w:rsid w:val="00582029"/>
    <w:rsid w:val="00595F83"/>
    <w:rsid w:val="005A386D"/>
    <w:rsid w:val="005B0127"/>
    <w:rsid w:val="005B7A35"/>
    <w:rsid w:val="005C4B73"/>
    <w:rsid w:val="005E1D2B"/>
    <w:rsid w:val="00600D93"/>
    <w:rsid w:val="0061133E"/>
    <w:rsid w:val="0063300C"/>
    <w:rsid w:val="006444A4"/>
    <w:rsid w:val="00655736"/>
    <w:rsid w:val="00663B8D"/>
    <w:rsid w:val="00666C30"/>
    <w:rsid w:val="006749EF"/>
    <w:rsid w:val="00696C8D"/>
    <w:rsid w:val="006A2AC2"/>
    <w:rsid w:val="006A3617"/>
    <w:rsid w:val="006A62CD"/>
    <w:rsid w:val="006B4F1C"/>
    <w:rsid w:val="006B6783"/>
    <w:rsid w:val="006D5012"/>
    <w:rsid w:val="006E300A"/>
    <w:rsid w:val="006E46E4"/>
    <w:rsid w:val="006F41B4"/>
    <w:rsid w:val="00703749"/>
    <w:rsid w:val="00703FBF"/>
    <w:rsid w:val="00717DA5"/>
    <w:rsid w:val="00727AFE"/>
    <w:rsid w:val="00744371"/>
    <w:rsid w:val="00744484"/>
    <w:rsid w:val="00763A0D"/>
    <w:rsid w:val="00763EE6"/>
    <w:rsid w:val="00773188"/>
    <w:rsid w:val="00783782"/>
    <w:rsid w:val="00784B8C"/>
    <w:rsid w:val="00793872"/>
    <w:rsid w:val="007A3CF5"/>
    <w:rsid w:val="007D77B6"/>
    <w:rsid w:val="007E39C5"/>
    <w:rsid w:val="00817F87"/>
    <w:rsid w:val="00823A11"/>
    <w:rsid w:val="008277DF"/>
    <w:rsid w:val="00834663"/>
    <w:rsid w:val="00837CAF"/>
    <w:rsid w:val="00852866"/>
    <w:rsid w:val="0085414A"/>
    <w:rsid w:val="0086269D"/>
    <w:rsid w:val="0086543A"/>
    <w:rsid w:val="008724E5"/>
    <w:rsid w:val="0087381D"/>
    <w:rsid w:val="00884A9D"/>
    <w:rsid w:val="0088512B"/>
    <w:rsid w:val="00892185"/>
    <w:rsid w:val="008948AA"/>
    <w:rsid w:val="008A1ED4"/>
    <w:rsid w:val="008A2B2D"/>
    <w:rsid w:val="008A4E1E"/>
    <w:rsid w:val="008B2844"/>
    <w:rsid w:val="008C296C"/>
    <w:rsid w:val="008D0CFE"/>
    <w:rsid w:val="008D4305"/>
    <w:rsid w:val="009163A7"/>
    <w:rsid w:val="00946D0B"/>
    <w:rsid w:val="009533CC"/>
    <w:rsid w:val="00960DD0"/>
    <w:rsid w:val="00962B42"/>
    <w:rsid w:val="0097505E"/>
    <w:rsid w:val="00991367"/>
    <w:rsid w:val="009A18CD"/>
    <w:rsid w:val="009D1F79"/>
    <w:rsid w:val="009E400C"/>
    <w:rsid w:val="00A037AD"/>
    <w:rsid w:val="00A12558"/>
    <w:rsid w:val="00A13903"/>
    <w:rsid w:val="00A34ED5"/>
    <w:rsid w:val="00A45DBF"/>
    <w:rsid w:val="00A645DF"/>
    <w:rsid w:val="00A65C29"/>
    <w:rsid w:val="00A755A2"/>
    <w:rsid w:val="00AA6660"/>
    <w:rsid w:val="00AB2C36"/>
    <w:rsid w:val="00AB5732"/>
    <w:rsid w:val="00AB70B6"/>
    <w:rsid w:val="00AD1A86"/>
    <w:rsid w:val="00AD3E62"/>
    <w:rsid w:val="00AD5F03"/>
    <w:rsid w:val="00AE103E"/>
    <w:rsid w:val="00AE6927"/>
    <w:rsid w:val="00AE75B2"/>
    <w:rsid w:val="00AF0A07"/>
    <w:rsid w:val="00AF4AEC"/>
    <w:rsid w:val="00AF625E"/>
    <w:rsid w:val="00B20B6B"/>
    <w:rsid w:val="00B275D9"/>
    <w:rsid w:val="00B40BA0"/>
    <w:rsid w:val="00B570C0"/>
    <w:rsid w:val="00B73382"/>
    <w:rsid w:val="00B831C7"/>
    <w:rsid w:val="00B8613D"/>
    <w:rsid w:val="00B96B09"/>
    <w:rsid w:val="00BB04AF"/>
    <w:rsid w:val="00BB052A"/>
    <w:rsid w:val="00BB4FB7"/>
    <w:rsid w:val="00BC0FD0"/>
    <w:rsid w:val="00BD52C9"/>
    <w:rsid w:val="00BE3442"/>
    <w:rsid w:val="00BE6354"/>
    <w:rsid w:val="00C13BF3"/>
    <w:rsid w:val="00C15914"/>
    <w:rsid w:val="00C21BD0"/>
    <w:rsid w:val="00C23A97"/>
    <w:rsid w:val="00C3223D"/>
    <w:rsid w:val="00C424CF"/>
    <w:rsid w:val="00C42C66"/>
    <w:rsid w:val="00C55760"/>
    <w:rsid w:val="00C70EA7"/>
    <w:rsid w:val="00C7516E"/>
    <w:rsid w:val="00C75770"/>
    <w:rsid w:val="00C81CF1"/>
    <w:rsid w:val="00CB605C"/>
    <w:rsid w:val="00CD157D"/>
    <w:rsid w:val="00CD1F34"/>
    <w:rsid w:val="00CF60FD"/>
    <w:rsid w:val="00D00B2B"/>
    <w:rsid w:val="00D139B4"/>
    <w:rsid w:val="00D24877"/>
    <w:rsid w:val="00D25762"/>
    <w:rsid w:val="00D33B90"/>
    <w:rsid w:val="00D417A5"/>
    <w:rsid w:val="00D64233"/>
    <w:rsid w:val="00D743BB"/>
    <w:rsid w:val="00D87792"/>
    <w:rsid w:val="00D91E28"/>
    <w:rsid w:val="00D95C4C"/>
    <w:rsid w:val="00DA05B5"/>
    <w:rsid w:val="00DA36ED"/>
    <w:rsid w:val="00DA7AD2"/>
    <w:rsid w:val="00DC7A5D"/>
    <w:rsid w:val="00DE34F1"/>
    <w:rsid w:val="00DF4942"/>
    <w:rsid w:val="00DF749D"/>
    <w:rsid w:val="00E04251"/>
    <w:rsid w:val="00E11D5E"/>
    <w:rsid w:val="00E36AAA"/>
    <w:rsid w:val="00E627B1"/>
    <w:rsid w:val="00E67F85"/>
    <w:rsid w:val="00E9376C"/>
    <w:rsid w:val="00E94D04"/>
    <w:rsid w:val="00E95C4F"/>
    <w:rsid w:val="00EA335E"/>
    <w:rsid w:val="00EA528C"/>
    <w:rsid w:val="00ED440A"/>
    <w:rsid w:val="00ED652D"/>
    <w:rsid w:val="00EF19A6"/>
    <w:rsid w:val="00EF1FD0"/>
    <w:rsid w:val="00EF2896"/>
    <w:rsid w:val="00EF34E2"/>
    <w:rsid w:val="00EF4F1F"/>
    <w:rsid w:val="00EF69E3"/>
    <w:rsid w:val="00F010E0"/>
    <w:rsid w:val="00F221F0"/>
    <w:rsid w:val="00F53DE9"/>
    <w:rsid w:val="00F576CB"/>
    <w:rsid w:val="00F660FF"/>
    <w:rsid w:val="00F71A02"/>
    <w:rsid w:val="00F8791F"/>
    <w:rsid w:val="00FB4D29"/>
    <w:rsid w:val="00FB6630"/>
    <w:rsid w:val="00FC7581"/>
    <w:rsid w:val="00FC78E8"/>
    <w:rsid w:val="00FD1226"/>
    <w:rsid w:val="00FD158F"/>
    <w:rsid w:val="00FF48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25F94B25"/>
  <w15:docId w15:val="{C0552EB0-47FD-4642-8D10-FBB32BCB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fr-FR" w:eastAsia="fr-FR"/>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lang w:val="fr-FR" w:eastAsia="fr-FR"/>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lang w:val="fr-FR" w:eastAsia="fr-FR"/>
    </w:rPr>
  </w:style>
  <w:style w:type="paragraph" w:customStyle="1" w:styleId="GAPara">
    <w:name w:val="GA Para"/>
    <w:qFormat/>
    <w:rsid w:val="00345CB4"/>
    <w:pPr>
      <w:numPr>
        <w:numId w:val="9"/>
      </w:numPr>
      <w:spacing w:after="120"/>
    </w:pPr>
    <w:rPr>
      <w:rFonts w:ascii="Arial" w:eastAsia="Times New Roman" w:hAnsi="Arial" w:cs="Arial"/>
      <w:snapToGrid w:val="0"/>
      <w:sz w:val="22"/>
      <w:szCs w:val="22"/>
      <w:lang w:eastAsia="en-US"/>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lang w:val="en-GB"/>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lang w:val="en-GB"/>
    </w:rPr>
  </w:style>
  <w:style w:type="paragraph" w:customStyle="1" w:styleId="GAParaResolution">
    <w:name w:val="GA Para Resolution"/>
    <w:basedOn w:val="Normal"/>
    <w:qFormat/>
    <w:rsid w:val="00345CB4"/>
    <w:pPr>
      <w:numPr>
        <w:numId w:val="10"/>
      </w:numPr>
      <w:autoSpaceDE w:val="0"/>
      <w:autoSpaceDN w:val="0"/>
      <w:adjustRightInd w:val="0"/>
      <w:spacing w:after="120"/>
      <w:jc w:val="both"/>
    </w:pPr>
    <w:rPr>
      <w:rFonts w:ascii="Arial" w:eastAsia="SimSun" w:hAnsi="Arial" w:cs="Arial"/>
      <w:sz w:val="22"/>
      <w:szCs w:val="22"/>
      <w:u w:val="single"/>
      <w:lang w:val="en-GB"/>
    </w:rPr>
  </w:style>
  <w:style w:type="paragraph" w:styleId="ListParagraph">
    <w:name w:val="List Paragraph"/>
    <w:basedOn w:val="Normal"/>
    <w:uiPriority w:val="34"/>
    <w:qFormat/>
    <w:rsid w:val="002F312A"/>
    <w:pPr>
      <w:ind w:left="720"/>
      <w:contextualSpacing/>
    </w:pPr>
  </w:style>
  <w:style w:type="paragraph" w:customStyle="1" w:styleId="COMParaDecision">
    <w:name w:val="COM Para Decision"/>
    <w:basedOn w:val="Normal"/>
    <w:uiPriority w:val="99"/>
    <w:qFormat/>
    <w:rsid w:val="008A1ED4"/>
    <w:pPr>
      <w:autoSpaceDE w:val="0"/>
      <w:autoSpaceDN w:val="0"/>
      <w:adjustRightInd w:val="0"/>
      <w:spacing w:after="120"/>
      <w:ind w:left="1134" w:hanging="567"/>
      <w:jc w:val="both"/>
    </w:pPr>
    <w:rPr>
      <w:rFonts w:ascii="Arial" w:eastAsia="SimSun" w:hAnsi="Arial" w:cs="Arial"/>
      <w:sz w:val="22"/>
      <w:szCs w:val="22"/>
      <w:u w:val="single"/>
      <w:lang w:val="en-GB"/>
    </w:rPr>
  </w:style>
  <w:style w:type="character" w:styleId="Hyperlink">
    <w:name w:val="Hyperlink"/>
    <w:basedOn w:val="DefaultParagraphFont"/>
    <w:uiPriority w:val="99"/>
    <w:unhideWhenUsed/>
    <w:rsid w:val="00FC78E8"/>
    <w:rPr>
      <w:color w:val="0563C1" w:themeColor="hyperlink"/>
      <w:u w:val="single"/>
    </w:rPr>
  </w:style>
  <w:style w:type="character" w:styleId="FollowedHyperlink">
    <w:name w:val="FollowedHyperlink"/>
    <w:basedOn w:val="DefaultParagraphFont"/>
    <w:uiPriority w:val="99"/>
    <w:semiHidden/>
    <w:unhideWhenUsed/>
    <w:rsid w:val="005438FC"/>
    <w:rPr>
      <w:color w:val="954F72" w:themeColor="followedHyperlink"/>
      <w:u w:val="single"/>
    </w:rPr>
  </w:style>
  <w:style w:type="character" w:styleId="CommentReference">
    <w:name w:val="annotation reference"/>
    <w:basedOn w:val="DefaultParagraphFont"/>
    <w:uiPriority w:val="99"/>
    <w:semiHidden/>
    <w:unhideWhenUsed/>
    <w:rsid w:val="001B6812"/>
    <w:rPr>
      <w:sz w:val="16"/>
      <w:szCs w:val="16"/>
    </w:rPr>
  </w:style>
  <w:style w:type="paragraph" w:styleId="CommentText">
    <w:name w:val="annotation text"/>
    <w:basedOn w:val="Normal"/>
    <w:link w:val="CommentTextChar"/>
    <w:uiPriority w:val="99"/>
    <w:semiHidden/>
    <w:unhideWhenUsed/>
    <w:rsid w:val="001B6812"/>
    <w:rPr>
      <w:sz w:val="20"/>
      <w:szCs w:val="20"/>
    </w:rPr>
  </w:style>
  <w:style w:type="character" w:customStyle="1" w:styleId="CommentTextChar">
    <w:name w:val="Comment Text Char"/>
    <w:basedOn w:val="DefaultParagraphFont"/>
    <w:link w:val="CommentText"/>
    <w:uiPriority w:val="99"/>
    <w:semiHidden/>
    <w:rsid w:val="001B6812"/>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1B6812"/>
    <w:rPr>
      <w:b/>
      <w:bCs/>
    </w:rPr>
  </w:style>
  <w:style w:type="character" w:customStyle="1" w:styleId="CommentSubjectChar">
    <w:name w:val="Comment Subject Char"/>
    <w:basedOn w:val="CommentTextChar"/>
    <w:link w:val="CommentSubject"/>
    <w:uiPriority w:val="99"/>
    <w:semiHidden/>
    <w:rsid w:val="001B6812"/>
    <w:rPr>
      <w:rFonts w:ascii="Times New Roman" w:eastAsia="Times New Roman" w:hAnsi="Times New Roman"/>
      <w:b/>
      <w:bCs/>
      <w:lang w:val="fr-FR" w:eastAsia="fr-FR"/>
    </w:rPr>
  </w:style>
  <w:style w:type="paragraph" w:customStyle="1" w:styleId="Texteduscnario">
    <w:name w:val="Texte du scénario"/>
    <w:basedOn w:val="Normal"/>
    <w:qFormat/>
    <w:rsid w:val="00AE6927"/>
    <w:pPr>
      <w:spacing w:after="240" w:line="360" w:lineRule="auto"/>
      <w:jc w:val="both"/>
    </w:pPr>
    <w:rPr>
      <w:rFonts w:ascii="Arial" w:eastAsia="SimSun" w:hAnsi="Arial" w:cs="Arial"/>
      <w:sz w:val="28"/>
      <w:lang w:val="en-GB"/>
    </w:rPr>
  </w:style>
  <w:style w:type="paragraph" w:styleId="FootnoteText">
    <w:name w:val="footnote text"/>
    <w:basedOn w:val="Normal"/>
    <w:link w:val="FootnoteTextChar"/>
    <w:uiPriority w:val="99"/>
    <w:semiHidden/>
    <w:unhideWhenUsed/>
    <w:rsid w:val="00C81CF1"/>
    <w:rPr>
      <w:sz w:val="20"/>
      <w:szCs w:val="20"/>
    </w:rPr>
  </w:style>
  <w:style w:type="character" w:customStyle="1" w:styleId="FootnoteTextChar">
    <w:name w:val="Footnote Text Char"/>
    <w:basedOn w:val="DefaultParagraphFont"/>
    <w:link w:val="FootnoteText"/>
    <w:uiPriority w:val="99"/>
    <w:semiHidden/>
    <w:rsid w:val="00C81CF1"/>
    <w:rPr>
      <w:rFonts w:ascii="Times New Roman" w:eastAsia="Times New Roman" w:hAnsi="Times New Roman"/>
      <w:lang w:val="fr-FR" w:eastAsia="fr-FR"/>
    </w:rPr>
  </w:style>
  <w:style w:type="character" w:styleId="FootnoteReference">
    <w:name w:val="footnote reference"/>
    <w:basedOn w:val="DefaultParagraphFont"/>
    <w:uiPriority w:val="99"/>
    <w:semiHidden/>
    <w:unhideWhenUsed/>
    <w:rsid w:val="00C81CF1"/>
    <w:rPr>
      <w:vertAlign w:val="superscript"/>
    </w:rPr>
  </w:style>
  <w:style w:type="character" w:customStyle="1" w:styleId="UnresolvedMention">
    <w:name w:val="Unresolved Mention"/>
    <w:basedOn w:val="DefaultParagraphFont"/>
    <w:uiPriority w:val="99"/>
    <w:semiHidden/>
    <w:unhideWhenUsed/>
    <w:rsid w:val="00E9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nesdoc.unesco.org/ark:/48223/pf0000260089_fre" TargetMode="External"/><Relationship Id="rId18" Type="http://schemas.openxmlformats.org/officeDocument/2006/relationships/hyperlink" Target="https://ich.unesco.org/doc/src/ITH-18-7.GA-12-FR.docx" TargetMode="External"/><Relationship Id="rId26" Type="http://schemas.openxmlformats.org/officeDocument/2006/relationships/hyperlink" Target="https://ich.unesco.org/doc/src/LHE-20-8.GA-7_Rev.-FR.docx" TargetMode="External"/><Relationship Id="rId39" Type="http://schemas.openxmlformats.org/officeDocument/2006/relationships/hyperlink" Target="https://unesdoc.unesco.org/in/documentViewer.xhtml?v=2.1.196&amp;id=p::usmarcdef_0000243325_fre&amp;file=/in/rest/annotationSVC/DownloadWatermarkedAttachment/attach_import_26bcf2ea-457a-4403-bbf1-26fa068507b7%3F_%3D243325fre.pdf&amp;locale=fr&amp;multi=true&amp;ark=/ark:/48223/pf0000243325_fre/PDF/243325fre.pdf" TargetMode="External"/><Relationship Id="rId3" Type="http://schemas.openxmlformats.org/officeDocument/2006/relationships/styles" Target="styles.xml"/><Relationship Id="rId21" Type="http://schemas.openxmlformats.org/officeDocument/2006/relationships/hyperlink" Target="https://ich.unesco.org/fr/decisions/13.COM/17?dec=decisions&amp;ref_decision=13.COM" TargetMode="External"/><Relationship Id="rId34" Type="http://schemas.openxmlformats.org/officeDocument/2006/relationships/hyperlink" Target="https://ich.unesco.org/fr/decisions/13.COM/17?dec=decisions&amp;ref_decision=13.COM"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unesdoc.unesco.org/ark:/48223/pf0000259081_fre" TargetMode="External"/><Relationship Id="rId17" Type="http://schemas.openxmlformats.org/officeDocument/2006/relationships/hyperlink" Target="https://ich.unesco.org/fr/resolutions/7.GA/13?dec=resolutions&amp;ref_decision=7.GA" TargetMode="External"/><Relationship Id="rId25" Type="http://schemas.openxmlformats.org/officeDocument/2006/relationships/hyperlink" Target="https://ich.unesco.org/doc/src/LHE-20-8.GA-7_Rev.-FR.docx" TargetMode="External"/><Relationship Id="rId33" Type="http://schemas.openxmlformats.org/officeDocument/2006/relationships/hyperlink" Target="https://ich.unesco.org/fr/decisions/14.COM/19?dec=decisions&amp;ref_decision=14.COM" TargetMode="External"/><Relationship Id="rId38" Type="http://schemas.openxmlformats.org/officeDocument/2006/relationships/hyperlink" Target="https://ich.unesco.org/fr/resolutions/6.GA/11?dec=resolutions&amp;ref_decision=6.G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h.unesco.org/doc/src/ITH-18-7.GA-13-FR.docx" TargetMode="External"/><Relationship Id="rId20" Type="http://schemas.openxmlformats.org/officeDocument/2006/relationships/hyperlink" Target="https://ich.unesco.org/doc/src/ITH-18-13.COM-17-FR.docx" TargetMode="External"/><Relationship Id="rId29" Type="http://schemas.openxmlformats.org/officeDocument/2006/relationships/hyperlink" Target="https://ich.unesco.org/doc/src/ITH-18-13.COM-17-FR.docx" TargetMode="External"/><Relationship Id="rId41" Type="http://schemas.openxmlformats.org/officeDocument/2006/relationships/hyperlink" Target="https://ich.unesco.org/fr/resolutions/7.GA/13?dec=resolutions&amp;ref_decision=7.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fr/decisions/6.GA/11?dec=decisions&amp;ref_decision=6.GA" TargetMode="External"/><Relationship Id="rId24" Type="http://schemas.openxmlformats.org/officeDocument/2006/relationships/hyperlink" Target="https://ich.unesco.org/fr/decisions/14.COM/19?dec=decisions&amp;ref_decision=14.COM" TargetMode="External"/><Relationship Id="rId32" Type="http://schemas.openxmlformats.org/officeDocument/2006/relationships/hyperlink" Target="https://ich.unesco.org/doc/src/ITH-18-7.GA-12-FR.docx" TargetMode="External"/><Relationship Id="rId37" Type="http://schemas.openxmlformats.org/officeDocument/2006/relationships/hyperlink" Target="https://ich.unesco.org/fr/resolutions/7.GA/13?dec=resolutions&amp;ref_decision=7.GA" TargetMode="External"/><Relationship Id="rId40" Type="http://schemas.openxmlformats.org/officeDocument/2006/relationships/hyperlink" Target="https://en.unesco.org/sites/default/files/39c-res87-governance-fre.pdf"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ch.unesco.org/fr/decisions/12.COM/16?dec=decisions&amp;ref_decision=12.COM" TargetMode="External"/><Relationship Id="rId23" Type="http://schemas.openxmlformats.org/officeDocument/2006/relationships/hyperlink" Target="https://ich.unesco.org/doc/src/LHE-20-8.GA-8-FR.docx" TargetMode="External"/><Relationship Id="rId28" Type="http://schemas.openxmlformats.org/officeDocument/2006/relationships/hyperlink" Target="https://ich.unesco.org/doc/src/LHE-19-14.COM-19-FR.docx" TargetMode="External"/><Relationship Id="rId36" Type="http://schemas.openxmlformats.org/officeDocument/2006/relationships/hyperlink" Target="https://ich.unesco.org/fr/resolutions/7.GA/12?dec=resolutions&amp;ref_decision=7.GA" TargetMode="External"/><Relationship Id="rId49" Type="http://schemas.openxmlformats.org/officeDocument/2006/relationships/theme" Target="theme/theme1.xml"/><Relationship Id="rId10" Type="http://schemas.openxmlformats.org/officeDocument/2006/relationships/hyperlink" Target="https://unesdoc.unesco.org/in/documentViewer.xhtml?v=2.1.196&amp;id=p::usmarcdef_0000243325_fre&amp;file=/in/rest/annotationSVC/DownloadWatermarkedAttachment/attach_import_26bcf2ea-457a-4403-bbf1-26fa068507b7%3F_%3D243325fre.pdf&amp;locale=fr&amp;multi=true&amp;ark=/ark:/48223/pf0000243325_fre/PDF/243325fre.pdf" TargetMode="External"/><Relationship Id="rId19" Type="http://schemas.openxmlformats.org/officeDocument/2006/relationships/hyperlink" Target="https://ich.unesco.org/fr/decisions/7.GA/12?dec=decisions&amp;ref_decision=7.GA" TargetMode="External"/><Relationship Id="rId31" Type="http://schemas.openxmlformats.org/officeDocument/2006/relationships/hyperlink" Target="https://ich.unesco.org/doc/src/ITH-18-7.GA-13-FR.docx"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h.unesco.org/fr/resolutions/7.GA/13?dec=resolutions&amp;ref_decision=7.GA" TargetMode="External"/><Relationship Id="rId14" Type="http://schemas.openxmlformats.org/officeDocument/2006/relationships/hyperlink" Target="https://ich.unesco.org/doc/src/ITH-17-12.COM-16-FR.docx" TargetMode="External"/><Relationship Id="rId22" Type="http://schemas.openxmlformats.org/officeDocument/2006/relationships/hyperlink" Target="https://ich.unesco.org/doc/src/LHE-19-14.COM-19-FR.docx" TargetMode="External"/><Relationship Id="rId27" Type="http://schemas.openxmlformats.org/officeDocument/2006/relationships/hyperlink" Target="https://ich.unesco.org/doc/src/LHE-20-8.GA-8-FR.docx" TargetMode="External"/><Relationship Id="rId30" Type="http://schemas.openxmlformats.org/officeDocument/2006/relationships/hyperlink" Target="https://ich.unesco.org/doc/src/ITH-17-12.COM-16-FR.docx" TargetMode="External"/><Relationship Id="rId35" Type="http://schemas.openxmlformats.org/officeDocument/2006/relationships/hyperlink" Target="https://ich.unesco.org/fr/decisions/12.COM/16?dec=decisions&amp;ref_decision=12.COM"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ich.unesco.org/fr/decisions/7.GA/12?dec=decisions&amp;ref_decision=7.G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BFA6A-A1FE-468A-A892-A2060D2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2117</Words>
  <Characters>11645</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Eunkyung</dc:creator>
  <cp:keywords/>
  <cp:lastModifiedBy>Constantinou, Elena</cp:lastModifiedBy>
  <cp:revision>9</cp:revision>
  <cp:lastPrinted>2020-08-27T13:18:00Z</cp:lastPrinted>
  <dcterms:created xsi:type="dcterms:W3CDTF">2020-09-03T14:25:00Z</dcterms:created>
  <dcterms:modified xsi:type="dcterms:W3CDTF">2020-09-04T11:10:00Z</dcterms:modified>
</cp:coreProperties>
</file>