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82889" w14:textId="77777777" w:rsidR="001A3888" w:rsidRPr="00293C60" w:rsidRDefault="001A3888" w:rsidP="001A3888">
      <w:pPr>
        <w:spacing w:before="1440"/>
        <w:jc w:val="center"/>
        <w:rPr>
          <w:rFonts w:ascii="Arial" w:hAnsi="Arial" w:cs="Arial"/>
          <w:b/>
          <w:sz w:val="22"/>
          <w:szCs w:val="22"/>
        </w:rPr>
      </w:pPr>
      <w:r>
        <w:rPr>
          <w:rFonts w:ascii="Arial" w:hAnsi="Arial"/>
          <w:b/>
          <w:sz w:val="22"/>
          <w:szCs w:val="22"/>
        </w:rPr>
        <w:t>CONVENTION POUR LA SAUVEGARDE</w:t>
      </w:r>
      <w:r>
        <w:rPr>
          <w:rFonts w:ascii="Arial" w:hAnsi="Arial"/>
          <w:b/>
          <w:sz w:val="22"/>
          <w:szCs w:val="22"/>
        </w:rPr>
        <w:br/>
        <w:t>DU PATRIMOINE CULTUREL IMMATÉRIEL</w:t>
      </w:r>
    </w:p>
    <w:p w14:paraId="4E27B5C2" w14:textId="3C8C9E8C" w:rsidR="001A3888" w:rsidRPr="00293C60" w:rsidRDefault="001A3888" w:rsidP="001A3888">
      <w:pPr>
        <w:spacing w:before="1200"/>
        <w:jc w:val="center"/>
        <w:rPr>
          <w:rFonts w:ascii="Arial" w:hAnsi="Arial" w:cs="Arial"/>
          <w:b/>
          <w:sz w:val="22"/>
          <w:szCs w:val="22"/>
        </w:rPr>
      </w:pPr>
      <w:r>
        <w:rPr>
          <w:rFonts w:ascii="Arial" w:hAnsi="Arial"/>
          <w:b/>
          <w:sz w:val="22"/>
          <w:szCs w:val="22"/>
        </w:rPr>
        <w:t>COMITÉ INTERGOUVERNEMENTAL DE SAUVEGARDE</w:t>
      </w:r>
      <w:r>
        <w:rPr>
          <w:rFonts w:ascii="Arial" w:hAnsi="Arial"/>
          <w:b/>
          <w:sz w:val="22"/>
          <w:szCs w:val="22"/>
        </w:rPr>
        <w:br/>
        <w:t>DU PATRIMOINE CULTUREL IMMATÉRIEL</w:t>
      </w:r>
    </w:p>
    <w:p w14:paraId="380B47E3" w14:textId="77777777" w:rsidR="005E32DA" w:rsidRPr="009F06B8" w:rsidRDefault="005E32DA" w:rsidP="005E32DA">
      <w:pPr>
        <w:spacing w:before="840"/>
        <w:jc w:val="center"/>
        <w:rPr>
          <w:rFonts w:ascii="Arial" w:hAnsi="Arial" w:cs="Arial"/>
          <w:b/>
          <w:sz w:val="22"/>
          <w:szCs w:val="22"/>
        </w:rPr>
      </w:pPr>
      <w:r>
        <w:rPr>
          <w:rFonts w:ascii="Arial" w:eastAsiaTheme="minorEastAsia" w:hAnsi="Arial" w:cs="Arial"/>
          <w:b/>
          <w:sz w:val="22"/>
          <w:szCs w:val="22"/>
          <w:lang w:eastAsia="ko-KR"/>
        </w:rPr>
        <w:t>Quatorzième session</w:t>
      </w:r>
    </w:p>
    <w:p w14:paraId="23D199F2" w14:textId="33398222" w:rsidR="005E32DA" w:rsidRPr="009F06B8" w:rsidRDefault="00CA280B" w:rsidP="005E32DA">
      <w:pPr>
        <w:jc w:val="center"/>
        <w:rPr>
          <w:rFonts w:ascii="Arial" w:eastAsia="Malgun Gothic" w:hAnsi="Arial" w:cs="Arial"/>
          <w:b/>
          <w:sz w:val="22"/>
          <w:szCs w:val="22"/>
          <w:lang w:eastAsia="ko-KR"/>
        </w:rPr>
      </w:pPr>
      <w:r w:rsidRPr="008F09EC">
        <w:rPr>
          <w:rFonts w:ascii="Arial" w:hAnsi="Arial" w:cs="Arial"/>
          <w:b/>
          <w:sz w:val="22"/>
          <w:szCs w:val="22"/>
        </w:rPr>
        <w:t>Bogotá</w:t>
      </w:r>
      <w:r w:rsidR="005E32DA">
        <w:rPr>
          <w:rFonts w:ascii="Arial" w:eastAsia="Malgun Gothic" w:hAnsi="Arial" w:cs="Arial"/>
          <w:b/>
          <w:sz w:val="22"/>
          <w:szCs w:val="22"/>
          <w:lang w:eastAsia="ko-KR"/>
        </w:rPr>
        <w:t>, République de Colombie</w:t>
      </w:r>
    </w:p>
    <w:p w14:paraId="3B0BA185" w14:textId="40422F0A" w:rsidR="005E32DA" w:rsidRPr="009F06B8" w:rsidRDefault="00CA280B" w:rsidP="005E32DA">
      <w:pPr>
        <w:jc w:val="center"/>
        <w:rPr>
          <w:rFonts w:ascii="Arial" w:eastAsiaTheme="minorEastAsia" w:hAnsi="Arial" w:cs="Arial"/>
          <w:b/>
          <w:sz w:val="22"/>
          <w:szCs w:val="22"/>
          <w:lang w:eastAsia="ko-KR"/>
        </w:rPr>
      </w:pPr>
      <w:r>
        <w:rPr>
          <w:rFonts w:ascii="Arial" w:eastAsiaTheme="minorEastAsia" w:hAnsi="Arial" w:cs="Arial"/>
          <w:b/>
          <w:sz w:val="22"/>
          <w:szCs w:val="22"/>
          <w:lang w:eastAsia="ko-KR"/>
        </w:rPr>
        <w:t xml:space="preserve">9 </w:t>
      </w:r>
      <w:r w:rsidRPr="00A61C6E">
        <w:rPr>
          <w:rFonts w:ascii="Arial" w:hAnsi="Arial" w:cs="Arial"/>
          <w:b/>
          <w:sz w:val="22"/>
          <w:szCs w:val="22"/>
        </w:rPr>
        <w:t xml:space="preserve">– </w:t>
      </w:r>
      <w:r>
        <w:rPr>
          <w:rFonts w:ascii="Arial" w:eastAsiaTheme="minorEastAsia" w:hAnsi="Arial" w:cs="Arial"/>
          <w:b/>
          <w:sz w:val="22"/>
          <w:szCs w:val="22"/>
          <w:lang w:eastAsia="ko-KR"/>
        </w:rPr>
        <w:t xml:space="preserve">14 </w:t>
      </w:r>
      <w:r>
        <w:rPr>
          <w:rFonts w:ascii="Arial" w:hAnsi="Arial" w:cs="Arial"/>
          <w:b/>
          <w:sz w:val="22"/>
          <w:szCs w:val="22"/>
        </w:rPr>
        <w:t>décembre 201</w:t>
      </w:r>
      <w:r>
        <w:rPr>
          <w:rFonts w:ascii="Arial" w:eastAsiaTheme="minorEastAsia" w:hAnsi="Arial" w:cs="Arial"/>
          <w:b/>
          <w:sz w:val="22"/>
          <w:szCs w:val="22"/>
          <w:lang w:eastAsia="ko-KR"/>
        </w:rPr>
        <w:t>9</w:t>
      </w:r>
    </w:p>
    <w:p w14:paraId="48404588" w14:textId="4613608F" w:rsidR="005E32DA" w:rsidRPr="009F06B8" w:rsidRDefault="005E32DA" w:rsidP="005E32DA">
      <w:pPr>
        <w:pStyle w:val="Sansinterligne2"/>
        <w:spacing w:before="1200"/>
        <w:jc w:val="center"/>
        <w:rPr>
          <w:rFonts w:ascii="Arial" w:hAnsi="Arial" w:cs="Arial"/>
          <w:b/>
          <w:sz w:val="22"/>
          <w:szCs w:val="22"/>
        </w:rPr>
      </w:pPr>
      <w:r w:rsidRPr="00E3718C">
        <w:rPr>
          <w:rFonts w:ascii="Arial" w:hAnsi="Arial" w:cs="Arial"/>
          <w:b/>
          <w:sz w:val="22"/>
          <w:szCs w:val="22"/>
          <w:u w:val="single"/>
        </w:rPr>
        <w:t>Point 14 de l</w:t>
      </w:r>
      <w:r w:rsidR="00F36C26">
        <w:rPr>
          <w:rFonts w:ascii="Arial" w:hAnsi="Arial" w:cs="Arial"/>
          <w:b/>
          <w:sz w:val="22"/>
          <w:szCs w:val="22"/>
          <w:u w:val="single"/>
        </w:rPr>
        <w:t>’</w:t>
      </w:r>
      <w:r w:rsidRPr="00E3718C">
        <w:rPr>
          <w:rFonts w:ascii="Arial" w:hAnsi="Arial" w:cs="Arial"/>
          <w:b/>
          <w:sz w:val="22"/>
          <w:szCs w:val="22"/>
          <w:u w:val="single"/>
        </w:rPr>
        <w:t>ordre du jour provisoire </w:t>
      </w:r>
      <w:r w:rsidRPr="00293C60">
        <w:rPr>
          <w:rFonts w:ascii="Arial" w:hAnsi="Arial" w:cs="Arial"/>
          <w:b/>
          <w:sz w:val="22"/>
          <w:szCs w:val="22"/>
        </w:rPr>
        <w:t>:</w:t>
      </w:r>
    </w:p>
    <w:p w14:paraId="64B8408E" w14:textId="13B98040" w:rsidR="005E32DA" w:rsidRPr="009F06B8" w:rsidRDefault="00CA280B" w:rsidP="005E32DA">
      <w:pPr>
        <w:pStyle w:val="Sansinterligne2"/>
        <w:spacing w:after="960"/>
        <w:jc w:val="center"/>
        <w:rPr>
          <w:rFonts w:ascii="Arial" w:hAnsi="Arial" w:cs="Arial"/>
          <w:b/>
          <w:sz w:val="22"/>
          <w:szCs w:val="22"/>
        </w:rPr>
      </w:pPr>
      <w:r w:rsidRPr="00CA280B">
        <w:rPr>
          <w:rFonts w:ascii="Arial" w:hAnsi="Arial" w:cs="Arial"/>
          <w:b/>
          <w:sz w:val="22"/>
          <w:szCs w:val="22"/>
        </w:rPr>
        <w:t>Réflexion sur les mé</w:t>
      </w:r>
      <w:r w:rsidR="00A05F83">
        <w:rPr>
          <w:rFonts w:ascii="Arial" w:hAnsi="Arial" w:cs="Arial"/>
          <w:b/>
          <w:sz w:val="22"/>
          <w:szCs w:val="22"/>
        </w:rPr>
        <w:t>canismes d</w:t>
      </w:r>
      <w:r w:rsidR="00F36C26">
        <w:rPr>
          <w:rFonts w:ascii="Arial" w:hAnsi="Arial" w:cs="Arial"/>
          <w:b/>
          <w:sz w:val="22"/>
          <w:szCs w:val="22"/>
        </w:rPr>
        <w:t>’</w:t>
      </w:r>
      <w:r w:rsidR="00A05F83">
        <w:rPr>
          <w:rFonts w:ascii="Arial" w:hAnsi="Arial" w:cs="Arial"/>
          <w:b/>
          <w:sz w:val="22"/>
          <w:szCs w:val="22"/>
        </w:rPr>
        <w:t xml:space="preserve">inscription sur </w:t>
      </w:r>
      <w:r w:rsidR="00A05F83" w:rsidRPr="00377C35">
        <w:rPr>
          <w:rFonts w:ascii="Arial" w:hAnsi="Arial" w:cs="Arial"/>
          <w:b/>
          <w:sz w:val="22"/>
          <w:szCs w:val="22"/>
        </w:rPr>
        <w:t xml:space="preserve">les </w:t>
      </w:r>
      <w:r w:rsidR="00CC7103" w:rsidRPr="00CB69D9">
        <w:rPr>
          <w:rFonts w:ascii="Arial" w:hAnsi="Arial" w:cs="Arial"/>
          <w:b/>
          <w:sz w:val="22"/>
          <w:szCs w:val="22"/>
        </w:rPr>
        <w:t>L</w:t>
      </w:r>
      <w:r w:rsidRPr="00377C35">
        <w:rPr>
          <w:rFonts w:ascii="Arial" w:hAnsi="Arial" w:cs="Arial"/>
          <w:b/>
          <w:sz w:val="22"/>
          <w:szCs w:val="22"/>
        </w:rPr>
        <w:t>istes</w:t>
      </w:r>
      <w:r w:rsidRPr="00CA280B">
        <w:rPr>
          <w:rFonts w:ascii="Arial" w:hAnsi="Arial" w:cs="Arial"/>
          <w:b/>
          <w:sz w:val="22"/>
          <w:szCs w:val="22"/>
        </w:rPr>
        <w:t xml:space="preserve"> de la Convention</w:t>
      </w:r>
    </w:p>
    <w:tbl>
      <w:tblPr>
        <w:tblW w:w="5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tblGrid>
      <w:tr w:rsidR="007F7C62" w14:paraId="277A09ED" w14:textId="77777777" w:rsidTr="005E32DA">
        <w:trPr>
          <w:jc w:val="center"/>
        </w:trPr>
        <w:tc>
          <w:tcPr>
            <w:tcW w:w="5949" w:type="dxa"/>
            <w:vAlign w:val="center"/>
          </w:tcPr>
          <w:p w14:paraId="0B9172BD" w14:textId="77777777" w:rsidR="005E32DA" w:rsidRPr="009F06B8" w:rsidRDefault="005E32DA" w:rsidP="005E32DA">
            <w:pPr>
              <w:pStyle w:val="Sansinterligne1"/>
              <w:spacing w:before="200" w:after="200"/>
              <w:jc w:val="center"/>
              <w:rPr>
                <w:rFonts w:ascii="Arial" w:hAnsi="Arial" w:cs="Arial"/>
                <w:b/>
                <w:sz w:val="22"/>
                <w:szCs w:val="22"/>
              </w:rPr>
            </w:pPr>
            <w:r w:rsidRPr="00293C60">
              <w:rPr>
                <w:rFonts w:ascii="Arial" w:hAnsi="Arial" w:cs="Arial"/>
                <w:b/>
                <w:sz w:val="22"/>
                <w:szCs w:val="22"/>
              </w:rPr>
              <w:t>Résumé</w:t>
            </w:r>
          </w:p>
          <w:p w14:paraId="65EB6665" w14:textId="6EEA62D9" w:rsidR="005E32DA" w:rsidRPr="009F06B8" w:rsidRDefault="005E32DA" w:rsidP="005E32DA">
            <w:pPr>
              <w:pStyle w:val="Sansinterligne1"/>
              <w:spacing w:before="200" w:after="200"/>
              <w:jc w:val="both"/>
              <w:rPr>
                <w:rFonts w:ascii="Arial" w:hAnsi="Arial" w:cs="Arial"/>
                <w:sz w:val="22"/>
                <w:szCs w:val="22"/>
              </w:rPr>
            </w:pPr>
            <w:r>
              <w:rPr>
                <w:rFonts w:ascii="Arial" w:hAnsi="Arial" w:cs="Arial"/>
                <w:sz w:val="22"/>
                <w:szCs w:val="22"/>
              </w:rPr>
              <w:t>Lors de sa treizième session en 2018, le Comité intergouvernemental a lancé une réflexion globale sur les mécanismes</w:t>
            </w:r>
            <w:r w:rsidR="00194648">
              <w:rPr>
                <w:rFonts w:ascii="Arial" w:hAnsi="Arial" w:cs="Arial"/>
                <w:sz w:val="22"/>
                <w:szCs w:val="22"/>
              </w:rPr>
              <w:t xml:space="preserve"> </w:t>
            </w:r>
            <w:r w:rsidR="00CA280B">
              <w:rPr>
                <w:rFonts w:ascii="Arial" w:hAnsi="Arial" w:cs="Arial"/>
                <w:sz w:val="22"/>
                <w:szCs w:val="22"/>
              </w:rPr>
              <w:t>d</w:t>
            </w:r>
            <w:r w:rsidR="00F36C26">
              <w:rPr>
                <w:rFonts w:ascii="Arial" w:hAnsi="Arial" w:cs="Arial"/>
                <w:sz w:val="22"/>
                <w:szCs w:val="22"/>
              </w:rPr>
              <w:t>’</w:t>
            </w:r>
            <w:r>
              <w:rPr>
                <w:rFonts w:ascii="Arial" w:hAnsi="Arial" w:cs="Arial"/>
                <w:sz w:val="22"/>
                <w:szCs w:val="22"/>
              </w:rPr>
              <w:t xml:space="preserve">inscription </w:t>
            </w:r>
            <w:r w:rsidR="00194648">
              <w:rPr>
                <w:rFonts w:ascii="Arial" w:hAnsi="Arial" w:cs="Arial"/>
                <w:sz w:val="22"/>
                <w:szCs w:val="22"/>
              </w:rPr>
              <w:t>sur les listes de</w:t>
            </w:r>
            <w:r>
              <w:rPr>
                <w:rFonts w:ascii="Arial" w:hAnsi="Arial" w:cs="Arial"/>
                <w:sz w:val="22"/>
                <w:szCs w:val="22"/>
              </w:rPr>
              <w:t xml:space="preserve"> la Convention de 2003, avec l</w:t>
            </w:r>
            <w:r w:rsidR="00194648">
              <w:rPr>
                <w:rFonts w:ascii="Arial" w:hAnsi="Arial" w:cs="Arial"/>
                <w:sz w:val="22"/>
                <w:szCs w:val="22"/>
              </w:rPr>
              <w:t xml:space="preserve">e soutien </w:t>
            </w:r>
            <w:r>
              <w:rPr>
                <w:rFonts w:ascii="Arial" w:hAnsi="Arial" w:cs="Arial"/>
                <w:sz w:val="22"/>
                <w:szCs w:val="22"/>
              </w:rPr>
              <w:t xml:space="preserve">du gouvernement </w:t>
            </w:r>
            <w:r w:rsidR="00194648">
              <w:rPr>
                <w:rFonts w:ascii="Arial" w:hAnsi="Arial" w:cs="Arial"/>
                <w:sz w:val="22"/>
                <w:szCs w:val="22"/>
              </w:rPr>
              <w:t xml:space="preserve">du Japon </w:t>
            </w:r>
            <w:r>
              <w:rPr>
                <w:rFonts w:ascii="Arial" w:hAnsi="Arial" w:cs="Arial"/>
                <w:sz w:val="22"/>
                <w:szCs w:val="22"/>
              </w:rPr>
              <w:t>(</w:t>
            </w:r>
            <w:r w:rsidR="00CA280B">
              <w:rPr>
                <w:rFonts w:ascii="Arial" w:hAnsi="Arial" w:cs="Arial"/>
                <w:sz w:val="22"/>
                <w:szCs w:val="22"/>
              </w:rPr>
              <w:t>d</w:t>
            </w:r>
            <w:r>
              <w:rPr>
                <w:rFonts w:ascii="Arial" w:hAnsi="Arial" w:cs="Arial"/>
                <w:sz w:val="22"/>
                <w:szCs w:val="22"/>
              </w:rPr>
              <w:t xml:space="preserve">écisions </w:t>
            </w:r>
            <w:hyperlink r:id="rId8" w:history="1">
              <w:r w:rsidRPr="0096272B">
                <w:rPr>
                  <w:rStyle w:val="Lienhypertexte"/>
                  <w:rFonts w:ascii="Arial" w:hAnsi="Arial" w:cs="Arial"/>
                  <w:sz w:val="22"/>
                  <w:szCs w:val="22"/>
                </w:rPr>
                <w:t>13.COM</w:t>
              </w:r>
              <w:r w:rsidR="004B727C" w:rsidRPr="004B727C">
                <w:rPr>
                  <w:rStyle w:val="Lienhypertexte"/>
                  <w:rFonts w:ascii="Arial" w:hAnsi="Arial" w:cs="Arial"/>
                  <w:sz w:val="22"/>
                  <w:szCs w:val="22"/>
                </w:rPr>
                <w:t> </w:t>
              </w:r>
              <w:r w:rsidRPr="0096272B">
                <w:rPr>
                  <w:rStyle w:val="Lienhypertexte"/>
                  <w:rFonts w:ascii="Arial" w:hAnsi="Arial" w:cs="Arial"/>
                  <w:sz w:val="22"/>
                  <w:szCs w:val="22"/>
                </w:rPr>
                <w:t>6</w:t>
              </w:r>
            </w:hyperlink>
            <w:r>
              <w:rPr>
                <w:rFonts w:ascii="Arial" w:hAnsi="Arial" w:cs="Arial"/>
                <w:sz w:val="22"/>
                <w:szCs w:val="22"/>
              </w:rPr>
              <w:t xml:space="preserve"> et </w:t>
            </w:r>
            <w:hyperlink r:id="rId9" w:history="1">
              <w:r w:rsidRPr="0096272B">
                <w:rPr>
                  <w:rStyle w:val="Lienhypertexte"/>
                  <w:rFonts w:ascii="Arial" w:hAnsi="Arial" w:cs="Arial"/>
                  <w:sz w:val="22"/>
                  <w:szCs w:val="22"/>
                </w:rPr>
                <w:t>13.COM 10</w:t>
              </w:r>
            </w:hyperlink>
            <w:r>
              <w:rPr>
                <w:rFonts w:ascii="Arial" w:hAnsi="Arial" w:cs="Arial"/>
                <w:sz w:val="22"/>
                <w:szCs w:val="22"/>
              </w:rPr>
              <w:t>).</w:t>
            </w:r>
          </w:p>
          <w:p w14:paraId="12C41134" w14:textId="289638DD" w:rsidR="005E32DA" w:rsidRPr="009F06B8" w:rsidRDefault="005E32DA" w:rsidP="005E32DA">
            <w:pPr>
              <w:pStyle w:val="Sansinterligne1"/>
              <w:spacing w:before="200" w:after="200"/>
              <w:jc w:val="both"/>
              <w:rPr>
                <w:rFonts w:ascii="Arial" w:hAnsi="Arial" w:cs="Arial"/>
                <w:sz w:val="22"/>
                <w:szCs w:val="22"/>
              </w:rPr>
            </w:pPr>
            <w:r w:rsidRPr="00513035">
              <w:rPr>
                <w:rFonts w:ascii="Arial" w:hAnsi="Arial" w:cs="Arial"/>
                <w:sz w:val="22"/>
                <w:szCs w:val="22"/>
              </w:rPr>
              <w:t xml:space="preserve">Le présent document résume les </w:t>
            </w:r>
            <w:r w:rsidR="00B2307A" w:rsidRPr="00513035">
              <w:rPr>
                <w:rFonts w:ascii="Arial" w:hAnsi="Arial" w:cs="Arial"/>
                <w:sz w:val="22"/>
                <w:szCs w:val="22"/>
              </w:rPr>
              <w:t xml:space="preserve">difficultés et </w:t>
            </w:r>
            <w:r w:rsidR="00194648">
              <w:rPr>
                <w:rFonts w:ascii="Arial" w:hAnsi="Arial" w:cs="Arial"/>
                <w:sz w:val="22"/>
                <w:szCs w:val="22"/>
              </w:rPr>
              <w:t>enjeux</w:t>
            </w:r>
            <w:r w:rsidRPr="00513035">
              <w:rPr>
                <w:rFonts w:ascii="Arial" w:hAnsi="Arial" w:cs="Arial"/>
                <w:sz w:val="22"/>
                <w:szCs w:val="22"/>
              </w:rPr>
              <w:t xml:space="preserve"> rencontrés </w:t>
            </w:r>
            <w:r w:rsidR="00624A6E">
              <w:rPr>
                <w:rFonts w:ascii="Arial" w:hAnsi="Arial" w:cs="Arial"/>
                <w:sz w:val="22"/>
                <w:szCs w:val="22"/>
              </w:rPr>
              <w:t>jusqu</w:t>
            </w:r>
            <w:r w:rsidR="00F36C26">
              <w:rPr>
                <w:rFonts w:ascii="Arial" w:hAnsi="Arial" w:cs="Arial"/>
                <w:sz w:val="22"/>
                <w:szCs w:val="22"/>
              </w:rPr>
              <w:t>’</w:t>
            </w:r>
            <w:r w:rsidR="00624A6E">
              <w:rPr>
                <w:rFonts w:ascii="Arial" w:hAnsi="Arial" w:cs="Arial"/>
                <w:sz w:val="22"/>
                <w:szCs w:val="22"/>
              </w:rPr>
              <w:t xml:space="preserve">à présent </w:t>
            </w:r>
            <w:r w:rsidRPr="00513035">
              <w:rPr>
                <w:rFonts w:ascii="Arial" w:hAnsi="Arial" w:cs="Arial"/>
                <w:sz w:val="22"/>
                <w:szCs w:val="22"/>
              </w:rPr>
              <w:t>par le Comité et ses organes d</w:t>
            </w:r>
            <w:r w:rsidR="00F36C26">
              <w:rPr>
                <w:rFonts w:ascii="Arial" w:hAnsi="Arial" w:cs="Arial"/>
                <w:sz w:val="22"/>
                <w:szCs w:val="22"/>
              </w:rPr>
              <w:t>’</w:t>
            </w:r>
            <w:r w:rsidRPr="00513035">
              <w:rPr>
                <w:rFonts w:ascii="Arial" w:hAnsi="Arial" w:cs="Arial"/>
                <w:sz w:val="22"/>
                <w:szCs w:val="22"/>
              </w:rPr>
              <w:t xml:space="preserve">évaluation </w:t>
            </w:r>
            <w:r w:rsidR="00624A6E">
              <w:rPr>
                <w:rFonts w:ascii="Arial" w:hAnsi="Arial" w:cs="Arial"/>
                <w:sz w:val="22"/>
                <w:szCs w:val="22"/>
              </w:rPr>
              <w:t>dans la mise en œuvre de la Convention</w:t>
            </w:r>
            <w:r w:rsidR="00CA0A3F">
              <w:rPr>
                <w:rFonts w:ascii="Arial" w:hAnsi="Arial" w:cs="Arial"/>
                <w:sz w:val="22"/>
                <w:szCs w:val="22"/>
              </w:rPr>
              <w:t xml:space="preserve">, </w:t>
            </w:r>
            <w:r w:rsidR="00CA0A3F" w:rsidRPr="004B70D7">
              <w:rPr>
                <w:rFonts w:ascii="Arial" w:hAnsi="Arial" w:cs="Arial"/>
                <w:sz w:val="22"/>
                <w:szCs w:val="22"/>
              </w:rPr>
              <w:t>en ce qui concerne les</w:t>
            </w:r>
            <w:r w:rsidRPr="004C1DBE">
              <w:rPr>
                <w:rFonts w:ascii="Arial" w:hAnsi="Arial" w:cs="Arial"/>
                <w:sz w:val="22"/>
                <w:szCs w:val="22"/>
              </w:rPr>
              <w:t xml:space="preserve"> mécanismes </w:t>
            </w:r>
            <w:r w:rsidR="0043171F" w:rsidRPr="004C1DBE">
              <w:rPr>
                <w:rFonts w:ascii="Arial" w:hAnsi="Arial" w:cs="Arial"/>
                <w:sz w:val="22"/>
                <w:szCs w:val="22"/>
              </w:rPr>
              <w:t>liés à l</w:t>
            </w:r>
            <w:r w:rsidR="00F36C26">
              <w:rPr>
                <w:rFonts w:ascii="Arial" w:hAnsi="Arial" w:cs="Arial"/>
                <w:sz w:val="22"/>
                <w:szCs w:val="22"/>
              </w:rPr>
              <w:t>’</w:t>
            </w:r>
            <w:r w:rsidRPr="004C1DBE">
              <w:rPr>
                <w:rFonts w:ascii="Arial" w:hAnsi="Arial" w:cs="Arial"/>
                <w:sz w:val="22"/>
                <w:szCs w:val="22"/>
              </w:rPr>
              <w:t>inscription</w:t>
            </w:r>
            <w:r w:rsidR="006F0AFE" w:rsidRPr="004B70D7">
              <w:rPr>
                <w:rFonts w:ascii="Arial" w:hAnsi="Arial" w:cs="Arial"/>
                <w:sz w:val="22"/>
                <w:szCs w:val="22"/>
              </w:rPr>
              <w:t xml:space="preserve"> sur les listes</w:t>
            </w:r>
            <w:r w:rsidR="00CA0A3F" w:rsidRPr="004B70D7">
              <w:rPr>
                <w:rFonts w:ascii="Arial" w:hAnsi="Arial" w:cs="Arial"/>
                <w:sz w:val="22"/>
                <w:szCs w:val="22"/>
              </w:rPr>
              <w:t>,</w:t>
            </w:r>
            <w:r w:rsidRPr="004B70D7">
              <w:rPr>
                <w:rFonts w:ascii="Arial" w:hAnsi="Arial" w:cs="Arial"/>
                <w:sz w:val="22"/>
                <w:szCs w:val="22"/>
              </w:rPr>
              <w:t xml:space="preserve"> et</w:t>
            </w:r>
            <w:r w:rsidRPr="00513035">
              <w:rPr>
                <w:rFonts w:ascii="Arial" w:hAnsi="Arial" w:cs="Arial"/>
                <w:sz w:val="22"/>
                <w:szCs w:val="22"/>
              </w:rPr>
              <w:t xml:space="preserve"> propose de nouvelles pistes de réflexion.</w:t>
            </w:r>
          </w:p>
          <w:p w14:paraId="06D4A992" w14:textId="2DA65C79" w:rsidR="005E32DA" w:rsidRPr="00293C60" w:rsidRDefault="005E32DA" w:rsidP="005E32DA">
            <w:pPr>
              <w:pStyle w:val="Sansinterligne1"/>
              <w:spacing w:before="200" w:after="200"/>
              <w:jc w:val="both"/>
              <w:rPr>
                <w:rFonts w:ascii="Arial" w:hAnsi="Arial" w:cs="Arial"/>
                <w:b/>
                <w:sz w:val="22"/>
                <w:szCs w:val="22"/>
                <w:lang w:val="en-GB"/>
              </w:rPr>
            </w:pPr>
            <w:r w:rsidRPr="00513035">
              <w:rPr>
                <w:rFonts w:ascii="Arial" w:hAnsi="Arial" w:cs="Arial"/>
                <w:b/>
                <w:sz w:val="22"/>
                <w:szCs w:val="22"/>
              </w:rPr>
              <w:t xml:space="preserve">Décision requise : </w:t>
            </w:r>
            <w:r w:rsidRPr="00513035">
              <w:rPr>
                <w:rFonts w:ascii="Arial" w:hAnsi="Arial" w:cs="Arial"/>
                <w:bCs/>
                <w:sz w:val="22"/>
                <w:szCs w:val="22"/>
              </w:rPr>
              <w:t>paragraphe 3</w:t>
            </w:r>
            <w:r w:rsidR="00A529B5">
              <w:rPr>
                <w:rFonts w:ascii="Arial" w:hAnsi="Arial" w:cs="Arial"/>
                <w:bCs/>
                <w:sz w:val="22"/>
                <w:szCs w:val="22"/>
              </w:rPr>
              <w:t>6</w:t>
            </w:r>
          </w:p>
        </w:tc>
      </w:tr>
    </w:tbl>
    <w:p w14:paraId="0FDB924E" w14:textId="77777777" w:rsidR="005E32DA" w:rsidRPr="009B4638" w:rsidRDefault="005E32DA" w:rsidP="005E32DA">
      <w:pPr>
        <w:pStyle w:val="Paragraphedeliste"/>
        <w:keepLines/>
        <w:numPr>
          <w:ilvl w:val="0"/>
          <w:numId w:val="5"/>
        </w:numPr>
        <w:spacing w:after="240"/>
        <w:ind w:left="567" w:hanging="567"/>
        <w:contextualSpacing w:val="0"/>
        <w:rPr>
          <w:rFonts w:ascii="Arial" w:hAnsi="Arial" w:cs="Arial"/>
          <w:b/>
          <w:snapToGrid w:val="0"/>
          <w:sz w:val="22"/>
          <w:szCs w:val="22"/>
          <w:lang w:val="en-GB" w:eastAsia="en-US"/>
        </w:rPr>
      </w:pPr>
      <w:r w:rsidRPr="00E3718C">
        <w:rPr>
          <w:lang w:val="en-GB"/>
        </w:rPr>
        <w:br w:type="page"/>
      </w:r>
    </w:p>
    <w:p w14:paraId="75887F91" w14:textId="77777777" w:rsidR="005E32DA" w:rsidRPr="007C5042" w:rsidRDefault="005E32DA" w:rsidP="005E32DA">
      <w:pPr>
        <w:pStyle w:val="Titre4"/>
        <w:spacing w:before="240"/>
        <w:ind w:hanging="578"/>
      </w:pPr>
      <w:r>
        <w:rPr>
          <w:lang w:val="fr-FR"/>
        </w:rPr>
        <w:lastRenderedPageBreak/>
        <w:t>Introduction</w:t>
      </w:r>
    </w:p>
    <w:p w14:paraId="1092D796" w14:textId="29B17024" w:rsidR="00FA28A3" w:rsidRPr="00D17D4E" w:rsidRDefault="00CA0A3F" w:rsidP="0043171F">
      <w:pPr>
        <w:pStyle w:val="COMPara"/>
        <w:ind w:left="567" w:hanging="567"/>
        <w:jc w:val="both"/>
        <w:rPr>
          <w:bCs/>
          <w:lang w:val="fr-FR"/>
        </w:rPr>
      </w:pPr>
      <w:r>
        <w:rPr>
          <w:lang w:val="fr-FR"/>
        </w:rPr>
        <w:t>L</w:t>
      </w:r>
      <w:r w:rsidR="008B1B3B">
        <w:rPr>
          <w:lang w:val="fr-FR"/>
        </w:rPr>
        <w:t>es mécanismes prévus dans la Convention de 2003 concernant l</w:t>
      </w:r>
      <w:r w:rsidR="00F36C26">
        <w:rPr>
          <w:lang w:val="fr-FR"/>
        </w:rPr>
        <w:t>’</w:t>
      </w:r>
      <w:r w:rsidR="008B1B3B">
        <w:rPr>
          <w:lang w:val="fr-FR"/>
        </w:rPr>
        <w:t>inscription sur les listes sont devenus véritablement opérationnels</w:t>
      </w:r>
      <w:r>
        <w:rPr>
          <w:lang w:val="fr-FR"/>
        </w:rPr>
        <w:t xml:space="preserve"> il y a 10 ans, </w:t>
      </w:r>
      <w:r w:rsidR="002C0DA4">
        <w:rPr>
          <w:lang w:val="fr-FR"/>
        </w:rPr>
        <w:t>en 2009</w:t>
      </w:r>
      <w:r w:rsidR="007878F4">
        <w:rPr>
          <w:rStyle w:val="Appelnotedebasdep"/>
          <w:lang w:val="fr-FR"/>
        </w:rPr>
        <w:footnoteReference w:id="1"/>
      </w:r>
      <w:r w:rsidR="002C0DA4">
        <w:rPr>
          <w:lang w:val="fr-FR"/>
        </w:rPr>
        <w:t xml:space="preserve">, </w:t>
      </w:r>
      <w:r>
        <w:rPr>
          <w:lang w:val="fr-FR"/>
        </w:rPr>
        <w:t>avec les premières inscriptions sur la Liste représentative du patrimoine culturel immatériel de l</w:t>
      </w:r>
      <w:r w:rsidR="00F36C26">
        <w:rPr>
          <w:lang w:val="fr-FR"/>
        </w:rPr>
        <w:t>’</w:t>
      </w:r>
      <w:r>
        <w:rPr>
          <w:lang w:val="fr-FR"/>
        </w:rPr>
        <w:t>humanité, la Liste du patrimoine culturel immatériel nécessitant une sauvegarde urgente, et le Registre des programmes, projets et activités</w:t>
      </w:r>
      <w:r w:rsidR="004747FE">
        <w:rPr>
          <w:lang w:val="fr-FR"/>
        </w:rPr>
        <w:t xml:space="preserve"> reflétant le mieux les principes et objectifs de la Convention</w:t>
      </w:r>
      <w:r w:rsidR="008B1B3B" w:rsidRPr="0043171F">
        <w:rPr>
          <w:lang w:val="fr-FR"/>
        </w:rPr>
        <w:t>.</w:t>
      </w:r>
      <w:r w:rsidR="00FA28A3">
        <w:rPr>
          <w:lang w:val="fr-FR"/>
        </w:rPr>
        <w:t xml:space="preserve"> </w:t>
      </w:r>
      <w:r w:rsidR="00FA28A3" w:rsidRPr="00377C35">
        <w:rPr>
          <w:lang w:val="fr-FR"/>
        </w:rPr>
        <w:t xml:space="preserve">Après </w:t>
      </w:r>
      <w:r w:rsidR="004747FE" w:rsidRPr="00377C35">
        <w:rPr>
          <w:lang w:val="fr-FR"/>
        </w:rPr>
        <w:t>une décennie</w:t>
      </w:r>
      <w:r w:rsidR="00FA28A3" w:rsidRPr="00377C35">
        <w:rPr>
          <w:lang w:val="fr-FR"/>
        </w:rPr>
        <w:t xml:space="preserve"> de mise en œuvre, </w:t>
      </w:r>
      <w:r w:rsidR="004747FE" w:rsidRPr="00CB69D9">
        <w:rPr>
          <w:lang w:val="fr-FR"/>
        </w:rPr>
        <w:t>diverses</w:t>
      </w:r>
      <w:r w:rsidR="004747FE" w:rsidRPr="00377C35">
        <w:rPr>
          <w:lang w:val="fr-FR"/>
        </w:rPr>
        <w:t xml:space="preserve"> </w:t>
      </w:r>
      <w:r w:rsidR="00FA28A3" w:rsidRPr="00377C35">
        <w:rPr>
          <w:lang w:val="fr-FR"/>
        </w:rPr>
        <w:t>parties prenantes ont identifié un grand nombre d</w:t>
      </w:r>
      <w:r w:rsidR="00F36C26">
        <w:rPr>
          <w:lang w:val="fr-FR"/>
        </w:rPr>
        <w:t>’</w:t>
      </w:r>
      <w:r w:rsidR="00FA28A3" w:rsidRPr="00377C35">
        <w:rPr>
          <w:lang w:val="fr-FR"/>
        </w:rPr>
        <w:t>enjeux variés, complexes et interdépendants, à la fois positifs et négatifs en lien avec ces mécanismes.</w:t>
      </w:r>
    </w:p>
    <w:p w14:paraId="6C655D59" w14:textId="0A4A2105" w:rsidR="00D17D4E" w:rsidRPr="009D394F" w:rsidRDefault="00D17D4E" w:rsidP="009D394F">
      <w:pPr>
        <w:pStyle w:val="COMPara"/>
        <w:ind w:left="567" w:hanging="567"/>
        <w:jc w:val="both"/>
        <w:rPr>
          <w:bCs/>
          <w:lang w:val="fr-FR"/>
        </w:rPr>
      </w:pPr>
      <w:r w:rsidRPr="009D394F">
        <w:rPr>
          <w:lang w:val="fr-FR"/>
        </w:rPr>
        <w:t>La nécessité d</w:t>
      </w:r>
      <w:r w:rsidR="00F36C26">
        <w:rPr>
          <w:lang w:val="fr-FR"/>
        </w:rPr>
        <w:t>’</w:t>
      </w:r>
      <w:r w:rsidRPr="009D394F">
        <w:rPr>
          <w:lang w:val="fr-FR"/>
        </w:rPr>
        <w:t>une réflexion globale sur l</w:t>
      </w:r>
      <w:r w:rsidR="00F36C26">
        <w:rPr>
          <w:lang w:val="fr-FR"/>
        </w:rPr>
        <w:t>’</w:t>
      </w:r>
      <w:r w:rsidR="0059455F">
        <w:rPr>
          <w:lang w:val="fr-FR"/>
        </w:rPr>
        <w:t>intention initiale et l</w:t>
      </w:r>
      <w:r w:rsidR="00F36C26">
        <w:rPr>
          <w:lang w:val="fr-FR"/>
        </w:rPr>
        <w:t>’</w:t>
      </w:r>
      <w:r w:rsidR="0059455F">
        <w:rPr>
          <w:lang w:val="fr-FR"/>
        </w:rPr>
        <w:t xml:space="preserve">objectif </w:t>
      </w:r>
      <w:r w:rsidRPr="009D394F">
        <w:rPr>
          <w:lang w:val="fr-FR"/>
        </w:rPr>
        <w:t>des mécanismes d</w:t>
      </w:r>
      <w:r w:rsidR="00F36C26">
        <w:rPr>
          <w:lang w:val="fr-FR"/>
        </w:rPr>
        <w:t>’</w:t>
      </w:r>
      <w:r w:rsidRPr="009D394F">
        <w:rPr>
          <w:lang w:val="fr-FR"/>
        </w:rPr>
        <w:t>inscription a été clairement exprimée par le Comité pour la première fois en 2017, lorsqu</w:t>
      </w:r>
      <w:r w:rsidR="00F36C26">
        <w:rPr>
          <w:lang w:val="fr-FR"/>
        </w:rPr>
        <w:t>’</w:t>
      </w:r>
      <w:r w:rsidRPr="009D394F">
        <w:rPr>
          <w:lang w:val="fr-FR"/>
        </w:rPr>
        <w:t>il a examiné la demande soumise par le Vietnam de transférer un élément de la Liste de sauvegarde urgente vers la Liste représentative (</w:t>
      </w:r>
      <w:hyperlink r:id="rId10" w:history="1">
        <w:r w:rsidRPr="00D17D4E">
          <w:rPr>
            <w:rStyle w:val="Lienhypertexte"/>
            <w:bCs/>
            <w:lang w:val="fr-FR"/>
          </w:rPr>
          <w:t>décision 12.COM</w:t>
        </w:r>
        <w:r w:rsidR="00E01958">
          <w:rPr>
            <w:rStyle w:val="Lienhypertexte"/>
            <w:bCs/>
            <w:lang w:val="fr-FR"/>
          </w:rPr>
          <w:t> </w:t>
        </w:r>
        <w:r w:rsidRPr="00D17D4E">
          <w:rPr>
            <w:rStyle w:val="Lienhypertexte"/>
            <w:bCs/>
            <w:lang w:val="fr-FR"/>
          </w:rPr>
          <w:t>14</w:t>
        </w:r>
      </w:hyperlink>
      <w:r w:rsidRPr="009D394F">
        <w:rPr>
          <w:lang w:val="fr-FR"/>
        </w:rPr>
        <w:t xml:space="preserve">). À </w:t>
      </w:r>
      <w:r w:rsidRPr="009D394F">
        <w:rPr>
          <w:bCs/>
          <w:lang w:val="fr-FR"/>
        </w:rPr>
        <w:t xml:space="preserve">cette occasion, le Comité a décidé de constituer un groupe de travail intergouvernemental à composition non limitée chargé de réfléchir aux procédures de </w:t>
      </w:r>
      <w:r w:rsidR="00A05F83">
        <w:rPr>
          <w:bCs/>
          <w:lang w:val="fr-FR"/>
        </w:rPr>
        <w:t>retrait</w:t>
      </w:r>
      <w:r w:rsidR="00A05F83" w:rsidRPr="009D394F">
        <w:rPr>
          <w:bCs/>
          <w:lang w:val="fr-FR"/>
        </w:rPr>
        <w:t xml:space="preserve"> </w:t>
      </w:r>
      <w:r w:rsidRPr="009D394F">
        <w:rPr>
          <w:bCs/>
          <w:lang w:val="fr-FR"/>
        </w:rPr>
        <w:t>d</w:t>
      </w:r>
      <w:r w:rsidR="00F36C26">
        <w:rPr>
          <w:bCs/>
          <w:lang w:val="fr-FR"/>
        </w:rPr>
        <w:t>’</w:t>
      </w:r>
      <w:r w:rsidRPr="009D394F">
        <w:rPr>
          <w:bCs/>
          <w:lang w:val="fr-FR"/>
        </w:rPr>
        <w:t>un élément d</w:t>
      </w:r>
      <w:r w:rsidR="00F36C26">
        <w:rPr>
          <w:bCs/>
          <w:lang w:val="fr-FR"/>
        </w:rPr>
        <w:t>’</w:t>
      </w:r>
      <w:r w:rsidRPr="009D394F">
        <w:rPr>
          <w:bCs/>
          <w:lang w:val="fr-FR"/>
        </w:rPr>
        <w:t>une Liste et de transfert d</w:t>
      </w:r>
      <w:r w:rsidR="00F36C26">
        <w:rPr>
          <w:bCs/>
          <w:lang w:val="fr-FR"/>
        </w:rPr>
        <w:t>’</w:t>
      </w:r>
      <w:r w:rsidRPr="009D394F">
        <w:rPr>
          <w:bCs/>
          <w:lang w:val="fr-FR"/>
        </w:rPr>
        <w:t>une Liste à l</w:t>
      </w:r>
      <w:r w:rsidR="00F36C26">
        <w:rPr>
          <w:bCs/>
          <w:lang w:val="fr-FR"/>
        </w:rPr>
        <w:t>’</w:t>
      </w:r>
      <w:r w:rsidRPr="009D394F">
        <w:rPr>
          <w:bCs/>
          <w:lang w:val="fr-FR"/>
        </w:rPr>
        <w:t xml:space="preserve">autre, à la nature et aux objectifs des listes et du Registre établis en vertu de la Convention et à la pertinence des divers critères pour chacun de ces mécanismes, entre autres. </w:t>
      </w:r>
      <w:r w:rsidR="005B3D28">
        <w:rPr>
          <w:bCs/>
          <w:lang w:val="fr-FR"/>
        </w:rPr>
        <w:t>Le financement pour</w:t>
      </w:r>
      <w:r w:rsidR="005B3D28" w:rsidRPr="005B3D28">
        <w:rPr>
          <w:bCs/>
          <w:lang w:val="fr-FR"/>
        </w:rPr>
        <w:t xml:space="preserve"> cette réflexion a été obtenu lors de la treizième session du Comité en 2018</w:t>
      </w:r>
      <w:r w:rsidR="005B3D28">
        <w:rPr>
          <w:bCs/>
          <w:lang w:val="fr-FR"/>
        </w:rPr>
        <w:t>, où</w:t>
      </w:r>
      <w:r w:rsidR="005B3D28" w:rsidRPr="005B3D28">
        <w:rPr>
          <w:bCs/>
          <w:lang w:val="fr-FR"/>
        </w:rPr>
        <w:t xml:space="preserve"> une contribution volontaire supplémentaire du gouvernement du Japon au Fonds du patrimoine culturel immatériel</w:t>
      </w:r>
      <w:r w:rsidR="005B3D28">
        <w:rPr>
          <w:bCs/>
          <w:lang w:val="fr-FR"/>
        </w:rPr>
        <w:t xml:space="preserve"> a été acceptée</w:t>
      </w:r>
      <w:r w:rsidR="005B3D28" w:rsidRPr="005B3D28">
        <w:rPr>
          <w:bCs/>
          <w:lang w:val="fr-FR"/>
        </w:rPr>
        <w:t xml:space="preserve"> pour soutenir une réflexion globale sur les mécanismes d</w:t>
      </w:r>
      <w:r w:rsidR="00F36C26">
        <w:rPr>
          <w:bCs/>
          <w:lang w:val="fr-FR"/>
        </w:rPr>
        <w:t>’</w:t>
      </w:r>
      <w:r w:rsidR="005B3D28" w:rsidRPr="005B3D28">
        <w:rPr>
          <w:bCs/>
          <w:lang w:val="fr-FR"/>
        </w:rPr>
        <w:t xml:space="preserve">inscription de la Convention de 2003 (décisions </w:t>
      </w:r>
      <w:hyperlink r:id="rId11" w:history="1">
        <w:r w:rsidR="005B3D28" w:rsidRPr="005B3D28">
          <w:rPr>
            <w:rStyle w:val="Lienhypertexte"/>
            <w:bCs/>
            <w:lang w:val="fr-FR"/>
          </w:rPr>
          <w:t>13.COM</w:t>
        </w:r>
        <w:r w:rsidR="00E01958">
          <w:rPr>
            <w:rStyle w:val="Lienhypertexte"/>
            <w:bCs/>
            <w:lang w:val="fr-FR"/>
          </w:rPr>
          <w:t> </w:t>
        </w:r>
        <w:r w:rsidR="005B3D28" w:rsidRPr="005B3D28">
          <w:rPr>
            <w:rStyle w:val="Lienhypertexte"/>
            <w:bCs/>
            <w:lang w:val="fr-FR"/>
          </w:rPr>
          <w:t>6</w:t>
        </w:r>
      </w:hyperlink>
      <w:r w:rsidR="005B3D28" w:rsidRPr="005B3D28">
        <w:rPr>
          <w:bCs/>
          <w:lang w:val="fr-FR"/>
        </w:rPr>
        <w:t xml:space="preserve"> et </w:t>
      </w:r>
      <w:hyperlink r:id="rId12" w:history="1">
        <w:r w:rsidR="005B3D28" w:rsidRPr="005B3D28">
          <w:rPr>
            <w:rStyle w:val="Lienhypertexte"/>
            <w:bCs/>
            <w:lang w:val="fr-FR"/>
          </w:rPr>
          <w:t>13.COM</w:t>
        </w:r>
        <w:r w:rsidR="00E01958">
          <w:rPr>
            <w:rStyle w:val="Lienhypertexte"/>
            <w:bCs/>
            <w:lang w:val="fr-FR"/>
          </w:rPr>
          <w:t> </w:t>
        </w:r>
        <w:r w:rsidR="005B3D28" w:rsidRPr="005B3D28">
          <w:rPr>
            <w:rStyle w:val="Lienhypertexte"/>
            <w:bCs/>
            <w:lang w:val="fr-FR"/>
          </w:rPr>
          <w:t>10</w:t>
        </w:r>
      </w:hyperlink>
      <w:r w:rsidR="005B3D28" w:rsidRPr="005B3D28">
        <w:rPr>
          <w:bCs/>
          <w:lang w:val="fr-FR"/>
        </w:rPr>
        <w:t>).</w:t>
      </w:r>
    </w:p>
    <w:p w14:paraId="07BB0098" w14:textId="15075770" w:rsidR="005E32DA" w:rsidRPr="009F06B8" w:rsidRDefault="005E32DA" w:rsidP="005E32DA">
      <w:pPr>
        <w:pStyle w:val="COMPara"/>
        <w:ind w:left="567" w:hanging="567"/>
        <w:jc w:val="both"/>
        <w:rPr>
          <w:lang w:val="fr-FR"/>
        </w:rPr>
      </w:pPr>
      <w:r>
        <w:rPr>
          <w:lang w:val="fr-FR"/>
        </w:rPr>
        <w:t>L</w:t>
      </w:r>
      <w:r w:rsidR="00F36C26">
        <w:rPr>
          <w:lang w:val="fr-FR"/>
        </w:rPr>
        <w:t>’</w:t>
      </w:r>
      <w:r>
        <w:rPr>
          <w:lang w:val="fr-FR"/>
        </w:rPr>
        <w:t>objectif global de cette initiative est de réfléchir,</w:t>
      </w:r>
      <w:r w:rsidR="00C53A63">
        <w:rPr>
          <w:lang w:val="fr-FR"/>
        </w:rPr>
        <w:t xml:space="preserve"> </w:t>
      </w:r>
      <w:r w:rsidRPr="00C53A63">
        <w:rPr>
          <w:iCs/>
          <w:lang w:val="fr-FR"/>
        </w:rPr>
        <w:t>entre autres</w:t>
      </w:r>
      <w:r>
        <w:rPr>
          <w:lang w:val="fr-FR"/>
        </w:rPr>
        <w:t xml:space="preserve">, à la nature et </w:t>
      </w:r>
      <w:r w:rsidR="0043171F">
        <w:rPr>
          <w:lang w:val="fr-FR"/>
        </w:rPr>
        <w:t>la</w:t>
      </w:r>
      <w:r>
        <w:rPr>
          <w:lang w:val="fr-FR"/>
        </w:rPr>
        <w:t xml:space="preserve"> </w:t>
      </w:r>
      <w:r w:rsidR="00C53A63">
        <w:rPr>
          <w:lang w:val="fr-FR"/>
        </w:rPr>
        <w:t>finalité</w:t>
      </w:r>
      <w:r>
        <w:rPr>
          <w:lang w:val="fr-FR"/>
        </w:rPr>
        <w:t xml:space="preserve"> des Listes et du Registre de la Convention, ainsi qu</w:t>
      </w:r>
      <w:r w:rsidR="00F36C26">
        <w:rPr>
          <w:lang w:val="fr-FR"/>
        </w:rPr>
        <w:t>’</w:t>
      </w:r>
      <w:r>
        <w:rPr>
          <w:lang w:val="fr-FR"/>
        </w:rPr>
        <w:t>à la pertinence de</w:t>
      </w:r>
      <w:r w:rsidR="00C53A63">
        <w:rPr>
          <w:lang w:val="fr-FR"/>
        </w:rPr>
        <w:t xml:space="preserve">s différents </w:t>
      </w:r>
      <w:r>
        <w:rPr>
          <w:lang w:val="fr-FR"/>
        </w:rPr>
        <w:t xml:space="preserve">critères </w:t>
      </w:r>
      <w:r w:rsidR="00C53A63">
        <w:rPr>
          <w:lang w:val="fr-FR"/>
        </w:rPr>
        <w:t xml:space="preserve">pour </w:t>
      </w:r>
      <w:r>
        <w:rPr>
          <w:lang w:val="fr-FR"/>
        </w:rPr>
        <w:t xml:space="preserve">chacun de ces mécanismes. </w:t>
      </w:r>
      <w:r w:rsidR="00C53A63">
        <w:rPr>
          <w:lang w:val="fr-FR"/>
        </w:rPr>
        <w:t>La révision</w:t>
      </w:r>
      <w:r>
        <w:rPr>
          <w:lang w:val="fr-FR"/>
        </w:rPr>
        <w:t xml:space="preserve"> de la méthodologie </w:t>
      </w:r>
      <w:r w:rsidR="00F8631C">
        <w:rPr>
          <w:lang w:val="fr-FR"/>
        </w:rPr>
        <w:t>d</w:t>
      </w:r>
      <w:r w:rsidR="00F36C26">
        <w:rPr>
          <w:lang w:val="fr-FR"/>
        </w:rPr>
        <w:t>’</w:t>
      </w:r>
      <w:r>
        <w:rPr>
          <w:lang w:val="fr-FR"/>
        </w:rPr>
        <w:t xml:space="preserve">évaluation et </w:t>
      </w:r>
      <w:r w:rsidR="00F8631C">
        <w:rPr>
          <w:lang w:val="fr-FR"/>
        </w:rPr>
        <w:t>d</w:t>
      </w:r>
      <w:r w:rsidR="00F36C26">
        <w:rPr>
          <w:lang w:val="fr-FR"/>
        </w:rPr>
        <w:t>’</w:t>
      </w:r>
      <w:r>
        <w:rPr>
          <w:lang w:val="fr-FR"/>
        </w:rPr>
        <w:t xml:space="preserve">examen des candidatures </w:t>
      </w:r>
      <w:r w:rsidR="00C53A63">
        <w:rPr>
          <w:lang w:val="fr-FR"/>
        </w:rPr>
        <w:t>représente</w:t>
      </w:r>
      <w:r>
        <w:rPr>
          <w:lang w:val="fr-FR"/>
        </w:rPr>
        <w:t xml:space="preserve"> également une part importante de la réflexion. Le processus </w:t>
      </w:r>
      <w:r w:rsidR="00775DF1">
        <w:rPr>
          <w:lang w:val="fr-FR"/>
        </w:rPr>
        <w:t xml:space="preserve">consistera en </w:t>
      </w:r>
      <w:r>
        <w:rPr>
          <w:lang w:val="fr-FR"/>
        </w:rPr>
        <w:t>une réunion d</w:t>
      </w:r>
      <w:r w:rsidR="00F36C26">
        <w:rPr>
          <w:lang w:val="fr-FR"/>
        </w:rPr>
        <w:t>’</w:t>
      </w:r>
      <w:r>
        <w:rPr>
          <w:lang w:val="fr-FR"/>
        </w:rPr>
        <w:t>experts</w:t>
      </w:r>
      <w:r w:rsidR="00775DF1">
        <w:rPr>
          <w:lang w:val="fr-FR"/>
        </w:rPr>
        <w:t xml:space="preserve"> qui se réuniront</w:t>
      </w:r>
      <w:r>
        <w:rPr>
          <w:lang w:val="fr-FR"/>
        </w:rPr>
        <w:t xml:space="preserve"> au cours du premier </w:t>
      </w:r>
      <w:r w:rsidR="00DD4ED9">
        <w:rPr>
          <w:lang w:val="fr-FR"/>
        </w:rPr>
        <w:t>semestre</w:t>
      </w:r>
      <w:r>
        <w:rPr>
          <w:lang w:val="fr-FR"/>
        </w:rPr>
        <w:t xml:space="preserve"> 2020</w:t>
      </w:r>
      <w:r w:rsidR="00DD4ED9">
        <w:rPr>
          <w:lang w:val="fr-FR"/>
        </w:rPr>
        <w:t xml:space="preserve">, </w:t>
      </w:r>
      <w:r w:rsidR="00CC7103">
        <w:rPr>
          <w:lang w:val="fr-FR"/>
        </w:rPr>
        <w:t>suivie d</w:t>
      </w:r>
      <w:r w:rsidR="00F36C26">
        <w:rPr>
          <w:lang w:val="fr-FR"/>
        </w:rPr>
        <w:t>’</w:t>
      </w:r>
      <w:r w:rsidR="00CC7103">
        <w:rPr>
          <w:lang w:val="fr-FR"/>
        </w:rPr>
        <w:t>une</w:t>
      </w:r>
      <w:r>
        <w:rPr>
          <w:lang w:val="fr-FR"/>
        </w:rPr>
        <w:t xml:space="preserve"> autre réunion du groupe de travail intergouvernemental à composition non limitée en 2021 ; de plus, les sessions du Comité et de l</w:t>
      </w:r>
      <w:r w:rsidR="00F36C26">
        <w:rPr>
          <w:lang w:val="fr-FR"/>
        </w:rPr>
        <w:t>’</w:t>
      </w:r>
      <w:r>
        <w:rPr>
          <w:lang w:val="fr-FR"/>
        </w:rPr>
        <w:t xml:space="preserve">Assemblée générale </w:t>
      </w:r>
      <w:r w:rsidR="00DD4ED9">
        <w:rPr>
          <w:lang w:val="fr-FR"/>
        </w:rPr>
        <w:t>seront l</w:t>
      </w:r>
      <w:r w:rsidR="00F36C26">
        <w:rPr>
          <w:lang w:val="fr-FR"/>
        </w:rPr>
        <w:t>’</w:t>
      </w:r>
      <w:r w:rsidR="00DD4ED9">
        <w:rPr>
          <w:lang w:val="fr-FR"/>
        </w:rPr>
        <w:t xml:space="preserve">occasion </w:t>
      </w:r>
      <w:r w:rsidR="0043171F">
        <w:rPr>
          <w:lang w:val="fr-FR"/>
        </w:rPr>
        <w:t>de mener</w:t>
      </w:r>
      <w:r w:rsidR="00DD4ED9">
        <w:rPr>
          <w:lang w:val="fr-FR"/>
        </w:rPr>
        <w:t xml:space="preserve"> des discussions</w:t>
      </w:r>
      <w:r>
        <w:rPr>
          <w:lang w:val="fr-FR"/>
        </w:rPr>
        <w:t xml:space="preserve"> intergouvernementales</w:t>
      </w:r>
      <w:r w:rsidR="0043171F">
        <w:rPr>
          <w:lang w:val="fr-FR"/>
        </w:rPr>
        <w:t xml:space="preserve"> sur le</w:t>
      </w:r>
      <w:r>
        <w:rPr>
          <w:lang w:val="fr-FR"/>
        </w:rPr>
        <w:t xml:space="preserve"> sujet. L</w:t>
      </w:r>
      <w:r w:rsidR="00F36C26">
        <w:rPr>
          <w:lang w:val="fr-FR"/>
        </w:rPr>
        <w:t>’</w:t>
      </w:r>
      <w:r>
        <w:rPr>
          <w:lang w:val="fr-FR"/>
        </w:rPr>
        <w:t xml:space="preserve">annexe 1 présente le calendrier provisoire, </w:t>
      </w:r>
      <w:r w:rsidR="0043171F">
        <w:rPr>
          <w:lang w:val="fr-FR"/>
        </w:rPr>
        <w:t xml:space="preserve">qui tient compte de </w:t>
      </w:r>
      <w:r>
        <w:rPr>
          <w:lang w:val="fr-FR"/>
        </w:rPr>
        <w:t xml:space="preserve">la demande du Comité </w:t>
      </w:r>
      <w:r w:rsidR="005B184B">
        <w:rPr>
          <w:lang w:val="fr-FR"/>
        </w:rPr>
        <w:t>d</w:t>
      </w:r>
      <w:r w:rsidR="00F36C26">
        <w:rPr>
          <w:lang w:val="fr-FR"/>
        </w:rPr>
        <w:t>’</w:t>
      </w:r>
      <w:r w:rsidR="009A2257">
        <w:rPr>
          <w:lang w:val="fr-FR"/>
        </w:rPr>
        <w:t xml:space="preserve">achever </w:t>
      </w:r>
      <w:r>
        <w:rPr>
          <w:lang w:val="fr-FR"/>
        </w:rPr>
        <w:t>la réflexion à temps pour la neuvième session de l</w:t>
      </w:r>
      <w:r w:rsidR="00F36C26">
        <w:rPr>
          <w:lang w:val="fr-FR"/>
        </w:rPr>
        <w:t>’</w:t>
      </w:r>
      <w:r>
        <w:rPr>
          <w:lang w:val="fr-FR"/>
        </w:rPr>
        <w:t>Assemblée générale en 2022.</w:t>
      </w:r>
    </w:p>
    <w:p w14:paraId="2C127201" w14:textId="4A048815" w:rsidR="005E32DA" w:rsidRPr="009F06B8" w:rsidRDefault="005E32DA" w:rsidP="005E32DA">
      <w:pPr>
        <w:pStyle w:val="COMPara"/>
        <w:ind w:left="567" w:hanging="567"/>
        <w:jc w:val="both"/>
        <w:rPr>
          <w:lang w:val="fr-FR"/>
        </w:rPr>
      </w:pPr>
      <w:r w:rsidRPr="00377C35">
        <w:rPr>
          <w:bCs/>
          <w:lang w:val="fr-FR"/>
        </w:rPr>
        <w:t>Compte tenu d</w:t>
      </w:r>
      <w:r w:rsidR="00CD24F2" w:rsidRPr="00CB69D9">
        <w:rPr>
          <w:bCs/>
          <w:lang w:val="fr-FR"/>
        </w:rPr>
        <w:t xml:space="preserve">e la longue durée du </w:t>
      </w:r>
      <w:r w:rsidR="005B184B" w:rsidRPr="00377C35">
        <w:rPr>
          <w:bCs/>
          <w:lang w:val="fr-FR"/>
        </w:rPr>
        <w:t>calendrier</w:t>
      </w:r>
      <w:r w:rsidRPr="00B3563B">
        <w:rPr>
          <w:bCs/>
          <w:lang w:val="fr-FR"/>
        </w:rPr>
        <w:t xml:space="preserve">, </w:t>
      </w:r>
      <w:r w:rsidR="00CC7103" w:rsidRPr="00B3563B">
        <w:rPr>
          <w:bCs/>
          <w:lang w:val="fr-FR"/>
        </w:rPr>
        <w:t xml:space="preserve">le </w:t>
      </w:r>
      <w:r w:rsidRPr="00B3563B">
        <w:rPr>
          <w:bCs/>
          <w:lang w:val="fr-FR"/>
        </w:rPr>
        <w:t xml:space="preserve">Comité a </w:t>
      </w:r>
      <w:r w:rsidR="00A3478F" w:rsidRPr="00B3563B">
        <w:rPr>
          <w:bCs/>
          <w:lang w:val="fr-FR"/>
        </w:rPr>
        <w:t xml:space="preserve">également </w:t>
      </w:r>
      <w:r w:rsidRPr="00B3563B">
        <w:rPr>
          <w:bCs/>
          <w:lang w:val="fr-FR"/>
        </w:rPr>
        <w:t>demandé</w:t>
      </w:r>
      <w:r w:rsidR="005B184B" w:rsidRPr="004618C3">
        <w:rPr>
          <w:bCs/>
          <w:lang w:val="fr-FR"/>
        </w:rPr>
        <w:t xml:space="preserve"> </w:t>
      </w:r>
      <w:r w:rsidR="00CC7103" w:rsidRPr="00255DED">
        <w:rPr>
          <w:bCs/>
          <w:lang w:val="fr-FR"/>
        </w:rPr>
        <w:t xml:space="preserve">au Secrétariat </w:t>
      </w:r>
      <w:r w:rsidRPr="00255DED">
        <w:rPr>
          <w:bCs/>
          <w:lang w:val="fr-FR"/>
        </w:rPr>
        <w:t>de proposer des moyens d</w:t>
      </w:r>
      <w:r w:rsidR="00F36C26">
        <w:rPr>
          <w:bCs/>
          <w:lang w:val="fr-FR"/>
        </w:rPr>
        <w:t>’</w:t>
      </w:r>
      <w:r w:rsidRPr="00255DED">
        <w:rPr>
          <w:bCs/>
          <w:lang w:val="fr-FR"/>
        </w:rPr>
        <w:t>améliorer le processus d</w:t>
      </w:r>
      <w:r w:rsidR="00F36C26">
        <w:rPr>
          <w:bCs/>
          <w:lang w:val="fr-FR"/>
        </w:rPr>
        <w:t>’</w:t>
      </w:r>
      <w:r w:rsidRPr="00255DED">
        <w:rPr>
          <w:bCs/>
          <w:lang w:val="fr-FR"/>
        </w:rPr>
        <w:t xml:space="preserve">inscription des candidatures, en </w:t>
      </w:r>
      <w:r w:rsidR="00BE248A" w:rsidRPr="004B70D7">
        <w:rPr>
          <w:bCs/>
          <w:lang w:val="fr-FR"/>
        </w:rPr>
        <w:t>tenant</w:t>
      </w:r>
      <w:r w:rsidRPr="004C1DBE">
        <w:rPr>
          <w:bCs/>
          <w:lang w:val="fr-FR"/>
        </w:rPr>
        <w:t xml:space="preserve"> compte des </w:t>
      </w:r>
      <w:r w:rsidR="00CD24F2" w:rsidRPr="00CB69D9">
        <w:rPr>
          <w:bCs/>
          <w:lang w:val="fr-FR"/>
        </w:rPr>
        <w:t>questions</w:t>
      </w:r>
      <w:r w:rsidR="00CD24F2" w:rsidRPr="00377C35">
        <w:rPr>
          <w:bCs/>
          <w:lang w:val="fr-FR"/>
        </w:rPr>
        <w:t xml:space="preserve"> </w:t>
      </w:r>
      <w:r w:rsidRPr="00377C35">
        <w:rPr>
          <w:bCs/>
          <w:lang w:val="fr-FR"/>
        </w:rPr>
        <w:t>imminent</w:t>
      </w:r>
      <w:r w:rsidR="00CD24F2" w:rsidRPr="00CB69D9">
        <w:rPr>
          <w:bCs/>
          <w:lang w:val="fr-FR"/>
        </w:rPr>
        <w:t>e</w:t>
      </w:r>
      <w:r w:rsidRPr="00377C35">
        <w:rPr>
          <w:bCs/>
          <w:lang w:val="fr-FR"/>
        </w:rPr>
        <w:t>s soulevé</w:t>
      </w:r>
      <w:r w:rsidR="00CD24F2" w:rsidRPr="00CB69D9">
        <w:rPr>
          <w:bCs/>
          <w:lang w:val="fr-FR"/>
        </w:rPr>
        <w:t>e</w:t>
      </w:r>
      <w:r w:rsidRPr="00377C35">
        <w:rPr>
          <w:bCs/>
          <w:lang w:val="fr-FR"/>
        </w:rPr>
        <w:t xml:space="preserve">s au cours de sa treizième session, </w:t>
      </w:r>
      <w:r w:rsidR="00CD24F2" w:rsidRPr="00CB69D9">
        <w:rPr>
          <w:bCs/>
          <w:lang w:val="fr-FR"/>
        </w:rPr>
        <w:t xml:space="preserve">en tant </w:t>
      </w:r>
      <w:r w:rsidRPr="00377C35">
        <w:rPr>
          <w:bCs/>
          <w:lang w:val="fr-FR"/>
        </w:rPr>
        <w:t xml:space="preserve">que </w:t>
      </w:r>
      <w:r w:rsidR="005B184B" w:rsidRPr="00377C35">
        <w:rPr>
          <w:bCs/>
          <w:lang w:val="fr-FR"/>
        </w:rPr>
        <w:t>« </w:t>
      </w:r>
      <w:r w:rsidRPr="00B3563B">
        <w:rPr>
          <w:bCs/>
          <w:lang w:val="fr-FR"/>
        </w:rPr>
        <w:t>récolte précoce</w:t>
      </w:r>
      <w:r w:rsidR="005B184B" w:rsidRPr="00B3563B">
        <w:rPr>
          <w:bCs/>
          <w:lang w:val="fr-FR"/>
        </w:rPr>
        <w:t> »</w:t>
      </w:r>
      <w:r w:rsidRPr="00B3563B">
        <w:rPr>
          <w:bCs/>
          <w:lang w:val="fr-FR"/>
        </w:rPr>
        <w:t xml:space="preserve">. </w:t>
      </w:r>
      <w:r w:rsidR="0043171F" w:rsidRPr="004618C3">
        <w:rPr>
          <w:bCs/>
          <w:lang w:val="fr-FR"/>
        </w:rPr>
        <w:t>Celle</w:t>
      </w:r>
      <w:r w:rsidR="0043171F">
        <w:rPr>
          <w:bCs/>
          <w:lang w:val="fr-FR"/>
        </w:rPr>
        <w:t xml:space="preserve">-ci concerne </w:t>
      </w:r>
      <w:r w:rsidRPr="00683EF3">
        <w:rPr>
          <w:bCs/>
          <w:lang w:val="fr-FR"/>
        </w:rPr>
        <w:t>plus particulièrement l</w:t>
      </w:r>
      <w:r w:rsidR="00F36C26">
        <w:rPr>
          <w:bCs/>
          <w:lang w:val="fr-FR"/>
        </w:rPr>
        <w:t>’</w:t>
      </w:r>
      <w:r w:rsidRPr="00683EF3">
        <w:rPr>
          <w:bCs/>
          <w:lang w:val="fr-FR"/>
        </w:rPr>
        <w:t>inclusion du processus</w:t>
      </w:r>
      <w:r w:rsidR="00CD24F2">
        <w:rPr>
          <w:bCs/>
          <w:lang w:val="fr-FR"/>
        </w:rPr>
        <w:t xml:space="preserve"> provisoire de « dialogue en amont »</w:t>
      </w:r>
      <w:r w:rsidRPr="00683EF3">
        <w:rPr>
          <w:bCs/>
          <w:lang w:val="fr-FR"/>
        </w:rPr>
        <w:t xml:space="preserve"> entre l</w:t>
      </w:r>
      <w:r w:rsidR="00F36C26">
        <w:rPr>
          <w:bCs/>
          <w:lang w:val="fr-FR"/>
        </w:rPr>
        <w:t>’</w:t>
      </w:r>
      <w:r w:rsidRPr="00683EF3">
        <w:rPr>
          <w:bCs/>
          <w:lang w:val="fr-FR"/>
        </w:rPr>
        <w:t>Organe d</w:t>
      </w:r>
      <w:r w:rsidR="00F36C26">
        <w:rPr>
          <w:bCs/>
          <w:lang w:val="fr-FR"/>
        </w:rPr>
        <w:t>’</w:t>
      </w:r>
      <w:r w:rsidRPr="00683EF3">
        <w:rPr>
          <w:bCs/>
          <w:lang w:val="fr-FR"/>
        </w:rPr>
        <w:t>évaluation et les États soumissionnaires</w:t>
      </w:r>
      <w:r w:rsidR="00F8631C">
        <w:rPr>
          <w:bCs/>
          <w:lang w:val="fr-FR"/>
        </w:rPr>
        <w:t>,</w:t>
      </w:r>
      <w:r w:rsidRPr="00683EF3">
        <w:rPr>
          <w:bCs/>
          <w:lang w:val="fr-FR"/>
        </w:rPr>
        <w:t xml:space="preserve"> </w:t>
      </w:r>
      <w:r w:rsidR="00BE248A">
        <w:rPr>
          <w:bCs/>
          <w:lang w:val="fr-FR"/>
        </w:rPr>
        <w:t xml:space="preserve">qui vise à </w:t>
      </w:r>
      <w:r w:rsidR="00CD24F2">
        <w:rPr>
          <w:bCs/>
          <w:lang w:val="fr-FR"/>
        </w:rPr>
        <w:t>clarifier</w:t>
      </w:r>
      <w:r w:rsidR="00CD24F2" w:rsidRPr="00683EF3">
        <w:rPr>
          <w:bCs/>
          <w:lang w:val="fr-FR"/>
        </w:rPr>
        <w:t xml:space="preserve"> </w:t>
      </w:r>
      <w:r w:rsidR="00BE248A">
        <w:rPr>
          <w:bCs/>
          <w:lang w:val="fr-FR"/>
        </w:rPr>
        <w:t>l</w:t>
      </w:r>
      <w:r w:rsidRPr="00683EF3">
        <w:rPr>
          <w:bCs/>
          <w:lang w:val="fr-FR"/>
        </w:rPr>
        <w:t xml:space="preserve">es problèmes mineurs identifiés dans les </w:t>
      </w:r>
      <w:r w:rsidR="00BE248A">
        <w:rPr>
          <w:bCs/>
          <w:lang w:val="fr-FR"/>
        </w:rPr>
        <w:t>dossiers</w:t>
      </w:r>
      <w:r w:rsidRPr="00683EF3">
        <w:rPr>
          <w:bCs/>
          <w:lang w:val="fr-FR"/>
        </w:rPr>
        <w:t xml:space="preserve"> de candidature grâce à un simple processus de questions-réponses. Ce processus de </w:t>
      </w:r>
      <w:r w:rsidR="00A3478F">
        <w:rPr>
          <w:bCs/>
          <w:lang w:val="fr-FR"/>
        </w:rPr>
        <w:t>« </w:t>
      </w:r>
      <w:r w:rsidRPr="00683EF3">
        <w:rPr>
          <w:bCs/>
          <w:lang w:val="fr-FR"/>
        </w:rPr>
        <w:t>dialogue</w:t>
      </w:r>
      <w:r w:rsidR="00A3478F">
        <w:rPr>
          <w:bCs/>
          <w:lang w:val="fr-FR"/>
        </w:rPr>
        <w:t> »</w:t>
      </w:r>
      <w:r w:rsidRPr="00683EF3">
        <w:rPr>
          <w:bCs/>
          <w:lang w:val="fr-FR"/>
        </w:rPr>
        <w:t xml:space="preserve">, </w:t>
      </w:r>
      <w:r>
        <w:rPr>
          <w:bCs/>
          <w:lang w:val="fr-FR"/>
        </w:rPr>
        <w:t>introduit</w:t>
      </w:r>
      <w:r w:rsidRPr="00683EF3">
        <w:rPr>
          <w:bCs/>
          <w:lang w:val="fr-FR"/>
        </w:rPr>
        <w:t xml:space="preserve"> pour la première fois</w:t>
      </w:r>
      <w:r w:rsidR="00A3478F">
        <w:rPr>
          <w:bCs/>
          <w:lang w:val="fr-FR"/>
        </w:rPr>
        <w:t xml:space="preserve"> au cours du cycle 2019 </w:t>
      </w:r>
      <w:r w:rsidRPr="00683EF3">
        <w:rPr>
          <w:bCs/>
          <w:lang w:val="fr-FR"/>
        </w:rPr>
        <w:t xml:space="preserve">à titre provisoire, </w:t>
      </w:r>
      <w:r>
        <w:rPr>
          <w:bCs/>
          <w:lang w:val="fr-FR"/>
        </w:rPr>
        <w:t>devrait être</w:t>
      </w:r>
      <w:r w:rsidRPr="00683EF3">
        <w:rPr>
          <w:bCs/>
          <w:lang w:val="fr-FR"/>
        </w:rPr>
        <w:t xml:space="preserve"> </w:t>
      </w:r>
      <w:r>
        <w:rPr>
          <w:bCs/>
          <w:lang w:val="fr-FR"/>
        </w:rPr>
        <w:t xml:space="preserve">officialisé </w:t>
      </w:r>
      <w:r w:rsidR="00F8631C">
        <w:rPr>
          <w:bCs/>
          <w:lang w:val="fr-FR"/>
        </w:rPr>
        <w:t>avec</w:t>
      </w:r>
      <w:r>
        <w:rPr>
          <w:bCs/>
          <w:lang w:val="fr-FR"/>
        </w:rPr>
        <w:t xml:space="preserve"> </w:t>
      </w:r>
      <w:r w:rsidRPr="00683EF3">
        <w:rPr>
          <w:bCs/>
          <w:lang w:val="fr-FR"/>
        </w:rPr>
        <w:t>la révision des Directives opérationnelles par l</w:t>
      </w:r>
      <w:r w:rsidR="00F36C26">
        <w:rPr>
          <w:bCs/>
          <w:lang w:val="fr-FR"/>
        </w:rPr>
        <w:t>’</w:t>
      </w:r>
      <w:r w:rsidRPr="00683EF3">
        <w:rPr>
          <w:bCs/>
          <w:lang w:val="fr-FR"/>
        </w:rPr>
        <w:t>Assemblée générale lors de sa huitième session en 2020.</w:t>
      </w:r>
    </w:p>
    <w:p w14:paraId="5AAC5F56" w14:textId="76356146" w:rsidR="00A0042F" w:rsidRDefault="005E32DA" w:rsidP="005E32DA">
      <w:pPr>
        <w:pStyle w:val="COMPara"/>
        <w:ind w:left="567" w:hanging="567"/>
        <w:jc w:val="both"/>
        <w:rPr>
          <w:lang w:val="fr-FR"/>
        </w:rPr>
      </w:pPr>
      <w:r>
        <w:rPr>
          <w:lang w:val="fr-FR"/>
        </w:rPr>
        <w:t xml:space="preserve">Le présent document résume les </w:t>
      </w:r>
      <w:r w:rsidR="002C0DA4">
        <w:rPr>
          <w:lang w:val="fr-FR"/>
        </w:rPr>
        <w:t xml:space="preserve">difficultés et </w:t>
      </w:r>
      <w:r>
        <w:rPr>
          <w:lang w:val="fr-FR"/>
        </w:rPr>
        <w:t>enjeux rencontrés par le Comité et ses organes d</w:t>
      </w:r>
      <w:r w:rsidR="00F36C26">
        <w:rPr>
          <w:lang w:val="fr-FR"/>
        </w:rPr>
        <w:t>’</w:t>
      </w:r>
      <w:r>
        <w:rPr>
          <w:lang w:val="fr-FR"/>
        </w:rPr>
        <w:t xml:space="preserve">évaluation dans la mise en œuvre des mécanismes </w:t>
      </w:r>
      <w:r w:rsidR="0043171F">
        <w:rPr>
          <w:lang w:val="fr-FR"/>
        </w:rPr>
        <w:t>liés à l</w:t>
      </w:r>
      <w:r w:rsidR="00F36C26">
        <w:rPr>
          <w:lang w:val="fr-FR"/>
        </w:rPr>
        <w:t>’</w:t>
      </w:r>
      <w:r>
        <w:rPr>
          <w:lang w:val="fr-FR"/>
        </w:rPr>
        <w:t>inscription sur les listes de la Convention et propose de nouvelles pistes de réflexion.</w:t>
      </w:r>
    </w:p>
    <w:p w14:paraId="21D25151" w14:textId="136B7783" w:rsidR="005E32DA" w:rsidRPr="009F06B8" w:rsidRDefault="005E32DA" w:rsidP="005E32DA">
      <w:pPr>
        <w:pStyle w:val="Titre4"/>
        <w:spacing w:before="240"/>
        <w:ind w:hanging="578"/>
        <w:rPr>
          <w:lang w:val="fr-FR"/>
        </w:rPr>
      </w:pPr>
      <w:r>
        <w:rPr>
          <w:lang w:val="fr-FR"/>
        </w:rPr>
        <w:t xml:space="preserve">Rappel historique : la Convention et </w:t>
      </w:r>
      <w:r w:rsidR="002C0DA4">
        <w:rPr>
          <w:lang w:val="fr-FR"/>
        </w:rPr>
        <w:t>s</w:t>
      </w:r>
      <w:r>
        <w:rPr>
          <w:lang w:val="fr-FR"/>
        </w:rPr>
        <w:t xml:space="preserve">es mécanismes </w:t>
      </w:r>
      <w:r w:rsidR="002C0DA4">
        <w:rPr>
          <w:lang w:val="fr-FR"/>
        </w:rPr>
        <w:t>d</w:t>
      </w:r>
      <w:r w:rsidR="00F36C26">
        <w:rPr>
          <w:lang w:val="fr-FR"/>
        </w:rPr>
        <w:t>’</w:t>
      </w:r>
      <w:r>
        <w:rPr>
          <w:lang w:val="fr-FR"/>
        </w:rPr>
        <w:t xml:space="preserve">inscription sur </w:t>
      </w:r>
      <w:r w:rsidR="002C0DA4">
        <w:rPr>
          <w:lang w:val="fr-FR"/>
        </w:rPr>
        <w:t>l</w:t>
      </w:r>
      <w:r>
        <w:rPr>
          <w:lang w:val="fr-FR"/>
        </w:rPr>
        <w:t>es listes</w:t>
      </w:r>
    </w:p>
    <w:p w14:paraId="1C86598F" w14:textId="295AF580" w:rsidR="005E32DA" w:rsidRPr="00316E8D" w:rsidRDefault="005E32DA" w:rsidP="00316E8D">
      <w:pPr>
        <w:pStyle w:val="COMPara"/>
        <w:ind w:left="567" w:hanging="567"/>
        <w:jc w:val="both"/>
        <w:rPr>
          <w:lang w:val="fr-FR"/>
        </w:rPr>
      </w:pPr>
      <w:r>
        <w:rPr>
          <w:lang w:val="fr-FR"/>
        </w:rPr>
        <w:t>Malgré les hésitations initiales exprimées</w:t>
      </w:r>
      <w:r w:rsidR="00A3478F">
        <w:rPr>
          <w:lang w:val="fr-FR"/>
        </w:rPr>
        <w:t xml:space="preserve"> par certains</w:t>
      </w:r>
      <w:r>
        <w:rPr>
          <w:lang w:val="fr-FR"/>
        </w:rPr>
        <w:t xml:space="preserve"> </w:t>
      </w:r>
      <w:r w:rsidR="00F8631C">
        <w:rPr>
          <w:lang w:val="fr-FR"/>
        </w:rPr>
        <w:t>au cours de la préparation de</w:t>
      </w:r>
      <w:r w:rsidR="00316E8D">
        <w:rPr>
          <w:lang w:val="fr-FR"/>
        </w:rPr>
        <w:t xml:space="preserve"> </w:t>
      </w:r>
      <w:r>
        <w:rPr>
          <w:lang w:val="fr-FR"/>
        </w:rPr>
        <w:t>l</w:t>
      </w:r>
      <w:r w:rsidR="00F36C26">
        <w:rPr>
          <w:lang w:val="fr-FR"/>
        </w:rPr>
        <w:t>’</w:t>
      </w:r>
      <w:r>
        <w:rPr>
          <w:lang w:val="fr-FR"/>
        </w:rPr>
        <w:t>adoption de la Convention de 2003</w:t>
      </w:r>
      <w:r>
        <w:rPr>
          <w:rStyle w:val="Appelnotedebasdep"/>
        </w:rPr>
        <w:footnoteReference w:id="2"/>
      </w:r>
      <w:r>
        <w:rPr>
          <w:lang w:val="fr-FR"/>
        </w:rPr>
        <w:t>, les États membres ont opté pour un système d</w:t>
      </w:r>
      <w:r w:rsidR="00F36C26">
        <w:rPr>
          <w:lang w:val="fr-FR"/>
        </w:rPr>
        <w:t>’</w:t>
      </w:r>
      <w:r>
        <w:rPr>
          <w:lang w:val="fr-FR"/>
        </w:rPr>
        <w:t xml:space="preserve">inscription </w:t>
      </w:r>
      <w:r>
        <w:rPr>
          <w:lang w:val="fr-FR"/>
        </w:rPr>
        <w:lastRenderedPageBreak/>
        <w:t xml:space="preserve">international. </w:t>
      </w:r>
      <w:r w:rsidR="00316E8D">
        <w:rPr>
          <w:lang w:val="fr-FR"/>
        </w:rPr>
        <w:t xml:space="preserve">Il était espéré que ce </w:t>
      </w:r>
      <w:r>
        <w:rPr>
          <w:lang w:val="fr-FR"/>
        </w:rPr>
        <w:t>système</w:t>
      </w:r>
      <w:r w:rsidR="00316E8D">
        <w:rPr>
          <w:lang w:val="fr-FR"/>
        </w:rPr>
        <w:t xml:space="preserve"> servirait de </w:t>
      </w:r>
      <w:r>
        <w:rPr>
          <w:lang w:val="fr-FR"/>
        </w:rPr>
        <w:t xml:space="preserve">moteur pour renforcer la visibilité du nouvel instrument </w:t>
      </w:r>
      <w:r w:rsidR="00316E8D">
        <w:rPr>
          <w:lang w:val="fr-FR"/>
        </w:rPr>
        <w:t>juridique</w:t>
      </w:r>
      <w:r>
        <w:rPr>
          <w:lang w:val="fr-FR"/>
        </w:rPr>
        <w:t xml:space="preserve"> international en faveur </w:t>
      </w:r>
      <w:r w:rsidR="006813E4">
        <w:rPr>
          <w:lang w:val="fr-FR"/>
        </w:rPr>
        <w:t xml:space="preserve">de la sauvegarde </w:t>
      </w:r>
      <w:r>
        <w:rPr>
          <w:lang w:val="fr-FR"/>
        </w:rPr>
        <w:t>du patrimoine culturel immatériel. Cette décision s</w:t>
      </w:r>
      <w:r w:rsidR="00F36C26">
        <w:rPr>
          <w:lang w:val="fr-FR"/>
        </w:rPr>
        <w:t>’</w:t>
      </w:r>
      <w:r>
        <w:rPr>
          <w:lang w:val="fr-FR"/>
        </w:rPr>
        <w:t>appuy</w:t>
      </w:r>
      <w:r w:rsidR="00316E8D">
        <w:rPr>
          <w:lang w:val="fr-FR"/>
        </w:rPr>
        <w:t>ait</w:t>
      </w:r>
      <w:r>
        <w:rPr>
          <w:lang w:val="fr-FR"/>
        </w:rPr>
        <w:t xml:space="preserve"> sur l</w:t>
      </w:r>
      <w:r w:rsidR="00F36C26">
        <w:rPr>
          <w:lang w:val="fr-FR"/>
        </w:rPr>
        <w:t>’</w:t>
      </w:r>
      <w:r>
        <w:rPr>
          <w:lang w:val="fr-FR"/>
        </w:rPr>
        <w:t xml:space="preserve">expérience </w:t>
      </w:r>
      <w:r w:rsidR="00316E8D">
        <w:rPr>
          <w:lang w:val="fr-FR"/>
        </w:rPr>
        <w:t xml:space="preserve">acquise dans le cadre </w:t>
      </w:r>
      <w:r>
        <w:rPr>
          <w:lang w:val="fr-FR"/>
        </w:rPr>
        <w:t xml:space="preserve">de la Convention de 1972 </w:t>
      </w:r>
      <w:r w:rsidR="00316E8D" w:rsidRPr="00316E8D">
        <w:rPr>
          <w:lang w:val="fr-FR"/>
        </w:rPr>
        <w:t>concernant</w:t>
      </w:r>
      <w:r w:rsidR="00316E8D">
        <w:rPr>
          <w:lang w:val="fr-FR"/>
        </w:rPr>
        <w:t xml:space="preserve"> </w:t>
      </w:r>
      <w:r w:rsidR="00316E8D" w:rsidRPr="00316E8D">
        <w:rPr>
          <w:lang w:val="fr-FR"/>
        </w:rPr>
        <w:t>la</w:t>
      </w:r>
      <w:r w:rsidR="00316E8D">
        <w:rPr>
          <w:lang w:val="fr-FR"/>
        </w:rPr>
        <w:t xml:space="preserve"> </w:t>
      </w:r>
      <w:r w:rsidR="00316E8D" w:rsidRPr="00316E8D">
        <w:rPr>
          <w:lang w:val="fr-FR"/>
        </w:rPr>
        <w:t>protection</w:t>
      </w:r>
      <w:r w:rsidR="00316E8D">
        <w:rPr>
          <w:lang w:val="fr-FR"/>
        </w:rPr>
        <w:t xml:space="preserve"> </w:t>
      </w:r>
      <w:r w:rsidR="00316E8D" w:rsidRPr="00316E8D">
        <w:rPr>
          <w:lang w:val="fr-FR"/>
        </w:rPr>
        <w:t>du</w:t>
      </w:r>
      <w:r w:rsidR="00316E8D">
        <w:rPr>
          <w:lang w:val="fr-FR"/>
        </w:rPr>
        <w:t xml:space="preserve"> </w:t>
      </w:r>
      <w:r w:rsidR="00316E8D" w:rsidRPr="00316E8D">
        <w:rPr>
          <w:lang w:val="fr-FR"/>
        </w:rPr>
        <w:t>patrimoine mondial, culturel et naturel</w:t>
      </w:r>
      <w:r w:rsidRPr="00316E8D">
        <w:rPr>
          <w:lang w:val="fr-FR"/>
        </w:rPr>
        <w:t xml:space="preserve"> (ci-après, </w:t>
      </w:r>
      <w:r w:rsidR="00316E8D">
        <w:rPr>
          <w:lang w:val="fr-FR"/>
        </w:rPr>
        <w:t>« </w:t>
      </w:r>
      <w:r w:rsidRPr="00316E8D">
        <w:rPr>
          <w:lang w:val="fr-FR"/>
        </w:rPr>
        <w:t>Convention du patrimoine mondial</w:t>
      </w:r>
      <w:r w:rsidR="00316E8D">
        <w:rPr>
          <w:lang w:val="fr-FR"/>
        </w:rPr>
        <w:t> »</w:t>
      </w:r>
      <w:r w:rsidRPr="00316E8D">
        <w:rPr>
          <w:lang w:val="fr-FR"/>
        </w:rPr>
        <w:t xml:space="preserve">). </w:t>
      </w:r>
      <w:r w:rsidR="00A3478F">
        <w:rPr>
          <w:lang w:val="fr-FR"/>
        </w:rPr>
        <w:t>Cependant, l</w:t>
      </w:r>
      <w:r w:rsidRPr="00316E8D">
        <w:rPr>
          <w:lang w:val="fr-FR"/>
        </w:rPr>
        <w:t xml:space="preserve">es États membres ont </w:t>
      </w:r>
      <w:r w:rsidR="00316E8D">
        <w:rPr>
          <w:lang w:val="fr-FR"/>
        </w:rPr>
        <w:t>exigé</w:t>
      </w:r>
      <w:r w:rsidRPr="00316E8D">
        <w:rPr>
          <w:lang w:val="fr-FR"/>
        </w:rPr>
        <w:t xml:space="preserve"> qu</w:t>
      </w:r>
      <w:r w:rsidR="00F36C26">
        <w:rPr>
          <w:lang w:val="fr-FR"/>
        </w:rPr>
        <w:t>’</w:t>
      </w:r>
      <w:r w:rsidRPr="00316E8D">
        <w:rPr>
          <w:lang w:val="fr-FR"/>
        </w:rPr>
        <w:t>aucun jugement de valeur (</w:t>
      </w:r>
      <w:r w:rsidR="00A3478F">
        <w:rPr>
          <w:lang w:val="fr-FR"/>
        </w:rPr>
        <w:t>notamment</w:t>
      </w:r>
      <w:r w:rsidRPr="00316E8D">
        <w:rPr>
          <w:lang w:val="fr-FR"/>
        </w:rPr>
        <w:t xml:space="preserve"> </w:t>
      </w:r>
      <w:r w:rsidR="00316E8D">
        <w:rPr>
          <w:lang w:val="fr-FR"/>
        </w:rPr>
        <w:t>la</w:t>
      </w:r>
      <w:r w:rsidRPr="00316E8D">
        <w:rPr>
          <w:lang w:val="fr-FR"/>
        </w:rPr>
        <w:t xml:space="preserve"> </w:t>
      </w:r>
      <w:r w:rsidR="00A3478F">
        <w:rPr>
          <w:lang w:val="fr-FR"/>
        </w:rPr>
        <w:t>« </w:t>
      </w:r>
      <w:r w:rsidRPr="00316E8D">
        <w:rPr>
          <w:lang w:val="fr-FR"/>
        </w:rPr>
        <w:t>valeur universelle exceptionnelle</w:t>
      </w:r>
      <w:r w:rsidR="00A3478F">
        <w:rPr>
          <w:lang w:val="fr-FR"/>
        </w:rPr>
        <w:t> »</w:t>
      </w:r>
      <w:r w:rsidRPr="00316E8D">
        <w:rPr>
          <w:lang w:val="fr-FR"/>
        </w:rPr>
        <w:t xml:space="preserve"> </w:t>
      </w:r>
      <w:r w:rsidR="00A3478F">
        <w:rPr>
          <w:lang w:val="fr-FR"/>
        </w:rPr>
        <w:t>qui est essentielle pour une inscription sur la Liste de</w:t>
      </w:r>
      <w:r w:rsidRPr="00316E8D">
        <w:rPr>
          <w:lang w:val="fr-FR"/>
        </w:rPr>
        <w:t xml:space="preserve"> la Convention du patrimoine mondial) </w:t>
      </w:r>
      <w:r w:rsidR="00316E8D">
        <w:rPr>
          <w:lang w:val="fr-FR"/>
        </w:rPr>
        <w:t xml:space="preserve">ne </w:t>
      </w:r>
      <w:r w:rsidR="0043171F">
        <w:rPr>
          <w:lang w:val="fr-FR"/>
        </w:rPr>
        <w:t>soit</w:t>
      </w:r>
      <w:r w:rsidR="00316E8D">
        <w:rPr>
          <w:lang w:val="fr-FR"/>
        </w:rPr>
        <w:t xml:space="preserve"> impliqué</w:t>
      </w:r>
      <w:r w:rsidRPr="00316E8D">
        <w:rPr>
          <w:lang w:val="fr-FR"/>
        </w:rPr>
        <w:t xml:space="preserve"> </w:t>
      </w:r>
      <w:r w:rsidR="00316E8D">
        <w:rPr>
          <w:lang w:val="fr-FR"/>
        </w:rPr>
        <w:t xml:space="preserve">dans </w:t>
      </w:r>
      <w:r w:rsidRPr="00316E8D">
        <w:rPr>
          <w:lang w:val="fr-FR"/>
        </w:rPr>
        <w:t>l</w:t>
      </w:r>
      <w:r w:rsidR="00F36C26">
        <w:rPr>
          <w:lang w:val="fr-FR"/>
        </w:rPr>
        <w:t>’</w:t>
      </w:r>
      <w:r w:rsidRPr="00316E8D">
        <w:rPr>
          <w:lang w:val="fr-FR"/>
        </w:rPr>
        <w:t xml:space="preserve">inscription des éléments de patrimoine vivant sur les Listes et le Registre de la Convention de 2003, </w:t>
      </w:r>
      <w:r w:rsidR="00316E8D">
        <w:rPr>
          <w:lang w:val="fr-FR"/>
        </w:rPr>
        <w:t xml:space="preserve">car </w:t>
      </w:r>
      <w:r w:rsidR="00370F74">
        <w:rPr>
          <w:lang w:val="fr-FR"/>
        </w:rPr>
        <w:t xml:space="preserve">de tels jugements </w:t>
      </w:r>
      <w:r w:rsidRPr="00316E8D">
        <w:rPr>
          <w:lang w:val="fr-FR"/>
        </w:rPr>
        <w:t>iraient à l</w:t>
      </w:r>
      <w:r w:rsidR="00F36C26">
        <w:rPr>
          <w:lang w:val="fr-FR"/>
        </w:rPr>
        <w:t>’</w:t>
      </w:r>
      <w:r w:rsidRPr="00316E8D">
        <w:rPr>
          <w:lang w:val="fr-FR"/>
        </w:rPr>
        <w:t>encontre de l</w:t>
      </w:r>
      <w:r w:rsidR="00F36C26">
        <w:rPr>
          <w:lang w:val="fr-FR"/>
        </w:rPr>
        <w:t>’</w:t>
      </w:r>
      <w:r w:rsidRPr="00316E8D">
        <w:rPr>
          <w:lang w:val="fr-FR"/>
        </w:rPr>
        <w:t>esprit de la Convention de 2003</w:t>
      </w:r>
      <w:r>
        <w:rPr>
          <w:rStyle w:val="Appelnotedebasdep"/>
        </w:rPr>
        <w:footnoteReference w:id="3"/>
      </w:r>
      <w:r w:rsidRPr="00316E8D">
        <w:rPr>
          <w:lang w:val="fr-FR"/>
        </w:rPr>
        <w:t>.</w:t>
      </w:r>
    </w:p>
    <w:p w14:paraId="69268136" w14:textId="4AE2256E" w:rsidR="005E32DA" w:rsidRPr="009F06B8" w:rsidRDefault="005E32DA" w:rsidP="005E32DA">
      <w:pPr>
        <w:pStyle w:val="COMPara"/>
        <w:ind w:left="567" w:hanging="567"/>
        <w:jc w:val="both"/>
        <w:rPr>
          <w:lang w:val="fr-FR"/>
        </w:rPr>
      </w:pPr>
      <w:r>
        <w:rPr>
          <w:lang w:val="fr-FR"/>
        </w:rPr>
        <w:t>En revanche, l</w:t>
      </w:r>
      <w:r w:rsidR="00F36C26">
        <w:rPr>
          <w:lang w:val="fr-FR"/>
        </w:rPr>
        <w:t>’</w:t>
      </w:r>
      <w:r>
        <w:rPr>
          <w:lang w:val="fr-FR"/>
        </w:rPr>
        <w:t xml:space="preserve">objectif du système a été </w:t>
      </w:r>
      <w:r w:rsidR="00867D51">
        <w:rPr>
          <w:lang w:val="fr-FR"/>
        </w:rPr>
        <w:t>compris</w:t>
      </w:r>
      <w:r w:rsidR="00A93046">
        <w:rPr>
          <w:lang w:val="fr-FR"/>
        </w:rPr>
        <w:t xml:space="preserve"> comme </w:t>
      </w:r>
      <w:r w:rsidR="00867D51">
        <w:rPr>
          <w:lang w:val="fr-FR"/>
        </w:rPr>
        <w:t xml:space="preserve">étant </w:t>
      </w:r>
      <w:r w:rsidR="00A93046">
        <w:rPr>
          <w:lang w:val="fr-FR"/>
        </w:rPr>
        <w:t xml:space="preserve">un </w:t>
      </w:r>
      <w:r>
        <w:rPr>
          <w:lang w:val="fr-FR"/>
        </w:rPr>
        <w:t xml:space="preserve">outil </w:t>
      </w:r>
      <w:r w:rsidR="00867D51">
        <w:rPr>
          <w:lang w:val="fr-FR"/>
        </w:rPr>
        <w:t>de</w:t>
      </w:r>
      <w:r w:rsidR="00A93046">
        <w:rPr>
          <w:lang w:val="fr-FR"/>
        </w:rPr>
        <w:t xml:space="preserve"> </w:t>
      </w:r>
      <w:r>
        <w:rPr>
          <w:lang w:val="fr-FR"/>
        </w:rPr>
        <w:t>sensibilis</w:t>
      </w:r>
      <w:r w:rsidR="00867D51">
        <w:rPr>
          <w:lang w:val="fr-FR"/>
        </w:rPr>
        <w:t>ation d</w:t>
      </w:r>
      <w:r>
        <w:rPr>
          <w:lang w:val="fr-FR"/>
        </w:rPr>
        <w:t xml:space="preserve">es autorités nationales et </w:t>
      </w:r>
      <w:r w:rsidR="00867D51">
        <w:rPr>
          <w:lang w:val="fr-FR"/>
        </w:rPr>
        <w:t>d</w:t>
      </w:r>
      <w:r>
        <w:rPr>
          <w:lang w:val="fr-FR"/>
        </w:rPr>
        <w:t>es communautés du monde entier à l</w:t>
      </w:r>
      <w:r w:rsidR="00F36C26">
        <w:rPr>
          <w:lang w:val="fr-FR"/>
        </w:rPr>
        <w:t>’</w:t>
      </w:r>
      <w:r>
        <w:rPr>
          <w:lang w:val="fr-FR"/>
        </w:rPr>
        <w:t xml:space="preserve">importance du patrimoine vivant en général et </w:t>
      </w:r>
      <w:r w:rsidR="00867D51">
        <w:rPr>
          <w:lang w:val="fr-FR"/>
        </w:rPr>
        <w:t>à son</w:t>
      </w:r>
      <w:r>
        <w:rPr>
          <w:lang w:val="fr-FR"/>
        </w:rPr>
        <w:t xml:space="preserve"> besoin de sauvegarde, ainsi qu</w:t>
      </w:r>
      <w:r w:rsidR="00867D51">
        <w:rPr>
          <w:lang w:val="fr-FR"/>
        </w:rPr>
        <w:t xml:space="preserve">e de mobilisation de </w:t>
      </w:r>
      <w:r>
        <w:rPr>
          <w:lang w:val="fr-FR"/>
        </w:rPr>
        <w:t xml:space="preserve">la solidarité internationale. </w:t>
      </w:r>
      <w:r w:rsidR="003200AA">
        <w:rPr>
          <w:lang w:val="fr-FR"/>
        </w:rPr>
        <w:t>C</w:t>
      </w:r>
      <w:r>
        <w:rPr>
          <w:lang w:val="fr-FR"/>
        </w:rPr>
        <w:t xml:space="preserve">e système </w:t>
      </w:r>
      <w:r w:rsidR="00A93046">
        <w:rPr>
          <w:lang w:val="fr-FR"/>
        </w:rPr>
        <w:t xml:space="preserve">international </w:t>
      </w:r>
      <w:r>
        <w:rPr>
          <w:lang w:val="fr-FR"/>
        </w:rPr>
        <w:t>d</w:t>
      </w:r>
      <w:r w:rsidR="00F36C26">
        <w:rPr>
          <w:lang w:val="fr-FR"/>
        </w:rPr>
        <w:t>’</w:t>
      </w:r>
      <w:r>
        <w:rPr>
          <w:lang w:val="fr-FR"/>
        </w:rPr>
        <w:t xml:space="preserve">inscription </w:t>
      </w:r>
      <w:r w:rsidR="00A93046">
        <w:rPr>
          <w:lang w:val="fr-FR"/>
        </w:rPr>
        <w:t>sur les listes de</w:t>
      </w:r>
      <w:r>
        <w:rPr>
          <w:lang w:val="fr-FR"/>
        </w:rPr>
        <w:t xml:space="preserve"> la Convention de 2003 se composerait de trois mécanismes : deux Listes et un Registre, </w:t>
      </w:r>
      <w:r w:rsidR="00A93046">
        <w:rPr>
          <w:lang w:val="fr-FR"/>
        </w:rPr>
        <w:t xml:space="preserve">en attribuant à chacun </w:t>
      </w:r>
      <w:r>
        <w:rPr>
          <w:lang w:val="fr-FR"/>
        </w:rPr>
        <w:t>d</w:t>
      </w:r>
      <w:r w:rsidR="00A93046">
        <w:rPr>
          <w:lang w:val="fr-FR"/>
        </w:rPr>
        <w:t xml:space="preserve">es </w:t>
      </w:r>
      <w:r>
        <w:rPr>
          <w:lang w:val="fr-FR"/>
        </w:rPr>
        <w:t>objectifs spécifiques</w:t>
      </w:r>
      <w:r w:rsidR="00A93046">
        <w:rPr>
          <w:lang w:val="fr-FR"/>
        </w:rPr>
        <w:t xml:space="preserve"> et distincts</w:t>
      </w:r>
      <w:r>
        <w:rPr>
          <w:lang w:val="fr-FR"/>
        </w:rPr>
        <w:t xml:space="preserve"> mais complémentaires, </w:t>
      </w:r>
      <w:r w:rsidR="00A93046">
        <w:rPr>
          <w:lang w:val="fr-FR"/>
        </w:rPr>
        <w:t>respectivement exposés dans</w:t>
      </w:r>
      <w:r>
        <w:rPr>
          <w:lang w:val="fr-FR"/>
        </w:rPr>
        <w:t xml:space="preserve"> </w:t>
      </w:r>
      <w:r w:rsidR="00A93046">
        <w:rPr>
          <w:lang w:val="fr-FR"/>
        </w:rPr>
        <w:t xml:space="preserve">les </w:t>
      </w:r>
      <w:r>
        <w:rPr>
          <w:lang w:val="fr-FR"/>
        </w:rPr>
        <w:t xml:space="preserve">articles 16,17 et 18 de la Convention et </w:t>
      </w:r>
      <w:r w:rsidR="00A93046">
        <w:rPr>
          <w:lang w:val="fr-FR"/>
        </w:rPr>
        <w:t>développés</w:t>
      </w:r>
      <w:r>
        <w:rPr>
          <w:lang w:val="fr-FR"/>
        </w:rPr>
        <w:t xml:space="preserve"> dans les Directives opérationnelles :</w:t>
      </w:r>
    </w:p>
    <w:p w14:paraId="0537F2A7" w14:textId="60C2DC87" w:rsidR="005E32DA" w:rsidRPr="009F06B8" w:rsidRDefault="005E32DA" w:rsidP="00053F65">
      <w:pPr>
        <w:pStyle w:val="COMPara"/>
        <w:numPr>
          <w:ilvl w:val="0"/>
          <w:numId w:val="8"/>
        </w:numPr>
        <w:jc w:val="both"/>
        <w:rPr>
          <w:lang w:val="fr-FR"/>
        </w:rPr>
      </w:pPr>
      <w:r>
        <w:rPr>
          <w:lang w:val="fr-FR"/>
        </w:rPr>
        <w:t>La Liste représentative du patrimoine culturel immatériel de l</w:t>
      </w:r>
      <w:r w:rsidR="00F36C26">
        <w:rPr>
          <w:lang w:val="fr-FR"/>
        </w:rPr>
        <w:t>’</w:t>
      </w:r>
      <w:r>
        <w:rPr>
          <w:lang w:val="fr-FR"/>
        </w:rPr>
        <w:t>humanité (</w:t>
      </w:r>
      <w:r w:rsidR="003200AA" w:rsidRPr="00316E8D">
        <w:rPr>
          <w:lang w:val="fr-FR"/>
        </w:rPr>
        <w:t xml:space="preserve">ci-après, </w:t>
      </w:r>
      <w:r w:rsidR="00A93046">
        <w:rPr>
          <w:lang w:val="fr-FR"/>
        </w:rPr>
        <w:t>« </w:t>
      </w:r>
      <w:r>
        <w:rPr>
          <w:lang w:val="fr-FR"/>
        </w:rPr>
        <w:t>Liste représentative</w:t>
      </w:r>
      <w:r w:rsidR="00A93046">
        <w:rPr>
          <w:lang w:val="fr-FR"/>
        </w:rPr>
        <w:t> »</w:t>
      </w:r>
      <w:r>
        <w:rPr>
          <w:lang w:val="fr-FR"/>
        </w:rPr>
        <w:t>) ;</w:t>
      </w:r>
    </w:p>
    <w:p w14:paraId="4E6491B6" w14:textId="77777777" w:rsidR="005E32DA" w:rsidRPr="009F06B8" w:rsidRDefault="005E32DA" w:rsidP="00053F65">
      <w:pPr>
        <w:pStyle w:val="COMPara"/>
        <w:numPr>
          <w:ilvl w:val="0"/>
          <w:numId w:val="8"/>
        </w:numPr>
        <w:jc w:val="both"/>
        <w:rPr>
          <w:lang w:val="fr-FR"/>
        </w:rPr>
      </w:pPr>
      <w:r>
        <w:rPr>
          <w:lang w:val="fr-FR"/>
        </w:rPr>
        <w:t>La Liste du patrimoine culturel immatériel nécessitant une sauvegarde urgente (</w:t>
      </w:r>
      <w:r w:rsidR="003200AA" w:rsidRPr="00316E8D">
        <w:rPr>
          <w:lang w:val="fr-FR"/>
        </w:rPr>
        <w:t xml:space="preserve">ci-après, </w:t>
      </w:r>
      <w:r w:rsidR="00A93046">
        <w:rPr>
          <w:lang w:val="fr-FR"/>
        </w:rPr>
        <w:t>« </w:t>
      </w:r>
      <w:r>
        <w:rPr>
          <w:lang w:val="fr-FR"/>
        </w:rPr>
        <w:t>Liste de sauvegarde urgente</w:t>
      </w:r>
      <w:r w:rsidR="00A93046">
        <w:rPr>
          <w:lang w:val="fr-FR"/>
        </w:rPr>
        <w:t> »</w:t>
      </w:r>
      <w:r>
        <w:rPr>
          <w:lang w:val="fr-FR"/>
        </w:rPr>
        <w:t>) ;</w:t>
      </w:r>
    </w:p>
    <w:p w14:paraId="0336D0EE" w14:textId="18B52069" w:rsidR="005E32DA" w:rsidRPr="009F06B8" w:rsidRDefault="005E32DA" w:rsidP="00053F65">
      <w:pPr>
        <w:pStyle w:val="COMPara"/>
        <w:numPr>
          <w:ilvl w:val="0"/>
          <w:numId w:val="8"/>
        </w:numPr>
        <w:jc w:val="both"/>
        <w:rPr>
          <w:lang w:val="fr-FR"/>
        </w:rPr>
      </w:pPr>
      <w:r>
        <w:rPr>
          <w:lang w:val="fr-FR"/>
        </w:rPr>
        <w:t>Le Registre de programmes, projets et </w:t>
      </w:r>
      <w:r w:rsidR="00F36C26">
        <w:rPr>
          <w:lang w:val="fr-FR"/>
        </w:rPr>
        <w:t>’</w:t>
      </w:r>
      <w:r>
        <w:rPr>
          <w:lang w:val="fr-FR"/>
        </w:rPr>
        <w:t>activités reflétant le mieux les principes et objectifs de la Convention (</w:t>
      </w:r>
      <w:r w:rsidR="003200AA" w:rsidRPr="00316E8D">
        <w:rPr>
          <w:lang w:val="fr-FR"/>
        </w:rPr>
        <w:t xml:space="preserve">ci-après, </w:t>
      </w:r>
      <w:r w:rsidR="00A93046">
        <w:rPr>
          <w:lang w:val="fr-FR"/>
        </w:rPr>
        <w:t>« </w:t>
      </w:r>
      <w:r>
        <w:rPr>
          <w:lang w:val="fr-FR"/>
        </w:rPr>
        <w:t>Registre des bonnes pratiques de sauvegarde</w:t>
      </w:r>
      <w:r w:rsidR="00A93046">
        <w:rPr>
          <w:lang w:val="fr-FR"/>
        </w:rPr>
        <w:t> »</w:t>
      </w:r>
      <w:r>
        <w:rPr>
          <w:lang w:val="fr-FR"/>
        </w:rPr>
        <w:t>).</w:t>
      </w:r>
    </w:p>
    <w:p w14:paraId="68F9FDD2" w14:textId="421F72D8" w:rsidR="005E32DA" w:rsidRPr="009F06B8" w:rsidRDefault="005E32DA" w:rsidP="005E32DA">
      <w:pPr>
        <w:pStyle w:val="COMPara"/>
        <w:ind w:left="567" w:hanging="567"/>
        <w:jc w:val="both"/>
        <w:rPr>
          <w:lang w:val="fr-FR"/>
        </w:rPr>
      </w:pPr>
      <w:r>
        <w:rPr>
          <w:lang w:val="fr-FR"/>
        </w:rPr>
        <w:t>Lors de sa deuxième session en 2008, l</w:t>
      </w:r>
      <w:r w:rsidR="00F36C26">
        <w:rPr>
          <w:lang w:val="fr-FR"/>
        </w:rPr>
        <w:t>’</w:t>
      </w:r>
      <w:r>
        <w:rPr>
          <w:lang w:val="fr-FR"/>
        </w:rPr>
        <w:t xml:space="preserve">Assemblé générale a adopté les Directives opérationnelles qui </w:t>
      </w:r>
      <w:r w:rsidR="00B517CF">
        <w:rPr>
          <w:lang w:val="fr-FR"/>
        </w:rPr>
        <w:t>inclu</w:t>
      </w:r>
      <w:r w:rsidR="00374986">
        <w:rPr>
          <w:lang w:val="fr-FR"/>
        </w:rPr>
        <w:t>ai</w:t>
      </w:r>
      <w:r w:rsidR="00B517CF">
        <w:rPr>
          <w:lang w:val="fr-FR"/>
        </w:rPr>
        <w:t>ent</w:t>
      </w:r>
      <w:r>
        <w:rPr>
          <w:lang w:val="fr-FR"/>
        </w:rPr>
        <w:t xml:space="preserve"> un ensemble de critères </w:t>
      </w:r>
      <w:r w:rsidR="0015450A">
        <w:rPr>
          <w:lang w:val="fr-FR"/>
        </w:rPr>
        <w:t>pour l</w:t>
      </w:r>
      <w:r w:rsidR="00F36C26">
        <w:rPr>
          <w:lang w:val="fr-FR"/>
        </w:rPr>
        <w:t>’</w:t>
      </w:r>
      <w:r>
        <w:rPr>
          <w:lang w:val="fr-FR"/>
        </w:rPr>
        <w:t xml:space="preserve">inscription sur chacun des trois </w:t>
      </w:r>
      <w:r w:rsidRPr="00B3563B">
        <w:rPr>
          <w:lang w:val="fr-FR"/>
        </w:rPr>
        <w:t>mécanismes</w:t>
      </w:r>
      <w:r w:rsidR="00F36C26">
        <w:rPr>
          <w:lang w:val="fr-FR"/>
        </w:rPr>
        <w:t>’</w:t>
      </w:r>
      <w:r>
        <w:rPr>
          <w:lang w:val="fr-FR"/>
        </w:rPr>
        <w:t xml:space="preserve"> ainsi que les</w:t>
      </w:r>
      <w:r w:rsidR="0015450A">
        <w:rPr>
          <w:lang w:val="fr-FR"/>
        </w:rPr>
        <w:t xml:space="preserve"> </w:t>
      </w:r>
      <w:r>
        <w:rPr>
          <w:lang w:val="fr-FR"/>
        </w:rPr>
        <w:t>procédure</w:t>
      </w:r>
      <w:r w:rsidR="00892ECD">
        <w:rPr>
          <w:lang w:val="fr-FR"/>
        </w:rPr>
        <w:t>s</w:t>
      </w:r>
      <w:r>
        <w:rPr>
          <w:lang w:val="fr-FR"/>
        </w:rPr>
        <w:t xml:space="preserve"> de candidature</w:t>
      </w:r>
      <w:r>
        <w:rPr>
          <w:rStyle w:val="Appelnotedebasdep"/>
        </w:rPr>
        <w:footnoteReference w:id="4"/>
      </w:r>
      <w:r>
        <w:rPr>
          <w:lang w:val="fr-FR"/>
        </w:rPr>
        <w:t>. L</w:t>
      </w:r>
      <w:r w:rsidR="00F36C26">
        <w:rPr>
          <w:lang w:val="fr-FR"/>
        </w:rPr>
        <w:t>’</w:t>
      </w:r>
      <w:r>
        <w:rPr>
          <w:lang w:val="fr-FR"/>
        </w:rPr>
        <w:t>adoption des Directives opérationnelles a été précédée d</w:t>
      </w:r>
      <w:r w:rsidR="00F36C26">
        <w:rPr>
          <w:lang w:val="fr-FR"/>
        </w:rPr>
        <w:t>’</w:t>
      </w:r>
      <w:r>
        <w:rPr>
          <w:lang w:val="fr-FR"/>
        </w:rPr>
        <w:t xml:space="preserve">une longue discussion sur les critères et </w:t>
      </w:r>
      <w:r w:rsidR="0015450A">
        <w:rPr>
          <w:lang w:val="fr-FR"/>
        </w:rPr>
        <w:t>l</w:t>
      </w:r>
      <w:r w:rsidR="00892ECD">
        <w:rPr>
          <w:lang w:val="fr-FR"/>
        </w:rPr>
        <w:t>es</w:t>
      </w:r>
      <w:r w:rsidR="0015450A">
        <w:rPr>
          <w:lang w:val="fr-FR"/>
        </w:rPr>
        <w:t xml:space="preserve"> procédure</w:t>
      </w:r>
      <w:r w:rsidR="00892ECD">
        <w:rPr>
          <w:lang w:val="fr-FR"/>
        </w:rPr>
        <w:t>s</w:t>
      </w:r>
      <w:r w:rsidR="0015450A">
        <w:rPr>
          <w:lang w:val="fr-FR"/>
        </w:rPr>
        <w:t xml:space="preserve"> </w:t>
      </w:r>
      <w:r>
        <w:rPr>
          <w:lang w:val="fr-FR"/>
        </w:rPr>
        <w:t>de candidature</w:t>
      </w:r>
      <w:r w:rsidR="00867D51">
        <w:rPr>
          <w:lang w:val="fr-FR"/>
        </w:rPr>
        <w:t>,</w:t>
      </w:r>
      <w:r w:rsidR="00F8631C">
        <w:rPr>
          <w:lang w:val="fr-FR"/>
        </w:rPr>
        <w:t xml:space="preserve"> menée </w:t>
      </w:r>
      <w:r w:rsidR="0015450A">
        <w:rPr>
          <w:lang w:val="fr-FR"/>
        </w:rPr>
        <w:t xml:space="preserve">pendant </w:t>
      </w:r>
      <w:r>
        <w:rPr>
          <w:lang w:val="fr-FR"/>
        </w:rPr>
        <w:t>trois sessions du Comité</w:t>
      </w:r>
      <w:r>
        <w:rPr>
          <w:rStyle w:val="Appelnotedebasdep"/>
        </w:rPr>
        <w:footnoteReference w:id="5"/>
      </w:r>
      <w:r w:rsidR="0015450A">
        <w:rPr>
          <w:lang w:val="fr-FR"/>
        </w:rPr>
        <w:t xml:space="preserve"> </w:t>
      </w:r>
      <w:r>
        <w:rPr>
          <w:lang w:val="fr-FR"/>
        </w:rPr>
        <w:t>et trois réunions d</w:t>
      </w:r>
      <w:r w:rsidR="00F36C26">
        <w:rPr>
          <w:lang w:val="fr-FR"/>
        </w:rPr>
        <w:t>’</w:t>
      </w:r>
      <w:r>
        <w:rPr>
          <w:lang w:val="fr-FR"/>
        </w:rPr>
        <w:t>experts de catégorie</w:t>
      </w:r>
      <w:r w:rsidR="00892ECD">
        <w:rPr>
          <w:lang w:val="fr-FR"/>
        </w:rPr>
        <w:t> </w:t>
      </w:r>
      <w:r>
        <w:rPr>
          <w:lang w:val="fr-FR"/>
        </w:rPr>
        <w:t xml:space="preserve">VI </w:t>
      </w:r>
      <w:r w:rsidR="0015450A">
        <w:rPr>
          <w:lang w:val="fr-FR"/>
        </w:rPr>
        <w:t xml:space="preserve">consacrées </w:t>
      </w:r>
      <w:r w:rsidR="00892ECD">
        <w:rPr>
          <w:lang w:val="fr-FR"/>
        </w:rPr>
        <w:t xml:space="preserve">à ce </w:t>
      </w:r>
      <w:r w:rsidR="0015450A">
        <w:rPr>
          <w:lang w:val="fr-FR"/>
        </w:rPr>
        <w:t>sujet</w:t>
      </w:r>
      <w:r>
        <w:rPr>
          <w:rStyle w:val="Appelnotedebasdep"/>
        </w:rPr>
        <w:footnoteReference w:id="6"/>
      </w:r>
      <w:r>
        <w:rPr>
          <w:lang w:val="fr-FR"/>
        </w:rPr>
        <w:t xml:space="preserve">. Ces </w:t>
      </w:r>
      <w:r w:rsidR="0015450A">
        <w:rPr>
          <w:lang w:val="fr-FR"/>
        </w:rPr>
        <w:t>multiples</w:t>
      </w:r>
      <w:r>
        <w:rPr>
          <w:lang w:val="fr-FR"/>
        </w:rPr>
        <w:t xml:space="preserve"> réunions étaient nécessaires pour réconcilier </w:t>
      </w:r>
      <w:r w:rsidR="0015450A">
        <w:rPr>
          <w:lang w:val="fr-FR"/>
        </w:rPr>
        <w:t xml:space="preserve">les </w:t>
      </w:r>
      <w:r>
        <w:rPr>
          <w:lang w:val="fr-FR"/>
        </w:rPr>
        <w:t xml:space="preserve">différentes opinions sur la façon de </w:t>
      </w:r>
      <w:r w:rsidR="0015450A">
        <w:rPr>
          <w:lang w:val="fr-FR"/>
        </w:rPr>
        <w:t>traiter</w:t>
      </w:r>
      <w:r>
        <w:rPr>
          <w:lang w:val="fr-FR"/>
        </w:rPr>
        <w:t xml:space="preserve"> les questions fondamentales liées aux Listes. Par exemple, plusieurs options ont été </w:t>
      </w:r>
      <w:r w:rsidR="0015450A">
        <w:rPr>
          <w:lang w:val="fr-FR"/>
        </w:rPr>
        <w:t>débattues</w:t>
      </w:r>
      <w:r>
        <w:rPr>
          <w:lang w:val="fr-FR"/>
        </w:rPr>
        <w:t xml:space="preserve"> </w:t>
      </w:r>
      <w:r w:rsidR="00873E78">
        <w:rPr>
          <w:lang w:val="fr-FR"/>
        </w:rPr>
        <w:t>concernant les</w:t>
      </w:r>
      <w:r>
        <w:rPr>
          <w:lang w:val="fr-FR"/>
        </w:rPr>
        <w:t xml:space="preserve"> liens entre la Liste de sauvegarde urgente et la Liste représentative,</w:t>
      </w:r>
      <w:r w:rsidR="0015450A">
        <w:rPr>
          <w:lang w:val="fr-FR"/>
        </w:rPr>
        <w:t xml:space="preserve"> </w:t>
      </w:r>
      <w:r>
        <w:rPr>
          <w:lang w:val="fr-FR"/>
        </w:rPr>
        <w:t xml:space="preserve">la finalité et la nature des Listes, la </w:t>
      </w:r>
      <w:r w:rsidR="0015450A">
        <w:rPr>
          <w:lang w:val="fr-FR"/>
        </w:rPr>
        <w:t>durée</w:t>
      </w:r>
      <w:r>
        <w:rPr>
          <w:lang w:val="fr-FR"/>
        </w:rPr>
        <w:t xml:space="preserve"> de l</w:t>
      </w:r>
      <w:r w:rsidR="00F36C26">
        <w:rPr>
          <w:lang w:val="fr-FR"/>
        </w:rPr>
        <w:t>’</w:t>
      </w:r>
      <w:r>
        <w:rPr>
          <w:lang w:val="fr-FR"/>
        </w:rPr>
        <w:t xml:space="preserve">inscription, </w:t>
      </w:r>
      <w:r w:rsidR="00873E78">
        <w:rPr>
          <w:lang w:val="fr-FR"/>
        </w:rPr>
        <w:t>avec</w:t>
      </w:r>
      <w:r w:rsidR="0015450A">
        <w:rPr>
          <w:lang w:val="fr-FR"/>
        </w:rPr>
        <w:t xml:space="preserve"> notamment </w:t>
      </w:r>
      <w:r>
        <w:rPr>
          <w:lang w:val="fr-FR"/>
        </w:rPr>
        <w:t>la possibilité d</w:t>
      </w:r>
      <w:r w:rsidR="00F36C26">
        <w:rPr>
          <w:lang w:val="fr-FR"/>
        </w:rPr>
        <w:t>’</w:t>
      </w:r>
      <w:r>
        <w:rPr>
          <w:lang w:val="fr-FR"/>
        </w:rPr>
        <w:t xml:space="preserve">intégrer une clause de </w:t>
      </w:r>
      <w:r w:rsidR="00873E78">
        <w:rPr>
          <w:lang w:val="fr-FR"/>
        </w:rPr>
        <w:t>durée limitée d</w:t>
      </w:r>
      <w:r w:rsidR="00F36C26">
        <w:rPr>
          <w:lang w:val="fr-FR"/>
        </w:rPr>
        <w:t>’</w:t>
      </w:r>
      <w:r w:rsidR="00873E78">
        <w:rPr>
          <w:lang w:val="fr-FR"/>
        </w:rPr>
        <w:t>inscription</w:t>
      </w:r>
      <w:r>
        <w:rPr>
          <w:lang w:val="fr-FR"/>
        </w:rPr>
        <w:t>, et la participation des communautés. À l</w:t>
      </w:r>
      <w:r w:rsidR="00F36C26">
        <w:rPr>
          <w:lang w:val="fr-FR"/>
        </w:rPr>
        <w:t>’</w:t>
      </w:r>
      <w:r>
        <w:rPr>
          <w:lang w:val="fr-FR"/>
        </w:rPr>
        <w:t>époque, plusieurs experts ont mis en garde contre le risque de politisation de la Liste représentative</w:t>
      </w:r>
      <w:r>
        <w:rPr>
          <w:rStyle w:val="Appelnotedebasdep"/>
        </w:rPr>
        <w:footnoteReference w:id="7"/>
      </w:r>
      <w:r>
        <w:rPr>
          <w:lang w:val="fr-FR"/>
        </w:rPr>
        <w:t>.</w:t>
      </w:r>
    </w:p>
    <w:p w14:paraId="598B4672" w14:textId="4C6B2DD3" w:rsidR="005E32DA" w:rsidRPr="009F06B8" w:rsidRDefault="00873E78" w:rsidP="005E32DA">
      <w:pPr>
        <w:pStyle w:val="COMPara"/>
        <w:ind w:left="567" w:hanging="567"/>
        <w:jc w:val="both"/>
        <w:rPr>
          <w:lang w:val="fr-FR"/>
        </w:rPr>
      </w:pPr>
      <w:r>
        <w:rPr>
          <w:lang w:val="fr-FR"/>
        </w:rPr>
        <w:t>Bien que les</w:t>
      </w:r>
      <w:r w:rsidR="005E32DA">
        <w:rPr>
          <w:lang w:val="fr-FR"/>
        </w:rPr>
        <w:t xml:space="preserve"> Directives opérationnelles </w:t>
      </w:r>
      <w:r>
        <w:rPr>
          <w:lang w:val="fr-FR"/>
        </w:rPr>
        <w:t>relatives à la</w:t>
      </w:r>
      <w:r w:rsidR="005E32DA">
        <w:rPr>
          <w:lang w:val="fr-FR"/>
        </w:rPr>
        <w:t xml:space="preserve"> procédure et </w:t>
      </w:r>
      <w:r>
        <w:rPr>
          <w:lang w:val="fr-FR"/>
        </w:rPr>
        <w:t xml:space="preserve">aux </w:t>
      </w:r>
      <w:r w:rsidR="005E32DA">
        <w:rPr>
          <w:lang w:val="fr-FR"/>
        </w:rPr>
        <w:t xml:space="preserve">formulaires de candidature </w:t>
      </w:r>
      <w:r>
        <w:rPr>
          <w:lang w:val="fr-FR"/>
        </w:rPr>
        <w:t xml:space="preserve">aient évolué </w:t>
      </w:r>
      <w:r w:rsidR="005E32DA">
        <w:rPr>
          <w:lang w:val="fr-FR"/>
        </w:rPr>
        <w:t>depuis le premier cycle d</w:t>
      </w:r>
      <w:r w:rsidR="00F36C26">
        <w:rPr>
          <w:lang w:val="fr-FR"/>
        </w:rPr>
        <w:t>’</w:t>
      </w:r>
      <w:r w:rsidR="005E32DA">
        <w:rPr>
          <w:lang w:val="fr-FR"/>
        </w:rPr>
        <w:t>inscription, les critères d</w:t>
      </w:r>
      <w:r w:rsidR="00F36C26">
        <w:rPr>
          <w:lang w:val="fr-FR"/>
        </w:rPr>
        <w:t>’</w:t>
      </w:r>
      <w:r w:rsidR="005E32DA">
        <w:rPr>
          <w:lang w:val="fr-FR"/>
        </w:rPr>
        <w:t xml:space="preserve">inscription </w:t>
      </w:r>
      <w:r w:rsidR="00867D51">
        <w:rPr>
          <w:lang w:val="fr-FR"/>
        </w:rPr>
        <w:t>à proprement parler</w:t>
      </w:r>
      <w:r w:rsidR="005E32DA">
        <w:rPr>
          <w:lang w:val="fr-FR"/>
        </w:rPr>
        <w:t xml:space="preserve"> n</w:t>
      </w:r>
      <w:r w:rsidR="00F36C26">
        <w:rPr>
          <w:lang w:val="fr-FR"/>
        </w:rPr>
        <w:t>’</w:t>
      </w:r>
      <w:r w:rsidR="005E32DA">
        <w:rPr>
          <w:lang w:val="fr-FR"/>
        </w:rPr>
        <w:t>ont fait l</w:t>
      </w:r>
      <w:r w:rsidR="00F36C26">
        <w:rPr>
          <w:lang w:val="fr-FR"/>
        </w:rPr>
        <w:t>’</w:t>
      </w:r>
      <w:r w:rsidR="005E32DA">
        <w:rPr>
          <w:lang w:val="fr-FR"/>
        </w:rPr>
        <w:t xml:space="preserve">objet que </w:t>
      </w:r>
      <w:r>
        <w:rPr>
          <w:lang w:val="fr-FR"/>
        </w:rPr>
        <w:t>d</w:t>
      </w:r>
      <w:r w:rsidR="00F36C26">
        <w:rPr>
          <w:lang w:val="fr-FR"/>
        </w:rPr>
        <w:t>’</w:t>
      </w:r>
      <w:r>
        <w:rPr>
          <w:lang w:val="fr-FR"/>
        </w:rPr>
        <w:t>amendements</w:t>
      </w:r>
      <w:r w:rsidR="005E32DA">
        <w:rPr>
          <w:lang w:val="fr-FR"/>
        </w:rPr>
        <w:t xml:space="preserve"> mineurs. L</w:t>
      </w:r>
      <w:r w:rsidR="00F36C26">
        <w:rPr>
          <w:lang w:val="fr-FR"/>
        </w:rPr>
        <w:t>’</w:t>
      </w:r>
      <w:r w:rsidR="005E32DA">
        <w:rPr>
          <w:lang w:val="fr-FR"/>
        </w:rPr>
        <w:t xml:space="preserve">amendement </w:t>
      </w:r>
      <w:r w:rsidR="005E32DA" w:rsidRPr="00B3563B">
        <w:rPr>
          <w:lang w:val="fr-FR"/>
        </w:rPr>
        <w:t xml:space="preserve">adopté </w:t>
      </w:r>
      <w:r w:rsidR="00A32C43" w:rsidRPr="00B3563B">
        <w:rPr>
          <w:lang w:val="fr-FR"/>
        </w:rPr>
        <w:t xml:space="preserve">lors </w:t>
      </w:r>
      <w:r w:rsidR="00A32C43" w:rsidRPr="00B3563B">
        <w:rPr>
          <w:lang w:val="fr-FR"/>
        </w:rPr>
        <w:lastRenderedPageBreak/>
        <w:t xml:space="preserve">de </w:t>
      </w:r>
      <w:r w:rsidR="005E32DA" w:rsidRPr="00B3563B">
        <w:rPr>
          <w:lang w:val="fr-FR"/>
        </w:rPr>
        <w:t>la troisième session de l</w:t>
      </w:r>
      <w:r w:rsidR="00F36C26">
        <w:rPr>
          <w:lang w:val="fr-FR"/>
        </w:rPr>
        <w:t>’</w:t>
      </w:r>
      <w:r w:rsidR="005E32DA" w:rsidRPr="00B3563B">
        <w:rPr>
          <w:lang w:val="fr-FR"/>
        </w:rPr>
        <w:t>Assemblée générale concernait le</w:t>
      </w:r>
      <w:r w:rsidRPr="004618C3">
        <w:rPr>
          <w:lang w:val="fr-FR"/>
        </w:rPr>
        <w:t>s</w:t>
      </w:r>
      <w:r w:rsidR="005E32DA" w:rsidRPr="00255DED">
        <w:rPr>
          <w:lang w:val="fr-FR"/>
        </w:rPr>
        <w:t xml:space="preserve"> critère</w:t>
      </w:r>
      <w:r w:rsidRPr="00255DED">
        <w:rPr>
          <w:lang w:val="fr-FR"/>
        </w:rPr>
        <w:t>s</w:t>
      </w:r>
      <w:r w:rsidR="005E32DA" w:rsidRPr="00255DED">
        <w:rPr>
          <w:lang w:val="fr-FR"/>
        </w:rPr>
        <w:t xml:space="preserve"> P.4 et P.5 </w:t>
      </w:r>
      <w:r w:rsidRPr="00255DED">
        <w:rPr>
          <w:lang w:val="fr-FR"/>
        </w:rPr>
        <w:t>relatifs</w:t>
      </w:r>
      <w:r>
        <w:rPr>
          <w:lang w:val="fr-FR"/>
        </w:rPr>
        <w:t xml:space="preserve"> à</w:t>
      </w:r>
      <w:r w:rsidR="005E32DA">
        <w:rPr>
          <w:lang w:val="fr-FR"/>
        </w:rPr>
        <w:t xml:space="preserve"> la sélection pour le Registre des bonnes pratiques de sauvegarde. </w:t>
      </w:r>
      <w:r>
        <w:rPr>
          <w:lang w:val="fr-FR"/>
        </w:rPr>
        <w:t>Cet</w:t>
      </w:r>
      <w:r w:rsidR="005E32DA">
        <w:rPr>
          <w:lang w:val="fr-FR"/>
        </w:rPr>
        <w:t xml:space="preserve"> amendement </w:t>
      </w:r>
      <w:r>
        <w:rPr>
          <w:lang w:val="fr-FR"/>
        </w:rPr>
        <w:t>avait pour objectif</w:t>
      </w:r>
      <w:r w:rsidR="005E32DA">
        <w:rPr>
          <w:lang w:val="fr-FR"/>
        </w:rPr>
        <w:t xml:space="preserve"> de limiter le Registre aux programmes, projets ou activités déjà </w:t>
      </w:r>
      <w:r>
        <w:rPr>
          <w:lang w:val="fr-FR"/>
        </w:rPr>
        <w:t>accomplis</w:t>
      </w:r>
      <w:r w:rsidR="005E32DA">
        <w:rPr>
          <w:lang w:val="fr-FR"/>
        </w:rPr>
        <w:t xml:space="preserve">, sans inclure ceux </w:t>
      </w:r>
      <w:r w:rsidR="00867D51">
        <w:rPr>
          <w:lang w:val="fr-FR"/>
        </w:rPr>
        <w:t xml:space="preserve">qui sont </w:t>
      </w:r>
      <w:r w:rsidR="005E32DA">
        <w:rPr>
          <w:lang w:val="fr-FR"/>
        </w:rPr>
        <w:t>encore en phase de planification</w:t>
      </w:r>
      <w:r w:rsidR="005E32DA">
        <w:rPr>
          <w:rStyle w:val="Appelnotedebasdep"/>
          <w:lang w:val="en-US"/>
        </w:rPr>
        <w:footnoteReference w:id="8"/>
      </w:r>
      <w:r w:rsidR="005E32DA">
        <w:rPr>
          <w:lang w:val="fr-FR"/>
        </w:rPr>
        <w:t>. L</w:t>
      </w:r>
      <w:r w:rsidR="00F36C26">
        <w:rPr>
          <w:lang w:val="fr-FR"/>
        </w:rPr>
        <w:t>’</w:t>
      </w:r>
      <w:r w:rsidR="005E32DA">
        <w:rPr>
          <w:lang w:val="fr-FR"/>
        </w:rPr>
        <w:t>autre amendement adopté par l</w:t>
      </w:r>
      <w:r w:rsidR="00F36C26">
        <w:rPr>
          <w:lang w:val="fr-FR"/>
        </w:rPr>
        <w:t>’</w:t>
      </w:r>
      <w:r w:rsidR="005E32DA">
        <w:rPr>
          <w:lang w:val="fr-FR"/>
        </w:rPr>
        <w:t>Assemblée générale lors de sa cinquième session concernait le critère U.3</w:t>
      </w:r>
      <w:r>
        <w:rPr>
          <w:lang w:val="fr-FR"/>
        </w:rPr>
        <w:t>,</w:t>
      </w:r>
      <w:r w:rsidR="005E32DA">
        <w:rPr>
          <w:lang w:val="fr-FR"/>
        </w:rPr>
        <w:t xml:space="preserve"> relatif à l</w:t>
      </w:r>
      <w:r w:rsidR="00F36C26">
        <w:rPr>
          <w:lang w:val="fr-FR"/>
        </w:rPr>
        <w:t>’</w:t>
      </w:r>
      <w:r w:rsidR="005E32DA">
        <w:rPr>
          <w:lang w:val="fr-FR"/>
        </w:rPr>
        <w:t>inscription sur la Liste de sauvegarde urgente, où l</w:t>
      </w:r>
      <w:r w:rsidR="00F36C26">
        <w:rPr>
          <w:lang w:val="fr-FR"/>
        </w:rPr>
        <w:t>’</w:t>
      </w:r>
      <w:r>
        <w:rPr>
          <w:lang w:val="fr-FR"/>
        </w:rPr>
        <w:t>expression « </w:t>
      </w:r>
      <w:r w:rsidR="005E32DA">
        <w:rPr>
          <w:lang w:val="fr-FR"/>
        </w:rPr>
        <w:t>mesures de sauvegarde</w:t>
      </w:r>
      <w:r>
        <w:rPr>
          <w:lang w:val="fr-FR"/>
        </w:rPr>
        <w:t> »</w:t>
      </w:r>
      <w:r w:rsidR="005E32DA">
        <w:rPr>
          <w:lang w:val="fr-FR"/>
        </w:rPr>
        <w:t xml:space="preserve"> a été remplacé par </w:t>
      </w:r>
      <w:r>
        <w:rPr>
          <w:lang w:val="fr-FR"/>
        </w:rPr>
        <w:t>« </w:t>
      </w:r>
      <w:r w:rsidR="005E32DA">
        <w:rPr>
          <w:lang w:val="fr-FR"/>
        </w:rPr>
        <w:t>plans de sauvegarde</w:t>
      </w:r>
      <w:r>
        <w:rPr>
          <w:lang w:val="fr-FR"/>
        </w:rPr>
        <w:t> »</w:t>
      </w:r>
      <w:r w:rsidR="005E32DA">
        <w:rPr>
          <w:lang w:val="fr-FR"/>
        </w:rPr>
        <w:t xml:space="preserve"> pour distinguer le plan de sauvegarde </w:t>
      </w:r>
      <w:r w:rsidR="00373359">
        <w:rPr>
          <w:lang w:val="fr-FR"/>
        </w:rPr>
        <w:t>tel qu</w:t>
      </w:r>
      <w:r w:rsidR="00F36C26">
        <w:rPr>
          <w:lang w:val="fr-FR"/>
        </w:rPr>
        <w:t>’</w:t>
      </w:r>
      <w:r w:rsidR="00373359">
        <w:rPr>
          <w:lang w:val="fr-FR"/>
        </w:rPr>
        <w:t xml:space="preserve">attendu pour </w:t>
      </w:r>
      <w:r w:rsidR="005E32DA">
        <w:rPr>
          <w:lang w:val="fr-FR"/>
        </w:rPr>
        <w:t>la Liste de sauvegarde urgente de l</w:t>
      </w:r>
      <w:r w:rsidR="00F36C26">
        <w:rPr>
          <w:lang w:val="fr-FR"/>
        </w:rPr>
        <w:t>’</w:t>
      </w:r>
      <w:r w:rsidR="005E32DA">
        <w:rPr>
          <w:lang w:val="fr-FR"/>
        </w:rPr>
        <w:t xml:space="preserve">ensemble de mesures de sauvegarde </w:t>
      </w:r>
      <w:r w:rsidR="00373359">
        <w:rPr>
          <w:lang w:val="fr-FR"/>
        </w:rPr>
        <w:t>telles qu</w:t>
      </w:r>
      <w:r w:rsidR="00F36C26">
        <w:rPr>
          <w:lang w:val="fr-FR"/>
        </w:rPr>
        <w:t>’</w:t>
      </w:r>
      <w:r w:rsidR="00373359">
        <w:rPr>
          <w:lang w:val="fr-FR"/>
        </w:rPr>
        <w:t>attendues</w:t>
      </w:r>
      <w:r w:rsidR="00EB496C">
        <w:rPr>
          <w:lang w:val="fr-FR"/>
        </w:rPr>
        <w:t xml:space="preserve"> </w:t>
      </w:r>
      <w:r w:rsidR="00373359">
        <w:rPr>
          <w:lang w:val="fr-FR"/>
        </w:rPr>
        <w:t xml:space="preserve">pour </w:t>
      </w:r>
      <w:r w:rsidR="005E32DA">
        <w:rPr>
          <w:lang w:val="fr-FR"/>
        </w:rPr>
        <w:t>la Liste représentative</w:t>
      </w:r>
      <w:r w:rsidR="005E32DA">
        <w:rPr>
          <w:rStyle w:val="Appelnotedebasdep"/>
        </w:rPr>
        <w:footnoteReference w:id="9"/>
      </w:r>
      <w:r w:rsidR="005E32DA">
        <w:rPr>
          <w:lang w:val="fr-FR"/>
        </w:rPr>
        <w:t>.</w:t>
      </w:r>
    </w:p>
    <w:p w14:paraId="4F1A5622" w14:textId="32BAD6A9" w:rsidR="005E32DA" w:rsidRPr="009F06B8" w:rsidRDefault="005E32DA">
      <w:pPr>
        <w:pStyle w:val="COMPara"/>
        <w:ind w:left="567" w:hanging="567"/>
        <w:jc w:val="both"/>
        <w:rPr>
          <w:lang w:val="fr-FR"/>
        </w:rPr>
      </w:pPr>
      <w:r>
        <w:rPr>
          <w:lang w:val="fr-FR"/>
        </w:rPr>
        <w:t xml:space="preserve">Au cours des </w:t>
      </w:r>
      <w:r w:rsidR="00C52DA7">
        <w:rPr>
          <w:lang w:val="fr-FR"/>
        </w:rPr>
        <w:t>10</w:t>
      </w:r>
      <w:r w:rsidR="00A529B5">
        <w:rPr>
          <w:lang w:val="fr-FR"/>
        </w:rPr>
        <w:t xml:space="preserve"> </w:t>
      </w:r>
      <w:r>
        <w:rPr>
          <w:lang w:val="fr-FR"/>
        </w:rPr>
        <w:t>derniers cycles, le Comité a inscrit 59 éléments sur la Liste de sauvegarde urgente, 429 éléments sur la Liste représentative</w:t>
      </w:r>
      <w:r w:rsidR="00EB496C">
        <w:rPr>
          <w:lang w:val="fr-FR"/>
        </w:rPr>
        <w:t xml:space="preserve">, </w:t>
      </w:r>
      <w:r w:rsidR="00373368">
        <w:rPr>
          <w:lang w:val="fr-FR"/>
        </w:rPr>
        <w:t>et</w:t>
      </w:r>
      <w:r w:rsidR="00EB496C">
        <w:rPr>
          <w:lang w:val="fr-FR"/>
        </w:rPr>
        <w:t xml:space="preserve"> </w:t>
      </w:r>
      <w:r>
        <w:rPr>
          <w:lang w:val="fr-FR"/>
        </w:rPr>
        <w:t xml:space="preserve">20 programmes, projets ou activités ont été </w:t>
      </w:r>
      <w:r w:rsidR="00C52DA7">
        <w:rPr>
          <w:lang w:val="fr-FR"/>
        </w:rPr>
        <w:t xml:space="preserve">inclus </w:t>
      </w:r>
      <w:r>
        <w:rPr>
          <w:lang w:val="fr-FR"/>
        </w:rPr>
        <w:t>au Registre des bonnes pratiques de sauvegarde. Il est indéniable que les mécanismes d</w:t>
      </w:r>
      <w:r w:rsidR="00F36C26">
        <w:rPr>
          <w:lang w:val="fr-FR"/>
        </w:rPr>
        <w:t>’</w:t>
      </w:r>
      <w:r>
        <w:rPr>
          <w:lang w:val="fr-FR"/>
        </w:rPr>
        <w:t>inscription</w:t>
      </w:r>
      <w:r w:rsidR="00EB496C">
        <w:rPr>
          <w:lang w:val="fr-FR"/>
        </w:rPr>
        <w:t xml:space="preserve"> sur les listes</w:t>
      </w:r>
      <w:r>
        <w:rPr>
          <w:lang w:val="fr-FR"/>
        </w:rPr>
        <w:t xml:space="preserve">, et plus particulièrement </w:t>
      </w:r>
      <w:r w:rsidR="00EB496C">
        <w:rPr>
          <w:lang w:val="fr-FR"/>
        </w:rPr>
        <w:t xml:space="preserve">sur </w:t>
      </w:r>
      <w:r>
        <w:rPr>
          <w:lang w:val="fr-FR"/>
        </w:rPr>
        <w:t xml:space="preserve">la Liste représentative, </w:t>
      </w:r>
      <w:r w:rsidR="005811EF">
        <w:rPr>
          <w:lang w:val="fr-FR"/>
        </w:rPr>
        <w:t>attirent</w:t>
      </w:r>
      <w:r w:rsidR="00EB496C">
        <w:rPr>
          <w:lang w:val="fr-FR"/>
        </w:rPr>
        <w:t xml:space="preserve"> </w:t>
      </w:r>
      <w:r w:rsidR="005811EF">
        <w:rPr>
          <w:lang w:val="fr-FR"/>
        </w:rPr>
        <w:t xml:space="preserve">fortement </w:t>
      </w:r>
      <w:r w:rsidR="00EB496C">
        <w:rPr>
          <w:lang w:val="fr-FR"/>
        </w:rPr>
        <w:t>l</w:t>
      </w:r>
      <w:r w:rsidR="00F36C26">
        <w:rPr>
          <w:lang w:val="fr-FR"/>
        </w:rPr>
        <w:t>’</w:t>
      </w:r>
      <w:r>
        <w:rPr>
          <w:lang w:val="fr-FR"/>
        </w:rPr>
        <w:t xml:space="preserve">attention des États parties, des communautés et du public en général, </w:t>
      </w:r>
      <w:r w:rsidR="00EB496C">
        <w:rPr>
          <w:lang w:val="fr-FR"/>
        </w:rPr>
        <w:t>ce qui contribue de manière positive à</w:t>
      </w:r>
      <w:r>
        <w:rPr>
          <w:lang w:val="fr-FR"/>
        </w:rPr>
        <w:t xml:space="preserve"> la visibilité de la Convention et du patrimoine culturel immatériel. Au fil des années, les organes d</w:t>
      </w:r>
      <w:r w:rsidR="00F36C26">
        <w:rPr>
          <w:lang w:val="fr-FR"/>
        </w:rPr>
        <w:t>’</w:t>
      </w:r>
      <w:r>
        <w:rPr>
          <w:lang w:val="fr-FR"/>
        </w:rPr>
        <w:t>évaluation et le Comité ont toutefois été confrontés à des difficultés récurrentes liées à la procédure d</w:t>
      </w:r>
      <w:r w:rsidR="00F36C26">
        <w:rPr>
          <w:lang w:val="fr-FR"/>
        </w:rPr>
        <w:t>’</w:t>
      </w:r>
      <w:r>
        <w:rPr>
          <w:lang w:val="fr-FR"/>
        </w:rPr>
        <w:t xml:space="preserve">inscription, aux critères et à des </w:t>
      </w:r>
      <w:r w:rsidR="00EB496C">
        <w:rPr>
          <w:lang w:val="fr-FR"/>
        </w:rPr>
        <w:t>questions</w:t>
      </w:r>
      <w:r>
        <w:rPr>
          <w:lang w:val="fr-FR"/>
        </w:rPr>
        <w:t xml:space="preserve"> fondamenta</w:t>
      </w:r>
      <w:r w:rsidR="00EB496C">
        <w:rPr>
          <w:lang w:val="fr-FR"/>
        </w:rPr>
        <w:t>les</w:t>
      </w:r>
      <w:r>
        <w:rPr>
          <w:lang w:val="fr-FR"/>
        </w:rPr>
        <w:t xml:space="preserve"> </w:t>
      </w:r>
      <w:r w:rsidR="00B72A70">
        <w:rPr>
          <w:lang w:val="fr-FR"/>
        </w:rPr>
        <w:t xml:space="preserve">liées aux </w:t>
      </w:r>
      <w:r>
        <w:rPr>
          <w:lang w:val="fr-FR"/>
        </w:rPr>
        <w:t>mécanismes d</w:t>
      </w:r>
      <w:r w:rsidR="00F36C26">
        <w:rPr>
          <w:lang w:val="fr-FR"/>
        </w:rPr>
        <w:t>’</w:t>
      </w:r>
      <w:r>
        <w:rPr>
          <w:lang w:val="fr-FR"/>
        </w:rPr>
        <w:t>inscription</w:t>
      </w:r>
      <w:r w:rsidR="00EB496C">
        <w:rPr>
          <w:lang w:val="fr-FR"/>
        </w:rPr>
        <w:t xml:space="preserve"> sur les listes</w:t>
      </w:r>
      <w:r>
        <w:rPr>
          <w:lang w:val="fr-FR"/>
        </w:rPr>
        <w:t xml:space="preserve">. Il est intéressant de noter que bon nombre de ces problèmes ont déjà </w:t>
      </w:r>
      <w:r w:rsidR="00EB496C">
        <w:rPr>
          <w:lang w:val="fr-FR"/>
        </w:rPr>
        <w:t>été</w:t>
      </w:r>
      <w:r>
        <w:rPr>
          <w:lang w:val="fr-FR"/>
        </w:rPr>
        <w:t xml:space="preserve"> </w:t>
      </w:r>
      <w:r w:rsidR="00EB496C">
        <w:rPr>
          <w:lang w:val="fr-FR"/>
        </w:rPr>
        <w:t xml:space="preserve">longuement débattus </w:t>
      </w:r>
      <w:r>
        <w:rPr>
          <w:lang w:val="fr-FR"/>
        </w:rPr>
        <w:t>à l</w:t>
      </w:r>
      <w:r w:rsidR="00F36C26">
        <w:rPr>
          <w:lang w:val="fr-FR"/>
        </w:rPr>
        <w:t>’</w:t>
      </w:r>
      <w:r>
        <w:rPr>
          <w:lang w:val="fr-FR"/>
        </w:rPr>
        <w:t>époque de l</w:t>
      </w:r>
      <w:r w:rsidR="00F36C26">
        <w:rPr>
          <w:lang w:val="fr-FR"/>
        </w:rPr>
        <w:t>’</w:t>
      </w:r>
      <w:r>
        <w:rPr>
          <w:lang w:val="fr-FR"/>
        </w:rPr>
        <w:t>élaboration de la Convention et des critères d</w:t>
      </w:r>
      <w:r w:rsidR="00F36C26">
        <w:rPr>
          <w:lang w:val="fr-FR"/>
        </w:rPr>
        <w:t>’</w:t>
      </w:r>
      <w:r>
        <w:rPr>
          <w:lang w:val="fr-FR"/>
        </w:rPr>
        <w:t>inscription</w:t>
      </w:r>
      <w:r w:rsidR="00EB496C">
        <w:rPr>
          <w:lang w:val="fr-FR"/>
        </w:rPr>
        <w:t xml:space="preserve"> sur les listes</w:t>
      </w:r>
      <w:r>
        <w:rPr>
          <w:lang w:val="fr-FR"/>
        </w:rPr>
        <w:t>.</w:t>
      </w:r>
    </w:p>
    <w:p w14:paraId="40674492" w14:textId="44C9D787" w:rsidR="005E32DA" w:rsidRPr="00B72A70" w:rsidRDefault="005E32DA" w:rsidP="005E32DA">
      <w:pPr>
        <w:pStyle w:val="Titre4"/>
        <w:spacing w:before="240"/>
        <w:ind w:hanging="578"/>
        <w:rPr>
          <w:lang w:val="fr-FR"/>
        </w:rPr>
      </w:pPr>
      <w:r>
        <w:rPr>
          <w:lang w:val="fr-FR"/>
        </w:rPr>
        <w:t>Difficultés liées aux mécanismes d</w:t>
      </w:r>
      <w:r w:rsidR="00F36C26">
        <w:rPr>
          <w:lang w:val="fr-FR"/>
        </w:rPr>
        <w:t>’</w:t>
      </w:r>
      <w:r>
        <w:rPr>
          <w:lang w:val="fr-FR"/>
        </w:rPr>
        <w:t>inscription</w:t>
      </w:r>
      <w:r w:rsidR="00B72A70">
        <w:rPr>
          <w:lang w:val="fr-FR"/>
        </w:rPr>
        <w:t xml:space="preserve"> sur les listes</w:t>
      </w:r>
    </w:p>
    <w:p w14:paraId="54BE764C" w14:textId="0A8505BE" w:rsidR="00FE596F" w:rsidRPr="009D394F" w:rsidRDefault="005E32DA" w:rsidP="00FE596F">
      <w:pPr>
        <w:pStyle w:val="COMPara"/>
        <w:spacing w:after="360"/>
        <w:ind w:left="567" w:hanging="567"/>
        <w:jc w:val="both"/>
        <w:rPr>
          <w:lang w:val="fr-FR"/>
        </w:rPr>
      </w:pPr>
      <w:r w:rsidRPr="00374986">
        <w:rPr>
          <w:lang w:val="fr-FR"/>
        </w:rPr>
        <w:t>Les difficultés liées aux mécanismes d</w:t>
      </w:r>
      <w:r w:rsidR="00F36C26">
        <w:rPr>
          <w:lang w:val="fr-FR"/>
        </w:rPr>
        <w:t>’</w:t>
      </w:r>
      <w:r w:rsidRPr="00374986">
        <w:rPr>
          <w:lang w:val="fr-FR"/>
        </w:rPr>
        <w:t xml:space="preserve">inscription </w:t>
      </w:r>
      <w:r w:rsidR="00B72A70" w:rsidRPr="00374986">
        <w:rPr>
          <w:lang w:val="fr-FR"/>
        </w:rPr>
        <w:t xml:space="preserve">sur les listes </w:t>
      </w:r>
      <w:r w:rsidRPr="00374986">
        <w:rPr>
          <w:lang w:val="fr-FR"/>
        </w:rPr>
        <w:t xml:space="preserve">de la Convention sont nombreuses et complexes. En les examinant, il devient vite évident que la plupart des problèmes sont </w:t>
      </w:r>
      <w:r w:rsidR="00B35B76" w:rsidRPr="00374986">
        <w:rPr>
          <w:lang w:val="fr-FR"/>
        </w:rPr>
        <w:t xml:space="preserve">indissociables les uns des autres </w:t>
      </w:r>
      <w:r w:rsidRPr="00374986">
        <w:rPr>
          <w:lang w:val="fr-FR"/>
        </w:rPr>
        <w:t xml:space="preserve">et ne peuvent être considérés indépendamment. Pour les besoins du processus de réflexion </w:t>
      </w:r>
      <w:r w:rsidR="004B24C2">
        <w:rPr>
          <w:lang w:val="fr-FR"/>
        </w:rPr>
        <w:t>en cours</w:t>
      </w:r>
      <w:r w:rsidRPr="00374986">
        <w:rPr>
          <w:lang w:val="fr-FR"/>
        </w:rPr>
        <w:t xml:space="preserve">, et notamment </w:t>
      </w:r>
      <w:r w:rsidR="00B72A70" w:rsidRPr="00374986">
        <w:rPr>
          <w:lang w:val="fr-FR"/>
        </w:rPr>
        <w:t>en vue d</w:t>
      </w:r>
      <w:r w:rsidR="00F36C26">
        <w:rPr>
          <w:lang w:val="fr-FR"/>
        </w:rPr>
        <w:t>’</w:t>
      </w:r>
      <w:r w:rsidR="004B24C2">
        <w:rPr>
          <w:lang w:val="fr-FR"/>
        </w:rPr>
        <w:t xml:space="preserve">aider à la préparation de </w:t>
      </w:r>
      <w:r w:rsidRPr="00374986">
        <w:rPr>
          <w:lang w:val="fr-FR"/>
        </w:rPr>
        <w:t>la réunion d</w:t>
      </w:r>
      <w:r w:rsidR="00F36C26">
        <w:rPr>
          <w:lang w:val="fr-FR"/>
        </w:rPr>
        <w:t>’</w:t>
      </w:r>
      <w:r w:rsidRPr="00374986">
        <w:rPr>
          <w:lang w:val="fr-FR"/>
        </w:rPr>
        <w:t>experts</w:t>
      </w:r>
      <w:r w:rsidR="00B72A70" w:rsidRPr="00374986">
        <w:rPr>
          <w:lang w:val="fr-FR"/>
        </w:rPr>
        <w:t xml:space="preserve"> </w:t>
      </w:r>
      <w:r w:rsidR="004B24C2">
        <w:rPr>
          <w:lang w:val="fr-FR"/>
        </w:rPr>
        <w:t>à venir et d</w:t>
      </w:r>
      <w:r w:rsidR="00F36C26">
        <w:rPr>
          <w:lang w:val="fr-FR"/>
        </w:rPr>
        <w:t>’</w:t>
      </w:r>
      <w:r w:rsidRPr="00374986">
        <w:rPr>
          <w:lang w:val="fr-FR"/>
        </w:rPr>
        <w:t>une autre réunion du groupe de travail intergouvernemental à composition non limitée, il est proposé d</w:t>
      </w:r>
      <w:r w:rsidR="00F36C26">
        <w:rPr>
          <w:lang w:val="fr-FR"/>
        </w:rPr>
        <w:t>’</w:t>
      </w:r>
      <w:r w:rsidRPr="00374986">
        <w:rPr>
          <w:lang w:val="fr-FR"/>
        </w:rPr>
        <w:t>utiliser la liste de difficultés suivante,</w:t>
      </w:r>
      <w:r w:rsidR="004B24C2">
        <w:rPr>
          <w:lang w:val="fr-FR"/>
        </w:rPr>
        <w:t xml:space="preserve"> </w:t>
      </w:r>
      <w:r w:rsidR="004B24C2" w:rsidRPr="00374986">
        <w:rPr>
          <w:lang w:val="fr-FR"/>
        </w:rPr>
        <w:t>non exhaustive</w:t>
      </w:r>
      <w:r w:rsidR="004B24C2">
        <w:rPr>
          <w:lang w:val="fr-FR"/>
        </w:rPr>
        <w:t>, qui peut être divisée en quatre catégories</w:t>
      </w:r>
      <w:r w:rsidR="00B72A70" w:rsidRPr="00374986">
        <w:rPr>
          <w:lang w:val="fr-FR"/>
        </w:rPr>
        <w:t> </w:t>
      </w:r>
      <w:r w:rsidRPr="009D394F">
        <w:rPr>
          <w:lang w:val="fr-FR"/>
        </w:rPr>
        <w:t>: (</w:t>
      </w:r>
      <w:r w:rsidR="00374986" w:rsidRPr="009D394F">
        <w:rPr>
          <w:lang w:val="fr-FR"/>
        </w:rPr>
        <w:t>A</w:t>
      </w:r>
      <w:r w:rsidRPr="009D394F">
        <w:rPr>
          <w:lang w:val="fr-FR"/>
        </w:rPr>
        <w:t xml:space="preserve">) approche globale des mécanismes </w:t>
      </w:r>
      <w:r w:rsidR="00867D51" w:rsidRPr="009D394F">
        <w:rPr>
          <w:lang w:val="fr-FR"/>
        </w:rPr>
        <w:t>liés à l</w:t>
      </w:r>
      <w:r w:rsidR="00F36C26">
        <w:rPr>
          <w:lang w:val="fr-FR"/>
        </w:rPr>
        <w:t>’</w:t>
      </w:r>
      <w:r w:rsidRPr="009D394F">
        <w:rPr>
          <w:lang w:val="fr-FR"/>
        </w:rPr>
        <w:t>inscription</w:t>
      </w:r>
      <w:r w:rsidR="00B35B76" w:rsidRPr="009D394F">
        <w:rPr>
          <w:lang w:val="fr-FR"/>
        </w:rPr>
        <w:t xml:space="preserve"> sur les listes</w:t>
      </w:r>
      <w:r w:rsidRPr="009D394F">
        <w:rPr>
          <w:lang w:val="fr-FR"/>
        </w:rPr>
        <w:t> ; (</w:t>
      </w:r>
      <w:r w:rsidR="00374986" w:rsidRPr="009D394F">
        <w:rPr>
          <w:lang w:val="fr-FR"/>
        </w:rPr>
        <w:t>B</w:t>
      </w:r>
      <w:r w:rsidRPr="009D394F">
        <w:rPr>
          <w:lang w:val="fr-FR"/>
        </w:rPr>
        <w:t>) problèmes liés aux critères</w:t>
      </w:r>
      <w:r w:rsidR="00374986" w:rsidRPr="009D394F">
        <w:rPr>
          <w:lang w:val="fr-FR"/>
        </w:rPr>
        <w:t xml:space="preserve"> d</w:t>
      </w:r>
      <w:r w:rsidR="00F36C26">
        <w:rPr>
          <w:lang w:val="fr-FR"/>
        </w:rPr>
        <w:t>’</w:t>
      </w:r>
      <w:r w:rsidR="00374986" w:rsidRPr="009D394F">
        <w:rPr>
          <w:lang w:val="fr-FR"/>
        </w:rPr>
        <w:t>inscription</w:t>
      </w:r>
      <w:r w:rsidRPr="009D394F">
        <w:rPr>
          <w:lang w:val="fr-FR"/>
        </w:rPr>
        <w:t> ; (</w:t>
      </w:r>
      <w:r w:rsidR="00374986" w:rsidRPr="009D394F">
        <w:rPr>
          <w:lang w:val="fr-FR"/>
        </w:rPr>
        <w:t>C</w:t>
      </w:r>
      <w:r w:rsidRPr="009D394F">
        <w:rPr>
          <w:lang w:val="fr-FR"/>
        </w:rPr>
        <w:t xml:space="preserve">) </w:t>
      </w:r>
      <w:r w:rsidR="00374986" w:rsidRPr="009D394F">
        <w:rPr>
          <w:lang w:val="fr-FR"/>
        </w:rPr>
        <w:t xml:space="preserve">problèmes </w:t>
      </w:r>
      <w:r w:rsidR="0024285B">
        <w:rPr>
          <w:lang w:val="fr-FR"/>
        </w:rPr>
        <w:t>relatifs</w:t>
      </w:r>
      <w:r w:rsidR="00374986" w:rsidRPr="009D394F">
        <w:rPr>
          <w:lang w:val="fr-FR"/>
        </w:rPr>
        <w:t xml:space="preserve"> au suivi des éléments inscrits</w:t>
      </w:r>
      <w:r w:rsidRPr="009D394F">
        <w:rPr>
          <w:lang w:val="fr-FR"/>
        </w:rPr>
        <w:t> ; (</w:t>
      </w:r>
      <w:r w:rsidR="00374986" w:rsidRPr="009D394F">
        <w:rPr>
          <w:lang w:val="fr-FR"/>
        </w:rPr>
        <w:t>D</w:t>
      </w:r>
      <w:r w:rsidRPr="009D394F">
        <w:rPr>
          <w:lang w:val="fr-FR"/>
        </w:rPr>
        <w:t>) méthodologie d</w:t>
      </w:r>
      <w:r w:rsidR="00F36C26">
        <w:rPr>
          <w:lang w:val="fr-FR"/>
        </w:rPr>
        <w:t>’</w:t>
      </w:r>
      <w:r w:rsidRPr="009D394F">
        <w:rPr>
          <w:lang w:val="fr-FR"/>
        </w:rPr>
        <w:t>évaluation et d</w:t>
      </w:r>
      <w:r w:rsidR="00F36C26">
        <w:rPr>
          <w:lang w:val="fr-FR"/>
        </w:rPr>
        <w:t>’</w:t>
      </w:r>
      <w:r w:rsidRPr="009D394F">
        <w:rPr>
          <w:lang w:val="fr-FR"/>
        </w:rPr>
        <w:t>examen des candidatures</w:t>
      </w:r>
      <w:r w:rsidR="00374986" w:rsidRPr="009D394F">
        <w:rPr>
          <w:lang w:val="fr-FR"/>
        </w:rPr>
        <w:t>.</w:t>
      </w:r>
    </w:p>
    <w:tbl>
      <w:tblPr>
        <w:tblStyle w:val="Grilledutableau"/>
        <w:tblW w:w="0" w:type="auto"/>
        <w:tblInd w:w="562" w:type="dxa"/>
        <w:tblLook w:val="04A0" w:firstRow="1" w:lastRow="0" w:firstColumn="1" w:lastColumn="0" w:noHBand="0" w:noVBand="1"/>
      </w:tblPr>
      <w:tblGrid>
        <w:gridCol w:w="9066"/>
      </w:tblGrid>
      <w:tr w:rsidR="00FE596F" w:rsidRPr="00FE596F" w14:paraId="3B4FABB6" w14:textId="77777777" w:rsidTr="00F124C1">
        <w:tc>
          <w:tcPr>
            <w:tcW w:w="9066" w:type="dxa"/>
            <w:shd w:val="clear" w:color="auto" w:fill="F2F2F2" w:themeFill="background1" w:themeFillShade="F2"/>
          </w:tcPr>
          <w:p w14:paraId="29CD129C" w14:textId="5737C5E0" w:rsidR="00FE596F" w:rsidRPr="009D394F" w:rsidRDefault="00FE596F" w:rsidP="00563117">
            <w:pPr>
              <w:pStyle w:val="COMPara"/>
              <w:keepNext/>
              <w:numPr>
                <w:ilvl w:val="0"/>
                <w:numId w:val="0"/>
              </w:numPr>
              <w:spacing w:before="120"/>
              <w:jc w:val="both"/>
              <w:rPr>
                <w:lang w:val="fr-FR"/>
              </w:rPr>
            </w:pPr>
            <w:r w:rsidRPr="009D394F">
              <w:rPr>
                <w:lang w:val="fr-FR"/>
              </w:rPr>
              <w:t>A.</w:t>
            </w:r>
            <w:r w:rsidRPr="009D394F">
              <w:rPr>
                <w:lang w:val="fr-FR"/>
              </w:rPr>
              <w:tab/>
            </w:r>
            <w:r>
              <w:rPr>
                <w:lang w:val="fr-FR"/>
              </w:rPr>
              <w:t>Approche globale des mécanismes liés à l</w:t>
            </w:r>
            <w:r w:rsidR="00F36C26">
              <w:rPr>
                <w:lang w:val="fr-FR"/>
              </w:rPr>
              <w:t>’</w:t>
            </w:r>
            <w:r>
              <w:rPr>
                <w:lang w:val="fr-FR"/>
              </w:rPr>
              <w:t>inscription sur les listes</w:t>
            </w:r>
          </w:p>
        </w:tc>
      </w:tr>
    </w:tbl>
    <w:p w14:paraId="7A7B3211" w14:textId="3B79F831" w:rsidR="005E32DA" w:rsidRPr="009F06B8" w:rsidRDefault="005E32DA" w:rsidP="000568CF">
      <w:pPr>
        <w:pStyle w:val="COMPara"/>
        <w:spacing w:before="120"/>
        <w:ind w:left="567" w:hanging="567"/>
        <w:jc w:val="both"/>
        <w:rPr>
          <w:lang w:val="fr-FR"/>
        </w:rPr>
      </w:pPr>
      <w:r w:rsidRPr="004A7593">
        <w:rPr>
          <w:b/>
          <w:lang w:val="fr-FR"/>
        </w:rPr>
        <w:t>Préférence pour la Liste représentative :</w:t>
      </w:r>
      <w:r>
        <w:rPr>
          <w:lang w:val="fr-FR"/>
        </w:rPr>
        <w:t xml:space="preserve"> Le nombre d</w:t>
      </w:r>
      <w:r w:rsidR="00F36C26">
        <w:rPr>
          <w:lang w:val="fr-FR"/>
        </w:rPr>
        <w:t>’</w:t>
      </w:r>
      <w:r>
        <w:rPr>
          <w:lang w:val="fr-FR"/>
        </w:rPr>
        <w:t>éléments inscrits sur les Listes et le Registre témoigne d</w:t>
      </w:r>
      <w:r w:rsidR="00F36C26">
        <w:rPr>
          <w:lang w:val="fr-FR"/>
        </w:rPr>
        <w:t>’</w:t>
      </w:r>
      <w:r>
        <w:rPr>
          <w:lang w:val="fr-FR"/>
        </w:rPr>
        <w:t xml:space="preserve">une nette préférence des États parties pour la Liste représentative </w:t>
      </w:r>
      <w:r w:rsidR="00B35B76">
        <w:rPr>
          <w:lang w:val="fr-FR"/>
        </w:rPr>
        <w:t xml:space="preserve">par rapport aux </w:t>
      </w:r>
      <w:r>
        <w:rPr>
          <w:lang w:val="fr-FR"/>
        </w:rPr>
        <w:t xml:space="preserve">deux autres mécanismes. Ayant pris note de cette </w:t>
      </w:r>
      <w:r w:rsidR="00530071">
        <w:rPr>
          <w:lang w:val="fr-FR"/>
        </w:rPr>
        <w:t>tendance</w:t>
      </w:r>
      <w:r>
        <w:rPr>
          <w:lang w:val="fr-FR"/>
        </w:rPr>
        <w:t>, l</w:t>
      </w:r>
      <w:r w:rsidR="00F36C26">
        <w:rPr>
          <w:lang w:val="fr-FR"/>
        </w:rPr>
        <w:t>’</w:t>
      </w:r>
      <w:r>
        <w:rPr>
          <w:lang w:val="fr-FR"/>
        </w:rPr>
        <w:t>Organe d</w:t>
      </w:r>
      <w:r w:rsidR="00F36C26">
        <w:rPr>
          <w:lang w:val="fr-FR"/>
        </w:rPr>
        <w:t>’</w:t>
      </w:r>
      <w:r>
        <w:rPr>
          <w:lang w:val="fr-FR"/>
        </w:rPr>
        <w:t xml:space="preserve">évaluation a regretté la sous-utilisation de la Liste de sauvegarde urgente et du Registre des bonnes pratiques de sauvegarde dans </w:t>
      </w:r>
      <w:r w:rsidR="00B35B76">
        <w:rPr>
          <w:lang w:val="fr-FR"/>
        </w:rPr>
        <w:t>ses</w:t>
      </w:r>
      <w:r>
        <w:rPr>
          <w:lang w:val="fr-FR"/>
        </w:rPr>
        <w:t xml:space="preserve"> rapports en 2015 et 2018</w:t>
      </w:r>
      <w:r>
        <w:rPr>
          <w:rStyle w:val="Appelnotedebasdep"/>
        </w:rPr>
        <w:footnoteReference w:id="10"/>
      </w:r>
      <w:r>
        <w:rPr>
          <w:lang w:val="fr-FR"/>
        </w:rPr>
        <w:t>. La survalorisation de la Liste représentative a également été observée par le Service d</w:t>
      </w:r>
      <w:r w:rsidR="00F36C26">
        <w:rPr>
          <w:lang w:val="fr-FR"/>
        </w:rPr>
        <w:t>’</w:t>
      </w:r>
      <w:r>
        <w:rPr>
          <w:lang w:val="fr-FR"/>
        </w:rPr>
        <w:t>évaluation et d</w:t>
      </w:r>
      <w:r w:rsidR="00F36C26">
        <w:rPr>
          <w:lang w:val="fr-FR"/>
        </w:rPr>
        <w:t>’</w:t>
      </w:r>
      <w:r>
        <w:rPr>
          <w:lang w:val="fr-FR"/>
        </w:rPr>
        <w:t>audit de l</w:t>
      </w:r>
      <w:r w:rsidR="00F36C26">
        <w:rPr>
          <w:lang w:val="fr-FR"/>
        </w:rPr>
        <w:t>’</w:t>
      </w:r>
      <w:r>
        <w:rPr>
          <w:lang w:val="fr-FR"/>
        </w:rPr>
        <w:t>UNESCO (IOS) dans son Évaluation sur la Convention pour la sauvegarde du patrimoine culturel immatériel en 2013</w:t>
      </w:r>
      <w:r>
        <w:rPr>
          <w:rStyle w:val="Appelnotedebasdep"/>
        </w:rPr>
        <w:footnoteReference w:id="11"/>
      </w:r>
      <w:r>
        <w:rPr>
          <w:lang w:val="fr-FR"/>
        </w:rPr>
        <w:t xml:space="preserve">. Cette question devrait être </w:t>
      </w:r>
      <w:r w:rsidR="00B551B4">
        <w:rPr>
          <w:lang w:val="fr-FR"/>
        </w:rPr>
        <w:t>abordée</w:t>
      </w:r>
      <w:r>
        <w:rPr>
          <w:lang w:val="fr-FR"/>
        </w:rPr>
        <w:t xml:space="preserve"> dans le </w:t>
      </w:r>
      <w:r w:rsidR="00B551B4">
        <w:rPr>
          <w:lang w:val="fr-FR"/>
        </w:rPr>
        <w:t xml:space="preserve">cadre du </w:t>
      </w:r>
      <w:r>
        <w:rPr>
          <w:lang w:val="fr-FR"/>
        </w:rPr>
        <w:t xml:space="preserve">processus de réflexion en cours </w:t>
      </w:r>
      <w:r w:rsidR="00B551B4">
        <w:rPr>
          <w:lang w:val="fr-FR"/>
        </w:rPr>
        <w:t>afin de</w:t>
      </w:r>
      <w:r>
        <w:rPr>
          <w:lang w:val="fr-FR"/>
        </w:rPr>
        <w:t xml:space="preserve"> clarifier l</w:t>
      </w:r>
      <w:r w:rsidR="00B551B4">
        <w:rPr>
          <w:lang w:val="fr-FR"/>
        </w:rPr>
        <w:t xml:space="preserve">es attentes </w:t>
      </w:r>
      <w:r w:rsidR="00530071">
        <w:rPr>
          <w:lang w:val="fr-FR"/>
        </w:rPr>
        <w:t>des États parties de la Convention</w:t>
      </w:r>
      <w:r w:rsidR="00B551B4">
        <w:rPr>
          <w:lang w:val="fr-FR"/>
        </w:rPr>
        <w:t xml:space="preserve"> pour l</w:t>
      </w:r>
      <w:r w:rsidR="00F36C26">
        <w:rPr>
          <w:lang w:val="fr-FR"/>
        </w:rPr>
        <w:t>’</w:t>
      </w:r>
      <w:r w:rsidR="00B551B4">
        <w:rPr>
          <w:lang w:val="fr-FR"/>
        </w:rPr>
        <w:t>avenir</w:t>
      </w:r>
      <w:r>
        <w:rPr>
          <w:rStyle w:val="Appelnotedebasdep"/>
        </w:rPr>
        <w:footnoteReference w:id="12"/>
      </w:r>
      <w:r>
        <w:rPr>
          <w:lang w:val="fr-FR"/>
        </w:rPr>
        <w:t xml:space="preserve">. Par exemple, les Listes et le Registre pourraient suivre un processus de sélection basé sur des critères stricts et rigoureux ou </w:t>
      </w:r>
      <w:r w:rsidR="00B551B4">
        <w:rPr>
          <w:lang w:val="fr-FR"/>
        </w:rPr>
        <w:t>adopter</w:t>
      </w:r>
      <w:r>
        <w:rPr>
          <w:lang w:val="fr-FR"/>
        </w:rPr>
        <w:t xml:space="preserve"> un système d</w:t>
      </w:r>
      <w:r w:rsidR="00F36C26">
        <w:rPr>
          <w:lang w:val="fr-FR"/>
        </w:rPr>
        <w:t>’</w:t>
      </w:r>
      <w:r>
        <w:rPr>
          <w:lang w:val="fr-FR"/>
        </w:rPr>
        <w:t>inscription</w:t>
      </w:r>
      <w:r w:rsidR="00B551B4">
        <w:rPr>
          <w:lang w:val="fr-FR"/>
        </w:rPr>
        <w:t xml:space="preserve"> sur les listes</w:t>
      </w:r>
      <w:r>
        <w:rPr>
          <w:lang w:val="fr-FR"/>
        </w:rPr>
        <w:t xml:space="preserve"> </w:t>
      </w:r>
      <w:r w:rsidR="00083F79">
        <w:rPr>
          <w:lang w:val="fr-FR"/>
        </w:rPr>
        <w:t xml:space="preserve">inclusif, </w:t>
      </w:r>
      <w:r w:rsidR="003238A3">
        <w:rPr>
          <w:lang w:val="fr-FR"/>
        </w:rPr>
        <w:t xml:space="preserve">fluide et </w:t>
      </w:r>
      <w:r>
        <w:rPr>
          <w:lang w:val="fr-FR"/>
        </w:rPr>
        <w:t xml:space="preserve">plus ouvert. La Liste représentative, en particulier, pourrait mieux servir </w:t>
      </w:r>
      <w:r w:rsidR="003238A3">
        <w:rPr>
          <w:lang w:val="fr-FR"/>
        </w:rPr>
        <w:t>ses</w:t>
      </w:r>
      <w:r>
        <w:rPr>
          <w:lang w:val="fr-FR"/>
        </w:rPr>
        <w:t xml:space="preserve"> objectif</w:t>
      </w:r>
      <w:r w:rsidR="003238A3">
        <w:rPr>
          <w:lang w:val="fr-FR"/>
        </w:rPr>
        <w:t>s</w:t>
      </w:r>
      <w:r>
        <w:rPr>
          <w:lang w:val="fr-FR"/>
        </w:rPr>
        <w:t xml:space="preserve"> </w:t>
      </w:r>
      <w:r w:rsidR="003238A3">
        <w:rPr>
          <w:lang w:val="fr-FR"/>
        </w:rPr>
        <w:t xml:space="preserve">si elle </w:t>
      </w:r>
      <w:r w:rsidR="00867D51">
        <w:rPr>
          <w:lang w:val="fr-FR"/>
        </w:rPr>
        <w:t xml:space="preserve">était associée </w:t>
      </w:r>
      <w:r w:rsidR="003238A3">
        <w:rPr>
          <w:lang w:val="fr-FR"/>
        </w:rPr>
        <w:t>à</w:t>
      </w:r>
      <w:r>
        <w:rPr>
          <w:lang w:val="fr-FR"/>
        </w:rPr>
        <w:t xml:space="preserve"> un système plus </w:t>
      </w:r>
      <w:r w:rsidR="00326398">
        <w:rPr>
          <w:lang w:val="fr-FR"/>
        </w:rPr>
        <w:t>inclusif</w:t>
      </w:r>
      <w:r>
        <w:rPr>
          <w:lang w:val="fr-FR"/>
        </w:rPr>
        <w:t xml:space="preserve">, évolutif et dynamique qui inclurait une </w:t>
      </w:r>
      <w:r w:rsidR="003238A3">
        <w:rPr>
          <w:lang w:val="fr-FR"/>
        </w:rPr>
        <w:lastRenderedPageBreak/>
        <w:t>« clause de durée limitée</w:t>
      </w:r>
      <w:r w:rsidR="00326398">
        <w:rPr>
          <w:lang w:val="fr-FR"/>
        </w:rPr>
        <w:t xml:space="preserve"> d</w:t>
      </w:r>
      <w:r w:rsidR="00F36C26">
        <w:rPr>
          <w:lang w:val="fr-FR"/>
        </w:rPr>
        <w:t>’</w:t>
      </w:r>
      <w:r w:rsidR="00326398">
        <w:rPr>
          <w:lang w:val="fr-FR"/>
        </w:rPr>
        <w:t>inscription</w:t>
      </w:r>
      <w:r w:rsidR="003238A3">
        <w:rPr>
          <w:lang w:val="fr-FR"/>
        </w:rPr>
        <w:t xml:space="preserve"> </w:t>
      </w:r>
      <w:r w:rsidR="00F36C26">
        <w:rPr>
          <w:lang w:val="fr-FR"/>
        </w:rPr>
        <w:t>’</w:t>
      </w:r>
      <w:r w:rsidR="003238A3">
        <w:rPr>
          <w:lang w:val="fr-FR"/>
        </w:rPr>
        <w:t>»</w:t>
      </w:r>
      <w:r>
        <w:rPr>
          <w:lang w:val="fr-FR"/>
        </w:rPr>
        <w:t xml:space="preserve"> </w:t>
      </w:r>
      <w:r w:rsidR="003238A3">
        <w:rPr>
          <w:lang w:val="fr-FR"/>
        </w:rPr>
        <w:t xml:space="preserve">pour réduire </w:t>
      </w:r>
      <w:r>
        <w:rPr>
          <w:lang w:val="fr-FR"/>
        </w:rPr>
        <w:t>la durée des inscriptions</w:t>
      </w:r>
      <w:r w:rsidR="00530071">
        <w:rPr>
          <w:lang w:val="fr-FR"/>
        </w:rPr>
        <w:t>, comme discuté initialement lors de l</w:t>
      </w:r>
      <w:r w:rsidR="00F36C26">
        <w:rPr>
          <w:lang w:val="fr-FR"/>
        </w:rPr>
        <w:t>’</w:t>
      </w:r>
      <w:r w:rsidR="00530071">
        <w:rPr>
          <w:lang w:val="fr-FR"/>
        </w:rPr>
        <w:t>élaboration du mécanisme</w:t>
      </w:r>
      <w:r>
        <w:rPr>
          <w:rStyle w:val="Appelnotedebasdep"/>
          <w:lang w:val="en-US"/>
        </w:rPr>
        <w:footnoteReference w:id="13"/>
      </w:r>
      <w:r>
        <w:rPr>
          <w:lang w:val="fr-FR"/>
        </w:rPr>
        <w:t xml:space="preserve">. </w:t>
      </w:r>
      <w:r w:rsidR="00530071">
        <w:rPr>
          <w:lang w:val="fr-FR"/>
        </w:rPr>
        <w:t xml:space="preserve">Il est de même </w:t>
      </w:r>
      <w:r w:rsidR="00326398">
        <w:rPr>
          <w:lang w:val="fr-FR"/>
        </w:rPr>
        <w:t>aujourd</w:t>
      </w:r>
      <w:r w:rsidR="00F36C26">
        <w:rPr>
          <w:lang w:val="fr-FR"/>
        </w:rPr>
        <w:t>’</w:t>
      </w:r>
      <w:r w:rsidR="00326398">
        <w:rPr>
          <w:lang w:val="fr-FR"/>
        </w:rPr>
        <w:t xml:space="preserve">hui </w:t>
      </w:r>
      <w:r w:rsidR="00530071">
        <w:rPr>
          <w:lang w:val="fr-FR"/>
        </w:rPr>
        <w:t>évident qu</w:t>
      </w:r>
      <w:r w:rsidR="00F36C26">
        <w:rPr>
          <w:lang w:val="fr-FR"/>
        </w:rPr>
        <w:t>’</w:t>
      </w:r>
      <w:r w:rsidR="00530071">
        <w:rPr>
          <w:lang w:val="fr-FR"/>
        </w:rPr>
        <w:t xml:space="preserve">une liste </w:t>
      </w:r>
      <w:r w:rsidR="0081516E">
        <w:rPr>
          <w:lang w:val="fr-FR"/>
        </w:rPr>
        <w:t xml:space="preserve">qui ne </w:t>
      </w:r>
      <w:r>
        <w:rPr>
          <w:lang w:val="fr-FR"/>
        </w:rPr>
        <w:t xml:space="preserve">limite </w:t>
      </w:r>
      <w:r w:rsidR="0081516E">
        <w:rPr>
          <w:lang w:val="fr-FR"/>
        </w:rPr>
        <w:t xml:space="preserve">pas la </w:t>
      </w:r>
      <w:r>
        <w:rPr>
          <w:lang w:val="fr-FR"/>
        </w:rPr>
        <w:t xml:space="preserve">durée des inscriptions </w:t>
      </w:r>
      <w:r w:rsidR="00326398">
        <w:rPr>
          <w:lang w:val="fr-FR"/>
        </w:rPr>
        <w:t xml:space="preserve">requiert </w:t>
      </w:r>
      <w:r w:rsidR="00530071">
        <w:rPr>
          <w:lang w:val="fr-FR"/>
        </w:rPr>
        <w:t>également</w:t>
      </w:r>
      <w:r>
        <w:rPr>
          <w:lang w:val="fr-FR"/>
        </w:rPr>
        <w:t xml:space="preserve"> un mécanisme de suivi </w:t>
      </w:r>
      <w:r w:rsidR="00D76A24">
        <w:rPr>
          <w:lang w:val="fr-FR"/>
        </w:rPr>
        <w:t xml:space="preserve">amélioré et </w:t>
      </w:r>
      <w:r>
        <w:rPr>
          <w:lang w:val="fr-FR"/>
        </w:rPr>
        <w:t>plus robuste.</w:t>
      </w:r>
    </w:p>
    <w:p w14:paraId="633CA4EB" w14:textId="1658ECA5" w:rsidR="005E32DA" w:rsidRPr="009F06B8" w:rsidRDefault="0081516E" w:rsidP="005E32DA">
      <w:pPr>
        <w:pStyle w:val="COMPara"/>
        <w:ind w:left="567" w:hanging="567"/>
        <w:jc w:val="both"/>
        <w:rPr>
          <w:lang w:val="fr-FR"/>
        </w:rPr>
      </w:pPr>
      <w:r>
        <w:rPr>
          <w:b/>
          <w:lang w:val="fr-FR"/>
        </w:rPr>
        <w:t>« </w:t>
      </w:r>
      <w:r w:rsidR="00867D51">
        <w:rPr>
          <w:b/>
          <w:lang w:val="fr-FR"/>
        </w:rPr>
        <w:t>Malentendu</w:t>
      </w:r>
      <w:r>
        <w:rPr>
          <w:b/>
          <w:lang w:val="fr-FR"/>
        </w:rPr>
        <w:t> »</w:t>
      </w:r>
      <w:r w:rsidR="005E32DA" w:rsidRPr="004A7593">
        <w:rPr>
          <w:b/>
          <w:lang w:val="fr-FR"/>
        </w:rPr>
        <w:t xml:space="preserve"> sur l</w:t>
      </w:r>
      <w:r w:rsidR="00F36C26">
        <w:rPr>
          <w:b/>
          <w:lang w:val="fr-FR"/>
        </w:rPr>
        <w:t>’</w:t>
      </w:r>
      <w:r w:rsidR="005E32DA" w:rsidRPr="004A7593">
        <w:rPr>
          <w:b/>
          <w:lang w:val="fr-FR"/>
        </w:rPr>
        <w:t>objectif de la Liste représentative</w:t>
      </w:r>
      <w:r w:rsidR="005E32DA">
        <w:rPr>
          <w:lang w:val="fr-FR"/>
        </w:rPr>
        <w:t> : L</w:t>
      </w:r>
      <w:r w:rsidR="00F36C26">
        <w:rPr>
          <w:lang w:val="fr-FR"/>
        </w:rPr>
        <w:t>’</w:t>
      </w:r>
      <w:r w:rsidR="005E32DA">
        <w:rPr>
          <w:lang w:val="fr-FR"/>
        </w:rPr>
        <w:t>évaluation de l</w:t>
      </w:r>
      <w:r w:rsidR="00F36C26">
        <w:rPr>
          <w:lang w:val="fr-FR"/>
        </w:rPr>
        <w:t>’</w:t>
      </w:r>
      <w:r w:rsidR="005E32DA">
        <w:rPr>
          <w:lang w:val="fr-FR"/>
        </w:rPr>
        <w:t xml:space="preserve">IOS a révélé que les États </w:t>
      </w:r>
      <w:r>
        <w:rPr>
          <w:lang w:val="fr-FR"/>
        </w:rPr>
        <w:t xml:space="preserve">comprenaient mal </w:t>
      </w:r>
      <w:r w:rsidR="005E32DA">
        <w:rPr>
          <w:lang w:val="fr-FR"/>
        </w:rPr>
        <w:t xml:space="preserve">la notion de </w:t>
      </w:r>
      <w:r>
        <w:rPr>
          <w:lang w:val="fr-FR"/>
        </w:rPr>
        <w:t>« </w:t>
      </w:r>
      <w:r w:rsidR="005E32DA">
        <w:rPr>
          <w:lang w:val="fr-FR"/>
        </w:rPr>
        <w:t>représentativité</w:t>
      </w:r>
      <w:r>
        <w:rPr>
          <w:lang w:val="fr-FR"/>
        </w:rPr>
        <w:t> »</w:t>
      </w:r>
      <w:r w:rsidR="005E32DA">
        <w:rPr>
          <w:lang w:val="fr-FR"/>
        </w:rPr>
        <w:t xml:space="preserve"> et </w:t>
      </w:r>
      <w:r>
        <w:rPr>
          <w:lang w:val="fr-FR"/>
        </w:rPr>
        <w:t xml:space="preserve">se méprenaient donc sur </w:t>
      </w:r>
      <w:r w:rsidR="005E32DA">
        <w:rPr>
          <w:lang w:val="fr-FR"/>
        </w:rPr>
        <w:t xml:space="preserve">la finalité et </w:t>
      </w:r>
      <w:r w:rsidR="00867D51">
        <w:rPr>
          <w:lang w:val="fr-FR"/>
        </w:rPr>
        <w:t>l</w:t>
      </w:r>
      <w:r w:rsidR="00F36C26">
        <w:rPr>
          <w:lang w:val="fr-FR"/>
        </w:rPr>
        <w:t>’</w:t>
      </w:r>
      <w:r w:rsidR="00867D51">
        <w:rPr>
          <w:lang w:val="fr-FR"/>
        </w:rPr>
        <w:t>objet</w:t>
      </w:r>
      <w:r w:rsidR="005E32DA">
        <w:rPr>
          <w:lang w:val="fr-FR"/>
        </w:rPr>
        <w:t xml:space="preserve"> de la Liste représentative. </w:t>
      </w:r>
      <w:r>
        <w:rPr>
          <w:lang w:val="fr-FR"/>
        </w:rPr>
        <w:t>L</w:t>
      </w:r>
      <w:r w:rsidR="00F36C26">
        <w:rPr>
          <w:lang w:val="fr-FR"/>
        </w:rPr>
        <w:t>’</w:t>
      </w:r>
      <w:r w:rsidR="005E32DA">
        <w:rPr>
          <w:lang w:val="fr-FR"/>
        </w:rPr>
        <w:t xml:space="preserve">expérience a </w:t>
      </w:r>
      <w:r w:rsidR="00894B73">
        <w:rPr>
          <w:lang w:val="fr-FR"/>
        </w:rPr>
        <w:t>montré</w:t>
      </w:r>
      <w:r w:rsidR="005E32DA">
        <w:rPr>
          <w:lang w:val="fr-FR"/>
        </w:rPr>
        <w:t xml:space="preserve"> qu</w:t>
      </w:r>
      <w:r w:rsidR="00F36C26">
        <w:rPr>
          <w:lang w:val="fr-FR"/>
        </w:rPr>
        <w:t>’</w:t>
      </w:r>
      <w:r w:rsidR="00D76A24">
        <w:rPr>
          <w:lang w:val="fr-FR"/>
        </w:rPr>
        <w:t>un certain nombre d</w:t>
      </w:r>
      <w:r w:rsidR="00F36C26">
        <w:rPr>
          <w:lang w:val="fr-FR"/>
        </w:rPr>
        <w:t>’</w:t>
      </w:r>
      <w:r w:rsidR="005E32DA">
        <w:rPr>
          <w:lang w:val="fr-FR"/>
        </w:rPr>
        <w:t>États proposent des éléments car ils considèrent qu</w:t>
      </w:r>
      <w:r w:rsidR="00F36C26">
        <w:rPr>
          <w:lang w:val="fr-FR"/>
        </w:rPr>
        <w:t>’</w:t>
      </w:r>
      <w:r w:rsidR="005E32DA">
        <w:rPr>
          <w:lang w:val="fr-FR"/>
        </w:rPr>
        <w:t>une inscription sur la Liste représentative valorise l</w:t>
      </w:r>
      <w:r w:rsidR="00F36C26">
        <w:rPr>
          <w:lang w:val="fr-FR"/>
        </w:rPr>
        <w:t>’</w:t>
      </w:r>
      <w:r w:rsidR="005E32DA">
        <w:rPr>
          <w:lang w:val="fr-FR"/>
        </w:rPr>
        <w:t xml:space="preserve">élément en lui-même </w:t>
      </w:r>
      <w:r w:rsidR="00867D51">
        <w:rPr>
          <w:lang w:val="fr-FR"/>
        </w:rPr>
        <w:t xml:space="preserve">et non parce </w:t>
      </w:r>
      <w:r w:rsidR="00F36C26">
        <w:rPr>
          <w:lang w:val="fr-FR"/>
        </w:rPr>
        <w:t>’</w:t>
      </w:r>
      <w:r w:rsidR="0095369C">
        <w:rPr>
          <w:lang w:val="fr-FR"/>
        </w:rPr>
        <w:t>que l</w:t>
      </w:r>
      <w:r w:rsidR="00F36C26">
        <w:rPr>
          <w:lang w:val="fr-FR"/>
        </w:rPr>
        <w:t>’</w:t>
      </w:r>
      <w:r w:rsidR="0095369C">
        <w:rPr>
          <w:lang w:val="fr-FR"/>
        </w:rPr>
        <w:t xml:space="preserve">inscription </w:t>
      </w:r>
      <w:r w:rsidR="005E32DA">
        <w:rPr>
          <w:lang w:val="fr-FR"/>
        </w:rPr>
        <w:t>contribue</w:t>
      </w:r>
      <w:r w:rsidR="0095369C">
        <w:rPr>
          <w:lang w:val="fr-FR"/>
        </w:rPr>
        <w:t>rait</w:t>
      </w:r>
      <w:r w:rsidR="005E32DA">
        <w:rPr>
          <w:lang w:val="fr-FR"/>
        </w:rPr>
        <w:t xml:space="preserve"> </w:t>
      </w:r>
      <w:r w:rsidR="005D28F0">
        <w:rPr>
          <w:lang w:val="fr-FR"/>
        </w:rPr>
        <w:t xml:space="preserve">aux </w:t>
      </w:r>
      <w:r w:rsidR="005E32DA">
        <w:rPr>
          <w:lang w:val="fr-FR"/>
        </w:rPr>
        <w:t>objectif</w:t>
      </w:r>
      <w:r w:rsidR="005D28F0">
        <w:rPr>
          <w:lang w:val="fr-FR"/>
        </w:rPr>
        <w:t>s</w:t>
      </w:r>
      <w:r w:rsidR="005E32DA">
        <w:rPr>
          <w:lang w:val="fr-FR"/>
        </w:rPr>
        <w:t xml:space="preserve"> de la Liste, confondant </w:t>
      </w:r>
      <w:r w:rsidR="00D76A24">
        <w:rPr>
          <w:lang w:val="fr-FR"/>
        </w:rPr>
        <w:t xml:space="preserve">probablement </w:t>
      </w:r>
      <w:r w:rsidR="005D28F0">
        <w:rPr>
          <w:lang w:val="fr-FR"/>
        </w:rPr>
        <w:t>« </w:t>
      </w:r>
      <w:r w:rsidR="005E32DA">
        <w:rPr>
          <w:lang w:val="fr-FR"/>
        </w:rPr>
        <w:t>représentativité</w:t>
      </w:r>
      <w:r w:rsidR="005D28F0">
        <w:rPr>
          <w:lang w:val="fr-FR"/>
        </w:rPr>
        <w:t> »</w:t>
      </w:r>
      <w:r w:rsidR="005E32DA">
        <w:rPr>
          <w:lang w:val="fr-FR"/>
        </w:rPr>
        <w:t xml:space="preserve"> et </w:t>
      </w:r>
      <w:r w:rsidR="005D28F0">
        <w:rPr>
          <w:lang w:val="fr-FR"/>
        </w:rPr>
        <w:t>« </w:t>
      </w:r>
      <w:r w:rsidR="005E32DA">
        <w:rPr>
          <w:lang w:val="fr-FR"/>
        </w:rPr>
        <w:t>valeur universelle exceptionnelle</w:t>
      </w:r>
      <w:r w:rsidR="005D28F0">
        <w:rPr>
          <w:lang w:val="fr-FR"/>
        </w:rPr>
        <w:t> »</w:t>
      </w:r>
      <w:r w:rsidR="00D76A24">
        <w:rPr>
          <w:lang w:val="fr-FR"/>
        </w:rPr>
        <w:t xml:space="preserve"> </w:t>
      </w:r>
      <w:r w:rsidR="0095369C">
        <w:rPr>
          <w:lang w:val="fr-FR"/>
        </w:rPr>
        <w:t>au</w:t>
      </w:r>
      <w:r w:rsidR="00D76A24">
        <w:rPr>
          <w:lang w:val="fr-FR"/>
        </w:rPr>
        <w:t xml:space="preserve"> sens de la Convention du patrimoine mondial</w:t>
      </w:r>
      <w:r w:rsidR="005E32DA">
        <w:rPr>
          <w:lang w:val="fr-FR"/>
        </w:rPr>
        <w:t>. En outre, l</w:t>
      </w:r>
      <w:r w:rsidR="00F36C26">
        <w:rPr>
          <w:lang w:val="fr-FR"/>
        </w:rPr>
        <w:t>’</w:t>
      </w:r>
      <w:r w:rsidR="005E32DA">
        <w:rPr>
          <w:lang w:val="fr-FR"/>
        </w:rPr>
        <w:t>évaluation de l</w:t>
      </w:r>
      <w:r w:rsidR="00F36C26">
        <w:rPr>
          <w:lang w:val="fr-FR"/>
        </w:rPr>
        <w:t>’</w:t>
      </w:r>
      <w:r w:rsidR="005E32DA">
        <w:rPr>
          <w:lang w:val="fr-FR"/>
        </w:rPr>
        <w:t>IOS a révélé que pour certains États, l</w:t>
      </w:r>
      <w:r w:rsidR="00F36C26">
        <w:rPr>
          <w:lang w:val="fr-FR"/>
        </w:rPr>
        <w:t>’</w:t>
      </w:r>
      <w:r w:rsidR="005E32DA">
        <w:rPr>
          <w:lang w:val="fr-FR"/>
        </w:rPr>
        <w:t>inscription sur la Liste représentative créait une appartenance nationale de l</w:t>
      </w:r>
      <w:r w:rsidR="00F36C26">
        <w:rPr>
          <w:lang w:val="fr-FR"/>
        </w:rPr>
        <w:t>’</w:t>
      </w:r>
      <w:r w:rsidR="005E32DA">
        <w:rPr>
          <w:lang w:val="fr-FR"/>
        </w:rPr>
        <w:t xml:space="preserve">élément, ce qui dans certains cas a généré des conflits entre les États. De fait, le Comité a été confronté à ce type de malentendus à de multiples occasions, et a donc </w:t>
      </w:r>
      <w:r w:rsidR="005D28F0">
        <w:rPr>
          <w:lang w:val="fr-FR"/>
        </w:rPr>
        <w:t>jugé</w:t>
      </w:r>
      <w:r w:rsidR="005E32DA">
        <w:rPr>
          <w:lang w:val="fr-FR"/>
        </w:rPr>
        <w:t xml:space="preserve"> nécessaire de rappeler aux États qu</w:t>
      </w:r>
      <w:r w:rsidR="005D28F0">
        <w:rPr>
          <w:lang w:val="fr-FR"/>
        </w:rPr>
        <w:t>e l</w:t>
      </w:r>
      <w:r w:rsidR="00F36C26">
        <w:rPr>
          <w:lang w:val="fr-FR"/>
        </w:rPr>
        <w:t>’</w:t>
      </w:r>
      <w:r w:rsidR="005E32DA">
        <w:rPr>
          <w:lang w:val="fr-FR"/>
        </w:rPr>
        <w:t xml:space="preserve">inscription </w:t>
      </w:r>
      <w:r w:rsidR="005D28F0">
        <w:rPr>
          <w:lang w:val="fr-FR"/>
        </w:rPr>
        <w:t>d</w:t>
      </w:r>
      <w:r w:rsidR="00F36C26">
        <w:rPr>
          <w:lang w:val="fr-FR"/>
        </w:rPr>
        <w:t>’</w:t>
      </w:r>
      <w:r w:rsidR="005D28F0">
        <w:rPr>
          <w:lang w:val="fr-FR"/>
        </w:rPr>
        <w:t xml:space="preserve">un élément </w:t>
      </w:r>
      <w:r w:rsidR="005E32DA">
        <w:rPr>
          <w:lang w:val="fr-FR"/>
        </w:rPr>
        <w:t>n</w:t>
      </w:r>
      <w:r w:rsidR="00F36C26">
        <w:rPr>
          <w:lang w:val="fr-FR"/>
        </w:rPr>
        <w:t>’</w:t>
      </w:r>
      <w:r w:rsidR="005E32DA">
        <w:rPr>
          <w:lang w:val="fr-FR"/>
        </w:rPr>
        <w:t xml:space="preserve">avait pas pour </w:t>
      </w:r>
      <w:r w:rsidR="005D28F0">
        <w:rPr>
          <w:lang w:val="fr-FR"/>
        </w:rPr>
        <w:t>but</w:t>
      </w:r>
      <w:r w:rsidR="005E32DA">
        <w:rPr>
          <w:lang w:val="fr-FR"/>
        </w:rPr>
        <w:t xml:space="preserve"> d</w:t>
      </w:r>
      <w:r w:rsidR="00F36C26">
        <w:rPr>
          <w:lang w:val="fr-FR"/>
        </w:rPr>
        <w:t>’</w:t>
      </w:r>
      <w:r w:rsidR="005E32DA">
        <w:rPr>
          <w:lang w:val="fr-FR"/>
        </w:rPr>
        <w:t xml:space="preserve">établir un système </w:t>
      </w:r>
      <w:r w:rsidR="005D28F0">
        <w:rPr>
          <w:lang w:val="fr-FR"/>
        </w:rPr>
        <w:t>de propriété</w:t>
      </w:r>
      <w:r w:rsidR="005E32DA">
        <w:rPr>
          <w:lang w:val="fr-FR"/>
        </w:rPr>
        <w:t xml:space="preserve"> et </w:t>
      </w:r>
      <w:r w:rsidR="005D28F0">
        <w:rPr>
          <w:lang w:val="fr-FR"/>
        </w:rPr>
        <w:t xml:space="preserve">ne supposait pas la propriété </w:t>
      </w:r>
      <w:r w:rsidR="005E32DA">
        <w:rPr>
          <w:lang w:val="fr-FR"/>
        </w:rPr>
        <w:t>exclusive d</w:t>
      </w:r>
      <w:r w:rsidR="00F36C26">
        <w:rPr>
          <w:lang w:val="fr-FR"/>
        </w:rPr>
        <w:t>’</w:t>
      </w:r>
      <w:r w:rsidR="005E32DA">
        <w:rPr>
          <w:lang w:val="fr-FR"/>
        </w:rPr>
        <w:t>une expression culturelle</w:t>
      </w:r>
      <w:r w:rsidR="005E32DA">
        <w:rPr>
          <w:rStyle w:val="Appelnotedebasdep"/>
        </w:rPr>
        <w:footnoteReference w:id="14"/>
      </w:r>
      <w:r w:rsidR="005E32DA">
        <w:rPr>
          <w:lang w:val="fr-FR"/>
        </w:rPr>
        <w:t>.</w:t>
      </w:r>
    </w:p>
    <w:p w14:paraId="288FB732" w14:textId="0FB8F8F9" w:rsidR="005E32DA" w:rsidRDefault="005E32DA" w:rsidP="005E32DA">
      <w:pPr>
        <w:pStyle w:val="COMPara"/>
        <w:spacing w:after="360"/>
        <w:ind w:left="567" w:hanging="567"/>
        <w:jc w:val="both"/>
        <w:rPr>
          <w:lang w:val="fr-FR"/>
        </w:rPr>
      </w:pPr>
      <w:r w:rsidRPr="004A7593">
        <w:rPr>
          <w:b/>
          <w:lang w:val="fr-FR"/>
        </w:rPr>
        <w:t xml:space="preserve">Méthodes de partage </w:t>
      </w:r>
      <w:r w:rsidR="005D28F0">
        <w:rPr>
          <w:b/>
          <w:lang w:val="fr-FR"/>
        </w:rPr>
        <w:t>plus légères </w:t>
      </w:r>
      <w:r>
        <w:rPr>
          <w:lang w:val="fr-FR"/>
        </w:rPr>
        <w:t xml:space="preserve">: </w:t>
      </w:r>
      <w:r w:rsidR="005D28F0">
        <w:rPr>
          <w:lang w:val="fr-FR"/>
        </w:rPr>
        <w:t xml:space="preserve">Au sujet du </w:t>
      </w:r>
      <w:r>
        <w:rPr>
          <w:lang w:val="fr-FR"/>
        </w:rPr>
        <w:t>Registre des bonnes pratiques de sauvegarde, l</w:t>
      </w:r>
      <w:r w:rsidR="00F36C26">
        <w:rPr>
          <w:lang w:val="fr-FR"/>
        </w:rPr>
        <w:t>’</w:t>
      </w:r>
      <w:r>
        <w:rPr>
          <w:lang w:val="fr-FR"/>
        </w:rPr>
        <w:t>évaluation susmentionnée réalisée par l</w:t>
      </w:r>
      <w:r w:rsidR="00F36C26">
        <w:rPr>
          <w:lang w:val="fr-FR"/>
        </w:rPr>
        <w:t>’</w:t>
      </w:r>
      <w:r>
        <w:rPr>
          <w:lang w:val="fr-FR"/>
        </w:rPr>
        <w:t>IOS a également révélé que, à l</w:t>
      </w:r>
      <w:r w:rsidR="00F36C26">
        <w:rPr>
          <w:lang w:val="fr-FR"/>
        </w:rPr>
        <w:t>’</w:t>
      </w:r>
      <w:r>
        <w:rPr>
          <w:lang w:val="fr-FR"/>
        </w:rPr>
        <w:t>époque, le Registre n</w:t>
      </w:r>
      <w:r w:rsidR="00F36C26">
        <w:rPr>
          <w:lang w:val="fr-FR"/>
        </w:rPr>
        <w:t>’</w:t>
      </w:r>
      <w:r w:rsidR="005D28F0">
        <w:rPr>
          <w:lang w:val="fr-FR"/>
        </w:rPr>
        <w:t>avait pas</w:t>
      </w:r>
      <w:r w:rsidR="009316A8">
        <w:rPr>
          <w:lang w:val="fr-FR"/>
        </w:rPr>
        <w:t xml:space="preserve"> servi à </w:t>
      </w:r>
      <w:r w:rsidR="005D28F0">
        <w:rPr>
          <w:lang w:val="fr-FR"/>
        </w:rPr>
        <w:t>inspir</w:t>
      </w:r>
      <w:r w:rsidR="009316A8">
        <w:rPr>
          <w:lang w:val="fr-FR"/>
        </w:rPr>
        <w:t>er</w:t>
      </w:r>
      <w:r w:rsidR="005D28F0">
        <w:rPr>
          <w:lang w:val="fr-FR"/>
        </w:rPr>
        <w:t xml:space="preserve"> de </w:t>
      </w:r>
      <w:r>
        <w:rPr>
          <w:lang w:val="fr-FR"/>
        </w:rPr>
        <w:t xml:space="preserve">bonnes méthodes de sauvegarde du patrimoine vivant. </w:t>
      </w:r>
      <w:r w:rsidR="00373359">
        <w:rPr>
          <w:lang w:val="fr-FR"/>
        </w:rPr>
        <w:t xml:space="preserve">Au vu de ces constatations </w:t>
      </w:r>
      <w:r>
        <w:rPr>
          <w:lang w:val="fr-FR"/>
        </w:rPr>
        <w:t xml:space="preserve">et prenant note de la </w:t>
      </w:r>
      <w:r w:rsidR="00FC7A82">
        <w:rPr>
          <w:lang w:val="fr-FR"/>
        </w:rPr>
        <w:t>sous-</w:t>
      </w:r>
      <w:r>
        <w:rPr>
          <w:lang w:val="fr-FR"/>
        </w:rPr>
        <w:t xml:space="preserve">utilisation du Registre, le Comité a appelé les États parties et le Secrétariat à compléter le Registre en développant </w:t>
      </w:r>
      <w:r w:rsidR="00373359">
        <w:rPr>
          <w:lang w:val="fr-FR"/>
        </w:rPr>
        <w:t>« </w:t>
      </w:r>
      <w:r>
        <w:rPr>
          <w:lang w:val="fr-FR"/>
        </w:rPr>
        <w:t>d</w:t>
      </w:r>
      <w:r w:rsidR="00F36C26">
        <w:rPr>
          <w:lang w:val="fr-FR"/>
        </w:rPr>
        <w:t>’</w:t>
      </w:r>
      <w:r>
        <w:rPr>
          <w:lang w:val="fr-FR"/>
        </w:rPr>
        <w:t>autres moyens plus légers pour partager les expériences de sauvegarde</w:t>
      </w:r>
      <w:r w:rsidR="00373359">
        <w:rPr>
          <w:lang w:val="fr-FR"/>
        </w:rPr>
        <w:t> »</w:t>
      </w:r>
      <w:r>
        <w:rPr>
          <w:rStyle w:val="Appelnotedebasdep"/>
        </w:rPr>
        <w:footnoteReference w:id="15"/>
      </w:r>
      <w:r>
        <w:rPr>
          <w:lang w:val="fr-FR"/>
        </w:rPr>
        <w:t xml:space="preserve">. En réponse, le Secrétariat a lancé une </w:t>
      </w:r>
      <w:r w:rsidR="00373359">
        <w:rPr>
          <w:lang w:val="fr-FR"/>
        </w:rPr>
        <w:t>vaste</w:t>
      </w:r>
      <w:r>
        <w:rPr>
          <w:lang w:val="fr-FR"/>
        </w:rPr>
        <w:t xml:space="preserve"> consultation, via une enquête en ligne, </w:t>
      </w:r>
      <w:r w:rsidR="00373359">
        <w:rPr>
          <w:lang w:val="fr-FR"/>
        </w:rPr>
        <w:t>dont il a été</w:t>
      </w:r>
      <w:r>
        <w:rPr>
          <w:lang w:val="fr-FR"/>
        </w:rPr>
        <w:t xml:space="preserve"> </w:t>
      </w:r>
      <w:r w:rsidR="00373359">
        <w:rPr>
          <w:lang w:val="fr-FR"/>
        </w:rPr>
        <w:t xml:space="preserve">rendu compte à </w:t>
      </w:r>
      <w:r>
        <w:rPr>
          <w:lang w:val="fr-FR"/>
        </w:rPr>
        <w:t>la présente session du Comité</w:t>
      </w:r>
      <w:r>
        <w:rPr>
          <w:rStyle w:val="Appelnotedebasdep"/>
          <w:lang w:val="en-US"/>
        </w:rPr>
        <w:footnoteReference w:id="16"/>
      </w:r>
      <w:r>
        <w:rPr>
          <w:lang w:val="fr-FR"/>
        </w:rPr>
        <w:t xml:space="preserve"> (voir </w:t>
      </w:r>
      <w:hyperlink r:id="rId13" w:history="1">
        <w:r w:rsidRPr="00CB69D9">
          <w:rPr>
            <w:rStyle w:val="Lienhypertexte"/>
            <w:lang w:val="fr-FR"/>
          </w:rPr>
          <w:t>LHE/19/14.COM/5.b</w:t>
        </w:r>
      </w:hyperlink>
      <w:r w:rsidRPr="004C1DBE">
        <w:rPr>
          <w:lang w:val="fr-FR"/>
        </w:rPr>
        <w:t xml:space="preserve"> pour</w:t>
      </w:r>
      <w:r>
        <w:rPr>
          <w:lang w:val="fr-FR"/>
        </w:rPr>
        <w:t xml:space="preserve"> plus d</w:t>
      </w:r>
      <w:r w:rsidR="00F36C26">
        <w:rPr>
          <w:lang w:val="fr-FR"/>
        </w:rPr>
        <w:t>’</w:t>
      </w:r>
      <w:r>
        <w:rPr>
          <w:lang w:val="fr-FR"/>
        </w:rPr>
        <w:t xml:space="preserve">information </w:t>
      </w:r>
      <w:r w:rsidR="00894B73">
        <w:rPr>
          <w:lang w:val="fr-FR"/>
        </w:rPr>
        <w:t>à</w:t>
      </w:r>
      <w:r>
        <w:rPr>
          <w:lang w:val="fr-FR"/>
        </w:rPr>
        <w:t xml:space="preserve"> ce sujet).</w:t>
      </w:r>
    </w:p>
    <w:tbl>
      <w:tblPr>
        <w:tblStyle w:val="Grilledutableau"/>
        <w:tblW w:w="0" w:type="auto"/>
        <w:tblInd w:w="567" w:type="dxa"/>
        <w:tblLook w:val="04A0" w:firstRow="1" w:lastRow="0" w:firstColumn="1" w:lastColumn="0" w:noHBand="0" w:noVBand="1"/>
      </w:tblPr>
      <w:tblGrid>
        <w:gridCol w:w="9061"/>
      </w:tblGrid>
      <w:tr w:rsidR="00D76A24" w:rsidRPr="007D54EB" w14:paraId="6EE36807" w14:textId="77777777" w:rsidTr="009D394F">
        <w:tc>
          <w:tcPr>
            <w:tcW w:w="9061" w:type="dxa"/>
            <w:shd w:val="clear" w:color="auto" w:fill="F2F2F2" w:themeFill="background1" w:themeFillShade="F2"/>
          </w:tcPr>
          <w:p w14:paraId="2C73BB41" w14:textId="46340F45" w:rsidR="00D76A24" w:rsidRPr="007D54EB" w:rsidRDefault="009364F0" w:rsidP="00563117">
            <w:pPr>
              <w:pStyle w:val="COMPara"/>
              <w:keepNext/>
              <w:numPr>
                <w:ilvl w:val="0"/>
                <w:numId w:val="0"/>
              </w:numPr>
              <w:spacing w:before="120"/>
              <w:jc w:val="both"/>
              <w:rPr>
                <w:lang w:val="fr-FR"/>
              </w:rPr>
            </w:pPr>
            <w:r>
              <w:rPr>
                <w:lang w:val="fr-FR"/>
              </w:rPr>
              <w:t>B</w:t>
            </w:r>
            <w:r w:rsidR="00D76A24" w:rsidRPr="007D54EB">
              <w:rPr>
                <w:lang w:val="fr-FR"/>
              </w:rPr>
              <w:t>.</w:t>
            </w:r>
            <w:r w:rsidR="00D76A24" w:rsidRPr="007D54EB">
              <w:rPr>
                <w:lang w:val="fr-FR"/>
              </w:rPr>
              <w:tab/>
            </w:r>
            <w:r w:rsidR="00D76A24">
              <w:rPr>
                <w:lang w:val="fr-FR"/>
              </w:rPr>
              <w:t>Problèmes liés aux critères</w:t>
            </w:r>
            <w:r>
              <w:rPr>
                <w:lang w:val="fr-FR"/>
              </w:rPr>
              <w:t xml:space="preserve"> d</w:t>
            </w:r>
            <w:r w:rsidR="00F36C26">
              <w:rPr>
                <w:lang w:val="fr-FR"/>
              </w:rPr>
              <w:t>’</w:t>
            </w:r>
            <w:r>
              <w:rPr>
                <w:lang w:val="fr-FR"/>
              </w:rPr>
              <w:t>inscription</w:t>
            </w:r>
          </w:p>
        </w:tc>
      </w:tr>
    </w:tbl>
    <w:p w14:paraId="251AD652" w14:textId="47D0A999" w:rsidR="005E32DA" w:rsidRDefault="005E32DA" w:rsidP="005E32DA">
      <w:pPr>
        <w:pStyle w:val="COMPara"/>
        <w:keepNext/>
        <w:spacing w:before="120"/>
        <w:ind w:left="567" w:hanging="567"/>
        <w:jc w:val="both"/>
        <w:rPr>
          <w:lang w:val="fr-FR"/>
        </w:rPr>
      </w:pPr>
      <w:r w:rsidRPr="00EF1D02">
        <w:rPr>
          <w:b/>
          <w:lang w:val="fr-FR"/>
        </w:rPr>
        <w:t>Difficultés récurrentes liées au critère R.2</w:t>
      </w:r>
      <w:r w:rsidRPr="00EF1D02">
        <w:rPr>
          <w:lang w:val="fr-FR"/>
        </w:rPr>
        <w:t> : Le critère R.2 reflète l</w:t>
      </w:r>
      <w:r w:rsidR="00373359">
        <w:rPr>
          <w:lang w:val="fr-FR"/>
        </w:rPr>
        <w:t xml:space="preserve">es </w:t>
      </w:r>
      <w:r w:rsidRPr="00EF1D02">
        <w:rPr>
          <w:lang w:val="fr-FR"/>
        </w:rPr>
        <w:t>objectif</w:t>
      </w:r>
      <w:r w:rsidR="00373359">
        <w:rPr>
          <w:lang w:val="fr-FR"/>
        </w:rPr>
        <w:t>s</w:t>
      </w:r>
      <w:r w:rsidRPr="00EF1D02">
        <w:rPr>
          <w:lang w:val="fr-FR"/>
        </w:rPr>
        <w:t xml:space="preserve"> fondamentaux de la Liste représentative, </w:t>
      </w:r>
      <w:r w:rsidR="00F124C1">
        <w:rPr>
          <w:lang w:val="fr-FR"/>
        </w:rPr>
        <w:t xml:space="preserve">qui incluent </w:t>
      </w:r>
      <w:r w:rsidR="00854EF5">
        <w:rPr>
          <w:lang w:val="fr-FR"/>
        </w:rPr>
        <w:t xml:space="preserve">de </w:t>
      </w:r>
      <w:r w:rsidRPr="00EF1D02">
        <w:rPr>
          <w:lang w:val="fr-FR"/>
        </w:rPr>
        <w:t>contribu</w:t>
      </w:r>
      <w:r w:rsidR="00854EF5">
        <w:rPr>
          <w:lang w:val="fr-FR"/>
        </w:rPr>
        <w:t>er</w:t>
      </w:r>
      <w:r w:rsidRPr="00EF1D02">
        <w:rPr>
          <w:lang w:val="fr-FR"/>
        </w:rPr>
        <w:t xml:space="preserve"> à</w:t>
      </w:r>
      <w:r w:rsidR="00373359">
        <w:rPr>
          <w:lang w:val="fr-FR"/>
        </w:rPr>
        <w:t xml:space="preserve"> </w:t>
      </w:r>
      <w:r w:rsidRPr="00EF1D02">
        <w:rPr>
          <w:lang w:val="fr-FR"/>
        </w:rPr>
        <w:t xml:space="preserve">la visibilité du patrimoine culturel immatériel et </w:t>
      </w:r>
      <w:r w:rsidR="00854EF5">
        <w:rPr>
          <w:lang w:val="fr-FR"/>
        </w:rPr>
        <w:t xml:space="preserve">à </w:t>
      </w:r>
      <w:r w:rsidR="00373359">
        <w:rPr>
          <w:lang w:val="fr-FR"/>
        </w:rPr>
        <w:t xml:space="preserve">la prise de conscience </w:t>
      </w:r>
      <w:r w:rsidR="009A2257">
        <w:rPr>
          <w:lang w:val="fr-FR"/>
        </w:rPr>
        <w:t>de</w:t>
      </w:r>
      <w:r w:rsidRPr="00EF1D02">
        <w:rPr>
          <w:lang w:val="fr-FR"/>
        </w:rPr>
        <w:t xml:space="preserve"> son importance, </w:t>
      </w:r>
      <w:r w:rsidR="00854EF5">
        <w:rPr>
          <w:lang w:val="fr-FR"/>
        </w:rPr>
        <w:t xml:space="preserve">de </w:t>
      </w:r>
      <w:r w:rsidRPr="00EF1D02">
        <w:rPr>
          <w:lang w:val="fr-FR"/>
        </w:rPr>
        <w:t xml:space="preserve">favoriser le dialogue entre </w:t>
      </w:r>
      <w:r w:rsidR="00373359">
        <w:rPr>
          <w:lang w:val="fr-FR"/>
        </w:rPr>
        <w:t>l</w:t>
      </w:r>
      <w:r w:rsidRPr="00EF1D02">
        <w:rPr>
          <w:lang w:val="fr-FR"/>
        </w:rPr>
        <w:t xml:space="preserve">es communautés, groupes et individus et </w:t>
      </w:r>
      <w:r w:rsidR="00854EF5">
        <w:rPr>
          <w:lang w:val="fr-FR"/>
        </w:rPr>
        <w:t xml:space="preserve">de </w:t>
      </w:r>
      <w:r w:rsidR="00F124C1">
        <w:rPr>
          <w:lang w:val="fr-FR"/>
        </w:rPr>
        <w:t>promouvoir</w:t>
      </w:r>
      <w:r w:rsidR="00F124C1" w:rsidRPr="00EF1D02">
        <w:rPr>
          <w:lang w:val="fr-FR"/>
        </w:rPr>
        <w:t xml:space="preserve"> </w:t>
      </w:r>
      <w:r w:rsidRPr="00EF1D02">
        <w:rPr>
          <w:lang w:val="fr-FR"/>
        </w:rPr>
        <w:t>le respect de la diversité culturelle et de la créativité humaine. Toutefois, les organes d</w:t>
      </w:r>
      <w:r w:rsidR="00F36C26">
        <w:rPr>
          <w:lang w:val="fr-FR"/>
        </w:rPr>
        <w:t>’</w:t>
      </w:r>
      <w:r w:rsidRPr="00EF1D02">
        <w:rPr>
          <w:lang w:val="fr-FR"/>
        </w:rPr>
        <w:t xml:space="preserve">évaluation et le </w:t>
      </w:r>
      <w:r w:rsidR="00894B73">
        <w:rPr>
          <w:lang w:val="fr-FR"/>
        </w:rPr>
        <w:t>C</w:t>
      </w:r>
      <w:r w:rsidRPr="00EF1D02">
        <w:rPr>
          <w:lang w:val="fr-FR"/>
        </w:rPr>
        <w:t>omité ont souligné à plusieurs reprises l</w:t>
      </w:r>
      <w:r w:rsidR="00F36C26">
        <w:rPr>
          <w:lang w:val="fr-FR"/>
        </w:rPr>
        <w:t>’</w:t>
      </w:r>
      <w:r w:rsidR="00DB1E5F">
        <w:rPr>
          <w:lang w:val="fr-FR"/>
        </w:rPr>
        <w:t>incompréhension persistante des États soumissionnaires</w:t>
      </w:r>
      <w:r w:rsidRPr="00EF1D02">
        <w:rPr>
          <w:lang w:val="fr-FR"/>
        </w:rPr>
        <w:t xml:space="preserve"> </w:t>
      </w:r>
      <w:r w:rsidR="00DB1E5F">
        <w:rPr>
          <w:lang w:val="fr-FR"/>
        </w:rPr>
        <w:t>au sujet</w:t>
      </w:r>
      <w:r w:rsidRPr="00EF1D02">
        <w:rPr>
          <w:lang w:val="fr-FR"/>
        </w:rPr>
        <w:t xml:space="preserve"> du critère R.2</w:t>
      </w:r>
      <w:r>
        <w:rPr>
          <w:rStyle w:val="Appelnotedebasdep"/>
        </w:rPr>
        <w:footnoteReference w:id="17"/>
      </w:r>
      <w:r w:rsidRPr="00EF1D02">
        <w:rPr>
          <w:lang w:val="fr-FR"/>
        </w:rPr>
        <w:t xml:space="preserve">. </w:t>
      </w:r>
      <w:r w:rsidR="00DB1E5F">
        <w:rPr>
          <w:lang w:val="fr-FR"/>
        </w:rPr>
        <w:t xml:space="preserve">De nombreux </w:t>
      </w:r>
      <w:r w:rsidRPr="00EF1D02">
        <w:rPr>
          <w:lang w:val="fr-FR"/>
        </w:rPr>
        <w:t>dossier</w:t>
      </w:r>
      <w:r w:rsidR="00DB1E5F">
        <w:rPr>
          <w:lang w:val="fr-FR"/>
        </w:rPr>
        <w:t>s</w:t>
      </w:r>
      <w:r w:rsidRPr="00EF1D02">
        <w:rPr>
          <w:lang w:val="fr-FR"/>
        </w:rPr>
        <w:t xml:space="preserve"> se concentrent </w:t>
      </w:r>
      <w:r w:rsidR="00DB1E5F">
        <w:rPr>
          <w:lang w:val="fr-FR"/>
        </w:rPr>
        <w:t xml:space="preserve">davantage </w:t>
      </w:r>
      <w:r w:rsidRPr="00EF1D02">
        <w:rPr>
          <w:lang w:val="fr-FR"/>
        </w:rPr>
        <w:t xml:space="preserve">sur </w:t>
      </w:r>
      <w:r w:rsidR="00DB1E5F">
        <w:rPr>
          <w:lang w:val="fr-FR"/>
        </w:rPr>
        <w:t xml:space="preserve">le renforcement de la </w:t>
      </w:r>
      <w:r w:rsidRPr="00EF1D02">
        <w:rPr>
          <w:lang w:val="fr-FR"/>
        </w:rPr>
        <w:t>visibilité de l</w:t>
      </w:r>
      <w:r w:rsidR="00F36C26">
        <w:rPr>
          <w:lang w:val="fr-FR"/>
        </w:rPr>
        <w:t>’</w:t>
      </w:r>
      <w:r w:rsidRPr="00EF1D02">
        <w:rPr>
          <w:lang w:val="fr-FR"/>
        </w:rPr>
        <w:t xml:space="preserve">élément </w:t>
      </w:r>
      <w:r w:rsidR="00894B73">
        <w:rPr>
          <w:lang w:val="fr-FR"/>
        </w:rPr>
        <w:t>à proprement parler</w:t>
      </w:r>
      <w:r w:rsidRPr="00EF1D02">
        <w:rPr>
          <w:lang w:val="fr-FR"/>
        </w:rPr>
        <w:t xml:space="preserve"> que </w:t>
      </w:r>
      <w:r w:rsidR="00DB1E5F">
        <w:rPr>
          <w:lang w:val="fr-FR"/>
        </w:rPr>
        <w:t>sur celle du</w:t>
      </w:r>
      <w:r w:rsidRPr="00EF1D02">
        <w:rPr>
          <w:lang w:val="fr-FR"/>
        </w:rPr>
        <w:t xml:space="preserve"> patrimoine culturel immatériel en général. </w:t>
      </w:r>
      <w:r w:rsidR="00894B73">
        <w:rPr>
          <w:lang w:val="fr-FR"/>
        </w:rPr>
        <w:t>C</w:t>
      </w:r>
      <w:r w:rsidR="007B69D4">
        <w:rPr>
          <w:lang w:val="fr-FR"/>
        </w:rPr>
        <w:t xml:space="preserve">es </w:t>
      </w:r>
      <w:r w:rsidRPr="00EF1D02">
        <w:rPr>
          <w:lang w:val="fr-FR"/>
        </w:rPr>
        <w:t xml:space="preserve">difficultés </w:t>
      </w:r>
      <w:r w:rsidR="007B69D4">
        <w:rPr>
          <w:lang w:val="fr-FR"/>
        </w:rPr>
        <w:t>pourrai</w:t>
      </w:r>
      <w:r w:rsidR="00894B73">
        <w:rPr>
          <w:lang w:val="fr-FR"/>
        </w:rPr>
        <w:t>ent s</w:t>
      </w:r>
      <w:r w:rsidR="00F36C26">
        <w:rPr>
          <w:lang w:val="fr-FR"/>
        </w:rPr>
        <w:t>’</w:t>
      </w:r>
      <w:r w:rsidR="00894B73">
        <w:rPr>
          <w:lang w:val="fr-FR"/>
        </w:rPr>
        <w:t xml:space="preserve">expliquer en partie par </w:t>
      </w:r>
      <w:r w:rsidR="007B69D4">
        <w:rPr>
          <w:lang w:val="fr-FR"/>
        </w:rPr>
        <w:t xml:space="preserve">le </w:t>
      </w:r>
      <w:r w:rsidR="00894B73">
        <w:rPr>
          <w:lang w:val="fr-FR"/>
        </w:rPr>
        <w:t xml:space="preserve">fait que ce critère </w:t>
      </w:r>
      <w:r w:rsidR="00854EF5">
        <w:rPr>
          <w:lang w:val="fr-FR"/>
        </w:rPr>
        <w:t xml:space="preserve">nécessite </w:t>
      </w:r>
      <w:r w:rsidR="00894B73">
        <w:rPr>
          <w:lang w:val="fr-FR"/>
        </w:rPr>
        <w:t xml:space="preserve">un </w:t>
      </w:r>
      <w:r w:rsidR="007B69D4">
        <w:rPr>
          <w:lang w:val="fr-FR"/>
        </w:rPr>
        <w:t>point de vue externe aux communautés</w:t>
      </w:r>
      <w:r w:rsidRPr="00EF1D02">
        <w:rPr>
          <w:lang w:val="fr-FR"/>
        </w:rPr>
        <w:t xml:space="preserve">, </w:t>
      </w:r>
      <w:r w:rsidR="007B69D4">
        <w:rPr>
          <w:lang w:val="fr-FR"/>
        </w:rPr>
        <w:t xml:space="preserve">contrairement aux autres </w:t>
      </w:r>
      <w:r w:rsidRPr="00EF1D02">
        <w:rPr>
          <w:lang w:val="fr-FR"/>
        </w:rPr>
        <w:t xml:space="preserve">critères et </w:t>
      </w:r>
      <w:r w:rsidR="007B69D4">
        <w:rPr>
          <w:lang w:val="fr-FR"/>
        </w:rPr>
        <w:t>aux</w:t>
      </w:r>
      <w:r w:rsidRPr="00EF1D02">
        <w:rPr>
          <w:lang w:val="fr-FR"/>
        </w:rPr>
        <w:t xml:space="preserve"> </w:t>
      </w:r>
      <w:r w:rsidR="007B69D4">
        <w:rPr>
          <w:lang w:val="fr-FR"/>
        </w:rPr>
        <w:t>parties</w:t>
      </w:r>
      <w:r w:rsidRPr="00EF1D02">
        <w:rPr>
          <w:lang w:val="fr-FR"/>
        </w:rPr>
        <w:t xml:space="preserve"> descripti</w:t>
      </w:r>
      <w:r w:rsidR="007B69D4">
        <w:rPr>
          <w:lang w:val="fr-FR"/>
        </w:rPr>
        <w:t>ves</w:t>
      </w:r>
      <w:r w:rsidRPr="00EF1D02">
        <w:rPr>
          <w:lang w:val="fr-FR"/>
        </w:rPr>
        <w:t xml:space="preserve"> des dossiers de candidature </w:t>
      </w:r>
      <w:r w:rsidR="007B69D4">
        <w:rPr>
          <w:lang w:val="fr-FR"/>
        </w:rPr>
        <w:t xml:space="preserve">qui </w:t>
      </w:r>
      <w:r w:rsidRPr="00EF1D02">
        <w:rPr>
          <w:lang w:val="fr-FR"/>
        </w:rPr>
        <w:t>favorise</w:t>
      </w:r>
      <w:r w:rsidR="007B69D4">
        <w:rPr>
          <w:lang w:val="fr-FR"/>
        </w:rPr>
        <w:t>nt</w:t>
      </w:r>
      <w:r w:rsidRPr="00EF1D02">
        <w:rPr>
          <w:lang w:val="fr-FR"/>
        </w:rPr>
        <w:t xml:space="preserve"> l</w:t>
      </w:r>
      <w:r w:rsidR="007B69D4">
        <w:rPr>
          <w:lang w:val="fr-FR"/>
        </w:rPr>
        <w:t xml:space="preserve">e développement du </w:t>
      </w:r>
      <w:r w:rsidRPr="00EF1D02">
        <w:rPr>
          <w:lang w:val="fr-FR"/>
        </w:rPr>
        <w:t>point de vue des communautés</w:t>
      </w:r>
      <w:r>
        <w:rPr>
          <w:rStyle w:val="Appelnotedebasdep"/>
          <w:lang w:val="en-US"/>
        </w:rPr>
        <w:footnoteReference w:id="18"/>
      </w:r>
      <w:r w:rsidRPr="00EF1D02">
        <w:rPr>
          <w:lang w:val="fr-FR"/>
        </w:rPr>
        <w:t xml:space="preserve">. En outre, ce critère </w:t>
      </w:r>
      <w:r w:rsidR="00854EF5">
        <w:rPr>
          <w:lang w:val="fr-FR"/>
        </w:rPr>
        <w:t>requiert</w:t>
      </w:r>
      <w:r w:rsidR="00854EF5" w:rsidRPr="00EF1D02">
        <w:rPr>
          <w:lang w:val="fr-FR"/>
        </w:rPr>
        <w:t xml:space="preserve"> </w:t>
      </w:r>
      <w:r w:rsidR="007B69D4">
        <w:rPr>
          <w:lang w:val="fr-FR"/>
        </w:rPr>
        <w:t xml:space="preserve">une </w:t>
      </w:r>
      <w:r w:rsidRPr="00EF1D02">
        <w:rPr>
          <w:lang w:val="fr-FR"/>
        </w:rPr>
        <w:t>preuve d</w:t>
      </w:r>
      <w:r w:rsidR="00894B73">
        <w:rPr>
          <w:lang w:val="fr-FR"/>
        </w:rPr>
        <w:t>es futurs</w:t>
      </w:r>
      <w:r w:rsidRPr="00EF1D02">
        <w:rPr>
          <w:lang w:val="fr-FR"/>
        </w:rPr>
        <w:t xml:space="preserve"> résultat</w:t>
      </w:r>
      <w:r w:rsidR="00894B73">
        <w:rPr>
          <w:lang w:val="fr-FR"/>
        </w:rPr>
        <w:t>s</w:t>
      </w:r>
      <w:r w:rsidRPr="00EF1D02">
        <w:rPr>
          <w:lang w:val="fr-FR"/>
        </w:rPr>
        <w:t xml:space="preserve">, qui </w:t>
      </w:r>
      <w:r w:rsidR="00894B73">
        <w:rPr>
          <w:lang w:val="fr-FR"/>
        </w:rPr>
        <w:t xml:space="preserve">sont </w:t>
      </w:r>
      <w:r w:rsidR="007B69D4">
        <w:rPr>
          <w:lang w:val="fr-FR"/>
        </w:rPr>
        <w:t>in</w:t>
      </w:r>
      <w:r w:rsidRPr="00EF1D02">
        <w:rPr>
          <w:lang w:val="fr-FR"/>
        </w:rPr>
        <w:t>connu</w:t>
      </w:r>
      <w:r w:rsidR="00894B73">
        <w:rPr>
          <w:lang w:val="fr-FR"/>
        </w:rPr>
        <w:t>s</w:t>
      </w:r>
      <w:r w:rsidRPr="00EF1D02">
        <w:rPr>
          <w:lang w:val="fr-FR"/>
        </w:rPr>
        <w:t xml:space="preserve"> au moment de l</w:t>
      </w:r>
      <w:r w:rsidR="00F36C26">
        <w:rPr>
          <w:lang w:val="fr-FR"/>
        </w:rPr>
        <w:t>’</w:t>
      </w:r>
      <w:r w:rsidR="007B69D4">
        <w:rPr>
          <w:lang w:val="fr-FR"/>
        </w:rPr>
        <w:t xml:space="preserve">élaboration </w:t>
      </w:r>
      <w:r w:rsidRPr="00EF1D02">
        <w:rPr>
          <w:lang w:val="fr-FR"/>
        </w:rPr>
        <w:t>de la candidature</w:t>
      </w:r>
      <w:r>
        <w:rPr>
          <w:rStyle w:val="Appelnotedebasdep"/>
          <w:rFonts w:eastAsia="SimSun"/>
        </w:rPr>
        <w:footnoteReference w:id="19"/>
      </w:r>
      <w:r w:rsidRPr="00EF1D02">
        <w:rPr>
          <w:lang w:val="fr-FR"/>
        </w:rPr>
        <w:t xml:space="preserve">. </w:t>
      </w:r>
      <w:r w:rsidR="00854EF5">
        <w:rPr>
          <w:lang w:val="fr-FR"/>
        </w:rPr>
        <w:t>L</w:t>
      </w:r>
      <w:r w:rsidR="00F36C26">
        <w:rPr>
          <w:lang w:val="fr-FR"/>
        </w:rPr>
        <w:t>’</w:t>
      </w:r>
      <w:r w:rsidR="00854EF5">
        <w:rPr>
          <w:lang w:val="fr-FR"/>
        </w:rPr>
        <w:t>incompréhension sur les objectifs de la Liste représentative et la confusion entre « </w:t>
      </w:r>
      <w:r w:rsidR="00854EF5" w:rsidRPr="00EF1D02">
        <w:rPr>
          <w:lang w:val="fr-FR"/>
        </w:rPr>
        <w:t>représentativité</w:t>
      </w:r>
      <w:r w:rsidR="00854EF5">
        <w:rPr>
          <w:lang w:val="fr-FR"/>
        </w:rPr>
        <w:t> »</w:t>
      </w:r>
      <w:r w:rsidR="00854EF5" w:rsidRPr="00EF1D02">
        <w:rPr>
          <w:lang w:val="fr-FR"/>
        </w:rPr>
        <w:t xml:space="preserve"> et </w:t>
      </w:r>
      <w:r w:rsidR="00854EF5">
        <w:rPr>
          <w:lang w:val="fr-FR"/>
        </w:rPr>
        <w:t>« </w:t>
      </w:r>
      <w:r w:rsidR="00854EF5" w:rsidRPr="00EF1D02">
        <w:rPr>
          <w:lang w:val="fr-FR"/>
        </w:rPr>
        <w:t>valeur universelle exceptionnelle</w:t>
      </w:r>
      <w:r w:rsidR="00854EF5">
        <w:rPr>
          <w:lang w:val="fr-FR"/>
        </w:rPr>
        <w:t xml:space="preserve"> » </w:t>
      </w:r>
      <w:r w:rsidR="00854EF5" w:rsidRPr="00B3563B">
        <w:rPr>
          <w:lang w:val="fr-FR"/>
        </w:rPr>
        <w:t>est</w:t>
      </w:r>
      <w:r w:rsidR="00854EF5">
        <w:rPr>
          <w:lang w:val="fr-FR"/>
        </w:rPr>
        <w:t xml:space="preserve"> une autre des principales raisons des </w:t>
      </w:r>
      <w:r w:rsidR="007B69D4">
        <w:rPr>
          <w:lang w:val="fr-FR"/>
        </w:rPr>
        <w:t>difficultés éprouvées par les État</w:t>
      </w:r>
      <w:r w:rsidR="00E5654B">
        <w:rPr>
          <w:lang w:val="fr-FR"/>
        </w:rPr>
        <w:t xml:space="preserve">s parties à répondre au </w:t>
      </w:r>
      <w:r w:rsidR="00E5654B">
        <w:rPr>
          <w:lang w:val="fr-FR"/>
        </w:rPr>
        <w:lastRenderedPageBreak/>
        <w:t>critère</w:t>
      </w:r>
      <w:r w:rsidR="00E5654B" w:rsidRPr="00E5654B">
        <w:rPr>
          <w:lang w:val="fr-FR"/>
        </w:rPr>
        <w:t> </w:t>
      </w:r>
      <w:r w:rsidR="007B69D4">
        <w:rPr>
          <w:lang w:val="fr-FR"/>
        </w:rPr>
        <w:t>R.2</w:t>
      </w:r>
      <w:r w:rsidR="001D297F">
        <w:rPr>
          <w:lang w:val="fr-FR"/>
        </w:rPr>
        <w:t>.</w:t>
      </w:r>
      <w:r w:rsidRPr="00EF1D02">
        <w:rPr>
          <w:lang w:val="fr-FR"/>
        </w:rPr>
        <w:t xml:space="preserve"> Malgré plusieurs révisions </w:t>
      </w:r>
      <w:r w:rsidR="007B69D4">
        <w:rPr>
          <w:lang w:val="fr-FR"/>
        </w:rPr>
        <w:t xml:space="preserve">du critère R.2 </w:t>
      </w:r>
      <w:r w:rsidR="001D297F">
        <w:rPr>
          <w:lang w:val="fr-FR"/>
        </w:rPr>
        <w:t xml:space="preserve">dans les formulaires de candidature, </w:t>
      </w:r>
      <w:r w:rsidR="00F124C1">
        <w:rPr>
          <w:lang w:val="fr-FR"/>
        </w:rPr>
        <w:t>ce critère continue de poser des problèmes dans le processus de candidature</w:t>
      </w:r>
      <w:r w:rsidRPr="00EF1D02">
        <w:rPr>
          <w:lang w:val="fr-FR"/>
        </w:rPr>
        <w:t>.</w:t>
      </w:r>
    </w:p>
    <w:p w14:paraId="119CD259" w14:textId="25C80A44" w:rsidR="006E2F58" w:rsidRPr="006E2F58" w:rsidRDefault="00F124C1" w:rsidP="009D394F">
      <w:pPr>
        <w:pStyle w:val="COMPara"/>
        <w:ind w:left="567" w:hanging="567"/>
        <w:jc w:val="both"/>
        <w:rPr>
          <w:lang w:val="fr-FR"/>
        </w:rPr>
      </w:pPr>
      <w:r w:rsidRPr="009D394F">
        <w:rPr>
          <w:b/>
          <w:lang w:val="fr-FR"/>
        </w:rPr>
        <w:t>Difficultés liées aux critères U</w:t>
      </w:r>
      <w:r w:rsidRPr="006C40D0">
        <w:rPr>
          <w:b/>
          <w:lang w:val="fr-FR"/>
        </w:rPr>
        <w:t>.</w:t>
      </w:r>
      <w:r w:rsidRPr="009D394F">
        <w:rPr>
          <w:b/>
          <w:lang w:val="fr-FR"/>
        </w:rPr>
        <w:t>5/R.5</w:t>
      </w:r>
      <w:r w:rsidRPr="009D394F">
        <w:rPr>
          <w:lang w:val="fr-FR"/>
        </w:rPr>
        <w:t> : L</w:t>
      </w:r>
      <w:r w:rsidRPr="009D394F">
        <w:rPr>
          <w:rFonts w:cs="Times New Roman"/>
          <w:szCs w:val="24"/>
          <w:lang w:val="fr-FR"/>
        </w:rPr>
        <w:t>es critères U.5/R.5 reflètent l</w:t>
      </w:r>
      <w:r w:rsidR="00F36C26">
        <w:rPr>
          <w:rFonts w:cs="Times New Roman"/>
          <w:szCs w:val="24"/>
          <w:lang w:val="fr-FR"/>
        </w:rPr>
        <w:t>’</w:t>
      </w:r>
      <w:r w:rsidRPr="009D394F">
        <w:rPr>
          <w:rFonts w:cs="Times New Roman"/>
          <w:szCs w:val="24"/>
          <w:lang w:val="fr-FR"/>
        </w:rPr>
        <w:t>obligation des États parties d</w:t>
      </w:r>
      <w:r w:rsidR="00F36C26">
        <w:rPr>
          <w:rFonts w:cs="Times New Roman"/>
          <w:szCs w:val="24"/>
          <w:lang w:val="fr-FR"/>
        </w:rPr>
        <w:t>’</w:t>
      </w:r>
      <w:r w:rsidRPr="009D394F">
        <w:rPr>
          <w:rFonts w:cs="Times New Roman"/>
          <w:szCs w:val="24"/>
          <w:lang w:val="fr-FR"/>
        </w:rPr>
        <w:t>établir et de mettre à jour des inventaires du patrimoine culturel immatériel présent sur leur territoire avec la participation des communautés, groupes et organisations non gouvernementales à titre de mesure de sauvegarde (articles 11 et 12 de la Convention).</w:t>
      </w:r>
      <w:r w:rsidR="006E2F58" w:rsidRPr="009D394F">
        <w:rPr>
          <w:rFonts w:cs="Times New Roman"/>
          <w:szCs w:val="24"/>
          <w:lang w:val="fr-FR"/>
        </w:rPr>
        <w:t xml:space="preserve"> </w:t>
      </w:r>
      <w:r w:rsidR="00A529B5">
        <w:rPr>
          <w:szCs w:val="24"/>
          <w:lang w:val="fr-FR"/>
        </w:rPr>
        <w:t>À cet égard</w:t>
      </w:r>
      <w:r w:rsidR="006E2F58" w:rsidRPr="009D394F">
        <w:rPr>
          <w:rFonts w:cs="Times New Roman"/>
          <w:szCs w:val="24"/>
          <w:lang w:val="fr-FR"/>
        </w:rPr>
        <w:t>, les organes d</w:t>
      </w:r>
      <w:r w:rsidR="00F36C26">
        <w:rPr>
          <w:rFonts w:cs="Times New Roman"/>
          <w:szCs w:val="24"/>
          <w:lang w:val="fr-FR"/>
        </w:rPr>
        <w:t>’</w:t>
      </w:r>
      <w:r w:rsidR="006E2F58" w:rsidRPr="009D394F">
        <w:rPr>
          <w:rFonts w:cs="Times New Roman"/>
          <w:szCs w:val="24"/>
          <w:lang w:val="fr-FR"/>
        </w:rPr>
        <w:t>évaluation ont à plusieurs reprises attiré l</w:t>
      </w:r>
      <w:r w:rsidR="00F36C26">
        <w:rPr>
          <w:rFonts w:cs="Times New Roman"/>
          <w:szCs w:val="24"/>
          <w:lang w:val="fr-FR"/>
        </w:rPr>
        <w:t>’</w:t>
      </w:r>
      <w:r w:rsidR="006E2F58" w:rsidRPr="009D394F">
        <w:rPr>
          <w:rFonts w:cs="Times New Roman"/>
          <w:szCs w:val="24"/>
          <w:lang w:val="fr-FR"/>
        </w:rPr>
        <w:t xml:space="preserve">attention sur le fait que de nombreux dossiers de candidature ne satisfaisaient pas pleinement aux critères U.5/R.5. </w:t>
      </w:r>
      <w:r w:rsidR="006E2F58" w:rsidRPr="006C40D0">
        <w:rPr>
          <w:rFonts w:cs="Times New Roman"/>
          <w:szCs w:val="24"/>
          <w:lang w:val="fr-FR"/>
        </w:rPr>
        <w:t>Cela semble souvent s</w:t>
      </w:r>
      <w:r w:rsidR="00F36C26">
        <w:rPr>
          <w:rFonts w:cs="Times New Roman"/>
          <w:szCs w:val="24"/>
          <w:lang w:val="fr-FR"/>
        </w:rPr>
        <w:t>’</w:t>
      </w:r>
      <w:r w:rsidR="006E2F58" w:rsidRPr="006C40D0">
        <w:rPr>
          <w:rFonts w:cs="Times New Roman"/>
          <w:szCs w:val="24"/>
          <w:lang w:val="fr-FR"/>
        </w:rPr>
        <w:t>expliquer par le fait que la modalité et la périodicité de l</w:t>
      </w:r>
      <w:r w:rsidR="00F36C26">
        <w:rPr>
          <w:rFonts w:cs="Times New Roman"/>
          <w:szCs w:val="24"/>
          <w:lang w:val="fr-FR"/>
        </w:rPr>
        <w:t>’</w:t>
      </w:r>
      <w:r w:rsidR="006E2F58" w:rsidRPr="006C40D0">
        <w:rPr>
          <w:rFonts w:cs="Times New Roman"/>
          <w:szCs w:val="24"/>
          <w:lang w:val="fr-FR"/>
        </w:rPr>
        <w:t>établissement et de la mise à jour des inventaires conformément aux articles 11 et 12 n</w:t>
      </w:r>
      <w:r w:rsidR="00F36C26">
        <w:rPr>
          <w:rFonts w:cs="Times New Roman"/>
          <w:szCs w:val="24"/>
          <w:lang w:val="fr-FR"/>
        </w:rPr>
        <w:t>’</w:t>
      </w:r>
      <w:r w:rsidR="006E2F58" w:rsidRPr="006C40D0">
        <w:rPr>
          <w:rFonts w:cs="Times New Roman"/>
          <w:szCs w:val="24"/>
          <w:lang w:val="fr-FR"/>
        </w:rPr>
        <w:t>ont pas été suffisamment expliquées, ce qui a conduit à des recommandations de renvoi</w:t>
      </w:r>
      <w:r w:rsidR="00A30DFA">
        <w:rPr>
          <w:rStyle w:val="Appelnotedebasdep"/>
          <w:rFonts w:cs="Times New Roman"/>
          <w:szCs w:val="24"/>
          <w:lang w:val="fr-FR"/>
        </w:rPr>
        <w:footnoteReference w:id="20"/>
      </w:r>
      <w:r w:rsidR="006E2F58" w:rsidRPr="006C40D0">
        <w:rPr>
          <w:rFonts w:cs="Times New Roman"/>
          <w:szCs w:val="24"/>
          <w:lang w:val="fr-FR"/>
        </w:rPr>
        <w:t>. Néanmoins, l</w:t>
      </w:r>
      <w:r w:rsidR="00F36C26">
        <w:rPr>
          <w:rFonts w:cs="Times New Roman"/>
          <w:szCs w:val="24"/>
          <w:lang w:val="fr-FR"/>
        </w:rPr>
        <w:t>’</w:t>
      </w:r>
      <w:r w:rsidR="006E2F58" w:rsidRPr="006C40D0">
        <w:rPr>
          <w:rFonts w:cs="Times New Roman"/>
          <w:szCs w:val="24"/>
          <w:lang w:val="fr-FR"/>
        </w:rPr>
        <w:t>Organe d</w:t>
      </w:r>
      <w:r w:rsidR="00F36C26">
        <w:rPr>
          <w:rFonts w:cs="Times New Roman"/>
          <w:szCs w:val="24"/>
          <w:lang w:val="fr-FR"/>
        </w:rPr>
        <w:t>’</w:t>
      </w:r>
      <w:r w:rsidR="006E2F58" w:rsidRPr="006C40D0">
        <w:rPr>
          <w:rFonts w:cs="Times New Roman"/>
          <w:szCs w:val="24"/>
          <w:lang w:val="fr-FR"/>
        </w:rPr>
        <w:t xml:space="preserve">évaluation en 2018 a estimé que la récente réforme des formulaires de candidature concernant le critère R.5 avait contribué à mieux guider les États soumissionnaires </w:t>
      </w:r>
      <w:r w:rsidR="001D297F">
        <w:rPr>
          <w:rFonts w:cs="Times New Roman"/>
          <w:szCs w:val="24"/>
          <w:lang w:val="fr-FR"/>
        </w:rPr>
        <w:t>à</w:t>
      </w:r>
      <w:r w:rsidR="001D297F" w:rsidRPr="006C40D0">
        <w:rPr>
          <w:rFonts w:cs="Times New Roman"/>
          <w:szCs w:val="24"/>
          <w:lang w:val="fr-FR"/>
        </w:rPr>
        <w:t xml:space="preserve"> </w:t>
      </w:r>
      <w:r w:rsidR="006E2F58" w:rsidRPr="006C40D0">
        <w:rPr>
          <w:rFonts w:cs="Times New Roman"/>
          <w:szCs w:val="24"/>
          <w:lang w:val="fr-FR"/>
        </w:rPr>
        <w:t>fourni</w:t>
      </w:r>
      <w:r w:rsidR="001D297F">
        <w:rPr>
          <w:rFonts w:cs="Times New Roman"/>
          <w:szCs w:val="24"/>
          <w:lang w:val="fr-FR"/>
        </w:rPr>
        <w:t>r</w:t>
      </w:r>
      <w:r w:rsidR="006E2F58" w:rsidRPr="006C40D0">
        <w:rPr>
          <w:rFonts w:cs="Times New Roman"/>
          <w:szCs w:val="24"/>
          <w:lang w:val="fr-FR"/>
        </w:rPr>
        <w:t xml:space="preserve"> les informations nécessaires pour</w:t>
      </w:r>
      <w:r w:rsidR="006E2F58" w:rsidRPr="00C93ED5">
        <w:rPr>
          <w:rFonts w:cs="Times New Roman"/>
          <w:szCs w:val="24"/>
          <w:lang w:val="fr-FR"/>
        </w:rPr>
        <w:t xml:space="preserve"> satisfaire ce critère</w:t>
      </w:r>
      <w:r w:rsidR="006E2F58">
        <w:rPr>
          <w:rStyle w:val="Appelnotedebasdep"/>
        </w:rPr>
        <w:footnoteReference w:id="21"/>
      </w:r>
      <w:r w:rsidR="006E2F58" w:rsidRPr="009D394F">
        <w:rPr>
          <w:lang w:val="fr-FR"/>
        </w:rPr>
        <w:t>.</w:t>
      </w:r>
    </w:p>
    <w:p w14:paraId="483E498B" w14:textId="045BAE79" w:rsidR="005E32DA" w:rsidRPr="009D394F" w:rsidRDefault="005E32DA" w:rsidP="00A433A5">
      <w:pPr>
        <w:pStyle w:val="Marge"/>
        <w:numPr>
          <w:ilvl w:val="0"/>
          <w:numId w:val="2"/>
        </w:numPr>
        <w:snapToGrid/>
        <w:spacing w:before="120" w:after="360"/>
        <w:ind w:left="567" w:hanging="567"/>
        <w:rPr>
          <w:rFonts w:eastAsia="SimSun" w:cs="Arial"/>
          <w:szCs w:val="22"/>
          <w:lang w:eastAsia="ja-JP"/>
        </w:rPr>
      </w:pPr>
      <w:r w:rsidRPr="004A7593">
        <w:rPr>
          <w:b/>
        </w:rPr>
        <w:t>Débat</w:t>
      </w:r>
      <w:r w:rsidR="00A91DE7">
        <w:rPr>
          <w:b/>
        </w:rPr>
        <w:t>s</w:t>
      </w:r>
      <w:r w:rsidRPr="004A7593">
        <w:rPr>
          <w:b/>
        </w:rPr>
        <w:t xml:space="preserve"> </w:t>
      </w:r>
      <w:r w:rsidR="007B69D4">
        <w:rPr>
          <w:b/>
        </w:rPr>
        <w:t>précédent</w:t>
      </w:r>
      <w:r w:rsidR="00A91DE7">
        <w:rPr>
          <w:b/>
        </w:rPr>
        <w:t>s</w:t>
      </w:r>
      <w:r>
        <w:t> : Il convient de noter que, à la demande de l</w:t>
      </w:r>
      <w:r w:rsidR="00F36C26">
        <w:t>’</w:t>
      </w:r>
      <w:r>
        <w:t xml:space="preserve">Assemblée générale </w:t>
      </w:r>
      <w:r w:rsidR="002C5752">
        <w:t>lors</w:t>
      </w:r>
      <w:r>
        <w:t xml:space="preserve"> de sa troisième session en 2010</w:t>
      </w:r>
      <w:r>
        <w:rPr>
          <w:rStyle w:val="Appelnotedebasdep"/>
          <w:lang w:val="en-US"/>
        </w:rPr>
        <w:footnoteReference w:id="22"/>
      </w:r>
      <w:r>
        <w:t>, le Comité a déjà entrepris de réfléchir à la révision des critères d</w:t>
      </w:r>
      <w:r w:rsidR="00F36C26">
        <w:t>’</w:t>
      </w:r>
      <w:r>
        <w:t xml:space="preserve">inscription sur la Liste de sauvegarde urgente et la Liste représentative </w:t>
      </w:r>
      <w:r w:rsidR="002C5752">
        <w:t>lors de</w:t>
      </w:r>
      <w:r>
        <w:t xml:space="preserve"> s</w:t>
      </w:r>
      <w:r w:rsidR="002C5752">
        <w:t>es</w:t>
      </w:r>
      <w:r>
        <w:t xml:space="preserve"> cinquième et </w:t>
      </w:r>
      <w:r w:rsidR="00A529B5">
        <w:t>sixième</w:t>
      </w:r>
      <w:r>
        <w:t xml:space="preserve"> session</w:t>
      </w:r>
      <w:r w:rsidR="002C5752">
        <w:t>s</w:t>
      </w:r>
      <w:r>
        <w:t>. Au cours de ces réunion</w:t>
      </w:r>
      <w:r w:rsidR="00894B73">
        <w:t>s</w:t>
      </w:r>
      <w:r>
        <w:t>, une minorité d</w:t>
      </w:r>
      <w:r w:rsidR="00F36C26">
        <w:t>’</w:t>
      </w:r>
      <w:r>
        <w:t xml:space="preserve">États a avancé les arguments suivants </w:t>
      </w:r>
      <w:r w:rsidR="002C5752">
        <w:t xml:space="preserve">au sujet </w:t>
      </w:r>
      <w:r>
        <w:t xml:space="preserve">des amendements potentiels </w:t>
      </w:r>
      <w:r w:rsidR="002C5752">
        <w:t>d</w:t>
      </w:r>
      <w:r>
        <w:t>u critère R.2 : (</w:t>
      </w:r>
      <w:r w:rsidR="001D297F">
        <w:t>1</w:t>
      </w:r>
      <w:r>
        <w:t>) que la visibilité et la prise de conscience de l</w:t>
      </w:r>
      <w:r w:rsidR="00F36C26">
        <w:t>’</w:t>
      </w:r>
      <w:r>
        <w:t>importance du patrimoine culturel immatériel étai</w:t>
      </w:r>
      <w:r w:rsidR="002C5752">
        <w:t>en</w:t>
      </w:r>
      <w:r>
        <w:t>t une conséquence plutôt qu</w:t>
      </w:r>
      <w:r w:rsidR="00F36C26">
        <w:t>’</w:t>
      </w:r>
      <w:r>
        <w:t>une condition préalable à l</w:t>
      </w:r>
      <w:r w:rsidR="00F36C26">
        <w:t>’</w:t>
      </w:r>
      <w:r>
        <w:t xml:space="preserve">inscription ; (2) que le critère R.2 était redondant ; et (3) que le critère R.2 devrait être supprimé ou fusionné au critère R.1. La majorité des États </w:t>
      </w:r>
      <w:r w:rsidR="001D297F">
        <w:t xml:space="preserve">a </w:t>
      </w:r>
      <w:r>
        <w:t xml:space="preserve">considéré que le critère </w:t>
      </w:r>
      <w:r w:rsidR="002C5752">
        <w:t xml:space="preserve">était le fruit de délibérations minutieuses et prolongées </w:t>
      </w:r>
      <w:r>
        <w:t>et qu</w:t>
      </w:r>
      <w:r w:rsidR="00F36C26">
        <w:t>’</w:t>
      </w:r>
      <w:r>
        <w:t xml:space="preserve">une révision à ce stade serait donc prématurée. En outre, il a été </w:t>
      </w:r>
      <w:r w:rsidR="002C5752">
        <w:t xml:space="preserve">souligné </w:t>
      </w:r>
      <w:r>
        <w:t xml:space="preserve">que le critère R.2 </w:t>
      </w:r>
      <w:r w:rsidR="002C5752">
        <w:t>illustrait</w:t>
      </w:r>
      <w:r>
        <w:t xml:space="preserve"> le principal objectif de la Liste représentative et devrait donc être conservé</w:t>
      </w:r>
      <w:r>
        <w:rPr>
          <w:rStyle w:val="Appelnotedebasdep"/>
          <w:rFonts w:eastAsia="SimSun"/>
          <w:lang w:val="en-GB" w:eastAsia="ja-JP"/>
        </w:rPr>
        <w:footnoteReference w:id="23"/>
      </w:r>
      <w:r>
        <w:t>. Au terme des débats, le Comité a recommandé de conserver le critère d</w:t>
      </w:r>
      <w:r w:rsidR="00F36C26">
        <w:t>’</w:t>
      </w:r>
      <w:r>
        <w:t xml:space="preserve">inscription </w:t>
      </w:r>
      <w:r w:rsidR="002C5752">
        <w:t>sur</w:t>
      </w:r>
      <w:r>
        <w:t xml:space="preserve"> les deux Listes </w:t>
      </w:r>
      <w:r w:rsidR="002C5752">
        <w:t>sous sa forme actuelle</w:t>
      </w:r>
      <w:r>
        <w:rPr>
          <w:rStyle w:val="Appelnotedebasdep"/>
          <w:rFonts w:eastAsia="SimSun"/>
          <w:lang w:val="en-GB" w:eastAsia="ja-JP"/>
        </w:rPr>
        <w:footnoteReference w:id="24"/>
      </w:r>
      <w:r>
        <w:t>.</w:t>
      </w:r>
    </w:p>
    <w:tbl>
      <w:tblPr>
        <w:tblStyle w:val="Grilledutableau"/>
        <w:tblW w:w="0" w:type="auto"/>
        <w:tblInd w:w="567" w:type="dxa"/>
        <w:tblLook w:val="04A0" w:firstRow="1" w:lastRow="0" w:firstColumn="1" w:lastColumn="0" w:noHBand="0" w:noVBand="1"/>
      </w:tblPr>
      <w:tblGrid>
        <w:gridCol w:w="9061"/>
      </w:tblGrid>
      <w:tr w:rsidR="0024285B" w:rsidRPr="007D54EB" w14:paraId="21668262" w14:textId="77777777" w:rsidTr="009D394F">
        <w:tc>
          <w:tcPr>
            <w:tcW w:w="9061" w:type="dxa"/>
            <w:shd w:val="clear" w:color="auto" w:fill="F2F2F2" w:themeFill="background1" w:themeFillShade="F2"/>
          </w:tcPr>
          <w:p w14:paraId="18982F97" w14:textId="77777777" w:rsidR="0024285B" w:rsidRPr="007D54EB" w:rsidRDefault="0024285B" w:rsidP="00563117">
            <w:pPr>
              <w:pStyle w:val="COMPara"/>
              <w:keepNext/>
              <w:numPr>
                <w:ilvl w:val="0"/>
                <w:numId w:val="0"/>
              </w:numPr>
              <w:spacing w:before="120"/>
              <w:jc w:val="both"/>
              <w:rPr>
                <w:lang w:val="fr-FR"/>
              </w:rPr>
            </w:pPr>
            <w:r>
              <w:rPr>
                <w:lang w:val="fr-FR"/>
              </w:rPr>
              <w:t>C</w:t>
            </w:r>
            <w:r w:rsidRPr="007D54EB">
              <w:rPr>
                <w:lang w:val="fr-FR"/>
              </w:rPr>
              <w:t>.</w:t>
            </w:r>
            <w:r w:rsidRPr="007D54EB">
              <w:rPr>
                <w:lang w:val="fr-FR"/>
              </w:rPr>
              <w:tab/>
            </w:r>
            <w:r>
              <w:rPr>
                <w:lang w:val="fr-FR"/>
              </w:rPr>
              <w:t>Problèmes</w:t>
            </w:r>
            <w:r w:rsidRPr="007D54EB">
              <w:rPr>
                <w:lang w:val="fr-FR"/>
              </w:rPr>
              <w:t xml:space="preserve"> </w:t>
            </w:r>
            <w:r>
              <w:rPr>
                <w:lang w:val="fr-FR"/>
              </w:rPr>
              <w:t>relatifs</w:t>
            </w:r>
            <w:r w:rsidRPr="007D54EB">
              <w:rPr>
                <w:lang w:val="fr-FR"/>
              </w:rPr>
              <w:t xml:space="preserve"> au suivi des éléments inscrits </w:t>
            </w:r>
          </w:p>
        </w:tc>
      </w:tr>
    </w:tbl>
    <w:p w14:paraId="74A4AADC" w14:textId="71289BA1" w:rsidR="0024285B" w:rsidRPr="009D394F" w:rsidRDefault="00154E9C" w:rsidP="000568CF">
      <w:pPr>
        <w:pStyle w:val="Marge"/>
        <w:numPr>
          <w:ilvl w:val="0"/>
          <w:numId w:val="2"/>
        </w:numPr>
        <w:snapToGrid/>
        <w:spacing w:before="240" w:after="120"/>
        <w:ind w:left="567" w:hanging="567"/>
      </w:pPr>
      <w:r w:rsidRPr="009D394F">
        <w:rPr>
          <w:b/>
        </w:rPr>
        <w:t>Traitement de l</w:t>
      </w:r>
      <w:r w:rsidR="00F36C26">
        <w:rPr>
          <w:b/>
        </w:rPr>
        <w:t>’</w:t>
      </w:r>
      <w:r w:rsidRPr="009D394F">
        <w:rPr>
          <w:b/>
        </w:rPr>
        <w:t>information</w:t>
      </w:r>
      <w:r>
        <w:t xml:space="preserve"> : </w:t>
      </w:r>
      <w:r w:rsidR="00EC4C3C">
        <w:t xml:space="preserve">Le Secrétariat a observé un nombre croissant de problèmes concernant des éléments inscrits sur les Listes, qui sont portés à son attention par </w:t>
      </w:r>
      <w:r w:rsidR="00A97C18">
        <w:t>d</w:t>
      </w:r>
      <w:r w:rsidR="00EC4C3C">
        <w:t xml:space="preserve">es communautés, </w:t>
      </w:r>
      <w:r w:rsidR="00A97C18">
        <w:t>d</w:t>
      </w:r>
      <w:r w:rsidR="00EC4C3C">
        <w:t xml:space="preserve">es organisations non gouvernementales (ONG), </w:t>
      </w:r>
      <w:r w:rsidR="00A97C18">
        <w:t>d</w:t>
      </w:r>
      <w:r w:rsidR="00EC4C3C">
        <w:t>es individus et d</w:t>
      </w:r>
      <w:r w:rsidR="00F36C26">
        <w:t>’</w:t>
      </w:r>
      <w:r w:rsidR="00EC4C3C">
        <w:t>autres tierces parties, ainsi que par la presse. Malgré la gravité de certains des problèmes soulevés, il n</w:t>
      </w:r>
      <w:r w:rsidR="00F36C26">
        <w:t>’</w:t>
      </w:r>
      <w:r w:rsidR="00EC4C3C">
        <w:t>existe actuellement aucun mécanisme permettant au Secrétariat de porter ces informations à l</w:t>
      </w:r>
      <w:r w:rsidR="00F36C26">
        <w:t>’</w:t>
      </w:r>
      <w:r w:rsidR="00EC4C3C">
        <w:t>attention du Comité. À la lumière de cette évolution croissante et en l</w:t>
      </w:r>
      <w:r w:rsidR="00F36C26">
        <w:t>’</w:t>
      </w:r>
      <w:r w:rsidR="00EC4C3C">
        <w:t>absence d</w:t>
      </w:r>
      <w:r w:rsidR="00F36C26">
        <w:t>’</w:t>
      </w:r>
      <w:r w:rsidR="00EC4C3C">
        <w:t>un mécanisme à cet effet, le Comité a reconnu lors de sa treizième session en 2018 « la nécessité de réfléchir au suivi des éléments inscrits » et a décidé d</w:t>
      </w:r>
      <w:r w:rsidR="00F36C26">
        <w:t>’</w:t>
      </w:r>
      <w:r w:rsidR="00EC4C3C">
        <w:t>inclure cette réflexion dans le cadre plus large de la réflexion sur l</w:t>
      </w:r>
      <w:r w:rsidR="00F36C26">
        <w:t>’</w:t>
      </w:r>
      <w:r w:rsidR="00EC4C3C">
        <w:t>avenir des mécanismes d</w:t>
      </w:r>
      <w:r w:rsidR="00F36C26">
        <w:t>’</w:t>
      </w:r>
      <w:r w:rsidR="00EC4C3C">
        <w:t>inscription de la Convention</w:t>
      </w:r>
      <w:r w:rsidR="00EC4C3C">
        <w:rPr>
          <w:rStyle w:val="Appelnotedebasdep"/>
          <w:lang w:val="en-GB"/>
        </w:rPr>
        <w:footnoteReference w:id="25"/>
      </w:r>
      <w:r w:rsidR="00EC4C3C">
        <w:t>.</w:t>
      </w:r>
    </w:p>
    <w:p w14:paraId="6C3BC224" w14:textId="2490DFD8" w:rsidR="00DB4E3F" w:rsidRPr="00255DED" w:rsidRDefault="00DB4E3F" w:rsidP="00DB4E3F">
      <w:pPr>
        <w:pStyle w:val="Marge"/>
        <w:numPr>
          <w:ilvl w:val="0"/>
          <w:numId w:val="2"/>
        </w:numPr>
        <w:snapToGrid/>
        <w:spacing w:after="120"/>
        <w:ind w:left="567" w:hanging="567"/>
        <w:rPr>
          <w:rFonts w:eastAsia="SimSun"/>
          <w:lang w:eastAsia="ja-JP"/>
        </w:rPr>
      </w:pPr>
      <w:r w:rsidRPr="00910792">
        <w:rPr>
          <w:rFonts w:cs="Arial"/>
          <w:szCs w:val="22"/>
        </w:rPr>
        <w:t>Au cours de la période examinée</w:t>
      </w:r>
      <w:r>
        <w:rPr>
          <w:rFonts w:cs="Arial"/>
          <w:szCs w:val="22"/>
        </w:rPr>
        <w:t xml:space="preserve"> (décembre 201</w:t>
      </w:r>
      <w:r w:rsidR="0038693A">
        <w:rPr>
          <w:rFonts w:cs="Arial"/>
          <w:szCs w:val="22"/>
        </w:rPr>
        <w:t>8</w:t>
      </w:r>
      <w:r>
        <w:rPr>
          <w:rFonts w:cs="Arial"/>
          <w:szCs w:val="22"/>
        </w:rPr>
        <w:t xml:space="preserve"> – septembre 2019)</w:t>
      </w:r>
      <w:r w:rsidRPr="00910792">
        <w:rPr>
          <w:rFonts w:cs="Arial"/>
          <w:szCs w:val="22"/>
        </w:rPr>
        <w:t>, quatre éléments ont fait l</w:t>
      </w:r>
      <w:r w:rsidR="00F36C26">
        <w:rPr>
          <w:rFonts w:cs="Arial"/>
          <w:szCs w:val="22"/>
        </w:rPr>
        <w:t>’</w:t>
      </w:r>
      <w:r w:rsidRPr="00910792">
        <w:rPr>
          <w:rFonts w:cs="Arial"/>
          <w:szCs w:val="22"/>
        </w:rPr>
        <w:t>objet d</w:t>
      </w:r>
      <w:r w:rsidR="00F36C26">
        <w:rPr>
          <w:rFonts w:cs="Arial"/>
          <w:szCs w:val="22"/>
        </w:rPr>
        <w:t>’</w:t>
      </w:r>
      <w:r w:rsidRPr="00910792">
        <w:rPr>
          <w:rFonts w:cs="Arial"/>
          <w:szCs w:val="22"/>
        </w:rPr>
        <w:t xml:space="preserve">une correspondance </w:t>
      </w:r>
      <w:r w:rsidR="00A97C18">
        <w:rPr>
          <w:rFonts w:cs="Arial"/>
          <w:szCs w:val="22"/>
        </w:rPr>
        <w:t xml:space="preserve">de la part de </w:t>
      </w:r>
      <w:r w:rsidRPr="00910792">
        <w:rPr>
          <w:rFonts w:cs="Arial"/>
          <w:szCs w:val="22"/>
        </w:rPr>
        <w:t xml:space="preserve">communautés concernées ou de tierces parties </w:t>
      </w:r>
      <w:r w:rsidR="00A97C18">
        <w:rPr>
          <w:rFonts w:cs="Arial"/>
          <w:szCs w:val="22"/>
        </w:rPr>
        <w:t xml:space="preserve">qui </w:t>
      </w:r>
      <w:r w:rsidRPr="00910792">
        <w:rPr>
          <w:rFonts w:cs="Arial"/>
          <w:szCs w:val="22"/>
        </w:rPr>
        <w:t>ont fait état de leurs inquiétudes concernant les récentes évolutions affectant l</w:t>
      </w:r>
      <w:r w:rsidR="00F36C26">
        <w:rPr>
          <w:rFonts w:cs="Arial"/>
          <w:szCs w:val="22"/>
        </w:rPr>
        <w:t>’</w:t>
      </w:r>
      <w:r w:rsidRPr="00910792">
        <w:rPr>
          <w:rFonts w:cs="Arial"/>
          <w:szCs w:val="22"/>
        </w:rPr>
        <w:t>état et la viabilité d</w:t>
      </w:r>
      <w:r w:rsidR="00F36C26">
        <w:rPr>
          <w:rFonts w:cs="Arial"/>
          <w:szCs w:val="22"/>
        </w:rPr>
        <w:t>’</w:t>
      </w:r>
      <w:r w:rsidRPr="00910792">
        <w:rPr>
          <w:rFonts w:cs="Arial"/>
          <w:szCs w:val="22"/>
        </w:rPr>
        <w:t>éléments inscrits (voir l</w:t>
      </w:r>
      <w:r w:rsidR="00F36C26">
        <w:rPr>
          <w:rFonts w:cs="Arial"/>
          <w:szCs w:val="22"/>
        </w:rPr>
        <w:t>’</w:t>
      </w:r>
      <w:r>
        <w:rPr>
          <w:rFonts w:cs="Arial"/>
          <w:szCs w:val="22"/>
        </w:rPr>
        <w:t>a</w:t>
      </w:r>
      <w:r w:rsidRPr="00910792">
        <w:rPr>
          <w:rFonts w:cs="Arial"/>
          <w:szCs w:val="22"/>
        </w:rPr>
        <w:t>nnexe II). La correspondance reçue a soulevé plusieurs problèmes importants susceptibles d</w:t>
      </w:r>
      <w:r w:rsidR="00F36C26">
        <w:rPr>
          <w:rFonts w:cs="Arial"/>
          <w:szCs w:val="22"/>
        </w:rPr>
        <w:t>’</w:t>
      </w:r>
      <w:r w:rsidRPr="00910792">
        <w:rPr>
          <w:rFonts w:cs="Arial"/>
          <w:szCs w:val="22"/>
        </w:rPr>
        <w:t>avoir un impact sur l</w:t>
      </w:r>
      <w:r w:rsidR="00F36C26">
        <w:rPr>
          <w:rFonts w:cs="Arial"/>
          <w:szCs w:val="22"/>
        </w:rPr>
        <w:t>’</w:t>
      </w:r>
      <w:r w:rsidRPr="00910792">
        <w:rPr>
          <w:rFonts w:cs="Arial"/>
          <w:szCs w:val="22"/>
        </w:rPr>
        <w:t xml:space="preserve">état des éléments inscrits. </w:t>
      </w:r>
      <w:r>
        <w:rPr>
          <w:rFonts w:cs="Arial"/>
          <w:szCs w:val="22"/>
        </w:rPr>
        <w:t>Selon les</w:t>
      </w:r>
      <w:r w:rsidRPr="00910792">
        <w:rPr>
          <w:rFonts w:cs="Arial"/>
          <w:szCs w:val="22"/>
        </w:rPr>
        <w:t xml:space="preserve"> </w:t>
      </w:r>
      <w:r>
        <w:rPr>
          <w:rFonts w:cs="Arial"/>
          <w:szCs w:val="22"/>
        </w:rPr>
        <w:t>« orientations</w:t>
      </w:r>
      <w:r w:rsidRPr="00910792">
        <w:rPr>
          <w:rFonts w:cs="Arial"/>
          <w:szCs w:val="22"/>
        </w:rPr>
        <w:t xml:space="preserve"> concernant le traitement de la correspondance </w:t>
      </w:r>
      <w:r>
        <w:rPr>
          <w:rFonts w:cs="Arial"/>
          <w:szCs w:val="22"/>
        </w:rPr>
        <w:t xml:space="preserve">du </w:t>
      </w:r>
      <w:r w:rsidRPr="00910792">
        <w:rPr>
          <w:rFonts w:cs="Arial"/>
          <w:szCs w:val="22"/>
        </w:rPr>
        <w:t xml:space="preserve">public ou </w:t>
      </w:r>
      <w:r>
        <w:rPr>
          <w:rFonts w:cs="Arial"/>
          <w:szCs w:val="22"/>
        </w:rPr>
        <w:t>d</w:t>
      </w:r>
      <w:r w:rsidR="00F36C26">
        <w:rPr>
          <w:rFonts w:cs="Arial"/>
          <w:szCs w:val="22"/>
        </w:rPr>
        <w:t>’</w:t>
      </w:r>
      <w:r w:rsidRPr="00910792">
        <w:rPr>
          <w:rFonts w:cs="Arial"/>
          <w:szCs w:val="22"/>
        </w:rPr>
        <w:t>autre</w:t>
      </w:r>
      <w:r>
        <w:rPr>
          <w:rFonts w:cs="Arial"/>
          <w:szCs w:val="22"/>
        </w:rPr>
        <w:t>s</w:t>
      </w:r>
      <w:r w:rsidRPr="00910792">
        <w:rPr>
          <w:rFonts w:cs="Arial"/>
          <w:szCs w:val="22"/>
        </w:rPr>
        <w:t xml:space="preserve"> partie</w:t>
      </w:r>
      <w:r>
        <w:rPr>
          <w:rFonts w:cs="Arial"/>
          <w:szCs w:val="22"/>
        </w:rPr>
        <w:t>s</w:t>
      </w:r>
      <w:r w:rsidRPr="00910792">
        <w:rPr>
          <w:rFonts w:cs="Arial"/>
          <w:szCs w:val="22"/>
        </w:rPr>
        <w:t xml:space="preserve"> concernée</w:t>
      </w:r>
      <w:r>
        <w:rPr>
          <w:rFonts w:cs="Arial"/>
          <w:szCs w:val="22"/>
        </w:rPr>
        <w:t>s</w:t>
      </w:r>
      <w:r w:rsidRPr="00910792">
        <w:rPr>
          <w:rFonts w:cs="Arial"/>
          <w:szCs w:val="22"/>
        </w:rPr>
        <w:t xml:space="preserve"> </w:t>
      </w:r>
      <w:r>
        <w:rPr>
          <w:rFonts w:cs="Arial"/>
          <w:szCs w:val="22"/>
        </w:rPr>
        <w:t xml:space="preserve">au sujet des </w:t>
      </w:r>
      <w:r w:rsidRPr="00910792">
        <w:rPr>
          <w:rFonts w:cs="Arial"/>
          <w:szCs w:val="22"/>
        </w:rPr>
        <w:t>candidatures</w:t>
      </w:r>
      <w:r>
        <w:rPr>
          <w:rFonts w:cs="Arial"/>
          <w:szCs w:val="22"/>
        </w:rPr>
        <w:t> »</w:t>
      </w:r>
      <w:r w:rsidRPr="00910792">
        <w:rPr>
          <w:rFonts w:cs="Arial"/>
          <w:szCs w:val="22"/>
        </w:rPr>
        <w:t xml:space="preserve"> (</w:t>
      </w:r>
      <w:hyperlink r:id="rId14" w:history="1">
        <w:r w:rsidR="00A433A5">
          <w:rPr>
            <w:rStyle w:val="Lienhypertexte"/>
          </w:rPr>
          <w:t>d</w:t>
        </w:r>
        <w:r w:rsidRPr="004A7593">
          <w:rPr>
            <w:rStyle w:val="Lienhypertexte"/>
          </w:rPr>
          <w:t>écision 7.COM 15</w:t>
        </w:r>
      </w:hyperlink>
      <w:r w:rsidRPr="00910792">
        <w:rPr>
          <w:rFonts w:cs="Arial"/>
          <w:szCs w:val="22"/>
        </w:rPr>
        <w:t>)</w:t>
      </w:r>
      <w:r>
        <w:rPr>
          <w:rFonts w:cs="Arial"/>
          <w:szCs w:val="22"/>
        </w:rPr>
        <w:t xml:space="preserve"> qui ont été adoptées par le Comité en 2012</w:t>
      </w:r>
      <w:r w:rsidRPr="00910792">
        <w:rPr>
          <w:rFonts w:cs="Arial"/>
          <w:szCs w:val="22"/>
        </w:rPr>
        <w:t xml:space="preserve">, le Secrétariat a transmis les lettres reçues aux autorités compétentes </w:t>
      </w:r>
      <w:r>
        <w:rPr>
          <w:rFonts w:cs="Arial"/>
          <w:szCs w:val="22"/>
        </w:rPr>
        <w:lastRenderedPageBreak/>
        <w:t xml:space="preserve">responsables </w:t>
      </w:r>
      <w:r w:rsidRPr="00910792">
        <w:rPr>
          <w:rFonts w:cs="Arial"/>
          <w:szCs w:val="22"/>
        </w:rPr>
        <w:t>de l</w:t>
      </w:r>
      <w:r w:rsidR="00F36C26">
        <w:rPr>
          <w:rFonts w:cs="Arial"/>
          <w:szCs w:val="22"/>
        </w:rPr>
        <w:t>’</w:t>
      </w:r>
      <w:r>
        <w:rPr>
          <w:rFonts w:cs="Arial"/>
          <w:szCs w:val="22"/>
        </w:rPr>
        <w:t xml:space="preserve">élément </w:t>
      </w:r>
      <w:r w:rsidRPr="00910792">
        <w:rPr>
          <w:rFonts w:cs="Arial"/>
          <w:szCs w:val="22"/>
        </w:rPr>
        <w:t xml:space="preserve">concerné. </w:t>
      </w:r>
      <w:r w:rsidR="00255DED" w:rsidRPr="00CB69D9">
        <w:t>A</w:t>
      </w:r>
      <w:r w:rsidRPr="00CB69D9">
        <w:t>ucun des États parties n</w:t>
      </w:r>
      <w:r w:rsidR="00F36C26">
        <w:t>’</w:t>
      </w:r>
      <w:r w:rsidRPr="00CB69D9">
        <w:t xml:space="preserve">a encore </w:t>
      </w:r>
      <w:r w:rsidR="0038693A" w:rsidRPr="00CB69D9">
        <w:t xml:space="preserve">fourni </w:t>
      </w:r>
      <w:r w:rsidRPr="00CB69D9">
        <w:t xml:space="preserve">de réponse pouvant être transférée à </w:t>
      </w:r>
      <w:r w:rsidR="00F36C26">
        <w:t>’</w:t>
      </w:r>
      <w:r w:rsidR="0038693A" w:rsidRPr="00CB69D9">
        <w:t>l</w:t>
      </w:r>
      <w:r w:rsidR="00F36C26">
        <w:t>’</w:t>
      </w:r>
      <w:r w:rsidR="0038693A" w:rsidRPr="00CB69D9">
        <w:t>auteur de</w:t>
      </w:r>
      <w:r w:rsidRPr="00CB69D9">
        <w:t xml:space="preserve"> la correspondance initiale</w:t>
      </w:r>
      <w:r w:rsidRPr="00255DED">
        <w:rPr>
          <w:rFonts w:cs="Arial"/>
          <w:szCs w:val="22"/>
        </w:rPr>
        <w:t>.</w:t>
      </w:r>
    </w:p>
    <w:p w14:paraId="4B93C19C" w14:textId="2359E40C" w:rsidR="00BE0BB9" w:rsidRPr="006C40D0" w:rsidRDefault="00DE3F97">
      <w:pPr>
        <w:pStyle w:val="COMPara"/>
        <w:ind w:left="567" w:hanging="567"/>
        <w:jc w:val="both"/>
        <w:rPr>
          <w:lang w:val="fr-FR"/>
        </w:rPr>
      </w:pPr>
      <w:r>
        <w:rPr>
          <w:lang w:val="fr-FR"/>
        </w:rPr>
        <w:t xml:space="preserve">Afin de remédier à cette situation, </w:t>
      </w:r>
      <w:r w:rsidR="004C1DBE">
        <w:rPr>
          <w:lang w:val="fr-FR"/>
        </w:rPr>
        <w:t>il est possible de</w:t>
      </w:r>
      <w:r>
        <w:rPr>
          <w:lang w:val="fr-FR"/>
        </w:rPr>
        <w:t xml:space="preserve"> s</w:t>
      </w:r>
      <w:r w:rsidR="00F36C26">
        <w:rPr>
          <w:lang w:val="fr-FR"/>
        </w:rPr>
        <w:t>’</w:t>
      </w:r>
      <w:r>
        <w:rPr>
          <w:lang w:val="fr-FR"/>
        </w:rPr>
        <w:t xml:space="preserve">inspirer </w:t>
      </w:r>
      <w:r w:rsidR="00BE0BB9">
        <w:rPr>
          <w:lang w:val="fr-FR"/>
        </w:rPr>
        <w:t>du chapitre IV des Directives opérationnelles pour la mise en œuvre de la Convention du patrimoine mondial sur le processus de suivi de l</w:t>
      </w:r>
      <w:r w:rsidR="00F36C26">
        <w:rPr>
          <w:lang w:val="fr-FR"/>
        </w:rPr>
        <w:t>’</w:t>
      </w:r>
      <w:r w:rsidR="00BE0BB9">
        <w:rPr>
          <w:lang w:val="fr-FR"/>
        </w:rPr>
        <w:t>état de conservation des biens du patrimoine mondial,</w:t>
      </w:r>
      <w:r w:rsidR="00BE0BB9" w:rsidRPr="00BE0BB9">
        <w:rPr>
          <w:lang w:val="fr-FR"/>
        </w:rPr>
        <w:t xml:space="preserve"> </w:t>
      </w:r>
      <w:r w:rsidR="00BE0BB9">
        <w:rPr>
          <w:lang w:val="fr-FR"/>
        </w:rPr>
        <w:t>et plus particulièrement des paragraphes 169 à 176 relatifs au mécanisme de suivi réactif.</w:t>
      </w:r>
      <w:r w:rsidR="006C40D0">
        <w:rPr>
          <w:lang w:val="fr-FR"/>
        </w:rPr>
        <w:t xml:space="preserve"> </w:t>
      </w:r>
      <w:r w:rsidR="00BE0BB9" w:rsidRPr="006C40D0">
        <w:rPr>
          <w:lang w:val="fr-FR"/>
        </w:rPr>
        <w:t>Conformément à ces directives, lorsque des tierces parties envoient des informations au sujet de l</w:t>
      </w:r>
      <w:r w:rsidR="00F36C26">
        <w:rPr>
          <w:lang w:val="fr-FR"/>
        </w:rPr>
        <w:t>’</w:t>
      </w:r>
      <w:r w:rsidR="00BE0BB9" w:rsidRPr="006C40D0">
        <w:rPr>
          <w:lang w:val="fr-FR"/>
        </w:rPr>
        <w:t>état de conservation des biens du patrimoine mondial, le Secrétariat vérifie la source et le contenu de ces informations en consultation avec le(s) État(s) partie(s) concerné(s), qui est/sont invité(s) à les commenter. Puis, les informations reçues, ainsi que les commentaires du/des État(s) partie(s) et des Organes consultatifs, sont portés à l</w:t>
      </w:r>
      <w:r w:rsidR="00F36C26">
        <w:rPr>
          <w:lang w:val="fr-FR"/>
        </w:rPr>
        <w:t>’</w:t>
      </w:r>
      <w:r w:rsidR="00BE0BB9" w:rsidRPr="006C40D0">
        <w:rPr>
          <w:lang w:val="fr-FR"/>
        </w:rPr>
        <w:t>attention du Comité du patrimoine mondial</w:t>
      </w:r>
      <w:r w:rsidR="00BE0BB9">
        <w:rPr>
          <w:rStyle w:val="Appelnotedebasdep"/>
        </w:rPr>
        <w:footnoteReference w:id="26"/>
      </w:r>
      <w:r w:rsidR="00BE0BB9" w:rsidRPr="006C40D0">
        <w:rPr>
          <w:lang w:val="fr-FR"/>
        </w:rPr>
        <w:t>.</w:t>
      </w:r>
    </w:p>
    <w:p w14:paraId="7E77521D" w14:textId="1A823ADC" w:rsidR="009362DA" w:rsidRDefault="009362DA" w:rsidP="009D394F">
      <w:pPr>
        <w:pStyle w:val="COMPara"/>
        <w:ind w:left="567" w:hanging="567"/>
        <w:jc w:val="both"/>
        <w:rPr>
          <w:lang w:val="fr-FR"/>
        </w:rPr>
      </w:pPr>
      <w:r w:rsidRPr="009362DA">
        <w:rPr>
          <w:lang w:val="fr-FR"/>
        </w:rPr>
        <w:t>Néanmoins, étant donné que la Convention du patrimoine mondial et la Convention de 2003 ont des objectifs différents et que leurs listes sont établies sur la base de critères différents, il semble clair que le mécanisme de suivi réactif, tel qu</w:t>
      </w:r>
      <w:r w:rsidR="00F36C26">
        <w:rPr>
          <w:lang w:val="fr-FR"/>
        </w:rPr>
        <w:t>’</w:t>
      </w:r>
      <w:r w:rsidRPr="009362DA">
        <w:rPr>
          <w:lang w:val="fr-FR"/>
        </w:rPr>
        <w:t xml:space="preserve">il a été élaboré pour la Convention du patrimoine mondial, ne pourrait être directement </w:t>
      </w:r>
      <w:r w:rsidR="00DE3F97">
        <w:rPr>
          <w:lang w:val="fr-FR"/>
        </w:rPr>
        <w:t>transférable</w:t>
      </w:r>
      <w:r w:rsidR="00DE3F97" w:rsidRPr="009362DA">
        <w:rPr>
          <w:lang w:val="fr-FR"/>
        </w:rPr>
        <w:t xml:space="preserve"> </w:t>
      </w:r>
      <w:r w:rsidR="00DE3F97">
        <w:rPr>
          <w:lang w:val="fr-FR"/>
        </w:rPr>
        <w:t>à</w:t>
      </w:r>
      <w:r w:rsidR="00DE3F97" w:rsidRPr="009362DA">
        <w:rPr>
          <w:lang w:val="fr-FR"/>
        </w:rPr>
        <w:t xml:space="preserve"> </w:t>
      </w:r>
      <w:r w:rsidRPr="009362DA">
        <w:rPr>
          <w:lang w:val="fr-FR"/>
        </w:rPr>
        <w:t>la Convention de 2003. Toutefois, certains principes de ce mécanisme, tels que la responsabilité des États parties concernant les éléments inscrits et les moyens pour les parties prenantes autres que l</w:t>
      </w:r>
      <w:r w:rsidR="00F36C26">
        <w:rPr>
          <w:lang w:val="fr-FR"/>
        </w:rPr>
        <w:t>’</w:t>
      </w:r>
      <w:r w:rsidRPr="009362DA">
        <w:rPr>
          <w:lang w:val="fr-FR"/>
        </w:rPr>
        <w:t>État partie de fournir des informations au Comité par l</w:t>
      </w:r>
      <w:r w:rsidR="00F36C26">
        <w:rPr>
          <w:lang w:val="fr-FR"/>
        </w:rPr>
        <w:t>’</w:t>
      </w:r>
      <w:r w:rsidRPr="009362DA">
        <w:rPr>
          <w:lang w:val="fr-FR"/>
        </w:rPr>
        <w:t>intermédiaire du Secrétariat, peuvent être utiles pour un mécanisme de suivi des éléments inscrits dans</w:t>
      </w:r>
      <w:r w:rsidR="00DE3F97">
        <w:rPr>
          <w:lang w:val="fr-FR"/>
        </w:rPr>
        <w:t xml:space="preserve"> le cadre de</w:t>
      </w:r>
      <w:r w:rsidRPr="009362DA">
        <w:rPr>
          <w:lang w:val="fr-FR"/>
        </w:rPr>
        <w:t xml:space="preserve"> la Convention de</w:t>
      </w:r>
      <w:r w:rsidR="006303C4" w:rsidRPr="006303C4">
        <w:rPr>
          <w:lang w:val="fr-FR"/>
        </w:rPr>
        <w:t> </w:t>
      </w:r>
      <w:r w:rsidRPr="009362DA">
        <w:rPr>
          <w:lang w:val="fr-FR"/>
        </w:rPr>
        <w:t>2003.</w:t>
      </w:r>
    </w:p>
    <w:p w14:paraId="42961793" w14:textId="4657CD97" w:rsidR="00FB7541" w:rsidRPr="009D394F" w:rsidRDefault="00FB7541" w:rsidP="009D394F">
      <w:pPr>
        <w:pStyle w:val="COMPara"/>
        <w:ind w:left="567" w:hanging="567"/>
        <w:jc w:val="both"/>
        <w:rPr>
          <w:lang w:val="fr-FR"/>
        </w:rPr>
      </w:pPr>
      <w:r w:rsidRPr="009D394F">
        <w:rPr>
          <w:lang w:val="fr-FR"/>
        </w:rPr>
        <w:t>Les détails d</w:t>
      </w:r>
      <w:r w:rsidR="00F36C26">
        <w:rPr>
          <w:lang w:val="fr-FR"/>
        </w:rPr>
        <w:t>’</w:t>
      </w:r>
      <w:r w:rsidRPr="009D394F">
        <w:rPr>
          <w:lang w:val="fr-FR"/>
        </w:rPr>
        <w:t xml:space="preserve">un mécanisme approprié pour traiter les informations reçues sur les éléments inscrits pourraient être clarifiés pendant la réflexion </w:t>
      </w:r>
      <w:r w:rsidR="0059455F">
        <w:rPr>
          <w:lang w:val="fr-FR"/>
        </w:rPr>
        <w:t>globale</w:t>
      </w:r>
      <w:r w:rsidR="0059455F" w:rsidRPr="009D394F">
        <w:rPr>
          <w:lang w:val="fr-FR"/>
        </w:rPr>
        <w:t xml:space="preserve"> </w:t>
      </w:r>
      <w:r w:rsidRPr="009D394F">
        <w:rPr>
          <w:lang w:val="fr-FR"/>
        </w:rPr>
        <w:t>sur les mécanismes d</w:t>
      </w:r>
      <w:r w:rsidR="00F36C26">
        <w:rPr>
          <w:lang w:val="fr-FR"/>
        </w:rPr>
        <w:t>’</w:t>
      </w:r>
      <w:r w:rsidRPr="009D394F">
        <w:rPr>
          <w:lang w:val="fr-FR"/>
        </w:rPr>
        <w:t>inscription de la Convention en question. La réflexion pourrait porter</w:t>
      </w:r>
      <w:r w:rsidR="0059455F">
        <w:rPr>
          <w:lang w:val="fr-FR"/>
        </w:rPr>
        <w:t>, entre autres,</w:t>
      </w:r>
      <w:r w:rsidRPr="009D394F">
        <w:rPr>
          <w:lang w:val="fr-FR"/>
        </w:rPr>
        <w:t xml:space="preserve"> sur des considérations telles que les moyens de mettre en place un mécanisme de suivi à long terme pour répondre à la nécessité de réagir face à des événements imprévus, de gérer les flux d</w:t>
      </w:r>
      <w:r w:rsidR="00F36C26">
        <w:rPr>
          <w:lang w:val="fr-FR"/>
        </w:rPr>
        <w:t>’</w:t>
      </w:r>
      <w:r w:rsidRPr="009D394F">
        <w:rPr>
          <w:lang w:val="fr-FR"/>
        </w:rPr>
        <w:t>informations et les opinions de différentes parties prenantes, ainsi que l</w:t>
      </w:r>
      <w:r w:rsidR="00F36C26">
        <w:rPr>
          <w:lang w:val="fr-FR"/>
        </w:rPr>
        <w:t>’</w:t>
      </w:r>
      <w:r w:rsidRPr="009D394F">
        <w:rPr>
          <w:lang w:val="fr-FR"/>
        </w:rPr>
        <w:t>utilité du mécanisme de rapport périodique</w:t>
      </w:r>
      <w:r w:rsidR="00F36C26">
        <w:rPr>
          <w:lang w:val="fr-FR"/>
        </w:rPr>
        <w:t>’</w:t>
      </w:r>
      <w:r w:rsidRPr="009D394F">
        <w:rPr>
          <w:lang w:val="fr-FR"/>
        </w:rPr>
        <w:t xml:space="preserve">. </w:t>
      </w:r>
      <w:r w:rsidRPr="00FB7541">
        <w:rPr>
          <w:lang w:val="fr-FR"/>
        </w:rPr>
        <w:t>En attendant, le Comité pourrait souhaiter demander au Secrétariat de continuer à porter à l</w:t>
      </w:r>
      <w:r w:rsidR="00F36C26">
        <w:rPr>
          <w:lang w:val="fr-FR"/>
        </w:rPr>
        <w:t>’</w:t>
      </w:r>
      <w:r w:rsidRPr="00FB7541">
        <w:rPr>
          <w:lang w:val="fr-FR"/>
        </w:rPr>
        <w:t>attention du Comité les informations reçues de tiers concernant des éléments déjà inscrits. Cela peut prendre la forme d</w:t>
      </w:r>
      <w:r w:rsidR="00F36C26">
        <w:rPr>
          <w:lang w:val="fr-FR"/>
        </w:rPr>
        <w:t>’</w:t>
      </w:r>
      <w:r w:rsidRPr="00FB7541">
        <w:rPr>
          <w:lang w:val="fr-FR"/>
        </w:rPr>
        <w:t>un résumé à inclure dans un document de travail concernant le suivi d</w:t>
      </w:r>
      <w:r w:rsidR="00F36C26">
        <w:rPr>
          <w:lang w:val="fr-FR"/>
        </w:rPr>
        <w:t>’</w:t>
      </w:r>
      <w:r w:rsidRPr="00FB7541">
        <w:rPr>
          <w:lang w:val="fr-FR"/>
        </w:rPr>
        <w:t>éléments déjà inscrits.</w:t>
      </w:r>
    </w:p>
    <w:p w14:paraId="131331C1" w14:textId="4955B91B" w:rsidR="00542322" w:rsidRDefault="005E32DA" w:rsidP="009D394F">
      <w:pPr>
        <w:pStyle w:val="COMPara"/>
        <w:ind w:left="567" w:hanging="567"/>
        <w:jc w:val="both"/>
        <w:rPr>
          <w:rFonts w:cs="Times New Roman"/>
          <w:szCs w:val="24"/>
          <w:lang w:val="fr-FR"/>
        </w:rPr>
      </w:pPr>
      <w:r w:rsidRPr="009D394F">
        <w:rPr>
          <w:b/>
          <w:lang w:val="fr-FR"/>
        </w:rPr>
        <w:t xml:space="preserve">Transfert </w:t>
      </w:r>
      <w:r w:rsidR="000F346A" w:rsidRPr="009D394F">
        <w:rPr>
          <w:b/>
          <w:lang w:val="fr-FR"/>
        </w:rPr>
        <w:t>d</w:t>
      </w:r>
      <w:r w:rsidR="00F36C26">
        <w:rPr>
          <w:b/>
          <w:lang w:val="fr-FR"/>
        </w:rPr>
        <w:t>’</w:t>
      </w:r>
      <w:r w:rsidR="000F346A" w:rsidRPr="009D394F">
        <w:rPr>
          <w:b/>
          <w:lang w:val="fr-FR"/>
        </w:rPr>
        <w:t>un élément d</w:t>
      </w:r>
      <w:r w:rsidR="00F36C26">
        <w:rPr>
          <w:b/>
          <w:lang w:val="fr-FR"/>
        </w:rPr>
        <w:t>’</w:t>
      </w:r>
      <w:r w:rsidR="000F346A" w:rsidRPr="009D394F">
        <w:rPr>
          <w:b/>
          <w:lang w:val="fr-FR"/>
        </w:rPr>
        <w:t>une Liste à l</w:t>
      </w:r>
      <w:r w:rsidR="00F36C26">
        <w:rPr>
          <w:b/>
          <w:lang w:val="fr-FR"/>
        </w:rPr>
        <w:t>’</w:t>
      </w:r>
      <w:r w:rsidR="000F346A" w:rsidRPr="009D394F">
        <w:rPr>
          <w:b/>
          <w:lang w:val="fr-FR"/>
        </w:rPr>
        <w:t xml:space="preserve">autre </w:t>
      </w:r>
      <w:r w:rsidRPr="009D394F">
        <w:rPr>
          <w:b/>
          <w:lang w:val="fr-FR"/>
        </w:rPr>
        <w:t>et retrait</w:t>
      </w:r>
      <w:r w:rsidR="000F346A" w:rsidRPr="009D394F">
        <w:rPr>
          <w:b/>
          <w:lang w:val="fr-FR"/>
        </w:rPr>
        <w:t xml:space="preserve"> d</w:t>
      </w:r>
      <w:r w:rsidR="00F36C26">
        <w:rPr>
          <w:b/>
          <w:lang w:val="fr-FR"/>
        </w:rPr>
        <w:t>’</w:t>
      </w:r>
      <w:r w:rsidR="000F346A" w:rsidRPr="009D394F">
        <w:rPr>
          <w:b/>
          <w:lang w:val="fr-FR"/>
        </w:rPr>
        <w:t>un élément</w:t>
      </w:r>
      <w:r w:rsidRPr="009D394F">
        <w:rPr>
          <w:b/>
          <w:lang w:val="fr-FR"/>
        </w:rPr>
        <w:t xml:space="preserve"> d</w:t>
      </w:r>
      <w:r w:rsidR="00F36C26">
        <w:rPr>
          <w:b/>
          <w:lang w:val="fr-FR"/>
        </w:rPr>
        <w:t>’</w:t>
      </w:r>
      <w:r w:rsidRPr="009D394F">
        <w:rPr>
          <w:b/>
          <w:lang w:val="fr-FR"/>
        </w:rPr>
        <w:t xml:space="preserve">une Liste </w:t>
      </w:r>
      <w:r w:rsidRPr="009D394F">
        <w:rPr>
          <w:lang w:val="fr-FR"/>
        </w:rPr>
        <w:t>: L</w:t>
      </w:r>
      <w:r w:rsidR="002C5752" w:rsidRPr="009D394F">
        <w:rPr>
          <w:lang w:val="fr-FR"/>
        </w:rPr>
        <w:t>a nécessit</w:t>
      </w:r>
      <w:r w:rsidR="00894B73" w:rsidRPr="009D394F">
        <w:rPr>
          <w:lang w:val="fr-FR"/>
        </w:rPr>
        <w:t xml:space="preserve">é </w:t>
      </w:r>
      <w:r w:rsidRPr="009D394F">
        <w:rPr>
          <w:lang w:val="fr-FR"/>
        </w:rPr>
        <w:t>d</w:t>
      </w:r>
      <w:r w:rsidR="00F36C26">
        <w:rPr>
          <w:lang w:val="fr-FR"/>
        </w:rPr>
        <w:t>’</w:t>
      </w:r>
      <w:r w:rsidR="002C5752" w:rsidRPr="009D394F">
        <w:rPr>
          <w:lang w:val="fr-FR"/>
        </w:rPr>
        <w:t xml:space="preserve">engager </w:t>
      </w:r>
      <w:r w:rsidRPr="009D394F">
        <w:rPr>
          <w:lang w:val="fr-FR"/>
        </w:rPr>
        <w:t xml:space="preserve">une réflexion globale sur la Convention </w:t>
      </w:r>
      <w:r w:rsidR="002C5752" w:rsidRPr="009D394F">
        <w:rPr>
          <w:lang w:val="fr-FR"/>
        </w:rPr>
        <w:t xml:space="preserve">ainsi que </w:t>
      </w:r>
      <w:r w:rsidR="002C5752" w:rsidRPr="00B3563B">
        <w:rPr>
          <w:lang w:val="fr-FR"/>
        </w:rPr>
        <w:t>sur</w:t>
      </w:r>
      <w:r w:rsidRPr="00B3563B">
        <w:rPr>
          <w:lang w:val="fr-FR"/>
        </w:rPr>
        <w:t xml:space="preserve"> l</w:t>
      </w:r>
      <w:r w:rsidR="00F36C26">
        <w:rPr>
          <w:lang w:val="fr-FR"/>
        </w:rPr>
        <w:t>’</w:t>
      </w:r>
      <w:r w:rsidRPr="00B3563B">
        <w:rPr>
          <w:lang w:val="fr-FR"/>
        </w:rPr>
        <w:t>intention et l</w:t>
      </w:r>
      <w:r w:rsidR="00F36C26">
        <w:rPr>
          <w:lang w:val="fr-FR"/>
        </w:rPr>
        <w:t>’</w:t>
      </w:r>
      <w:r w:rsidR="002C5752" w:rsidRPr="00B3563B">
        <w:rPr>
          <w:lang w:val="fr-FR"/>
        </w:rPr>
        <w:t>objectif</w:t>
      </w:r>
      <w:r w:rsidR="002C5752" w:rsidRPr="009D394F">
        <w:rPr>
          <w:lang w:val="fr-FR"/>
        </w:rPr>
        <w:t xml:space="preserve"> </w:t>
      </w:r>
      <w:r w:rsidRPr="009D394F">
        <w:rPr>
          <w:lang w:val="fr-FR"/>
        </w:rPr>
        <w:t>des mécanismes d</w:t>
      </w:r>
      <w:r w:rsidR="00F36C26">
        <w:rPr>
          <w:lang w:val="fr-FR"/>
        </w:rPr>
        <w:t>’</w:t>
      </w:r>
      <w:r w:rsidRPr="009D394F">
        <w:rPr>
          <w:lang w:val="fr-FR"/>
        </w:rPr>
        <w:t xml:space="preserve">inscription </w:t>
      </w:r>
      <w:r w:rsidR="002C5752" w:rsidRPr="009D394F">
        <w:rPr>
          <w:lang w:val="fr-FR"/>
        </w:rPr>
        <w:t xml:space="preserve">sur les listes </w:t>
      </w:r>
      <w:r w:rsidRPr="009D394F">
        <w:rPr>
          <w:lang w:val="fr-FR"/>
        </w:rPr>
        <w:t>est devenu évident</w:t>
      </w:r>
      <w:r w:rsidR="002C5752" w:rsidRPr="009D394F">
        <w:rPr>
          <w:lang w:val="fr-FR"/>
        </w:rPr>
        <w:t>e en 2017</w:t>
      </w:r>
      <w:r w:rsidRPr="009D394F">
        <w:rPr>
          <w:lang w:val="fr-FR"/>
        </w:rPr>
        <w:t xml:space="preserve"> lorsque, pour la première fois, le Comité a examiné une demande</w:t>
      </w:r>
      <w:r w:rsidR="002C5752" w:rsidRPr="009D394F">
        <w:rPr>
          <w:lang w:val="fr-FR"/>
        </w:rPr>
        <w:t>,</w:t>
      </w:r>
      <w:r w:rsidRPr="009D394F">
        <w:rPr>
          <w:lang w:val="fr-FR"/>
        </w:rPr>
        <w:t xml:space="preserve"> soumise par le Vietnam</w:t>
      </w:r>
      <w:r w:rsidR="002C5752" w:rsidRPr="009D394F">
        <w:rPr>
          <w:lang w:val="fr-FR"/>
        </w:rPr>
        <w:t>,</w:t>
      </w:r>
      <w:r w:rsidRPr="009D394F">
        <w:rPr>
          <w:lang w:val="fr-FR"/>
        </w:rPr>
        <w:t xml:space="preserve"> de transférer un élément de la Liste de sauvegarde urgente à la Liste représentative</w:t>
      </w:r>
      <w:r w:rsidR="000F346A">
        <w:rPr>
          <w:rStyle w:val="Appelnotedebasdep"/>
        </w:rPr>
        <w:footnoteReference w:id="27"/>
      </w:r>
      <w:r w:rsidR="000F346A" w:rsidRPr="009D394F">
        <w:rPr>
          <w:lang w:val="fr-FR"/>
        </w:rPr>
        <w:t>, sur la base d</w:t>
      </w:r>
      <w:r w:rsidR="00F36C26">
        <w:rPr>
          <w:lang w:val="fr-FR"/>
        </w:rPr>
        <w:t>’</w:t>
      </w:r>
      <w:r w:rsidR="00EB5C27">
        <w:rPr>
          <w:lang w:val="fr-FR"/>
        </w:rPr>
        <w:t>une évaluation menée</w:t>
      </w:r>
      <w:r w:rsidR="000F346A" w:rsidRPr="009D394F">
        <w:rPr>
          <w:lang w:val="fr-FR"/>
        </w:rPr>
        <w:t xml:space="preserve"> par l</w:t>
      </w:r>
      <w:r w:rsidR="00F36C26">
        <w:rPr>
          <w:lang w:val="fr-FR"/>
        </w:rPr>
        <w:t>’</w:t>
      </w:r>
      <w:r w:rsidR="000F346A" w:rsidRPr="009D394F">
        <w:rPr>
          <w:lang w:val="fr-FR"/>
        </w:rPr>
        <w:t>Organe d</w:t>
      </w:r>
      <w:r w:rsidR="00F36C26">
        <w:rPr>
          <w:lang w:val="fr-FR"/>
        </w:rPr>
        <w:t>’</w:t>
      </w:r>
      <w:r w:rsidR="000F346A" w:rsidRPr="009D394F">
        <w:rPr>
          <w:lang w:val="fr-FR"/>
        </w:rPr>
        <w:t xml:space="preserve">évaluation à cet égard. </w:t>
      </w:r>
      <w:r w:rsidR="000F346A" w:rsidRPr="000F346A">
        <w:rPr>
          <w:rFonts w:cs="Times New Roman"/>
          <w:szCs w:val="24"/>
          <w:lang w:val="fr-FR"/>
        </w:rPr>
        <w:t>Bien que les Directives opérationnelles contiennent des dispositions relatives au transfert d</w:t>
      </w:r>
      <w:r w:rsidR="00F36C26">
        <w:rPr>
          <w:rFonts w:cs="Times New Roman"/>
          <w:szCs w:val="24"/>
          <w:lang w:val="fr-FR"/>
        </w:rPr>
        <w:t>’</w:t>
      </w:r>
      <w:r w:rsidR="000F346A" w:rsidRPr="000F346A">
        <w:rPr>
          <w:rFonts w:cs="Times New Roman"/>
          <w:szCs w:val="24"/>
          <w:lang w:val="fr-FR"/>
        </w:rPr>
        <w:t>un élément d</w:t>
      </w:r>
      <w:r w:rsidR="00F36C26">
        <w:rPr>
          <w:rFonts w:cs="Times New Roman"/>
          <w:szCs w:val="24"/>
          <w:lang w:val="fr-FR"/>
        </w:rPr>
        <w:t>’</w:t>
      </w:r>
      <w:r w:rsidR="000F346A" w:rsidRPr="000F346A">
        <w:rPr>
          <w:rFonts w:cs="Times New Roman"/>
          <w:szCs w:val="24"/>
          <w:lang w:val="fr-FR"/>
        </w:rPr>
        <w:t>une Liste et au retrait d</w:t>
      </w:r>
      <w:r w:rsidR="00F36C26">
        <w:rPr>
          <w:rFonts w:cs="Times New Roman"/>
          <w:szCs w:val="24"/>
          <w:lang w:val="fr-FR"/>
        </w:rPr>
        <w:t>’</w:t>
      </w:r>
      <w:r w:rsidR="000F346A" w:rsidRPr="000F346A">
        <w:rPr>
          <w:rFonts w:cs="Times New Roman"/>
          <w:szCs w:val="24"/>
          <w:lang w:val="fr-FR"/>
        </w:rPr>
        <w:t>un élément d</w:t>
      </w:r>
      <w:r w:rsidR="00F36C26">
        <w:rPr>
          <w:rFonts w:cs="Times New Roman"/>
          <w:szCs w:val="24"/>
          <w:lang w:val="fr-FR"/>
        </w:rPr>
        <w:t>’</w:t>
      </w:r>
      <w:r w:rsidR="000F346A" w:rsidRPr="000F346A">
        <w:rPr>
          <w:rFonts w:cs="Times New Roman"/>
          <w:szCs w:val="24"/>
          <w:lang w:val="fr-FR"/>
        </w:rPr>
        <w:t>une Liste, l</w:t>
      </w:r>
      <w:r w:rsidR="00F36C26">
        <w:rPr>
          <w:rFonts w:cs="Times New Roman"/>
          <w:szCs w:val="24"/>
          <w:lang w:val="fr-FR"/>
        </w:rPr>
        <w:t>’</w:t>
      </w:r>
      <w:r w:rsidR="000F346A" w:rsidRPr="000F346A">
        <w:rPr>
          <w:rFonts w:cs="Times New Roman"/>
          <w:szCs w:val="24"/>
          <w:lang w:val="fr-FR"/>
        </w:rPr>
        <w:t>Organe d</w:t>
      </w:r>
      <w:r w:rsidR="00F36C26">
        <w:rPr>
          <w:rFonts w:cs="Times New Roman"/>
          <w:szCs w:val="24"/>
          <w:lang w:val="fr-FR"/>
        </w:rPr>
        <w:t>’</w:t>
      </w:r>
      <w:r w:rsidR="000F346A" w:rsidRPr="000F346A">
        <w:rPr>
          <w:rFonts w:cs="Times New Roman"/>
          <w:szCs w:val="24"/>
          <w:lang w:val="fr-FR"/>
        </w:rPr>
        <w:t xml:space="preserve">évaluation et par conséquent le Comité </w:t>
      </w:r>
      <w:proofErr w:type="gramStart"/>
      <w:r w:rsidR="000F346A" w:rsidRPr="000F346A">
        <w:rPr>
          <w:rFonts w:cs="Times New Roman"/>
          <w:szCs w:val="24"/>
          <w:lang w:val="fr-FR"/>
        </w:rPr>
        <w:t>ont</w:t>
      </w:r>
      <w:proofErr w:type="gramEnd"/>
      <w:r w:rsidR="000F346A" w:rsidRPr="000F346A">
        <w:rPr>
          <w:rFonts w:cs="Times New Roman"/>
          <w:szCs w:val="24"/>
          <w:lang w:val="fr-FR"/>
        </w:rPr>
        <w:t xml:space="preserve"> estimé que ni les formulaires disponibles ni les Directives opérationnelles ne constituaient un mécanisme adéquat pour traiter le transfert dans ce cas particulier.</w:t>
      </w:r>
    </w:p>
    <w:p w14:paraId="62687A4D" w14:textId="634964D7" w:rsidR="005054F1" w:rsidRPr="009D394F" w:rsidRDefault="006C40D0" w:rsidP="00987D6A">
      <w:pPr>
        <w:pStyle w:val="Marge"/>
        <w:numPr>
          <w:ilvl w:val="0"/>
          <w:numId w:val="2"/>
        </w:numPr>
        <w:snapToGrid/>
        <w:spacing w:after="360"/>
        <w:ind w:left="567" w:hanging="567"/>
        <w:rPr>
          <w:rFonts w:eastAsia="SimSun"/>
          <w:lang w:eastAsia="ja-JP"/>
        </w:rPr>
      </w:pPr>
      <w:r w:rsidRPr="009D394F">
        <w:t>Lors de cette</w:t>
      </w:r>
      <w:r w:rsidR="00700920" w:rsidRPr="005054F1">
        <w:t xml:space="preserve"> session</w:t>
      </w:r>
      <w:r w:rsidRPr="009D394F">
        <w:t>,</w:t>
      </w:r>
      <w:r w:rsidR="00700920" w:rsidRPr="005054F1">
        <w:t xml:space="preserve"> </w:t>
      </w:r>
      <w:r w:rsidRPr="009D394F">
        <w:t xml:space="preserve">le </w:t>
      </w:r>
      <w:r w:rsidR="00700920" w:rsidRPr="005054F1">
        <w:t>Comité est invité à examiner le cas du carnaval d</w:t>
      </w:r>
      <w:r w:rsidR="00F36C26">
        <w:t>’</w:t>
      </w:r>
      <w:r w:rsidR="00700920" w:rsidRPr="005054F1">
        <w:t xml:space="preserve">Alost (Belgique), pour déterminer si cet élément, inscrit en 2010, </w:t>
      </w:r>
      <w:r w:rsidRPr="009D394F">
        <w:t>satisfait encore aux critères d</w:t>
      </w:r>
      <w:r w:rsidR="00F36C26">
        <w:t>’</w:t>
      </w:r>
      <w:r w:rsidRPr="009D394F">
        <w:t>inscription sur la Liste représentative</w:t>
      </w:r>
      <w:r w:rsidR="00700920" w:rsidRPr="005054F1">
        <w:t>. Sans pour autant négliger les résultats de cette délibération, la réflexion globale en cours devra aborder des questions plus vastes sur les meilleurs moyens d</w:t>
      </w:r>
      <w:r w:rsidR="00F36C26">
        <w:t>’</w:t>
      </w:r>
      <w:r w:rsidR="00EB5C27">
        <w:t>assurer l</w:t>
      </w:r>
      <w:r w:rsidR="00700920" w:rsidRPr="005054F1">
        <w:t xml:space="preserve">e </w:t>
      </w:r>
      <w:r w:rsidR="005054F1" w:rsidRPr="009D394F">
        <w:t>suiv</w:t>
      </w:r>
      <w:r w:rsidR="00EB5C27">
        <w:t>i du</w:t>
      </w:r>
      <w:r w:rsidR="005054F1" w:rsidRPr="009D394F">
        <w:t xml:space="preserve"> statut des éléments déjà inscrits sur les listes.</w:t>
      </w:r>
    </w:p>
    <w:tbl>
      <w:tblPr>
        <w:tblStyle w:val="Grilledutableau"/>
        <w:tblW w:w="0" w:type="auto"/>
        <w:tblInd w:w="567" w:type="dxa"/>
        <w:tblLook w:val="04A0" w:firstRow="1" w:lastRow="0" w:firstColumn="1" w:lastColumn="0" w:noHBand="0" w:noVBand="1"/>
      </w:tblPr>
      <w:tblGrid>
        <w:gridCol w:w="9061"/>
      </w:tblGrid>
      <w:tr w:rsidR="005054F1" w:rsidRPr="007D54EB" w14:paraId="7DFBFC6C" w14:textId="77777777" w:rsidTr="00376FD0">
        <w:tc>
          <w:tcPr>
            <w:tcW w:w="9061" w:type="dxa"/>
            <w:shd w:val="clear" w:color="auto" w:fill="F2F2F2" w:themeFill="background1" w:themeFillShade="F2"/>
          </w:tcPr>
          <w:p w14:paraId="5D28B6DC" w14:textId="6D7AE4B3" w:rsidR="005054F1" w:rsidRPr="007D54EB" w:rsidRDefault="005054F1" w:rsidP="00563117">
            <w:pPr>
              <w:pStyle w:val="COMPara"/>
              <w:keepNext/>
              <w:numPr>
                <w:ilvl w:val="0"/>
                <w:numId w:val="0"/>
              </w:numPr>
              <w:spacing w:before="120"/>
              <w:jc w:val="both"/>
              <w:rPr>
                <w:lang w:val="fr-FR"/>
              </w:rPr>
            </w:pPr>
            <w:r>
              <w:rPr>
                <w:lang w:val="fr-FR"/>
              </w:rPr>
              <w:lastRenderedPageBreak/>
              <w:t>D</w:t>
            </w:r>
            <w:r w:rsidRPr="007D54EB">
              <w:rPr>
                <w:lang w:val="fr-FR"/>
              </w:rPr>
              <w:t>.</w:t>
            </w:r>
            <w:r w:rsidRPr="007D54EB">
              <w:rPr>
                <w:lang w:val="fr-FR"/>
              </w:rPr>
              <w:tab/>
            </w:r>
            <w:r w:rsidRPr="004A7593">
              <w:rPr>
                <w:lang w:val="fr-FR"/>
              </w:rPr>
              <w:t>Méthodologie d</w:t>
            </w:r>
            <w:r w:rsidR="00F36C26">
              <w:rPr>
                <w:lang w:val="fr-FR"/>
              </w:rPr>
              <w:t>’</w:t>
            </w:r>
            <w:r w:rsidRPr="004A7593">
              <w:rPr>
                <w:lang w:val="fr-FR"/>
              </w:rPr>
              <w:t>évaluation et d</w:t>
            </w:r>
            <w:r w:rsidR="00F36C26">
              <w:rPr>
                <w:lang w:val="fr-FR"/>
              </w:rPr>
              <w:t>’</w:t>
            </w:r>
            <w:r w:rsidRPr="004A7593">
              <w:rPr>
                <w:lang w:val="fr-FR"/>
              </w:rPr>
              <w:t>examen des candidatures</w:t>
            </w:r>
          </w:p>
        </w:tc>
      </w:tr>
    </w:tbl>
    <w:p w14:paraId="470FA7A8" w14:textId="5C5682E6" w:rsidR="00C93ED5" w:rsidRPr="009E14C0" w:rsidRDefault="005054F1" w:rsidP="009D394F">
      <w:pPr>
        <w:pStyle w:val="COMPara"/>
        <w:spacing w:before="120"/>
        <w:ind w:left="567" w:hanging="567"/>
        <w:jc w:val="both"/>
        <w:rPr>
          <w:lang w:val="fr-FR"/>
        </w:rPr>
      </w:pPr>
      <w:r w:rsidRPr="009D394F">
        <w:rPr>
          <w:b/>
          <w:lang w:val="fr-FR"/>
        </w:rPr>
        <w:t>Inscription basée exclusivement sur les informations présentées</w:t>
      </w:r>
      <w:r w:rsidR="00246B3B">
        <w:rPr>
          <w:b/>
          <w:lang w:val="fr-FR"/>
        </w:rPr>
        <w:t> </w:t>
      </w:r>
      <w:r w:rsidR="00246B3B" w:rsidRPr="00CB69D9">
        <w:rPr>
          <w:lang w:val="fr-FR"/>
        </w:rPr>
        <w:t>:</w:t>
      </w:r>
      <w:r w:rsidRPr="009D394F">
        <w:rPr>
          <w:lang w:val="fr-FR"/>
        </w:rPr>
        <w:t xml:space="preserve"> Jusqu</w:t>
      </w:r>
      <w:r w:rsidR="00F36C26">
        <w:rPr>
          <w:lang w:val="fr-FR"/>
        </w:rPr>
        <w:t>’</w:t>
      </w:r>
      <w:r w:rsidRPr="009D394F">
        <w:rPr>
          <w:lang w:val="fr-FR"/>
        </w:rPr>
        <w:t>à présent, les recommandations des organes d</w:t>
      </w:r>
      <w:r w:rsidR="00F36C26">
        <w:rPr>
          <w:lang w:val="fr-FR"/>
        </w:rPr>
        <w:t>’</w:t>
      </w:r>
      <w:r w:rsidRPr="009D394F">
        <w:rPr>
          <w:lang w:val="fr-FR"/>
        </w:rPr>
        <w:t xml:space="preserve">évaluation </w:t>
      </w:r>
      <w:r w:rsidRPr="00246B3B">
        <w:rPr>
          <w:lang w:val="fr-FR"/>
        </w:rPr>
        <w:t>repos</w:t>
      </w:r>
      <w:r w:rsidR="00246B3B" w:rsidRPr="00246B3B">
        <w:rPr>
          <w:lang w:val="fr-FR"/>
        </w:rPr>
        <w:t>e</w:t>
      </w:r>
      <w:r w:rsidRPr="00246B3B">
        <w:rPr>
          <w:lang w:val="fr-FR"/>
        </w:rPr>
        <w:t>nt</w:t>
      </w:r>
      <w:r w:rsidRPr="009D394F">
        <w:rPr>
          <w:lang w:val="fr-FR"/>
        </w:rPr>
        <w:t xml:space="preserve"> uniquement sur </w:t>
      </w:r>
      <w:r w:rsidR="00246B3B">
        <w:rPr>
          <w:lang w:val="fr-FR"/>
        </w:rPr>
        <w:t>l</w:t>
      </w:r>
      <w:r w:rsidR="00F36C26">
        <w:rPr>
          <w:lang w:val="fr-FR"/>
        </w:rPr>
        <w:t>’</w:t>
      </w:r>
      <w:r w:rsidR="00246B3B">
        <w:rPr>
          <w:lang w:val="fr-FR"/>
        </w:rPr>
        <w:t xml:space="preserve">adéquation </w:t>
      </w:r>
      <w:r w:rsidRPr="00B3563B">
        <w:rPr>
          <w:lang w:val="fr-FR"/>
        </w:rPr>
        <w:t>des</w:t>
      </w:r>
      <w:r w:rsidRPr="009D394F">
        <w:rPr>
          <w:lang w:val="fr-FR"/>
        </w:rPr>
        <w:t xml:space="preserve"> informations fournies dans les dossiers de candidature à proprement parler</w:t>
      </w:r>
      <w:r>
        <w:rPr>
          <w:rStyle w:val="Appelnotedebasdep"/>
        </w:rPr>
        <w:footnoteReference w:id="28"/>
      </w:r>
      <w:r w:rsidRPr="009D394F">
        <w:rPr>
          <w:lang w:val="fr-FR"/>
        </w:rPr>
        <w:t>. Le Comité a quant à lui affirmé à plusieurs reprises qu</w:t>
      </w:r>
      <w:r w:rsidR="00F36C26">
        <w:rPr>
          <w:lang w:val="fr-FR"/>
        </w:rPr>
        <w:t>’</w:t>
      </w:r>
      <w:r w:rsidRPr="009D394F">
        <w:rPr>
          <w:lang w:val="fr-FR"/>
        </w:rPr>
        <w:t>il examinait les dossiers et non les éléments</w:t>
      </w:r>
      <w:r>
        <w:rPr>
          <w:rStyle w:val="Appelnotedebasdep"/>
        </w:rPr>
        <w:footnoteReference w:id="29"/>
      </w:r>
      <w:r w:rsidRPr="009D394F">
        <w:rPr>
          <w:lang w:val="fr-FR"/>
        </w:rPr>
        <w:t xml:space="preserve">. </w:t>
      </w:r>
      <w:r w:rsidR="00246B3B">
        <w:rPr>
          <w:lang w:val="fr-FR"/>
        </w:rPr>
        <w:t>Ce principe signifie aussi que</w:t>
      </w:r>
      <w:r w:rsidRPr="009D394F">
        <w:rPr>
          <w:lang w:val="fr-FR"/>
        </w:rPr>
        <w:t xml:space="preserve"> l</w:t>
      </w:r>
      <w:r w:rsidR="00F36C26">
        <w:rPr>
          <w:lang w:val="fr-FR"/>
        </w:rPr>
        <w:t>’</w:t>
      </w:r>
      <w:r w:rsidRPr="009D394F">
        <w:rPr>
          <w:lang w:val="fr-FR"/>
        </w:rPr>
        <w:t>Organe d</w:t>
      </w:r>
      <w:r w:rsidR="00F36C26">
        <w:rPr>
          <w:lang w:val="fr-FR"/>
        </w:rPr>
        <w:t>’</w:t>
      </w:r>
      <w:r w:rsidRPr="009D394F">
        <w:rPr>
          <w:lang w:val="fr-FR"/>
        </w:rPr>
        <w:t>évaluation ne tient pas compte d</w:t>
      </w:r>
      <w:r w:rsidR="00F36C26">
        <w:rPr>
          <w:lang w:val="fr-FR"/>
        </w:rPr>
        <w:t>’</w:t>
      </w:r>
      <w:r w:rsidRPr="009D394F">
        <w:rPr>
          <w:lang w:val="fr-FR"/>
        </w:rPr>
        <w:t>informations importantes pouvant être publiquement disponibles au sujet des éléments proposés au moment de l</w:t>
      </w:r>
      <w:r w:rsidR="00F36C26">
        <w:rPr>
          <w:lang w:val="fr-FR"/>
        </w:rPr>
        <w:t>’</w:t>
      </w:r>
      <w:r w:rsidRPr="009D394F">
        <w:rPr>
          <w:lang w:val="fr-FR"/>
        </w:rPr>
        <w:t>évaluation. Toutefois, certains problèmes portés à l</w:t>
      </w:r>
      <w:r w:rsidR="00F36C26">
        <w:rPr>
          <w:lang w:val="fr-FR"/>
        </w:rPr>
        <w:t>’</w:t>
      </w:r>
      <w:r w:rsidRPr="009D394F">
        <w:rPr>
          <w:lang w:val="fr-FR"/>
        </w:rPr>
        <w:t>attention de la présente session et des sessions passées du Comité au sujet d</w:t>
      </w:r>
      <w:r w:rsidR="00F36C26">
        <w:rPr>
          <w:lang w:val="fr-FR"/>
        </w:rPr>
        <w:t>’</w:t>
      </w:r>
      <w:r w:rsidRPr="009D394F">
        <w:rPr>
          <w:lang w:val="fr-FR"/>
        </w:rPr>
        <w:t xml:space="preserve">éléments déjà inscrits sur les </w:t>
      </w:r>
      <w:r w:rsidR="00EC3948">
        <w:rPr>
          <w:lang w:val="fr-FR"/>
        </w:rPr>
        <w:t>l</w:t>
      </w:r>
      <w:r w:rsidRPr="009D394F">
        <w:rPr>
          <w:lang w:val="fr-FR"/>
        </w:rPr>
        <w:t>istes de la Convention mettent en évidence les lacunes possibles de ce principe. Plus spécifiquement, ils démontrent que ces informations publiques peuvent mettre en lumière l</w:t>
      </w:r>
      <w:r w:rsidR="00F36C26">
        <w:rPr>
          <w:lang w:val="fr-FR"/>
        </w:rPr>
        <w:t>’</w:t>
      </w:r>
      <w:r w:rsidRPr="009D394F">
        <w:rPr>
          <w:lang w:val="fr-FR"/>
        </w:rPr>
        <w:t>adéquation d</w:t>
      </w:r>
      <w:r w:rsidR="00F36C26">
        <w:rPr>
          <w:lang w:val="fr-FR"/>
        </w:rPr>
        <w:t>’</w:t>
      </w:r>
      <w:r w:rsidRPr="009D394F">
        <w:rPr>
          <w:lang w:val="fr-FR"/>
        </w:rPr>
        <w:t>un élément aux mécanismes d</w:t>
      </w:r>
      <w:r w:rsidR="00F36C26">
        <w:rPr>
          <w:lang w:val="fr-FR"/>
        </w:rPr>
        <w:t>’</w:t>
      </w:r>
      <w:r w:rsidRPr="009D394F">
        <w:rPr>
          <w:lang w:val="fr-FR"/>
        </w:rPr>
        <w:t>inscription sur les listes de l</w:t>
      </w:r>
      <w:r w:rsidR="00F36C26">
        <w:rPr>
          <w:lang w:val="fr-FR"/>
        </w:rPr>
        <w:t>’</w:t>
      </w:r>
      <w:r w:rsidRPr="009D394F">
        <w:rPr>
          <w:lang w:val="fr-FR"/>
        </w:rPr>
        <w:t>UNESCO. Par exemple, il est difficile de dire si certains des problèmes liés à des éléments inscrits découlent de la nature changeante ou évolutive d</w:t>
      </w:r>
      <w:r w:rsidR="00EC3948">
        <w:rPr>
          <w:lang w:val="fr-FR"/>
        </w:rPr>
        <w:t>u statut de</w:t>
      </w:r>
      <w:r w:rsidRPr="009D394F">
        <w:rPr>
          <w:lang w:val="fr-FR"/>
        </w:rPr>
        <w:t xml:space="preserve"> ces éléments ou d</w:t>
      </w:r>
      <w:r w:rsidR="00F36C26">
        <w:rPr>
          <w:lang w:val="fr-FR"/>
        </w:rPr>
        <w:t>’</w:t>
      </w:r>
      <w:r w:rsidRPr="009D394F">
        <w:rPr>
          <w:lang w:val="fr-FR"/>
        </w:rPr>
        <w:t xml:space="preserve">informations </w:t>
      </w:r>
      <w:r w:rsidR="00EC3948">
        <w:rPr>
          <w:lang w:val="fr-FR"/>
        </w:rPr>
        <w:t>sur l</w:t>
      </w:r>
      <w:r w:rsidR="00F36C26">
        <w:rPr>
          <w:lang w:val="fr-FR"/>
        </w:rPr>
        <w:t>’</w:t>
      </w:r>
      <w:r w:rsidR="00EC3948">
        <w:rPr>
          <w:lang w:val="fr-FR"/>
        </w:rPr>
        <w:t xml:space="preserve">élément </w:t>
      </w:r>
      <w:r w:rsidRPr="009D394F">
        <w:rPr>
          <w:lang w:val="fr-FR"/>
        </w:rPr>
        <w:t>qui étaient peut-être accessibles au public au moment de l</w:t>
      </w:r>
      <w:r w:rsidR="00F36C26">
        <w:rPr>
          <w:lang w:val="fr-FR"/>
        </w:rPr>
        <w:t>’</w:t>
      </w:r>
      <w:r w:rsidRPr="009D394F">
        <w:rPr>
          <w:lang w:val="fr-FR"/>
        </w:rPr>
        <w:t>évaluation.</w:t>
      </w:r>
    </w:p>
    <w:p w14:paraId="3E9FAB94" w14:textId="0E1EEF62" w:rsidR="00C93ED5" w:rsidRPr="009E14C0" w:rsidRDefault="00C93ED5" w:rsidP="009D394F">
      <w:pPr>
        <w:pStyle w:val="COMPara"/>
        <w:ind w:left="567" w:hanging="567"/>
        <w:jc w:val="both"/>
        <w:rPr>
          <w:lang w:val="fr-FR"/>
        </w:rPr>
      </w:pPr>
      <w:r w:rsidRPr="009D394F">
        <w:rPr>
          <w:lang w:val="fr-FR"/>
        </w:rPr>
        <w:t xml:space="preserve">Le processus de réflexion devra </w:t>
      </w:r>
      <w:r w:rsidR="00EC3948">
        <w:rPr>
          <w:lang w:val="fr-FR"/>
        </w:rPr>
        <w:t xml:space="preserve">enfin </w:t>
      </w:r>
      <w:r w:rsidRPr="009D394F">
        <w:rPr>
          <w:lang w:val="fr-FR"/>
        </w:rPr>
        <w:t>avoir pour but d</w:t>
      </w:r>
      <w:r w:rsidR="00F36C26">
        <w:rPr>
          <w:lang w:val="fr-FR"/>
        </w:rPr>
        <w:t>’</w:t>
      </w:r>
      <w:r w:rsidRPr="009D394F">
        <w:rPr>
          <w:lang w:val="fr-FR"/>
        </w:rPr>
        <w:t>aider les communautés à mieux sauvegarder leur patrimoine vivant. À l</w:t>
      </w:r>
      <w:r w:rsidR="00F36C26">
        <w:rPr>
          <w:lang w:val="fr-FR"/>
        </w:rPr>
        <w:t>’</w:t>
      </w:r>
      <w:r w:rsidRPr="009D394F">
        <w:rPr>
          <w:lang w:val="fr-FR"/>
        </w:rPr>
        <w:t>heure actuelle, le processus d</w:t>
      </w:r>
      <w:r w:rsidR="00F36C26">
        <w:rPr>
          <w:lang w:val="fr-FR"/>
        </w:rPr>
        <w:t>’</w:t>
      </w:r>
      <w:r w:rsidRPr="009D394F">
        <w:rPr>
          <w:lang w:val="fr-FR"/>
        </w:rPr>
        <w:t xml:space="preserve">inscription a tendance à donner la priorité aux communautés vivant dans des États dotés des capacités </w:t>
      </w:r>
      <w:r w:rsidRPr="00C93ED5">
        <w:rPr>
          <w:lang w:val="fr-FR"/>
        </w:rPr>
        <w:t>technocratiques nécessaires pour préparer de bons dossiers, indépendamment de l</w:t>
      </w:r>
      <w:r w:rsidR="00F36C26">
        <w:rPr>
          <w:lang w:val="fr-FR"/>
        </w:rPr>
        <w:t>’</w:t>
      </w:r>
      <w:r w:rsidRPr="00C93ED5">
        <w:rPr>
          <w:lang w:val="fr-FR"/>
        </w:rPr>
        <w:t>ampleur et de l</w:t>
      </w:r>
      <w:r w:rsidR="00F36C26">
        <w:rPr>
          <w:lang w:val="fr-FR"/>
        </w:rPr>
        <w:t>’</w:t>
      </w:r>
      <w:r w:rsidRPr="00C93ED5">
        <w:rPr>
          <w:lang w:val="fr-FR"/>
        </w:rPr>
        <w:t>éventail du patrimoine culturel immatériel présent sur un territoire ou dans une communauté donnée.</w:t>
      </w:r>
      <w:r w:rsidRPr="009D394F">
        <w:rPr>
          <w:lang w:val="fr-FR"/>
        </w:rPr>
        <w:t xml:space="preserve"> </w:t>
      </w:r>
      <w:r w:rsidRPr="00C93ED5">
        <w:rPr>
          <w:lang w:val="fr-FR"/>
        </w:rPr>
        <w:t>Afin d</w:t>
      </w:r>
      <w:r w:rsidR="00F36C26">
        <w:rPr>
          <w:lang w:val="fr-FR"/>
        </w:rPr>
        <w:t>’</w:t>
      </w:r>
      <w:r w:rsidRPr="00C93ED5">
        <w:rPr>
          <w:lang w:val="fr-FR"/>
        </w:rPr>
        <w:t>aider les États qui ont moins d</w:t>
      </w:r>
      <w:r w:rsidR="00F36C26">
        <w:rPr>
          <w:lang w:val="fr-FR"/>
        </w:rPr>
        <w:t>’</w:t>
      </w:r>
      <w:r w:rsidRPr="00C93ED5">
        <w:rPr>
          <w:lang w:val="fr-FR"/>
        </w:rPr>
        <w:t>expérience et de compétences administratives, il convient de continuer à promouvoir l</w:t>
      </w:r>
      <w:r w:rsidR="00F36C26">
        <w:rPr>
          <w:lang w:val="fr-FR"/>
        </w:rPr>
        <w:t>’</w:t>
      </w:r>
      <w:r w:rsidRPr="00C93ED5">
        <w:rPr>
          <w:lang w:val="fr-FR"/>
        </w:rPr>
        <w:t>approche du renforcement des capacités</w:t>
      </w:r>
      <w:r>
        <w:rPr>
          <w:lang w:val="fr-FR"/>
        </w:rPr>
        <w:t xml:space="preserve">. </w:t>
      </w:r>
      <w:r w:rsidRPr="00C93ED5">
        <w:rPr>
          <w:lang w:val="fr-FR"/>
        </w:rPr>
        <w:t xml:space="preserve">Dans le même temps, le système réformé devrait être en mesure de reconnaître et de prendre en compte les intentions de sauvegarde </w:t>
      </w:r>
      <w:r w:rsidR="00A32450">
        <w:rPr>
          <w:lang w:val="fr-FR"/>
        </w:rPr>
        <w:t>d</w:t>
      </w:r>
      <w:r w:rsidR="00F36C26">
        <w:rPr>
          <w:lang w:val="fr-FR"/>
        </w:rPr>
        <w:t>’</w:t>
      </w:r>
      <w:r w:rsidR="00A32450">
        <w:rPr>
          <w:lang w:val="fr-FR"/>
        </w:rPr>
        <w:t>ensemble</w:t>
      </w:r>
      <w:r w:rsidRPr="00C93ED5">
        <w:rPr>
          <w:lang w:val="fr-FR"/>
        </w:rPr>
        <w:t xml:space="preserve"> des États </w:t>
      </w:r>
      <w:r w:rsidR="009E51F5" w:rsidRPr="00C93ED5">
        <w:rPr>
          <w:lang w:val="fr-FR"/>
        </w:rPr>
        <w:t xml:space="preserve">soumissionnaires </w:t>
      </w:r>
      <w:r w:rsidRPr="00C93ED5">
        <w:rPr>
          <w:lang w:val="fr-FR"/>
        </w:rPr>
        <w:t>et des communautés, de sorte que les dossiers soient évalués au-delà de leur mérite en tant que simple exercice de rédaction.</w:t>
      </w:r>
    </w:p>
    <w:p w14:paraId="0E86148D" w14:textId="77777777" w:rsidR="00A32450" w:rsidRDefault="00A32450" w:rsidP="00A32450">
      <w:pPr>
        <w:pStyle w:val="Titre4"/>
        <w:spacing w:before="240"/>
        <w:ind w:hanging="578"/>
      </w:pPr>
      <w:r w:rsidRPr="004A7593">
        <w:rPr>
          <w:lang w:val="fr-FR"/>
        </w:rPr>
        <w:t>Récolte précoce</w:t>
      </w:r>
    </w:p>
    <w:p w14:paraId="48CF1926" w14:textId="77777777" w:rsidR="00A32450" w:rsidRPr="009D394F" w:rsidRDefault="00A32450" w:rsidP="00A32450">
      <w:pPr>
        <w:pStyle w:val="COMPara"/>
        <w:numPr>
          <w:ilvl w:val="0"/>
          <w:numId w:val="0"/>
        </w:numPr>
        <w:ind w:left="567"/>
        <w:jc w:val="both"/>
        <w:rPr>
          <w:u w:val="single"/>
          <w:lang w:val="fr-FR"/>
        </w:rPr>
      </w:pPr>
      <w:r w:rsidRPr="004A7593">
        <w:rPr>
          <w:u w:val="single"/>
          <w:lang w:val="fr-FR"/>
        </w:rPr>
        <w:t>Processus de dialogue en amont</w:t>
      </w:r>
    </w:p>
    <w:p w14:paraId="4C049BEC" w14:textId="319BC6F9" w:rsidR="00A32450" w:rsidRPr="009F06B8" w:rsidRDefault="00A32450" w:rsidP="00A32450">
      <w:pPr>
        <w:pStyle w:val="COMPara"/>
        <w:ind w:left="567" w:hanging="567"/>
        <w:jc w:val="both"/>
        <w:rPr>
          <w:lang w:val="fr-FR"/>
        </w:rPr>
      </w:pPr>
      <w:r w:rsidRPr="009D394F">
        <w:rPr>
          <w:lang w:val="fr-FR"/>
        </w:rPr>
        <w:t xml:space="preserve">Lors </w:t>
      </w:r>
      <w:r>
        <w:rPr>
          <w:lang w:val="fr-FR"/>
        </w:rPr>
        <w:t>de sa onzième session en 2016, le Comité a convenu de la nécessité d</w:t>
      </w:r>
      <w:r w:rsidR="00F36C26">
        <w:rPr>
          <w:lang w:val="fr-FR"/>
        </w:rPr>
        <w:t>’</w:t>
      </w:r>
      <w:r>
        <w:rPr>
          <w:lang w:val="fr-FR"/>
        </w:rPr>
        <w:t>inclure une étape supplémentaire dans le cycle de candidature pour favoriser un dialogue entre l</w:t>
      </w:r>
      <w:r w:rsidR="00F36C26">
        <w:rPr>
          <w:lang w:val="fr-FR"/>
        </w:rPr>
        <w:t>’</w:t>
      </w:r>
      <w:r>
        <w:rPr>
          <w:lang w:val="fr-FR"/>
        </w:rPr>
        <w:t>Organe d</w:t>
      </w:r>
      <w:r w:rsidR="00F36C26">
        <w:rPr>
          <w:lang w:val="fr-FR"/>
        </w:rPr>
        <w:t>’</w:t>
      </w:r>
      <w:r>
        <w:rPr>
          <w:lang w:val="fr-FR"/>
        </w:rPr>
        <w:t>évaluation et le(s) État(s) soumissionnaire(s). En particulier, le Comité a souhaité faire une distinction entre les dossiers que l</w:t>
      </w:r>
      <w:r w:rsidR="00F36C26">
        <w:rPr>
          <w:lang w:val="fr-FR"/>
        </w:rPr>
        <w:t>’</w:t>
      </w:r>
      <w:r>
        <w:rPr>
          <w:lang w:val="fr-FR"/>
        </w:rPr>
        <w:t>Organe d</w:t>
      </w:r>
      <w:r w:rsidR="00F36C26">
        <w:rPr>
          <w:lang w:val="fr-FR"/>
        </w:rPr>
        <w:t>’</w:t>
      </w:r>
      <w:r>
        <w:rPr>
          <w:lang w:val="fr-FR"/>
        </w:rPr>
        <w:t>évaluation a recommandé de renvoyer en raison d</w:t>
      </w:r>
      <w:r w:rsidR="00F36C26">
        <w:rPr>
          <w:lang w:val="fr-FR"/>
        </w:rPr>
        <w:t>’</w:t>
      </w:r>
      <w:r>
        <w:rPr>
          <w:lang w:val="fr-FR"/>
        </w:rPr>
        <w:t>aspects techniques mineurs et les dossiers qu</w:t>
      </w:r>
      <w:r w:rsidR="00F36C26">
        <w:rPr>
          <w:lang w:val="fr-FR"/>
        </w:rPr>
        <w:t>’</w:t>
      </w:r>
      <w:r>
        <w:rPr>
          <w:lang w:val="fr-FR"/>
        </w:rPr>
        <w:t>il a recommandé de renvoyer pour des problèmes plus importants. Par conséquent, le Comité a décidé de créer un groupe de travail informel ad hoc afin d</w:t>
      </w:r>
      <w:r w:rsidR="00F36C26">
        <w:rPr>
          <w:lang w:val="fr-FR"/>
        </w:rPr>
        <w:t>’</w:t>
      </w:r>
      <w:r>
        <w:rPr>
          <w:lang w:val="fr-FR"/>
        </w:rPr>
        <w:t>examiner</w:t>
      </w:r>
      <w:r w:rsidRPr="009E51F5">
        <w:rPr>
          <w:lang w:val="fr-FR"/>
        </w:rPr>
        <w:t xml:space="preserve">, </w:t>
      </w:r>
      <w:r w:rsidRPr="00CB69D9">
        <w:rPr>
          <w:rFonts w:eastAsia="Arial"/>
          <w:lang w:val="fr-FR"/>
        </w:rPr>
        <w:t>entre autres</w:t>
      </w:r>
      <w:r w:rsidRPr="009E51F5">
        <w:rPr>
          <w:lang w:val="fr-FR"/>
        </w:rPr>
        <w:t>, les</w:t>
      </w:r>
      <w:r>
        <w:rPr>
          <w:lang w:val="fr-FR"/>
        </w:rPr>
        <w:t xml:space="preserve"> problèmes liés au dialogue entre l</w:t>
      </w:r>
      <w:r w:rsidR="00F36C26">
        <w:rPr>
          <w:lang w:val="fr-FR"/>
        </w:rPr>
        <w:t>’</w:t>
      </w:r>
      <w:r>
        <w:rPr>
          <w:lang w:val="fr-FR"/>
        </w:rPr>
        <w:t>Organe d</w:t>
      </w:r>
      <w:r w:rsidR="00F36C26">
        <w:rPr>
          <w:lang w:val="fr-FR"/>
        </w:rPr>
        <w:t>’</w:t>
      </w:r>
      <w:r>
        <w:rPr>
          <w:lang w:val="fr-FR"/>
        </w:rPr>
        <w:t>évaluation et les États soumissionnaires et a demandé au Secrétariat de proposer une procédure à cet effet</w:t>
      </w:r>
      <w:r>
        <w:rPr>
          <w:rStyle w:val="Appelnotedebasdep"/>
        </w:rPr>
        <w:footnoteReference w:id="30"/>
      </w:r>
      <w:r>
        <w:rPr>
          <w:lang w:val="fr-FR"/>
        </w:rPr>
        <w:t>. Cette étape a été créée dans le contexte d</w:t>
      </w:r>
      <w:r w:rsidR="00F36C26">
        <w:rPr>
          <w:lang w:val="fr-FR"/>
        </w:rPr>
        <w:t>’</w:t>
      </w:r>
      <w:r>
        <w:rPr>
          <w:lang w:val="fr-FR"/>
        </w:rPr>
        <w:t>une année où le Comité a pris un nombre sans précédent de décisions rejetant les recommandations de l</w:t>
      </w:r>
      <w:r w:rsidR="00F36C26">
        <w:rPr>
          <w:lang w:val="fr-FR"/>
        </w:rPr>
        <w:t>’</w:t>
      </w:r>
      <w:r>
        <w:rPr>
          <w:lang w:val="fr-FR"/>
        </w:rPr>
        <w:t>Organe d</w:t>
      </w:r>
      <w:r w:rsidR="00F36C26">
        <w:rPr>
          <w:lang w:val="fr-FR"/>
        </w:rPr>
        <w:t>’</w:t>
      </w:r>
      <w:r>
        <w:rPr>
          <w:lang w:val="fr-FR"/>
        </w:rPr>
        <w:t>évaluation au sujet des candidatures, propositions et demandes. En d</w:t>
      </w:r>
      <w:r w:rsidR="00F36C26">
        <w:rPr>
          <w:lang w:val="fr-FR"/>
        </w:rPr>
        <w:t>’</w:t>
      </w:r>
      <w:r>
        <w:rPr>
          <w:lang w:val="fr-FR"/>
        </w:rPr>
        <w:t>autres termes, le processus de dialogue vise à donner aux États parties dont les dossiers auraient été renvoyés pour des raisons techniques mineures l</w:t>
      </w:r>
      <w:r w:rsidR="00F36C26">
        <w:rPr>
          <w:lang w:val="fr-FR"/>
        </w:rPr>
        <w:t>’</w:t>
      </w:r>
      <w:r>
        <w:rPr>
          <w:lang w:val="fr-FR"/>
        </w:rPr>
        <w:t>opportunité de résoudre ces problèmes pendant le cycle de candidature plutôt que de devoir attendre deux années supplémentaires avant que le Comité puisse à nouveau examiner leur dossier.</w:t>
      </w:r>
    </w:p>
    <w:p w14:paraId="67DE93C2" w14:textId="68483262" w:rsidR="00A32450" w:rsidRPr="009D394F" w:rsidRDefault="00A32450" w:rsidP="009D394F">
      <w:pPr>
        <w:pStyle w:val="COMPara"/>
        <w:ind w:left="567" w:hanging="567"/>
        <w:jc w:val="both"/>
        <w:rPr>
          <w:lang w:val="fr-FR"/>
        </w:rPr>
      </w:pPr>
      <w:r w:rsidRPr="009D394F">
        <w:rPr>
          <w:rFonts w:eastAsia="SimSun"/>
          <w:lang w:val="fr-FR"/>
        </w:rPr>
        <w:t>Lors de sa douzième session en 2017, le Comité préconisait d</w:t>
      </w:r>
      <w:r w:rsidR="00F36C26">
        <w:rPr>
          <w:rFonts w:eastAsia="SimSun"/>
          <w:lang w:val="fr-FR"/>
        </w:rPr>
        <w:t>’</w:t>
      </w:r>
      <w:r w:rsidRPr="009D394F">
        <w:rPr>
          <w:rFonts w:eastAsia="SimSun"/>
          <w:lang w:val="fr-FR"/>
        </w:rPr>
        <w:t>accorder un délai supplémentaire pour permettre à certains ajustements introduits dans le processus d</w:t>
      </w:r>
      <w:r w:rsidR="00F36C26">
        <w:rPr>
          <w:rFonts w:eastAsia="SimSun"/>
          <w:lang w:val="fr-FR"/>
        </w:rPr>
        <w:t>’</w:t>
      </w:r>
      <w:r w:rsidRPr="009D394F">
        <w:rPr>
          <w:rFonts w:eastAsia="SimSun"/>
          <w:lang w:val="fr-FR"/>
        </w:rPr>
        <w:t>évaluation de prendre effet (notamment sur les formulaires de candidatures) avant d</w:t>
      </w:r>
      <w:r w:rsidR="00F36C26">
        <w:rPr>
          <w:rFonts w:eastAsia="SimSun"/>
          <w:lang w:val="fr-FR"/>
        </w:rPr>
        <w:t>’</w:t>
      </w:r>
      <w:r w:rsidRPr="009D394F">
        <w:rPr>
          <w:rFonts w:eastAsia="SimSun"/>
          <w:lang w:val="fr-FR"/>
        </w:rPr>
        <w:t>envisager l</w:t>
      </w:r>
      <w:r w:rsidR="00F36C26">
        <w:rPr>
          <w:rFonts w:eastAsia="SimSun"/>
          <w:lang w:val="fr-FR"/>
        </w:rPr>
        <w:t>’</w:t>
      </w:r>
      <w:r w:rsidRPr="009D394F">
        <w:rPr>
          <w:rFonts w:eastAsia="SimSun"/>
          <w:lang w:val="fr-FR"/>
        </w:rPr>
        <w:t>établissement d</w:t>
      </w:r>
      <w:r w:rsidR="00F36C26">
        <w:rPr>
          <w:rFonts w:eastAsia="SimSun"/>
          <w:lang w:val="fr-FR"/>
        </w:rPr>
        <w:t>’</w:t>
      </w:r>
      <w:r w:rsidRPr="009D394F">
        <w:rPr>
          <w:rFonts w:eastAsia="SimSun"/>
          <w:lang w:val="fr-FR"/>
        </w:rPr>
        <w:t>un processus officiel de « dialogue ». À cette occasion,</w:t>
      </w:r>
      <w:r w:rsidRPr="009D394F">
        <w:rPr>
          <w:lang w:val="fr-FR"/>
        </w:rPr>
        <w:t xml:space="preserve"> </w:t>
      </w:r>
      <w:r w:rsidRPr="00A32450">
        <w:rPr>
          <w:rFonts w:eastAsia="SimSun"/>
          <w:lang w:val="fr-FR" w:eastAsia="ja-JP"/>
        </w:rPr>
        <w:t xml:space="preserve">le Comité a décidé de maintenir le groupe de travail </w:t>
      </w:r>
      <w:r w:rsidR="00E943C7" w:rsidRPr="00A32450">
        <w:rPr>
          <w:rFonts w:eastAsia="SimSun"/>
          <w:lang w:val="fr-FR" w:eastAsia="ja-JP"/>
        </w:rPr>
        <w:t xml:space="preserve">informel </w:t>
      </w:r>
      <w:r w:rsidRPr="00A32450">
        <w:rPr>
          <w:rFonts w:eastAsia="SimSun"/>
          <w:lang w:val="fr-FR" w:eastAsia="ja-JP"/>
        </w:rPr>
        <w:t>ad hoc jusqu</w:t>
      </w:r>
      <w:r w:rsidR="00F36C26">
        <w:rPr>
          <w:rFonts w:eastAsia="SimSun"/>
          <w:lang w:val="fr-FR" w:eastAsia="ja-JP"/>
        </w:rPr>
        <w:t>’</w:t>
      </w:r>
      <w:r w:rsidRPr="00A32450">
        <w:rPr>
          <w:rFonts w:eastAsia="SimSun"/>
          <w:lang w:val="fr-FR" w:eastAsia="ja-JP"/>
        </w:rPr>
        <w:t xml:space="preserve">en 2018, en le rendant ouvert </w:t>
      </w:r>
      <w:r w:rsidRPr="00A32450">
        <w:rPr>
          <w:rFonts w:eastAsia="SimSun"/>
          <w:lang w:val="fr-FR" w:eastAsia="ja-JP"/>
        </w:rPr>
        <w:lastRenderedPageBreak/>
        <w:t xml:space="preserve">à tous les États parties. Le groupe a été invité, entre autres, à </w:t>
      </w:r>
      <w:r w:rsidR="009E51F5">
        <w:rPr>
          <w:rFonts w:eastAsia="SimSun"/>
          <w:lang w:val="fr-FR" w:eastAsia="ja-JP"/>
        </w:rPr>
        <w:t>« </w:t>
      </w:r>
      <w:r w:rsidRPr="00A32450">
        <w:rPr>
          <w:rFonts w:eastAsia="SimSun"/>
          <w:lang w:val="fr-FR" w:eastAsia="ja-JP"/>
        </w:rPr>
        <w:t>poursuivre la réflexion sur un mécanisme de " dialogue " approprié, en consultation avec l</w:t>
      </w:r>
      <w:r w:rsidR="00F36C26">
        <w:rPr>
          <w:rFonts w:eastAsia="SimSun"/>
          <w:lang w:val="fr-FR" w:eastAsia="ja-JP"/>
        </w:rPr>
        <w:t>’</w:t>
      </w:r>
      <w:r w:rsidRPr="00A32450">
        <w:rPr>
          <w:rFonts w:eastAsia="SimSun"/>
          <w:lang w:val="fr-FR" w:eastAsia="ja-JP"/>
        </w:rPr>
        <w:t>Organe d</w:t>
      </w:r>
      <w:r w:rsidR="00F36C26">
        <w:rPr>
          <w:rFonts w:eastAsia="SimSun"/>
          <w:lang w:val="fr-FR" w:eastAsia="ja-JP"/>
        </w:rPr>
        <w:t>’</w:t>
      </w:r>
      <w:r w:rsidRPr="00A32450">
        <w:rPr>
          <w:rFonts w:eastAsia="SimSun"/>
          <w:lang w:val="fr-FR" w:eastAsia="ja-JP"/>
        </w:rPr>
        <w:t>évaluation, en tenant compte des résolutions respectives de la prochaine Assemblée générale</w:t>
      </w:r>
      <w:r w:rsidR="009E51F5">
        <w:rPr>
          <w:rFonts w:eastAsia="SimSun"/>
          <w:lang w:val="fr-FR" w:eastAsia="ja-JP"/>
        </w:rPr>
        <w:t> »</w:t>
      </w:r>
      <w:r>
        <w:rPr>
          <w:rStyle w:val="Appelnotedebasdep"/>
        </w:rPr>
        <w:footnoteReference w:id="31"/>
      </w:r>
      <w:r w:rsidRPr="009D394F">
        <w:rPr>
          <w:rFonts w:eastAsia="SimSun"/>
          <w:lang w:val="fr-FR"/>
        </w:rPr>
        <w:t>.</w:t>
      </w:r>
    </w:p>
    <w:p w14:paraId="60D77050" w14:textId="3B6229BC" w:rsidR="00E943C7" w:rsidRPr="009D394F" w:rsidRDefault="00E943C7" w:rsidP="009D394F">
      <w:pPr>
        <w:pStyle w:val="COMPara"/>
        <w:ind w:left="567" w:hanging="567"/>
        <w:jc w:val="both"/>
        <w:rPr>
          <w:lang w:val="fr-FR"/>
        </w:rPr>
      </w:pPr>
      <w:r w:rsidRPr="009D394F">
        <w:rPr>
          <w:rFonts w:eastAsia="SimSun"/>
          <w:lang w:val="fr-FR"/>
        </w:rPr>
        <w:t>Le besoin d</w:t>
      </w:r>
      <w:r w:rsidR="00F36C26">
        <w:rPr>
          <w:rFonts w:eastAsia="SimSun"/>
          <w:lang w:val="fr-FR"/>
        </w:rPr>
        <w:t>’</w:t>
      </w:r>
      <w:r w:rsidRPr="009D394F">
        <w:rPr>
          <w:rFonts w:eastAsia="SimSun"/>
          <w:lang w:val="fr-FR"/>
        </w:rPr>
        <w:t>améliorer la procédure d</w:t>
      </w:r>
      <w:r w:rsidR="00F36C26">
        <w:rPr>
          <w:rFonts w:eastAsia="SimSun"/>
          <w:lang w:val="fr-FR"/>
        </w:rPr>
        <w:t>’</w:t>
      </w:r>
      <w:r w:rsidRPr="009D394F">
        <w:rPr>
          <w:rFonts w:eastAsia="SimSun"/>
          <w:lang w:val="fr-FR"/>
        </w:rPr>
        <w:t>inscription a culminé lors de la treizième session en 2018, à la suite des délibérations de cette session au sujet d</w:t>
      </w:r>
      <w:r w:rsidR="00F36C26">
        <w:rPr>
          <w:rFonts w:eastAsia="SimSun"/>
          <w:lang w:val="fr-FR"/>
        </w:rPr>
        <w:t>’</w:t>
      </w:r>
      <w:r w:rsidRPr="009D394F">
        <w:rPr>
          <w:rFonts w:eastAsia="SimSun"/>
          <w:lang w:val="fr-FR"/>
        </w:rPr>
        <w:t>un certain nombre de candidatures. En particulier, le Comité a demandé au Secrétariat de transmettre toutes les questions de l</w:t>
      </w:r>
      <w:r w:rsidR="00F36C26">
        <w:rPr>
          <w:rFonts w:eastAsia="SimSun"/>
          <w:lang w:val="fr-FR"/>
        </w:rPr>
        <w:t>’</w:t>
      </w:r>
      <w:r w:rsidRPr="009D394F">
        <w:rPr>
          <w:rFonts w:eastAsia="SimSun"/>
          <w:lang w:val="fr-FR"/>
        </w:rPr>
        <w:t>Organe d</w:t>
      </w:r>
      <w:r w:rsidR="00F36C26">
        <w:rPr>
          <w:rFonts w:eastAsia="SimSun"/>
          <w:lang w:val="fr-FR"/>
        </w:rPr>
        <w:t>’</w:t>
      </w:r>
      <w:r w:rsidRPr="009D394F">
        <w:rPr>
          <w:rFonts w:eastAsia="SimSun"/>
          <w:lang w:val="fr-FR"/>
        </w:rPr>
        <w:t>évaluation au sujet des dossiers soumis pour le cycle 2019 aux États parties concernés après la deuxième réunion de l</w:t>
      </w:r>
      <w:r w:rsidR="00F36C26">
        <w:rPr>
          <w:rFonts w:eastAsia="SimSun"/>
          <w:lang w:val="fr-FR"/>
        </w:rPr>
        <w:t>’</w:t>
      </w:r>
      <w:r w:rsidRPr="009D394F">
        <w:rPr>
          <w:rFonts w:eastAsia="SimSun"/>
          <w:lang w:val="fr-FR"/>
        </w:rPr>
        <w:t>Organe d</w:t>
      </w:r>
      <w:r w:rsidR="00F36C26">
        <w:rPr>
          <w:rFonts w:eastAsia="SimSun"/>
          <w:lang w:val="fr-FR"/>
        </w:rPr>
        <w:t>’</w:t>
      </w:r>
      <w:r w:rsidRPr="009D394F">
        <w:rPr>
          <w:rFonts w:eastAsia="SimSun"/>
          <w:lang w:val="fr-FR"/>
        </w:rPr>
        <w:t>évaluation en 2019. En parallèle, le Comité a invité les États parties concernés à soumettre leurs clarifications à l</w:t>
      </w:r>
      <w:r w:rsidR="00F36C26">
        <w:rPr>
          <w:rFonts w:eastAsia="SimSun"/>
          <w:lang w:val="fr-FR"/>
        </w:rPr>
        <w:t>’</w:t>
      </w:r>
      <w:r w:rsidRPr="009D394F">
        <w:rPr>
          <w:rFonts w:eastAsia="SimSun"/>
          <w:lang w:val="fr-FR"/>
        </w:rPr>
        <w:t>Organe d</w:t>
      </w:r>
      <w:r w:rsidR="00F36C26">
        <w:rPr>
          <w:rFonts w:eastAsia="SimSun"/>
          <w:lang w:val="fr-FR"/>
        </w:rPr>
        <w:t>’</w:t>
      </w:r>
      <w:r w:rsidRPr="009D394F">
        <w:rPr>
          <w:rFonts w:eastAsia="SimSun"/>
          <w:lang w:val="fr-FR"/>
        </w:rPr>
        <w:t>évaluation avant sa troisième réunion en 2019.</w:t>
      </w:r>
      <w:r w:rsidRPr="009D394F">
        <w:rPr>
          <w:lang w:val="fr-FR"/>
        </w:rPr>
        <w:t xml:space="preserve"> </w:t>
      </w:r>
      <w:r w:rsidRPr="00E943C7">
        <w:rPr>
          <w:rFonts w:eastAsia="SimSun"/>
          <w:lang w:val="fr-FR" w:eastAsia="ja-JP"/>
        </w:rPr>
        <w:t xml:space="preserve">Le mandat du </w:t>
      </w:r>
      <w:r w:rsidR="00493F9F">
        <w:rPr>
          <w:rFonts w:eastAsia="SimSun"/>
          <w:lang w:val="fr-FR" w:eastAsia="ja-JP"/>
        </w:rPr>
        <w:t xml:space="preserve">groupe de </w:t>
      </w:r>
      <w:r w:rsidRPr="00E943C7">
        <w:rPr>
          <w:rFonts w:eastAsia="SimSun"/>
          <w:lang w:val="fr-FR" w:eastAsia="ja-JP"/>
        </w:rPr>
        <w:t xml:space="preserve">travail informel ad hoc à </w:t>
      </w:r>
      <w:r>
        <w:rPr>
          <w:rFonts w:eastAsia="SimSun"/>
          <w:lang w:val="fr-FR" w:eastAsia="ja-JP"/>
        </w:rPr>
        <w:t xml:space="preserve">composition non limitée </w:t>
      </w:r>
      <w:r w:rsidRPr="00E943C7">
        <w:rPr>
          <w:rFonts w:eastAsia="SimSun"/>
          <w:lang w:val="fr-FR" w:eastAsia="ja-JP"/>
        </w:rPr>
        <w:t xml:space="preserve">a de nouveau été </w:t>
      </w:r>
      <w:r>
        <w:rPr>
          <w:rFonts w:eastAsia="SimSun"/>
          <w:lang w:val="fr-FR" w:eastAsia="ja-JP"/>
        </w:rPr>
        <w:t>prolongé, jusqu</w:t>
      </w:r>
      <w:r w:rsidR="00F36C26">
        <w:rPr>
          <w:rFonts w:eastAsia="SimSun"/>
          <w:lang w:val="fr-FR" w:eastAsia="ja-JP"/>
        </w:rPr>
        <w:t>’</w:t>
      </w:r>
      <w:r>
        <w:rPr>
          <w:rFonts w:eastAsia="SimSun"/>
          <w:lang w:val="fr-FR" w:eastAsia="ja-JP"/>
        </w:rPr>
        <w:t>en 2019, pour « </w:t>
      </w:r>
      <w:r w:rsidRPr="00E943C7">
        <w:rPr>
          <w:rFonts w:eastAsia="SimSun"/>
          <w:lang w:val="fr-FR" w:eastAsia="ja-JP"/>
        </w:rPr>
        <w:t>échanger avec le Secrétariat et l</w:t>
      </w:r>
      <w:r w:rsidR="00F36C26">
        <w:rPr>
          <w:rFonts w:eastAsia="SimSun"/>
          <w:lang w:val="fr-FR" w:eastAsia="ja-JP"/>
        </w:rPr>
        <w:t>’</w:t>
      </w:r>
      <w:r w:rsidRPr="00E943C7">
        <w:rPr>
          <w:rFonts w:eastAsia="SimSun"/>
          <w:lang w:val="fr-FR" w:eastAsia="ja-JP"/>
        </w:rPr>
        <w:t>Organe d</w:t>
      </w:r>
      <w:r w:rsidR="00F36C26">
        <w:rPr>
          <w:rFonts w:eastAsia="SimSun"/>
          <w:lang w:val="fr-FR" w:eastAsia="ja-JP"/>
        </w:rPr>
        <w:t>’</w:t>
      </w:r>
      <w:r w:rsidRPr="00E943C7">
        <w:rPr>
          <w:rFonts w:eastAsia="SimSun"/>
          <w:lang w:val="fr-FR" w:eastAsia="ja-JP"/>
        </w:rPr>
        <w:t>évaluation sur la mise en œuvre du méca</w:t>
      </w:r>
      <w:r>
        <w:rPr>
          <w:rFonts w:eastAsia="SimSun"/>
          <w:lang w:val="fr-FR" w:eastAsia="ja-JP"/>
        </w:rPr>
        <w:t xml:space="preserve">nisme du dialogue </w:t>
      </w:r>
      <w:r w:rsidRPr="004C1DBE">
        <w:rPr>
          <w:rFonts w:eastAsia="SimSun"/>
          <w:lang w:val="fr-FR" w:eastAsia="ja-JP"/>
        </w:rPr>
        <w:t>expérimental »</w:t>
      </w:r>
      <w:r w:rsidR="00B3563B" w:rsidRPr="00CB69D9">
        <w:rPr>
          <w:rStyle w:val="Appelnotedebasdep"/>
          <w:rFonts w:eastAsia="SimSun"/>
          <w:lang w:val="fr-FR" w:eastAsia="ja-JP"/>
        </w:rPr>
        <w:footnoteReference w:id="32"/>
      </w:r>
      <w:r w:rsidRPr="004C1DBE">
        <w:rPr>
          <w:rFonts w:eastAsia="SimSun"/>
          <w:lang w:val="fr-FR" w:eastAsia="ja-JP"/>
        </w:rPr>
        <w:t>.</w:t>
      </w:r>
    </w:p>
    <w:p w14:paraId="43FC8A0C" w14:textId="46787F6F" w:rsidR="00E943C7" w:rsidRPr="009F06B8" w:rsidRDefault="00E943C7" w:rsidP="00E943C7">
      <w:pPr>
        <w:pStyle w:val="COMPara"/>
        <w:ind w:left="567" w:hanging="567"/>
        <w:jc w:val="both"/>
        <w:rPr>
          <w:lang w:val="fr-FR"/>
        </w:rPr>
      </w:pPr>
      <w:r>
        <w:rPr>
          <w:lang w:val="fr-FR"/>
        </w:rPr>
        <w:t xml:space="preserve">La procédure </w:t>
      </w:r>
      <w:r w:rsidR="00493F9F">
        <w:rPr>
          <w:lang w:val="fr-FR"/>
        </w:rPr>
        <w:t xml:space="preserve">provisoire </w:t>
      </w:r>
      <w:r>
        <w:rPr>
          <w:lang w:val="fr-FR"/>
        </w:rPr>
        <w:t>de dialogue en amont a donc été introduite dans le cycle 2019. Un arrangement spécifique provisoire a été nécessaire pour respecter le calendrier d</w:t>
      </w:r>
      <w:r w:rsidR="00F36C26">
        <w:rPr>
          <w:lang w:val="fr-FR"/>
        </w:rPr>
        <w:t>’</w:t>
      </w:r>
      <w:r>
        <w:rPr>
          <w:lang w:val="fr-FR"/>
        </w:rPr>
        <w:t>évaluation spécifié dans le paragraphe 55 des Directives opérationnelles. Il convient de noter que l</w:t>
      </w:r>
      <w:r w:rsidR="00F36C26">
        <w:rPr>
          <w:lang w:val="fr-FR"/>
        </w:rPr>
        <w:t>’</w:t>
      </w:r>
      <w:r>
        <w:rPr>
          <w:lang w:val="fr-FR"/>
        </w:rPr>
        <w:t>avis de l</w:t>
      </w:r>
      <w:r w:rsidR="00F36C26">
        <w:rPr>
          <w:lang w:val="fr-FR"/>
        </w:rPr>
        <w:t>’</w:t>
      </w:r>
      <w:r>
        <w:rPr>
          <w:lang w:val="fr-FR"/>
        </w:rPr>
        <w:t>Organe d</w:t>
      </w:r>
      <w:r w:rsidR="00F36C26">
        <w:rPr>
          <w:lang w:val="fr-FR"/>
        </w:rPr>
        <w:t>’</w:t>
      </w:r>
      <w:r>
        <w:rPr>
          <w:lang w:val="fr-FR"/>
        </w:rPr>
        <w:t>évaluation en 2019 sur les cas visés par le dialogue est publié en tant que document informatif, indépendamment des recommandations sur les candidatures individuelles, pour rester encore une fois en conformité avec le paragraphe 55 des Directives opérationnelles. Pour plus de détails, le rapport de l</w:t>
      </w:r>
      <w:r w:rsidR="00F36C26">
        <w:rPr>
          <w:lang w:val="fr-FR"/>
        </w:rPr>
        <w:t>’</w:t>
      </w:r>
      <w:r>
        <w:rPr>
          <w:lang w:val="fr-FR"/>
        </w:rPr>
        <w:t>Organe d</w:t>
      </w:r>
      <w:r w:rsidR="00F36C26">
        <w:rPr>
          <w:lang w:val="fr-FR"/>
        </w:rPr>
        <w:t>’</w:t>
      </w:r>
      <w:r>
        <w:rPr>
          <w:lang w:val="fr-FR"/>
        </w:rPr>
        <w:t>évaluation exposé à la présente session du Comité indique la procédure, les résultats et les conclusions de l</w:t>
      </w:r>
      <w:r w:rsidR="00F36C26">
        <w:rPr>
          <w:lang w:val="fr-FR"/>
        </w:rPr>
        <w:t>’</w:t>
      </w:r>
      <w:r>
        <w:rPr>
          <w:lang w:val="fr-FR"/>
        </w:rPr>
        <w:t>Organe</w:t>
      </w:r>
      <w:r>
        <w:rPr>
          <w:rStyle w:val="Appelnotedebasdep"/>
        </w:rPr>
        <w:footnoteReference w:id="33"/>
      </w:r>
      <w:r>
        <w:rPr>
          <w:lang w:val="fr-FR"/>
        </w:rPr>
        <w:t>. L</w:t>
      </w:r>
      <w:r w:rsidR="00F36C26">
        <w:rPr>
          <w:lang w:val="fr-FR"/>
        </w:rPr>
        <w:t>’</w:t>
      </w:r>
      <w:r>
        <w:rPr>
          <w:lang w:val="fr-FR"/>
        </w:rPr>
        <w:t>Organe d</w:t>
      </w:r>
      <w:r w:rsidR="00F36C26">
        <w:rPr>
          <w:lang w:val="fr-FR"/>
        </w:rPr>
        <w:t>’</w:t>
      </w:r>
      <w:r>
        <w:rPr>
          <w:lang w:val="fr-FR"/>
        </w:rPr>
        <w:t>évaluation a remarqué que le processus l</w:t>
      </w:r>
      <w:r w:rsidR="00F36C26">
        <w:rPr>
          <w:lang w:val="fr-FR"/>
        </w:rPr>
        <w:t>’</w:t>
      </w:r>
      <w:r>
        <w:rPr>
          <w:lang w:val="fr-FR"/>
        </w:rPr>
        <w:t>a rendu plus confiant en ses décisions, ce qui devrait donner au Comité la garantie d</w:t>
      </w:r>
      <w:r w:rsidR="00F36C26">
        <w:rPr>
          <w:lang w:val="fr-FR"/>
        </w:rPr>
        <w:t>’</w:t>
      </w:r>
      <w:r>
        <w:rPr>
          <w:lang w:val="fr-FR"/>
        </w:rPr>
        <w:t>une part que les candidatures qui ont bénéficié du processus de dialogue n</w:t>
      </w:r>
      <w:r w:rsidR="00F36C26">
        <w:rPr>
          <w:lang w:val="fr-FR"/>
        </w:rPr>
        <w:t>’</w:t>
      </w:r>
      <w:r>
        <w:rPr>
          <w:lang w:val="fr-FR"/>
        </w:rPr>
        <w:t xml:space="preserve">ont pas eu à </w:t>
      </w:r>
      <w:r w:rsidR="00493F9F">
        <w:rPr>
          <w:lang w:val="fr-FR"/>
        </w:rPr>
        <w:t xml:space="preserve">attendre </w:t>
      </w:r>
      <w:r>
        <w:rPr>
          <w:lang w:val="fr-FR"/>
        </w:rPr>
        <w:t>deux ans supplémentaires pour être réexaminées, et d</w:t>
      </w:r>
      <w:r w:rsidR="00F36C26">
        <w:rPr>
          <w:lang w:val="fr-FR"/>
        </w:rPr>
        <w:t>’</w:t>
      </w:r>
      <w:r>
        <w:rPr>
          <w:lang w:val="fr-FR"/>
        </w:rPr>
        <w:t>autre part que les renvois n</w:t>
      </w:r>
      <w:r w:rsidR="00F36C26">
        <w:rPr>
          <w:lang w:val="fr-FR"/>
        </w:rPr>
        <w:t>’</w:t>
      </w:r>
      <w:r>
        <w:rPr>
          <w:lang w:val="fr-FR"/>
        </w:rPr>
        <w:t xml:space="preserve">ont pas été recommandés pour des raisons </w:t>
      </w:r>
      <w:r w:rsidR="00493F9F">
        <w:rPr>
          <w:lang w:val="fr-FR"/>
        </w:rPr>
        <w:t>mineures</w:t>
      </w:r>
      <w:r>
        <w:rPr>
          <w:lang w:val="fr-FR"/>
        </w:rPr>
        <w:t>.</w:t>
      </w:r>
    </w:p>
    <w:p w14:paraId="4A48D828" w14:textId="4EF0D7AF" w:rsidR="00AA44F2" w:rsidRPr="009F06B8" w:rsidRDefault="00AA44F2" w:rsidP="00AA44F2">
      <w:pPr>
        <w:pStyle w:val="COMPara"/>
        <w:ind w:left="567" w:hanging="567"/>
        <w:jc w:val="both"/>
        <w:rPr>
          <w:lang w:val="fr-FR"/>
        </w:rPr>
      </w:pPr>
      <w:r>
        <w:rPr>
          <w:lang w:val="fr-FR"/>
        </w:rPr>
        <w:t>Sur la base de l</w:t>
      </w:r>
      <w:r w:rsidR="00F36C26">
        <w:rPr>
          <w:lang w:val="fr-FR"/>
        </w:rPr>
        <w:t>’</w:t>
      </w:r>
      <w:r>
        <w:rPr>
          <w:lang w:val="fr-FR"/>
        </w:rPr>
        <w:t>expérience acquise sur le processus de dialogue en amont pendant l</w:t>
      </w:r>
      <w:r w:rsidR="00F36C26">
        <w:rPr>
          <w:lang w:val="fr-FR"/>
        </w:rPr>
        <w:t>’</w:t>
      </w:r>
      <w:r>
        <w:rPr>
          <w:lang w:val="fr-FR"/>
        </w:rPr>
        <w:t>année en cours, le Comité souhaitera peut-être suivre la suggestion de l</w:t>
      </w:r>
      <w:r w:rsidR="00F36C26">
        <w:rPr>
          <w:lang w:val="fr-FR"/>
        </w:rPr>
        <w:t>’</w:t>
      </w:r>
      <w:r>
        <w:rPr>
          <w:lang w:val="fr-FR"/>
        </w:rPr>
        <w:t>Organe d</w:t>
      </w:r>
      <w:r w:rsidR="00F36C26">
        <w:rPr>
          <w:lang w:val="fr-FR"/>
        </w:rPr>
        <w:t>’</w:t>
      </w:r>
      <w:r>
        <w:rPr>
          <w:lang w:val="fr-FR"/>
        </w:rPr>
        <w:t>évaluation et adopter une série d</w:t>
      </w:r>
      <w:r w:rsidR="00F36C26">
        <w:rPr>
          <w:lang w:val="fr-FR"/>
        </w:rPr>
        <w:t>’</w:t>
      </w:r>
      <w:r>
        <w:rPr>
          <w:lang w:val="fr-FR"/>
        </w:rPr>
        <w:t>amendements au chapitre I.15 des Directives opérationnelles, tels qu</w:t>
      </w:r>
      <w:r w:rsidR="00F36C26">
        <w:rPr>
          <w:lang w:val="fr-FR"/>
        </w:rPr>
        <w:t>’</w:t>
      </w:r>
      <w:r>
        <w:rPr>
          <w:lang w:val="fr-FR"/>
        </w:rPr>
        <w:t xml:space="preserve">indiqués dans </w:t>
      </w:r>
      <w:r w:rsidRPr="00CB69D9">
        <w:rPr>
          <w:lang w:val="fr-FR"/>
        </w:rPr>
        <w:t>l</w:t>
      </w:r>
      <w:r w:rsidR="00F36C26">
        <w:rPr>
          <w:lang w:val="fr-FR"/>
        </w:rPr>
        <w:t>’</w:t>
      </w:r>
      <w:r w:rsidRPr="00CB69D9">
        <w:rPr>
          <w:lang w:val="fr-FR"/>
        </w:rPr>
        <w:t>annexe II</w:t>
      </w:r>
      <w:r w:rsidRPr="00E65ECE">
        <w:rPr>
          <w:lang w:val="fr-FR"/>
        </w:rPr>
        <w:t>I</w:t>
      </w:r>
      <w:r>
        <w:rPr>
          <w:lang w:val="fr-FR"/>
        </w:rPr>
        <w:t xml:space="preserve"> du présent document. L</w:t>
      </w:r>
      <w:r w:rsidR="00F36C26">
        <w:rPr>
          <w:lang w:val="fr-FR"/>
        </w:rPr>
        <w:t>’</w:t>
      </w:r>
      <w:r>
        <w:rPr>
          <w:lang w:val="fr-FR"/>
        </w:rPr>
        <w:t>objectif est de créer une étape intermédiaire dans le cycle d</w:t>
      </w:r>
      <w:r w:rsidR="00F36C26">
        <w:rPr>
          <w:lang w:val="fr-FR"/>
        </w:rPr>
        <w:t>’</w:t>
      </w:r>
      <w:r>
        <w:rPr>
          <w:lang w:val="fr-FR"/>
        </w:rPr>
        <w:t>évaluation pour permettre à l</w:t>
      </w:r>
      <w:r w:rsidR="00F36C26">
        <w:rPr>
          <w:lang w:val="fr-FR"/>
        </w:rPr>
        <w:t>’</w:t>
      </w:r>
      <w:r>
        <w:rPr>
          <w:lang w:val="fr-FR"/>
        </w:rPr>
        <w:t xml:space="preserve">Organe de </w:t>
      </w:r>
      <w:r w:rsidR="00493F9F">
        <w:rPr>
          <w:lang w:val="fr-FR"/>
        </w:rPr>
        <w:t xml:space="preserve">finaliser </w:t>
      </w:r>
      <w:r>
        <w:rPr>
          <w:lang w:val="fr-FR"/>
        </w:rPr>
        <w:t>ses recommandations pour les fichiers concernés par le processus de dialogue au cours de sa troisième et dernière réunion.</w:t>
      </w:r>
    </w:p>
    <w:p w14:paraId="679962A7" w14:textId="58F01AEF" w:rsidR="00E97EB9" w:rsidRPr="009F06B8" w:rsidRDefault="00E97EB9" w:rsidP="00E97EB9">
      <w:pPr>
        <w:pStyle w:val="COMPara"/>
        <w:ind w:left="567" w:hanging="567"/>
        <w:jc w:val="both"/>
        <w:rPr>
          <w:rFonts w:eastAsia="SimSun"/>
          <w:lang w:val="fr-FR"/>
        </w:rPr>
      </w:pPr>
      <w:r>
        <w:rPr>
          <w:lang w:val="fr-FR"/>
        </w:rPr>
        <w:t>Pour l</w:t>
      </w:r>
      <w:r w:rsidR="00F36C26">
        <w:rPr>
          <w:lang w:val="fr-FR"/>
        </w:rPr>
        <w:t>’</w:t>
      </w:r>
      <w:r>
        <w:rPr>
          <w:lang w:val="fr-FR"/>
        </w:rPr>
        <w:t>évaluation des dossiers non concernés par le processus de dialogue, l</w:t>
      </w:r>
      <w:r w:rsidR="00F36C26">
        <w:rPr>
          <w:lang w:val="fr-FR"/>
        </w:rPr>
        <w:t>’</w:t>
      </w:r>
      <w:r>
        <w:rPr>
          <w:lang w:val="fr-FR"/>
        </w:rPr>
        <w:t>Organe d</w:t>
      </w:r>
      <w:r w:rsidR="00F36C26">
        <w:rPr>
          <w:lang w:val="fr-FR"/>
        </w:rPr>
        <w:t>’</w:t>
      </w:r>
      <w:r>
        <w:rPr>
          <w:lang w:val="fr-FR"/>
        </w:rPr>
        <w:t>évaluation continuera toutefois de suivre le calendrier d</w:t>
      </w:r>
      <w:r w:rsidR="00F36C26">
        <w:rPr>
          <w:lang w:val="fr-FR"/>
        </w:rPr>
        <w:t>’</w:t>
      </w:r>
      <w:r>
        <w:rPr>
          <w:lang w:val="fr-FR"/>
        </w:rPr>
        <w:t>évaluation existant indiqué dans la version actuelle des Directives opérationnelles et devra soumettre son évaluation finale lors de sa deuxième réunion, qui se tiendra entre avril et juin. Cette distinction est importante : s</w:t>
      </w:r>
      <w:r w:rsidR="00F36C26">
        <w:rPr>
          <w:lang w:val="fr-FR"/>
        </w:rPr>
        <w:t>’</w:t>
      </w:r>
      <w:r>
        <w:rPr>
          <w:lang w:val="fr-FR"/>
        </w:rPr>
        <w:t>il appliquait le processus de dialogue à tous les dossiers dont il envisage de recommander le renvoi, l</w:t>
      </w:r>
      <w:r w:rsidR="00F36C26">
        <w:rPr>
          <w:lang w:val="fr-FR"/>
        </w:rPr>
        <w:t>’</w:t>
      </w:r>
      <w:r>
        <w:rPr>
          <w:lang w:val="fr-FR"/>
        </w:rPr>
        <w:t>Organe d</w:t>
      </w:r>
      <w:r w:rsidR="00F36C26">
        <w:rPr>
          <w:lang w:val="fr-FR"/>
        </w:rPr>
        <w:t>’</w:t>
      </w:r>
      <w:r>
        <w:rPr>
          <w:lang w:val="fr-FR"/>
        </w:rPr>
        <w:t xml:space="preserve">évaluation risquerait fortement de ne pas pouvoir terminer son évaluation </w:t>
      </w:r>
      <w:r w:rsidRPr="00E65ECE">
        <w:rPr>
          <w:lang w:val="fr-FR"/>
        </w:rPr>
        <w:t>avant</w:t>
      </w:r>
      <w:r>
        <w:rPr>
          <w:lang w:val="fr-FR"/>
        </w:rPr>
        <w:t xml:space="preserve"> la réunion de septembre. Cela met en jeu la capacité de l</w:t>
      </w:r>
      <w:r w:rsidR="00F36C26">
        <w:rPr>
          <w:lang w:val="fr-FR"/>
        </w:rPr>
        <w:t>’</w:t>
      </w:r>
      <w:r>
        <w:rPr>
          <w:lang w:val="fr-FR"/>
        </w:rPr>
        <w:t>Organe d</w:t>
      </w:r>
      <w:r w:rsidR="00F36C26">
        <w:rPr>
          <w:lang w:val="fr-FR"/>
        </w:rPr>
        <w:t>’</w:t>
      </w:r>
      <w:r>
        <w:rPr>
          <w:lang w:val="fr-FR"/>
        </w:rPr>
        <w:t>évaluation à remplir son mandat, puisque ses membres font leurs recommandations pour chacun des critères de chaque dossier de manière consensuelle, au terme de discussions collégiales, pendant la deuxième réunion. L</w:t>
      </w:r>
      <w:r w:rsidR="00F36C26">
        <w:rPr>
          <w:lang w:val="fr-FR"/>
        </w:rPr>
        <w:t>’</w:t>
      </w:r>
      <w:r>
        <w:rPr>
          <w:lang w:val="fr-FR"/>
        </w:rPr>
        <w:t>élaboration du rapport après la réunion de juin, avant son adoption finale en septembre, implique également la contribution du Président, du Vice-Président et du Rapporteur de l</w:t>
      </w:r>
      <w:r w:rsidR="00F36C26">
        <w:rPr>
          <w:lang w:val="fr-FR"/>
        </w:rPr>
        <w:t>’</w:t>
      </w:r>
      <w:r>
        <w:rPr>
          <w:lang w:val="fr-FR"/>
        </w:rPr>
        <w:t>Organe sur une période d</w:t>
      </w:r>
      <w:r w:rsidR="00F36C26">
        <w:rPr>
          <w:lang w:val="fr-FR"/>
        </w:rPr>
        <w:t>’</w:t>
      </w:r>
      <w:r>
        <w:rPr>
          <w:lang w:val="fr-FR"/>
        </w:rPr>
        <w:t>environ douze semaines.</w:t>
      </w:r>
    </w:p>
    <w:p w14:paraId="026A7EA2" w14:textId="0E4631A6" w:rsidR="00E97EB9" w:rsidRPr="00A74F5E" w:rsidRDefault="00E97EB9" w:rsidP="00E97EB9">
      <w:pPr>
        <w:pStyle w:val="Titre4"/>
        <w:keepLines w:val="0"/>
        <w:spacing w:before="240"/>
        <w:ind w:hanging="578"/>
        <w:rPr>
          <w:lang w:val="fr-FR"/>
        </w:rPr>
      </w:pPr>
      <w:r>
        <w:rPr>
          <w:lang w:val="fr-FR"/>
        </w:rPr>
        <w:t>Pistes de réflexion pour l</w:t>
      </w:r>
      <w:r w:rsidR="00F36C26">
        <w:rPr>
          <w:lang w:val="fr-FR"/>
        </w:rPr>
        <w:t>’</w:t>
      </w:r>
      <w:r>
        <w:rPr>
          <w:lang w:val="fr-FR"/>
        </w:rPr>
        <w:t>avenir</w:t>
      </w:r>
    </w:p>
    <w:p w14:paraId="4A88B7C9" w14:textId="0D43D3E7" w:rsidR="00E97EB9" w:rsidRPr="009F06B8" w:rsidRDefault="00E97EB9" w:rsidP="00E97EB9">
      <w:pPr>
        <w:pStyle w:val="COMPara"/>
        <w:keepNext/>
        <w:ind w:left="567" w:hanging="567"/>
        <w:jc w:val="both"/>
        <w:rPr>
          <w:lang w:val="fr-FR"/>
        </w:rPr>
      </w:pPr>
      <w:r>
        <w:rPr>
          <w:lang w:val="fr-FR"/>
        </w:rPr>
        <w:t>Le processus de réflexion global débutera par une réunion préliminaire d</w:t>
      </w:r>
      <w:r w:rsidR="00F36C26">
        <w:rPr>
          <w:lang w:val="fr-FR"/>
        </w:rPr>
        <w:t>’</w:t>
      </w:r>
      <w:r>
        <w:rPr>
          <w:lang w:val="fr-FR"/>
        </w:rPr>
        <w:t>experts (catégorie</w:t>
      </w:r>
      <w:r w:rsidR="007C628B" w:rsidRPr="007C628B">
        <w:rPr>
          <w:lang w:val="fr-FR"/>
        </w:rPr>
        <w:t> </w:t>
      </w:r>
      <w:r>
        <w:rPr>
          <w:lang w:val="fr-FR"/>
        </w:rPr>
        <w:t>VI) au cours du premier semestre 2020 au siège de l</w:t>
      </w:r>
      <w:r w:rsidR="00F36C26">
        <w:rPr>
          <w:lang w:val="fr-FR"/>
        </w:rPr>
        <w:t>’</w:t>
      </w:r>
      <w:r>
        <w:rPr>
          <w:lang w:val="fr-FR"/>
        </w:rPr>
        <w:t>UNESCO à Paris. Compte tenu de l</w:t>
      </w:r>
      <w:r w:rsidR="00F36C26">
        <w:rPr>
          <w:lang w:val="fr-FR"/>
        </w:rPr>
        <w:t>’</w:t>
      </w:r>
      <w:r>
        <w:rPr>
          <w:lang w:val="fr-FR"/>
        </w:rPr>
        <w:t xml:space="preserve">impact </w:t>
      </w:r>
      <w:r>
        <w:rPr>
          <w:lang w:val="fr-FR"/>
        </w:rPr>
        <w:lastRenderedPageBreak/>
        <w:t>que la réflexion aura sur l</w:t>
      </w:r>
      <w:r w:rsidR="00F36C26">
        <w:rPr>
          <w:lang w:val="fr-FR"/>
        </w:rPr>
        <w:t>’</w:t>
      </w:r>
      <w:r>
        <w:rPr>
          <w:lang w:val="fr-FR"/>
        </w:rPr>
        <w:t>avenir de la Convention de 2003, le Secrétariat juge crucial que le processus soit aussi ouvert que possible.</w:t>
      </w:r>
    </w:p>
    <w:p w14:paraId="79FF76EE" w14:textId="4AB5F3F4" w:rsidR="00E97EB9" w:rsidRPr="009F06B8" w:rsidRDefault="00E97EB9" w:rsidP="00E97EB9">
      <w:pPr>
        <w:pStyle w:val="COMPara"/>
        <w:keepNext/>
        <w:ind w:left="567" w:hanging="567"/>
        <w:jc w:val="both"/>
        <w:rPr>
          <w:lang w:val="fr-FR"/>
        </w:rPr>
      </w:pPr>
      <w:r>
        <w:rPr>
          <w:lang w:val="fr-FR"/>
        </w:rPr>
        <w:t>À cette fin, le Secrétariat de la Convention a envoyé une lettre adressée à tous les États parties le 17 octobre 2019, les invitant à nommer, avant le 18 novembre 2019, un expert dans le domaine du patrimoine culturel immatériel qui pourrait prendre part à cette réunion, tout en précisant que la recommandation d</w:t>
      </w:r>
      <w:r w:rsidR="00F36C26">
        <w:rPr>
          <w:lang w:val="fr-FR"/>
        </w:rPr>
        <w:t>’</w:t>
      </w:r>
      <w:r>
        <w:rPr>
          <w:lang w:val="fr-FR"/>
        </w:rPr>
        <w:t xml:space="preserve">un expert ne garantit pas </w:t>
      </w:r>
      <w:r w:rsidR="008E3B53">
        <w:rPr>
          <w:lang w:val="fr-FR"/>
        </w:rPr>
        <w:t>s</w:t>
      </w:r>
      <w:r>
        <w:rPr>
          <w:lang w:val="fr-FR"/>
        </w:rPr>
        <w:t>a participation à la réunion. En outre, l</w:t>
      </w:r>
      <w:r w:rsidR="00F36C26">
        <w:rPr>
          <w:lang w:val="fr-FR"/>
        </w:rPr>
        <w:t>’</w:t>
      </w:r>
      <w:r>
        <w:rPr>
          <w:lang w:val="fr-FR"/>
        </w:rPr>
        <w:t>Organe d</w:t>
      </w:r>
      <w:r w:rsidR="00F36C26">
        <w:rPr>
          <w:lang w:val="fr-FR"/>
        </w:rPr>
        <w:t>’</w:t>
      </w:r>
      <w:r>
        <w:rPr>
          <w:lang w:val="fr-FR"/>
        </w:rPr>
        <w:t>évaluation</w:t>
      </w:r>
      <w:r w:rsidR="008E3B53">
        <w:rPr>
          <w:lang w:val="fr-FR"/>
        </w:rPr>
        <w:t xml:space="preserve"> de 2019</w:t>
      </w:r>
      <w:r>
        <w:rPr>
          <w:lang w:val="fr-FR"/>
        </w:rPr>
        <w:t xml:space="preserve"> recommande au Comité d</w:t>
      </w:r>
      <w:r w:rsidR="00F36C26">
        <w:rPr>
          <w:lang w:val="fr-FR"/>
        </w:rPr>
        <w:t>’</w:t>
      </w:r>
      <w:r>
        <w:rPr>
          <w:lang w:val="fr-FR"/>
        </w:rPr>
        <w:t xml:space="preserve">encourager les experts et ONG </w:t>
      </w:r>
      <w:r w:rsidR="008E3B53">
        <w:rPr>
          <w:lang w:val="fr-FR"/>
        </w:rPr>
        <w:t>ayant été au service d</w:t>
      </w:r>
      <w:r w:rsidR="00F36C26">
        <w:rPr>
          <w:lang w:val="fr-FR"/>
        </w:rPr>
        <w:t>’</w:t>
      </w:r>
      <w:r>
        <w:rPr>
          <w:lang w:val="fr-FR"/>
        </w:rPr>
        <w:t>organes</w:t>
      </w:r>
      <w:r w:rsidR="008E3B53">
        <w:rPr>
          <w:lang w:val="fr-FR"/>
        </w:rPr>
        <w:t xml:space="preserve"> d</w:t>
      </w:r>
      <w:r w:rsidR="00F36C26">
        <w:rPr>
          <w:lang w:val="fr-FR"/>
        </w:rPr>
        <w:t>’</w:t>
      </w:r>
      <w:r w:rsidR="008E3B53">
        <w:rPr>
          <w:lang w:val="fr-FR"/>
        </w:rPr>
        <w:t>évaluation</w:t>
      </w:r>
      <w:r>
        <w:rPr>
          <w:lang w:val="fr-FR"/>
        </w:rPr>
        <w:t>, anciens ou actuels, à participer à cette réflexion globale sur les mécanismes d</w:t>
      </w:r>
      <w:r w:rsidR="00F36C26">
        <w:rPr>
          <w:lang w:val="fr-FR"/>
        </w:rPr>
        <w:t>’</w:t>
      </w:r>
      <w:r>
        <w:rPr>
          <w:lang w:val="fr-FR"/>
        </w:rPr>
        <w:t>inscription sur les listes</w:t>
      </w:r>
      <w:r>
        <w:rPr>
          <w:rStyle w:val="Appelnotedebasdep"/>
          <w:lang w:val="en-US"/>
        </w:rPr>
        <w:footnoteReference w:id="34"/>
      </w:r>
      <w:r>
        <w:rPr>
          <w:lang w:val="fr-FR"/>
        </w:rPr>
        <w:t>. Les experts participeront en leur nom propre et non pour le compte d</w:t>
      </w:r>
      <w:r w:rsidR="00F36C26">
        <w:rPr>
          <w:lang w:val="fr-FR"/>
        </w:rPr>
        <w:t>’</w:t>
      </w:r>
      <w:r>
        <w:rPr>
          <w:lang w:val="fr-FR"/>
        </w:rPr>
        <w:t>un gouvernement ou d</w:t>
      </w:r>
      <w:r w:rsidR="00F36C26">
        <w:rPr>
          <w:lang w:val="fr-FR"/>
        </w:rPr>
        <w:t>’</w:t>
      </w:r>
      <w:r>
        <w:rPr>
          <w:lang w:val="fr-FR"/>
        </w:rPr>
        <w:t>une organisation</w:t>
      </w:r>
      <w:r w:rsidR="008E3B53">
        <w:rPr>
          <w:lang w:val="fr-FR"/>
        </w:rPr>
        <w:t xml:space="preserve"> en particulier</w:t>
      </w:r>
      <w:r>
        <w:rPr>
          <w:lang w:val="fr-FR"/>
        </w:rPr>
        <w:t>. Près de 30 experts seront nommés par la Directrice général</w:t>
      </w:r>
      <w:r w:rsidR="008E3B53">
        <w:rPr>
          <w:lang w:val="fr-FR"/>
        </w:rPr>
        <w:t>e</w:t>
      </w:r>
      <w:r>
        <w:rPr>
          <w:lang w:val="fr-FR"/>
        </w:rPr>
        <w:t xml:space="preserve"> de l</w:t>
      </w:r>
      <w:r w:rsidR="00F36C26">
        <w:rPr>
          <w:lang w:val="fr-FR"/>
        </w:rPr>
        <w:t>’</w:t>
      </w:r>
      <w:r>
        <w:rPr>
          <w:lang w:val="fr-FR"/>
        </w:rPr>
        <w:t>UNESCO, qui tiendra compte de leur profil, de leur expérience, de l</w:t>
      </w:r>
      <w:r w:rsidR="00F36C26">
        <w:rPr>
          <w:lang w:val="fr-FR"/>
        </w:rPr>
        <w:t>’</w:t>
      </w:r>
      <w:r>
        <w:rPr>
          <w:lang w:val="fr-FR"/>
        </w:rPr>
        <w:t>équilibre géographiqu</w:t>
      </w:r>
      <w:r w:rsidRPr="00E65ECE">
        <w:rPr>
          <w:lang w:val="fr-FR"/>
        </w:rPr>
        <w:t xml:space="preserve">e et de </w:t>
      </w:r>
      <w:r w:rsidR="008E3B53" w:rsidRPr="00E65ECE">
        <w:rPr>
          <w:lang w:val="fr-FR"/>
        </w:rPr>
        <w:t>l</w:t>
      </w:r>
      <w:r w:rsidR="00F36C26">
        <w:rPr>
          <w:lang w:val="fr-FR"/>
        </w:rPr>
        <w:t>’</w:t>
      </w:r>
      <w:r w:rsidR="008E3B53" w:rsidRPr="00E65ECE">
        <w:rPr>
          <w:lang w:val="fr-FR"/>
        </w:rPr>
        <w:t xml:space="preserve">égalité de </w:t>
      </w:r>
      <w:r w:rsidR="008D484C" w:rsidRPr="00E65ECE">
        <w:rPr>
          <w:lang w:val="fr-FR"/>
        </w:rPr>
        <w:t>genre</w:t>
      </w:r>
      <w:r>
        <w:rPr>
          <w:lang w:val="fr-FR"/>
        </w:rPr>
        <w:t>.</w:t>
      </w:r>
    </w:p>
    <w:p w14:paraId="5882824B" w14:textId="5E2CC37A" w:rsidR="00376FD0" w:rsidRPr="009F06B8" w:rsidRDefault="00376FD0" w:rsidP="00376FD0">
      <w:pPr>
        <w:pStyle w:val="COMPara"/>
        <w:ind w:left="567" w:hanging="567"/>
        <w:jc w:val="both"/>
        <w:rPr>
          <w:lang w:val="fr-FR"/>
        </w:rPr>
      </w:pPr>
      <w:r>
        <w:rPr>
          <w:lang w:val="fr-FR"/>
        </w:rPr>
        <w:t>Avant la réunion, le Secrétariat mettra à disposition un ensemble de documents de travail pour fournir de plus amples informations et guider la réflexion des experts. Les conclusions de la réunion d</w:t>
      </w:r>
      <w:r w:rsidR="00F36C26">
        <w:rPr>
          <w:lang w:val="fr-FR"/>
        </w:rPr>
        <w:t>’</w:t>
      </w:r>
      <w:r>
        <w:rPr>
          <w:lang w:val="fr-FR"/>
        </w:rPr>
        <w:t>experts, ainsi que la « récolte précoce » seront présentés à la huitième session de l</w:t>
      </w:r>
      <w:r w:rsidR="00F36C26">
        <w:rPr>
          <w:lang w:val="fr-FR"/>
        </w:rPr>
        <w:t>’</w:t>
      </w:r>
      <w:r>
        <w:rPr>
          <w:lang w:val="fr-FR"/>
        </w:rPr>
        <w:t>Assemblée générale en juin 2020 ainsi qu</w:t>
      </w:r>
      <w:r w:rsidR="00F36C26">
        <w:rPr>
          <w:lang w:val="fr-FR"/>
        </w:rPr>
        <w:t>’</w:t>
      </w:r>
      <w:r>
        <w:rPr>
          <w:lang w:val="fr-FR"/>
        </w:rPr>
        <w:t>à la quinzième session du Comité en 2020.</w:t>
      </w:r>
    </w:p>
    <w:p w14:paraId="21CD5E93" w14:textId="77777777" w:rsidR="00376FD0" w:rsidRPr="009D394F" w:rsidRDefault="00376FD0" w:rsidP="009D394F">
      <w:pPr>
        <w:pStyle w:val="COMPara"/>
        <w:ind w:left="567" w:hanging="567"/>
        <w:jc w:val="both"/>
        <w:rPr>
          <w:lang w:val="fr-FR"/>
        </w:rPr>
      </w:pPr>
      <w:r w:rsidRPr="009D394F">
        <w:rPr>
          <w:lang w:val="fr-FR"/>
        </w:rPr>
        <w:t>Le Comité souhaitera peut-être adopter la décision suivante :</w:t>
      </w:r>
    </w:p>
    <w:p w14:paraId="5EB1F362" w14:textId="77777777" w:rsidR="00376FD0" w:rsidRPr="009F06B8" w:rsidRDefault="00376FD0" w:rsidP="00376FD0">
      <w:pPr>
        <w:pStyle w:val="COMTitleDecision"/>
        <w:rPr>
          <w:rFonts w:eastAsia="SimSun"/>
          <w:lang w:val="fr-FR"/>
        </w:rPr>
      </w:pPr>
      <w:r>
        <w:rPr>
          <w:lang w:val="fr-FR"/>
        </w:rPr>
        <w:t>PROJET DE DÉCISION 14.COM 14</w:t>
      </w:r>
    </w:p>
    <w:p w14:paraId="6BD2E977" w14:textId="77777777" w:rsidR="00376FD0" w:rsidRPr="009F06B8" w:rsidRDefault="00376FD0" w:rsidP="00376FD0">
      <w:pPr>
        <w:pStyle w:val="COMPreambulaDecisions"/>
        <w:rPr>
          <w:rFonts w:eastAsia="SimSun"/>
          <w:lang w:val="fr-FR"/>
        </w:rPr>
      </w:pPr>
      <w:r w:rsidRPr="00285BB4">
        <w:rPr>
          <w:lang w:val="fr-FR"/>
        </w:rPr>
        <w:t>Le Comité,</w:t>
      </w:r>
    </w:p>
    <w:p w14:paraId="15536588" w14:textId="77777777" w:rsidR="00376FD0" w:rsidRPr="009F06B8" w:rsidRDefault="00376FD0" w:rsidP="00CB69D9">
      <w:pPr>
        <w:pStyle w:val="COMParaDecision"/>
        <w:numPr>
          <w:ilvl w:val="0"/>
          <w:numId w:val="3"/>
        </w:numPr>
        <w:ind w:left="1134" w:hanging="567"/>
        <w:rPr>
          <w:lang w:val="fr-FR"/>
        </w:rPr>
      </w:pPr>
      <w:r w:rsidRPr="00345CB4">
        <w:rPr>
          <w:lang w:val="fr-FR"/>
        </w:rPr>
        <w:t>Ayant examiné</w:t>
      </w:r>
      <w:r w:rsidRPr="00F32C23">
        <w:rPr>
          <w:u w:val="none"/>
          <w:lang w:val="fr-FR"/>
        </w:rPr>
        <w:t xml:space="preserve"> le document LHE/19/14.COM/14,</w:t>
      </w:r>
    </w:p>
    <w:p w14:paraId="3B6ACA14" w14:textId="76541388" w:rsidR="00376FD0" w:rsidRPr="009F06B8" w:rsidRDefault="00376FD0" w:rsidP="00563117">
      <w:pPr>
        <w:pStyle w:val="COMParaDecision"/>
        <w:numPr>
          <w:ilvl w:val="0"/>
          <w:numId w:val="3"/>
        </w:numPr>
        <w:ind w:left="1134" w:hanging="567"/>
        <w:rPr>
          <w:lang w:val="fr-FR"/>
        </w:rPr>
      </w:pPr>
      <w:r w:rsidRPr="00345CB4">
        <w:rPr>
          <w:lang w:val="fr-FR"/>
        </w:rPr>
        <w:t>Rappelant</w:t>
      </w:r>
      <w:r w:rsidRPr="00517FD8">
        <w:rPr>
          <w:u w:val="none"/>
          <w:lang w:val="fr-FR"/>
        </w:rPr>
        <w:t xml:space="preserve"> les </w:t>
      </w:r>
      <w:hyperlink r:id="rId15" w:history="1">
        <w:r w:rsidR="008D484C">
          <w:rPr>
            <w:rStyle w:val="Lienhypertexte"/>
            <w:lang w:val="fr-FR"/>
          </w:rPr>
          <w:t>d</w:t>
        </w:r>
        <w:r w:rsidRPr="00D362D6">
          <w:rPr>
            <w:rStyle w:val="Lienhypertexte"/>
            <w:lang w:val="fr-FR"/>
          </w:rPr>
          <w:t>écisions 12.COM 14</w:t>
        </w:r>
      </w:hyperlink>
      <w:r w:rsidRPr="00517FD8">
        <w:rPr>
          <w:u w:val="none"/>
          <w:lang w:val="fr-FR"/>
        </w:rPr>
        <w:t xml:space="preserve">, </w:t>
      </w:r>
      <w:hyperlink r:id="rId16" w:history="1">
        <w:r w:rsidRPr="00BA72CC">
          <w:rPr>
            <w:rStyle w:val="Lienhypertexte"/>
            <w:lang w:val="fr-FR"/>
          </w:rPr>
          <w:t>13.COM 10</w:t>
        </w:r>
      </w:hyperlink>
      <w:r w:rsidRPr="00517FD8">
        <w:rPr>
          <w:u w:val="none"/>
          <w:lang w:val="fr-FR"/>
        </w:rPr>
        <w:t xml:space="preserve"> et </w:t>
      </w:r>
      <w:hyperlink r:id="rId17" w:history="1">
        <w:r w:rsidRPr="00515ACB">
          <w:rPr>
            <w:rStyle w:val="Lienhypertexte"/>
            <w:lang w:val="fr-FR"/>
          </w:rPr>
          <w:t>13.COM 6</w:t>
        </w:r>
      </w:hyperlink>
      <w:r w:rsidRPr="00517FD8">
        <w:rPr>
          <w:u w:val="none"/>
          <w:lang w:val="fr-FR"/>
        </w:rPr>
        <w:t>,</w:t>
      </w:r>
    </w:p>
    <w:p w14:paraId="0AD73989" w14:textId="77777777" w:rsidR="00376FD0" w:rsidRPr="009D394F" w:rsidRDefault="00376FD0" w:rsidP="00563117">
      <w:pPr>
        <w:pStyle w:val="COMParaDecision"/>
        <w:numPr>
          <w:ilvl w:val="0"/>
          <w:numId w:val="3"/>
        </w:numPr>
        <w:ind w:left="1134" w:hanging="567"/>
        <w:rPr>
          <w:lang w:val="fr-FR"/>
        </w:rPr>
      </w:pPr>
      <w:r w:rsidRPr="009D394F">
        <w:rPr>
          <w:lang w:val="fr-FR"/>
        </w:rPr>
        <w:t>Rappelant en outre</w:t>
      </w:r>
      <w:r w:rsidRPr="00376FD0">
        <w:rPr>
          <w:rStyle w:val="hps"/>
          <w:u w:val="none"/>
          <w:lang w:val="fr-FR"/>
        </w:rPr>
        <w:t xml:space="preserve"> les </w:t>
      </w:r>
      <w:hyperlink r:id="rId18" w:history="1">
        <w:r w:rsidRPr="00376FD0">
          <w:rPr>
            <w:rStyle w:val="Lienhypertexte"/>
            <w:lang w:val="fr-FR"/>
          </w:rPr>
          <w:t>documents </w:t>
        </w:r>
        <w:r w:rsidR="0094647E">
          <w:rPr>
            <w:rStyle w:val="Lienhypertexte"/>
            <w:lang w:val="fr-FR"/>
          </w:rPr>
          <w:t>ITH/17/</w:t>
        </w:r>
        <w:r w:rsidRPr="00376FD0">
          <w:rPr>
            <w:rStyle w:val="Lienhypertexte"/>
            <w:lang w:val="fr-FR"/>
          </w:rPr>
          <w:t>12.COM</w:t>
        </w:r>
        <w:r w:rsidR="0094647E">
          <w:rPr>
            <w:rStyle w:val="Lienhypertexte"/>
            <w:lang w:val="fr-FR"/>
          </w:rPr>
          <w:t>/</w:t>
        </w:r>
        <w:r w:rsidRPr="00376FD0">
          <w:rPr>
            <w:rStyle w:val="Lienhypertexte"/>
            <w:lang w:val="fr-FR"/>
          </w:rPr>
          <w:t>14</w:t>
        </w:r>
      </w:hyperlink>
      <w:r w:rsidRPr="009D394F">
        <w:rPr>
          <w:u w:val="none"/>
          <w:lang w:val="fr-FR"/>
        </w:rPr>
        <w:t xml:space="preserve">, </w:t>
      </w:r>
      <w:hyperlink r:id="rId19" w:history="1">
        <w:r w:rsidR="0094647E" w:rsidRPr="0094647E">
          <w:rPr>
            <w:rStyle w:val="Lienhypertexte"/>
            <w:lang w:val="fr-FR"/>
          </w:rPr>
          <w:t>LHE/19/</w:t>
        </w:r>
        <w:r w:rsidRPr="0094647E">
          <w:rPr>
            <w:rStyle w:val="Lienhypertexte"/>
            <w:lang w:val="fr-FR"/>
          </w:rPr>
          <w:t>14.COM</w:t>
        </w:r>
        <w:r w:rsidR="0094647E" w:rsidRPr="0094647E">
          <w:rPr>
            <w:rStyle w:val="Lienhypertexte"/>
            <w:lang w:val="fr-FR"/>
          </w:rPr>
          <w:t>/</w:t>
        </w:r>
        <w:r w:rsidRPr="0094647E">
          <w:rPr>
            <w:rStyle w:val="Lienhypertexte"/>
            <w:lang w:val="fr-FR"/>
          </w:rPr>
          <w:t>5.b</w:t>
        </w:r>
      </w:hyperlink>
      <w:r w:rsidRPr="00376FD0">
        <w:rPr>
          <w:rStyle w:val="hps"/>
          <w:u w:val="none"/>
          <w:lang w:val="fr-FR"/>
        </w:rPr>
        <w:t xml:space="preserve">, </w:t>
      </w:r>
      <w:hyperlink r:id="rId20" w:history="1">
        <w:r w:rsidR="0094647E" w:rsidRPr="0094647E">
          <w:rPr>
            <w:rStyle w:val="Lienhypertexte"/>
            <w:lang w:val="fr-FR"/>
          </w:rPr>
          <w:t>LHE/19/</w:t>
        </w:r>
        <w:r w:rsidRPr="0094647E">
          <w:rPr>
            <w:rStyle w:val="Lienhypertexte"/>
            <w:lang w:val="fr-FR"/>
          </w:rPr>
          <w:t>14.COM</w:t>
        </w:r>
        <w:r w:rsidR="0094647E" w:rsidRPr="0094647E">
          <w:rPr>
            <w:rStyle w:val="Lienhypertexte"/>
            <w:lang w:val="fr-FR"/>
          </w:rPr>
          <w:t>/</w:t>
        </w:r>
        <w:r w:rsidRPr="0094647E">
          <w:rPr>
            <w:rStyle w:val="Lienhypertexte"/>
            <w:lang w:val="fr-FR"/>
          </w:rPr>
          <w:t>10</w:t>
        </w:r>
      </w:hyperlink>
      <w:r w:rsidRPr="009D394F">
        <w:rPr>
          <w:u w:val="none"/>
          <w:lang w:val="fr-FR" w:eastAsia="ja-JP"/>
        </w:rPr>
        <w:t xml:space="preserve"> et </w:t>
      </w:r>
      <w:hyperlink r:id="rId21" w:history="1">
        <w:r w:rsidR="0094647E" w:rsidRPr="0094647E">
          <w:rPr>
            <w:rStyle w:val="Lienhypertexte"/>
            <w:lang w:val="fr-FR" w:eastAsia="ja-JP"/>
          </w:rPr>
          <w:t>LHE/19/</w:t>
        </w:r>
        <w:r w:rsidRPr="0094647E">
          <w:rPr>
            <w:rStyle w:val="Lienhypertexte"/>
            <w:lang w:val="fr-FR"/>
          </w:rPr>
          <w:t>14.COM</w:t>
        </w:r>
        <w:r w:rsidR="0094647E" w:rsidRPr="0094647E">
          <w:rPr>
            <w:rStyle w:val="Lienhypertexte"/>
            <w:lang w:val="fr-FR"/>
          </w:rPr>
          <w:t>/</w:t>
        </w:r>
        <w:r w:rsidRPr="0094647E">
          <w:rPr>
            <w:rStyle w:val="Lienhypertexte"/>
            <w:lang w:val="fr-FR"/>
          </w:rPr>
          <w:t>12</w:t>
        </w:r>
      </w:hyperlink>
      <w:r w:rsidRPr="009D394F">
        <w:rPr>
          <w:u w:val="none"/>
          <w:lang w:val="fr-FR"/>
        </w:rPr>
        <w:t>,</w:t>
      </w:r>
    </w:p>
    <w:p w14:paraId="7DC6EF31" w14:textId="77777777" w:rsidR="00376FD0" w:rsidRPr="009F06B8" w:rsidRDefault="00376FD0" w:rsidP="00563117">
      <w:pPr>
        <w:pStyle w:val="COMParaDecision"/>
        <w:numPr>
          <w:ilvl w:val="0"/>
          <w:numId w:val="3"/>
        </w:numPr>
        <w:ind w:left="1134" w:hanging="567"/>
        <w:rPr>
          <w:lang w:val="fr-FR"/>
        </w:rPr>
      </w:pPr>
      <w:r w:rsidRPr="007D46D1">
        <w:rPr>
          <w:lang w:val="fr-FR"/>
        </w:rPr>
        <w:t>Rappelant également</w:t>
      </w:r>
      <w:r w:rsidRPr="00A9475B">
        <w:rPr>
          <w:u w:val="none"/>
          <w:lang w:val="fr-FR"/>
        </w:rPr>
        <w:t> le chapitre I.15 des Directives opérationnelles,</w:t>
      </w:r>
    </w:p>
    <w:p w14:paraId="53D3345E" w14:textId="101F0CBB" w:rsidR="00376FD0" w:rsidRPr="009F06B8" w:rsidRDefault="00376FD0" w:rsidP="00563117">
      <w:pPr>
        <w:pStyle w:val="COMParaDecision"/>
        <w:numPr>
          <w:ilvl w:val="0"/>
          <w:numId w:val="3"/>
        </w:numPr>
        <w:ind w:left="1134" w:hanging="567"/>
        <w:rPr>
          <w:lang w:val="fr-FR"/>
        </w:rPr>
      </w:pPr>
      <w:r w:rsidRPr="007D46D1">
        <w:rPr>
          <w:lang w:val="fr-FR"/>
        </w:rPr>
        <w:t>Réaffirme</w:t>
      </w:r>
      <w:r w:rsidRPr="007D46D1">
        <w:rPr>
          <w:u w:val="none"/>
          <w:lang w:val="fr-FR"/>
        </w:rPr>
        <w:t xml:space="preserve"> la nécessité de mener une réflexion globale sur les mécanismes d</w:t>
      </w:r>
      <w:r w:rsidR="00F36C26">
        <w:rPr>
          <w:u w:val="none"/>
          <w:lang w:val="fr-FR"/>
        </w:rPr>
        <w:t>’</w:t>
      </w:r>
      <w:r w:rsidRPr="007D46D1">
        <w:rPr>
          <w:u w:val="none"/>
          <w:lang w:val="fr-FR"/>
        </w:rPr>
        <w:t xml:space="preserve">inscription </w:t>
      </w:r>
      <w:r>
        <w:rPr>
          <w:u w:val="none"/>
          <w:lang w:val="fr-FR"/>
        </w:rPr>
        <w:t xml:space="preserve">sur les listes </w:t>
      </w:r>
      <w:r w:rsidRPr="007D46D1">
        <w:rPr>
          <w:u w:val="none"/>
          <w:lang w:val="fr-FR"/>
        </w:rPr>
        <w:t>de la Convention ;</w:t>
      </w:r>
    </w:p>
    <w:p w14:paraId="688CE6DE" w14:textId="12382885" w:rsidR="00376FD0" w:rsidRPr="009F06B8" w:rsidRDefault="00376FD0" w:rsidP="00563117">
      <w:pPr>
        <w:pStyle w:val="COMParaDecision"/>
        <w:numPr>
          <w:ilvl w:val="0"/>
          <w:numId w:val="3"/>
        </w:numPr>
        <w:ind w:left="1134" w:hanging="567"/>
        <w:rPr>
          <w:lang w:val="fr-FR"/>
        </w:rPr>
      </w:pPr>
      <w:r w:rsidRPr="007D46D1">
        <w:rPr>
          <w:lang w:val="fr-FR"/>
        </w:rPr>
        <w:t>Renouvelle sa gratitude</w:t>
      </w:r>
      <w:r w:rsidRPr="007D46D1">
        <w:rPr>
          <w:u w:val="none"/>
          <w:lang w:val="fr-FR"/>
        </w:rPr>
        <w:t xml:space="preserve"> envers le gouvernement du Japon pour sa contribution au soutien de la réflexion globale sur les mécanismes d</w:t>
      </w:r>
      <w:r w:rsidR="00F36C26">
        <w:rPr>
          <w:u w:val="none"/>
          <w:lang w:val="fr-FR"/>
        </w:rPr>
        <w:t>’</w:t>
      </w:r>
      <w:r w:rsidRPr="007D46D1">
        <w:rPr>
          <w:u w:val="none"/>
          <w:lang w:val="fr-FR"/>
        </w:rPr>
        <w:t>inscription</w:t>
      </w:r>
      <w:r>
        <w:rPr>
          <w:u w:val="none"/>
          <w:lang w:val="fr-FR"/>
        </w:rPr>
        <w:t xml:space="preserve"> sur les listes</w:t>
      </w:r>
      <w:r w:rsidRPr="007D46D1">
        <w:rPr>
          <w:u w:val="none"/>
          <w:lang w:val="fr-FR"/>
        </w:rPr>
        <w:t xml:space="preserve"> de la Convention ;</w:t>
      </w:r>
    </w:p>
    <w:p w14:paraId="0081C1FF" w14:textId="533C7C91" w:rsidR="00376FD0" w:rsidRPr="009F06B8" w:rsidRDefault="00376FD0" w:rsidP="00563117">
      <w:pPr>
        <w:pStyle w:val="COMParaDecision"/>
        <w:numPr>
          <w:ilvl w:val="0"/>
          <w:numId w:val="3"/>
        </w:numPr>
        <w:ind w:left="1134" w:hanging="567"/>
        <w:rPr>
          <w:u w:val="none"/>
          <w:lang w:val="fr-FR"/>
        </w:rPr>
      </w:pPr>
      <w:r w:rsidRPr="007D46D1">
        <w:rPr>
          <w:lang w:val="fr-FR"/>
        </w:rPr>
        <w:t>Prend note</w:t>
      </w:r>
      <w:r w:rsidRPr="007D46D1">
        <w:rPr>
          <w:u w:val="none"/>
          <w:lang w:val="fr-FR"/>
        </w:rPr>
        <w:t xml:space="preserve"> du calendrier provisoire pour la réflexion sur les mécanismes </w:t>
      </w:r>
      <w:r>
        <w:rPr>
          <w:u w:val="none"/>
          <w:lang w:val="fr-FR"/>
        </w:rPr>
        <w:t>liés à l</w:t>
      </w:r>
      <w:r w:rsidR="00F36C26">
        <w:rPr>
          <w:u w:val="none"/>
          <w:lang w:val="fr-FR"/>
        </w:rPr>
        <w:t>’</w:t>
      </w:r>
      <w:r w:rsidRPr="007D46D1">
        <w:rPr>
          <w:u w:val="none"/>
          <w:lang w:val="fr-FR"/>
        </w:rPr>
        <w:t xml:space="preserve">inscription </w:t>
      </w:r>
      <w:r>
        <w:rPr>
          <w:u w:val="none"/>
          <w:lang w:val="fr-FR"/>
        </w:rPr>
        <w:t xml:space="preserve">sur les listes </w:t>
      </w:r>
      <w:r w:rsidRPr="007D46D1">
        <w:rPr>
          <w:u w:val="none"/>
          <w:lang w:val="fr-FR"/>
        </w:rPr>
        <w:t>de la Convention</w:t>
      </w:r>
      <w:r w:rsidR="00800C26">
        <w:rPr>
          <w:u w:val="none"/>
          <w:lang w:val="fr-FR"/>
        </w:rPr>
        <w:t xml:space="preserve"> de 2003, tel qu</w:t>
      </w:r>
      <w:r w:rsidR="00F36C26">
        <w:rPr>
          <w:u w:val="none"/>
          <w:lang w:val="fr-FR"/>
        </w:rPr>
        <w:t>’</w:t>
      </w:r>
      <w:r w:rsidR="00800C26">
        <w:rPr>
          <w:u w:val="none"/>
          <w:lang w:val="fr-FR"/>
        </w:rPr>
        <w:t>il figure à l</w:t>
      </w:r>
      <w:r w:rsidR="00F36C26">
        <w:rPr>
          <w:u w:val="none"/>
          <w:lang w:val="fr-FR"/>
        </w:rPr>
        <w:t>’</w:t>
      </w:r>
      <w:r w:rsidR="00800C26">
        <w:rPr>
          <w:u w:val="none"/>
          <w:lang w:val="fr-FR"/>
        </w:rPr>
        <w:t>annexe I du présent document ;</w:t>
      </w:r>
    </w:p>
    <w:p w14:paraId="0CFC03F8" w14:textId="67F77B20" w:rsidR="00376FD0" w:rsidRDefault="00376FD0" w:rsidP="00563117">
      <w:pPr>
        <w:pStyle w:val="COMParaDecision"/>
        <w:numPr>
          <w:ilvl w:val="0"/>
          <w:numId w:val="3"/>
        </w:numPr>
        <w:ind w:left="1134" w:hanging="567"/>
        <w:rPr>
          <w:u w:val="none"/>
          <w:lang w:val="fr-FR"/>
        </w:rPr>
      </w:pPr>
      <w:r w:rsidRPr="007D46D1">
        <w:rPr>
          <w:lang w:val="fr-FR"/>
        </w:rPr>
        <w:t>Prie</w:t>
      </w:r>
      <w:r w:rsidRPr="007D46D1">
        <w:rPr>
          <w:u w:val="none"/>
          <w:lang w:val="fr-FR"/>
        </w:rPr>
        <w:t xml:space="preserve"> le Secrétariat de rendre compte à la huitième session de l</w:t>
      </w:r>
      <w:r w:rsidR="00F36C26">
        <w:rPr>
          <w:u w:val="none"/>
          <w:lang w:val="fr-FR"/>
        </w:rPr>
        <w:t>’</w:t>
      </w:r>
      <w:r w:rsidRPr="007D46D1">
        <w:rPr>
          <w:u w:val="none"/>
          <w:lang w:val="fr-FR"/>
        </w:rPr>
        <w:t>Assemblée générale et</w:t>
      </w:r>
      <w:r w:rsidR="008D484C">
        <w:rPr>
          <w:u w:val="none"/>
          <w:lang w:val="fr-FR"/>
        </w:rPr>
        <w:t xml:space="preserve"> à</w:t>
      </w:r>
      <w:r w:rsidRPr="007D46D1">
        <w:rPr>
          <w:u w:val="none"/>
          <w:lang w:val="fr-FR"/>
        </w:rPr>
        <w:t xml:space="preserve"> la quinzième session du Comité </w:t>
      </w:r>
      <w:r w:rsidR="008D484C">
        <w:rPr>
          <w:u w:val="none"/>
          <w:lang w:val="fr-FR"/>
        </w:rPr>
        <w:t>d</w:t>
      </w:r>
      <w:r w:rsidRPr="007D46D1">
        <w:rPr>
          <w:u w:val="none"/>
          <w:lang w:val="fr-FR"/>
        </w:rPr>
        <w:t>es résultats de la réunion d</w:t>
      </w:r>
      <w:r w:rsidR="00F36C26">
        <w:rPr>
          <w:u w:val="none"/>
          <w:lang w:val="fr-FR"/>
        </w:rPr>
        <w:t>’</w:t>
      </w:r>
      <w:r w:rsidRPr="007D46D1">
        <w:rPr>
          <w:u w:val="none"/>
          <w:lang w:val="fr-FR"/>
        </w:rPr>
        <w:t xml:space="preserve">experts </w:t>
      </w:r>
      <w:r w:rsidR="008D484C" w:rsidRPr="007D46D1">
        <w:rPr>
          <w:u w:val="none"/>
          <w:lang w:val="fr-FR"/>
        </w:rPr>
        <w:t xml:space="preserve">préliminaire </w:t>
      </w:r>
      <w:r w:rsidRPr="007D46D1">
        <w:rPr>
          <w:u w:val="none"/>
          <w:lang w:val="fr-FR"/>
        </w:rPr>
        <w:t>de catégorie VI</w:t>
      </w:r>
      <w:r w:rsidR="007878F4" w:rsidRPr="007878F4">
        <w:rPr>
          <w:u w:val="none"/>
          <w:lang w:val="fr-FR"/>
        </w:rPr>
        <w:t xml:space="preserve"> </w:t>
      </w:r>
      <w:r w:rsidR="007878F4" w:rsidRPr="005956E4">
        <w:rPr>
          <w:u w:val="none"/>
          <w:lang w:val="fr-FR"/>
        </w:rPr>
        <w:t>qui sera organisée au</w:t>
      </w:r>
      <w:r w:rsidR="007878F4" w:rsidRPr="007D46D1">
        <w:rPr>
          <w:u w:val="none"/>
          <w:lang w:val="fr-FR"/>
        </w:rPr>
        <w:t xml:space="preserve"> cours du premier semestre 2020</w:t>
      </w:r>
      <w:r w:rsidR="007878F4">
        <w:rPr>
          <w:u w:val="none"/>
          <w:lang w:val="fr-FR"/>
        </w:rPr>
        <w:t>,</w:t>
      </w:r>
      <w:r w:rsidRPr="007D46D1">
        <w:rPr>
          <w:u w:val="none"/>
          <w:lang w:val="fr-FR"/>
        </w:rPr>
        <w:t xml:space="preserve"> ainsi que de la </w:t>
      </w:r>
      <w:r w:rsidRPr="008D484C">
        <w:rPr>
          <w:u w:val="none"/>
          <w:lang w:val="fr-FR"/>
        </w:rPr>
        <w:t xml:space="preserve">« récolte </w:t>
      </w:r>
      <w:r w:rsidR="008D484C" w:rsidRPr="008D484C">
        <w:rPr>
          <w:u w:val="none"/>
          <w:lang w:val="fr-FR"/>
        </w:rPr>
        <w:t>précoce </w:t>
      </w:r>
      <w:r w:rsidRPr="007878F4">
        <w:rPr>
          <w:u w:val="none"/>
          <w:lang w:val="fr-FR"/>
        </w:rPr>
        <w:t>»</w:t>
      </w:r>
      <w:r w:rsidRPr="007D46D1">
        <w:rPr>
          <w:u w:val="none"/>
          <w:lang w:val="fr-FR"/>
        </w:rPr>
        <w:t> ;</w:t>
      </w:r>
    </w:p>
    <w:p w14:paraId="3B30FAA4" w14:textId="2906FCFD" w:rsidR="00800C26" w:rsidRDefault="00800C26" w:rsidP="00563117">
      <w:pPr>
        <w:pStyle w:val="COMParaDecision"/>
        <w:numPr>
          <w:ilvl w:val="0"/>
          <w:numId w:val="3"/>
        </w:numPr>
        <w:ind w:left="1134" w:hanging="567"/>
        <w:rPr>
          <w:u w:val="none"/>
          <w:lang w:val="fr-FR"/>
        </w:rPr>
      </w:pPr>
      <w:r>
        <w:rPr>
          <w:lang w:val="fr-FR"/>
        </w:rPr>
        <w:t xml:space="preserve">Prend note </w:t>
      </w:r>
      <w:r w:rsidR="001F2815">
        <w:rPr>
          <w:lang w:val="fr-FR"/>
        </w:rPr>
        <w:t>en outre</w:t>
      </w:r>
      <w:r w:rsidR="001F2815" w:rsidRPr="009D394F">
        <w:rPr>
          <w:u w:val="none"/>
          <w:lang w:val="fr-FR"/>
        </w:rPr>
        <w:t xml:space="preserve"> </w:t>
      </w:r>
      <w:r w:rsidRPr="009D394F">
        <w:rPr>
          <w:u w:val="none"/>
          <w:lang w:val="fr-FR"/>
        </w:rPr>
        <w:t>des quatre cas, tels qu</w:t>
      </w:r>
      <w:r w:rsidR="00F36C26">
        <w:rPr>
          <w:u w:val="none"/>
          <w:lang w:val="fr-FR"/>
        </w:rPr>
        <w:t>’</w:t>
      </w:r>
      <w:r w:rsidRPr="009D394F">
        <w:rPr>
          <w:u w:val="none"/>
          <w:lang w:val="fr-FR"/>
        </w:rPr>
        <w:t>ils figurent à l</w:t>
      </w:r>
      <w:r w:rsidR="00F36C26">
        <w:rPr>
          <w:u w:val="none"/>
          <w:lang w:val="fr-FR"/>
        </w:rPr>
        <w:t>’</w:t>
      </w:r>
      <w:r w:rsidRPr="009D394F">
        <w:rPr>
          <w:u w:val="none"/>
          <w:lang w:val="fr-FR"/>
        </w:rPr>
        <w:t>annexe II du présent document, qui ont fait l</w:t>
      </w:r>
      <w:r w:rsidR="00F36C26">
        <w:rPr>
          <w:u w:val="none"/>
          <w:lang w:val="fr-FR"/>
        </w:rPr>
        <w:t>’</w:t>
      </w:r>
      <w:r w:rsidRPr="009D394F">
        <w:rPr>
          <w:u w:val="none"/>
          <w:lang w:val="fr-FR"/>
        </w:rPr>
        <w:t xml:space="preserve">objet de correspondance concernant des éléments déjà inscrits reçus par le Secrétariat pendant la période </w:t>
      </w:r>
      <w:r w:rsidR="00E65ECE">
        <w:rPr>
          <w:u w:val="none"/>
          <w:lang w:val="fr-FR"/>
        </w:rPr>
        <w:t>examinée</w:t>
      </w:r>
      <w:r w:rsidR="00E01958" w:rsidRPr="00E01958">
        <w:rPr>
          <w:u w:val="none"/>
          <w:lang w:val="fr-FR"/>
        </w:rPr>
        <w:t> </w:t>
      </w:r>
      <w:r w:rsidRPr="009D394F">
        <w:rPr>
          <w:u w:val="none"/>
          <w:lang w:val="fr-FR"/>
        </w:rPr>
        <w:t>;</w:t>
      </w:r>
    </w:p>
    <w:p w14:paraId="610C37BC" w14:textId="58A78316" w:rsidR="00800C26" w:rsidRPr="009F06B8" w:rsidRDefault="00800C26" w:rsidP="00563117">
      <w:pPr>
        <w:pStyle w:val="COMParaDecision"/>
        <w:numPr>
          <w:ilvl w:val="0"/>
          <w:numId w:val="3"/>
        </w:numPr>
        <w:ind w:left="1134" w:hanging="567"/>
        <w:rPr>
          <w:u w:val="none"/>
          <w:lang w:val="fr-FR"/>
        </w:rPr>
      </w:pPr>
      <w:r w:rsidRPr="009D394F">
        <w:rPr>
          <w:lang w:val="fr-FR"/>
        </w:rPr>
        <w:t>Demande en outr</w:t>
      </w:r>
      <w:r w:rsidR="00840927" w:rsidRPr="009D394F">
        <w:rPr>
          <w:lang w:val="fr-FR"/>
        </w:rPr>
        <w:t>e</w:t>
      </w:r>
      <w:r w:rsidR="00840927">
        <w:rPr>
          <w:u w:val="none"/>
          <w:lang w:val="fr-FR"/>
        </w:rPr>
        <w:t xml:space="preserve"> </w:t>
      </w:r>
      <w:r w:rsidR="00840927" w:rsidRPr="00840927">
        <w:rPr>
          <w:u w:val="none"/>
          <w:lang w:val="fr-FR"/>
        </w:rPr>
        <w:t>au Secrétariat de continuer à porter à l</w:t>
      </w:r>
      <w:r w:rsidR="00F36C26">
        <w:rPr>
          <w:u w:val="none"/>
          <w:lang w:val="fr-FR"/>
        </w:rPr>
        <w:t>’</w:t>
      </w:r>
      <w:r w:rsidR="00840927" w:rsidRPr="00840927">
        <w:rPr>
          <w:u w:val="none"/>
          <w:lang w:val="fr-FR"/>
        </w:rPr>
        <w:t>attention du Comité les informations reçues de tiers concernant des éléments déjà inscrits et de le faire sous la forme d</w:t>
      </w:r>
      <w:r w:rsidR="00F36C26">
        <w:rPr>
          <w:u w:val="none"/>
          <w:lang w:val="fr-FR"/>
        </w:rPr>
        <w:t>’</w:t>
      </w:r>
      <w:r w:rsidR="00840927" w:rsidRPr="00840927">
        <w:rPr>
          <w:u w:val="none"/>
          <w:lang w:val="fr-FR"/>
        </w:rPr>
        <w:t>un résumé à inclure dans un document de travail concernant le suivi des éléments déjà inscrits</w:t>
      </w:r>
      <w:r w:rsidR="00E01958" w:rsidRPr="00E01958">
        <w:rPr>
          <w:u w:val="none"/>
          <w:lang w:val="fr-FR"/>
        </w:rPr>
        <w:t> </w:t>
      </w:r>
      <w:r w:rsidR="00840927" w:rsidRPr="00840927">
        <w:rPr>
          <w:u w:val="none"/>
          <w:lang w:val="fr-FR"/>
        </w:rPr>
        <w:t>;</w:t>
      </w:r>
    </w:p>
    <w:p w14:paraId="2CC31AD6" w14:textId="358AEAC0" w:rsidR="00376FD0" w:rsidRDefault="00376FD0" w:rsidP="00563117">
      <w:pPr>
        <w:pStyle w:val="COMParaDecision"/>
        <w:numPr>
          <w:ilvl w:val="0"/>
          <w:numId w:val="3"/>
        </w:numPr>
        <w:ind w:left="1134" w:hanging="567"/>
        <w:rPr>
          <w:u w:val="none"/>
          <w:lang w:val="fr-FR"/>
        </w:rPr>
      </w:pPr>
      <w:r w:rsidRPr="007D46D1">
        <w:rPr>
          <w:lang w:val="fr-FR"/>
        </w:rPr>
        <w:t>Reconnaît</w:t>
      </w:r>
      <w:r w:rsidRPr="007D46D1">
        <w:rPr>
          <w:u w:val="none"/>
          <w:lang w:val="fr-FR"/>
        </w:rPr>
        <w:t xml:space="preserve"> </w:t>
      </w:r>
      <w:r>
        <w:rPr>
          <w:u w:val="none"/>
          <w:lang w:val="fr-FR"/>
        </w:rPr>
        <w:t xml:space="preserve">les résultats concluants du </w:t>
      </w:r>
      <w:r w:rsidRPr="007D46D1">
        <w:rPr>
          <w:u w:val="none"/>
          <w:lang w:val="fr-FR"/>
        </w:rPr>
        <w:t xml:space="preserve">processus </w:t>
      </w:r>
      <w:r w:rsidR="00A06A1B">
        <w:rPr>
          <w:u w:val="none"/>
          <w:lang w:val="fr-FR"/>
        </w:rPr>
        <w:t xml:space="preserve">provisoire </w:t>
      </w:r>
      <w:r w:rsidRPr="007D46D1">
        <w:rPr>
          <w:u w:val="none"/>
          <w:lang w:val="fr-FR"/>
        </w:rPr>
        <w:t xml:space="preserve">de dialogue en amont </w:t>
      </w:r>
      <w:r w:rsidR="00A06A1B">
        <w:rPr>
          <w:u w:val="none"/>
          <w:lang w:val="fr-FR"/>
        </w:rPr>
        <w:t>entrepris pendant le</w:t>
      </w:r>
      <w:r w:rsidRPr="007D46D1">
        <w:rPr>
          <w:u w:val="none"/>
          <w:lang w:val="fr-FR"/>
        </w:rPr>
        <w:t xml:space="preserve"> cycle 2019 au </w:t>
      </w:r>
      <w:r>
        <w:rPr>
          <w:u w:val="none"/>
          <w:lang w:val="fr-FR"/>
        </w:rPr>
        <w:t xml:space="preserve">regard du </w:t>
      </w:r>
      <w:r w:rsidRPr="007D46D1">
        <w:rPr>
          <w:u w:val="none"/>
          <w:lang w:val="fr-FR"/>
        </w:rPr>
        <w:t>processus d</w:t>
      </w:r>
      <w:r w:rsidR="00F36C26">
        <w:rPr>
          <w:u w:val="none"/>
          <w:lang w:val="fr-FR"/>
        </w:rPr>
        <w:t>’</w:t>
      </w:r>
      <w:r w:rsidRPr="007D46D1">
        <w:rPr>
          <w:u w:val="none"/>
          <w:lang w:val="fr-FR"/>
        </w:rPr>
        <w:t>évaluation et d</w:t>
      </w:r>
      <w:r w:rsidR="00F36C26">
        <w:rPr>
          <w:u w:val="none"/>
          <w:lang w:val="fr-FR"/>
        </w:rPr>
        <w:t>’</w:t>
      </w:r>
      <w:r w:rsidRPr="007D46D1">
        <w:rPr>
          <w:u w:val="none"/>
          <w:lang w:val="fr-FR"/>
        </w:rPr>
        <w:t>inscription ;</w:t>
      </w:r>
    </w:p>
    <w:p w14:paraId="53E96107" w14:textId="116C9EF5" w:rsidR="00800C26" w:rsidRPr="009D394F" w:rsidRDefault="00800C26" w:rsidP="00563117">
      <w:pPr>
        <w:pStyle w:val="COMParaDecision"/>
        <w:numPr>
          <w:ilvl w:val="0"/>
          <w:numId w:val="3"/>
        </w:numPr>
        <w:ind w:left="1134" w:hanging="567"/>
        <w:rPr>
          <w:rFonts w:eastAsia="Times New Roman"/>
          <w:lang w:val="fr-FR" w:eastAsia="en-US"/>
        </w:rPr>
      </w:pPr>
      <w:r w:rsidRPr="009D394F">
        <w:rPr>
          <w:lang w:val="fr-FR"/>
        </w:rPr>
        <w:lastRenderedPageBreak/>
        <w:t xml:space="preserve">Recommande </w:t>
      </w:r>
      <w:r w:rsidRPr="009D394F">
        <w:rPr>
          <w:u w:val="none"/>
          <w:lang w:val="fr-FR"/>
        </w:rPr>
        <w:t>à l</w:t>
      </w:r>
      <w:r w:rsidR="00F36C26">
        <w:rPr>
          <w:u w:val="none"/>
          <w:lang w:val="fr-FR"/>
        </w:rPr>
        <w:t>’</w:t>
      </w:r>
      <w:r w:rsidRPr="009D394F">
        <w:rPr>
          <w:u w:val="none"/>
          <w:lang w:val="fr-FR"/>
        </w:rPr>
        <w:t>Assemblée générale de réviser les Directives opérationnelles pour la mise en œuvre de la Convention, tel qu</w:t>
      </w:r>
      <w:r w:rsidR="00F36C26">
        <w:rPr>
          <w:u w:val="none"/>
          <w:lang w:val="fr-FR"/>
        </w:rPr>
        <w:t>’</w:t>
      </w:r>
      <w:r w:rsidRPr="009D394F">
        <w:rPr>
          <w:u w:val="none"/>
          <w:lang w:val="fr-FR"/>
        </w:rPr>
        <w:t>indiqué en annexe</w:t>
      </w:r>
      <w:r>
        <w:rPr>
          <w:u w:val="none"/>
          <w:lang w:val="fr-FR"/>
        </w:rPr>
        <w:t xml:space="preserve"> III</w:t>
      </w:r>
      <w:r w:rsidRPr="009D394F">
        <w:rPr>
          <w:u w:val="none"/>
          <w:lang w:val="fr-FR"/>
        </w:rPr>
        <w:t xml:space="preserve"> </w:t>
      </w:r>
      <w:r>
        <w:rPr>
          <w:u w:val="none"/>
          <w:lang w:val="fr-FR"/>
        </w:rPr>
        <w:t>du présent document.</w:t>
      </w:r>
    </w:p>
    <w:p w14:paraId="3B3C28DA" w14:textId="77777777" w:rsidR="00376FD0" w:rsidRDefault="00376FD0" w:rsidP="009D394F">
      <w:pPr>
        <w:pStyle w:val="COMPara"/>
        <w:keepNext/>
        <w:numPr>
          <w:ilvl w:val="0"/>
          <w:numId w:val="0"/>
        </w:numPr>
        <w:ind w:left="720" w:hanging="360"/>
        <w:jc w:val="both"/>
        <w:rPr>
          <w:lang w:val="fr-FR"/>
        </w:rPr>
      </w:pPr>
    </w:p>
    <w:p w14:paraId="0DF80ED6" w14:textId="77777777" w:rsidR="005E32DA" w:rsidRPr="009F06B8" w:rsidRDefault="005E32DA" w:rsidP="009D394F">
      <w:pPr>
        <w:pStyle w:val="COMParaDecision"/>
        <w:ind w:left="1287" w:hanging="360"/>
        <w:rPr>
          <w:lang w:val="fr-FR"/>
        </w:rPr>
        <w:sectPr w:rsidR="005E32DA" w:rsidRPr="009F06B8" w:rsidSect="005E32DA">
          <w:headerReference w:type="even" r:id="rId22"/>
          <w:headerReference w:type="default" r:id="rId23"/>
          <w:headerReference w:type="first" r:id="rId24"/>
          <w:pgSz w:w="11906" w:h="16838" w:code="9"/>
          <w:pgMar w:top="1418" w:right="1134" w:bottom="1134" w:left="1134" w:header="397" w:footer="284" w:gutter="0"/>
          <w:cols w:space="708"/>
          <w:titlePg/>
          <w:docGrid w:linePitch="360"/>
        </w:sectPr>
      </w:pPr>
    </w:p>
    <w:p w14:paraId="005DE0D7" w14:textId="11E7E1BF" w:rsidR="005E32DA" w:rsidRPr="009F06B8" w:rsidRDefault="005E32DA" w:rsidP="005E32DA">
      <w:pPr>
        <w:jc w:val="center"/>
        <w:rPr>
          <w:rFonts w:ascii="Arial" w:hAnsi="Arial" w:cs="Arial"/>
          <w:b/>
          <w:sz w:val="32"/>
          <w:szCs w:val="32"/>
        </w:rPr>
      </w:pPr>
      <w:r w:rsidRPr="006208B8">
        <w:rPr>
          <w:rFonts w:ascii="Arial" w:hAnsi="Arial" w:cs="Arial"/>
          <w:b/>
          <w:sz w:val="32"/>
          <w:szCs w:val="32"/>
          <w:u w:val="single"/>
        </w:rPr>
        <w:lastRenderedPageBreak/>
        <w:t>Annexe I </w:t>
      </w:r>
      <w:r w:rsidRPr="006208B8">
        <w:rPr>
          <w:rFonts w:ascii="Arial" w:hAnsi="Arial" w:cs="Arial"/>
          <w:b/>
          <w:sz w:val="32"/>
          <w:szCs w:val="32"/>
        </w:rPr>
        <w:t>:</w:t>
      </w:r>
    </w:p>
    <w:p w14:paraId="78B08748" w14:textId="298813E6" w:rsidR="009C4D92" w:rsidRDefault="005E32DA">
      <w:pPr>
        <w:jc w:val="center"/>
        <w:rPr>
          <w:rFonts w:ascii="Arial" w:eastAsiaTheme="majorEastAsia" w:hAnsi="Arial" w:cs="Arial"/>
          <w:iCs/>
        </w:rPr>
      </w:pPr>
      <w:r w:rsidRPr="009F61E2">
        <w:rPr>
          <w:rFonts w:ascii="Arial" w:eastAsiaTheme="majorEastAsia" w:hAnsi="Arial" w:cs="Arial"/>
          <w:iCs/>
        </w:rPr>
        <w:t>Calendrier provisoire pour la réflexion sur les mécanismes d</w:t>
      </w:r>
      <w:r w:rsidR="00F36C26">
        <w:rPr>
          <w:rFonts w:ascii="Arial" w:eastAsiaTheme="majorEastAsia" w:hAnsi="Arial" w:cs="Arial"/>
          <w:iCs/>
        </w:rPr>
        <w:t>’</w:t>
      </w:r>
      <w:r w:rsidRPr="009F61E2">
        <w:rPr>
          <w:rFonts w:ascii="Arial" w:eastAsiaTheme="majorEastAsia" w:hAnsi="Arial" w:cs="Arial"/>
          <w:iCs/>
        </w:rPr>
        <w:t>inscription</w:t>
      </w:r>
    </w:p>
    <w:p w14:paraId="2C875B51" w14:textId="234A6925" w:rsidR="005E32DA" w:rsidRPr="009F06B8" w:rsidRDefault="005E32DA">
      <w:pPr>
        <w:jc w:val="center"/>
        <w:rPr>
          <w:rFonts w:ascii="Arial" w:hAnsi="Arial" w:cs="Arial"/>
          <w:b/>
          <w:u w:val="single"/>
        </w:rPr>
      </w:pPr>
      <w:proofErr w:type="gramStart"/>
      <w:r w:rsidRPr="009F61E2">
        <w:rPr>
          <w:rFonts w:ascii="Arial" w:eastAsiaTheme="majorEastAsia" w:hAnsi="Arial" w:cs="Arial"/>
          <w:iCs/>
        </w:rPr>
        <w:t>de</w:t>
      </w:r>
      <w:proofErr w:type="gramEnd"/>
      <w:r w:rsidRPr="009F61E2">
        <w:rPr>
          <w:rFonts w:ascii="Arial" w:eastAsiaTheme="majorEastAsia" w:hAnsi="Arial" w:cs="Arial"/>
          <w:iCs/>
        </w:rPr>
        <w:t xml:space="preserve"> la Convention de 2003</w:t>
      </w:r>
    </w:p>
    <w:tbl>
      <w:tblPr>
        <w:tblStyle w:val="TableauGrille4-Accentuation11"/>
        <w:tblpPr w:leftFromText="141" w:rightFromText="141" w:vertAnchor="page" w:horzAnchor="margin" w:tblpY="2881"/>
        <w:tblW w:w="9351" w:type="dxa"/>
        <w:tblLook w:val="04A0" w:firstRow="1" w:lastRow="0" w:firstColumn="1" w:lastColumn="0" w:noHBand="0" w:noVBand="1"/>
      </w:tblPr>
      <w:tblGrid>
        <w:gridCol w:w="2405"/>
        <w:gridCol w:w="2835"/>
        <w:gridCol w:w="4111"/>
      </w:tblGrid>
      <w:tr w:rsidR="007F7C62" w14:paraId="44120CFD" w14:textId="77777777" w:rsidTr="009D394F">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05" w:type="dxa"/>
          </w:tcPr>
          <w:p w14:paraId="5FC709A4" w14:textId="77777777" w:rsidR="005E32DA" w:rsidRPr="004A7593" w:rsidRDefault="005E32DA" w:rsidP="005E32DA">
            <w:pPr>
              <w:jc w:val="center"/>
              <w:rPr>
                <w:rFonts w:ascii="Arial" w:hAnsi="Arial" w:cs="Arial"/>
                <w:sz w:val="22"/>
                <w:szCs w:val="22"/>
              </w:rPr>
            </w:pPr>
            <w:r w:rsidRPr="004A7593">
              <w:rPr>
                <w:rFonts w:ascii="Arial" w:hAnsi="Arial" w:cs="Arial"/>
                <w:sz w:val="22"/>
                <w:szCs w:val="22"/>
              </w:rPr>
              <w:t>ANNÉE</w:t>
            </w:r>
          </w:p>
        </w:tc>
        <w:tc>
          <w:tcPr>
            <w:tcW w:w="2835" w:type="dxa"/>
          </w:tcPr>
          <w:p w14:paraId="71C9D149" w14:textId="77777777" w:rsidR="005E32DA" w:rsidRPr="004A7593" w:rsidRDefault="005E32DA" w:rsidP="005E32D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4A7593">
              <w:rPr>
                <w:rFonts w:ascii="Arial" w:hAnsi="Arial" w:cs="Arial"/>
                <w:sz w:val="22"/>
                <w:szCs w:val="22"/>
              </w:rPr>
              <w:t>RÉUNION</w:t>
            </w:r>
          </w:p>
        </w:tc>
        <w:tc>
          <w:tcPr>
            <w:tcW w:w="4111" w:type="dxa"/>
          </w:tcPr>
          <w:p w14:paraId="666ECF42" w14:textId="77777777" w:rsidR="005E32DA" w:rsidRPr="004A7593" w:rsidRDefault="00B03ACD" w:rsidP="005E32D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NOTE</w:t>
            </w:r>
          </w:p>
        </w:tc>
      </w:tr>
      <w:tr w:rsidR="007F7C62" w14:paraId="41BA5312" w14:textId="77777777" w:rsidTr="009D394F">
        <w:trPr>
          <w:cnfStyle w:val="000000100000" w:firstRow="0" w:lastRow="0" w:firstColumn="0" w:lastColumn="0" w:oddVBand="0" w:evenVBand="0" w:oddHBand="1" w:evenHBand="0" w:firstRowFirstColumn="0" w:firstRowLastColumn="0" w:lastRowFirstColumn="0" w:lastRowLastColumn="0"/>
          <w:trHeight w:val="122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38922FA" w14:textId="77777777" w:rsidR="005E32DA" w:rsidRPr="004A7593" w:rsidRDefault="005E32DA" w:rsidP="005E32DA">
            <w:pPr>
              <w:jc w:val="center"/>
              <w:rPr>
                <w:rFonts w:ascii="Arial" w:hAnsi="Arial" w:cs="Arial"/>
                <w:sz w:val="22"/>
                <w:szCs w:val="22"/>
                <w:lang w:val="en-US"/>
              </w:rPr>
            </w:pPr>
            <w:r w:rsidRPr="004A7593">
              <w:rPr>
                <w:rFonts w:ascii="Arial" w:hAnsi="Arial" w:cs="Arial"/>
                <w:sz w:val="22"/>
                <w:szCs w:val="22"/>
              </w:rPr>
              <w:t>Décembre 2017</w:t>
            </w:r>
          </w:p>
        </w:tc>
        <w:tc>
          <w:tcPr>
            <w:tcW w:w="2835" w:type="dxa"/>
            <w:vAlign w:val="center"/>
          </w:tcPr>
          <w:p w14:paraId="3F0F74DC" w14:textId="77777777" w:rsidR="005E32DA" w:rsidRPr="004A7593" w:rsidRDefault="005E32DA" w:rsidP="005E32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rPr>
              <w:t>12.COM</w:t>
            </w:r>
          </w:p>
        </w:tc>
        <w:tc>
          <w:tcPr>
            <w:tcW w:w="4111" w:type="dxa"/>
            <w:vAlign w:val="center"/>
          </w:tcPr>
          <w:p w14:paraId="4F0303EC" w14:textId="63C7AC15" w:rsidR="005E32DA" w:rsidRPr="004A7593" w:rsidRDefault="005E32DA" w:rsidP="00E019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rPr>
              <w:t>Décision 12.COM</w:t>
            </w:r>
            <w:r w:rsidR="00E01958">
              <w:rPr>
                <w:rFonts w:ascii="Arial" w:hAnsi="Arial" w:cs="Arial"/>
                <w:sz w:val="22"/>
                <w:szCs w:val="22"/>
              </w:rPr>
              <w:t> </w:t>
            </w:r>
            <w:r w:rsidRPr="004A7593">
              <w:rPr>
                <w:rFonts w:ascii="Arial" w:hAnsi="Arial" w:cs="Arial"/>
                <w:sz w:val="22"/>
                <w:szCs w:val="22"/>
              </w:rPr>
              <w:t>14</w:t>
            </w:r>
          </w:p>
        </w:tc>
      </w:tr>
      <w:tr w:rsidR="007F7C62" w14:paraId="309E13DA" w14:textId="77777777" w:rsidTr="009D394F">
        <w:trPr>
          <w:trHeight w:val="1376"/>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411A751" w14:textId="77777777" w:rsidR="005E32DA" w:rsidRPr="004A7593" w:rsidRDefault="005E32DA" w:rsidP="005E32DA">
            <w:pPr>
              <w:jc w:val="center"/>
              <w:rPr>
                <w:rFonts w:ascii="Arial" w:hAnsi="Arial" w:cs="Arial"/>
                <w:sz w:val="22"/>
                <w:szCs w:val="22"/>
                <w:lang w:val="en-US"/>
              </w:rPr>
            </w:pPr>
            <w:r w:rsidRPr="004A7593">
              <w:rPr>
                <w:rFonts w:ascii="Arial" w:hAnsi="Arial" w:cs="Arial"/>
                <w:sz w:val="22"/>
                <w:szCs w:val="22"/>
              </w:rPr>
              <w:t>Novembre - décembre 2018</w:t>
            </w:r>
          </w:p>
        </w:tc>
        <w:tc>
          <w:tcPr>
            <w:tcW w:w="2835" w:type="dxa"/>
            <w:vAlign w:val="center"/>
          </w:tcPr>
          <w:p w14:paraId="544C96BB" w14:textId="77777777" w:rsidR="005E32DA" w:rsidRPr="004A7593" w:rsidRDefault="005E32DA" w:rsidP="005E32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rPr>
              <w:t>13.COM</w:t>
            </w:r>
          </w:p>
        </w:tc>
        <w:tc>
          <w:tcPr>
            <w:tcW w:w="4111" w:type="dxa"/>
            <w:vAlign w:val="center"/>
          </w:tcPr>
          <w:p w14:paraId="193F68A4" w14:textId="77777777" w:rsidR="005E32DA" w:rsidRPr="004A7593" w:rsidRDefault="005E32DA" w:rsidP="005E32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rPr>
              <w:t>Décision 13.COM 6</w:t>
            </w:r>
          </w:p>
        </w:tc>
      </w:tr>
      <w:tr w:rsidR="007F7C62" w14:paraId="4A6312BE" w14:textId="77777777" w:rsidTr="009D394F">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B6C557B" w14:textId="77777777" w:rsidR="005E32DA" w:rsidRPr="004A7593" w:rsidRDefault="005E32DA" w:rsidP="005E32DA">
            <w:pPr>
              <w:jc w:val="center"/>
              <w:rPr>
                <w:rFonts w:ascii="Arial" w:hAnsi="Arial" w:cs="Arial"/>
                <w:sz w:val="22"/>
                <w:szCs w:val="22"/>
                <w:lang w:val="en-US"/>
              </w:rPr>
            </w:pPr>
            <w:r w:rsidRPr="004A7593">
              <w:rPr>
                <w:rFonts w:ascii="Arial" w:hAnsi="Arial" w:cs="Arial"/>
                <w:sz w:val="22"/>
                <w:szCs w:val="22"/>
              </w:rPr>
              <w:t>Décembre 2019</w:t>
            </w:r>
          </w:p>
        </w:tc>
        <w:tc>
          <w:tcPr>
            <w:tcW w:w="2835" w:type="dxa"/>
            <w:vAlign w:val="center"/>
          </w:tcPr>
          <w:p w14:paraId="46182DDE" w14:textId="77777777" w:rsidR="005E32DA" w:rsidRPr="004A7593" w:rsidRDefault="005E32DA" w:rsidP="005E32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rPr>
              <w:t>14.COM</w:t>
            </w:r>
          </w:p>
        </w:tc>
        <w:tc>
          <w:tcPr>
            <w:tcW w:w="4111" w:type="dxa"/>
            <w:vAlign w:val="center"/>
          </w:tcPr>
          <w:p w14:paraId="28A483DA" w14:textId="09C815B6" w:rsidR="005E32DA" w:rsidRPr="009F06B8" w:rsidRDefault="005E32DA" w:rsidP="0023498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A7593">
              <w:rPr>
                <w:rFonts w:ascii="Arial" w:hAnsi="Arial" w:cs="Arial"/>
                <w:sz w:val="22"/>
                <w:szCs w:val="22"/>
              </w:rPr>
              <w:t>Discussion intergouvernementale préliminaire et accord sur l</w:t>
            </w:r>
            <w:r w:rsidR="00B03ACD">
              <w:rPr>
                <w:rFonts w:ascii="Arial" w:hAnsi="Arial" w:cs="Arial"/>
                <w:sz w:val="22"/>
                <w:szCs w:val="22"/>
              </w:rPr>
              <w:t xml:space="preserve">es </w:t>
            </w:r>
            <w:r w:rsidRPr="004A7593">
              <w:rPr>
                <w:rFonts w:ascii="Arial" w:hAnsi="Arial" w:cs="Arial"/>
                <w:sz w:val="22"/>
                <w:szCs w:val="22"/>
              </w:rPr>
              <w:t>amendement</w:t>
            </w:r>
            <w:r w:rsidR="00B03ACD">
              <w:rPr>
                <w:rFonts w:ascii="Arial" w:hAnsi="Arial" w:cs="Arial"/>
                <w:sz w:val="22"/>
                <w:szCs w:val="22"/>
              </w:rPr>
              <w:t>s</w:t>
            </w:r>
            <w:r w:rsidRPr="004A7593">
              <w:rPr>
                <w:rFonts w:ascii="Arial" w:hAnsi="Arial" w:cs="Arial"/>
                <w:sz w:val="22"/>
                <w:szCs w:val="22"/>
              </w:rPr>
              <w:t xml:space="preserve"> </w:t>
            </w:r>
            <w:r w:rsidR="00B03ACD">
              <w:rPr>
                <w:rFonts w:ascii="Arial" w:hAnsi="Arial" w:cs="Arial"/>
                <w:sz w:val="22"/>
                <w:szCs w:val="22"/>
              </w:rPr>
              <w:t xml:space="preserve">aux </w:t>
            </w:r>
            <w:r w:rsidRPr="004A7593">
              <w:rPr>
                <w:rFonts w:ascii="Arial" w:hAnsi="Arial" w:cs="Arial"/>
                <w:sz w:val="22"/>
                <w:szCs w:val="22"/>
              </w:rPr>
              <w:t>D</w:t>
            </w:r>
            <w:r w:rsidR="00EE7BF0">
              <w:rPr>
                <w:rFonts w:ascii="Arial" w:hAnsi="Arial" w:cs="Arial"/>
                <w:sz w:val="22"/>
                <w:szCs w:val="22"/>
              </w:rPr>
              <w:t xml:space="preserve">irectives </w:t>
            </w:r>
            <w:r w:rsidR="00A06A1B">
              <w:rPr>
                <w:rFonts w:ascii="Arial" w:hAnsi="Arial" w:cs="Arial"/>
                <w:sz w:val="22"/>
                <w:szCs w:val="22"/>
              </w:rPr>
              <w:t>o</w:t>
            </w:r>
            <w:r w:rsidR="00EE7BF0">
              <w:rPr>
                <w:rFonts w:ascii="Arial" w:hAnsi="Arial" w:cs="Arial"/>
                <w:sz w:val="22"/>
                <w:szCs w:val="22"/>
              </w:rPr>
              <w:t>pérationnelles</w:t>
            </w:r>
            <w:r w:rsidRPr="004A7593">
              <w:rPr>
                <w:rFonts w:ascii="Arial" w:hAnsi="Arial" w:cs="Arial"/>
                <w:sz w:val="22"/>
                <w:szCs w:val="22"/>
              </w:rPr>
              <w:t xml:space="preserve"> relatives au processus de dialogue (</w:t>
            </w:r>
            <w:r w:rsidRPr="004C1DBE">
              <w:rPr>
                <w:rFonts w:ascii="Arial" w:hAnsi="Arial" w:cs="Arial"/>
                <w:sz w:val="22"/>
                <w:szCs w:val="22"/>
              </w:rPr>
              <w:t xml:space="preserve">récolte </w:t>
            </w:r>
            <w:r w:rsidR="00A06A1B" w:rsidRPr="004C1DBE">
              <w:rPr>
                <w:rFonts w:ascii="Arial" w:hAnsi="Arial" w:cs="Arial"/>
                <w:sz w:val="22"/>
                <w:szCs w:val="22"/>
              </w:rPr>
              <w:t>précoce</w:t>
            </w:r>
            <w:r w:rsidRPr="004C1DBE">
              <w:rPr>
                <w:rFonts w:ascii="Arial" w:hAnsi="Arial" w:cs="Arial"/>
                <w:sz w:val="22"/>
                <w:szCs w:val="22"/>
              </w:rPr>
              <w:t>)</w:t>
            </w:r>
            <w:r w:rsidRPr="004A7593">
              <w:rPr>
                <w:rFonts w:ascii="Arial" w:hAnsi="Arial" w:cs="Arial"/>
                <w:sz w:val="22"/>
                <w:szCs w:val="22"/>
              </w:rPr>
              <w:t xml:space="preserve"> </w:t>
            </w:r>
          </w:p>
        </w:tc>
      </w:tr>
      <w:tr w:rsidR="007F7C62" w14:paraId="49491CF0" w14:textId="77777777" w:rsidTr="009D394F">
        <w:trPr>
          <w:trHeight w:val="124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5D2E6FA" w14:textId="77777777" w:rsidR="005E32DA" w:rsidRPr="004A7593" w:rsidRDefault="005E32DA" w:rsidP="005E32DA">
            <w:pPr>
              <w:jc w:val="center"/>
              <w:rPr>
                <w:rFonts w:ascii="Arial" w:hAnsi="Arial" w:cs="Arial"/>
                <w:sz w:val="22"/>
                <w:szCs w:val="22"/>
                <w:lang w:val="en-US"/>
              </w:rPr>
            </w:pPr>
            <w:r w:rsidRPr="004A7593">
              <w:rPr>
                <w:rFonts w:ascii="Arial" w:hAnsi="Arial" w:cs="Arial"/>
                <w:sz w:val="22"/>
                <w:szCs w:val="22"/>
              </w:rPr>
              <w:t>Mars 2020</w:t>
            </w:r>
          </w:p>
        </w:tc>
        <w:tc>
          <w:tcPr>
            <w:tcW w:w="2835" w:type="dxa"/>
            <w:vAlign w:val="center"/>
          </w:tcPr>
          <w:p w14:paraId="16F3EA80" w14:textId="5BF5902D" w:rsidR="00B03ACD" w:rsidRDefault="005E32DA" w:rsidP="005E32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A7593">
              <w:rPr>
                <w:rFonts w:ascii="Arial" w:hAnsi="Arial" w:cs="Arial"/>
                <w:sz w:val="22"/>
                <w:szCs w:val="22"/>
              </w:rPr>
              <w:t>Réunion d</w:t>
            </w:r>
            <w:r w:rsidR="00F36C26">
              <w:rPr>
                <w:rFonts w:ascii="Arial" w:hAnsi="Arial" w:cs="Arial"/>
                <w:sz w:val="22"/>
                <w:szCs w:val="22"/>
              </w:rPr>
              <w:t>’</w:t>
            </w:r>
            <w:r w:rsidRPr="004A7593">
              <w:rPr>
                <w:rFonts w:ascii="Arial" w:hAnsi="Arial" w:cs="Arial"/>
                <w:sz w:val="22"/>
                <w:szCs w:val="22"/>
              </w:rPr>
              <w:t xml:space="preserve">experts </w:t>
            </w:r>
          </w:p>
          <w:p w14:paraId="2677F6A3" w14:textId="76A8FCDD" w:rsidR="005E32DA" w:rsidRPr="009F06B8" w:rsidRDefault="005E32DA" w:rsidP="005E32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A7593">
              <w:rPr>
                <w:rFonts w:ascii="Arial" w:hAnsi="Arial" w:cs="Arial"/>
                <w:sz w:val="22"/>
                <w:szCs w:val="22"/>
              </w:rPr>
              <w:t>Siège de l</w:t>
            </w:r>
            <w:r w:rsidR="00F36C26">
              <w:rPr>
                <w:rFonts w:ascii="Arial" w:hAnsi="Arial" w:cs="Arial"/>
                <w:sz w:val="22"/>
                <w:szCs w:val="22"/>
              </w:rPr>
              <w:t>’</w:t>
            </w:r>
            <w:r w:rsidRPr="004A7593">
              <w:rPr>
                <w:rFonts w:ascii="Arial" w:hAnsi="Arial" w:cs="Arial"/>
                <w:sz w:val="22"/>
                <w:szCs w:val="22"/>
              </w:rPr>
              <w:t>UNESCO</w:t>
            </w:r>
          </w:p>
        </w:tc>
        <w:tc>
          <w:tcPr>
            <w:tcW w:w="4111" w:type="dxa"/>
            <w:vAlign w:val="center"/>
          </w:tcPr>
          <w:p w14:paraId="633D7F4A" w14:textId="15994D76" w:rsidR="005E32DA" w:rsidRPr="004A7593" w:rsidRDefault="005E32DA" w:rsidP="00E019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rPr>
              <w:t>Début des réflexions</w:t>
            </w:r>
          </w:p>
        </w:tc>
      </w:tr>
      <w:tr w:rsidR="007F7C62" w14:paraId="36D4521F" w14:textId="77777777" w:rsidTr="009D394F">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4E801FA" w14:textId="77777777" w:rsidR="005E32DA" w:rsidRPr="004A7593" w:rsidRDefault="005E32DA" w:rsidP="005E32DA">
            <w:pPr>
              <w:jc w:val="center"/>
              <w:rPr>
                <w:rFonts w:ascii="Arial" w:hAnsi="Arial" w:cs="Arial"/>
                <w:sz w:val="22"/>
                <w:szCs w:val="22"/>
                <w:lang w:val="en-US"/>
              </w:rPr>
            </w:pPr>
            <w:r w:rsidRPr="004A7593">
              <w:rPr>
                <w:rFonts w:ascii="Arial" w:hAnsi="Arial" w:cs="Arial"/>
                <w:sz w:val="22"/>
                <w:szCs w:val="22"/>
              </w:rPr>
              <w:t>Juin 2020</w:t>
            </w:r>
          </w:p>
        </w:tc>
        <w:tc>
          <w:tcPr>
            <w:tcW w:w="2835" w:type="dxa"/>
            <w:vAlign w:val="center"/>
          </w:tcPr>
          <w:p w14:paraId="23A07EAE" w14:textId="77777777" w:rsidR="005E32DA" w:rsidRPr="004A7593" w:rsidRDefault="005E32DA" w:rsidP="005E32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rPr>
              <w:t>8</w:t>
            </w:r>
            <w:r w:rsidRPr="00E65ECE">
              <w:rPr>
                <w:rFonts w:ascii="Arial" w:hAnsi="Arial" w:cs="Arial"/>
                <w:sz w:val="22"/>
                <w:szCs w:val="22"/>
              </w:rPr>
              <w:t>.GA</w:t>
            </w:r>
          </w:p>
        </w:tc>
        <w:tc>
          <w:tcPr>
            <w:tcW w:w="4111" w:type="dxa"/>
            <w:vAlign w:val="center"/>
          </w:tcPr>
          <w:p w14:paraId="5F28AF27" w14:textId="4ABB7C3E" w:rsidR="005E32DA" w:rsidRPr="009F06B8" w:rsidRDefault="005E32DA" w:rsidP="0023498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A7593">
              <w:rPr>
                <w:rFonts w:ascii="Arial" w:hAnsi="Arial" w:cs="Arial"/>
                <w:sz w:val="22"/>
                <w:szCs w:val="22"/>
              </w:rPr>
              <w:t>Rapport sur les progrès, discussion intergouvernementale et adoption de</w:t>
            </w:r>
            <w:r w:rsidR="00B03ACD">
              <w:rPr>
                <w:rFonts w:ascii="Arial" w:hAnsi="Arial" w:cs="Arial"/>
                <w:sz w:val="22"/>
                <w:szCs w:val="22"/>
              </w:rPr>
              <w:t>s</w:t>
            </w:r>
            <w:r w:rsidRPr="004A7593">
              <w:rPr>
                <w:rFonts w:ascii="Arial" w:hAnsi="Arial" w:cs="Arial"/>
                <w:sz w:val="22"/>
                <w:szCs w:val="22"/>
              </w:rPr>
              <w:t xml:space="preserve"> amendement</w:t>
            </w:r>
            <w:r w:rsidR="00B03ACD">
              <w:rPr>
                <w:rFonts w:ascii="Arial" w:hAnsi="Arial" w:cs="Arial"/>
                <w:sz w:val="22"/>
                <w:szCs w:val="22"/>
              </w:rPr>
              <w:t xml:space="preserve">s aux </w:t>
            </w:r>
            <w:r w:rsidRPr="004A7593">
              <w:rPr>
                <w:rFonts w:ascii="Arial" w:hAnsi="Arial" w:cs="Arial"/>
                <w:sz w:val="22"/>
                <w:szCs w:val="22"/>
              </w:rPr>
              <w:t>D</w:t>
            </w:r>
            <w:r w:rsidR="00EE7BF0">
              <w:rPr>
                <w:rFonts w:ascii="Arial" w:hAnsi="Arial" w:cs="Arial"/>
                <w:sz w:val="22"/>
                <w:szCs w:val="22"/>
              </w:rPr>
              <w:t xml:space="preserve">irectives </w:t>
            </w:r>
            <w:r w:rsidR="00A06A1B">
              <w:rPr>
                <w:rFonts w:ascii="Arial" w:hAnsi="Arial" w:cs="Arial"/>
                <w:sz w:val="22"/>
                <w:szCs w:val="22"/>
              </w:rPr>
              <w:t>o</w:t>
            </w:r>
            <w:r w:rsidR="00EE7BF0">
              <w:rPr>
                <w:rFonts w:ascii="Arial" w:hAnsi="Arial" w:cs="Arial"/>
                <w:sz w:val="22"/>
                <w:szCs w:val="22"/>
              </w:rPr>
              <w:t>pérationnelles (DO)</w:t>
            </w:r>
            <w:r w:rsidRPr="004A7593">
              <w:rPr>
                <w:rFonts w:ascii="Arial" w:hAnsi="Arial" w:cs="Arial"/>
                <w:sz w:val="22"/>
                <w:szCs w:val="22"/>
              </w:rPr>
              <w:t xml:space="preserve"> relatives au processus de dialogue (récolte </w:t>
            </w:r>
            <w:r w:rsidR="00A06A1B">
              <w:rPr>
                <w:rFonts w:ascii="Arial" w:hAnsi="Arial" w:cs="Arial"/>
                <w:sz w:val="22"/>
                <w:szCs w:val="22"/>
              </w:rPr>
              <w:t>précoce</w:t>
            </w:r>
            <w:r w:rsidRPr="004A7593">
              <w:rPr>
                <w:rFonts w:ascii="Arial" w:hAnsi="Arial" w:cs="Arial"/>
                <w:sz w:val="22"/>
                <w:szCs w:val="22"/>
              </w:rPr>
              <w:t>)</w:t>
            </w:r>
          </w:p>
        </w:tc>
      </w:tr>
      <w:tr w:rsidR="007F7C62" w14:paraId="2497ACE9" w14:textId="77777777" w:rsidTr="009D394F">
        <w:trPr>
          <w:trHeight w:val="1281"/>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A5F38C5" w14:textId="77777777" w:rsidR="005E32DA" w:rsidRPr="004A7593" w:rsidRDefault="005E32DA" w:rsidP="005E32DA">
            <w:pPr>
              <w:jc w:val="center"/>
              <w:rPr>
                <w:rFonts w:ascii="Arial" w:hAnsi="Arial" w:cs="Arial"/>
                <w:sz w:val="22"/>
                <w:szCs w:val="22"/>
                <w:lang w:val="en-US"/>
              </w:rPr>
            </w:pPr>
            <w:r w:rsidRPr="004A7593">
              <w:rPr>
                <w:rFonts w:ascii="Arial" w:hAnsi="Arial" w:cs="Arial"/>
                <w:sz w:val="22"/>
                <w:szCs w:val="22"/>
              </w:rPr>
              <w:t>Novembre - décembre 2020</w:t>
            </w:r>
          </w:p>
        </w:tc>
        <w:tc>
          <w:tcPr>
            <w:tcW w:w="2835" w:type="dxa"/>
            <w:vAlign w:val="center"/>
          </w:tcPr>
          <w:p w14:paraId="02119850" w14:textId="77777777" w:rsidR="005E32DA" w:rsidRPr="004A7593" w:rsidRDefault="005E32DA" w:rsidP="005E32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rPr>
              <w:t>15.COM</w:t>
            </w:r>
          </w:p>
        </w:tc>
        <w:tc>
          <w:tcPr>
            <w:tcW w:w="4111" w:type="dxa"/>
            <w:vAlign w:val="center"/>
          </w:tcPr>
          <w:p w14:paraId="780CF81F" w14:textId="77777777" w:rsidR="005E32DA" w:rsidRPr="009F06B8" w:rsidRDefault="005E32DA" w:rsidP="005E32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A7593">
              <w:rPr>
                <w:rFonts w:ascii="Arial" w:hAnsi="Arial" w:cs="Arial"/>
                <w:sz w:val="22"/>
                <w:szCs w:val="22"/>
              </w:rPr>
              <w:t xml:space="preserve">Rapport </w:t>
            </w:r>
            <w:r w:rsidR="00B03ACD">
              <w:rPr>
                <w:rFonts w:ascii="Arial" w:hAnsi="Arial" w:cs="Arial"/>
                <w:sz w:val="22"/>
                <w:szCs w:val="22"/>
              </w:rPr>
              <w:t>sur les</w:t>
            </w:r>
            <w:r w:rsidRPr="004A7593">
              <w:rPr>
                <w:rFonts w:ascii="Arial" w:hAnsi="Arial" w:cs="Arial"/>
                <w:sz w:val="22"/>
                <w:szCs w:val="22"/>
              </w:rPr>
              <w:t xml:space="preserve"> progrès et discussion préliminaire sur les amendements </w:t>
            </w:r>
            <w:r w:rsidR="00B03ACD">
              <w:rPr>
                <w:rFonts w:ascii="Arial" w:hAnsi="Arial" w:cs="Arial"/>
                <w:sz w:val="22"/>
                <w:szCs w:val="22"/>
              </w:rPr>
              <w:t>aux</w:t>
            </w:r>
            <w:r w:rsidRPr="004A7593">
              <w:rPr>
                <w:rFonts w:ascii="Arial" w:hAnsi="Arial" w:cs="Arial"/>
                <w:sz w:val="22"/>
                <w:szCs w:val="22"/>
              </w:rPr>
              <w:t xml:space="preserve"> DO</w:t>
            </w:r>
          </w:p>
        </w:tc>
      </w:tr>
      <w:tr w:rsidR="007F7C62" w14:paraId="5EC76FC1" w14:textId="77777777" w:rsidTr="009D394F">
        <w:trPr>
          <w:cnfStyle w:val="000000100000" w:firstRow="0" w:lastRow="0" w:firstColumn="0" w:lastColumn="0" w:oddVBand="0" w:evenVBand="0" w:oddHBand="1" w:evenHBand="0" w:firstRowFirstColumn="0" w:firstRowLastColumn="0" w:lastRowFirstColumn="0" w:lastRowLastColumn="0"/>
          <w:trHeight w:val="1821"/>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9D1238F" w14:textId="77777777" w:rsidR="005E32DA" w:rsidRPr="004A7593" w:rsidRDefault="005E32DA" w:rsidP="005E32DA">
            <w:pPr>
              <w:jc w:val="center"/>
              <w:rPr>
                <w:rFonts w:ascii="Arial" w:hAnsi="Arial" w:cs="Arial"/>
                <w:sz w:val="22"/>
                <w:szCs w:val="22"/>
                <w:lang w:val="en-US"/>
              </w:rPr>
            </w:pPr>
            <w:r w:rsidRPr="004A7593">
              <w:rPr>
                <w:rFonts w:ascii="Arial" w:hAnsi="Arial" w:cs="Arial"/>
                <w:sz w:val="22"/>
                <w:szCs w:val="22"/>
              </w:rPr>
              <w:t>Juin 2021 (à confirmer)</w:t>
            </w:r>
          </w:p>
        </w:tc>
        <w:tc>
          <w:tcPr>
            <w:tcW w:w="2835" w:type="dxa"/>
            <w:vAlign w:val="center"/>
          </w:tcPr>
          <w:p w14:paraId="174E18A4" w14:textId="159A3383" w:rsidR="005E32DA" w:rsidRPr="009F06B8" w:rsidRDefault="005E32DA" w:rsidP="005E32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A7593">
              <w:rPr>
                <w:rFonts w:ascii="Arial" w:hAnsi="Arial" w:cs="Arial"/>
                <w:sz w:val="22"/>
                <w:szCs w:val="22"/>
              </w:rPr>
              <w:t>Groupe de travail intergouvernemental à composition non limitée -Siège de l</w:t>
            </w:r>
            <w:r w:rsidR="00F36C26">
              <w:rPr>
                <w:rFonts w:ascii="Arial" w:hAnsi="Arial" w:cs="Arial"/>
                <w:sz w:val="22"/>
                <w:szCs w:val="22"/>
              </w:rPr>
              <w:t>’</w:t>
            </w:r>
            <w:r w:rsidRPr="004A7593">
              <w:rPr>
                <w:rFonts w:ascii="Arial" w:hAnsi="Arial" w:cs="Arial"/>
                <w:sz w:val="22"/>
                <w:szCs w:val="22"/>
              </w:rPr>
              <w:t>UNESCO</w:t>
            </w:r>
          </w:p>
        </w:tc>
        <w:tc>
          <w:tcPr>
            <w:tcW w:w="4111" w:type="dxa"/>
            <w:vAlign w:val="center"/>
          </w:tcPr>
          <w:p w14:paraId="2A141070" w14:textId="57B6EC06" w:rsidR="005E32DA" w:rsidRPr="009F06B8" w:rsidRDefault="005E32DA" w:rsidP="005E32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A7593">
              <w:rPr>
                <w:rFonts w:ascii="Arial" w:hAnsi="Arial" w:cs="Arial"/>
                <w:sz w:val="22"/>
                <w:szCs w:val="22"/>
              </w:rPr>
              <w:t xml:space="preserve">Discussion intergouvernementale et discussion </w:t>
            </w:r>
            <w:r w:rsidR="009C5CB0">
              <w:rPr>
                <w:rFonts w:ascii="Arial" w:hAnsi="Arial" w:cs="Arial"/>
                <w:sz w:val="22"/>
                <w:szCs w:val="22"/>
              </w:rPr>
              <w:t>complémentaire</w:t>
            </w:r>
            <w:r w:rsidRPr="004A7593">
              <w:rPr>
                <w:rFonts w:ascii="Arial" w:hAnsi="Arial" w:cs="Arial"/>
                <w:sz w:val="22"/>
                <w:szCs w:val="22"/>
              </w:rPr>
              <w:t xml:space="preserve"> sur le projet d</w:t>
            </w:r>
            <w:r w:rsidR="00F36C26">
              <w:rPr>
                <w:rFonts w:ascii="Arial" w:hAnsi="Arial" w:cs="Arial"/>
                <w:sz w:val="22"/>
                <w:szCs w:val="22"/>
              </w:rPr>
              <w:t>’</w:t>
            </w:r>
            <w:r w:rsidRPr="004A7593">
              <w:rPr>
                <w:rFonts w:ascii="Arial" w:hAnsi="Arial" w:cs="Arial"/>
                <w:sz w:val="22"/>
                <w:szCs w:val="22"/>
              </w:rPr>
              <w:t xml:space="preserve">amendement </w:t>
            </w:r>
            <w:r w:rsidR="009C5CB0">
              <w:rPr>
                <w:rFonts w:ascii="Arial" w:hAnsi="Arial" w:cs="Arial"/>
                <w:sz w:val="22"/>
                <w:szCs w:val="22"/>
              </w:rPr>
              <w:t>aux</w:t>
            </w:r>
            <w:r w:rsidRPr="004A7593">
              <w:rPr>
                <w:rFonts w:ascii="Arial" w:hAnsi="Arial" w:cs="Arial"/>
                <w:sz w:val="22"/>
                <w:szCs w:val="22"/>
              </w:rPr>
              <w:t xml:space="preserve"> DO</w:t>
            </w:r>
          </w:p>
        </w:tc>
      </w:tr>
      <w:tr w:rsidR="007F7C62" w14:paraId="075DFF43" w14:textId="77777777" w:rsidTr="009D394F">
        <w:trPr>
          <w:trHeight w:val="1376"/>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4171B80" w14:textId="77777777" w:rsidR="005E32DA" w:rsidRPr="004A7593" w:rsidRDefault="005E32DA" w:rsidP="005E32DA">
            <w:pPr>
              <w:jc w:val="center"/>
              <w:rPr>
                <w:rFonts w:ascii="Arial" w:hAnsi="Arial" w:cs="Arial"/>
                <w:sz w:val="22"/>
                <w:szCs w:val="22"/>
                <w:lang w:val="en-US"/>
              </w:rPr>
            </w:pPr>
            <w:r w:rsidRPr="004A7593">
              <w:rPr>
                <w:rFonts w:ascii="Arial" w:hAnsi="Arial" w:cs="Arial"/>
                <w:sz w:val="22"/>
                <w:szCs w:val="22"/>
              </w:rPr>
              <w:t>Novembre - décembre 2021</w:t>
            </w:r>
          </w:p>
        </w:tc>
        <w:tc>
          <w:tcPr>
            <w:tcW w:w="2835" w:type="dxa"/>
            <w:vAlign w:val="center"/>
          </w:tcPr>
          <w:p w14:paraId="2586D5EB" w14:textId="77777777" w:rsidR="005E32DA" w:rsidRPr="004A7593" w:rsidRDefault="005E32DA" w:rsidP="005E32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rPr>
              <w:t>16.COM</w:t>
            </w:r>
          </w:p>
        </w:tc>
        <w:tc>
          <w:tcPr>
            <w:tcW w:w="4111" w:type="dxa"/>
            <w:vAlign w:val="center"/>
          </w:tcPr>
          <w:p w14:paraId="40C958BC" w14:textId="1F898E4E" w:rsidR="005E32DA" w:rsidRPr="009F06B8" w:rsidRDefault="005E32DA" w:rsidP="0023498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A7593">
              <w:rPr>
                <w:rFonts w:ascii="Arial" w:hAnsi="Arial" w:cs="Arial"/>
                <w:sz w:val="22"/>
                <w:szCs w:val="22"/>
              </w:rPr>
              <w:t>Accord sur l</w:t>
            </w:r>
            <w:r w:rsidR="009C5CB0">
              <w:rPr>
                <w:rFonts w:ascii="Arial" w:hAnsi="Arial" w:cs="Arial"/>
                <w:sz w:val="22"/>
                <w:szCs w:val="22"/>
              </w:rPr>
              <w:t xml:space="preserve">es </w:t>
            </w:r>
            <w:r w:rsidRPr="004A7593">
              <w:rPr>
                <w:rFonts w:ascii="Arial" w:hAnsi="Arial" w:cs="Arial"/>
                <w:sz w:val="22"/>
                <w:szCs w:val="22"/>
              </w:rPr>
              <w:t>amendement</w:t>
            </w:r>
            <w:r w:rsidR="009C5CB0">
              <w:rPr>
                <w:rFonts w:ascii="Arial" w:hAnsi="Arial" w:cs="Arial"/>
                <w:sz w:val="22"/>
                <w:szCs w:val="22"/>
              </w:rPr>
              <w:t>s</w:t>
            </w:r>
            <w:r w:rsidRPr="004A7593">
              <w:rPr>
                <w:rFonts w:ascii="Arial" w:hAnsi="Arial" w:cs="Arial"/>
                <w:sz w:val="22"/>
                <w:szCs w:val="22"/>
              </w:rPr>
              <w:t xml:space="preserve"> </w:t>
            </w:r>
            <w:r w:rsidR="009C5CB0">
              <w:rPr>
                <w:rFonts w:ascii="Arial" w:hAnsi="Arial" w:cs="Arial"/>
                <w:sz w:val="22"/>
                <w:szCs w:val="22"/>
              </w:rPr>
              <w:t>aux</w:t>
            </w:r>
            <w:r w:rsidRPr="004A7593">
              <w:rPr>
                <w:rFonts w:ascii="Arial" w:hAnsi="Arial" w:cs="Arial"/>
                <w:sz w:val="22"/>
                <w:szCs w:val="22"/>
              </w:rPr>
              <w:t xml:space="preserve"> DO à recommander </w:t>
            </w:r>
            <w:r w:rsidR="00A06A1B">
              <w:rPr>
                <w:rFonts w:ascii="Arial" w:hAnsi="Arial" w:cs="Arial"/>
                <w:sz w:val="22"/>
                <w:szCs w:val="22"/>
              </w:rPr>
              <w:t xml:space="preserve">à la </w:t>
            </w:r>
            <w:r w:rsidRPr="004A7593">
              <w:rPr>
                <w:rFonts w:ascii="Arial" w:hAnsi="Arial" w:cs="Arial"/>
                <w:sz w:val="22"/>
                <w:szCs w:val="22"/>
              </w:rPr>
              <w:t>9.</w:t>
            </w:r>
            <w:r w:rsidRPr="00E65ECE">
              <w:rPr>
                <w:rFonts w:ascii="Arial" w:hAnsi="Arial" w:cs="Arial"/>
                <w:sz w:val="22"/>
                <w:szCs w:val="22"/>
              </w:rPr>
              <w:t>GA</w:t>
            </w:r>
          </w:p>
        </w:tc>
      </w:tr>
      <w:tr w:rsidR="007F7C62" w14:paraId="769D7CCE" w14:textId="77777777" w:rsidTr="009D394F">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C167473" w14:textId="77777777" w:rsidR="005E32DA" w:rsidRPr="004A7593" w:rsidRDefault="005E32DA" w:rsidP="005E32DA">
            <w:pPr>
              <w:jc w:val="center"/>
              <w:rPr>
                <w:rFonts w:ascii="Arial" w:hAnsi="Arial" w:cs="Arial"/>
                <w:sz w:val="22"/>
                <w:szCs w:val="22"/>
                <w:lang w:val="en-US"/>
              </w:rPr>
            </w:pPr>
            <w:r w:rsidRPr="004A7593">
              <w:rPr>
                <w:rFonts w:ascii="Arial" w:hAnsi="Arial" w:cs="Arial"/>
                <w:sz w:val="22"/>
                <w:szCs w:val="22"/>
              </w:rPr>
              <w:t>Juin 2022</w:t>
            </w:r>
          </w:p>
        </w:tc>
        <w:tc>
          <w:tcPr>
            <w:tcW w:w="2835" w:type="dxa"/>
            <w:vAlign w:val="center"/>
          </w:tcPr>
          <w:p w14:paraId="447E21B7" w14:textId="77777777" w:rsidR="005E32DA" w:rsidRPr="004A7593" w:rsidRDefault="005E32DA" w:rsidP="005E32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E65ECE">
              <w:rPr>
                <w:rFonts w:ascii="Arial" w:hAnsi="Arial" w:cs="Arial"/>
                <w:sz w:val="22"/>
                <w:szCs w:val="22"/>
              </w:rPr>
              <w:t>9.GA</w:t>
            </w:r>
          </w:p>
        </w:tc>
        <w:tc>
          <w:tcPr>
            <w:tcW w:w="4111" w:type="dxa"/>
            <w:vAlign w:val="center"/>
          </w:tcPr>
          <w:p w14:paraId="35E03D53" w14:textId="77777777" w:rsidR="005E32DA" w:rsidRPr="009F06B8" w:rsidRDefault="005E32DA" w:rsidP="005E32D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A7593">
              <w:rPr>
                <w:rFonts w:ascii="Arial" w:hAnsi="Arial" w:cs="Arial"/>
                <w:sz w:val="22"/>
                <w:szCs w:val="22"/>
              </w:rPr>
              <w:t>Adoption des amendements aux DO</w:t>
            </w:r>
          </w:p>
        </w:tc>
      </w:tr>
    </w:tbl>
    <w:p w14:paraId="12C9DB02" w14:textId="77777777" w:rsidR="005E32DA" w:rsidRPr="009F06B8" w:rsidRDefault="005E32DA" w:rsidP="005E32DA">
      <w:pPr>
        <w:pageBreakBefore/>
        <w:jc w:val="center"/>
        <w:rPr>
          <w:rFonts w:ascii="Arial" w:hAnsi="Arial" w:cs="Arial"/>
          <w:b/>
          <w:sz w:val="32"/>
          <w:szCs w:val="32"/>
        </w:rPr>
      </w:pPr>
      <w:r w:rsidRPr="006208B8">
        <w:rPr>
          <w:rFonts w:ascii="Arial" w:hAnsi="Arial" w:cs="Arial"/>
          <w:b/>
          <w:sz w:val="32"/>
          <w:szCs w:val="32"/>
          <w:u w:val="single"/>
        </w:rPr>
        <w:lastRenderedPageBreak/>
        <w:t>Annexe II </w:t>
      </w:r>
      <w:r w:rsidRPr="006208B8">
        <w:rPr>
          <w:rFonts w:ascii="Arial" w:hAnsi="Arial" w:cs="Arial"/>
          <w:b/>
          <w:sz w:val="32"/>
          <w:szCs w:val="32"/>
        </w:rPr>
        <w:t>:</w:t>
      </w:r>
    </w:p>
    <w:p w14:paraId="64E38C0E" w14:textId="552E8B1F" w:rsidR="005E32DA" w:rsidRPr="009F06B8" w:rsidRDefault="005E32DA" w:rsidP="005E32DA">
      <w:pPr>
        <w:jc w:val="center"/>
        <w:rPr>
          <w:rFonts w:eastAsiaTheme="majorEastAsia"/>
          <w:iCs/>
        </w:rPr>
      </w:pPr>
      <w:r w:rsidRPr="004A7593">
        <w:rPr>
          <w:rFonts w:ascii="Arial" w:eastAsiaTheme="majorEastAsia" w:hAnsi="Arial" w:cs="Arial"/>
          <w:iCs/>
        </w:rPr>
        <w:t>Éléments ayant fait l</w:t>
      </w:r>
      <w:r w:rsidR="00F36C26">
        <w:rPr>
          <w:rFonts w:ascii="Arial" w:eastAsiaTheme="majorEastAsia" w:hAnsi="Arial" w:cs="Arial"/>
          <w:iCs/>
        </w:rPr>
        <w:t>’</w:t>
      </w:r>
      <w:r w:rsidRPr="004A7593">
        <w:rPr>
          <w:rFonts w:ascii="Arial" w:eastAsiaTheme="majorEastAsia" w:hAnsi="Arial" w:cs="Arial"/>
          <w:iCs/>
        </w:rPr>
        <w:t>objet d</w:t>
      </w:r>
      <w:r w:rsidR="00F36C26">
        <w:rPr>
          <w:rFonts w:ascii="Arial" w:eastAsiaTheme="majorEastAsia" w:hAnsi="Arial" w:cs="Arial"/>
          <w:iCs/>
        </w:rPr>
        <w:t>’</w:t>
      </w:r>
      <w:r w:rsidRPr="004A7593">
        <w:rPr>
          <w:rFonts w:ascii="Arial" w:eastAsiaTheme="majorEastAsia" w:hAnsi="Arial" w:cs="Arial"/>
          <w:iCs/>
        </w:rPr>
        <w:t>une correspondance des communautés concernées ou de tierces parties</w:t>
      </w:r>
      <w:r w:rsidR="00EE7BF0">
        <w:rPr>
          <w:rFonts w:ascii="Arial" w:eastAsiaTheme="majorEastAsia" w:hAnsi="Arial" w:cs="Arial"/>
          <w:iCs/>
        </w:rPr>
        <w:t xml:space="preserve"> (décembre 2018 – septembre 2019)</w:t>
      </w:r>
    </w:p>
    <w:p w14:paraId="0880D4FF" w14:textId="77777777" w:rsidR="005E32DA" w:rsidRPr="009F06B8" w:rsidRDefault="005E32DA" w:rsidP="005E32DA">
      <w:pPr>
        <w:rPr>
          <w:rFonts w:eastAsiaTheme="majorEastAsia"/>
          <w:iCs/>
        </w:rPr>
      </w:pPr>
    </w:p>
    <w:tbl>
      <w:tblPr>
        <w:tblStyle w:val="Grilledutableau"/>
        <w:tblW w:w="9072" w:type="dxa"/>
        <w:tblInd w:w="562" w:type="dxa"/>
        <w:tblLook w:val="04A0" w:firstRow="1" w:lastRow="0" w:firstColumn="1" w:lastColumn="0" w:noHBand="0" w:noVBand="1"/>
      </w:tblPr>
      <w:tblGrid>
        <w:gridCol w:w="2031"/>
        <w:gridCol w:w="1366"/>
        <w:gridCol w:w="3021"/>
        <w:gridCol w:w="2654"/>
      </w:tblGrid>
      <w:tr w:rsidR="007F7C62" w14:paraId="773999E6" w14:textId="77777777" w:rsidTr="005E32DA">
        <w:trPr>
          <w:cantSplit/>
        </w:trPr>
        <w:tc>
          <w:tcPr>
            <w:tcW w:w="2031" w:type="dxa"/>
            <w:shd w:val="clear" w:color="auto" w:fill="D9D9D9" w:themeFill="background1" w:themeFillShade="D9"/>
            <w:vAlign w:val="center"/>
          </w:tcPr>
          <w:p w14:paraId="5178014B" w14:textId="77777777" w:rsidR="005E32DA" w:rsidRPr="009F06B8" w:rsidRDefault="005E32DA" w:rsidP="005E32DA">
            <w:pPr>
              <w:jc w:val="center"/>
              <w:rPr>
                <w:rFonts w:ascii="Arial" w:hAnsi="Arial" w:cs="Arial"/>
                <w:b/>
                <w:sz w:val="22"/>
                <w:szCs w:val="22"/>
              </w:rPr>
            </w:pPr>
            <w:r w:rsidRPr="00E83246">
              <w:rPr>
                <w:rFonts w:ascii="Arial" w:hAnsi="Arial" w:cs="Arial"/>
                <w:b/>
                <w:sz w:val="22"/>
                <w:szCs w:val="22"/>
              </w:rPr>
              <w:t xml:space="preserve">Élément </w:t>
            </w:r>
          </w:p>
          <w:p w14:paraId="03D67F1B" w14:textId="759C013F" w:rsidR="005E32DA" w:rsidRPr="009F06B8" w:rsidRDefault="005E32DA" w:rsidP="005E32DA">
            <w:pPr>
              <w:jc w:val="center"/>
              <w:rPr>
                <w:rFonts w:ascii="Arial" w:hAnsi="Arial" w:cs="Arial"/>
                <w:b/>
                <w:sz w:val="22"/>
                <w:szCs w:val="22"/>
              </w:rPr>
            </w:pPr>
            <w:r>
              <w:rPr>
                <w:rFonts w:ascii="Arial" w:hAnsi="Arial" w:cs="Arial"/>
                <w:b/>
                <w:sz w:val="22"/>
                <w:szCs w:val="22"/>
              </w:rPr>
              <w:t>(Liste et année d</w:t>
            </w:r>
            <w:r w:rsidR="00F36C26">
              <w:rPr>
                <w:rFonts w:ascii="Arial" w:hAnsi="Arial" w:cs="Arial"/>
                <w:b/>
                <w:sz w:val="22"/>
                <w:szCs w:val="22"/>
              </w:rPr>
              <w:t>’</w:t>
            </w:r>
            <w:r>
              <w:rPr>
                <w:rFonts w:ascii="Arial" w:hAnsi="Arial" w:cs="Arial"/>
                <w:b/>
                <w:sz w:val="22"/>
                <w:szCs w:val="22"/>
              </w:rPr>
              <w:t>inscription)</w:t>
            </w:r>
          </w:p>
        </w:tc>
        <w:tc>
          <w:tcPr>
            <w:tcW w:w="1366" w:type="dxa"/>
            <w:shd w:val="clear" w:color="auto" w:fill="D9D9D9" w:themeFill="background1" w:themeFillShade="D9"/>
            <w:vAlign w:val="center"/>
          </w:tcPr>
          <w:p w14:paraId="56D6CEA7" w14:textId="77777777" w:rsidR="005E32DA" w:rsidRPr="00744D9A" w:rsidRDefault="005E32DA" w:rsidP="005E32DA">
            <w:pPr>
              <w:jc w:val="center"/>
              <w:rPr>
                <w:rFonts w:ascii="Arial" w:hAnsi="Arial" w:cs="Arial"/>
                <w:b/>
                <w:sz w:val="22"/>
                <w:szCs w:val="22"/>
                <w:lang w:val="en-GB"/>
              </w:rPr>
            </w:pPr>
            <w:r w:rsidRPr="00E83246">
              <w:rPr>
                <w:rFonts w:ascii="Arial" w:hAnsi="Arial" w:cs="Arial"/>
                <w:b/>
                <w:sz w:val="22"/>
                <w:szCs w:val="22"/>
              </w:rPr>
              <w:t>État(s) partie(s)</w:t>
            </w:r>
          </w:p>
        </w:tc>
        <w:tc>
          <w:tcPr>
            <w:tcW w:w="3021" w:type="dxa"/>
            <w:shd w:val="clear" w:color="auto" w:fill="D9D9D9" w:themeFill="background1" w:themeFillShade="D9"/>
            <w:vAlign w:val="center"/>
          </w:tcPr>
          <w:p w14:paraId="09C2BE14" w14:textId="77777777" w:rsidR="005E32DA" w:rsidRPr="00744D9A" w:rsidRDefault="005E32DA" w:rsidP="005E32DA">
            <w:pPr>
              <w:jc w:val="center"/>
              <w:rPr>
                <w:rFonts w:ascii="Arial" w:hAnsi="Arial" w:cs="Arial"/>
                <w:b/>
                <w:sz w:val="22"/>
                <w:szCs w:val="22"/>
                <w:lang w:val="en-GB"/>
              </w:rPr>
            </w:pPr>
            <w:r w:rsidRPr="00744D9A">
              <w:rPr>
                <w:rFonts w:ascii="Arial" w:hAnsi="Arial" w:cs="Arial"/>
                <w:b/>
                <w:sz w:val="22"/>
                <w:szCs w:val="22"/>
              </w:rPr>
              <w:t>Nature des problèmes soulevés</w:t>
            </w:r>
          </w:p>
        </w:tc>
        <w:tc>
          <w:tcPr>
            <w:tcW w:w="2654" w:type="dxa"/>
            <w:shd w:val="clear" w:color="auto" w:fill="D9D9D9" w:themeFill="background1" w:themeFillShade="D9"/>
            <w:vAlign w:val="center"/>
          </w:tcPr>
          <w:p w14:paraId="0F02BDD7" w14:textId="77777777" w:rsidR="005E32DA" w:rsidRPr="009F06B8" w:rsidRDefault="005E32DA" w:rsidP="005E32DA">
            <w:pPr>
              <w:jc w:val="center"/>
              <w:rPr>
                <w:rFonts w:ascii="Arial" w:hAnsi="Arial" w:cs="Arial"/>
                <w:b/>
                <w:sz w:val="22"/>
                <w:szCs w:val="22"/>
              </w:rPr>
            </w:pPr>
            <w:r>
              <w:rPr>
                <w:rFonts w:ascii="Arial" w:hAnsi="Arial" w:cs="Arial"/>
                <w:b/>
                <w:sz w:val="22"/>
                <w:szCs w:val="22"/>
              </w:rPr>
              <w:t>Nombre et type de correspondances reçues</w:t>
            </w:r>
          </w:p>
        </w:tc>
      </w:tr>
      <w:tr w:rsidR="007F7C62" w14:paraId="33430D56" w14:textId="77777777" w:rsidTr="005E32DA">
        <w:trPr>
          <w:cantSplit/>
        </w:trPr>
        <w:tc>
          <w:tcPr>
            <w:tcW w:w="2031" w:type="dxa"/>
          </w:tcPr>
          <w:p w14:paraId="77D2009E" w14:textId="7CE8B7AF" w:rsidR="005E32DA" w:rsidRPr="00744D9A" w:rsidRDefault="005E32DA" w:rsidP="005E32DA">
            <w:pPr>
              <w:spacing w:after="120"/>
              <w:contextualSpacing/>
              <w:rPr>
                <w:rFonts w:ascii="Arial" w:hAnsi="Arial" w:cs="Arial"/>
                <w:sz w:val="22"/>
                <w:szCs w:val="22"/>
                <w:lang w:val="en-GB"/>
              </w:rPr>
            </w:pPr>
            <w:r w:rsidRPr="00744D9A">
              <w:rPr>
                <w:rFonts w:ascii="Arial" w:hAnsi="Arial" w:cs="Arial"/>
                <w:sz w:val="22"/>
                <w:szCs w:val="22"/>
              </w:rPr>
              <w:t>Carnaval d</w:t>
            </w:r>
            <w:r w:rsidR="00F36C26">
              <w:rPr>
                <w:rFonts w:ascii="Arial" w:hAnsi="Arial" w:cs="Arial"/>
                <w:sz w:val="22"/>
                <w:szCs w:val="22"/>
              </w:rPr>
              <w:t>’</w:t>
            </w:r>
            <w:r w:rsidRPr="00744D9A">
              <w:rPr>
                <w:rFonts w:ascii="Arial" w:hAnsi="Arial" w:cs="Arial"/>
                <w:sz w:val="22"/>
                <w:szCs w:val="22"/>
              </w:rPr>
              <w:t>Alost (Liste représentative, 2010)</w:t>
            </w:r>
          </w:p>
        </w:tc>
        <w:tc>
          <w:tcPr>
            <w:tcW w:w="1366" w:type="dxa"/>
          </w:tcPr>
          <w:p w14:paraId="4E6E952C" w14:textId="77777777" w:rsidR="005E32DA" w:rsidRPr="00744D9A" w:rsidRDefault="005E32DA" w:rsidP="005E32DA">
            <w:pPr>
              <w:spacing w:after="120"/>
              <w:contextualSpacing/>
              <w:rPr>
                <w:rFonts w:ascii="Arial" w:hAnsi="Arial" w:cs="Arial"/>
                <w:sz w:val="22"/>
                <w:szCs w:val="22"/>
                <w:lang w:val="en-GB"/>
              </w:rPr>
            </w:pPr>
            <w:r w:rsidRPr="00E83246">
              <w:rPr>
                <w:rFonts w:ascii="Arial" w:hAnsi="Arial" w:cs="Arial"/>
                <w:sz w:val="22"/>
                <w:szCs w:val="22"/>
              </w:rPr>
              <w:t>Belgique</w:t>
            </w:r>
          </w:p>
        </w:tc>
        <w:tc>
          <w:tcPr>
            <w:tcW w:w="3021" w:type="dxa"/>
          </w:tcPr>
          <w:p w14:paraId="035DA8DB" w14:textId="77777777" w:rsidR="005E32DA" w:rsidRPr="009F06B8" w:rsidRDefault="005E32DA" w:rsidP="005E32DA">
            <w:pPr>
              <w:spacing w:after="120"/>
              <w:contextualSpacing/>
              <w:rPr>
                <w:rFonts w:ascii="Arial" w:hAnsi="Arial" w:cs="Arial"/>
                <w:sz w:val="22"/>
                <w:szCs w:val="22"/>
              </w:rPr>
            </w:pPr>
            <w:r w:rsidRPr="00744D9A">
              <w:rPr>
                <w:rFonts w:ascii="Arial" w:hAnsi="Arial" w:cs="Arial"/>
                <w:sz w:val="22"/>
                <w:szCs w:val="22"/>
              </w:rPr>
              <w:t>Problèmes afférents aux exigences de respect mutuel au sein des communautés (racisme, xénophobie, discrimination)</w:t>
            </w:r>
          </w:p>
        </w:tc>
        <w:tc>
          <w:tcPr>
            <w:tcW w:w="2654" w:type="dxa"/>
          </w:tcPr>
          <w:p w14:paraId="3B23944E" w14:textId="77777777" w:rsidR="005E32DA" w:rsidRPr="009F06B8" w:rsidRDefault="005E32DA" w:rsidP="00053F65">
            <w:pPr>
              <w:pStyle w:val="Paragraphedeliste"/>
              <w:numPr>
                <w:ilvl w:val="0"/>
                <w:numId w:val="9"/>
              </w:numPr>
              <w:spacing w:after="120"/>
              <w:ind w:left="316"/>
              <w:rPr>
                <w:rFonts w:ascii="Arial" w:hAnsi="Arial" w:cs="Arial"/>
                <w:sz w:val="22"/>
                <w:szCs w:val="22"/>
              </w:rPr>
            </w:pPr>
            <w:r>
              <w:rPr>
                <w:rFonts w:ascii="Arial" w:hAnsi="Arial" w:cs="Arial"/>
                <w:sz w:val="22"/>
                <w:szCs w:val="22"/>
              </w:rPr>
              <w:t>21 lettres/courriers électroniques et une pétition en ligne ayant recueilli 19 000 signatures (société civile, individus (au sein de la communauté et en dehors))</w:t>
            </w:r>
          </w:p>
          <w:p w14:paraId="5EFD3765" w14:textId="32B0AAB3" w:rsidR="005E32DA" w:rsidRPr="00FC29EB" w:rsidRDefault="005E32DA" w:rsidP="00CB69D9">
            <w:pPr>
              <w:pStyle w:val="Paragraphedeliste"/>
              <w:numPr>
                <w:ilvl w:val="0"/>
                <w:numId w:val="9"/>
              </w:numPr>
              <w:spacing w:after="120"/>
              <w:ind w:left="316"/>
              <w:rPr>
                <w:rFonts w:ascii="Arial" w:hAnsi="Arial" w:cs="Arial"/>
                <w:sz w:val="22"/>
                <w:szCs w:val="22"/>
                <w:lang w:val="en-GB"/>
              </w:rPr>
            </w:pPr>
            <w:r w:rsidRPr="004C1DBE">
              <w:rPr>
                <w:rFonts w:ascii="Arial" w:hAnsi="Arial" w:cs="Arial"/>
                <w:sz w:val="22"/>
                <w:szCs w:val="22"/>
              </w:rPr>
              <w:t xml:space="preserve">Plusieurs </w:t>
            </w:r>
            <w:r w:rsidR="009C5CB0" w:rsidRPr="004C1DBE">
              <w:rPr>
                <w:rFonts w:ascii="Arial" w:hAnsi="Arial" w:cs="Arial"/>
                <w:sz w:val="22"/>
                <w:szCs w:val="22"/>
              </w:rPr>
              <w:t>r</w:t>
            </w:r>
            <w:r w:rsidR="004618C3" w:rsidRPr="00CB69D9">
              <w:rPr>
                <w:rFonts w:ascii="Arial" w:hAnsi="Arial" w:cs="Arial"/>
                <w:sz w:val="22"/>
                <w:szCs w:val="22"/>
              </w:rPr>
              <w:t>apports</w:t>
            </w:r>
            <w:r w:rsidRPr="004C1DBE">
              <w:rPr>
                <w:rFonts w:ascii="Arial" w:hAnsi="Arial" w:cs="Arial"/>
                <w:sz w:val="22"/>
                <w:szCs w:val="22"/>
              </w:rPr>
              <w:t xml:space="preserve"> </w:t>
            </w:r>
            <w:r w:rsidR="004618C3" w:rsidRPr="004C1DBE">
              <w:rPr>
                <w:rFonts w:ascii="Arial" w:hAnsi="Arial" w:cs="Arial"/>
                <w:sz w:val="22"/>
                <w:szCs w:val="22"/>
              </w:rPr>
              <w:t>de</w:t>
            </w:r>
            <w:r w:rsidR="004618C3">
              <w:rPr>
                <w:rFonts w:ascii="Arial" w:hAnsi="Arial" w:cs="Arial"/>
                <w:sz w:val="22"/>
                <w:szCs w:val="22"/>
              </w:rPr>
              <w:t xml:space="preserve"> médias</w:t>
            </w:r>
          </w:p>
        </w:tc>
      </w:tr>
      <w:tr w:rsidR="007F7C62" w14:paraId="17A30430" w14:textId="77777777" w:rsidTr="005E32DA">
        <w:trPr>
          <w:cantSplit/>
        </w:trPr>
        <w:tc>
          <w:tcPr>
            <w:tcW w:w="2031" w:type="dxa"/>
          </w:tcPr>
          <w:p w14:paraId="2E636872" w14:textId="3E916D4B" w:rsidR="005E32DA" w:rsidRPr="009F06B8" w:rsidRDefault="005E32DA">
            <w:pPr>
              <w:spacing w:after="120"/>
              <w:contextualSpacing/>
              <w:rPr>
                <w:rFonts w:ascii="Arial" w:hAnsi="Arial" w:cs="Arial"/>
                <w:sz w:val="22"/>
                <w:szCs w:val="22"/>
              </w:rPr>
            </w:pPr>
            <w:r w:rsidRPr="00744D9A">
              <w:rPr>
                <w:rFonts w:ascii="Arial" w:hAnsi="Arial" w:cs="Arial"/>
                <w:sz w:val="22"/>
                <w:szCs w:val="22"/>
              </w:rPr>
              <w:t xml:space="preserve">Les géants et dragons processionnels de Belgique et de France (Liste représentative, </w:t>
            </w:r>
            <w:r w:rsidR="00A06A1B" w:rsidRPr="00744D9A">
              <w:rPr>
                <w:rFonts w:ascii="Arial" w:hAnsi="Arial" w:cs="Arial"/>
                <w:sz w:val="22"/>
                <w:szCs w:val="22"/>
              </w:rPr>
              <w:t>200</w:t>
            </w:r>
            <w:r w:rsidR="00A06A1B">
              <w:rPr>
                <w:rFonts w:ascii="Arial" w:hAnsi="Arial" w:cs="Arial"/>
                <w:sz w:val="22"/>
                <w:szCs w:val="22"/>
              </w:rPr>
              <w:t>8</w:t>
            </w:r>
            <w:r w:rsidRPr="00744D9A">
              <w:rPr>
                <w:rFonts w:ascii="Arial" w:hAnsi="Arial" w:cs="Arial"/>
                <w:sz w:val="22"/>
                <w:szCs w:val="22"/>
              </w:rPr>
              <w:t>)</w:t>
            </w:r>
          </w:p>
        </w:tc>
        <w:tc>
          <w:tcPr>
            <w:tcW w:w="1366" w:type="dxa"/>
          </w:tcPr>
          <w:p w14:paraId="36AAACD7" w14:textId="77777777" w:rsidR="005E32DA" w:rsidRPr="009F06B8" w:rsidRDefault="005E32DA" w:rsidP="005E32DA">
            <w:pPr>
              <w:spacing w:after="120"/>
              <w:contextualSpacing/>
              <w:rPr>
                <w:rFonts w:ascii="Arial" w:hAnsi="Arial" w:cs="Arial"/>
                <w:sz w:val="22"/>
                <w:szCs w:val="22"/>
              </w:rPr>
            </w:pPr>
            <w:r w:rsidRPr="00E83246">
              <w:rPr>
                <w:rFonts w:ascii="Arial" w:hAnsi="Arial" w:cs="Arial"/>
                <w:sz w:val="22"/>
                <w:szCs w:val="22"/>
              </w:rPr>
              <w:t>Belgique et France</w:t>
            </w:r>
          </w:p>
          <w:p w14:paraId="4CB57C43" w14:textId="77777777" w:rsidR="005E32DA" w:rsidRPr="009F06B8" w:rsidRDefault="005E32DA" w:rsidP="005E32DA">
            <w:pPr>
              <w:spacing w:after="120"/>
              <w:contextualSpacing/>
              <w:rPr>
                <w:rFonts w:ascii="Arial" w:hAnsi="Arial" w:cs="Arial"/>
                <w:sz w:val="22"/>
                <w:szCs w:val="22"/>
              </w:rPr>
            </w:pPr>
            <w:r>
              <w:rPr>
                <w:rFonts w:ascii="Arial" w:hAnsi="Arial" w:cs="Arial"/>
                <w:sz w:val="22"/>
                <w:szCs w:val="22"/>
              </w:rPr>
              <w:t>(</w:t>
            </w:r>
            <w:r w:rsidR="009C5CB0">
              <w:rPr>
                <w:rFonts w:ascii="Arial" w:hAnsi="Arial" w:cs="Arial"/>
                <w:sz w:val="22"/>
                <w:szCs w:val="22"/>
              </w:rPr>
              <w:t>la</w:t>
            </w:r>
            <w:r>
              <w:rPr>
                <w:rFonts w:ascii="Arial" w:hAnsi="Arial" w:cs="Arial"/>
                <w:sz w:val="22"/>
                <w:szCs w:val="22"/>
              </w:rPr>
              <w:t xml:space="preserve"> plainte concernait uniquement </w:t>
            </w:r>
            <w:r w:rsidR="009C5CB0">
              <w:rPr>
                <w:rFonts w:ascii="Arial" w:hAnsi="Arial" w:cs="Arial"/>
                <w:sz w:val="22"/>
                <w:szCs w:val="22"/>
              </w:rPr>
              <w:t>une</w:t>
            </w:r>
            <w:r>
              <w:rPr>
                <w:rFonts w:ascii="Arial" w:hAnsi="Arial" w:cs="Arial"/>
                <w:sz w:val="22"/>
                <w:szCs w:val="22"/>
              </w:rPr>
              <w:t xml:space="preserve"> procession en Belgique)</w:t>
            </w:r>
          </w:p>
        </w:tc>
        <w:tc>
          <w:tcPr>
            <w:tcW w:w="3021" w:type="dxa"/>
          </w:tcPr>
          <w:p w14:paraId="696CED1B" w14:textId="77777777" w:rsidR="005E32DA" w:rsidRPr="009F06B8" w:rsidRDefault="005E32DA" w:rsidP="005E32DA">
            <w:pPr>
              <w:spacing w:after="120"/>
              <w:contextualSpacing/>
              <w:rPr>
                <w:rFonts w:ascii="Arial" w:hAnsi="Arial" w:cs="Arial"/>
                <w:sz w:val="22"/>
                <w:szCs w:val="22"/>
              </w:rPr>
            </w:pPr>
            <w:r w:rsidRPr="00744D9A">
              <w:rPr>
                <w:rFonts w:ascii="Arial" w:hAnsi="Arial" w:cs="Arial"/>
                <w:sz w:val="22"/>
                <w:szCs w:val="22"/>
              </w:rPr>
              <w:t>Problèmes afférents aux exigences de respect mutuel au sein des communautés (racisme, xénophobie, discrimination)</w:t>
            </w:r>
          </w:p>
        </w:tc>
        <w:tc>
          <w:tcPr>
            <w:tcW w:w="2654" w:type="dxa"/>
          </w:tcPr>
          <w:p w14:paraId="12D10BB0" w14:textId="77777777" w:rsidR="005E32DA" w:rsidRPr="004B70D7" w:rsidRDefault="005E32DA" w:rsidP="00053F65">
            <w:pPr>
              <w:pStyle w:val="Paragraphedeliste"/>
              <w:numPr>
                <w:ilvl w:val="0"/>
                <w:numId w:val="9"/>
              </w:numPr>
              <w:spacing w:after="120"/>
              <w:ind w:left="316"/>
              <w:rPr>
                <w:rFonts w:ascii="Arial" w:hAnsi="Arial" w:cs="Arial"/>
                <w:sz w:val="22"/>
                <w:szCs w:val="22"/>
                <w:lang w:val="en-GB"/>
              </w:rPr>
            </w:pPr>
            <w:r w:rsidRPr="004B70D7">
              <w:rPr>
                <w:rFonts w:ascii="Arial" w:hAnsi="Arial" w:cs="Arial"/>
                <w:sz w:val="22"/>
                <w:szCs w:val="22"/>
              </w:rPr>
              <w:t>Une lettre (société civile)</w:t>
            </w:r>
          </w:p>
          <w:p w14:paraId="78BA2178" w14:textId="315941AE" w:rsidR="005E32DA" w:rsidRPr="00CB69D9" w:rsidRDefault="005E32DA" w:rsidP="00CB69D9">
            <w:pPr>
              <w:pStyle w:val="Paragraphedeliste"/>
              <w:numPr>
                <w:ilvl w:val="0"/>
                <w:numId w:val="9"/>
              </w:numPr>
              <w:spacing w:after="120"/>
              <w:ind w:left="316"/>
              <w:rPr>
                <w:rFonts w:ascii="Arial" w:hAnsi="Arial" w:cs="Arial"/>
                <w:sz w:val="22"/>
                <w:szCs w:val="22"/>
              </w:rPr>
            </w:pPr>
            <w:r w:rsidRPr="004B70D7">
              <w:rPr>
                <w:rFonts w:ascii="Arial" w:hAnsi="Arial" w:cs="Arial"/>
                <w:sz w:val="22"/>
                <w:szCs w:val="22"/>
              </w:rPr>
              <w:t xml:space="preserve">Plusieurs </w:t>
            </w:r>
            <w:r w:rsidR="004618C3" w:rsidRPr="004C1DBE">
              <w:rPr>
                <w:rFonts w:ascii="Arial" w:hAnsi="Arial" w:cs="Arial"/>
                <w:sz w:val="22"/>
                <w:szCs w:val="22"/>
              </w:rPr>
              <w:t>rapports</w:t>
            </w:r>
            <w:r w:rsidR="004C1DBE">
              <w:rPr>
                <w:rFonts w:ascii="Arial" w:hAnsi="Arial" w:cs="Arial"/>
                <w:sz w:val="22"/>
                <w:szCs w:val="22"/>
              </w:rPr>
              <w:t xml:space="preserve"> de mé</w:t>
            </w:r>
            <w:r w:rsidR="004618C3" w:rsidRPr="004C1DBE">
              <w:rPr>
                <w:rFonts w:ascii="Arial" w:hAnsi="Arial" w:cs="Arial"/>
                <w:sz w:val="22"/>
                <w:szCs w:val="22"/>
              </w:rPr>
              <w:t>dias</w:t>
            </w:r>
            <w:r w:rsidR="004618C3" w:rsidRPr="004B70D7">
              <w:rPr>
                <w:rFonts w:ascii="Arial" w:hAnsi="Arial" w:cs="Arial"/>
                <w:sz w:val="22"/>
                <w:szCs w:val="22"/>
              </w:rPr>
              <w:t xml:space="preserve"> </w:t>
            </w:r>
          </w:p>
        </w:tc>
      </w:tr>
      <w:tr w:rsidR="007F7C62" w14:paraId="13976E8E" w14:textId="77777777" w:rsidTr="005E32DA">
        <w:trPr>
          <w:cantSplit/>
        </w:trPr>
        <w:tc>
          <w:tcPr>
            <w:tcW w:w="2031" w:type="dxa"/>
            <w:shd w:val="clear" w:color="auto" w:fill="auto"/>
          </w:tcPr>
          <w:p w14:paraId="63E46832" w14:textId="77777777" w:rsidR="005E32DA" w:rsidRPr="009F06B8" w:rsidRDefault="005E32DA" w:rsidP="005E32DA">
            <w:pPr>
              <w:spacing w:after="120"/>
              <w:contextualSpacing/>
              <w:rPr>
                <w:rFonts w:ascii="Arial" w:hAnsi="Arial" w:cs="Arial"/>
                <w:sz w:val="22"/>
                <w:szCs w:val="22"/>
              </w:rPr>
            </w:pPr>
            <w:r w:rsidRPr="00744D9A">
              <w:rPr>
                <w:rFonts w:ascii="Arial" w:hAnsi="Arial" w:cs="Arial"/>
                <w:sz w:val="22"/>
                <w:szCs w:val="22"/>
              </w:rPr>
              <w:t xml:space="preserve">Le chant accompagné au </w:t>
            </w:r>
            <w:proofErr w:type="spellStart"/>
            <w:r w:rsidRPr="00744D9A">
              <w:rPr>
                <w:rFonts w:ascii="Arial" w:hAnsi="Arial" w:cs="Arial"/>
                <w:sz w:val="22"/>
                <w:szCs w:val="22"/>
              </w:rPr>
              <w:t>gusle</w:t>
            </w:r>
            <w:proofErr w:type="spellEnd"/>
            <w:r w:rsidRPr="00744D9A">
              <w:rPr>
                <w:rFonts w:ascii="Arial" w:hAnsi="Arial" w:cs="Arial"/>
                <w:sz w:val="22"/>
                <w:szCs w:val="22"/>
              </w:rPr>
              <w:t xml:space="preserve"> (Liste représentative, 2018)</w:t>
            </w:r>
          </w:p>
        </w:tc>
        <w:tc>
          <w:tcPr>
            <w:tcW w:w="1366" w:type="dxa"/>
          </w:tcPr>
          <w:p w14:paraId="4C7E404C" w14:textId="77777777" w:rsidR="005E32DA" w:rsidRPr="00E83246" w:rsidRDefault="005E32DA" w:rsidP="005E32DA">
            <w:pPr>
              <w:spacing w:after="120"/>
              <w:contextualSpacing/>
              <w:rPr>
                <w:rFonts w:ascii="Arial" w:hAnsi="Arial" w:cs="Arial"/>
                <w:sz w:val="22"/>
                <w:szCs w:val="22"/>
                <w:lang w:val="en-GB"/>
              </w:rPr>
            </w:pPr>
            <w:r w:rsidRPr="00E83246">
              <w:rPr>
                <w:rFonts w:ascii="Arial" w:hAnsi="Arial" w:cs="Arial"/>
                <w:sz w:val="22"/>
                <w:szCs w:val="22"/>
              </w:rPr>
              <w:t>Serbie</w:t>
            </w:r>
          </w:p>
        </w:tc>
        <w:tc>
          <w:tcPr>
            <w:tcW w:w="3021" w:type="dxa"/>
          </w:tcPr>
          <w:p w14:paraId="2275804C" w14:textId="5ABD78AE" w:rsidR="005E32DA" w:rsidRPr="00194648" w:rsidRDefault="005E32DA" w:rsidP="005E32DA">
            <w:pPr>
              <w:spacing w:after="120"/>
              <w:contextualSpacing/>
              <w:rPr>
                <w:rFonts w:ascii="Arial" w:hAnsi="Arial" w:cs="Arial"/>
                <w:sz w:val="22"/>
                <w:szCs w:val="22"/>
              </w:rPr>
            </w:pPr>
            <w:r w:rsidRPr="00E83246">
              <w:rPr>
                <w:rFonts w:ascii="Arial" w:hAnsi="Arial" w:cs="Arial"/>
                <w:sz w:val="22"/>
                <w:szCs w:val="22"/>
              </w:rPr>
              <w:t>Inquiétudes relatives à l</w:t>
            </w:r>
            <w:r w:rsidR="00F36C26">
              <w:rPr>
                <w:rFonts w:ascii="Arial" w:hAnsi="Arial" w:cs="Arial"/>
                <w:sz w:val="22"/>
                <w:szCs w:val="22"/>
              </w:rPr>
              <w:t>’</w:t>
            </w:r>
            <w:r w:rsidRPr="00E83246">
              <w:rPr>
                <w:rFonts w:ascii="Arial" w:hAnsi="Arial" w:cs="Arial"/>
                <w:sz w:val="22"/>
                <w:szCs w:val="22"/>
              </w:rPr>
              <w:t>appropriation d</w:t>
            </w:r>
            <w:r w:rsidR="00F36C26">
              <w:rPr>
                <w:rFonts w:ascii="Arial" w:hAnsi="Arial" w:cs="Arial"/>
                <w:sz w:val="22"/>
                <w:szCs w:val="22"/>
              </w:rPr>
              <w:t>’</w:t>
            </w:r>
            <w:r w:rsidRPr="00E83246">
              <w:rPr>
                <w:rFonts w:ascii="Arial" w:hAnsi="Arial" w:cs="Arial"/>
                <w:sz w:val="22"/>
                <w:szCs w:val="22"/>
              </w:rPr>
              <w:t>un élément due à la pratique d</w:t>
            </w:r>
            <w:r w:rsidR="00F36C26">
              <w:rPr>
                <w:rFonts w:ascii="Arial" w:hAnsi="Arial" w:cs="Arial"/>
                <w:sz w:val="22"/>
                <w:szCs w:val="22"/>
              </w:rPr>
              <w:t>’</w:t>
            </w:r>
            <w:r w:rsidRPr="00E83246">
              <w:rPr>
                <w:rFonts w:ascii="Arial" w:hAnsi="Arial" w:cs="Arial"/>
                <w:sz w:val="22"/>
                <w:szCs w:val="22"/>
              </w:rPr>
              <w:t xml:space="preserve">un art du spectacle identique dans un autre pays </w:t>
            </w:r>
          </w:p>
        </w:tc>
        <w:tc>
          <w:tcPr>
            <w:tcW w:w="2654" w:type="dxa"/>
          </w:tcPr>
          <w:p w14:paraId="10C7B18A" w14:textId="31CB983C" w:rsidR="005E32DA" w:rsidRPr="004C1DBE" w:rsidRDefault="005E32DA" w:rsidP="00053F65">
            <w:pPr>
              <w:pStyle w:val="Paragraphedeliste"/>
              <w:numPr>
                <w:ilvl w:val="0"/>
                <w:numId w:val="9"/>
              </w:numPr>
              <w:spacing w:after="120"/>
              <w:ind w:left="316"/>
              <w:rPr>
                <w:rFonts w:ascii="Arial" w:hAnsi="Arial" w:cs="Arial"/>
                <w:sz w:val="22"/>
                <w:szCs w:val="22"/>
                <w:lang w:val="en-GB"/>
              </w:rPr>
            </w:pPr>
            <w:r w:rsidRPr="004B70D7">
              <w:rPr>
                <w:rFonts w:ascii="Arial" w:hAnsi="Arial" w:cs="Arial"/>
                <w:sz w:val="22"/>
                <w:szCs w:val="22"/>
              </w:rPr>
              <w:t>Une lettre (</w:t>
            </w:r>
            <w:r w:rsidR="006F6EBD" w:rsidRPr="004B70D7">
              <w:rPr>
                <w:rFonts w:ascii="Arial" w:hAnsi="Arial" w:cs="Arial"/>
                <w:sz w:val="22"/>
                <w:szCs w:val="22"/>
              </w:rPr>
              <w:t>université</w:t>
            </w:r>
            <w:r w:rsidRPr="004B70D7">
              <w:rPr>
                <w:rFonts w:ascii="Arial" w:hAnsi="Arial" w:cs="Arial"/>
                <w:sz w:val="22"/>
                <w:szCs w:val="22"/>
              </w:rPr>
              <w:t>)</w:t>
            </w:r>
          </w:p>
          <w:p w14:paraId="57F2AB03" w14:textId="77777777" w:rsidR="005E32DA" w:rsidRPr="004C1DBE" w:rsidRDefault="005E32DA" w:rsidP="005E32DA">
            <w:pPr>
              <w:spacing w:after="120"/>
              <w:contextualSpacing/>
              <w:rPr>
                <w:rFonts w:ascii="Arial" w:hAnsi="Arial" w:cs="Arial"/>
                <w:sz w:val="22"/>
                <w:szCs w:val="22"/>
                <w:lang w:val="en-GB"/>
              </w:rPr>
            </w:pPr>
          </w:p>
        </w:tc>
      </w:tr>
      <w:tr w:rsidR="007F7C62" w14:paraId="2BCA37E5" w14:textId="77777777" w:rsidTr="005E32DA">
        <w:trPr>
          <w:cantSplit/>
        </w:trPr>
        <w:tc>
          <w:tcPr>
            <w:tcW w:w="2031" w:type="dxa"/>
            <w:shd w:val="clear" w:color="auto" w:fill="auto"/>
          </w:tcPr>
          <w:p w14:paraId="3378F69C" w14:textId="77777777" w:rsidR="005E32DA" w:rsidRPr="00CB69D9" w:rsidRDefault="005E32DA" w:rsidP="005E32DA">
            <w:pPr>
              <w:spacing w:after="120"/>
              <w:contextualSpacing/>
              <w:rPr>
                <w:rFonts w:ascii="Arial" w:hAnsi="Arial" w:cs="Arial"/>
                <w:sz w:val="22"/>
                <w:szCs w:val="22"/>
              </w:rPr>
            </w:pPr>
            <w:r w:rsidRPr="00744D9A">
              <w:rPr>
                <w:rFonts w:ascii="Arial" w:hAnsi="Arial" w:cs="Arial"/>
                <w:sz w:val="22"/>
                <w:szCs w:val="22"/>
              </w:rPr>
              <w:t xml:space="preserve">La fête des </w:t>
            </w:r>
            <w:proofErr w:type="spellStart"/>
            <w:r w:rsidRPr="00744D9A">
              <w:rPr>
                <w:rFonts w:ascii="Arial" w:hAnsi="Arial" w:cs="Arial"/>
                <w:sz w:val="22"/>
                <w:szCs w:val="22"/>
              </w:rPr>
              <w:t>Fallas</w:t>
            </w:r>
            <w:proofErr w:type="spellEnd"/>
            <w:r w:rsidRPr="00744D9A">
              <w:rPr>
                <w:rFonts w:ascii="Arial" w:hAnsi="Arial" w:cs="Arial"/>
                <w:sz w:val="22"/>
                <w:szCs w:val="22"/>
              </w:rPr>
              <w:t xml:space="preserve"> valenciennes</w:t>
            </w:r>
          </w:p>
          <w:p w14:paraId="42997AEA" w14:textId="77777777" w:rsidR="005E32DA" w:rsidRPr="00CB69D9" w:rsidRDefault="009C5CB0" w:rsidP="005E32DA">
            <w:pPr>
              <w:spacing w:after="120"/>
              <w:contextualSpacing/>
              <w:rPr>
                <w:rFonts w:ascii="Arial" w:hAnsi="Arial" w:cs="Arial"/>
                <w:sz w:val="22"/>
                <w:szCs w:val="22"/>
              </w:rPr>
            </w:pPr>
            <w:r>
              <w:rPr>
                <w:rFonts w:ascii="Arial" w:hAnsi="Arial" w:cs="Arial"/>
                <w:sz w:val="22"/>
                <w:szCs w:val="22"/>
              </w:rPr>
              <w:t>(</w:t>
            </w:r>
            <w:r w:rsidR="005E32DA">
              <w:rPr>
                <w:rFonts w:ascii="Arial" w:hAnsi="Arial" w:cs="Arial"/>
                <w:sz w:val="22"/>
                <w:szCs w:val="22"/>
              </w:rPr>
              <w:t>Liste représentative</w:t>
            </w:r>
            <w:r>
              <w:rPr>
                <w:rFonts w:ascii="Arial" w:hAnsi="Arial" w:cs="Arial"/>
                <w:sz w:val="22"/>
                <w:szCs w:val="22"/>
              </w:rPr>
              <w:t xml:space="preserve">, </w:t>
            </w:r>
            <w:r w:rsidR="005E32DA">
              <w:rPr>
                <w:rFonts w:ascii="Arial" w:hAnsi="Arial" w:cs="Arial"/>
                <w:sz w:val="22"/>
                <w:szCs w:val="22"/>
              </w:rPr>
              <w:t>2016)</w:t>
            </w:r>
          </w:p>
        </w:tc>
        <w:tc>
          <w:tcPr>
            <w:tcW w:w="1366" w:type="dxa"/>
          </w:tcPr>
          <w:p w14:paraId="150D3E59" w14:textId="77777777" w:rsidR="005E32DA" w:rsidRPr="00744D9A" w:rsidRDefault="005E32DA" w:rsidP="005E32DA">
            <w:pPr>
              <w:spacing w:after="120"/>
              <w:contextualSpacing/>
              <w:rPr>
                <w:rFonts w:ascii="Arial" w:hAnsi="Arial" w:cs="Arial"/>
                <w:sz w:val="22"/>
                <w:szCs w:val="22"/>
                <w:lang w:val="en-GB"/>
              </w:rPr>
            </w:pPr>
            <w:r w:rsidRPr="00E83246">
              <w:rPr>
                <w:rFonts w:ascii="Arial" w:hAnsi="Arial" w:cs="Arial"/>
                <w:sz w:val="22"/>
                <w:szCs w:val="22"/>
              </w:rPr>
              <w:t>Espagne</w:t>
            </w:r>
          </w:p>
        </w:tc>
        <w:tc>
          <w:tcPr>
            <w:tcW w:w="3021" w:type="dxa"/>
          </w:tcPr>
          <w:p w14:paraId="381D9FEB" w14:textId="77777777" w:rsidR="005E32DA" w:rsidRPr="00194648" w:rsidRDefault="005E32DA" w:rsidP="005E32DA">
            <w:pPr>
              <w:spacing w:after="120"/>
              <w:contextualSpacing/>
              <w:rPr>
                <w:rFonts w:ascii="Arial" w:hAnsi="Arial" w:cs="Arial"/>
                <w:sz w:val="22"/>
                <w:szCs w:val="22"/>
              </w:rPr>
            </w:pPr>
            <w:r w:rsidRPr="00744D9A">
              <w:rPr>
                <w:rFonts w:ascii="Arial" w:hAnsi="Arial" w:cs="Arial"/>
                <w:sz w:val="22"/>
                <w:szCs w:val="22"/>
              </w:rPr>
              <w:t xml:space="preserve">Préoccupations environnementales liées à la crémation de </w:t>
            </w:r>
            <w:r w:rsidR="009C5CB0">
              <w:rPr>
                <w:rFonts w:ascii="Arial" w:hAnsi="Arial" w:cs="Arial"/>
                <w:sz w:val="22"/>
                <w:szCs w:val="22"/>
              </w:rPr>
              <w:t xml:space="preserve">grandes quantités </w:t>
            </w:r>
            <w:r w:rsidRPr="00744D9A">
              <w:rPr>
                <w:rFonts w:ascii="Arial" w:hAnsi="Arial" w:cs="Arial"/>
                <w:sz w:val="22"/>
                <w:szCs w:val="22"/>
              </w:rPr>
              <w:t xml:space="preserve">de polystyrène et de mousses de polyuréthane </w:t>
            </w:r>
          </w:p>
        </w:tc>
        <w:tc>
          <w:tcPr>
            <w:tcW w:w="2654" w:type="dxa"/>
          </w:tcPr>
          <w:p w14:paraId="638CCE10" w14:textId="77777777" w:rsidR="005E32DA" w:rsidRPr="00194648" w:rsidRDefault="005E32DA" w:rsidP="00053F65">
            <w:pPr>
              <w:pStyle w:val="Paragraphedeliste"/>
              <w:numPr>
                <w:ilvl w:val="0"/>
                <w:numId w:val="9"/>
              </w:numPr>
              <w:spacing w:after="120"/>
              <w:ind w:left="316"/>
              <w:rPr>
                <w:rFonts w:ascii="Arial" w:hAnsi="Arial" w:cs="Arial"/>
                <w:sz w:val="22"/>
                <w:szCs w:val="22"/>
              </w:rPr>
            </w:pPr>
            <w:r>
              <w:rPr>
                <w:rFonts w:ascii="Arial" w:hAnsi="Arial" w:cs="Arial"/>
                <w:sz w:val="22"/>
                <w:szCs w:val="22"/>
              </w:rPr>
              <w:t>Trois courriers électroniques (individus externes à la communauté)</w:t>
            </w:r>
          </w:p>
        </w:tc>
      </w:tr>
    </w:tbl>
    <w:p w14:paraId="07CF1E3E" w14:textId="77777777" w:rsidR="005E32DA" w:rsidRPr="00194648" w:rsidRDefault="005E32DA">
      <w:pPr>
        <w:pStyle w:val="COMParaDecision"/>
        <w:spacing w:after="360"/>
        <w:jc w:val="center"/>
        <w:rPr>
          <w:b/>
          <w:sz w:val="24"/>
          <w:lang w:val="fr-FR"/>
        </w:rPr>
        <w:sectPr w:rsidR="005E32DA" w:rsidRPr="00194648" w:rsidSect="005E32DA">
          <w:headerReference w:type="first" r:id="rId25"/>
          <w:pgSz w:w="11906" w:h="16838" w:code="9"/>
          <w:pgMar w:top="1418" w:right="1134" w:bottom="1134" w:left="1134" w:header="397" w:footer="284" w:gutter="0"/>
          <w:cols w:space="708"/>
          <w:titlePg/>
          <w:docGrid w:linePitch="360"/>
        </w:sectPr>
      </w:pPr>
    </w:p>
    <w:p w14:paraId="2FC7E007" w14:textId="77777777" w:rsidR="005E32DA" w:rsidRPr="00194648" w:rsidRDefault="005E32DA" w:rsidP="005E32DA">
      <w:pPr>
        <w:pStyle w:val="COMParaDecision"/>
        <w:spacing w:after="0"/>
        <w:jc w:val="center"/>
        <w:rPr>
          <w:rFonts w:eastAsia="Times New Roman"/>
          <w:b/>
          <w:sz w:val="32"/>
          <w:szCs w:val="32"/>
          <w:lang w:val="fr-FR"/>
        </w:rPr>
      </w:pPr>
      <w:r w:rsidRPr="006208B8">
        <w:rPr>
          <w:b/>
          <w:sz w:val="32"/>
          <w:szCs w:val="32"/>
          <w:lang w:val="fr-FR"/>
        </w:rPr>
        <w:lastRenderedPageBreak/>
        <w:t xml:space="preserve">Annexe III </w:t>
      </w:r>
    </w:p>
    <w:p w14:paraId="21EA4C87" w14:textId="77777777" w:rsidR="005E32DA" w:rsidRPr="00194648" w:rsidRDefault="005E32DA" w:rsidP="005E32DA">
      <w:pPr>
        <w:jc w:val="center"/>
        <w:rPr>
          <w:rFonts w:ascii="Arial" w:eastAsiaTheme="majorEastAsia" w:hAnsi="Arial" w:cs="Arial"/>
          <w:iCs/>
        </w:rPr>
      </w:pPr>
      <w:r w:rsidRPr="004A7593">
        <w:rPr>
          <w:rFonts w:ascii="Arial" w:eastAsiaTheme="majorEastAsia" w:hAnsi="Arial" w:cs="Arial"/>
          <w:iCs/>
        </w:rPr>
        <w:t xml:space="preserve">Amendements </w:t>
      </w:r>
      <w:r w:rsidR="009C5CB0">
        <w:rPr>
          <w:rFonts w:ascii="Arial" w:eastAsiaTheme="majorEastAsia" w:hAnsi="Arial" w:cs="Arial"/>
          <w:iCs/>
        </w:rPr>
        <w:t>aux</w:t>
      </w:r>
      <w:r w:rsidRPr="004A7593">
        <w:rPr>
          <w:rFonts w:ascii="Arial" w:eastAsiaTheme="majorEastAsia" w:hAnsi="Arial" w:cs="Arial"/>
          <w:iCs/>
        </w:rPr>
        <w:t xml:space="preserve"> Directives opérationnelles</w:t>
      </w:r>
      <w:r w:rsidR="009C5CB0">
        <w:rPr>
          <w:rFonts w:ascii="Arial" w:eastAsiaTheme="majorEastAsia" w:hAnsi="Arial" w:cs="Arial"/>
          <w:iCs/>
        </w:rPr>
        <w:t xml:space="preserve"> proposés</w:t>
      </w:r>
    </w:p>
    <w:p w14:paraId="3486A4AB" w14:textId="77777777" w:rsidR="005E32DA" w:rsidRPr="00194648" w:rsidRDefault="005E32DA">
      <w:pPr>
        <w:rPr>
          <w:rFonts w:ascii="Arial" w:eastAsia="SimSun" w:hAnsi="Arial" w:cs="Arial"/>
          <w:sz w:val="22"/>
          <w:szCs w:val="22"/>
          <w:u w:val="single"/>
        </w:rPr>
      </w:pPr>
    </w:p>
    <w:tbl>
      <w:tblPr>
        <w:tblStyle w:val="Grilledutableau"/>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990"/>
        <w:gridCol w:w="4585"/>
        <w:gridCol w:w="597"/>
        <w:gridCol w:w="2113"/>
        <w:gridCol w:w="4357"/>
      </w:tblGrid>
      <w:tr w:rsidR="007F7C62" w14:paraId="6A73147B" w14:textId="77777777" w:rsidTr="005E32DA">
        <w:tc>
          <w:tcPr>
            <w:tcW w:w="222" w:type="pct"/>
            <w:shd w:val="clear" w:color="auto" w:fill="BFBFBF" w:themeFill="background1" w:themeFillShade="BF"/>
          </w:tcPr>
          <w:p w14:paraId="2C6814DB" w14:textId="77777777" w:rsidR="005E32DA" w:rsidRPr="00194648" w:rsidRDefault="005E32DA" w:rsidP="005E32DA">
            <w:pPr>
              <w:pStyle w:val="COMParaDecision"/>
              <w:spacing w:before="120"/>
              <w:jc w:val="right"/>
              <w:rPr>
                <w:b/>
                <w:u w:val="none"/>
                <w:lang w:val="fr-FR"/>
              </w:rPr>
            </w:pPr>
          </w:p>
        </w:tc>
        <w:tc>
          <w:tcPr>
            <w:tcW w:w="2303" w:type="pct"/>
            <w:gridSpan w:val="2"/>
            <w:shd w:val="clear" w:color="auto" w:fill="BFBFBF" w:themeFill="background1" w:themeFillShade="BF"/>
          </w:tcPr>
          <w:p w14:paraId="2FF4DC24" w14:textId="77777777" w:rsidR="005E32DA" w:rsidRPr="00554E8A" w:rsidRDefault="005E32DA" w:rsidP="005E32DA">
            <w:pPr>
              <w:pStyle w:val="COMParaDecision"/>
              <w:spacing w:before="120"/>
              <w:jc w:val="left"/>
              <w:rPr>
                <w:b/>
                <w:u w:val="none"/>
              </w:rPr>
            </w:pPr>
            <w:r>
              <w:rPr>
                <w:b/>
                <w:lang w:val="fr-FR"/>
              </w:rPr>
              <w:t>Directives opérationnelles</w:t>
            </w:r>
          </w:p>
        </w:tc>
        <w:tc>
          <w:tcPr>
            <w:tcW w:w="209" w:type="pct"/>
            <w:shd w:val="clear" w:color="auto" w:fill="BFBFBF" w:themeFill="background1" w:themeFillShade="BF"/>
          </w:tcPr>
          <w:p w14:paraId="5FAE2EF6" w14:textId="77777777" w:rsidR="005E32DA" w:rsidRPr="00554E8A" w:rsidRDefault="005E32DA" w:rsidP="005E32DA">
            <w:pPr>
              <w:pStyle w:val="COMParaDecision"/>
              <w:spacing w:before="120"/>
              <w:jc w:val="right"/>
              <w:rPr>
                <w:b/>
                <w:u w:val="none"/>
              </w:rPr>
            </w:pPr>
          </w:p>
        </w:tc>
        <w:tc>
          <w:tcPr>
            <w:tcW w:w="2266" w:type="pct"/>
            <w:gridSpan w:val="2"/>
            <w:shd w:val="clear" w:color="auto" w:fill="BFBFBF" w:themeFill="background1" w:themeFillShade="BF"/>
          </w:tcPr>
          <w:p w14:paraId="384C840F" w14:textId="77777777" w:rsidR="005E32DA" w:rsidRPr="00554E8A" w:rsidRDefault="005E32DA" w:rsidP="005E32DA">
            <w:pPr>
              <w:pStyle w:val="COMParaDecision"/>
              <w:spacing w:before="120"/>
              <w:jc w:val="left"/>
              <w:rPr>
                <w:b/>
                <w:u w:val="none"/>
              </w:rPr>
            </w:pPr>
            <w:r w:rsidRPr="00757B3D">
              <w:rPr>
                <w:b/>
                <w:lang w:val="fr-FR"/>
              </w:rPr>
              <w:t>Amendements proposés</w:t>
            </w:r>
          </w:p>
        </w:tc>
      </w:tr>
      <w:tr w:rsidR="007F7C62" w14:paraId="6046B19B" w14:textId="77777777" w:rsidTr="005E32DA">
        <w:tc>
          <w:tcPr>
            <w:tcW w:w="222" w:type="pct"/>
          </w:tcPr>
          <w:p w14:paraId="5BE59523" w14:textId="77777777" w:rsidR="005E32DA" w:rsidRPr="00554E8A" w:rsidRDefault="005E32DA" w:rsidP="005E32DA">
            <w:pPr>
              <w:pStyle w:val="COMParaDecision"/>
              <w:spacing w:before="120"/>
              <w:jc w:val="right"/>
              <w:rPr>
                <w:b/>
                <w:u w:val="none"/>
              </w:rPr>
            </w:pPr>
            <w:r w:rsidRPr="00554E8A">
              <w:rPr>
                <w:b/>
                <w:u w:val="none"/>
                <w:lang w:val="fr-FR"/>
              </w:rPr>
              <w:t>I.15</w:t>
            </w:r>
          </w:p>
        </w:tc>
        <w:tc>
          <w:tcPr>
            <w:tcW w:w="2303" w:type="pct"/>
            <w:gridSpan w:val="2"/>
          </w:tcPr>
          <w:p w14:paraId="1197537B" w14:textId="6A9BF449" w:rsidR="005E32DA" w:rsidRPr="00194648" w:rsidRDefault="005E32DA" w:rsidP="005E32DA">
            <w:pPr>
              <w:pStyle w:val="COMParaDecision"/>
              <w:spacing w:before="120"/>
              <w:jc w:val="left"/>
              <w:rPr>
                <w:b/>
                <w:u w:val="none"/>
                <w:lang w:val="fr-FR"/>
              </w:rPr>
            </w:pPr>
            <w:r w:rsidRPr="00554E8A">
              <w:rPr>
                <w:b/>
                <w:u w:val="none"/>
                <w:lang w:val="fr-FR"/>
              </w:rPr>
              <w:t>Calendrier – Vue d</w:t>
            </w:r>
            <w:r w:rsidR="00F36C26">
              <w:rPr>
                <w:b/>
                <w:u w:val="none"/>
                <w:lang w:val="fr-FR"/>
              </w:rPr>
              <w:t>’</w:t>
            </w:r>
            <w:r w:rsidRPr="00554E8A">
              <w:rPr>
                <w:b/>
                <w:u w:val="none"/>
                <w:lang w:val="fr-FR"/>
              </w:rPr>
              <w:t>ensemble des procédures</w:t>
            </w:r>
          </w:p>
        </w:tc>
        <w:tc>
          <w:tcPr>
            <w:tcW w:w="209" w:type="pct"/>
          </w:tcPr>
          <w:p w14:paraId="756A6182" w14:textId="77777777" w:rsidR="005E32DA" w:rsidRPr="00554E8A" w:rsidRDefault="005E32DA" w:rsidP="005E32DA">
            <w:pPr>
              <w:pStyle w:val="COMParaDecision"/>
              <w:spacing w:before="120"/>
              <w:jc w:val="right"/>
              <w:rPr>
                <w:b/>
                <w:u w:val="none"/>
              </w:rPr>
            </w:pPr>
            <w:r w:rsidRPr="00554E8A">
              <w:rPr>
                <w:b/>
                <w:u w:val="none"/>
                <w:lang w:val="fr-FR"/>
              </w:rPr>
              <w:t>I.15</w:t>
            </w:r>
          </w:p>
        </w:tc>
        <w:tc>
          <w:tcPr>
            <w:tcW w:w="2266" w:type="pct"/>
            <w:gridSpan w:val="2"/>
          </w:tcPr>
          <w:p w14:paraId="0D2BB18A" w14:textId="77777777" w:rsidR="005E32DA" w:rsidRPr="00554E8A" w:rsidRDefault="005E32DA" w:rsidP="005E32DA">
            <w:pPr>
              <w:pStyle w:val="COMParaDecision"/>
              <w:spacing w:before="120"/>
              <w:jc w:val="left"/>
              <w:rPr>
                <w:b/>
              </w:rPr>
            </w:pPr>
            <w:r>
              <w:rPr>
                <w:u w:val="none"/>
                <w:lang w:val="fr-FR"/>
              </w:rPr>
              <w:t>[Aucun changement.]</w:t>
            </w:r>
          </w:p>
        </w:tc>
      </w:tr>
      <w:tr w:rsidR="007F7C62" w14:paraId="141768DF" w14:textId="77777777" w:rsidTr="005E32DA">
        <w:tc>
          <w:tcPr>
            <w:tcW w:w="222" w:type="pct"/>
          </w:tcPr>
          <w:p w14:paraId="1318632C" w14:textId="77777777" w:rsidR="005E32DA" w:rsidRDefault="005E32DA" w:rsidP="005E32DA">
            <w:pPr>
              <w:pStyle w:val="COMParaDecision"/>
              <w:spacing w:before="120"/>
              <w:jc w:val="right"/>
              <w:rPr>
                <w:u w:val="none"/>
              </w:rPr>
            </w:pPr>
          </w:p>
        </w:tc>
        <w:tc>
          <w:tcPr>
            <w:tcW w:w="697" w:type="pct"/>
          </w:tcPr>
          <w:p w14:paraId="29A15CFD" w14:textId="77777777" w:rsidR="005E32DA" w:rsidRDefault="005E32DA" w:rsidP="005E32DA">
            <w:pPr>
              <w:pStyle w:val="COMParaDecision"/>
              <w:spacing w:before="120"/>
              <w:jc w:val="right"/>
              <w:rPr>
                <w:u w:val="none"/>
              </w:rPr>
            </w:pPr>
          </w:p>
        </w:tc>
        <w:tc>
          <w:tcPr>
            <w:tcW w:w="1606" w:type="pct"/>
          </w:tcPr>
          <w:p w14:paraId="2E790CC2" w14:textId="77777777" w:rsidR="005E32DA" w:rsidRDefault="005E32DA" w:rsidP="005E32DA">
            <w:pPr>
              <w:pStyle w:val="COMParaDecision"/>
              <w:spacing w:before="120"/>
              <w:jc w:val="left"/>
              <w:rPr>
                <w:u w:val="none"/>
              </w:rPr>
            </w:pPr>
          </w:p>
        </w:tc>
        <w:tc>
          <w:tcPr>
            <w:tcW w:w="209" w:type="pct"/>
          </w:tcPr>
          <w:p w14:paraId="74EB46D0" w14:textId="77777777" w:rsidR="005E32DA" w:rsidRDefault="005E32DA" w:rsidP="005E32DA">
            <w:pPr>
              <w:pStyle w:val="COMParaDecision"/>
              <w:spacing w:before="120"/>
              <w:jc w:val="right"/>
              <w:rPr>
                <w:u w:val="none"/>
              </w:rPr>
            </w:pPr>
            <w:r>
              <w:rPr>
                <w:u w:val="none"/>
                <w:lang w:val="fr-FR"/>
              </w:rPr>
              <w:t>54.</w:t>
            </w:r>
          </w:p>
        </w:tc>
        <w:tc>
          <w:tcPr>
            <w:tcW w:w="740" w:type="pct"/>
          </w:tcPr>
          <w:p w14:paraId="01089FB0" w14:textId="77777777" w:rsidR="005E32DA" w:rsidRPr="00474AAE" w:rsidRDefault="005E32DA" w:rsidP="005E32DA">
            <w:pPr>
              <w:pStyle w:val="COMParaDecision"/>
              <w:spacing w:before="120"/>
              <w:jc w:val="left"/>
              <w:rPr>
                <w:u w:val="none"/>
              </w:rPr>
            </w:pPr>
            <w:r>
              <w:rPr>
                <w:u w:val="none"/>
                <w:lang w:val="fr-FR"/>
              </w:rPr>
              <w:t>[Aucun changement.]</w:t>
            </w:r>
          </w:p>
        </w:tc>
        <w:tc>
          <w:tcPr>
            <w:tcW w:w="1526" w:type="pct"/>
          </w:tcPr>
          <w:p w14:paraId="42E2DBCF" w14:textId="77777777" w:rsidR="005E32DA" w:rsidRPr="00C97D62" w:rsidRDefault="005E32DA" w:rsidP="005E32DA">
            <w:pPr>
              <w:pStyle w:val="COMParaDecision"/>
              <w:spacing w:before="120"/>
              <w:jc w:val="left"/>
              <w:rPr>
                <w:u w:val="none"/>
              </w:rPr>
            </w:pPr>
          </w:p>
        </w:tc>
      </w:tr>
      <w:tr w:rsidR="007F7C62" w14:paraId="2DFE863E" w14:textId="77777777" w:rsidTr="005E32DA">
        <w:tc>
          <w:tcPr>
            <w:tcW w:w="222" w:type="pct"/>
          </w:tcPr>
          <w:p w14:paraId="611EFBB1" w14:textId="77777777" w:rsidR="005E32DA" w:rsidRPr="0009414C" w:rsidRDefault="005E32DA" w:rsidP="005E32DA">
            <w:pPr>
              <w:pStyle w:val="COMParaDecision"/>
              <w:spacing w:before="120"/>
              <w:jc w:val="right"/>
              <w:rPr>
                <w:u w:val="none"/>
              </w:rPr>
            </w:pPr>
            <w:r>
              <w:rPr>
                <w:u w:val="none"/>
                <w:lang w:val="fr-FR"/>
              </w:rPr>
              <w:t>55.</w:t>
            </w:r>
          </w:p>
        </w:tc>
        <w:tc>
          <w:tcPr>
            <w:tcW w:w="697" w:type="pct"/>
          </w:tcPr>
          <w:p w14:paraId="7CAA967B" w14:textId="77777777" w:rsidR="005E32DA" w:rsidRPr="0009414C" w:rsidRDefault="005E32DA" w:rsidP="005E32DA">
            <w:pPr>
              <w:pStyle w:val="COMParaDecision"/>
              <w:spacing w:before="120"/>
              <w:jc w:val="right"/>
              <w:rPr>
                <w:u w:val="none"/>
              </w:rPr>
            </w:pPr>
            <w:r>
              <w:rPr>
                <w:u w:val="none"/>
                <w:lang w:val="fr-FR"/>
              </w:rPr>
              <w:t>Phase 2 :</w:t>
            </w:r>
          </w:p>
        </w:tc>
        <w:tc>
          <w:tcPr>
            <w:tcW w:w="1606" w:type="pct"/>
          </w:tcPr>
          <w:p w14:paraId="375BDD14" w14:textId="77777777" w:rsidR="005E32DA" w:rsidRPr="0009414C" w:rsidRDefault="005E32DA" w:rsidP="005E32DA">
            <w:pPr>
              <w:pStyle w:val="COMParaDecision"/>
              <w:spacing w:before="120"/>
              <w:jc w:val="left"/>
              <w:rPr>
                <w:u w:val="none"/>
              </w:rPr>
            </w:pPr>
            <w:r>
              <w:rPr>
                <w:u w:val="none"/>
                <w:lang w:val="fr-FR"/>
              </w:rPr>
              <w:t>Évaluation</w:t>
            </w:r>
          </w:p>
        </w:tc>
        <w:tc>
          <w:tcPr>
            <w:tcW w:w="209" w:type="pct"/>
          </w:tcPr>
          <w:p w14:paraId="5A3D0D6C" w14:textId="77777777" w:rsidR="005E32DA" w:rsidRPr="00474AAE" w:rsidRDefault="005E32DA" w:rsidP="005E32DA">
            <w:pPr>
              <w:pStyle w:val="COMParaDecision"/>
              <w:spacing w:before="120"/>
              <w:jc w:val="right"/>
              <w:rPr>
                <w:u w:val="none"/>
              </w:rPr>
            </w:pPr>
            <w:r>
              <w:rPr>
                <w:u w:val="none"/>
                <w:lang w:val="fr-FR"/>
              </w:rPr>
              <w:t>55.</w:t>
            </w:r>
          </w:p>
        </w:tc>
        <w:tc>
          <w:tcPr>
            <w:tcW w:w="740" w:type="pct"/>
          </w:tcPr>
          <w:p w14:paraId="7338DB2C" w14:textId="77777777" w:rsidR="005E32DA" w:rsidRPr="00474AAE" w:rsidRDefault="005E32DA" w:rsidP="005E32DA">
            <w:pPr>
              <w:pStyle w:val="COMParaDecision"/>
              <w:spacing w:before="120"/>
              <w:jc w:val="right"/>
              <w:rPr>
                <w:u w:val="none"/>
              </w:rPr>
            </w:pPr>
            <w:r w:rsidRPr="00474AAE">
              <w:rPr>
                <w:u w:val="none"/>
                <w:lang w:val="fr-FR"/>
              </w:rPr>
              <w:t>Phase 2 :</w:t>
            </w:r>
          </w:p>
        </w:tc>
        <w:tc>
          <w:tcPr>
            <w:tcW w:w="1526" w:type="pct"/>
          </w:tcPr>
          <w:p w14:paraId="673D193F" w14:textId="77777777" w:rsidR="005E32DA" w:rsidRPr="00C97D62" w:rsidRDefault="005E32DA" w:rsidP="005E32DA">
            <w:pPr>
              <w:pStyle w:val="COMParaDecision"/>
              <w:spacing w:before="120"/>
              <w:jc w:val="left"/>
              <w:rPr>
                <w:u w:val="none"/>
              </w:rPr>
            </w:pPr>
            <w:r w:rsidRPr="00C97D62">
              <w:rPr>
                <w:u w:val="none"/>
                <w:lang w:val="fr-FR"/>
              </w:rPr>
              <w:t>Évaluation</w:t>
            </w:r>
          </w:p>
        </w:tc>
      </w:tr>
      <w:tr w:rsidR="007F7C62" w14:paraId="7BD1A023" w14:textId="77777777" w:rsidTr="005E32DA">
        <w:tc>
          <w:tcPr>
            <w:tcW w:w="222" w:type="pct"/>
          </w:tcPr>
          <w:p w14:paraId="1870B1C5" w14:textId="77777777" w:rsidR="005E32DA" w:rsidRDefault="005E32DA" w:rsidP="005E32DA">
            <w:pPr>
              <w:pStyle w:val="COMParaDecision"/>
              <w:spacing w:before="120"/>
              <w:jc w:val="right"/>
              <w:rPr>
                <w:u w:val="none"/>
              </w:rPr>
            </w:pPr>
          </w:p>
        </w:tc>
        <w:tc>
          <w:tcPr>
            <w:tcW w:w="697" w:type="pct"/>
          </w:tcPr>
          <w:p w14:paraId="3660A3B7" w14:textId="77777777" w:rsidR="005E32DA" w:rsidRPr="00194648" w:rsidRDefault="005E32DA" w:rsidP="005E32DA">
            <w:pPr>
              <w:pStyle w:val="COMParaDecision"/>
              <w:spacing w:before="120"/>
              <w:jc w:val="right"/>
              <w:rPr>
                <w:u w:val="none"/>
                <w:lang w:val="fr-FR"/>
              </w:rPr>
            </w:pPr>
            <w:r>
              <w:rPr>
                <w:u w:val="none"/>
                <w:lang w:val="fr-FR"/>
              </w:rPr>
              <w:t>Décembre année 1</w:t>
            </w:r>
            <w:r>
              <w:rPr>
                <w:u w:val="none"/>
                <w:lang w:val="fr-FR"/>
              </w:rPr>
              <w:br/>
              <w:t xml:space="preserve"> à mai année 2</w:t>
            </w:r>
          </w:p>
        </w:tc>
        <w:tc>
          <w:tcPr>
            <w:tcW w:w="1606" w:type="pct"/>
          </w:tcPr>
          <w:p w14:paraId="34757275" w14:textId="612030C3" w:rsidR="005E32DA" w:rsidRPr="00194648" w:rsidRDefault="005E32DA" w:rsidP="005E32DA">
            <w:pPr>
              <w:pStyle w:val="COMParaDecision"/>
              <w:spacing w:before="120"/>
              <w:jc w:val="left"/>
              <w:rPr>
                <w:u w:val="none"/>
                <w:lang w:val="fr-FR"/>
              </w:rPr>
            </w:pPr>
            <w:r>
              <w:rPr>
                <w:u w:val="none"/>
                <w:lang w:val="fr-FR"/>
              </w:rPr>
              <w:t xml:space="preserve">Évaluation des </w:t>
            </w:r>
            <w:r w:rsidR="009C5CB0">
              <w:rPr>
                <w:u w:val="none"/>
                <w:lang w:val="fr-FR"/>
              </w:rPr>
              <w:t>dossiers</w:t>
            </w:r>
            <w:r>
              <w:rPr>
                <w:u w:val="none"/>
                <w:lang w:val="fr-FR"/>
              </w:rPr>
              <w:t xml:space="preserve"> par l</w:t>
            </w:r>
            <w:r w:rsidR="00F36C26">
              <w:rPr>
                <w:u w:val="none"/>
                <w:lang w:val="fr-FR"/>
              </w:rPr>
              <w:t>’</w:t>
            </w:r>
            <w:r w:rsidR="009C5CB0">
              <w:rPr>
                <w:u w:val="none"/>
                <w:lang w:val="fr-FR"/>
              </w:rPr>
              <w:t>O</w:t>
            </w:r>
            <w:r>
              <w:rPr>
                <w:u w:val="none"/>
                <w:lang w:val="fr-FR"/>
              </w:rPr>
              <w:t>rgane d</w:t>
            </w:r>
            <w:r w:rsidR="00F36C26">
              <w:rPr>
                <w:u w:val="none"/>
                <w:lang w:val="fr-FR"/>
              </w:rPr>
              <w:t>’</w:t>
            </w:r>
            <w:r>
              <w:rPr>
                <w:u w:val="none"/>
                <w:lang w:val="fr-FR"/>
              </w:rPr>
              <w:t>évaluation.</w:t>
            </w:r>
          </w:p>
        </w:tc>
        <w:tc>
          <w:tcPr>
            <w:tcW w:w="209" w:type="pct"/>
          </w:tcPr>
          <w:p w14:paraId="18B4B737" w14:textId="77777777" w:rsidR="005E32DA" w:rsidRPr="00194648" w:rsidRDefault="005E32DA" w:rsidP="005E32DA">
            <w:pPr>
              <w:pStyle w:val="COMParaDecision"/>
              <w:spacing w:before="120"/>
              <w:jc w:val="right"/>
              <w:rPr>
                <w:u w:val="none"/>
                <w:lang w:val="fr-FR"/>
              </w:rPr>
            </w:pPr>
          </w:p>
        </w:tc>
        <w:tc>
          <w:tcPr>
            <w:tcW w:w="740" w:type="pct"/>
          </w:tcPr>
          <w:p w14:paraId="67E5821C" w14:textId="77777777" w:rsidR="005E32DA" w:rsidRPr="00194648" w:rsidRDefault="009C5CB0" w:rsidP="005E32DA">
            <w:pPr>
              <w:pStyle w:val="COMParaDecision"/>
              <w:spacing w:before="120"/>
              <w:jc w:val="right"/>
              <w:rPr>
                <w:u w:val="none"/>
                <w:lang w:val="fr-FR"/>
              </w:rPr>
            </w:pPr>
            <w:r>
              <w:rPr>
                <w:u w:val="none"/>
                <w:lang w:val="fr-FR"/>
              </w:rPr>
              <w:t>Décembre année 1</w:t>
            </w:r>
            <w:r>
              <w:rPr>
                <w:u w:val="none"/>
                <w:lang w:val="fr-FR"/>
              </w:rPr>
              <w:br/>
              <w:t xml:space="preserve"> à mai année 2</w:t>
            </w:r>
          </w:p>
        </w:tc>
        <w:tc>
          <w:tcPr>
            <w:tcW w:w="1526" w:type="pct"/>
          </w:tcPr>
          <w:p w14:paraId="6ABD50CC" w14:textId="0E949618" w:rsidR="005E32DA" w:rsidRPr="00194648" w:rsidRDefault="005E32DA" w:rsidP="005E32DA">
            <w:pPr>
              <w:pStyle w:val="COMParaDecision"/>
              <w:spacing w:before="120"/>
              <w:jc w:val="left"/>
              <w:rPr>
                <w:u w:val="none"/>
                <w:lang w:val="fr-FR"/>
              </w:rPr>
            </w:pPr>
            <w:r>
              <w:rPr>
                <w:u w:val="none"/>
                <w:lang w:val="fr-FR"/>
              </w:rPr>
              <w:t xml:space="preserve">Évaluation </w:t>
            </w:r>
            <w:r w:rsidRPr="00A27AF9">
              <w:rPr>
                <w:b/>
                <w:lang w:val="fr-FR"/>
              </w:rPr>
              <w:t>individuelle</w:t>
            </w:r>
            <w:r>
              <w:rPr>
                <w:u w:val="none"/>
                <w:lang w:val="fr-FR"/>
              </w:rPr>
              <w:t xml:space="preserve"> des </w:t>
            </w:r>
            <w:r w:rsidR="009C5CB0">
              <w:rPr>
                <w:u w:val="none"/>
                <w:lang w:val="fr-FR"/>
              </w:rPr>
              <w:t>dossiers</w:t>
            </w:r>
            <w:r>
              <w:rPr>
                <w:u w:val="none"/>
                <w:lang w:val="fr-FR"/>
              </w:rPr>
              <w:t xml:space="preserve"> par les </w:t>
            </w:r>
            <w:r w:rsidRPr="00F12738">
              <w:rPr>
                <w:b/>
                <w:lang w:val="fr-FR"/>
              </w:rPr>
              <w:t>membres</w:t>
            </w:r>
            <w:r>
              <w:rPr>
                <w:u w:val="none"/>
                <w:lang w:val="fr-FR"/>
              </w:rPr>
              <w:t xml:space="preserve"> de l</w:t>
            </w:r>
            <w:r w:rsidR="00F36C26">
              <w:rPr>
                <w:u w:val="none"/>
                <w:lang w:val="fr-FR"/>
              </w:rPr>
              <w:t>’</w:t>
            </w:r>
            <w:r>
              <w:rPr>
                <w:u w:val="none"/>
                <w:lang w:val="fr-FR"/>
              </w:rPr>
              <w:t>Organe d</w:t>
            </w:r>
            <w:r w:rsidR="00F36C26">
              <w:rPr>
                <w:u w:val="none"/>
                <w:lang w:val="fr-FR"/>
              </w:rPr>
              <w:t>’</w:t>
            </w:r>
            <w:r>
              <w:rPr>
                <w:u w:val="none"/>
                <w:lang w:val="fr-FR"/>
              </w:rPr>
              <w:t>évaluation.</w:t>
            </w:r>
          </w:p>
        </w:tc>
      </w:tr>
      <w:tr w:rsidR="007F7C62" w14:paraId="043410C2" w14:textId="77777777" w:rsidTr="005E32DA">
        <w:tc>
          <w:tcPr>
            <w:tcW w:w="222" w:type="pct"/>
          </w:tcPr>
          <w:p w14:paraId="33F94C7C" w14:textId="77777777" w:rsidR="005E32DA" w:rsidRPr="00194648" w:rsidRDefault="005E32DA" w:rsidP="005E32DA">
            <w:pPr>
              <w:pStyle w:val="COMParaDecision"/>
              <w:spacing w:before="120"/>
              <w:jc w:val="right"/>
              <w:rPr>
                <w:u w:val="none"/>
                <w:lang w:val="fr-FR"/>
              </w:rPr>
            </w:pPr>
          </w:p>
        </w:tc>
        <w:tc>
          <w:tcPr>
            <w:tcW w:w="697" w:type="pct"/>
          </w:tcPr>
          <w:p w14:paraId="7DF80EEE" w14:textId="77777777" w:rsidR="005E32DA" w:rsidRDefault="005E32DA" w:rsidP="005E32DA">
            <w:pPr>
              <w:pStyle w:val="COMParaDecision"/>
              <w:spacing w:before="120"/>
              <w:jc w:val="right"/>
              <w:rPr>
                <w:u w:val="none"/>
              </w:rPr>
            </w:pPr>
            <w:r>
              <w:rPr>
                <w:u w:val="none"/>
                <w:lang w:val="fr-FR"/>
              </w:rPr>
              <w:t xml:space="preserve">Avril - juin </w:t>
            </w:r>
            <w:r>
              <w:rPr>
                <w:u w:val="none"/>
                <w:lang w:val="fr-FR"/>
              </w:rPr>
              <w:br/>
              <w:t xml:space="preserve"> </w:t>
            </w:r>
            <w:r w:rsidR="009C5CB0">
              <w:rPr>
                <w:u w:val="none"/>
                <w:lang w:val="fr-FR"/>
              </w:rPr>
              <w:t>a</w:t>
            </w:r>
            <w:r>
              <w:rPr>
                <w:u w:val="none"/>
                <w:lang w:val="fr-FR"/>
              </w:rPr>
              <w:t>nnée 2</w:t>
            </w:r>
          </w:p>
        </w:tc>
        <w:tc>
          <w:tcPr>
            <w:tcW w:w="1606" w:type="pct"/>
          </w:tcPr>
          <w:p w14:paraId="3061B128" w14:textId="28B735D9" w:rsidR="005E32DA" w:rsidRPr="00194648" w:rsidRDefault="005E32DA" w:rsidP="005E32DA">
            <w:pPr>
              <w:pStyle w:val="COMParaDecision"/>
              <w:spacing w:before="120"/>
              <w:jc w:val="left"/>
              <w:rPr>
                <w:u w:val="none"/>
                <w:lang w:val="fr-FR"/>
              </w:rPr>
            </w:pPr>
            <w:r>
              <w:rPr>
                <w:u w:val="none"/>
                <w:lang w:val="fr-FR"/>
              </w:rPr>
              <w:t xml:space="preserve">Réunion </w:t>
            </w:r>
            <w:r w:rsidR="009C5CB0">
              <w:rPr>
                <w:u w:val="none"/>
                <w:lang w:val="fr-FR"/>
              </w:rPr>
              <w:t>d</w:t>
            </w:r>
            <w:r w:rsidR="00F36C26">
              <w:rPr>
                <w:u w:val="none"/>
                <w:lang w:val="fr-FR"/>
              </w:rPr>
              <w:t>’</w:t>
            </w:r>
            <w:r>
              <w:rPr>
                <w:u w:val="none"/>
                <w:lang w:val="fr-FR"/>
              </w:rPr>
              <w:t>évaluation finale par l</w:t>
            </w:r>
            <w:r w:rsidR="00F36C26">
              <w:rPr>
                <w:u w:val="none"/>
                <w:lang w:val="fr-FR"/>
              </w:rPr>
              <w:t>’</w:t>
            </w:r>
            <w:r>
              <w:rPr>
                <w:u w:val="none"/>
                <w:lang w:val="fr-FR"/>
              </w:rPr>
              <w:t>Organe d</w:t>
            </w:r>
            <w:r w:rsidR="00F36C26">
              <w:rPr>
                <w:u w:val="none"/>
                <w:lang w:val="fr-FR"/>
              </w:rPr>
              <w:t>’</w:t>
            </w:r>
            <w:r>
              <w:rPr>
                <w:u w:val="none"/>
                <w:lang w:val="fr-FR"/>
              </w:rPr>
              <w:t>évaluation.</w:t>
            </w:r>
          </w:p>
        </w:tc>
        <w:tc>
          <w:tcPr>
            <w:tcW w:w="209" w:type="pct"/>
          </w:tcPr>
          <w:p w14:paraId="2ED60634" w14:textId="77777777" w:rsidR="005E32DA" w:rsidRPr="00194648" w:rsidRDefault="005E32DA" w:rsidP="005E32DA">
            <w:pPr>
              <w:pStyle w:val="COMParaDecision"/>
              <w:spacing w:before="120"/>
              <w:jc w:val="right"/>
              <w:rPr>
                <w:u w:val="none"/>
                <w:lang w:val="fr-FR"/>
              </w:rPr>
            </w:pPr>
          </w:p>
        </w:tc>
        <w:tc>
          <w:tcPr>
            <w:tcW w:w="740" w:type="pct"/>
          </w:tcPr>
          <w:p w14:paraId="63B8B4FB" w14:textId="17997DBB" w:rsidR="005E32DA" w:rsidRPr="00194648" w:rsidRDefault="006F6EBD">
            <w:pPr>
              <w:pStyle w:val="COMParaDecision"/>
              <w:spacing w:before="120"/>
              <w:jc w:val="right"/>
              <w:rPr>
                <w:u w:val="none"/>
                <w:lang w:val="fr-FR"/>
              </w:rPr>
            </w:pPr>
            <w:r>
              <w:rPr>
                <w:u w:val="none"/>
                <w:lang w:val="fr-FR"/>
              </w:rPr>
              <w:t>J</w:t>
            </w:r>
            <w:r w:rsidR="005E32DA">
              <w:rPr>
                <w:u w:val="none"/>
                <w:lang w:val="fr-FR"/>
              </w:rPr>
              <w:t xml:space="preserve">uin </w:t>
            </w:r>
            <w:r w:rsidR="005E32DA">
              <w:rPr>
                <w:u w:val="none"/>
                <w:lang w:val="fr-FR"/>
              </w:rPr>
              <w:br/>
            </w:r>
            <w:r w:rsidR="009C5CB0">
              <w:rPr>
                <w:u w:val="none"/>
                <w:lang w:val="fr-FR"/>
              </w:rPr>
              <w:t>a</w:t>
            </w:r>
            <w:r w:rsidR="005E32DA">
              <w:rPr>
                <w:u w:val="none"/>
                <w:lang w:val="fr-FR"/>
              </w:rPr>
              <w:t>nnée 2</w:t>
            </w:r>
          </w:p>
        </w:tc>
        <w:tc>
          <w:tcPr>
            <w:tcW w:w="1526" w:type="pct"/>
          </w:tcPr>
          <w:p w14:paraId="4003F4F3" w14:textId="41798C9A" w:rsidR="005E32DA" w:rsidRDefault="005E32DA" w:rsidP="005E32DA">
            <w:pPr>
              <w:pStyle w:val="COMParaDecision"/>
              <w:spacing w:before="120"/>
              <w:jc w:val="left"/>
              <w:rPr>
                <w:b/>
                <w:lang w:val="fr-FR"/>
              </w:rPr>
            </w:pPr>
            <w:r w:rsidRPr="00FD40EA">
              <w:rPr>
                <w:u w:val="none"/>
                <w:lang w:val="fr-FR"/>
              </w:rPr>
              <w:t>Réunion</w:t>
            </w:r>
            <w:r w:rsidRPr="009C5CB0">
              <w:rPr>
                <w:b/>
                <w:u w:val="none"/>
                <w:lang w:val="fr-FR"/>
              </w:rPr>
              <w:t xml:space="preserve"> </w:t>
            </w:r>
            <w:r w:rsidR="009C5CB0">
              <w:rPr>
                <w:strike/>
                <w:u w:val="none"/>
                <w:lang w:val="fr-FR"/>
              </w:rPr>
              <w:t>d</w:t>
            </w:r>
            <w:r w:rsidR="00F36C26">
              <w:rPr>
                <w:strike/>
                <w:u w:val="none"/>
                <w:lang w:val="fr-FR"/>
              </w:rPr>
              <w:t>’</w:t>
            </w:r>
            <w:r w:rsidRPr="00FD40EA">
              <w:rPr>
                <w:strike/>
                <w:u w:val="none"/>
                <w:lang w:val="fr-FR"/>
              </w:rPr>
              <w:t>évaluation finale par l</w:t>
            </w:r>
            <w:r w:rsidR="00F36C26">
              <w:rPr>
                <w:strike/>
                <w:u w:val="none"/>
                <w:lang w:val="fr-FR"/>
              </w:rPr>
              <w:t>’</w:t>
            </w:r>
            <w:r w:rsidRPr="00FD40EA">
              <w:rPr>
                <w:strike/>
                <w:u w:val="none"/>
                <w:lang w:val="fr-FR"/>
              </w:rPr>
              <w:t>Organe d</w:t>
            </w:r>
            <w:r w:rsidR="00F36C26">
              <w:rPr>
                <w:strike/>
                <w:u w:val="none"/>
                <w:lang w:val="fr-FR"/>
              </w:rPr>
              <w:t>’</w:t>
            </w:r>
            <w:r w:rsidRPr="00FD40EA">
              <w:rPr>
                <w:strike/>
                <w:u w:val="none"/>
                <w:lang w:val="fr-FR"/>
              </w:rPr>
              <w:t>évaluation</w:t>
            </w:r>
            <w:r>
              <w:rPr>
                <w:b/>
                <w:lang w:val="fr-FR"/>
              </w:rPr>
              <w:t xml:space="preserve"> au cours de laquelle l</w:t>
            </w:r>
            <w:r w:rsidR="00F36C26">
              <w:rPr>
                <w:b/>
                <w:lang w:val="fr-FR"/>
              </w:rPr>
              <w:t>’</w:t>
            </w:r>
            <w:r w:rsidR="009C5CB0">
              <w:rPr>
                <w:b/>
                <w:lang w:val="fr-FR"/>
              </w:rPr>
              <w:t>O</w:t>
            </w:r>
            <w:r>
              <w:rPr>
                <w:b/>
                <w:lang w:val="fr-FR"/>
              </w:rPr>
              <w:t>rgane d</w:t>
            </w:r>
            <w:r w:rsidR="00F36C26">
              <w:rPr>
                <w:b/>
                <w:lang w:val="fr-FR"/>
              </w:rPr>
              <w:t>’</w:t>
            </w:r>
            <w:r>
              <w:rPr>
                <w:b/>
                <w:lang w:val="fr-FR"/>
              </w:rPr>
              <w:t xml:space="preserve">évaluation </w:t>
            </w:r>
            <w:r w:rsidR="009C5CB0">
              <w:rPr>
                <w:b/>
                <w:lang w:val="fr-FR"/>
              </w:rPr>
              <w:t>achève collectivement</w:t>
            </w:r>
            <w:r>
              <w:rPr>
                <w:b/>
                <w:lang w:val="fr-FR"/>
              </w:rPr>
              <w:t xml:space="preserve"> </w:t>
            </w:r>
            <w:r w:rsidR="009C5CB0">
              <w:rPr>
                <w:b/>
                <w:lang w:val="fr-FR"/>
              </w:rPr>
              <w:t>l</w:t>
            </w:r>
            <w:r w:rsidR="00F36C26">
              <w:rPr>
                <w:b/>
                <w:lang w:val="fr-FR"/>
              </w:rPr>
              <w:t>’</w:t>
            </w:r>
            <w:r>
              <w:rPr>
                <w:b/>
                <w:lang w:val="fr-FR"/>
              </w:rPr>
              <w:t xml:space="preserve">évaluation des </w:t>
            </w:r>
            <w:r w:rsidR="009C5CB0">
              <w:rPr>
                <w:b/>
                <w:lang w:val="fr-FR"/>
              </w:rPr>
              <w:t>dossiers</w:t>
            </w:r>
            <w:r>
              <w:rPr>
                <w:b/>
                <w:lang w:val="fr-FR"/>
              </w:rPr>
              <w:t xml:space="preserve"> et décide lesquels </w:t>
            </w:r>
            <w:r w:rsidR="00071EC2">
              <w:rPr>
                <w:b/>
                <w:lang w:val="fr-FR"/>
              </w:rPr>
              <w:t>seront concernés par le</w:t>
            </w:r>
            <w:r w:rsidR="009C5CB0">
              <w:rPr>
                <w:b/>
                <w:lang w:val="fr-FR"/>
              </w:rPr>
              <w:t xml:space="preserve"> </w:t>
            </w:r>
            <w:r>
              <w:rPr>
                <w:b/>
                <w:lang w:val="fr-FR"/>
              </w:rPr>
              <w:t>processus de dialogue. Seule l</w:t>
            </w:r>
            <w:r w:rsidR="00F36C26">
              <w:rPr>
                <w:b/>
                <w:lang w:val="fr-FR"/>
              </w:rPr>
              <w:t>’</w:t>
            </w:r>
            <w:r>
              <w:rPr>
                <w:b/>
                <w:lang w:val="fr-FR"/>
              </w:rPr>
              <w:t xml:space="preserve">évaluation des </w:t>
            </w:r>
            <w:r w:rsidR="009C5CB0">
              <w:rPr>
                <w:b/>
                <w:lang w:val="fr-FR"/>
              </w:rPr>
              <w:t>dossiers</w:t>
            </w:r>
            <w:r>
              <w:rPr>
                <w:b/>
                <w:lang w:val="fr-FR"/>
              </w:rPr>
              <w:t xml:space="preserve"> inclus dans le processus de dialogue </w:t>
            </w:r>
            <w:r w:rsidR="009C5CB0">
              <w:rPr>
                <w:b/>
                <w:lang w:val="fr-FR"/>
              </w:rPr>
              <w:t xml:space="preserve">restera </w:t>
            </w:r>
            <w:r>
              <w:rPr>
                <w:b/>
                <w:lang w:val="fr-FR"/>
              </w:rPr>
              <w:t xml:space="preserve">en attente </w:t>
            </w:r>
            <w:r w:rsidR="009C5CB0">
              <w:rPr>
                <w:b/>
                <w:lang w:val="fr-FR"/>
              </w:rPr>
              <w:t xml:space="preserve">de validation </w:t>
            </w:r>
            <w:r>
              <w:rPr>
                <w:b/>
                <w:lang w:val="fr-FR"/>
              </w:rPr>
              <w:t>jusqu</w:t>
            </w:r>
            <w:r w:rsidR="00F36C26">
              <w:rPr>
                <w:b/>
                <w:lang w:val="fr-FR"/>
              </w:rPr>
              <w:t>’</w:t>
            </w:r>
            <w:r>
              <w:rPr>
                <w:b/>
                <w:lang w:val="fr-FR"/>
              </w:rPr>
              <w:t>à la réunion finale de l</w:t>
            </w:r>
            <w:r w:rsidR="00F36C26">
              <w:rPr>
                <w:b/>
                <w:lang w:val="fr-FR"/>
              </w:rPr>
              <w:t>’</w:t>
            </w:r>
            <w:r>
              <w:rPr>
                <w:b/>
                <w:lang w:val="fr-FR"/>
              </w:rPr>
              <w:t>Organe d</w:t>
            </w:r>
            <w:r w:rsidR="00F36C26">
              <w:rPr>
                <w:b/>
                <w:lang w:val="fr-FR"/>
              </w:rPr>
              <w:t>’</w:t>
            </w:r>
            <w:r>
              <w:rPr>
                <w:b/>
                <w:lang w:val="fr-FR"/>
              </w:rPr>
              <w:t>évaluation.</w:t>
            </w:r>
          </w:p>
          <w:p w14:paraId="72D8DA1A" w14:textId="22C82B59" w:rsidR="00EE7BF0" w:rsidRPr="00194648" w:rsidRDefault="00EE7BF0" w:rsidP="005E32DA">
            <w:pPr>
              <w:pStyle w:val="COMParaDecision"/>
              <w:spacing w:before="120"/>
              <w:jc w:val="left"/>
              <w:rPr>
                <w:b/>
                <w:u w:val="none"/>
                <w:lang w:val="fr-FR"/>
              </w:rPr>
            </w:pPr>
            <w:r>
              <w:rPr>
                <w:b/>
                <w:lang w:val="fr-FR"/>
              </w:rPr>
              <w:t xml:space="preserve">Le processus de dialogue </w:t>
            </w:r>
            <w:r w:rsidRPr="00EE7BF0">
              <w:rPr>
                <w:b/>
                <w:lang w:val="fr-FR"/>
              </w:rPr>
              <w:t>est engagé lorsque l</w:t>
            </w:r>
            <w:r w:rsidR="00F36C26">
              <w:rPr>
                <w:b/>
                <w:lang w:val="fr-FR"/>
              </w:rPr>
              <w:t>’</w:t>
            </w:r>
            <w:r w:rsidRPr="00EE7BF0">
              <w:rPr>
                <w:b/>
                <w:lang w:val="fr-FR"/>
              </w:rPr>
              <w:t>Organe d</w:t>
            </w:r>
            <w:r w:rsidR="00F36C26">
              <w:rPr>
                <w:b/>
                <w:lang w:val="fr-FR"/>
              </w:rPr>
              <w:t>’</w:t>
            </w:r>
            <w:r w:rsidRPr="00EE7BF0">
              <w:rPr>
                <w:b/>
                <w:lang w:val="fr-FR"/>
              </w:rPr>
              <w:t>évaluation estime qu</w:t>
            </w:r>
            <w:r w:rsidR="00F36C26">
              <w:rPr>
                <w:b/>
                <w:lang w:val="fr-FR"/>
              </w:rPr>
              <w:t>’</w:t>
            </w:r>
            <w:r w:rsidRPr="00EE7BF0">
              <w:rPr>
                <w:b/>
                <w:lang w:val="fr-FR"/>
              </w:rPr>
              <w:t>un court processus de que</w:t>
            </w:r>
            <w:r>
              <w:rPr>
                <w:b/>
                <w:lang w:val="fr-FR"/>
              </w:rPr>
              <w:t>stions-réponses avec le ou les É</w:t>
            </w:r>
            <w:r w:rsidRPr="00EE7BF0">
              <w:rPr>
                <w:b/>
                <w:lang w:val="fr-FR"/>
              </w:rPr>
              <w:t>tats soumissionnaires, mené par écrit par l</w:t>
            </w:r>
            <w:r w:rsidR="00F36C26">
              <w:rPr>
                <w:b/>
                <w:lang w:val="fr-FR"/>
              </w:rPr>
              <w:t>’</w:t>
            </w:r>
            <w:r w:rsidRPr="00EE7BF0">
              <w:rPr>
                <w:b/>
                <w:lang w:val="fr-FR"/>
              </w:rPr>
              <w:t>intermédiaire du Secrétariat, pourrait influencer le résultat de son évaluation.</w:t>
            </w:r>
          </w:p>
        </w:tc>
      </w:tr>
      <w:tr w:rsidR="007F7C62" w14:paraId="2FF7D320" w14:textId="77777777" w:rsidTr="005E32DA">
        <w:tc>
          <w:tcPr>
            <w:tcW w:w="222" w:type="pct"/>
          </w:tcPr>
          <w:p w14:paraId="5C7398F3" w14:textId="77777777" w:rsidR="005E32DA" w:rsidRPr="00194648" w:rsidRDefault="005E32DA" w:rsidP="005E32DA">
            <w:pPr>
              <w:pStyle w:val="COMParaDecision"/>
              <w:spacing w:before="120"/>
              <w:jc w:val="right"/>
              <w:rPr>
                <w:u w:val="none"/>
                <w:lang w:val="fr-FR"/>
              </w:rPr>
            </w:pPr>
          </w:p>
        </w:tc>
        <w:tc>
          <w:tcPr>
            <w:tcW w:w="697" w:type="pct"/>
          </w:tcPr>
          <w:p w14:paraId="59BF7E23" w14:textId="77777777" w:rsidR="005E32DA" w:rsidRPr="00194648" w:rsidRDefault="005E32DA" w:rsidP="005E32DA">
            <w:pPr>
              <w:pStyle w:val="COMParaDecision"/>
              <w:spacing w:before="120"/>
              <w:jc w:val="right"/>
              <w:rPr>
                <w:u w:val="none"/>
                <w:lang w:val="fr-FR"/>
              </w:rPr>
            </w:pPr>
          </w:p>
        </w:tc>
        <w:tc>
          <w:tcPr>
            <w:tcW w:w="1606" w:type="pct"/>
          </w:tcPr>
          <w:p w14:paraId="2256F915" w14:textId="77777777" w:rsidR="005E32DA" w:rsidRPr="00194648" w:rsidRDefault="005E32DA" w:rsidP="005E32DA">
            <w:pPr>
              <w:pStyle w:val="COMParaDecision"/>
              <w:spacing w:before="120"/>
              <w:jc w:val="left"/>
              <w:rPr>
                <w:u w:val="none"/>
                <w:lang w:val="fr-FR"/>
              </w:rPr>
            </w:pPr>
          </w:p>
        </w:tc>
        <w:tc>
          <w:tcPr>
            <w:tcW w:w="209" w:type="pct"/>
          </w:tcPr>
          <w:p w14:paraId="7D9E5179" w14:textId="77777777" w:rsidR="005E32DA" w:rsidRPr="00194648" w:rsidRDefault="005E32DA" w:rsidP="005E32DA">
            <w:pPr>
              <w:pStyle w:val="COMParaDecision"/>
              <w:spacing w:before="120"/>
              <w:jc w:val="right"/>
              <w:rPr>
                <w:u w:val="none"/>
                <w:lang w:val="fr-FR"/>
              </w:rPr>
            </w:pPr>
          </w:p>
        </w:tc>
        <w:tc>
          <w:tcPr>
            <w:tcW w:w="740" w:type="pct"/>
          </w:tcPr>
          <w:p w14:paraId="3DA88DA9" w14:textId="77777777" w:rsidR="005E32DA" w:rsidRPr="00194648" w:rsidRDefault="005E32DA" w:rsidP="005E32DA">
            <w:pPr>
              <w:pStyle w:val="COMParaDecision"/>
              <w:spacing w:before="120"/>
              <w:jc w:val="right"/>
              <w:rPr>
                <w:b/>
                <w:lang w:val="fr-FR"/>
              </w:rPr>
            </w:pPr>
            <w:r>
              <w:rPr>
                <w:b/>
                <w:lang w:val="fr-FR"/>
              </w:rPr>
              <w:t xml:space="preserve">Deux semaines après la réunion de juin </w:t>
            </w:r>
            <w:r>
              <w:rPr>
                <w:b/>
                <w:lang w:val="fr-FR"/>
              </w:rPr>
              <w:br/>
              <w:t>Année 2</w:t>
            </w:r>
          </w:p>
        </w:tc>
        <w:tc>
          <w:tcPr>
            <w:tcW w:w="1526" w:type="pct"/>
          </w:tcPr>
          <w:p w14:paraId="064F6C3B" w14:textId="3FD424FC" w:rsidR="005E32DA" w:rsidRPr="00194648" w:rsidRDefault="005E32DA">
            <w:pPr>
              <w:pStyle w:val="COMParaDecision"/>
              <w:spacing w:before="120"/>
              <w:jc w:val="left"/>
              <w:rPr>
                <w:b/>
                <w:lang w:val="fr-FR"/>
              </w:rPr>
            </w:pPr>
            <w:r>
              <w:rPr>
                <w:b/>
                <w:lang w:val="fr-FR"/>
              </w:rPr>
              <w:t xml:space="preserve">Date limite </w:t>
            </w:r>
            <w:r w:rsidR="00865E48">
              <w:rPr>
                <w:b/>
                <w:lang w:val="fr-FR"/>
              </w:rPr>
              <w:t>à</w:t>
            </w:r>
            <w:r>
              <w:rPr>
                <w:b/>
                <w:lang w:val="fr-FR"/>
              </w:rPr>
              <w:t xml:space="preserve"> laquelle l</w:t>
            </w:r>
            <w:r w:rsidR="00F36C26">
              <w:rPr>
                <w:b/>
                <w:lang w:val="fr-FR"/>
              </w:rPr>
              <w:t>’</w:t>
            </w:r>
            <w:r>
              <w:rPr>
                <w:b/>
                <w:lang w:val="fr-FR"/>
              </w:rPr>
              <w:t>Organe d</w:t>
            </w:r>
            <w:r w:rsidR="00F36C26">
              <w:rPr>
                <w:b/>
                <w:lang w:val="fr-FR"/>
              </w:rPr>
              <w:t>’</w:t>
            </w:r>
            <w:r>
              <w:rPr>
                <w:b/>
                <w:lang w:val="fr-FR"/>
              </w:rPr>
              <w:t>évaluation devra transmettre, par l</w:t>
            </w:r>
            <w:r w:rsidR="00F36C26">
              <w:rPr>
                <w:b/>
                <w:lang w:val="fr-FR"/>
              </w:rPr>
              <w:t>’</w:t>
            </w:r>
            <w:r>
              <w:rPr>
                <w:b/>
                <w:lang w:val="fr-FR"/>
              </w:rPr>
              <w:t xml:space="preserve">intermédiaire du Secrétariat, ses questions </w:t>
            </w:r>
            <w:r w:rsidR="00071EC2">
              <w:rPr>
                <w:b/>
                <w:lang w:val="fr-FR"/>
              </w:rPr>
              <w:t xml:space="preserve">aux États parties concernés </w:t>
            </w:r>
            <w:r>
              <w:rPr>
                <w:b/>
                <w:lang w:val="fr-FR"/>
              </w:rPr>
              <w:t>par le processus de dialogue, dans l</w:t>
            </w:r>
            <w:r w:rsidR="00F36C26">
              <w:rPr>
                <w:b/>
                <w:lang w:val="fr-FR"/>
              </w:rPr>
              <w:t>’</w:t>
            </w:r>
            <w:r>
              <w:rPr>
                <w:b/>
                <w:lang w:val="fr-FR"/>
              </w:rPr>
              <w:t>une des deux langues de travail de la Convention.</w:t>
            </w:r>
          </w:p>
        </w:tc>
      </w:tr>
      <w:tr w:rsidR="007F7C62" w14:paraId="50207FFC" w14:textId="77777777" w:rsidTr="005E32DA">
        <w:tc>
          <w:tcPr>
            <w:tcW w:w="222" w:type="pct"/>
          </w:tcPr>
          <w:p w14:paraId="516B353C" w14:textId="77777777" w:rsidR="005E32DA" w:rsidRPr="00194648" w:rsidRDefault="005E32DA" w:rsidP="005E32DA">
            <w:pPr>
              <w:pStyle w:val="COMParaDecision"/>
              <w:spacing w:before="120"/>
              <w:jc w:val="right"/>
              <w:rPr>
                <w:u w:val="none"/>
                <w:lang w:val="fr-FR"/>
              </w:rPr>
            </w:pPr>
          </w:p>
        </w:tc>
        <w:tc>
          <w:tcPr>
            <w:tcW w:w="697" w:type="pct"/>
          </w:tcPr>
          <w:p w14:paraId="18E62AFF" w14:textId="77777777" w:rsidR="005E32DA" w:rsidRPr="00194648" w:rsidRDefault="005E32DA" w:rsidP="005E32DA">
            <w:pPr>
              <w:pStyle w:val="COMParaDecision"/>
              <w:spacing w:before="120"/>
              <w:jc w:val="right"/>
              <w:rPr>
                <w:u w:val="none"/>
                <w:lang w:val="fr-FR"/>
              </w:rPr>
            </w:pPr>
          </w:p>
        </w:tc>
        <w:tc>
          <w:tcPr>
            <w:tcW w:w="1606" w:type="pct"/>
          </w:tcPr>
          <w:p w14:paraId="510C3733" w14:textId="77777777" w:rsidR="005E32DA" w:rsidRPr="00194648" w:rsidRDefault="005E32DA" w:rsidP="005E32DA">
            <w:pPr>
              <w:pStyle w:val="COMParaDecision"/>
              <w:spacing w:before="120"/>
              <w:jc w:val="left"/>
              <w:rPr>
                <w:u w:val="none"/>
                <w:lang w:val="fr-FR"/>
              </w:rPr>
            </w:pPr>
          </w:p>
        </w:tc>
        <w:tc>
          <w:tcPr>
            <w:tcW w:w="209" w:type="pct"/>
          </w:tcPr>
          <w:p w14:paraId="5CAE9311" w14:textId="77777777" w:rsidR="005E32DA" w:rsidRPr="00194648" w:rsidRDefault="005E32DA" w:rsidP="005E32DA">
            <w:pPr>
              <w:pStyle w:val="COMParaDecision"/>
              <w:spacing w:before="120"/>
              <w:jc w:val="right"/>
              <w:rPr>
                <w:u w:val="none"/>
                <w:lang w:val="fr-FR"/>
              </w:rPr>
            </w:pPr>
          </w:p>
        </w:tc>
        <w:tc>
          <w:tcPr>
            <w:tcW w:w="740" w:type="pct"/>
          </w:tcPr>
          <w:p w14:paraId="304CD076" w14:textId="77777777" w:rsidR="005E32DA" w:rsidRPr="00194648" w:rsidRDefault="005E32DA" w:rsidP="005E32DA">
            <w:pPr>
              <w:pStyle w:val="COMParaDecision"/>
              <w:spacing w:before="120"/>
              <w:rPr>
                <w:b/>
                <w:lang w:val="fr-FR"/>
              </w:rPr>
            </w:pPr>
          </w:p>
        </w:tc>
        <w:tc>
          <w:tcPr>
            <w:tcW w:w="1526" w:type="pct"/>
          </w:tcPr>
          <w:p w14:paraId="0DE61E2E" w14:textId="08061EF8" w:rsidR="005E32DA" w:rsidRPr="00194648" w:rsidRDefault="005E32DA" w:rsidP="005E32DA">
            <w:pPr>
              <w:pStyle w:val="COMParaDecision"/>
              <w:spacing w:before="120"/>
              <w:jc w:val="left"/>
              <w:rPr>
                <w:b/>
                <w:lang w:val="fr-FR"/>
              </w:rPr>
            </w:pPr>
            <w:r>
              <w:rPr>
                <w:b/>
                <w:lang w:val="fr-FR"/>
              </w:rPr>
              <w:t>Les États parties devront répondre aux demandes de l</w:t>
            </w:r>
            <w:r w:rsidR="00F36C26">
              <w:rPr>
                <w:b/>
                <w:lang w:val="fr-FR"/>
              </w:rPr>
              <w:t>’</w:t>
            </w:r>
            <w:r>
              <w:rPr>
                <w:b/>
                <w:lang w:val="fr-FR"/>
              </w:rPr>
              <w:t>Organe d</w:t>
            </w:r>
            <w:r w:rsidR="00F36C26">
              <w:rPr>
                <w:b/>
                <w:lang w:val="fr-FR"/>
              </w:rPr>
              <w:t>’</w:t>
            </w:r>
            <w:r>
              <w:rPr>
                <w:b/>
                <w:lang w:val="fr-FR"/>
              </w:rPr>
              <w:t>évaluation</w:t>
            </w:r>
            <w:r w:rsidR="00377C2B">
              <w:rPr>
                <w:b/>
                <w:lang w:val="fr-FR"/>
              </w:rPr>
              <w:t>,</w:t>
            </w:r>
            <w:r>
              <w:rPr>
                <w:b/>
                <w:lang w:val="fr-FR"/>
              </w:rPr>
              <w:t xml:space="preserve"> par l</w:t>
            </w:r>
            <w:r w:rsidR="00F36C26">
              <w:rPr>
                <w:b/>
                <w:lang w:val="fr-FR"/>
              </w:rPr>
              <w:t>’</w:t>
            </w:r>
            <w:r>
              <w:rPr>
                <w:b/>
                <w:lang w:val="fr-FR"/>
              </w:rPr>
              <w:t>intermédiaire du Secrétariat, dans un délai de quatre semaines à compter de la réception de la lettre, dans les deux langues de travail de la Convention.</w:t>
            </w:r>
          </w:p>
        </w:tc>
      </w:tr>
      <w:tr w:rsidR="007F7C62" w14:paraId="45038D7F" w14:textId="77777777" w:rsidTr="005E32DA">
        <w:tc>
          <w:tcPr>
            <w:tcW w:w="222" w:type="pct"/>
          </w:tcPr>
          <w:p w14:paraId="09DAC602" w14:textId="77777777" w:rsidR="005E32DA" w:rsidRPr="00194648" w:rsidRDefault="005E32DA" w:rsidP="005E32DA">
            <w:pPr>
              <w:pStyle w:val="COMParaDecision"/>
              <w:spacing w:before="120"/>
              <w:jc w:val="right"/>
              <w:rPr>
                <w:u w:val="none"/>
                <w:lang w:val="fr-FR"/>
              </w:rPr>
            </w:pPr>
          </w:p>
        </w:tc>
        <w:tc>
          <w:tcPr>
            <w:tcW w:w="697" w:type="pct"/>
          </w:tcPr>
          <w:p w14:paraId="28EAFDF0" w14:textId="77777777" w:rsidR="005E32DA" w:rsidRPr="00194648" w:rsidRDefault="005E32DA" w:rsidP="005E32DA">
            <w:pPr>
              <w:pStyle w:val="COMParaDecision"/>
              <w:spacing w:before="120"/>
              <w:jc w:val="right"/>
              <w:rPr>
                <w:u w:val="none"/>
                <w:lang w:val="fr-FR"/>
              </w:rPr>
            </w:pPr>
          </w:p>
        </w:tc>
        <w:tc>
          <w:tcPr>
            <w:tcW w:w="1606" w:type="pct"/>
          </w:tcPr>
          <w:p w14:paraId="5A1CB767" w14:textId="77777777" w:rsidR="005E32DA" w:rsidRPr="00194648" w:rsidRDefault="005E32DA" w:rsidP="005E32DA">
            <w:pPr>
              <w:pStyle w:val="COMParaDecision"/>
              <w:spacing w:before="120"/>
              <w:jc w:val="left"/>
              <w:rPr>
                <w:u w:val="none"/>
                <w:lang w:val="fr-FR"/>
              </w:rPr>
            </w:pPr>
          </w:p>
        </w:tc>
        <w:tc>
          <w:tcPr>
            <w:tcW w:w="209" w:type="pct"/>
          </w:tcPr>
          <w:p w14:paraId="1AB4D4BE" w14:textId="77777777" w:rsidR="005E32DA" w:rsidRPr="00194648" w:rsidRDefault="005E32DA" w:rsidP="005E32DA">
            <w:pPr>
              <w:pStyle w:val="COMParaDecision"/>
              <w:spacing w:before="120"/>
              <w:jc w:val="right"/>
              <w:rPr>
                <w:u w:val="none"/>
                <w:lang w:val="fr-FR"/>
              </w:rPr>
            </w:pPr>
          </w:p>
        </w:tc>
        <w:tc>
          <w:tcPr>
            <w:tcW w:w="740" w:type="pct"/>
          </w:tcPr>
          <w:p w14:paraId="6DD0B66D" w14:textId="77777777" w:rsidR="00377C2B" w:rsidRDefault="005E32DA" w:rsidP="005E32DA">
            <w:pPr>
              <w:pStyle w:val="COMParaDecision"/>
              <w:spacing w:before="120"/>
              <w:jc w:val="right"/>
              <w:rPr>
                <w:b/>
                <w:lang w:val="fr-FR"/>
              </w:rPr>
            </w:pPr>
            <w:r>
              <w:rPr>
                <w:b/>
                <w:lang w:val="fr-FR"/>
              </w:rPr>
              <w:t xml:space="preserve">Au plus tard en septembre </w:t>
            </w:r>
          </w:p>
          <w:p w14:paraId="26524D33" w14:textId="76607761" w:rsidR="005E32DA" w:rsidRPr="00194648" w:rsidRDefault="005E32DA" w:rsidP="005E32DA">
            <w:pPr>
              <w:pStyle w:val="COMParaDecision"/>
              <w:spacing w:before="120"/>
              <w:jc w:val="right"/>
              <w:rPr>
                <w:b/>
                <w:lang w:val="fr-FR"/>
              </w:rPr>
            </w:pPr>
            <w:r>
              <w:rPr>
                <w:b/>
                <w:lang w:val="fr-FR"/>
              </w:rPr>
              <w:t>Année 2</w:t>
            </w:r>
          </w:p>
        </w:tc>
        <w:tc>
          <w:tcPr>
            <w:tcW w:w="1526" w:type="pct"/>
          </w:tcPr>
          <w:p w14:paraId="3E685EA4" w14:textId="296B3D28" w:rsidR="00677F1E" w:rsidRPr="00194648" w:rsidRDefault="00677F1E">
            <w:pPr>
              <w:pStyle w:val="COMParaDecision"/>
              <w:spacing w:before="120"/>
              <w:jc w:val="left"/>
              <w:rPr>
                <w:b/>
                <w:lang w:val="fr-FR"/>
              </w:rPr>
            </w:pPr>
            <w:r>
              <w:rPr>
                <w:b/>
                <w:lang w:val="fr-FR"/>
              </w:rPr>
              <w:t>Réunion au cours de laquelle l</w:t>
            </w:r>
            <w:r w:rsidR="00F36C26">
              <w:rPr>
                <w:b/>
                <w:lang w:val="fr-FR"/>
              </w:rPr>
              <w:t>’</w:t>
            </w:r>
            <w:r>
              <w:rPr>
                <w:b/>
                <w:lang w:val="fr-FR"/>
              </w:rPr>
              <w:t>Organe d</w:t>
            </w:r>
            <w:r w:rsidR="00F36C26">
              <w:rPr>
                <w:b/>
                <w:lang w:val="fr-FR"/>
              </w:rPr>
              <w:t>’</w:t>
            </w:r>
            <w:r>
              <w:rPr>
                <w:b/>
                <w:lang w:val="fr-FR"/>
              </w:rPr>
              <w:t>évaluation achève l</w:t>
            </w:r>
            <w:r w:rsidR="00F36C26">
              <w:rPr>
                <w:b/>
                <w:lang w:val="fr-FR"/>
              </w:rPr>
              <w:t>’</w:t>
            </w:r>
            <w:r>
              <w:rPr>
                <w:b/>
                <w:lang w:val="fr-FR"/>
              </w:rPr>
              <w:t>évaluation des dossiers concernés par le processus de dialogue et son rapport de l</w:t>
            </w:r>
            <w:r w:rsidR="00F36C26">
              <w:rPr>
                <w:b/>
                <w:lang w:val="fr-FR"/>
              </w:rPr>
              <w:t>’</w:t>
            </w:r>
            <w:r>
              <w:rPr>
                <w:b/>
                <w:lang w:val="fr-FR"/>
              </w:rPr>
              <w:t>examen de tous les dossiers.</w:t>
            </w:r>
          </w:p>
        </w:tc>
      </w:tr>
      <w:tr w:rsidR="007F7C62" w14:paraId="4C62ED42" w14:textId="77777777" w:rsidTr="005E32DA">
        <w:tc>
          <w:tcPr>
            <w:tcW w:w="222" w:type="pct"/>
          </w:tcPr>
          <w:p w14:paraId="34582BC3" w14:textId="77777777" w:rsidR="005E32DA" w:rsidRPr="00194648" w:rsidRDefault="005E32DA" w:rsidP="005E32DA">
            <w:pPr>
              <w:pStyle w:val="COMParaDecision"/>
              <w:spacing w:before="120"/>
              <w:jc w:val="right"/>
              <w:rPr>
                <w:u w:val="none"/>
                <w:lang w:val="fr-FR"/>
              </w:rPr>
            </w:pPr>
          </w:p>
        </w:tc>
        <w:tc>
          <w:tcPr>
            <w:tcW w:w="697" w:type="pct"/>
          </w:tcPr>
          <w:p w14:paraId="35939D86" w14:textId="77777777" w:rsidR="005E32DA" w:rsidRPr="00194648" w:rsidRDefault="005E32DA" w:rsidP="005E32DA">
            <w:pPr>
              <w:pStyle w:val="COMParaDecision"/>
              <w:spacing w:before="120"/>
              <w:jc w:val="right"/>
              <w:rPr>
                <w:u w:val="none"/>
                <w:lang w:val="fr-FR"/>
              </w:rPr>
            </w:pPr>
            <w:r>
              <w:rPr>
                <w:u w:val="none"/>
                <w:lang w:val="fr-FR"/>
              </w:rPr>
              <w:t>Quatre semaines avant la session du Comité</w:t>
            </w:r>
          </w:p>
        </w:tc>
        <w:tc>
          <w:tcPr>
            <w:tcW w:w="1606" w:type="pct"/>
          </w:tcPr>
          <w:p w14:paraId="7B0EF4AB" w14:textId="1215F310" w:rsidR="005E32DA" w:rsidRPr="00194648" w:rsidRDefault="005E32DA" w:rsidP="005E32DA">
            <w:pPr>
              <w:pStyle w:val="COMParaDecision"/>
              <w:spacing w:before="120"/>
              <w:jc w:val="left"/>
              <w:rPr>
                <w:u w:val="none"/>
                <w:lang w:val="fr-FR"/>
              </w:rPr>
            </w:pPr>
            <w:r>
              <w:rPr>
                <w:u w:val="none"/>
                <w:lang w:val="fr-FR"/>
              </w:rPr>
              <w:t xml:space="preserve">Le Secrétariat transmet aux membres du Comité </w:t>
            </w:r>
            <w:r w:rsidR="009C5CB0">
              <w:rPr>
                <w:u w:val="none"/>
                <w:lang w:val="fr-FR"/>
              </w:rPr>
              <w:t>les rapports d</w:t>
            </w:r>
            <w:r w:rsidR="00F36C26">
              <w:rPr>
                <w:u w:val="none"/>
                <w:lang w:val="fr-FR"/>
              </w:rPr>
              <w:t>’</w:t>
            </w:r>
            <w:r w:rsidR="009C5CB0">
              <w:rPr>
                <w:u w:val="none"/>
                <w:lang w:val="fr-FR"/>
              </w:rPr>
              <w:t xml:space="preserve">évaluation </w:t>
            </w:r>
            <w:r>
              <w:rPr>
                <w:u w:val="none"/>
                <w:lang w:val="fr-FR"/>
              </w:rPr>
              <w:t xml:space="preserve">et les </w:t>
            </w:r>
            <w:r w:rsidR="009C5CB0">
              <w:rPr>
                <w:u w:val="none"/>
                <w:lang w:val="fr-FR"/>
              </w:rPr>
              <w:t>rend disponibles en ligne à des fins de consultation</w:t>
            </w:r>
            <w:r>
              <w:rPr>
                <w:u w:val="none"/>
                <w:lang w:val="fr-FR"/>
              </w:rPr>
              <w:t>.</w:t>
            </w:r>
          </w:p>
        </w:tc>
        <w:tc>
          <w:tcPr>
            <w:tcW w:w="209" w:type="pct"/>
          </w:tcPr>
          <w:p w14:paraId="07CD3FE8" w14:textId="77777777" w:rsidR="005E32DA" w:rsidRPr="00194648" w:rsidRDefault="005E32DA" w:rsidP="005E32DA">
            <w:pPr>
              <w:pStyle w:val="COMParaDecision"/>
              <w:spacing w:before="120"/>
              <w:jc w:val="right"/>
              <w:rPr>
                <w:u w:val="none"/>
                <w:lang w:val="fr-FR"/>
              </w:rPr>
            </w:pPr>
          </w:p>
        </w:tc>
        <w:tc>
          <w:tcPr>
            <w:tcW w:w="740" w:type="pct"/>
          </w:tcPr>
          <w:p w14:paraId="68195D74" w14:textId="77777777" w:rsidR="005E32DA" w:rsidRPr="00194648" w:rsidRDefault="005E32DA" w:rsidP="005E32DA">
            <w:pPr>
              <w:pStyle w:val="COMParaDecision"/>
              <w:spacing w:before="120"/>
              <w:jc w:val="right"/>
              <w:rPr>
                <w:u w:val="none"/>
                <w:lang w:val="fr-FR"/>
              </w:rPr>
            </w:pPr>
            <w:r>
              <w:rPr>
                <w:u w:val="none"/>
                <w:lang w:val="fr-FR"/>
              </w:rPr>
              <w:t>Quatre semaines avant la session du Comité</w:t>
            </w:r>
          </w:p>
        </w:tc>
        <w:tc>
          <w:tcPr>
            <w:tcW w:w="1526" w:type="pct"/>
          </w:tcPr>
          <w:p w14:paraId="3023117E" w14:textId="6F1A63E2" w:rsidR="005E32DA" w:rsidRPr="00194648" w:rsidRDefault="00865E48" w:rsidP="005E32DA">
            <w:pPr>
              <w:pStyle w:val="COMParaDecision"/>
              <w:spacing w:before="120"/>
              <w:jc w:val="left"/>
              <w:rPr>
                <w:u w:val="none"/>
                <w:lang w:val="fr-FR"/>
              </w:rPr>
            </w:pPr>
            <w:r>
              <w:rPr>
                <w:u w:val="none"/>
                <w:lang w:val="fr-FR"/>
              </w:rPr>
              <w:t>Le Secrétariat transmet aux membres du Comité les rapports d</w:t>
            </w:r>
            <w:r w:rsidR="00F36C26">
              <w:rPr>
                <w:u w:val="none"/>
                <w:lang w:val="fr-FR"/>
              </w:rPr>
              <w:t>’</w:t>
            </w:r>
            <w:r>
              <w:rPr>
                <w:u w:val="none"/>
                <w:lang w:val="fr-FR"/>
              </w:rPr>
              <w:t>évaluation et les rend disponibles en ligne à des fins de consultation.</w:t>
            </w:r>
          </w:p>
        </w:tc>
      </w:tr>
      <w:tr w:rsidR="007F7C62" w14:paraId="336AE048" w14:textId="77777777" w:rsidTr="005E32DA">
        <w:tc>
          <w:tcPr>
            <w:tcW w:w="222" w:type="pct"/>
          </w:tcPr>
          <w:p w14:paraId="0A34D8B1" w14:textId="77777777" w:rsidR="005E32DA" w:rsidRDefault="005E32DA" w:rsidP="005E32DA">
            <w:pPr>
              <w:pStyle w:val="COMParaDecision"/>
              <w:spacing w:before="120"/>
              <w:jc w:val="right"/>
              <w:rPr>
                <w:u w:val="none"/>
              </w:rPr>
            </w:pPr>
            <w:r>
              <w:rPr>
                <w:u w:val="none"/>
                <w:lang w:val="fr-FR"/>
              </w:rPr>
              <w:t>56.</w:t>
            </w:r>
          </w:p>
        </w:tc>
        <w:tc>
          <w:tcPr>
            <w:tcW w:w="697" w:type="pct"/>
          </w:tcPr>
          <w:p w14:paraId="2869BE5E" w14:textId="77777777" w:rsidR="005E32DA" w:rsidRDefault="005E32DA" w:rsidP="005E32DA">
            <w:pPr>
              <w:pStyle w:val="COMParaDecision"/>
              <w:spacing w:before="120"/>
              <w:jc w:val="right"/>
              <w:rPr>
                <w:u w:val="none"/>
              </w:rPr>
            </w:pPr>
            <w:r>
              <w:rPr>
                <w:u w:val="none"/>
                <w:lang w:val="fr-FR"/>
              </w:rPr>
              <w:t>Phase 3 :</w:t>
            </w:r>
          </w:p>
        </w:tc>
        <w:tc>
          <w:tcPr>
            <w:tcW w:w="1606" w:type="pct"/>
          </w:tcPr>
          <w:p w14:paraId="7BB8DB3C" w14:textId="77777777" w:rsidR="005E32DA" w:rsidRDefault="005E32DA" w:rsidP="005E32DA">
            <w:pPr>
              <w:pStyle w:val="COMParaDecision"/>
              <w:spacing w:before="120"/>
              <w:jc w:val="left"/>
              <w:rPr>
                <w:u w:val="none"/>
              </w:rPr>
            </w:pPr>
            <w:r>
              <w:rPr>
                <w:u w:val="none"/>
                <w:lang w:val="fr-FR"/>
              </w:rPr>
              <w:t>Examen</w:t>
            </w:r>
          </w:p>
        </w:tc>
        <w:tc>
          <w:tcPr>
            <w:tcW w:w="209" w:type="pct"/>
          </w:tcPr>
          <w:p w14:paraId="7DBF8ABF" w14:textId="77777777" w:rsidR="005E32DA" w:rsidRDefault="005E32DA" w:rsidP="005E32DA">
            <w:pPr>
              <w:pStyle w:val="COMParaDecision"/>
              <w:spacing w:before="120"/>
              <w:jc w:val="right"/>
              <w:rPr>
                <w:u w:val="none"/>
              </w:rPr>
            </w:pPr>
            <w:r>
              <w:rPr>
                <w:u w:val="none"/>
                <w:lang w:val="fr-FR"/>
              </w:rPr>
              <w:t>56.</w:t>
            </w:r>
          </w:p>
        </w:tc>
        <w:tc>
          <w:tcPr>
            <w:tcW w:w="740" w:type="pct"/>
          </w:tcPr>
          <w:p w14:paraId="383ACEA1" w14:textId="77777777" w:rsidR="005E32DA" w:rsidRPr="00474AAE" w:rsidRDefault="005E32DA" w:rsidP="005E32DA">
            <w:pPr>
              <w:pStyle w:val="COMParaDecision"/>
              <w:spacing w:before="120"/>
              <w:jc w:val="left"/>
              <w:rPr>
                <w:u w:val="none"/>
              </w:rPr>
            </w:pPr>
            <w:r>
              <w:rPr>
                <w:u w:val="none"/>
                <w:lang w:val="fr-FR"/>
              </w:rPr>
              <w:t>[Aucun changement.]</w:t>
            </w:r>
          </w:p>
        </w:tc>
        <w:tc>
          <w:tcPr>
            <w:tcW w:w="1526" w:type="pct"/>
          </w:tcPr>
          <w:p w14:paraId="4315B91A" w14:textId="77777777" w:rsidR="005E32DA" w:rsidRPr="0009414C" w:rsidRDefault="005E32DA" w:rsidP="005E32DA">
            <w:pPr>
              <w:pStyle w:val="COMParaDecision"/>
              <w:spacing w:before="120"/>
              <w:jc w:val="left"/>
            </w:pPr>
          </w:p>
        </w:tc>
      </w:tr>
    </w:tbl>
    <w:p w14:paraId="572ECE62" w14:textId="4C070A4D" w:rsidR="005E32DA" w:rsidRDefault="005E32DA" w:rsidP="005E32DA">
      <w:pPr>
        <w:pStyle w:val="COMParaDecision"/>
      </w:pPr>
    </w:p>
    <w:sectPr w:rsidR="005E32DA" w:rsidSect="005E32DA">
      <w:pgSz w:w="16838" w:h="11906" w:orient="landscape" w:code="9"/>
      <w:pgMar w:top="1134" w:right="1418"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EB727" w14:textId="77777777" w:rsidR="00CB69D9" w:rsidRDefault="00CB69D9">
      <w:r>
        <w:separator/>
      </w:r>
    </w:p>
  </w:endnote>
  <w:endnote w:type="continuationSeparator" w:id="0">
    <w:p w14:paraId="44100B76" w14:textId="77777777" w:rsidR="00CB69D9" w:rsidRDefault="00CB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9BF76" w14:textId="77777777" w:rsidR="00CB69D9" w:rsidRDefault="00CB69D9" w:rsidP="005E32DA">
      <w:r>
        <w:separator/>
      </w:r>
    </w:p>
  </w:footnote>
  <w:footnote w:type="continuationSeparator" w:id="0">
    <w:p w14:paraId="4452F959" w14:textId="77777777" w:rsidR="00CB69D9" w:rsidRDefault="00CB69D9" w:rsidP="005E32DA">
      <w:r>
        <w:continuationSeparator/>
      </w:r>
    </w:p>
  </w:footnote>
  <w:footnote w:id="1">
    <w:p w14:paraId="0078EB0C" w14:textId="2640D56D" w:rsidR="00CB69D9" w:rsidRPr="00F4492B" w:rsidRDefault="00CB69D9" w:rsidP="00A0042F">
      <w:pPr>
        <w:pStyle w:val="Notedebasdepage"/>
        <w:tabs>
          <w:tab w:val="left" w:pos="567"/>
        </w:tabs>
        <w:ind w:left="567" w:hanging="567"/>
        <w:jc w:val="both"/>
        <w:rPr>
          <w:rFonts w:ascii="Arial" w:hAnsi="Arial" w:cs="Arial"/>
          <w:sz w:val="18"/>
          <w:szCs w:val="18"/>
        </w:rPr>
      </w:pPr>
      <w:r w:rsidRPr="00F4492B">
        <w:rPr>
          <w:rStyle w:val="Appelnotedebasdep"/>
          <w:rFonts w:ascii="Arial" w:hAnsi="Arial" w:cs="Arial"/>
          <w:sz w:val="18"/>
          <w:szCs w:val="18"/>
        </w:rPr>
        <w:footnoteRef/>
      </w:r>
      <w:r w:rsidRPr="00F4492B">
        <w:rPr>
          <w:rFonts w:ascii="Arial" w:hAnsi="Arial" w:cs="Arial"/>
          <w:sz w:val="18"/>
          <w:szCs w:val="18"/>
          <w:vertAlign w:val="superscript"/>
        </w:rPr>
        <w:t>.</w:t>
      </w:r>
      <w:r w:rsidRPr="00F4492B">
        <w:rPr>
          <w:rFonts w:ascii="Arial" w:hAnsi="Arial" w:cs="Arial"/>
          <w:sz w:val="18"/>
          <w:szCs w:val="18"/>
        </w:rPr>
        <w:t xml:space="preserve"> </w:t>
      </w:r>
      <w:r>
        <w:rPr>
          <w:rFonts w:ascii="Arial" w:hAnsi="Arial" w:cs="Arial"/>
          <w:sz w:val="18"/>
          <w:szCs w:val="18"/>
        </w:rPr>
        <w:tab/>
      </w:r>
      <w:r w:rsidRPr="006813E4">
        <w:rPr>
          <w:rFonts w:ascii="Arial" w:hAnsi="Arial" w:cs="Arial"/>
          <w:sz w:val="18"/>
          <w:szCs w:val="18"/>
        </w:rPr>
        <w:t xml:space="preserve">Lors de sa troisième session en 2008, le Comité a décidé d'intégrer à la Liste représentative les </w:t>
      </w:r>
      <w:r>
        <w:rPr>
          <w:rFonts w:ascii="Arial" w:hAnsi="Arial" w:cs="Arial"/>
          <w:sz w:val="18"/>
          <w:szCs w:val="18"/>
        </w:rPr>
        <w:t>90</w:t>
      </w:r>
      <w:r w:rsidRPr="006813E4">
        <w:rPr>
          <w:rFonts w:ascii="Arial" w:hAnsi="Arial" w:cs="Arial"/>
          <w:sz w:val="18"/>
          <w:szCs w:val="18"/>
        </w:rPr>
        <w:t xml:space="preserve"> éléments proclamés « Chefs-d'œuvre du patrimoine oral et immatériel de l'humanité » avant l'entrée en vigueur de la Convention (</w:t>
      </w:r>
      <w:hyperlink r:id="rId1" w:history="1">
        <w:r w:rsidR="00A0042F">
          <w:rPr>
            <w:rStyle w:val="Lienhypertexte"/>
            <w:rFonts w:ascii="Arial" w:hAnsi="Arial" w:cs="Arial"/>
            <w:sz w:val="18"/>
            <w:szCs w:val="18"/>
          </w:rPr>
          <w:t>d</w:t>
        </w:r>
        <w:r w:rsidRPr="006813E4">
          <w:rPr>
            <w:rStyle w:val="Lienhypertexte"/>
            <w:rFonts w:ascii="Arial" w:hAnsi="Arial" w:cs="Arial"/>
            <w:sz w:val="18"/>
            <w:szCs w:val="18"/>
          </w:rPr>
          <w:t>écision 3.COM</w:t>
        </w:r>
        <w:r w:rsidR="00E01958" w:rsidRPr="00E01958">
          <w:rPr>
            <w:rStyle w:val="Lienhypertexte"/>
            <w:rFonts w:ascii="Arial" w:hAnsi="Arial" w:cs="Arial"/>
            <w:sz w:val="18"/>
            <w:szCs w:val="18"/>
          </w:rPr>
          <w:t> </w:t>
        </w:r>
        <w:r w:rsidRPr="006813E4">
          <w:rPr>
            <w:rStyle w:val="Lienhypertexte"/>
            <w:rFonts w:ascii="Arial" w:hAnsi="Arial" w:cs="Arial"/>
            <w:sz w:val="18"/>
            <w:szCs w:val="18"/>
          </w:rPr>
          <w:t>1</w:t>
        </w:r>
      </w:hyperlink>
      <w:r w:rsidRPr="006813E4">
        <w:rPr>
          <w:rFonts w:ascii="Arial" w:hAnsi="Arial" w:cs="Arial"/>
          <w:sz w:val="18"/>
          <w:szCs w:val="18"/>
        </w:rPr>
        <w:t>).</w:t>
      </w:r>
    </w:p>
  </w:footnote>
  <w:footnote w:id="2">
    <w:p w14:paraId="458DD47D" w14:textId="77777777" w:rsidR="00CB69D9" w:rsidRPr="009E14C0" w:rsidRDefault="00CB69D9" w:rsidP="00E5654B">
      <w:pPr>
        <w:pStyle w:val="Notedebasdepage"/>
        <w:tabs>
          <w:tab w:val="left" w:pos="567"/>
        </w:tabs>
        <w:ind w:left="567" w:hanging="567"/>
        <w:jc w:val="both"/>
        <w:rPr>
          <w:rFonts w:ascii="Arial" w:hAnsi="Arial" w:cs="Arial"/>
          <w:sz w:val="18"/>
          <w:szCs w:val="18"/>
        </w:rPr>
      </w:pPr>
      <w:r w:rsidRPr="009E14C0">
        <w:rPr>
          <w:rStyle w:val="Appelnotedebasdep"/>
          <w:rFonts w:ascii="Arial" w:hAnsi="Arial" w:cs="Arial"/>
          <w:sz w:val="18"/>
          <w:szCs w:val="18"/>
          <w:lang w:val="en-GB"/>
        </w:rPr>
        <w:footnoteRef/>
      </w:r>
      <w:r w:rsidRPr="009E14C0">
        <w:rPr>
          <w:rFonts w:ascii="Arial" w:hAnsi="Arial" w:cs="Arial"/>
          <w:sz w:val="18"/>
          <w:szCs w:val="18"/>
          <w:vertAlign w:val="superscript"/>
        </w:rPr>
        <w:t>.</w:t>
      </w:r>
      <w:r w:rsidRPr="009E14C0">
        <w:rPr>
          <w:rFonts w:ascii="Arial" w:hAnsi="Arial" w:cs="Arial"/>
          <w:sz w:val="18"/>
          <w:szCs w:val="18"/>
        </w:rPr>
        <w:t xml:space="preserve"> </w:t>
      </w:r>
      <w:r>
        <w:rPr>
          <w:rFonts w:ascii="Arial" w:hAnsi="Arial" w:cs="Arial"/>
          <w:sz w:val="18"/>
          <w:szCs w:val="18"/>
        </w:rPr>
        <w:tab/>
      </w:r>
      <w:r w:rsidRPr="009E14C0">
        <w:rPr>
          <w:rFonts w:ascii="Arial" w:hAnsi="Arial" w:cs="Arial"/>
          <w:sz w:val="18"/>
          <w:szCs w:val="18"/>
        </w:rPr>
        <w:t>Évoquées par le Directeur général de l'UNESCO à l'occasion de l’ouverture de la première réunion intergouvernementale d'experts sur l’avant-projet de Convention.</w:t>
      </w:r>
    </w:p>
  </w:footnote>
  <w:footnote w:id="3">
    <w:p w14:paraId="6D1D8EC2" w14:textId="77777777" w:rsidR="00CB69D9" w:rsidRPr="00CB69D9" w:rsidRDefault="00CB69D9" w:rsidP="001D645C">
      <w:pPr>
        <w:tabs>
          <w:tab w:val="left" w:pos="567"/>
        </w:tabs>
        <w:rPr>
          <w:rFonts w:ascii="Arial" w:hAnsi="Arial" w:cs="Arial"/>
          <w:b/>
          <w:bCs/>
          <w:sz w:val="18"/>
          <w:szCs w:val="18"/>
          <w:lang w:val="en-US"/>
        </w:rPr>
      </w:pPr>
      <w:r w:rsidRPr="009E14C0">
        <w:rPr>
          <w:rFonts w:ascii="Arial" w:hAnsi="Arial" w:cs="Arial"/>
          <w:sz w:val="18"/>
          <w:szCs w:val="18"/>
          <w:vertAlign w:val="superscript"/>
          <w:lang w:val="en-GB"/>
        </w:rPr>
        <w:footnoteRef/>
      </w:r>
      <w:r w:rsidRPr="00CB69D9">
        <w:rPr>
          <w:rFonts w:ascii="Arial" w:hAnsi="Arial" w:cs="Arial"/>
          <w:sz w:val="18"/>
          <w:szCs w:val="18"/>
          <w:vertAlign w:val="superscript"/>
          <w:lang w:val="en-US"/>
        </w:rPr>
        <w:t>.</w:t>
      </w:r>
      <w:r w:rsidRPr="00CB69D9">
        <w:rPr>
          <w:rFonts w:ascii="Arial" w:hAnsi="Arial" w:cs="Arial"/>
          <w:sz w:val="18"/>
          <w:szCs w:val="18"/>
          <w:lang w:val="en-US"/>
        </w:rPr>
        <w:t xml:space="preserve"> </w:t>
      </w:r>
      <w:r w:rsidRPr="00CB69D9">
        <w:rPr>
          <w:rFonts w:ascii="Arial" w:hAnsi="Arial" w:cs="Arial"/>
          <w:sz w:val="18"/>
          <w:szCs w:val="18"/>
          <w:lang w:val="en-US"/>
        </w:rPr>
        <w:tab/>
        <w:t xml:space="preserve">Documents </w:t>
      </w:r>
      <w:hyperlink r:id="rId2" w:history="1">
        <w:r w:rsidRPr="00CB69D9">
          <w:rPr>
            <w:rStyle w:val="Lienhypertexte"/>
            <w:rFonts w:ascii="Arial" w:hAnsi="Arial" w:cs="Arial"/>
            <w:sz w:val="18"/>
            <w:szCs w:val="18"/>
            <w:lang w:val="en-US"/>
          </w:rPr>
          <w:t>ITH/07/2.COM/CONF.208/3</w:t>
        </w:r>
      </w:hyperlink>
      <w:r w:rsidRPr="00CB69D9">
        <w:rPr>
          <w:rFonts w:ascii="Arial" w:hAnsi="Arial" w:cs="Arial"/>
          <w:sz w:val="18"/>
          <w:szCs w:val="18"/>
          <w:lang w:val="en-US"/>
        </w:rPr>
        <w:t xml:space="preserve"> et </w:t>
      </w:r>
      <w:hyperlink r:id="rId3" w:history="1">
        <w:r w:rsidRPr="00CB69D9">
          <w:rPr>
            <w:rStyle w:val="Lienhypertexte"/>
            <w:rFonts w:ascii="Arial" w:hAnsi="Arial" w:cs="Arial"/>
            <w:sz w:val="18"/>
            <w:szCs w:val="18"/>
            <w:lang w:val="en-US"/>
          </w:rPr>
          <w:t>ITH/07/1.EXT.COM/CONF.207/12</w:t>
        </w:r>
      </w:hyperlink>
    </w:p>
  </w:footnote>
  <w:footnote w:id="4">
    <w:p w14:paraId="21FA9008" w14:textId="72AADFBA" w:rsidR="00CB69D9" w:rsidRPr="009E14C0" w:rsidRDefault="00CB69D9" w:rsidP="001D645C">
      <w:pPr>
        <w:pStyle w:val="Notedebasdepage"/>
        <w:tabs>
          <w:tab w:val="left" w:pos="567"/>
        </w:tabs>
        <w:rPr>
          <w:rFonts w:ascii="Arial" w:hAnsi="Arial" w:cs="Arial"/>
          <w:sz w:val="18"/>
          <w:szCs w:val="18"/>
        </w:rPr>
      </w:pPr>
      <w:r w:rsidRPr="009E14C0">
        <w:rPr>
          <w:rStyle w:val="Appelnotedebasdep"/>
          <w:rFonts w:ascii="Arial" w:hAnsi="Arial" w:cs="Arial"/>
          <w:sz w:val="18"/>
          <w:szCs w:val="18"/>
          <w:lang w:val="en-GB"/>
        </w:rPr>
        <w:footnoteRef/>
      </w:r>
      <w:r w:rsidRPr="009E14C0">
        <w:rPr>
          <w:rFonts w:ascii="Arial" w:hAnsi="Arial" w:cs="Arial"/>
          <w:sz w:val="18"/>
          <w:szCs w:val="18"/>
          <w:vertAlign w:val="superscript"/>
        </w:rPr>
        <w:t>.</w:t>
      </w:r>
      <w:r w:rsidRPr="009E14C0">
        <w:rPr>
          <w:rFonts w:ascii="Arial" w:hAnsi="Arial" w:cs="Arial"/>
          <w:sz w:val="18"/>
          <w:szCs w:val="18"/>
        </w:rPr>
        <w:t xml:space="preserve"> </w:t>
      </w:r>
      <w:r>
        <w:rPr>
          <w:rFonts w:ascii="Arial" w:hAnsi="Arial" w:cs="Arial"/>
          <w:sz w:val="18"/>
          <w:szCs w:val="18"/>
        </w:rPr>
        <w:tab/>
      </w:r>
      <w:hyperlink r:id="rId4" w:history="1">
        <w:r w:rsidR="00E5654B">
          <w:rPr>
            <w:rStyle w:val="Lienhypertexte"/>
            <w:rFonts w:ascii="Arial" w:hAnsi="Arial" w:cs="Arial"/>
            <w:sz w:val="18"/>
            <w:szCs w:val="18"/>
          </w:rPr>
          <w:t>R</w:t>
        </w:r>
        <w:r w:rsidRPr="009E14C0">
          <w:rPr>
            <w:rStyle w:val="Lienhypertexte"/>
            <w:rFonts w:ascii="Arial" w:hAnsi="Arial" w:cs="Arial"/>
            <w:sz w:val="18"/>
            <w:szCs w:val="18"/>
          </w:rPr>
          <w:t>ésolution 2.GA 5</w:t>
        </w:r>
      </w:hyperlink>
    </w:p>
  </w:footnote>
  <w:footnote w:id="5">
    <w:p w14:paraId="24743795" w14:textId="77777777" w:rsidR="00CB69D9" w:rsidRPr="009E14C0" w:rsidRDefault="00CB69D9" w:rsidP="001D645C">
      <w:pPr>
        <w:pStyle w:val="Notedebasdepage"/>
        <w:tabs>
          <w:tab w:val="left" w:pos="567"/>
        </w:tabs>
        <w:rPr>
          <w:rFonts w:ascii="Arial" w:hAnsi="Arial" w:cs="Arial"/>
          <w:sz w:val="18"/>
          <w:szCs w:val="18"/>
        </w:rPr>
      </w:pPr>
      <w:r w:rsidRPr="009E14C0">
        <w:rPr>
          <w:rStyle w:val="Appelnotedebasdep"/>
          <w:rFonts w:ascii="Arial" w:hAnsi="Arial" w:cs="Arial"/>
          <w:sz w:val="18"/>
          <w:szCs w:val="18"/>
        </w:rPr>
        <w:footnoteRef/>
      </w:r>
      <w:r w:rsidRPr="009E14C0">
        <w:rPr>
          <w:rFonts w:ascii="Arial" w:hAnsi="Arial" w:cs="Arial"/>
          <w:sz w:val="18"/>
          <w:szCs w:val="18"/>
          <w:vertAlign w:val="superscript"/>
        </w:rPr>
        <w:t>.</w:t>
      </w:r>
      <w:r w:rsidRPr="009E14C0">
        <w:rPr>
          <w:rFonts w:ascii="Arial" w:hAnsi="Arial" w:cs="Arial"/>
          <w:sz w:val="18"/>
          <w:szCs w:val="18"/>
        </w:rPr>
        <w:t xml:space="preserve"> </w:t>
      </w:r>
      <w:r>
        <w:rPr>
          <w:rFonts w:ascii="Arial" w:hAnsi="Arial" w:cs="Arial"/>
          <w:sz w:val="18"/>
          <w:szCs w:val="18"/>
        </w:rPr>
        <w:tab/>
      </w:r>
      <w:r w:rsidRPr="009E14C0">
        <w:rPr>
          <w:rFonts w:ascii="Arial" w:hAnsi="Arial" w:cs="Arial"/>
          <w:sz w:val="18"/>
          <w:szCs w:val="18"/>
        </w:rPr>
        <w:t>Sessions du Comité :</w:t>
      </w:r>
    </w:p>
    <w:p w14:paraId="19851D35" w14:textId="77777777" w:rsidR="00CB69D9" w:rsidRPr="009E14C0" w:rsidRDefault="00CB69D9" w:rsidP="001D645C">
      <w:pPr>
        <w:pStyle w:val="Notedebasdepage"/>
        <w:numPr>
          <w:ilvl w:val="0"/>
          <w:numId w:val="7"/>
        </w:numPr>
        <w:ind w:left="709" w:hanging="142"/>
        <w:rPr>
          <w:rFonts w:ascii="Arial" w:hAnsi="Arial" w:cs="Arial"/>
          <w:sz w:val="18"/>
          <w:szCs w:val="18"/>
        </w:rPr>
      </w:pPr>
      <w:r w:rsidRPr="009E14C0">
        <w:rPr>
          <w:rFonts w:ascii="Arial" w:hAnsi="Arial" w:cs="Arial"/>
          <w:sz w:val="18"/>
          <w:szCs w:val="18"/>
        </w:rPr>
        <w:t>Première session du Comité (novembre 2006, Alger, Algérie)</w:t>
      </w:r>
    </w:p>
    <w:p w14:paraId="22BE3812" w14:textId="77777777" w:rsidR="00CB69D9" w:rsidRPr="009E14C0" w:rsidRDefault="00CB69D9" w:rsidP="00E5654B">
      <w:pPr>
        <w:pStyle w:val="Notedebasdepage"/>
        <w:numPr>
          <w:ilvl w:val="0"/>
          <w:numId w:val="7"/>
        </w:numPr>
        <w:ind w:left="709" w:hanging="142"/>
        <w:jc w:val="both"/>
        <w:rPr>
          <w:rFonts w:ascii="Arial" w:hAnsi="Arial" w:cs="Arial"/>
          <w:sz w:val="18"/>
          <w:szCs w:val="18"/>
        </w:rPr>
      </w:pPr>
      <w:r w:rsidRPr="009E14C0">
        <w:rPr>
          <w:rFonts w:ascii="Arial" w:hAnsi="Arial" w:cs="Arial"/>
          <w:sz w:val="18"/>
          <w:szCs w:val="18"/>
        </w:rPr>
        <w:t>Première session extraordinaire du Comité (mai 2007, Chengdu, Chine)</w:t>
      </w:r>
    </w:p>
    <w:p w14:paraId="7679DEC1" w14:textId="77777777" w:rsidR="00CB69D9" w:rsidRPr="009E14C0" w:rsidRDefault="00CB69D9" w:rsidP="00E5654B">
      <w:pPr>
        <w:pStyle w:val="Notedebasdepage"/>
        <w:numPr>
          <w:ilvl w:val="0"/>
          <w:numId w:val="7"/>
        </w:numPr>
        <w:ind w:left="709" w:hanging="142"/>
        <w:jc w:val="both"/>
        <w:rPr>
          <w:rFonts w:ascii="Arial" w:hAnsi="Arial" w:cs="Arial"/>
          <w:sz w:val="18"/>
          <w:szCs w:val="18"/>
        </w:rPr>
      </w:pPr>
      <w:r w:rsidRPr="009E14C0">
        <w:rPr>
          <w:rFonts w:ascii="Arial" w:hAnsi="Arial" w:cs="Arial"/>
          <w:sz w:val="18"/>
          <w:szCs w:val="18"/>
        </w:rPr>
        <w:t>Deuxième session du Comité (septembre 2007, Tokyo, Japon)</w:t>
      </w:r>
    </w:p>
  </w:footnote>
  <w:footnote w:id="6">
    <w:p w14:paraId="3C63989C" w14:textId="77777777" w:rsidR="00CB69D9" w:rsidRPr="009E14C0" w:rsidRDefault="00CB69D9" w:rsidP="00E5654B">
      <w:pPr>
        <w:pStyle w:val="Notedebasdepage"/>
        <w:tabs>
          <w:tab w:val="left" w:pos="567"/>
        </w:tabs>
        <w:jc w:val="both"/>
        <w:rPr>
          <w:rFonts w:ascii="Arial" w:hAnsi="Arial" w:cs="Arial"/>
          <w:sz w:val="18"/>
          <w:szCs w:val="18"/>
        </w:rPr>
      </w:pPr>
      <w:r w:rsidRPr="009E14C0">
        <w:rPr>
          <w:rStyle w:val="Appelnotedebasdep"/>
          <w:rFonts w:ascii="Arial" w:hAnsi="Arial" w:cs="Arial"/>
          <w:sz w:val="18"/>
          <w:szCs w:val="18"/>
          <w:lang w:val="en-GB"/>
        </w:rPr>
        <w:footnoteRef/>
      </w:r>
      <w:r w:rsidRPr="009E14C0">
        <w:rPr>
          <w:rFonts w:ascii="Arial" w:hAnsi="Arial" w:cs="Arial"/>
          <w:sz w:val="18"/>
          <w:szCs w:val="18"/>
          <w:vertAlign w:val="superscript"/>
        </w:rPr>
        <w:t>.</w:t>
      </w:r>
      <w:r w:rsidRPr="009E14C0">
        <w:rPr>
          <w:rFonts w:ascii="Arial" w:hAnsi="Arial" w:cs="Arial"/>
          <w:sz w:val="18"/>
          <w:szCs w:val="18"/>
        </w:rPr>
        <w:t xml:space="preserve"> </w:t>
      </w:r>
      <w:r>
        <w:rPr>
          <w:rFonts w:ascii="Arial" w:hAnsi="Arial" w:cs="Arial"/>
          <w:sz w:val="18"/>
          <w:szCs w:val="18"/>
        </w:rPr>
        <w:tab/>
      </w:r>
      <w:r w:rsidRPr="009E14C0">
        <w:rPr>
          <w:rFonts w:ascii="Arial" w:hAnsi="Arial" w:cs="Arial"/>
          <w:sz w:val="18"/>
          <w:szCs w:val="18"/>
        </w:rPr>
        <w:t>Réunions d'experts :</w:t>
      </w:r>
    </w:p>
    <w:p w14:paraId="53E2744F" w14:textId="15881E67" w:rsidR="00CB69D9" w:rsidRPr="00255DED" w:rsidRDefault="00CB69D9" w:rsidP="00E5654B">
      <w:pPr>
        <w:pStyle w:val="Notedebasdepage"/>
        <w:numPr>
          <w:ilvl w:val="0"/>
          <w:numId w:val="7"/>
        </w:numPr>
        <w:ind w:left="709" w:hanging="142"/>
        <w:jc w:val="both"/>
        <w:rPr>
          <w:rFonts w:ascii="Arial" w:hAnsi="Arial" w:cs="Arial"/>
          <w:sz w:val="18"/>
          <w:szCs w:val="18"/>
        </w:rPr>
      </w:pPr>
      <w:r>
        <w:rPr>
          <w:rFonts w:ascii="Arial" w:hAnsi="Arial" w:cs="Arial"/>
          <w:sz w:val="18"/>
          <w:szCs w:val="18"/>
        </w:rPr>
        <w:t>Les c</w:t>
      </w:r>
      <w:r w:rsidR="009E1E41">
        <w:rPr>
          <w:rFonts w:ascii="Arial" w:hAnsi="Arial" w:cs="Arial"/>
          <w:sz w:val="18"/>
          <w:szCs w:val="18"/>
        </w:rPr>
        <w:t>ritères de sélection pour l’</w:t>
      </w:r>
      <w:r w:rsidRPr="00CB69D9">
        <w:rPr>
          <w:rFonts w:ascii="Arial" w:hAnsi="Arial" w:cs="Arial"/>
          <w:sz w:val="18"/>
          <w:szCs w:val="18"/>
        </w:rPr>
        <w:t>inscription d'éléments du patrimoine culturel immatériel sur les listes établis par la Convention de 2003 pour la sauvegarde du patrimoine culturel immatériel</w:t>
      </w:r>
      <w:r>
        <w:rPr>
          <w:rFonts w:ascii="Arial" w:hAnsi="Arial" w:cs="Arial"/>
          <w:sz w:val="18"/>
          <w:szCs w:val="18"/>
        </w:rPr>
        <w:t xml:space="preserve"> (décembre 2005, siège de l’UNESCO, Paris)</w:t>
      </w:r>
      <w:r w:rsidR="00E5654B">
        <w:rPr>
          <w:rFonts w:ascii="Arial" w:hAnsi="Arial" w:cs="Arial"/>
          <w:sz w:val="18"/>
          <w:szCs w:val="18"/>
        </w:rPr>
        <w:t>.</w:t>
      </w:r>
    </w:p>
    <w:p w14:paraId="3194DA29" w14:textId="0C0A196F" w:rsidR="00CB69D9" w:rsidRPr="004C1DBE" w:rsidRDefault="00CB69D9" w:rsidP="00E5654B">
      <w:pPr>
        <w:pStyle w:val="Notedebasdepage"/>
        <w:numPr>
          <w:ilvl w:val="0"/>
          <w:numId w:val="7"/>
        </w:numPr>
        <w:ind w:left="709" w:hanging="142"/>
        <w:jc w:val="both"/>
        <w:rPr>
          <w:rFonts w:ascii="Arial" w:hAnsi="Arial" w:cs="Arial"/>
          <w:sz w:val="18"/>
          <w:szCs w:val="18"/>
        </w:rPr>
      </w:pPr>
      <w:r>
        <w:rPr>
          <w:rFonts w:ascii="Arial" w:hAnsi="Arial" w:cs="Arial"/>
          <w:sz w:val="18"/>
          <w:szCs w:val="18"/>
        </w:rPr>
        <w:t>L</w:t>
      </w:r>
      <w:r w:rsidR="009E1E41">
        <w:rPr>
          <w:rFonts w:ascii="Arial" w:hAnsi="Arial" w:cs="Arial"/>
          <w:sz w:val="18"/>
          <w:szCs w:val="18"/>
        </w:rPr>
        <w:t>’</w:t>
      </w:r>
      <w:r w:rsidRPr="00CB69D9">
        <w:rPr>
          <w:rFonts w:ascii="Arial" w:hAnsi="Arial" w:cs="Arial"/>
          <w:sz w:val="18"/>
          <w:szCs w:val="18"/>
        </w:rPr>
        <w:t>Implication des Communautés dans la Sauvegarde du Patrimoine Culturel Immatériel</w:t>
      </w:r>
      <w:r w:rsidRPr="00CB69D9" w:rsidDel="004C1DBE">
        <w:rPr>
          <w:rFonts w:ascii="Arial" w:hAnsi="Arial" w:cs="Arial"/>
          <w:sz w:val="18"/>
          <w:szCs w:val="18"/>
        </w:rPr>
        <w:t xml:space="preserve"> </w:t>
      </w:r>
      <w:r w:rsidRPr="004C1DBE">
        <w:rPr>
          <w:rFonts w:ascii="Arial" w:hAnsi="Arial" w:cs="Arial"/>
          <w:sz w:val="18"/>
          <w:szCs w:val="18"/>
        </w:rPr>
        <w:t>(mars 2006, Tokyo, Japon)</w:t>
      </w:r>
      <w:r w:rsidR="00E5654B">
        <w:rPr>
          <w:rFonts w:ascii="Arial" w:hAnsi="Arial" w:cs="Arial"/>
          <w:sz w:val="18"/>
          <w:szCs w:val="18"/>
        </w:rPr>
        <w:t>.</w:t>
      </w:r>
    </w:p>
    <w:p w14:paraId="36821A1B" w14:textId="503A82CE" w:rsidR="00CB69D9" w:rsidRPr="009E14C0" w:rsidRDefault="00CB69D9" w:rsidP="00E5654B">
      <w:pPr>
        <w:pStyle w:val="Notedebasdepage"/>
        <w:numPr>
          <w:ilvl w:val="0"/>
          <w:numId w:val="7"/>
        </w:numPr>
        <w:ind w:left="709" w:hanging="142"/>
        <w:jc w:val="both"/>
        <w:rPr>
          <w:rFonts w:ascii="Arial" w:hAnsi="Arial" w:cs="Arial"/>
          <w:sz w:val="18"/>
          <w:szCs w:val="18"/>
        </w:rPr>
      </w:pPr>
      <w:r w:rsidRPr="00255DED">
        <w:rPr>
          <w:rFonts w:ascii="Arial" w:hAnsi="Arial" w:cs="Arial"/>
          <w:sz w:val="18"/>
          <w:szCs w:val="18"/>
        </w:rPr>
        <w:t>Les listes établies par la Convention de 2003 pour la sauvegarde du patrimoine culturel immatériel (avril 2007</w:t>
      </w:r>
      <w:r w:rsidRPr="004B70D7">
        <w:rPr>
          <w:rFonts w:ascii="Arial" w:hAnsi="Arial" w:cs="Arial"/>
          <w:sz w:val="18"/>
          <w:szCs w:val="18"/>
        </w:rPr>
        <w:t>,</w:t>
      </w:r>
      <w:r w:rsidRPr="00255DED">
        <w:rPr>
          <w:rFonts w:ascii="Arial" w:hAnsi="Arial" w:cs="Arial"/>
          <w:sz w:val="18"/>
          <w:szCs w:val="18"/>
        </w:rPr>
        <w:t xml:space="preserve"> New Delhi, Inde)</w:t>
      </w:r>
      <w:r w:rsidR="00E5654B">
        <w:rPr>
          <w:rFonts w:ascii="Arial" w:hAnsi="Arial" w:cs="Arial"/>
          <w:sz w:val="18"/>
          <w:szCs w:val="18"/>
        </w:rPr>
        <w:t>.</w:t>
      </w:r>
    </w:p>
  </w:footnote>
  <w:footnote w:id="7">
    <w:p w14:paraId="38305507" w14:textId="335C1C1B" w:rsidR="00CB69D9" w:rsidRPr="009E14C0" w:rsidRDefault="00CB69D9" w:rsidP="001D645C">
      <w:pPr>
        <w:pStyle w:val="Notedebasdepage"/>
        <w:tabs>
          <w:tab w:val="left" w:pos="567"/>
        </w:tabs>
        <w:ind w:left="567" w:hanging="567"/>
        <w:rPr>
          <w:rFonts w:ascii="Arial" w:hAnsi="Arial" w:cs="Arial"/>
          <w:sz w:val="18"/>
          <w:szCs w:val="18"/>
        </w:rPr>
      </w:pPr>
      <w:r w:rsidRPr="009E14C0">
        <w:rPr>
          <w:rStyle w:val="Appelnotedebasdep"/>
          <w:rFonts w:ascii="Arial" w:hAnsi="Arial" w:cs="Arial"/>
          <w:sz w:val="18"/>
          <w:szCs w:val="18"/>
          <w:lang w:val="en-GB"/>
        </w:rPr>
        <w:footnoteRef/>
      </w:r>
      <w:r w:rsidRPr="009E14C0">
        <w:rPr>
          <w:rStyle w:val="Lienhypertexte"/>
          <w:rFonts w:ascii="Arial" w:hAnsi="Arial" w:cs="Arial"/>
          <w:sz w:val="18"/>
          <w:szCs w:val="18"/>
          <w:u w:val="none"/>
          <w:vertAlign w:val="superscript"/>
        </w:rPr>
        <w:t>.</w:t>
      </w:r>
      <w:r w:rsidRPr="009E14C0">
        <w:rPr>
          <w:rStyle w:val="Lienhypertexte"/>
          <w:rFonts w:ascii="Arial" w:hAnsi="Arial" w:cs="Arial"/>
          <w:sz w:val="18"/>
          <w:szCs w:val="18"/>
          <w:u w:val="none"/>
        </w:rPr>
        <w:t xml:space="preserve"> </w:t>
      </w:r>
      <w:r>
        <w:rPr>
          <w:rStyle w:val="Lienhypertexte"/>
          <w:rFonts w:ascii="Arial" w:hAnsi="Arial" w:cs="Arial"/>
          <w:sz w:val="18"/>
          <w:szCs w:val="18"/>
          <w:u w:val="none"/>
        </w:rPr>
        <w:tab/>
      </w:r>
      <w:hyperlink r:id="rId5" w:history="1">
        <w:r w:rsidRPr="009E14C0">
          <w:rPr>
            <w:rStyle w:val="Lienhypertexte"/>
            <w:rFonts w:ascii="Arial" w:hAnsi="Arial" w:cs="Arial"/>
            <w:sz w:val="18"/>
            <w:szCs w:val="18"/>
          </w:rPr>
          <w:t>Synthèse du rapport sur la réunion « Les listes établies par la Convention de 2003 pour la sauvegarde du patrimoine culturel immatériel » (avril 2007, New Delhi, Inde)</w:t>
        </w:r>
      </w:hyperlink>
      <w:bookmarkStart w:id="0" w:name="_GoBack"/>
      <w:bookmarkEnd w:id="0"/>
    </w:p>
  </w:footnote>
  <w:footnote w:id="8">
    <w:p w14:paraId="313AB181" w14:textId="77777777" w:rsidR="00CB69D9" w:rsidRPr="009E14C0" w:rsidRDefault="00CB69D9" w:rsidP="001D645C">
      <w:pPr>
        <w:pStyle w:val="Notedebasdepage"/>
        <w:tabs>
          <w:tab w:val="left" w:pos="567"/>
        </w:tabs>
        <w:rPr>
          <w:rFonts w:ascii="Arial" w:hAnsi="Arial" w:cs="Arial"/>
          <w:sz w:val="18"/>
          <w:szCs w:val="18"/>
        </w:rPr>
      </w:pPr>
      <w:r w:rsidRPr="009E14C0">
        <w:rPr>
          <w:rStyle w:val="Appelnotedebasdep"/>
          <w:rFonts w:ascii="Arial" w:hAnsi="Arial" w:cs="Arial"/>
          <w:sz w:val="18"/>
          <w:szCs w:val="18"/>
          <w:lang w:val="en-GB"/>
        </w:rPr>
        <w:footnoteRef/>
      </w:r>
      <w:r w:rsidRPr="009E14C0">
        <w:rPr>
          <w:rFonts w:ascii="Arial" w:hAnsi="Arial" w:cs="Arial"/>
          <w:sz w:val="18"/>
          <w:szCs w:val="18"/>
          <w:vertAlign w:val="superscript"/>
        </w:rPr>
        <w:t>.</w:t>
      </w:r>
      <w:r w:rsidRPr="009E14C0">
        <w:rPr>
          <w:rFonts w:ascii="Arial" w:hAnsi="Arial" w:cs="Arial"/>
          <w:sz w:val="18"/>
          <w:szCs w:val="18"/>
        </w:rPr>
        <w:t xml:space="preserve"> </w:t>
      </w:r>
      <w:r>
        <w:rPr>
          <w:rFonts w:ascii="Arial" w:hAnsi="Arial" w:cs="Arial"/>
          <w:sz w:val="18"/>
          <w:szCs w:val="18"/>
        </w:rPr>
        <w:tab/>
      </w:r>
      <w:hyperlink r:id="rId6" w:history="1">
        <w:r w:rsidRPr="009E14C0">
          <w:rPr>
            <w:rStyle w:val="Lienhypertexte"/>
            <w:rFonts w:ascii="Arial" w:hAnsi="Arial" w:cs="Arial"/>
            <w:sz w:val="18"/>
            <w:szCs w:val="18"/>
          </w:rPr>
          <w:t>Résolution 3.GA 5</w:t>
        </w:r>
      </w:hyperlink>
    </w:p>
  </w:footnote>
  <w:footnote w:id="9">
    <w:p w14:paraId="33B8720A" w14:textId="77777777" w:rsidR="00CB69D9" w:rsidRPr="009E14C0" w:rsidRDefault="00CB69D9" w:rsidP="001D645C">
      <w:pPr>
        <w:pStyle w:val="Notedebasdepage"/>
        <w:tabs>
          <w:tab w:val="left" w:pos="567"/>
        </w:tabs>
        <w:rPr>
          <w:rFonts w:ascii="Arial" w:hAnsi="Arial" w:cs="Arial"/>
          <w:sz w:val="18"/>
          <w:szCs w:val="18"/>
        </w:rPr>
      </w:pPr>
      <w:r w:rsidRPr="009E14C0">
        <w:rPr>
          <w:rStyle w:val="Appelnotedebasdep"/>
          <w:rFonts w:ascii="Arial" w:hAnsi="Arial" w:cs="Arial"/>
          <w:sz w:val="18"/>
          <w:szCs w:val="18"/>
          <w:lang w:val="en-GB"/>
        </w:rPr>
        <w:footnoteRef/>
      </w:r>
      <w:r w:rsidRPr="009E14C0">
        <w:rPr>
          <w:rFonts w:ascii="Arial" w:hAnsi="Arial" w:cs="Arial"/>
          <w:sz w:val="18"/>
          <w:szCs w:val="18"/>
          <w:vertAlign w:val="superscript"/>
        </w:rPr>
        <w:t>.</w:t>
      </w:r>
      <w:r w:rsidRPr="009E14C0">
        <w:rPr>
          <w:rFonts w:ascii="Arial" w:hAnsi="Arial" w:cs="Arial"/>
          <w:sz w:val="18"/>
          <w:szCs w:val="18"/>
        </w:rPr>
        <w:t xml:space="preserve"> </w:t>
      </w:r>
      <w:r>
        <w:rPr>
          <w:rFonts w:ascii="Arial" w:hAnsi="Arial" w:cs="Arial"/>
          <w:sz w:val="18"/>
          <w:szCs w:val="18"/>
        </w:rPr>
        <w:tab/>
      </w:r>
      <w:hyperlink r:id="rId7" w:history="1">
        <w:r w:rsidRPr="009E14C0">
          <w:rPr>
            <w:rStyle w:val="Lienhypertexte"/>
            <w:rFonts w:ascii="Arial" w:hAnsi="Arial" w:cs="Arial"/>
            <w:sz w:val="18"/>
            <w:szCs w:val="18"/>
          </w:rPr>
          <w:t>Résolution 5.GA 5.1</w:t>
        </w:r>
      </w:hyperlink>
    </w:p>
  </w:footnote>
  <w:footnote w:id="10">
    <w:p w14:paraId="45FBAABF" w14:textId="77777777" w:rsidR="00CB69D9" w:rsidRPr="009E14C0" w:rsidRDefault="00CB69D9" w:rsidP="001D645C">
      <w:pPr>
        <w:pStyle w:val="Notedebasdepage"/>
        <w:tabs>
          <w:tab w:val="left" w:pos="567"/>
        </w:tabs>
        <w:rPr>
          <w:rFonts w:ascii="Arial" w:hAnsi="Arial" w:cs="Arial"/>
          <w:sz w:val="18"/>
          <w:szCs w:val="18"/>
        </w:rPr>
      </w:pPr>
      <w:r w:rsidRPr="009E14C0">
        <w:rPr>
          <w:rStyle w:val="Appelnotedebasdep"/>
          <w:rFonts w:ascii="Arial" w:hAnsi="Arial" w:cs="Arial"/>
          <w:sz w:val="18"/>
          <w:szCs w:val="18"/>
        </w:rPr>
        <w:footnoteRef/>
      </w:r>
      <w:r w:rsidRPr="009E14C0">
        <w:rPr>
          <w:rFonts w:ascii="Arial" w:hAnsi="Arial" w:cs="Arial"/>
          <w:sz w:val="18"/>
          <w:szCs w:val="18"/>
          <w:vertAlign w:val="superscript"/>
        </w:rPr>
        <w:t>.</w:t>
      </w:r>
      <w:r w:rsidRPr="009E14C0">
        <w:rPr>
          <w:rFonts w:ascii="Arial" w:hAnsi="Arial" w:cs="Arial"/>
          <w:sz w:val="18"/>
          <w:szCs w:val="18"/>
        </w:rPr>
        <w:t xml:space="preserve"> </w:t>
      </w:r>
      <w:r>
        <w:rPr>
          <w:rFonts w:ascii="Arial" w:hAnsi="Arial" w:cs="Arial"/>
          <w:sz w:val="18"/>
          <w:szCs w:val="18"/>
        </w:rPr>
        <w:tab/>
      </w:r>
      <w:r w:rsidRPr="009E14C0">
        <w:rPr>
          <w:rFonts w:ascii="Arial" w:hAnsi="Arial" w:cs="Arial"/>
          <w:sz w:val="18"/>
          <w:szCs w:val="18"/>
        </w:rPr>
        <w:t xml:space="preserve">Documents </w:t>
      </w:r>
      <w:hyperlink r:id="rId8" w:history="1">
        <w:r w:rsidRPr="009E14C0">
          <w:rPr>
            <w:rStyle w:val="Lienhypertexte"/>
            <w:rFonts w:ascii="Arial" w:hAnsi="Arial" w:cs="Arial"/>
            <w:sz w:val="18"/>
            <w:szCs w:val="18"/>
          </w:rPr>
          <w:t>ITH/15/10.COM/10</w:t>
        </w:r>
      </w:hyperlink>
      <w:r w:rsidRPr="009E14C0">
        <w:rPr>
          <w:rFonts w:ascii="Arial" w:hAnsi="Arial" w:cs="Arial"/>
          <w:sz w:val="18"/>
          <w:szCs w:val="18"/>
        </w:rPr>
        <w:t xml:space="preserve"> et </w:t>
      </w:r>
      <w:hyperlink r:id="rId9" w:history="1">
        <w:r w:rsidRPr="009E14C0">
          <w:rPr>
            <w:rStyle w:val="Lienhypertexte"/>
            <w:rFonts w:ascii="Arial" w:hAnsi="Arial" w:cs="Arial"/>
            <w:sz w:val="18"/>
            <w:szCs w:val="18"/>
          </w:rPr>
          <w:t>ITH/18/13.COM/10</w:t>
        </w:r>
      </w:hyperlink>
    </w:p>
  </w:footnote>
  <w:footnote w:id="11">
    <w:p w14:paraId="62D2354E" w14:textId="77777777" w:rsidR="00CB69D9" w:rsidRPr="009E14C0" w:rsidRDefault="00CB69D9" w:rsidP="001D645C">
      <w:pPr>
        <w:pStyle w:val="Notedebasdepage"/>
        <w:tabs>
          <w:tab w:val="left" w:pos="567"/>
        </w:tabs>
        <w:rPr>
          <w:rFonts w:ascii="Arial" w:hAnsi="Arial" w:cs="Arial"/>
          <w:sz w:val="18"/>
          <w:szCs w:val="18"/>
        </w:rPr>
      </w:pPr>
      <w:r w:rsidRPr="009E14C0">
        <w:rPr>
          <w:rStyle w:val="Appelnotedebasdep"/>
          <w:rFonts w:ascii="Arial" w:hAnsi="Arial" w:cs="Arial"/>
          <w:sz w:val="18"/>
          <w:szCs w:val="18"/>
        </w:rPr>
        <w:footnoteRef/>
      </w:r>
      <w:r w:rsidRPr="009E14C0">
        <w:rPr>
          <w:rFonts w:ascii="Arial" w:hAnsi="Arial" w:cs="Arial"/>
          <w:sz w:val="18"/>
          <w:szCs w:val="18"/>
          <w:vertAlign w:val="superscript"/>
        </w:rPr>
        <w:t>.</w:t>
      </w:r>
      <w:r w:rsidRPr="009E14C0">
        <w:rPr>
          <w:rFonts w:ascii="Arial" w:hAnsi="Arial" w:cs="Arial"/>
          <w:sz w:val="18"/>
          <w:szCs w:val="18"/>
        </w:rPr>
        <w:t xml:space="preserve"> </w:t>
      </w:r>
      <w:r>
        <w:rPr>
          <w:rFonts w:ascii="Arial" w:hAnsi="Arial" w:cs="Arial"/>
          <w:sz w:val="18"/>
          <w:szCs w:val="18"/>
        </w:rPr>
        <w:tab/>
      </w:r>
      <w:hyperlink r:id="rId10" w:history="1">
        <w:r w:rsidRPr="009E14C0">
          <w:rPr>
            <w:rStyle w:val="Lienhypertexte"/>
            <w:rFonts w:ascii="Arial" w:hAnsi="Arial" w:cs="Arial"/>
            <w:sz w:val="18"/>
            <w:szCs w:val="18"/>
          </w:rPr>
          <w:t>Document IOS/EVS/PI/129</w:t>
        </w:r>
      </w:hyperlink>
    </w:p>
  </w:footnote>
  <w:footnote w:id="12">
    <w:p w14:paraId="3553DBF6" w14:textId="77777777" w:rsidR="00CB69D9" w:rsidRPr="009E14C0" w:rsidRDefault="00CB69D9" w:rsidP="001D645C">
      <w:pPr>
        <w:pStyle w:val="Notedebasdepage"/>
        <w:tabs>
          <w:tab w:val="left" w:pos="567"/>
        </w:tabs>
        <w:rPr>
          <w:rFonts w:ascii="Arial" w:hAnsi="Arial" w:cs="Arial"/>
          <w:sz w:val="18"/>
          <w:szCs w:val="18"/>
        </w:rPr>
      </w:pPr>
      <w:r w:rsidRPr="009E14C0">
        <w:rPr>
          <w:rStyle w:val="Appelnotedebasdep"/>
          <w:rFonts w:ascii="Arial" w:hAnsi="Arial" w:cs="Arial"/>
          <w:sz w:val="18"/>
          <w:szCs w:val="18"/>
        </w:rPr>
        <w:footnoteRef/>
      </w:r>
      <w:r w:rsidRPr="009E14C0">
        <w:rPr>
          <w:rFonts w:ascii="Arial" w:hAnsi="Arial" w:cs="Arial"/>
          <w:sz w:val="18"/>
          <w:szCs w:val="18"/>
          <w:vertAlign w:val="superscript"/>
        </w:rPr>
        <w:t>.</w:t>
      </w:r>
      <w:r w:rsidRPr="009E14C0">
        <w:rPr>
          <w:rFonts w:ascii="Arial" w:hAnsi="Arial" w:cs="Arial"/>
          <w:sz w:val="18"/>
          <w:szCs w:val="18"/>
        </w:rPr>
        <w:t xml:space="preserve"> </w:t>
      </w:r>
      <w:r>
        <w:rPr>
          <w:rFonts w:ascii="Arial" w:hAnsi="Arial" w:cs="Arial"/>
          <w:sz w:val="18"/>
          <w:szCs w:val="18"/>
        </w:rPr>
        <w:tab/>
      </w:r>
      <w:r w:rsidRPr="009E14C0">
        <w:rPr>
          <w:rFonts w:ascii="Arial" w:hAnsi="Arial" w:cs="Arial"/>
          <w:sz w:val="18"/>
          <w:szCs w:val="18"/>
        </w:rPr>
        <w:t xml:space="preserve">Documents </w:t>
      </w:r>
      <w:hyperlink r:id="rId11" w:history="1">
        <w:r w:rsidRPr="009E14C0">
          <w:rPr>
            <w:rStyle w:val="Lienhypertexte"/>
            <w:rFonts w:ascii="Arial" w:hAnsi="Arial" w:cs="Arial"/>
            <w:sz w:val="18"/>
            <w:szCs w:val="18"/>
          </w:rPr>
          <w:t>ITH/14/9.COM/4</w:t>
        </w:r>
      </w:hyperlink>
      <w:r w:rsidRPr="009E14C0">
        <w:rPr>
          <w:rFonts w:ascii="Arial" w:hAnsi="Arial" w:cs="Arial"/>
          <w:sz w:val="18"/>
          <w:szCs w:val="18"/>
        </w:rPr>
        <w:t xml:space="preserve"> et</w:t>
      </w:r>
      <w:hyperlink r:id="rId12" w:history="1">
        <w:r w:rsidRPr="009E14C0">
          <w:rPr>
            <w:rFonts w:ascii="Arial" w:hAnsi="Arial" w:cs="Arial"/>
            <w:sz w:val="18"/>
            <w:szCs w:val="18"/>
          </w:rPr>
          <w:t xml:space="preserve"> </w:t>
        </w:r>
        <w:r w:rsidRPr="009E14C0">
          <w:rPr>
            <w:rStyle w:val="Lienhypertexte"/>
            <w:rFonts w:ascii="Arial" w:hAnsi="Arial" w:cs="Arial"/>
            <w:sz w:val="18"/>
            <w:szCs w:val="18"/>
          </w:rPr>
          <w:t>ITH/15/10.COM/4</w:t>
        </w:r>
      </w:hyperlink>
    </w:p>
  </w:footnote>
  <w:footnote w:id="13">
    <w:p w14:paraId="6D2A320C" w14:textId="77777777" w:rsidR="00CB69D9" w:rsidRPr="009E14C0" w:rsidRDefault="00CB69D9" w:rsidP="0054455C">
      <w:pPr>
        <w:pStyle w:val="Notedebasdepage"/>
        <w:tabs>
          <w:tab w:val="left" w:pos="567"/>
        </w:tabs>
        <w:ind w:left="567" w:hanging="567"/>
        <w:rPr>
          <w:rFonts w:ascii="Arial" w:hAnsi="Arial" w:cs="Arial"/>
          <w:sz w:val="18"/>
          <w:szCs w:val="18"/>
        </w:rPr>
      </w:pPr>
      <w:r w:rsidRPr="009E14C0">
        <w:rPr>
          <w:rStyle w:val="Appelnotedebasdep"/>
          <w:rFonts w:ascii="Arial" w:hAnsi="Arial" w:cs="Arial"/>
          <w:sz w:val="18"/>
          <w:szCs w:val="18"/>
        </w:rPr>
        <w:footnoteRef/>
      </w:r>
      <w:r w:rsidRPr="009E14C0">
        <w:rPr>
          <w:rFonts w:ascii="Arial" w:hAnsi="Arial" w:cs="Arial"/>
          <w:sz w:val="18"/>
          <w:szCs w:val="18"/>
          <w:vertAlign w:val="superscript"/>
        </w:rPr>
        <w:t>.</w:t>
      </w:r>
      <w:r w:rsidRPr="009E14C0">
        <w:rPr>
          <w:rFonts w:ascii="Arial" w:hAnsi="Arial" w:cs="Arial"/>
          <w:sz w:val="18"/>
          <w:szCs w:val="18"/>
        </w:rPr>
        <w:t xml:space="preserve"> </w:t>
      </w:r>
      <w:r>
        <w:rPr>
          <w:rFonts w:ascii="Arial" w:hAnsi="Arial" w:cs="Arial"/>
          <w:sz w:val="18"/>
          <w:szCs w:val="18"/>
        </w:rPr>
        <w:tab/>
      </w:r>
      <w:hyperlink r:id="rId13" w:history="1">
        <w:r w:rsidRPr="009E14C0">
          <w:rPr>
            <w:rStyle w:val="Lienhypertexte"/>
            <w:rFonts w:ascii="Arial" w:hAnsi="Arial" w:cs="Arial"/>
            <w:sz w:val="18"/>
            <w:szCs w:val="18"/>
          </w:rPr>
          <w:t>Résumé du rapport sur la réunion "Les critères d'inscription sur les listes établies par la Convention" (Paris, 2005)</w:t>
        </w:r>
      </w:hyperlink>
      <w:r w:rsidRPr="009E14C0">
        <w:rPr>
          <w:rFonts w:ascii="Arial" w:hAnsi="Arial" w:cs="Arial"/>
          <w:sz w:val="18"/>
          <w:szCs w:val="18"/>
        </w:rPr>
        <w:t xml:space="preserve"> </w:t>
      </w:r>
      <w:r w:rsidRPr="009E14C0">
        <w:rPr>
          <w:rFonts w:ascii="Arial" w:hAnsi="Arial" w:cs="Arial"/>
          <w:sz w:val="18"/>
          <w:szCs w:val="18"/>
          <w:u w:val="single"/>
        </w:rPr>
        <w:t>et</w:t>
      </w:r>
      <w:r w:rsidRPr="009E14C0">
        <w:rPr>
          <w:rFonts w:ascii="Arial" w:hAnsi="Arial" w:cs="Arial"/>
          <w:sz w:val="18"/>
          <w:szCs w:val="18"/>
        </w:rPr>
        <w:t xml:space="preserve"> </w:t>
      </w:r>
      <w:hyperlink r:id="rId14" w:history="1">
        <w:r w:rsidRPr="009E14C0">
          <w:rPr>
            <w:rStyle w:val="Lienhypertexte"/>
            <w:rFonts w:ascii="Arial" w:hAnsi="Arial" w:cs="Arial"/>
            <w:sz w:val="18"/>
            <w:szCs w:val="18"/>
          </w:rPr>
          <w:t>Résumé du rapport sur la réunion "Les listes établies par la Convention de 2003 pour la sauvegarde du patrimoine culturel immatériel"</w:t>
        </w:r>
      </w:hyperlink>
      <w:r w:rsidRPr="009E14C0">
        <w:rPr>
          <w:rFonts w:ascii="Arial" w:hAnsi="Arial" w:cs="Arial"/>
          <w:sz w:val="18"/>
          <w:szCs w:val="18"/>
        </w:rPr>
        <w:t xml:space="preserve"> (avril 2007, New Delhi, Inde)</w:t>
      </w:r>
    </w:p>
  </w:footnote>
  <w:footnote w:id="14">
    <w:p w14:paraId="06CEF3B8" w14:textId="77777777" w:rsidR="00CB69D9" w:rsidRPr="009E14C0" w:rsidRDefault="00CB69D9" w:rsidP="0054455C">
      <w:pPr>
        <w:pStyle w:val="Notedebasdepage"/>
        <w:tabs>
          <w:tab w:val="left" w:pos="567"/>
        </w:tabs>
        <w:rPr>
          <w:rFonts w:ascii="Arial" w:hAnsi="Arial" w:cs="Arial"/>
          <w:sz w:val="18"/>
          <w:szCs w:val="18"/>
        </w:rPr>
      </w:pPr>
      <w:r w:rsidRPr="009E14C0">
        <w:rPr>
          <w:rStyle w:val="Appelnotedebasdep"/>
          <w:rFonts w:ascii="Arial" w:hAnsi="Arial" w:cs="Arial"/>
          <w:sz w:val="18"/>
          <w:szCs w:val="18"/>
        </w:rPr>
        <w:footnoteRef/>
      </w:r>
      <w:r w:rsidRPr="009E14C0">
        <w:rPr>
          <w:rFonts w:ascii="Arial" w:hAnsi="Arial" w:cs="Arial"/>
          <w:sz w:val="18"/>
          <w:szCs w:val="18"/>
          <w:vertAlign w:val="superscript"/>
        </w:rPr>
        <w:t>.</w:t>
      </w:r>
      <w:r w:rsidRPr="009E14C0">
        <w:rPr>
          <w:rFonts w:ascii="Arial" w:hAnsi="Arial" w:cs="Arial"/>
          <w:sz w:val="18"/>
          <w:szCs w:val="18"/>
        </w:rPr>
        <w:t xml:space="preserve"> </w:t>
      </w:r>
      <w:r>
        <w:rPr>
          <w:rFonts w:ascii="Arial" w:hAnsi="Arial" w:cs="Arial"/>
          <w:sz w:val="18"/>
          <w:szCs w:val="18"/>
        </w:rPr>
        <w:tab/>
      </w:r>
      <w:r w:rsidRPr="009E14C0">
        <w:rPr>
          <w:rFonts w:ascii="Arial" w:hAnsi="Arial" w:cs="Arial"/>
          <w:sz w:val="18"/>
          <w:szCs w:val="18"/>
        </w:rPr>
        <w:t xml:space="preserve">Décisions </w:t>
      </w:r>
      <w:hyperlink r:id="rId15" w:history="1">
        <w:r w:rsidRPr="009E14C0">
          <w:rPr>
            <w:rStyle w:val="Lienhypertexte"/>
            <w:rFonts w:ascii="Arial" w:hAnsi="Arial" w:cs="Arial"/>
            <w:sz w:val="18"/>
            <w:szCs w:val="18"/>
          </w:rPr>
          <w:t>13.COM 10.b.4</w:t>
        </w:r>
      </w:hyperlink>
      <w:r w:rsidRPr="009E14C0">
        <w:rPr>
          <w:rFonts w:ascii="Arial" w:hAnsi="Arial" w:cs="Arial"/>
          <w:sz w:val="18"/>
          <w:szCs w:val="18"/>
        </w:rPr>
        <w:t xml:space="preserve">; </w:t>
      </w:r>
      <w:hyperlink r:id="rId16" w:history="1">
        <w:r w:rsidRPr="009E14C0">
          <w:rPr>
            <w:rStyle w:val="Lienhypertexte"/>
            <w:rFonts w:ascii="Arial" w:hAnsi="Arial" w:cs="Arial"/>
            <w:sz w:val="18"/>
            <w:szCs w:val="18"/>
          </w:rPr>
          <w:t>12.COM 11</w:t>
        </w:r>
      </w:hyperlink>
      <w:r w:rsidRPr="009E14C0">
        <w:rPr>
          <w:rFonts w:ascii="Arial" w:hAnsi="Arial" w:cs="Arial"/>
          <w:sz w:val="18"/>
          <w:szCs w:val="18"/>
        </w:rPr>
        <w:t xml:space="preserve">, </w:t>
      </w:r>
      <w:hyperlink r:id="rId17" w:history="1">
        <w:r w:rsidRPr="009E14C0">
          <w:rPr>
            <w:rStyle w:val="Lienhypertexte"/>
            <w:rFonts w:ascii="Arial" w:hAnsi="Arial" w:cs="Arial"/>
            <w:sz w:val="18"/>
            <w:szCs w:val="18"/>
          </w:rPr>
          <w:t>9.COM 10</w:t>
        </w:r>
      </w:hyperlink>
      <w:r w:rsidRPr="009E14C0">
        <w:rPr>
          <w:rFonts w:ascii="Arial" w:hAnsi="Arial" w:cs="Arial"/>
          <w:sz w:val="18"/>
          <w:szCs w:val="18"/>
        </w:rPr>
        <w:t xml:space="preserve">, </w:t>
      </w:r>
      <w:hyperlink r:id="rId18" w:history="1">
        <w:r w:rsidRPr="009E14C0">
          <w:rPr>
            <w:rStyle w:val="Lienhypertexte"/>
            <w:rFonts w:ascii="Arial" w:hAnsi="Arial" w:cs="Arial"/>
            <w:sz w:val="18"/>
            <w:szCs w:val="18"/>
          </w:rPr>
          <w:t>9.COM 10.3</w:t>
        </w:r>
      </w:hyperlink>
      <w:r w:rsidRPr="009E14C0">
        <w:rPr>
          <w:rFonts w:ascii="Arial" w:hAnsi="Arial" w:cs="Arial"/>
          <w:sz w:val="18"/>
          <w:szCs w:val="18"/>
        </w:rPr>
        <w:t xml:space="preserve">, </w:t>
      </w:r>
      <w:hyperlink r:id="rId19" w:history="1">
        <w:r w:rsidRPr="009E14C0">
          <w:rPr>
            <w:rStyle w:val="Lienhypertexte"/>
            <w:rFonts w:ascii="Arial" w:hAnsi="Arial" w:cs="Arial"/>
            <w:sz w:val="18"/>
            <w:szCs w:val="18"/>
          </w:rPr>
          <w:t>9.COM 10.6</w:t>
        </w:r>
      </w:hyperlink>
      <w:r w:rsidRPr="009E14C0">
        <w:rPr>
          <w:rFonts w:ascii="Arial" w:hAnsi="Arial" w:cs="Arial"/>
          <w:sz w:val="18"/>
          <w:szCs w:val="18"/>
        </w:rPr>
        <w:t xml:space="preserve"> et </w:t>
      </w:r>
      <w:hyperlink r:id="rId20" w:history="1">
        <w:r w:rsidRPr="009E14C0">
          <w:rPr>
            <w:rStyle w:val="Lienhypertexte"/>
            <w:rFonts w:ascii="Arial" w:hAnsi="Arial" w:cs="Arial"/>
            <w:sz w:val="18"/>
            <w:szCs w:val="18"/>
          </w:rPr>
          <w:t>9.COM 10.34</w:t>
        </w:r>
      </w:hyperlink>
    </w:p>
  </w:footnote>
  <w:footnote w:id="15">
    <w:p w14:paraId="4C6888F9" w14:textId="77777777" w:rsidR="00CB69D9" w:rsidRPr="009E14C0" w:rsidRDefault="00CB69D9" w:rsidP="0054455C">
      <w:pPr>
        <w:pStyle w:val="Notedebasdepage"/>
        <w:tabs>
          <w:tab w:val="left" w:pos="567"/>
        </w:tabs>
        <w:rPr>
          <w:rFonts w:ascii="Arial" w:hAnsi="Arial" w:cs="Arial"/>
          <w:sz w:val="18"/>
          <w:szCs w:val="18"/>
        </w:rPr>
      </w:pPr>
      <w:r w:rsidRPr="009E14C0">
        <w:rPr>
          <w:rStyle w:val="Appelnotedebasdep"/>
          <w:rFonts w:ascii="Arial" w:hAnsi="Arial" w:cs="Arial"/>
          <w:sz w:val="18"/>
          <w:szCs w:val="18"/>
        </w:rPr>
        <w:footnoteRef/>
      </w:r>
      <w:r w:rsidRPr="009E14C0">
        <w:rPr>
          <w:rFonts w:ascii="Arial" w:hAnsi="Arial" w:cs="Arial"/>
          <w:sz w:val="18"/>
          <w:szCs w:val="18"/>
          <w:vertAlign w:val="superscript"/>
        </w:rPr>
        <w:t>.</w:t>
      </w:r>
      <w:r w:rsidRPr="009E14C0">
        <w:rPr>
          <w:rFonts w:ascii="Arial" w:hAnsi="Arial" w:cs="Arial"/>
          <w:sz w:val="18"/>
          <w:szCs w:val="18"/>
        </w:rPr>
        <w:t xml:space="preserve"> </w:t>
      </w:r>
      <w:r>
        <w:rPr>
          <w:rFonts w:ascii="Arial" w:hAnsi="Arial" w:cs="Arial"/>
          <w:sz w:val="18"/>
          <w:szCs w:val="18"/>
        </w:rPr>
        <w:tab/>
      </w:r>
      <w:r w:rsidRPr="009E14C0">
        <w:rPr>
          <w:rFonts w:ascii="Arial" w:hAnsi="Arial" w:cs="Arial"/>
          <w:sz w:val="18"/>
          <w:szCs w:val="18"/>
        </w:rPr>
        <w:t xml:space="preserve">Décisions </w:t>
      </w:r>
      <w:hyperlink r:id="rId21" w:history="1">
        <w:r w:rsidRPr="009E14C0">
          <w:rPr>
            <w:rStyle w:val="Lienhypertexte"/>
            <w:rFonts w:ascii="Arial" w:hAnsi="Arial" w:cs="Arial"/>
            <w:sz w:val="18"/>
            <w:szCs w:val="18"/>
          </w:rPr>
          <w:t>8.COM 5.c.1</w:t>
        </w:r>
      </w:hyperlink>
      <w:r w:rsidRPr="009E14C0">
        <w:rPr>
          <w:rFonts w:ascii="Arial" w:hAnsi="Arial" w:cs="Arial"/>
          <w:sz w:val="18"/>
          <w:szCs w:val="18"/>
        </w:rPr>
        <w:t xml:space="preserve"> et </w:t>
      </w:r>
      <w:hyperlink r:id="rId22" w:history="1">
        <w:r w:rsidRPr="009E14C0">
          <w:rPr>
            <w:rStyle w:val="Lienhypertexte"/>
            <w:rFonts w:ascii="Arial" w:hAnsi="Arial" w:cs="Arial"/>
            <w:sz w:val="18"/>
            <w:szCs w:val="18"/>
          </w:rPr>
          <w:t>10.COM 10</w:t>
        </w:r>
      </w:hyperlink>
      <w:r w:rsidRPr="009E14C0">
        <w:rPr>
          <w:rFonts w:ascii="Arial" w:hAnsi="Arial" w:cs="Arial"/>
          <w:sz w:val="18"/>
          <w:szCs w:val="18"/>
        </w:rPr>
        <w:t xml:space="preserve"> (paragraphe 10)</w:t>
      </w:r>
    </w:p>
  </w:footnote>
  <w:footnote w:id="16">
    <w:p w14:paraId="615B9BF6" w14:textId="77777777" w:rsidR="00CB69D9" w:rsidRPr="00CB69D9" w:rsidRDefault="00CB69D9" w:rsidP="0054455C">
      <w:pPr>
        <w:pStyle w:val="Notedebasdepage"/>
        <w:tabs>
          <w:tab w:val="left" w:pos="567"/>
        </w:tabs>
        <w:rPr>
          <w:rFonts w:ascii="Arial" w:hAnsi="Arial" w:cs="Arial"/>
          <w:sz w:val="18"/>
          <w:szCs w:val="18"/>
          <w:lang w:val="en-US"/>
        </w:rPr>
      </w:pPr>
      <w:r w:rsidRPr="009E14C0">
        <w:rPr>
          <w:rStyle w:val="Appelnotedebasdep"/>
          <w:rFonts w:ascii="Arial" w:hAnsi="Arial" w:cs="Arial"/>
          <w:sz w:val="18"/>
          <w:szCs w:val="18"/>
        </w:rPr>
        <w:footnoteRef/>
      </w:r>
      <w:r w:rsidRPr="00CB69D9">
        <w:rPr>
          <w:rStyle w:val="hps"/>
          <w:rFonts w:ascii="Arial" w:hAnsi="Arial" w:cs="Arial"/>
          <w:sz w:val="18"/>
          <w:szCs w:val="18"/>
          <w:vertAlign w:val="superscript"/>
          <w:lang w:val="en-US"/>
        </w:rPr>
        <w:t>.</w:t>
      </w:r>
      <w:r w:rsidRPr="00CB69D9">
        <w:rPr>
          <w:rStyle w:val="hps"/>
          <w:rFonts w:ascii="Arial" w:hAnsi="Arial" w:cs="Arial"/>
          <w:sz w:val="18"/>
          <w:szCs w:val="18"/>
          <w:lang w:val="en-US"/>
        </w:rPr>
        <w:t xml:space="preserve"> </w:t>
      </w:r>
      <w:r w:rsidRPr="00CB69D9">
        <w:rPr>
          <w:rStyle w:val="hps"/>
          <w:rFonts w:ascii="Arial" w:hAnsi="Arial" w:cs="Arial"/>
          <w:sz w:val="18"/>
          <w:szCs w:val="18"/>
          <w:lang w:val="en-US"/>
        </w:rPr>
        <w:tab/>
      </w:r>
      <w:hyperlink r:id="rId23" w:history="1">
        <w:r w:rsidRPr="00CB69D9">
          <w:rPr>
            <w:rStyle w:val="Lienhypertexte"/>
            <w:rFonts w:ascii="Arial" w:hAnsi="Arial" w:cs="Arial"/>
            <w:sz w:val="18"/>
            <w:szCs w:val="18"/>
            <w:lang w:val="en-US"/>
          </w:rPr>
          <w:t>Document LHE/19/14.COM/5.b</w:t>
        </w:r>
      </w:hyperlink>
    </w:p>
  </w:footnote>
  <w:footnote w:id="17">
    <w:p w14:paraId="127B0E9A" w14:textId="77777777" w:rsidR="00CB69D9" w:rsidRPr="009E14C0" w:rsidRDefault="00CB69D9" w:rsidP="00B043D3">
      <w:pPr>
        <w:tabs>
          <w:tab w:val="left" w:pos="567"/>
        </w:tabs>
        <w:ind w:left="567" w:hanging="567"/>
        <w:rPr>
          <w:rFonts w:ascii="Arial" w:hAnsi="Arial" w:cs="Arial"/>
          <w:b/>
          <w:bCs/>
          <w:color w:val="414042"/>
          <w:sz w:val="18"/>
          <w:szCs w:val="18"/>
          <w:lang w:val="en-US"/>
        </w:rPr>
      </w:pPr>
      <w:r w:rsidRPr="009E14C0">
        <w:rPr>
          <w:rStyle w:val="Appelnotedebasdep"/>
          <w:rFonts w:ascii="Arial" w:hAnsi="Arial" w:cs="Arial"/>
          <w:sz w:val="18"/>
          <w:szCs w:val="18"/>
        </w:rPr>
        <w:footnoteRef/>
      </w:r>
      <w:r w:rsidRPr="009E14C0">
        <w:rPr>
          <w:rFonts w:ascii="Arial" w:hAnsi="Arial" w:cs="Arial"/>
          <w:sz w:val="18"/>
          <w:szCs w:val="18"/>
          <w:vertAlign w:val="superscript"/>
          <w:lang w:val="en-US"/>
        </w:rPr>
        <w:t>.</w:t>
      </w:r>
      <w:r w:rsidRPr="009E14C0">
        <w:rPr>
          <w:rFonts w:ascii="Arial" w:hAnsi="Arial" w:cs="Arial"/>
          <w:sz w:val="18"/>
          <w:szCs w:val="18"/>
          <w:lang w:val="en-US"/>
        </w:rPr>
        <w:t xml:space="preserve"> </w:t>
      </w:r>
      <w:r>
        <w:rPr>
          <w:rFonts w:ascii="Arial" w:hAnsi="Arial" w:cs="Arial"/>
          <w:sz w:val="18"/>
          <w:szCs w:val="18"/>
          <w:lang w:val="en-US"/>
        </w:rPr>
        <w:tab/>
      </w:r>
      <w:r w:rsidRPr="009E14C0">
        <w:rPr>
          <w:rFonts w:ascii="Arial" w:hAnsi="Arial" w:cs="Arial"/>
          <w:sz w:val="18"/>
          <w:szCs w:val="18"/>
          <w:lang w:val="en-US"/>
        </w:rPr>
        <w:t xml:space="preserve">Documents </w:t>
      </w:r>
      <w:hyperlink r:id="rId24" w:history="1">
        <w:r w:rsidRPr="00B043D3">
          <w:rPr>
            <w:rStyle w:val="Lienhypertexte"/>
            <w:rFonts w:ascii="Arial" w:hAnsi="Arial" w:cs="Arial"/>
            <w:sz w:val="18"/>
            <w:szCs w:val="18"/>
            <w:lang w:val="en-US"/>
          </w:rPr>
          <w:t>ITH/15/</w:t>
        </w:r>
        <w:r w:rsidRPr="009E14C0">
          <w:rPr>
            <w:rStyle w:val="Lienhypertexte"/>
            <w:rFonts w:ascii="Arial" w:hAnsi="Arial" w:cs="Arial"/>
            <w:sz w:val="18"/>
            <w:szCs w:val="18"/>
            <w:lang w:val="en-US"/>
          </w:rPr>
          <w:t>10.COM/10</w:t>
        </w:r>
      </w:hyperlink>
      <w:r w:rsidRPr="009E14C0">
        <w:rPr>
          <w:rStyle w:val="lev"/>
          <w:rFonts w:ascii="Arial" w:hAnsi="Arial" w:cs="Arial"/>
          <w:b w:val="0"/>
          <w:color w:val="414042"/>
          <w:sz w:val="18"/>
          <w:szCs w:val="18"/>
          <w:lang w:val="en-US"/>
        </w:rPr>
        <w:t xml:space="preserve">, </w:t>
      </w:r>
      <w:hyperlink r:id="rId25" w:history="1">
        <w:r w:rsidRPr="00B043D3">
          <w:rPr>
            <w:rStyle w:val="Lienhypertexte"/>
            <w:rFonts w:ascii="Arial" w:hAnsi="Arial" w:cs="Arial"/>
            <w:sz w:val="18"/>
            <w:szCs w:val="18"/>
            <w:lang w:val="en-US"/>
          </w:rPr>
          <w:t>ITH/16/</w:t>
        </w:r>
        <w:r w:rsidRPr="009E14C0">
          <w:rPr>
            <w:rStyle w:val="Lienhypertexte"/>
            <w:rFonts w:ascii="Arial" w:hAnsi="Arial" w:cs="Arial"/>
            <w:bCs/>
            <w:sz w:val="18"/>
            <w:szCs w:val="18"/>
            <w:lang w:val="en-US"/>
          </w:rPr>
          <w:t>11.COM/10</w:t>
        </w:r>
      </w:hyperlink>
      <w:r w:rsidRPr="009E14C0">
        <w:rPr>
          <w:rStyle w:val="lev"/>
          <w:rFonts w:ascii="Arial" w:hAnsi="Arial" w:cs="Arial"/>
          <w:b w:val="0"/>
          <w:color w:val="414042"/>
          <w:sz w:val="18"/>
          <w:szCs w:val="18"/>
          <w:lang w:val="en-US"/>
        </w:rPr>
        <w:t xml:space="preserve">, </w:t>
      </w:r>
      <w:hyperlink r:id="rId26" w:history="1">
        <w:r w:rsidRPr="00B043D3">
          <w:rPr>
            <w:rStyle w:val="Lienhypertexte"/>
            <w:rFonts w:ascii="Arial" w:hAnsi="Arial" w:cs="Arial"/>
            <w:sz w:val="18"/>
            <w:szCs w:val="18"/>
            <w:lang w:val="en-US"/>
          </w:rPr>
          <w:t>ITH/17/</w:t>
        </w:r>
        <w:r w:rsidRPr="009E14C0">
          <w:rPr>
            <w:rStyle w:val="Lienhypertexte"/>
            <w:rFonts w:ascii="Arial" w:hAnsi="Arial" w:cs="Arial"/>
            <w:bCs/>
            <w:sz w:val="18"/>
            <w:szCs w:val="18"/>
            <w:lang w:val="en-US"/>
          </w:rPr>
          <w:t>12.COM/11</w:t>
        </w:r>
      </w:hyperlink>
      <w:r w:rsidRPr="009E14C0">
        <w:rPr>
          <w:rStyle w:val="lev"/>
          <w:rFonts w:ascii="Arial" w:hAnsi="Arial" w:cs="Arial"/>
          <w:b w:val="0"/>
          <w:color w:val="414042"/>
          <w:sz w:val="18"/>
          <w:szCs w:val="18"/>
          <w:lang w:val="en-US"/>
        </w:rPr>
        <w:t xml:space="preserve">, </w:t>
      </w:r>
      <w:hyperlink r:id="rId27" w:history="1">
        <w:r w:rsidRPr="00B043D3">
          <w:rPr>
            <w:rStyle w:val="Lienhypertexte"/>
            <w:rFonts w:ascii="Arial" w:hAnsi="Arial" w:cs="Arial"/>
            <w:sz w:val="18"/>
            <w:szCs w:val="18"/>
            <w:lang w:val="en-US"/>
          </w:rPr>
          <w:t>ITH/18/</w:t>
        </w:r>
        <w:r w:rsidRPr="009E14C0">
          <w:rPr>
            <w:rStyle w:val="Lienhypertexte"/>
            <w:rFonts w:ascii="Arial" w:hAnsi="Arial" w:cs="Arial"/>
            <w:bCs/>
            <w:sz w:val="18"/>
            <w:szCs w:val="18"/>
            <w:lang w:val="en-US"/>
          </w:rPr>
          <w:t>13.COM/10</w:t>
        </w:r>
      </w:hyperlink>
      <w:r w:rsidRPr="009E14C0">
        <w:rPr>
          <w:rStyle w:val="lev"/>
          <w:rFonts w:ascii="Arial" w:hAnsi="Arial" w:cs="Arial"/>
          <w:b w:val="0"/>
          <w:color w:val="414042"/>
          <w:sz w:val="18"/>
          <w:szCs w:val="18"/>
          <w:lang w:val="en-US"/>
        </w:rPr>
        <w:t xml:space="preserve">, </w:t>
      </w:r>
      <w:hyperlink r:id="rId28" w:history="1">
        <w:r w:rsidRPr="00B043D3">
          <w:rPr>
            <w:rStyle w:val="Lienhypertexte"/>
            <w:rFonts w:ascii="Arial" w:hAnsi="Arial" w:cs="Arial"/>
            <w:sz w:val="18"/>
            <w:szCs w:val="18"/>
            <w:lang w:val="en-US"/>
          </w:rPr>
          <w:t>ITH/15/</w:t>
        </w:r>
        <w:r w:rsidRPr="009E14C0">
          <w:rPr>
            <w:rStyle w:val="Lienhypertexte"/>
            <w:rFonts w:ascii="Arial" w:hAnsi="Arial" w:cs="Arial"/>
            <w:sz w:val="18"/>
            <w:szCs w:val="18"/>
            <w:lang w:val="en-US"/>
          </w:rPr>
          <w:t>10.COM/4</w:t>
        </w:r>
      </w:hyperlink>
      <w:r w:rsidRPr="009E14C0">
        <w:rPr>
          <w:rFonts w:ascii="Arial" w:hAnsi="Arial" w:cs="Arial"/>
          <w:sz w:val="18"/>
          <w:szCs w:val="18"/>
          <w:lang w:val="en-US"/>
        </w:rPr>
        <w:t xml:space="preserve">, </w:t>
      </w:r>
      <w:hyperlink r:id="rId29" w:history="1">
        <w:r w:rsidRPr="00B043D3">
          <w:rPr>
            <w:rStyle w:val="Lienhypertexte"/>
            <w:rFonts w:ascii="Arial" w:hAnsi="Arial" w:cs="Arial"/>
            <w:sz w:val="18"/>
            <w:szCs w:val="18"/>
            <w:lang w:val="en-US"/>
          </w:rPr>
          <w:t>ITH/16/</w:t>
        </w:r>
        <w:r w:rsidRPr="009E14C0">
          <w:rPr>
            <w:rStyle w:val="Lienhypertexte"/>
            <w:rFonts w:ascii="Arial" w:hAnsi="Arial" w:cs="Arial"/>
            <w:sz w:val="18"/>
            <w:szCs w:val="18"/>
            <w:lang w:val="en-US"/>
          </w:rPr>
          <w:t>11.COM/4</w:t>
        </w:r>
      </w:hyperlink>
      <w:r w:rsidRPr="009E14C0">
        <w:rPr>
          <w:rStyle w:val="lev"/>
          <w:rFonts w:ascii="Arial" w:hAnsi="Arial" w:cs="Arial"/>
          <w:b w:val="0"/>
          <w:color w:val="414042"/>
          <w:sz w:val="18"/>
          <w:szCs w:val="18"/>
          <w:lang w:val="en-US"/>
        </w:rPr>
        <w:t xml:space="preserve">, </w:t>
      </w:r>
      <w:hyperlink r:id="rId30" w:history="1">
        <w:r w:rsidRPr="00B043D3">
          <w:rPr>
            <w:rStyle w:val="Lienhypertexte"/>
            <w:rFonts w:ascii="Arial" w:hAnsi="Arial" w:cs="Arial"/>
            <w:sz w:val="18"/>
            <w:szCs w:val="18"/>
            <w:lang w:val="en-US"/>
          </w:rPr>
          <w:t>ITH/17/</w:t>
        </w:r>
        <w:r w:rsidRPr="009E14C0">
          <w:rPr>
            <w:rStyle w:val="Lienhypertexte"/>
            <w:rFonts w:ascii="Arial" w:hAnsi="Arial" w:cs="Arial"/>
            <w:sz w:val="18"/>
            <w:szCs w:val="18"/>
            <w:lang w:val="en-US"/>
          </w:rPr>
          <w:t>12.COM/4</w:t>
        </w:r>
      </w:hyperlink>
      <w:r w:rsidRPr="009E14C0">
        <w:rPr>
          <w:rStyle w:val="lev"/>
          <w:rFonts w:ascii="Arial" w:hAnsi="Arial" w:cs="Arial"/>
          <w:b w:val="0"/>
          <w:color w:val="414042"/>
          <w:sz w:val="18"/>
          <w:szCs w:val="18"/>
          <w:lang w:val="en-US"/>
        </w:rPr>
        <w:t xml:space="preserve"> et </w:t>
      </w:r>
      <w:hyperlink r:id="rId31" w:history="1">
        <w:r w:rsidRPr="00B043D3">
          <w:rPr>
            <w:rStyle w:val="Lienhypertexte"/>
            <w:rFonts w:ascii="Arial" w:hAnsi="Arial" w:cs="Arial"/>
            <w:sz w:val="18"/>
            <w:szCs w:val="18"/>
            <w:lang w:val="en-US"/>
          </w:rPr>
          <w:t>ITH/18/</w:t>
        </w:r>
        <w:r w:rsidRPr="009E14C0">
          <w:rPr>
            <w:rStyle w:val="Lienhypertexte"/>
            <w:rFonts w:ascii="Arial" w:hAnsi="Arial" w:cs="Arial"/>
            <w:bCs/>
            <w:sz w:val="18"/>
            <w:szCs w:val="18"/>
            <w:lang w:val="en-US"/>
          </w:rPr>
          <w:t>13.COM/4</w:t>
        </w:r>
      </w:hyperlink>
      <w:r w:rsidRPr="009E14C0">
        <w:rPr>
          <w:rStyle w:val="lev"/>
          <w:rFonts w:ascii="Arial" w:hAnsi="Arial" w:cs="Arial"/>
          <w:b w:val="0"/>
          <w:color w:val="414042"/>
          <w:sz w:val="18"/>
          <w:szCs w:val="18"/>
          <w:lang w:val="en-US"/>
        </w:rPr>
        <w:t xml:space="preserve"> </w:t>
      </w:r>
    </w:p>
  </w:footnote>
  <w:footnote w:id="18">
    <w:p w14:paraId="15EBE272" w14:textId="77777777" w:rsidR="00CB69D9" w:rsidRPr="009E14C0" w:rsidRDefault="00CB69D9" w:rsidP="0054455C">
      <w:pPr>
        <w:pStyle w:val="Notedebasdepage"/>
        <w:tabs>
          <w:tab w:val="left" w:pos="567"/>
        </w:tabs>
        <w:rPr>
          <w:rFonts w:ascii="Arial" w:hAnsi="Arial" w:cs="Arial"/>
          <w:sz w:val="18"/>
          <w:szCs w:val="18"/>
        </w:rPr>
      </w:pPr>
      <w:r w:rsidRPr="009E14C0">
        <w:rPr>
          <w:rStyle w:val="Appelnotedebasdep"/>
          <w:rFonts w:ascii="Arial" w:hAnsi="Arial" w:cs="Arial"/>
          <w:sz w:val="18"/>
          <w:szCs w:val="18"/>
        </w:rPr>
        <w:footnoteRef/>
      </w:r>
      <w:r w:rsidRPr="00CB69D9">
        <w:rPr>
          <w:rFonts w:ascii="Arial" w:hAnsi="Arial" w:cs="Arial"/>
          <w:sz w:val="18"/>
          <w:szCs w:val="18"/>
          <w:vertAlign w:val="superscript"/>
        </w:rPr>
        <w:t>.</w:t>
      </w:r>
      <w:r w:rsidRPr="00CB69D9">
        <w:rPr>
          <w:rFonts w:ascii="Arial" w:hAnsi="Arial" w:cs="Arial"/>
          <w:sz w:val="18"/>
          <w:szCs w:val="18"/>
        </w:rPr>
        <w:t xml:space="preserve"> </w:t>
      </w:r>
      <w:r w:rsidRPr="00CB69D9">
        <w:rPr>
          <w:rFonts w:ascii="Arial" w:hAnsi="Arial" w:cs="Arial"/>
          <w:sz w:val="18"/>
          <w:szCs w:val="18"/>
        </w:rPr>
        <w:tab/>
      </w:r>
      <w:r w:rsidRPr="009E14C0">
        <w:rPr>
          <w:rFonts w:ascii="Arial" w:hAnsi="Arial" w:cs="Arial"/>
          <w:sz w:val="18"/>
          <w:szCs w:val="18"/>
        </w:rPr>
        <w:t xml:space="preserve">Documents </w:t>
      </w:r>
      <w:hyperlink r:id="rId32" w:history="1">
        <w:r w:rsidRPr="00A447D4">
          <w:rPr>
            <w:rStyle w:val="Lienhypertexte"/>
            <w:rFonts w:ascii="Arial" w:hAnsi="Arial" w:cs="Arial"/>
            <w:sz w:val="18"/>
            <w:szCs w:val="18"/>
          </w:rPr>
          <w:t>ITH/18/</w:t>
        </w:r>
        <w:r w:rsidRPr="009E14C0">
          <w:rPr>
            <w:rStyle w:val="Lienhypertexte"/>
            <w:rFonts w:ascii="Arial" w:hAnsi="Arial" w:cs="Arial"/>
            <w:sz w:val="18"/>
            <w:szCs w:val="18"/>
          </w:rPr>
          <w:t>13.COM/10</w:t>
        </w:r>
      </w:hyperlink>
      <w:r w:rsidRPr="009E14C0">
        <w:rPr>
          <w:rFonts w:ascii="Arial" w:hAnsi="Arial" w:cs="Arial"/>
          <w:sz w:val="18"/>
          <w:szCs w:val="18"/>
        </w:rPr>
        <w:t xml:space="preserve"> et </w:t>
      </w:r>
      <w:hyperlink r:id="rId33" w:history="1">
        <w:r w:rsidRPr="0054455C">
          <w:rPr>
            <w:rStyle w:val="Lienhypertexte"/>
            <w:rFonts w:ascii="Arial" w:hAnsi="Arial" w:cs="Arial"/>
            <w:sz w:val="18"/>
            <w:szCs w:val="18"/>
          </w:rPr>
          <w:t>LHE/19/</w:t>
        </w:r>
        <w:r w:rsidRPr="009E14C0">
          <w:rPr>
            <w:rStyle w:val="Lienhypertexte"/>
            <w:rFonts w:ascii="Arial" w:hAnsi="Arial" w:cs="Arial"/>
            <w:sz w:val="18"/>
            <w:szCs w:val="18"/>
          </w:rPr>
          <w:t>14.COM/10</w:t>
        </w:r>
      </w:hyperlink>
    </w:p>
  </w:footnote>
  <w:footnote w:id="19">
    <w:p w14:paraId="155AE13F" w14:textId="77777777" w:rsidR="00CB69D9" w:rsidRPr="00CB69D9" w:rsidRDefault="00CB69D9" w:rsidP="0054455C">
      <w:pPr>
        <w:pStyle w:val="Notedebasdepage"/>
        <w:tabs>
          <w:tab w:val="left" w:pos="567"/>
        </w:tabs>
        <w:rPr>
          <w:rFonts w:ascii="Arial" w:hAnsi="Arial" w:cs="Arial"/>
          <w:sz w:val="18"/>
          <w:szCs w:val="18"/>
          <w:lang w:val="en-US"/>
        </w:rPr>
      </w:pPr>
      <w:r w:rsidRPr="00A30DFA">
        <w:rPr>
          <w:rStyle w:val="Appelnotedebasdep"/>
          <w:rFonts w:ascii="Arial" w:hAnsi="Arial" w:cs="Arial"/>
          <w:sz w:val="18"/>
          <w:szCs w:val="18"/>
        </w:rPr>
        <w:footnoteRef/>
      </w:r>
      <w:r w:rsidRPr="000568CF">
        <w:rPr>
          <w:rFonts w:ascii="Arial" w:hAnsi="Arial" w:cs="Arial"/>
          <w:sz w:val="18"/>
          <w:szCs w:val="18"/>
          <w:vertAlign w:val="superscript"/>
          <w:lang w:val="en-US"/>
        </w:rPr>
        <w:t>.</w:t>
      </w:r>
      <w:r w:rsidRPr="000568CF">
        <w:rPr>
          <w:rFonts w:ascii="Arial" w:hAnsi="Arial" w:cs="Arial"/>
          <w:sz w:val="18"/>
          <w:szCs w:val="18"/>
          <w:lang w:val="en-US"/>
        </w:rPr>
        <w:t xml:space="preserve"> </w:t>
      </w:r>
      <w:r w:rsidRPr="000568CF">
        <w:rPr>
          <w:rFonts w:ascii="Arial" w:hAnsi="Arial" w:cs="Arial"/>
          <w:sz w:val="18"/>
          <w:szCs w:val="18"/>
          <w:lang w:val="en-US"/>
        </w:rPr>
        <w:tab/>
      </w:r>
      <w:hyperlink r:id="rId34" w:history="1">
        <w:r w:rsidRPr="000568CF">
          <w:rPr>
            <w:rStyle w:val="Lienhypertexte"/>
            <w:rFonts w:ascii="Arial" w:hAnsi="Arial" w:cs="Arial"/>
            <w:sz w:val="18"/>
            <w:szCs w:val="18"/>
            <w:lang w:val="en-US"/>
          </w:rPr>
          <w:t xml:space="preserve">Document ITH/10/5.COM/CONF.202/10 </w:t>
        </w:r>
        <w:proofErr w:type="spellStart"/>
        <w:r w:rsidRPr="000568CF">
          <w:rPr>
            <w:rStyle w:val="Lienhypertexte"/>
            <w:rFonts w:ascii="Arial" w:hAnsi="Arial" w:cs="Arial"/>
            <w:sz w:val="18"/>
            <w:szCs w:val="18"/>
            <w:lang w:val="en-US"/>
          </w:rPr>
          <w:t>Partie</w:t>
        </w:r>
        <w:proofErr w:type="spellEnd"/>
        <w:r w:rsidRPr="000568CF">
          <w:rPr>
            <w:rStyle w:val="Lienhypertexte"/>
            <w:rFonts w:ascii="Arial" w:hAnsi="Arial" w:cs="Arial"/>
            <w:sz w:val="18"/>
            <w:szCs w:val="18"/>
            <w:lang w:val="en-US"/>
          </w:rPr>
          <w:t xml:space="preserve"> I</w:t>
        </w:r>
      </w:hyperlink>
    </w:p>
  </w:footnote>
  <w:footnote w:id="20">
    <w:p w14:paraId="5A7FD958" w14:textId="77777777" w:rsidR="00CB69D9" w:rsidRPr="00CB69D9" w:rsidRDefault="00CB69D9" w:rsidP="00A30DFA">
      <w:pPr>
        <w:pStyle w:val="Notedebasdepage"/>
        <w:tabs>
          <w:tab w:val="left" w:pos="567"/>
        </w:tabs>
        <w:rPr>
          <w:rFonts w:ascii="Arial" w:hAnsi="Arial" w:cs="Arial"/>
          <w:sz w:val="18"/>
          <w:szCs w:val="18"/>
          <w:lang w:val="en-US"/>
        </w:rPr>
      </w:pPr>
      <w:r w:rsidRPr="00CB69D9">
        <w:rPr>
          <w:rStyle w:val="Appelnotedebasdep"/>
          <w:rFonts w:ascii="Arial" w:hAnsi="Arial" w:cs="Arial"/>
          <w:sz w:val="18"/>
          <w:szCs w:val="18"/>
        </w:rPr>
        <w:footnoteRef/>
      </w:r>
      <w:r w:rsidRPr="00CB69D9">
        <w:rPr>
          <w:rFonts w:ascii="Arial" w:hAnsi="Arial" w:cs="Arial"/>
          <w:sz w:val="18"/>
          <w:szCs w:val="18"/>
          <w:vertAlign w:val="superscript"/>
          <w:lang w:val="en-US"/>
        </w:rPr>
        <w:t>.</w:t>
      </w:r>
      <w:r w:rsidRPr="00CB69D9">
        <w:rPr>
          <w:rFonts w:ascii="Arial" w:hAnsi="Arial" w:cs="Arial"/>
          <w:sz w:val="18"/>
          <w:szCs w:val="18"/>
          <w:lang w:val="en-US"/>
        </w:rPr>
        <w:t xml:space="preserve"> </w:t>
      </w:r>
      <w:r>
        <w:rPr>
          <w:rFonts w:ascii="Arial" w:hAnsi="Arial" w:cs="Arial"/>
          <w:sz w:val="18"/>
          <w:szCs w:val="18"/>
          <w:lang w:val="en-US"/>
        </w:rPr>
        <w:tab/>
      </w:r>
      <w:r w:rsidRPr="00CB69D9">
        <w:rPr>
          <w:rFonts w:ascii="Arial" w:hAnsi="Arial" w:cs="Arial"/>
          <w:sz w:val="18"/>
          <w:szCs w:val="18"/>
          <w:lang w:val="en-US"/>
        </w:rPr>
        <w:t xml:space="preserve">Documents </w:t>
      </w:r>
      <w:hyperlink r:id="rId35" w:history="1">
        <w:r w:rsidRPr="00CB69D9">
          <w:rPr>
            <w:rStyle w:val="Lienhypertexte"/>
            <w:rFonts w:ascii="Arial" w:hAnsi="Arial" w:cs="Arial"/>
            <w:sz w:val="18"/>
            <w:szCs w:val="18"/>
            <w:lang w:val="en-US"/>
          </w:rPr>
          <w:t>ITH/14/9.COM/10</w:t>
        </w:r>
      </w:hyperlink>
      <w:r w:rsidRPr="00CB69D9">
        <w:rPr>
          <w:rFonts w:ascii="Arial" w:hAnsi="Arial" w:cs="Arial"/>
          <w:sz w:val="18"/>
          <w:szCs w:val="18"/>
          <w:lang w:val="en-US"/>
        </w:rPr>
        <w:t xml:space="preserve">, </w:t>
      </w:r>
      <w:hyperlink r:id="rId36" w:history="1">
        <w:r w:rsidRPr="00CB69D9">
          <w:rPr>
            <w:rStyle w:val="Lienhypertexte"/>
            <w:rFonts w:ascii="Arial" w:hAnsi="Arial" w:cs="Arial"/>
            <w:sz w:val="18"/>
            <w:szCs w:val="18"/>
            <w:lang w:val="en-US"/>
          </w:rPr>
          <w:t>ITH/15/10.COM/10</w:t>
        </w:r>
      </w:hyperlink>
      <w:r w:rsidRPr="00CB69D9">
        <w:rPr>
          <w:rFonts w:ascii="Arial" w:hAnsi="Arial" w:cs="Arial"/>
          <w:sz w:val="18"/>
          <w:szCs w:val="18"/>
          <w:lang w:val="en-US"/>
        </w:rPr>
        <w:t xml:space="preserve">, </w:t>
      </w:r>
      <w:hyperlink r:id="rId37" w:history="1">
        <w:r w:rsidRPr="00CB69D9">
          <w:rPr>
            <w:rStyle w:val="Lienhypertexte"/>
            <w:rFonts w:ascii="Arial" w:hAnsi="Arial" w:cs="Arial"/>
            <w:sz w:val="18"/>
            <w:szCs w:val="18"/>
            <w:lang w:val="en-US"/>
          </w:rPr>
          <w:t>ITH/16/11.COM/10</w:t>
        </w:r>
      </w:hyperlink>
      <w:r w:rsidRPr="00CB69D9">
        <w:rPr>
          <w:rFonts w:ascii="Arial" w:hAnsi="Arial" w:cs="Arial"/>
          <w:sz w:val="18"/>
          <w:szCs w:val="18"/>
          <w:lang w:val="en-US"/>
        </w:rPr>
        <w:t xml:space="preserve">, </w:t>
      </w:r>
      <w:hyperlink r:id="rId38" w:history="1">
        <w:r w:rsidRPr="00CB69D9">
          <w:rPr>
            <w:rStyle w:val="Lienhypertexte"/>
            <w:rFonts w:ascii="Arial" w:hAnsi="Arial" w:cs="Arial"/>
            <w:sz w:val="18"/>
            <w:szCs w:val="18"/>
            <w:lang w:val="en-US"/>
          </w:rPr>
          <w:t>ITH/17/12.COM/11</w:t>
        </w:r>
      </w:hyperlink>
      <w:r w:rsidRPr="00CB69D9">
        <w:rPr>
          <w:rFonts w:ascii="Arial" w:hAnsi="Arial" w:cs="Arial"/>
          <w:sz w:val="18"/>
          <w:szCs w:val="18"/>
          <w:lang w:val="en-US"/>
        </w:rPr>
        <w:t xml:space="preserve">, </w:t>
      </w:r>
      <w:hyperlink r:id="rId39" w:history="1">
        <w:r w:rsidRPr="00CB69D9">
          <w:rPr>
            <w:rStyle w:val="Lienhypertexte"/>
            <w:rFonts w:ascii="Arial" w:hAnsi="Arial" w:cs="Arial"/>
            <w:sz w:val="18"/>
            <w:szCs w:val="18"/>
            <w:lang w:val="en-US"/>
          </w:rPr>
          <w:t>ITH/18/13.COM/10</w:t>
        </w:r>
      </w:hyperlink>
    </w:p>
  </w:footnote>
  <w:footnote w:id="21">
    <w:p w14:paraId="75C1EC4B" w14:textId="77777777" w:rsidR="00CB69D9" w:rsidRPr="00083F79" w:rsidRDefault="00CB69D9" w:rsidP="0054455C">
      <w:pPr>
        <w:pStyle w:val="Notedebasdepage"/>
        <w:tabs>
          <w:tab w:val="left" w:pos="567"/>
        </w:tabs>
        <w:rPr>
          <w:rFonts w:ascii="Arial" w:hAnsi="Arial" w:cs="Arial"/>
          <w:sz w:val="18"/>
          <w:szCs w:val="18"/>
        </w:rPr>
      </w:pPr>
      <w:r w:rsidRPr="00083F79">
        <w:rPr>
          <w:rStyle w:val="Appelnotedebasdep"/>
          <w:rFonts w:ascii="Arial" w:hAnsi="Arial" w:cs="Arial"/>
          <w:sz w:val="18"/>
          <w:szCs w:val="18"/>
        </w:rPr>
        <w:footnoteRef/>
      </w:r>
      <w:r w:rsidRPr="00083F79">
        <w:rPr>
          <w:rFonts w:ascii="Arial" w:hAnsi="Arial" w:cs="Arial"/>
          <w:sz w:val="18"/>
          <w:szCs w:val="18"/>
          <w:vertAlign w:val="superscript"/>
        </w:rPr>
        <w:t>.</w:t>
      </w:r>
      <w:r w:rsidRPr="00083F79">
        <w:rPr>
          <w:rFonts w:ascii="Arial" w:hAnsi="Arial" w:cs="Arial"/>
          <w:sz w:val="18"/>
          <w:szCs w:val="18"/>
        </w:rPr>
        <w:t xml:space="preserve"> </w:t>
      </w:r>
      <w:r w:rsidRPr="00083F79">
        <w:rPr>
          <w:rFonts w:ascii="Arial" w:hAnsi="Arial" w:cs="Arial"/>
          <w:sz w:val="18"/>
          <w:szCs w:val="18"/>
        </w:rPr>
        <w:tab/>
      </w:r>
      <w:hyperlink r:id="rId40" w:history="1">
        <w:r w:rsidRPr="00083F79">
          <w:rPr>
            <w:rStyle w:val="Lienhypertexte"/>
            <w:rFonts w:ascii="Arial" w:hAnsi="Arial" w:cs="Arial"/>
            <w:sz w:val="18"/>
            <w:szCs w:val="18"/>
          </w:rPr>
          <w:t>Document ITH/18/13.COM/10</w:t>
        </w:r>
      </w:hyperlink>
    </w:p>
  </w:footnote>
  <w:footnote w:id="22">
    <w:p w14:paraId="2B92E598" w14:textId="77777777" w:rsidR="00CB69D9" w:rsidRPr="00083F79" w:rsidRDefault="00CB69D9" w:rsidP="0054455C">
      <w:pPr>
        <w:pStyle w:val="Notedebasdepage"/>
        <w:tabs>
          <w:tab w:val="left" w:pos="567"/>
        </w:tabs>
        <w:rPr>
          <w:rFonts w:ascii="Arial" w:hAnsi="Arial" w:cs="Arial"/>
          <w:sz w:val="18"/>
          <w:szCs w:val="18"/>
        </w:rPr>
      </w:pPr>
      <w:r w:rsidRPr="00083F79">
        <w:rPr>
          <w:rStyle w:val="Appelnotedebasdep"/>
          <w:rFonts w:ascii="Arial" w:hAnsi="Arial" w:cs="Arial"/>
          <w:sz w:val="18"/>
          <w:szCs w:val="18"/>
        </w:rPr>
        <w:footnoteRef/>
      </w:r>
      <w:r w:rsidRPr="00083F79">
        <w:rPr>
          <w:rFonts w:ascii="Arial" w:hAnsi="Arial" w:cs="Arial"/>
          <w:sz w:val="18"/>
          <w:szCs w:val="18"/>
          <w:vertAlign w:val="superscript"/>
        </w:rPr>
        <w:t>.</w:t>
      </w:r>
      <w:r w:rsidRPr="00083F79">
        <w:rPr>
          <w:rFonts w:ascii="Arial" w:hAnsi="Arial" w:cs="Arial"/>
          <w:sz w:val="18"/>
          <w:szCs w:val="18"/>
        </w:rPr>
        <w:t xml:space="preserve"> </w:t>
      </w:r>
      <w:r w:rsidRPr="00083F79">
        <w:rPr>
          <w:rFonts w:ascii="Arial" w:hAnsi="Arial" w:cs="Arial"/>
          <w:sz w:val="18"/>
          <w:szCs w:val="18"/>
        </w:rPr>
        <w:tab/>
      </w:r>
      <w:hyperlink r:id="rId41" w:history="1">
        <w:r w:rsidRPr="00083F79">
          <w:rPr>
            <w:rStyle w:val="Lienhypertexte"/>
            <w:rFonts w:ascii="Arial" w:hAnsi="Arial" w:cs="Arial"/>
            <w:sz w:val="18"/>
            <w:szCs w:val="18"/>
          </w:rPr>
          <w:t>Résolution 3.GA 5</w:t>
        </w:r>
      </w:hyperlink>
      <w:r w:rsidRPr="00083F79">
        <w:rPr>
          <w:rFonts w:ascii="Arial" w:hAnsi="Arial" w:cs="Arial"/>
          <w:sz w:val="18"/>
          <w:szCs w:val="18"/>
        </w:rPr>
        <w:t xml:space="preserve"> (paragraphe 6)</w:t>
      </w:r>
    </w:p>
  </w:footnote>
  <w:footnote w:id="23">
    <w:p w14:paraId="3D7EC4DF" w14:textId="77777777" w:rsidR="00CB69D9" w:rsidRPr="00CB69D9" w:rsidRDefault="00CB69D9" w:rsidP="0054455C">
      <w:pPr>
        <w:pStyle w:val="Notedebasdepage"/>
        <w:tabs>
          <w:tab w:val="left" w:pos="567"/>
        </w:tabs>
        <w:rPr>
          <w:rFonts w:ascii="Arial" w:hAnsi="Arial" w:cs="Arial"/>
          <w:sz w:val="18"/>
          <w:szCs w:val="18"/>
        </w:rPr>
      </w:pPr>
      <w:r w:rsidRPr="00083F79">
        <w:rPr>
          <w:rStyle w:val="Appelnotedebasdep"/>
          <w:rFonts w:ascii="Arial" w:hAnsi="Arial" w:cs="Arial"/>
          <w:sz w:val="18"/>
          <w:szCs w:val="18"/>
        </w:rPr>
        <w:footnoteRef/>
      </w:r>
      <w:r w:rsidRPr="00CB69D9">
        <w:rPr>
          <w:rFonts w:ascii="Arial" w:hAnsi="Arial" w:cs="Arial"/>
          <w:sz w:val="18"/>
          <w:szCs w:val="18"/>
          <w:vertAlign w:val="superscript"/>
        </w:rPr>
        <w:t>.</w:t>
      </w:r>
      <w:r w:rsidRPr="00CB69D9">
        <w:rPr>
          <w:rFonts w:ascii="Arial" w:hAnsi="Arial" w:cs="Arial"/>
          <w:sz w:val="18"/>
          <w:szCs w:val="18"/>
        </w:rPr>
        <w:t xml:space="preserve"> </w:t>
      </w:r>
      <w:r w:rsidRPr="00CB69D9">
        <w:rPr>
          <w:rFonts w:ascii="Arial" w:hAnsi="Arial" w:cs="Arial"/>
          <w:sz w:val="18"/>
          <w:szCs w:val="18"/>
        </w:rPr>
        <w:tab/>
      </w:r>
      <w:hyperlink r:id="rId42" w:history="1">
        <w:r w:rsidRPr="00CB69D9">
          <w:rPr>
            <w:rStyle w:val="Lienhypertexte"/>
            <w:rFonts w:ascii="Arial" w:hAnsi="Arial" w:cs="Arial"/>
            <w:sz w:val="18"/>
            <w:szCs w:val="18"/>
          </w:rPr>
          <w:t>Document ITH/11/6.COM/CONF.206/16</w:t>
        </w:r>
      </w:hyperlink>
    </w:p>
  </w:footnote>
  <w:footnote w:id="24">
    <w:p w14:paraId="435371E2" w14:textId="37022F76" w:rsidR="00CB69D9" w:rsidRPr="00CB69D9" w:rsidRDefault="00CB69D9" w:rsidP="0054455C">
      <w:pPr>
        <w:pStyle w:val="Notedebasdepage"/>
        <w:tabs>
          <w:tab w:val="left" w:pos="567"/>
        </w:tabs>
        <w:rPr>
          <w:rFonts w:ascii="Arial" w:hAnsi="Arial" w:cs="Arial"/>
          <w:sz w:val="18"/>
          <w:szCs w:val="18"/>
        </w:rPr>
      </w:pPr>
      <w:r w:rsidRPr="00083F79">
        <w:rPr>
          <w:rStyle w:val="Appelnotedebasdep"/>
          <w:rFonts w:ascii="Arial" w:hAnsi="Arial" w:cs="Arial"/>
          <w:sz w:val="18"/>
          <w:szCs w:val="18"/>
        </w:rPr>
        <w:footnoteRef/>
      </w:r>
      <w:r w:rsidRPr="00CB69D9">
        <w:rPr>
          <w:rFonts w:ascii="Arial" w:hAnsi="Arial" w:cs="Arial"/>
          <w:sz w:val="18"/>
          <w:szCs w:val="18"/>
          <w:vertAlign w:val="superscript"/>
        </w:rPr>
        <w:t>.</w:t>
      </w:r>
      <w:r w:rsidRPr="00CB69D9">
        <w:rPr>
          <w:rFonts w:ascii="Arial" w:hAnsi="Arial" w:cs="Arial"/>
          <w:sz w:val="18"/>
          <w:szCs w:val="18"/>
        </w:rPr>
        <w:t xml:space="preserve"> </w:t>
      </w:r>
      <w:r w:rsidRPr="00CB69D9">
        <w:rPr>
          <w:rFonts w:ascii="Arial" w:hAnsi="Arial" w:cs="Arial"/>
          <w:sz w:val="18"/>
          <w:szCs w:val="18"/>
        </w:rPr>
        <w:tab/>
        <w:t>Documents </w:t>
      </w:r>
      <w:hyperlink r:id="rId43" w:history="1">
        <w:r w:rsidRPr="00CB69D9">
          <w:rPr>
            <w:rStyle w:val="Lienhypertexte"/>
            <w:rFonts w:ascii="Arial" w:eastAsia="SimSun" w:hAnsi="Arial" w:cs="Arial"/>
            <w:sz w:val="18"/>
            <w:szCs w:val="18"/>
            <w:lang w:eastAsia="ja-JP"/>
          </w:rPr>
          <w:t>ITH/10/5.COM/CONF.202/10 Part I</w:t>
        </w:r>
      </w:hyperlink>
      <w:r w:rsidRPr="00CB69D9">
        <w:rPr>
          <w:rFonts w:ascii="Arial" w:hAnsi="Arial" w:cs="Arial"/>
          <w:sz w:val="18"/>
          <w:szCs w:val="18"/>
        </w:rPr>
        <w:t xml:space="preserve">, </w:t>
      </w:r>
      <w:hyperlink r:id="rId44" w:history="1">
        <w:r w:rsidRPr="00CB69D9">
          <w:rPr>
            <w:rStyle w:val="Lienhypertexte"/>
            <w:rFonts w:ascii="Arial" w:eastAsia="SimSun" w:hAnsi="Arial" w:cs="Arial"/>
            <w:sz w:val="18"/>
            <w:szCs w:val="18"/>
            <w:lang w:eastAsia="ja-JP"/>
          </w:rPr>
          <w:t>ITH/11/6.COM/CONF.206/16</w:t>
        </w:r>
      </w:hyperlink>
      <w:r w:rsidRPr="00CB69D9">
        <w:rPr>
          <w:rFonts w:ascii="Arial" w:hAnsi="Arial" w:cs="Arial"/>
          <w:sz w:val="18"/>
          <w:szCs w:val="18"/>
        </w:rPr>
        <w:t xml:space="preserve"> et </w:t>
      </w:r>
      <w:hyperlink r:id="rId45" w:history="1">
        <w:r w:rsidR="009E1E41">
          <w:rPr>
            <w:rStyle w:val="Lienhypertexte"/>
            <w:rFonts w:ascii="Arial" w:hAnsi="Arial" w:cs="Arial"/>
            <w:sz w:val="18"/>
            <w:szCs w:val="18"/>
          </w:rPr>
          <w:t>Décision </w:t>
        </w:r>
        <w:r w:rsidRPr="00CB69D9">
          <w:rPr>
            <w:rStyle w:val="Lienhypertexte"/>
            <w:rFonts w:ascii="Arial" w:hAnsi="Arial" w:cs="Arial"/>
            <w:sz w:val="18"/>
            <w:szCs w:val="18"/>
          </w:rPr>
          <w:t>5.COM 10.1</w:t>
        </w:r>
      </w:hyperlink>
    </w:p>
  </w:footnote>
  <w:footnote w:id="25">
    <w:p w14:paraId="7344C0E4" w14:textId="77777777" w:rsidR="00CB69D9" w:rsidRPr="00CB69D9" w:rsidRDefault="00CB69D9" w:rsidP="0054455C">
      <w:pPr>
        <w:pStyle w:val="Notedebasdepage"/>
        <w:tabs>
          <w:tab w:val="left" w:pos="567"/>
        </w:tabs>
        <w:rPr>
          <w:rFonts w:ascii="Arial" w:hAnsi="Arial" w:cs="Arial"/>
          <w:sz w:val="18"/>
          <w:szCs w:val="18"/>
          <w:highlight w:val="yellow"/>
        </w:rPr>
      </w:pPr>
      <w:r w:rsidRPr="00083F79">
        <w:rPr>
          <w:rStyle w:val="Appelnotedebasdep"/>
          <w:rFonts w:ascii="Arial" w:hAnsi="Arial" w:cs="Arial"/>
          <w:sz w:val="18"/>
          <w:szCs w:val="18"/>
          <w:lang w:val="en-GB"/>
        </w:rPr>
        <w:footnoteRef/>
      </w:r>
      <w:r w:rsidRPr="00CB69D9">
        <w:rPr>
          <w:rFonts w:ascii="Arial" w:hAnsi="Arial" w:cs="Arial"/>
          <w:sz w:val="18"/>
          <w:szCs w:val="18"/>
          <w:vertAlign w:val="superscript"/>
        </w:rPr>
        <w:t>.</w:t>
      </w:r>
      <w:r w:rsidRPr="00CB69D9">
        <w:rPr>
          <w:rFonts w:ascii="Arial" w:hAnsi="Arial" w:cs="Arial"/>
          <w:sz w:val="18"/>
          <w:szCs w:val="18"/>
        </w:rPr>
        <w:t xml:space="preserve"> </w:t>
      </w:r>
      <w:r w:rsidRPr="00CB69D9">
        <w:rPr>
          <w:rFonts w:ascii="Arial" w:hAnsi="Arial" w:cs="Arial"/>
          <w:sz w:val="18"/>
          <w:szCs w:val="18"/>
        </w:rPr>
        <w:tab/>
      </w:r>
      <w:hyperlink r:id="rId46" w:history="1">
        <w:r w:rsidRPr="00CB69D9">
          <w:rPr>
            <w:rStyle w:val="Lienhypertexte"/>
            <w:rFonts w:ascii="Arial" w:hAnsi="Arial" w:cs="Arial"/>
            <w:sz w:val="18"/>
            <w:szCs w:val="18"/>
          </w:rPr>
          <w:t>Décision 13.COM 9</w:t>
        </w:r>
      </w:hyperlink>
    </w:p>
  </w:footnote>
  <w:footnote w:id="26">
    <w:p w14:paraId="2FA8EA35" w14:textId="77777777" w:rsidR="00CB69D9" w:rsidRPr="009E14C0" w:rsidRDefault="00CB69D9" w:rsidP="0054455C">
      <w:pPr>
        <w:pStyle w:val="Notedebasdepage"/>
        <w:tabs>
          <w:tab w:val="left" w:pos="567"/>
        </w:tabs>
        <w:rPr>
          <w:rFonts w:ascii="Arial" w:hAnsi="Arial" w:cs="Arial"/>
          <w:sz w:val="18"/>
          <w:szCs w:val="18"/>
        </w:rPr>
      </w:pPr>
      <w:r w:rsidRPr="009E14C0">
        <w:rPr>
          <w:rStyle w:val="Appelnotedebasdep"/>
          <w:rFonts w:ascii="Arial" w:hAnsi="Arial" w:cs="Arial"/>
          <w:sz w:val="18"/>
          <w:szCs w:val="18"/>
        </w:rPr>
        <w:footnoteRef/>
      </w:r>
      <w:r w:rsidRPr="009E14C0">
        <w:rPr>
          <w:rFonts w:ascii="Arial" w:hAnsi="Arial" w:cs="Arial"/>
          <w:sz w:val="18"/>
          <w:szCs w:val="18"/>
          <w:vertAlign w:val="superscript"/>
        </w:rPr>
        <w:t>.</w:t>
      </w:r>
      <w:r>
        <w:rPr>
          <w:rFonts w:ascii="Arial" w:hAnsi="Arial" w:cs="Arial"/>
          <w:sz w:val="18"/>
          <w:szCs w:val="18"/>
        </w:rPr>
        <w:t xml:space="preserve"> </w:t>
      </w:r>
      <w:r>
        <w:rPr>
          <w:rFonts w:ascii="Arial" w:hAnsi="Arial" w:cs="Arial"/>
          <w:sz w:val="18"/>
          <w:szCs w:val="18"/>
        </w:rPr>
        <w:tab/>
      </w:r>
      <w:hyperlink r:id="rId47" w:history="1">
        <w:r w:rsidRPr="009E14C0">
          <w:rPr>
            <w:rStyle w:val="Lienhypertexte"/>
            <w:rFonts w:ascii="Arial" w:hAnsi="Arial" w:cs="Arial"/>
            <w:sz w:val="18"/>
            <w:szCs w:val="18"/>
          </w:rPr>
          <w:t>https://whc.unesco.org/fr/suivi-reactif/</w:t>
        </w:r>
      </w:hyperlink>
    </w:p>
  </w:footnote>
  <w:footnote w:id="27">
    <w:p w14:paraId="7E2DC4FF" w14:textId="77777777" w:rsidR="00CB69D9" w:rsidRPr="00CB69D9" w:rsidRDefault="00CB69D9" w:rsidP="0054455C">
      <w:pPr>
        <w:pStyle w:val="Notedebasdepage"/>
        <w:tabs>
          <w:tab w:val="left" w:pos="567"/>
        </w:tabs>
        <w:rPr>
          <w:rFonts w:ascii="Arial" w:hAnsi="Arial" w:cs="Arial"/>
          <w:sz w:val="18"/>
          <w:szCs w:val="18"/>
          <w:lang w:val="en-US"/>
        </w:rPr>
      </w:pPr>
      <w:r w:rsidRPr="009E14C0">
        <w:rPr>
          <w:rStyle w:val="Appelnotedebasdep"/>
          <w:rFonts w:ascii="Arial" w:hAnsi="Arial" w:cs="Arial"/>
          <w:sz w:val="18"/>
          <w:szCs w:val="18"/>
        </w:rPr>
        <w:footnoteRef/>
      </w:r>
      <w:r w:rsidRPr="00CB69D9">
        <w:rPr>
          <w:rFonts w:ascii="Arial" w:hAnsi="Arial" w:cs="Arial"/>
          <w:sz w:val="18"/>
          <w:szCs w:val="18"/>
          <w:vertAlign w:val="superscript"/>
          <w:lang w:val="en-US"/>
        </w:rPr>
        <w:t>.</w:t>
      </w:r>
      <w:r w:rsidRPr="00CB69D9">
        <w:rPr>
          <w:rFonts w:ascii="Arial" w:hAnsi="Arial" w:cs="Arial"/>
          <w:sz w:val="18"/>
          <w:szCs w:val="18"/>
          <w:lang w:val="en-US"/>
        </w:rPr>
        <w:t xml:space="preserve"> </w:t>
      </w:r>
      <w:r w:rsidRPr="00CB69D9">
        <w:rPr>
          <w:rFonts w:ascii="Arial" w:hAnsi="Arial" w:cs="Arial"/>
          <w:sz w:val="18"/>
          <w:szCs w:val="18"/>
          <w:lang w:val="en-US"/>
        </w:rPr>
        <w:tab/>
      </w:r>
      <w:hyperlink r:id="rId48" w:history="1">
        <w:r w:rsidRPr="00CB69D9">
          <w:rPr>
            <w:rStyle w:val="Lienhypertexte"/>
            <w:rFonts w:ascii="Arial" w:hAnsi="Arial" w:cs="Arial"/>
            <w:sz w:val="18"/>
            <w:szCs w:val="18"/>
            <w:lang w:val="en-US"/>
          </w:rPr>
          <w:t>Document ITH/17/12.COM/14</w:t>
        </w:r>
      </w:hyperlink>
    </w:p>
  </w:footnote>
  <w:footnote w:id="28">
    <w:p w14:paraId="3CEB715C" w14:textId="77777777" w:rsidR="00CB69D9" w:rsidRPr="009E14C0" w:rsidRDefault="00CB69D9" w:rsidP="0054455C">
      <w:pPr>
        <w:tabs>
          <w:tab w:val="left" w:pos="567"/>
        </w:tabs>
        <w:rPr>
          <w:rFonts w:ascii="Arial" w:eastAsia="Calibri" w:hAnsi="Arial" w:cs="Arial"/>
          <w:sz w:val="18"/>
          <w:szCs w:val="18"/>
          <w:lang w:val="en-US" w:eastAsia="en-US"/>
        </w:rPr>
      </w:pPr>
      <w:r w:rsidRPr="009E14C0">
        <w:rPr>
          <w:rStyle w:val="Appelnotedebasdep"/>
          <w:rFonts w:ascii="Arial" w:hAnsi="Arial" w:cs="Arial"/>
          <w:sz w:val="18"/>
          <w:szCs w:val="18"/>
        </w:rPr>
        <w:footnoteRef/>
      </w:r>
      <w:r w:rsidRPr="009E14C0">
        <w:rPr>
          <w:rFonts w:ascii="Arial" w:hAnsi="Arial" w:cs="Arial"/>
          <w:sz w:val="18"/>
          <w:szCs w:val="18"/>
          <w:vertAlign w:val="superscript"/>
          <w:lang w:val="en-US"/>
        </w:rPr>
        <w:t>.</w:t>
      </w:r>
      <w:r w:rsidRPr="009E14C0">
        <w:rPr>
          <w:rFonts w:ascii="Arial" w:hAnsi="Arial" w:cs="Arial"/>
          <w:sz w:val="18"/>
          <w:szCs w:val="18"/>
          <w:lang w:val="en-US"/>
        </w:rPr>
        <w:t xml:space="preserve"> </w:t>
      </w:r>
      <w:r>
        <w:rPr>
          <w:rFonts w:ascii="Arial" w:hAnsi="Arial" w:cs="Arial"/>
          <w:sz w:val="18"/>
          <w:szCs w:val="18"/>
          <w:lang w:val="en-US"/>
        </w:rPr>
        <w:tab/>
      </w:r>
      <w:r w:rsidRPr="009E14C0">
        <w:rPr>
          <w:rFonts w:ascii="Arial" w:hAnsi="Arial" w:cs="Arial"/>
          <w:sz w:val="18"/>
          <w:szCs w:val="18"/>
          <w:lang w:val="en-US"/>
        </w:rPr>
        <w:t xml:space="preserve">Documents </w:t>
      </w:r>
      <w:hyperlink r:id="rId49" w:history="1">
        <w:r w:rsidRPr="009E14C0">
          <w:rPr>
            <w:rStyle w:val="Lienhypertexte"/>
            <w:rFonts w:ascii="Arial" w:hAnsi="Arial" w:cs="Arial"/>
            <w:sz w:val="18"/>
            <w:szCs w:val="18"/>
            <w:lang w:val="en-US"/>
          </w:rPr>
          <w:t>ITH/15/</w:t>
        </w:r>
        <w:r w:rsidRPr="009E14C0">
          <w:rPr>
            <w:rStyle w:val="Lienhypertexte"/>
            <w:rFonts w:ascii="Arial" w:eastAsia="Calibri" w:hAnsi="Arial" w:cs="Arial"/>
            <w:sz w:val="18"/>
            <w:szCs w:val="18"/>
            <w:lang w:val="en-US" w:eastAsia="en-US"/>
          </w:rPr>
          <w:t>10.COM/10</w:t>
        </w:r>
      </w:hyperlink>
      <w:r w:rsidRPr="009E14C0">
        <w:rPr>
          <w:rFonts w:ascii="Arial" w:hAnsi="Arial" w:cs="Arial"/>
          <w:sz w:val="18"/>
          <w:szCs w:val="18"/>
          <w:lang w:val="en-US"/>
        </w:rPr>
        <w:t xml:space="preserve">, </w:t>
      </w:r>
      <w:hyperlink r:id="rId50" w:history="1">
        <w:r w:rsidRPr="009E14C0">
          <w:rPr>
            <w:rStyle w:val="Lienhypertexte"/>
            <w:rFonts w:ascii="Arial" w:hAnsi="Arial" w:cs="Arial"/>
            <w:sz w:val="18"/>
            <w:szCs w:val="18"/>
            <w:lang w:val="en-US"/>
          </w:rPr>
          <w:t>ITH/16/</w:t>
        </w:r>
        <w:r w:rsidRPr="009E14C0">
          <w:rPr>
            <w:rStyle w:val="Lienhypertexte"/>
            <w:rFonts w:ascii="Arial" w:eastAsia="Calibri" w:hAnsi="Arial" w:cs="Arial"/>
            <w:sz w:val="18"/>
            <w:szCs w:val="18"/>
            <w:lang w:val="en-US"/>
          </w:rPr>
          <w:t>11.COM/10</w:t>
        </w:r>
      </w:hyperlink>
      <w:r w:rsidRPr="009E14C0">
        <w:rPr>
          <w:rFonts w:ascii="Arial" w:hAnsi="Arial" w:cs="Arial"/>
          <w:sz w:val="18"/>
          <w:szCs w:val="18"/>
          <w:lang w:val="en-US"/>
        </w:rPr>
        <w:t xml:space="preserve">, </w:t>
      </w:r>
      <w:hyperlink r:id="rId51" w:history="1">
        <w:r w:rsidRPr="009E14C0">
          <w:rPr>
            <w:rStyle w:val="Lienhypertexte"/>
            <w:rFonts w:ascii="Arial" w:hAnsi="Arial" w:cs="Arial"/>
            <w:sz w:val="18"/>
            <w:szCs w:val="18"/>
            <w:lang w:val="en-US"/>
          </w:rPr>
          <w:t>ITH/17/</w:t>
        </w:r>
        <w:r w:rsidRPr="009E14C0">
          <w:rPr>
            <w:rStyle w:val="Lienhypertexte"/>
            <w:rFonts w:ascii="Arial" w:eastAsia="Calibri" w:hAnsi="Arial" w:cs="Arial"/>
            <w:sz w:val="18"/>
            <w:szCs w:val="18"/>
            <w:lang w:val="en-US"/>
          </w:rPr>
          <w:t>12.COM/11</w:t>
        </w:r>
      </w:hyperlink>
      <w:r w:rsidRPr="009E14C0">
        <w:rPr>
          <w:rFonts w:ascii="Arial" w:hAnsi="Arial" w:cs="Arial"/>
          <w:sz w:val="18"/>
          <w:szCs w:val="18"/>
          <w:lang w:val="en-US"/>
        </w:rPr>
        <w:t xml:space="preserve"> et </w:t>
      </w:r>
      <w:hyperlink r:id="rId52" w:history="1">
        <w:r w:rsidRPr="009E14C0">
          <w:rPr>
            <w:rStyle w:val="Lienhypertexte"/>
            <w:rFonts w:ascii="Arial" w:hAnsi="Arial" w:cs="Arial"/>
            <w:sz w:val="18"/>
            <w:szCs w:val="18"/>
            <w:lang w:val="en-US"/>
          </w:rPr>
          <w:t>ITH/18/</w:t>
        </w:r>
        <w:r w:rsidRPr="009E14C0">
          <w:rPr>
            <w:rStyle w:val="Lienhypertexte"/>
            <w:rFonts w:ascii="Arial" w:eastAsia="Calibri" w:hAnsi="Arial" w:cs="Arial"/>
            <w:sz w:val="18"/>
            <w:szCs w:val="18"/>
            <w:lang w:val="en-US"/>
          </w:rPr>
          <w:t>13.COM/10</w:t>
        </w:r>
      </w:hyperlink>
    </w:p>
  </w:footnote>
  <w:footnote w:id="29">
    <w:p w14:paraId="2F68A0AD" w14:textId="77777777" w:rsidR="00CB69D9" w:rsidRPr="009E14C0" w:rsidRDefault="00CB69D9" w:rsidP="0054455C">
      <w:pPr>
        <w:tabs>
          <w:tab w:val="left" w:pos="567"/>
        </w:tabs>
        <w:rPr>
          <w:rFonts w:ascii="Arial" w:hAnsi="Arial" w:cs="Arial"/>
          <w:bCs/>
          <w:color w:val="414042"/>
          <w:sz w:val="18"/>
          <w:szCs w:val="18"/>
          <w:lang w:val="en-US"/>
        </w:rPr>
      </w:pPr>
      <w:r w:rsidRPr="009E14C0">
        <w:rPr>
          <w:rStyle w:val="Appelnotedebasdep"/>
          <w:rFonts w:ascii="Arial" w:hAnsi="Arial" w:cs="Arial"/>
          <w:sz w:val="18"/>
          <w:szCs w:val="18"/>
        </w:rPr>
        <w:footnoteRef/>
      </w:r>
      <w:r w:rsidRPr="009E14C0">
        <w:rPr>
          <w:rFonts w:ascii="Arial" w:hAnsi="Arial" w:cs="Arial"/>
          <w:sz w:val="18"/>
          <w:szCs w:val="18"/>
          <w:vertAlign w:val="superscript"/>
          <w:lang w:val="en-US"/>
        </w:rPr>
        <w:t>.</w:t>
      </w:r>
      <w:r w:rsidRPr="009E14C0">
        <w:rPr>
          <w:rFonts w:ascii="Arial" w:hAnsi="Arial" w:cs="Arial"/>
          <w:sz w:val="18"/>
          <w:szCs w:val="18"/>
          <w:lang w:val="en-US"/>
        </w:rPr>
        <w:t xml:space="preserve"> </w:t>
      </w:r>
      <w:r>
        <w:rPr>
          <w:rFonts w:ascii="Arial" w:hAnsi="Arial" w:cs="Arial"/>
          <w:sz w:val="18"/>
          <w:szCs w:val="18"/>
          <w:lang w:val="en-US"/>
        </w:rPr>
        <w:tab/>
      </w:r>
      <w:r w:rsidRPr="009E14C0">
        <w:rPr>
          <w:rFonts w:ascii="Arial" w:hAnsi="Arial" w:cs="Arial"/>
          <w:sz w:val="18"/>
          <w:szCs w:val="18"/>
          <w:lang w:val="en-US"/>
        </w:rPr>
        <w:t xml:space="preserve">Documents </w:t>
      </w:r>
      <w:hyperlink r:id="rId53" w:history="1">
        <w:r w:rsidRPr="009E14C0">
          <w:rPr>
            <w:rStyle w:val="Lienhypertexte"/>
            <w:rFonts w:ascii="Arial" w:hAnsi="Arial" w:cs="Arial"/>
            <w:sz w:val="18"/>
            <w:szCs w:val="18"/>
            <w:lang w:val="en-US"/>
          </w:rPr>
          <w:t>ITH/15/</w:t>
        </w:r>
        <w:r w:rsidRPr="009E14C0">
          <w:rPr>
            <w:rStyle w:val="Lienhypertexte"/>
            <w:rFonts w:ascii="Arial" w:hAnsi="Arial" w:cs="Arial"/>
            <w:bCs/>
            <w:sz w:val="18"/>
            <w:szCs w:val="18"/>
            <w:lang w:val="en-US"/>
          </w:rPr>
          <w:t>10.COM/4</w:t>
        </w:r>
      </w:hyperlink>
      <w:r w:rsidRPr="009E14C0">
        <w:rPr>
          <w:rFonts w:ascii="Arial" w:hAnsi="Arial" w:cs="Arial"/>
          <w:bCs/>
          <w:color w:val="414042"/>
          <w:sz w:val="18"/>
          <w:szCs w:val="18"/>
          <w:lang w:val="en-US"/>
        </w:rPr>
        <w:t xml:space="preserve">, </w:t>
      </w:r>
      <w:hyperlink r:id="rId54" w:history="1">
        <w:r w:rsidRPr="009E14C0">
          <w:rPr>
            <w:rStyle w:val="Lienhypertexte"/>
            <w:rFonts w:ascii="Arial" w:hAnsi="Arial" w:cs="Arial"/>
            <w:sz w:val="18"/>
            <w:szCs w:val="18"/>
            <w:lang w:val="en-US"/>
          </w:rPr>
          <w:t>ITH</w:t>
        </w:r>
        <w:r w:rsidRPr="009E14C0">
          <w:rPr>
            <w:rStyle w:val="Lienhypertexte"/>
            <w:rFonts w:ascii="Arial" w:hAnsi="Arial" w:cs="Arial"/>
            <w:bCs/>
            <w:sz w:val="18"/>
            <w:szCs w:val="18"/>
            <w:lang w:val="en-US"/>
          </w:rPr>
          <w:t>/16/</w:t>
        </w:r>
        <w:r w:rsidRPr="009E14C0">
          <w:rPr>
            <w:rStyle w:val="Lienhypertexte"/>
            <w:rFonts w:ascii="Arial" w:hAnsi="Arial" w:cs="Arial"/>
            <w:sz w:val="18"/>
            <w:szCs w:val="18"/>
            <w:lang w:val="en-US"/>
          </w:rPr>
          <w:t>11.COM/4</w:t>
        </w:r>
      </w:hyperlink>
      <w:r w:rsidRPr="009E14C0">
        <w:rPr>
          <w:rStyle w:val="lev"/>
          <w:rFonts w:ascii="Arial" w:hAnsi="Arial" w:cs="Arial"/>
          <w:b w:val="0"/>
          <w:color w:val="414042"/>
          <w:sz w:val="18"/>
          <w:szCs w:val="18"/>
          <w:lang w:val="en-US"/>
        </w:rPr>
        <w:t xml:space="preserve">, </w:t>
      </w:r>
      <w:hyperlink r:id="rId55" w:history="1">
        <w:r w:rsidRPr="009E14C0">
          <w:rPr>
            <w:rStyle w:val="Lienhypertexte"/>
            <w:rFonts w:ascii="Arial" w:hAnsi="Arial" w:cs="Arial"/>
            <w:sz w:val="18"/>
            <w:szCs w:val="18"/>
            <w:lang w:val="en-US"/>
          </w:rPr>
          <w:t>ITH/17/12.COM/4</w:t>
        </w:r>
      </w:hyperlink>
      <w:r w:rsidRPr="009E14C0">
        <w:rPr>
          <w:rStyle w:val="lev"/>
          <w:rFonts w:ascii="Arial" w:hAnsi="Arial" w:cs="Arial"/>
          <w:b w:val="0"/>
          <w:color w:val="414042"/>
          <w:sz w:val="18"/>
          <w:szCs w:val="18"/>
          <w:lang w:val="en-US"/>
        </w:rPr>
        <w:t xml:space="preserve"> et </w:t>
      </w:r>
      <w:hyperlink r:id="rId56" w:history="1">
        <w:r w:rsidRPr="009E14C0">
          <w:rPr>
            <w:rStyle w:val="Lienhypertexte"/>
            <w:rFonts w:ascii="Arial" w:hAnsi="Arial" w:cs="Arial"/>
            <w:sz w:val="18"/>
            <w:szCs w:val="18"/>
            <w:lang w:val="en-US"/>
          </w:rPr>
          <w:t>ITH/18/</w:t>
        </w:r>
        <w:r w:rsidRPr="009E14C0">
          <w:rPr>
            <w:rStyle w:val="Lienhypertexte"/>
            <w:rFonts w:ascii="Arial" w:hAnsi="Arial" w:cs="Arial"/>
            <w:bCs/>
            <w:sz w:val="18"/>
            <w:szCs w:val="18"/>
            <w:lang w:val="en-US"/>
          </w:rPr>
          <w:t>13.COM/4</w:t>
        </w:r>
      </w:hyperlink>
    </w:p>
  </w:footnote>
  <w:footnote w:id="30">
    <w:p w14:paraId="5BE8E6E9" w14:textId="77777777" w:rsidR="00CB69D9" w:rsidRPr="009E14C0" w:rsidRDefault="00CB69D9" w:rsidP="0054455C">
      <w:pPr>
        <w:pStyle w:val="Notedebasdepage"/>
        <w:tabs>
          <w:tab w:val="left" w:pos="567"/>
        </w:tabs>
        <w:rPr>
          <w:rFonts w:ascii="Arial" w:hAnsi="Arial" w:cs="Arial"/>
          <w:sz w:val="18"/>
          <w:szCs w:val="18"/>
        </w:rPr>
      </w:pPr>
      <w:r w:rsidRPr="009E14C0">
        <w:rPr>
          <w:rStyle w:val="Appelnotedebasdep"/>
          <w:rFonts w:ascii="Arial" w:hAnsi="Arial" w:cs="Arial"/>
          <w:sz w:val="18"/>
          <w:szCs w:val="18"/>
          <w:lang w:val="en-GB"/>
        </w:rPr>
        <w:footnoteRef/>
      </w:r>
      <w:r w:rsidRPr="009E14C0">
        <w:rPr>
          <w:rFonts w:ascii="Arial" w:hAnsi="Arial" w:cs="Arial"/>
          <w:sz w:val="18"/>
          <w:szCs w:val="18"/>
          <w:vertAlign w:val="superscript"/>
        </w:rPr>
        <w:t>.</w:t>
      </w:r>
      <w:r w:rsidRPr="009E14C0">
        <w:rPr>
          <w:rFonts w:ascii="Arial" w:hAnsi="Arial" w:cs="Arial"/>
          <w:sz w:val="18"/>
          <w:szCs w:val="18"/>
        </w:rPr>
        <w:t xml:space="preserve"> </w:t>
      </w:r>
      <w:r>
        <w:rPr>
          <w:rFonts w:ascii="Arial" w:hAnsi="Arial" w:cs="Arial"/>
          <w:sz w:val="18"/>
          <w:szCs w:val="18"/>
        </w:rPr>
        <w:tab/>
      </w:r>
      <w:hyperlink r:id="rId57" w:history="1">
        <w:r w:rsidRPr="009E14C0">
          <w:rPr>
            <w:rStyle w:val="Lienhypertexte"/>
            <w:rFonts w:ascii="Arial" w:hAnsi="Arial" w:cs="Arial"/>
            <w:sz w:val="18"/>
            <w:szCs w:val="18"/>
          </w:rPr>
          <w:t>Décision 11.COM 10</w:t>
        </w:r>
      </w:hyperlink>
    </w:p>
  </w:footnote>
  <w:footnote w:id="31">
    <w:p w14:paraId="10EF5F39" w14:textId="77777777" w:rsidR="00CB69D9" w:rsidRPr="009E14C0" w:rsidRDefault="00CB69D9" w:rsidP="0054455C">
      <w:pPr>
        <w:pStyle w:val="Notedebasdepage"/>
        <w:tabs>
          <w:tab w:val="left" w:pos="567"/>
        </w:tabs>
        <w:rPr>
          <w:rFonts w:ascii="Arial" w:hAnsi="Arial" w:cs="Arial"/>
          <w:sz w:val="18"/>
          <w:szCs w:val="18"/>
        </w:rPr>
      </w:pPr>
      <w:r w:rsidRPr="009E14C0">
        <w:rPr>
          <w:rStyle w:val="Appelnotedebasdep"/>
          <w:rFonts w:ascii="Arial" w:hAnsi="Arial" w:cs="Arial"/>
          <w:sz w:val="18"/>
          <w:szCs w:val="18"/>
        </w:rPr>
        <w:footnoteRef/>
      </w:r>
      <w:r w:rsidRPr="009E14C0">
        <w:rPr>
          <w:rFonts w:ascii="Arial" w:hAnsi="Arial" w:cs="Arial"/>
          <w:sz w:val="18"/>
          <w:szCs w:val="18"/>
          <w:vertAlign w:val="superscript"/>
        </w:rPr>
        <w:t>.</w:t>
      </w:r>
      <w:r w:rsidRPr="009E14C0">
        <w:rPr>
          <w:rFonts w:ascii="Arial" w:hAnsi="Arial" w:cs="Arial"/>
          <w:sz w:val="18"/>
          <w:szCs w:val="18"/>
        </w:rPr>
        <w:t xml:space="preserve"> </w:t>
      </w:r>
      <w:r>
        <w:rPr>
          <w:rFonts w:ascii="Arial" w:hAnsi="Arial" w:cs="Arial"/>
          <w:sz w:val="18"/>
          <w:szCs w:val="18"/>
        </w:rPr>
        <w:tab/>
      </w:r>
      <w:hyperlink r:id="rId58" w:history="1">
        <w:r w:rsidRPr="009E14C0">
          <w:rPr>
            <w:rStyle w:val="Lienhypertexte"/>
            <w:rFonts w:ascii="Arial" w:hAnsi="Arial" w:cs="Arial"/>
            <w:sz w:val="18"/>
            <w:szCs w:val="18"/>
          </w:rPr>
          <w:t>Décision 12.COM 13</w:t>
        </w:r>
      </w:hyperlink>
    </w:p>
  </w:footnote>
  <w:footnote w:id="32">
    <w:p w14:paraId="3D7BF90B" w14:textId="34497E34" w:rsidR="00CB69D9" w:rsidRDefault="00CB69D9" w:rsidP="004C1DBE">
      <w:pPr>
        <w:pStyle w:val="Notedebasdepage"/>
        <w:tabs>
          <w:tab w:val="left" w:pos="567"/>
        </w:tabs>
      </w:pPr>
      <w:r w:rsidRPr="004C1DBE">
        <w:rPr>
          <w:rStyle w:val="Appelnotedebasdep"/>
        </w:rPr>
        <w:footnoteRef/>
      </w:r>
      <w:r w:rsidRPr="00CB69D9">
        <w:rPr>
          <w:vertAlign w:val="superscript"/>
        </w:rPr>
        <w:t>.</w:t>
      </w:r>
      <w:r>
        <w:t xml:space="preserve"> </w:t>
      </w:r>
      <w:r>
        <w:tab/>
      </w:r>
      <w:hyperlink r:id="rId59" w:history="1">
        <w:r w:rsidRPr="00CB69D9">
          <w:rPr>
            <w:rStyle w:val="Lienhypertexte"/>
            <w:rFonts w:ascii="Arial" w:hAnsi="Arial" w:cs="Arial"/>
            <w:sz w:val="18"/>
            <w:szCs w:val="18"/>
          </w:rPr>
          <w:t>Décision 13.COM 16</w:t>
        </w:r>
      </w:hyperlink>
    </w:p>
  </w:footnote>
  <w:footnote w:id="33">
    <w:p w14:paraId="4A24DABC" w14:textId="77777777" w:rsidR="00CB69D9" w:rsidRPr="009E14C0" w:rsidRDefault="00CB69D9" w:rsidP="0054455C">
      <w:pPr>
        <w:pStyle w:val="Notedebasdepage"/>
        <w:tabs>
          <w:tab w:val="left" w:pos="567"/>
        </w:tabs>
        <w:rPr>
          <w:rFonts w:ascii="Arial" w:hAnsi="Arial" w:cs="Arial"/>
          <w:sz w:val="18"/>
          <w:szCs w:val="18"/>
        </w:rPr>
      </w:pPr>
      <w:r w:rsidRPr="009E14C0">
        <w:rPr>
          <w:rStyle w:val="Appelnotedebasdep"/>
          <w:rFonts w:ascii="Arial" w:hAnsi="Arial" w:cs="Arial"/>
          <w:sz w:val="18"/>
          <w:szCs w:val="18"/>
        </w:rPr>
        <w:footnoteRef/>
      </w:r>
      <w:r w:rsidRPr="009E14C0">
        <w:rPr>
          <w:rFonts w:ascii="Arial" w:hAnsi="Arial" w:cs="Arial"/>
          <w:sz w:val="18"/>
          <w:szCs w:val="18"/>
          <w:vertAlign w:val="superscript"/>
        </w:rPr>
        <w:t>.</w:t>
      </w:r>
      <w:r w:rsidRPr="009E14C0">
        <w:rPr>
          <w:rFonts w:ascii="Arial" w:hAnsi="Arial" w:cs="Arial"/>
          <w:sz w:val="18"/>
          <w:szCs w:val="18"/>
        </w:rPr>
        <w:t xml:space="preserve"> </w:t>
      </w:r>
      <w:r>
        <w:rPr>
          <w:rFonts w:ascii="Arial" w:hAnsi="Arial" w:cs="Arial"/>
          <w:sz w:val="18"/>
          <w:szCs w:val="18"/>
        </w:rPr>
        <w:tab/>
      </w:r>
      <w:hyperlink r:id="rId60" w:history="1">
        <w:r w:rsidRPr="009E14C0">
          <w:rPr>
            <w:rStyle w:val="Lienhypertexte"/>
            <w:rFonts w:ascii="Arial" w:hAnsi="Arial" w:cs="Arial"/>
            <w:sz w:val="18"/>
            <w:szCs w:val="18"/>
          </w:rPr>
          <w:t>Document LHE/19/14.COM/10</w:t>
        </w:r>
      </w:hyperlink>
    </w:p>
  </w:footnote>
  <w:footnote w:id="34">
    <w:p w14:paraId="02E82DA6" w14:textId="77777777" w:rsidR="00CB69D9" w:rsidRPr="00CB69D9" w:rsidRDefault="00CB69D9" w:rsidP="0054455C">
      <w:pPr>
        <w:pStyle w:val="Notedebasdepage"/>
        <w:tabs>
          <w:tab w:val="left" w:pos="567"/>
        </w:tabs>
        <w:rPr>
          <w:rFonts w:ascii="Arial" w:hAnsi="Arial" w:cs="Arial"/>
          <w:sz w:val="18"/>
          <w:szCs w:val="18"/>
        </w:rPr>
      </w:pPr>
      <w:r w:rsidRPr="00083F79">
        <w:rPr>
          <w:rStyle w:val="Appelnotedebasdep"/>
          <w:rFonts w:ascii="Arial" w:hAnsi="Arial" w:cs="Arial"/>
          <w:sz w:val="18"/>
          <w:szCs w:val="18"/>
        </w:rPr>
        <w:footnoteRef/>
      </w:r>
      <w:r w:rsidRPr="00083F79">
        <w:rPr>
          <w:rFonts w:ascii="Arial" w:hAnsi="Arial" w:cs="Arial"/>
          <w:sz w:val="18"/>
          <w:szCs w:val="18"/>
          <w:vertAlign w:val="superscript"/>
        </w:rPr>
        <w:t>.</w:t>
      </w:r>
      <w:r w:rsidRPr="00083F79">
        <w:rPr>
          <w:rFonts w:ascii="Arial" w:hAnsi="Arial" w:cs="Arial"/>
          <w:sz w:val="18"/>
          <w:szCs w:val="18"/>
        </w:rPr>
        <w:t xml:space="preserve"> </w:t>
      </w:r>
      <w:r w:rsidRPr="00C74435">
        <w:rPr>
          <w:rFonts w:ascii="Arial" w:hAnsi="Arial" w:cs="Arial"/>
          <w:sz w:val="18"/>
          <w:szCs w:val="18"/>
        </w:rPr>
        <w:tab/>
      </w:r>
      <w:hyperlink r:id="rId61" w:history="1">
        <w:r w:rsidRPr="00083F79">
          <w:rPr>
            <w:rStyle w:val="Lienhypertexte"/>
            <w:rFonts w:ascii="Arial" w:hAnsi="Arial" w:cs="Arial"/>
            <w:sz w:val="18"/>
            <w:szCs w:val="18"/>
          </w:rPr>
          <w:t>Document LHE/19/14.COM/19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308D6" w14:textId="2C445302" w:rsidR="00CB69D9" w:rsidRPr="00C23A97" w:rsidRDefault="00CB69D9" w:rsidP="005E32DA">
    <w:pPr>
      <w:pStyle w:val="En-tte"/>
      <w:rPr>
        <w:rFonts w:ascii="Arial" w:hAnsi="Arial" w:cs="Arial"/>
        <w:lang w:val="en-GB"/>
      </w:rPr>
    </w:pPr>
    <w:r>
      <w:rPr>
        <w:rFonts w:ascii="Arial" w:hAnsi="Arial" w:cs="Arial"/>
        <w:sz w:val="20"/>
        <w:szCs w:val="20"/>
      </w:rPr>
      <w:t xml:space="preserve">LHE/19/14.COM/14 –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rPr>
      <w:instrText xml:space="preserve"> PAGE </w:instrText>
    </w:r>
    <w:r w:rsidRPr="00C23A97">
      <w:rPr>
        <w:rStyle w:val="Numrodepage"/>
        <w:rFonts w:ascii="Arial" w:hAnsi="Arial" w:cs="Arial"/>
        <w:sz w:val="20"/>
        <w:szCs w:val="20"/>
        <w:lang w:val="en-GB"/>
      </w:rPr>
      <w:fldChar w:fldCharType="separate"/>
    </w:r>
    <w:r w:rsidR="00AE72F9">
      <w:rPr>
        <w:rStyle w:val="Numrodepage"/>
        <w:rFonts w:ascii="Arial" w:hAnsi="Arial" w:cs="Arial"/>
        <w:noProof/>
        <w:sz w:val="20"/>
        <w:szCs w:val="20"/>
      </w:rPr>
      <w:t>2</w:t>
    </w:r>
    <w:r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A36C0" w14:textId="00741CA1" w:rsidR="00CB69D9" w:rsidRPr="0063300C" w:rsidRDefault="00CB69D9" w:rsidP="005E32DA">
    <w:pPr>
      <w:pStyle w:val="En-tte"/>
      <w:jc w:val="right"/>
      <w:rPr>
        <w:rFonts w:ascii="Arial" w:hAnsi="Arial" w:cs="Arial"/>
        <w:lang w:val="en-GB"/>
      </w:rPr>
    </w:pPr>
    <w:r>
      <w:rPr>
        <w:rFonts w:ascii="Arial" w:hAnsi="Arial" w:cs="Arial"/>
        <w:sz w:val="20"/>
        <w:szCs w:val="20"/>
      </w:rPr>
      <w:t xml:space="preserve">LHE/19/14.COM/14 – page </w:t>
    </w:r>
    <w:r w:rsidRPr="0063300C">
      <w:rPr>
        <w:rStyle w:val="Numrodepage"/>
        <w:rFonts w:ascii="Arial" w:hAnsi="Arial" w:cs="Arial"/>
        <w:sz w:val="20"/>
        <w:szCs w:val="20"/>
        <w:lang w:val="en-GB"/>
      </w:rPr>
      <w:fldChar w:fldCharType="begin"/>
    </w:r>
    <w:r w:rsidRPr="0063300C">
      <w:rPr>
        <w:rStyle w:val="Numrodepage"/>
        <w:rFonts w:ascii="Arial" w:hAnsi="Arial" w:cs="Arial"/>
        <w:sz w:val="20"/>
        <w:szCs w:val="20"/>
      </w:rPr>
      <w:instrText xml:space="preserve"> PAGE </w:instrText>
    </w:r>
    <w:r w:rsidRPr="0063300C">
      <w:rPr>
        <w:rStyle w:val="Numrodepage"/>
        <w:rFonts w:ascii="Arial" w:hAnsi="Arial" w:cs="Arial"/>
        <w:sz w:val="20"/>
        <w:szCs w:val="20"/>
        <w:lang w:val="en-GB"/>
      </w:rPr>
      <w:fldChar w:fldCharType="separate"/>
    </w:r>
    <w:r w:rsidR="00AE72F9">
      <w:rPr>
        <w:rStyle w:val="Numrodepage"/>
        <w:rFonts w:ascii="Arial" w:hAnsi="Arial" w:cs="Arial"/>
        <w:noProof/>
        <w:sz w:val="20"/>
        <w:szCs w:val="20"/>
      </w:rPr>
      <w:t>3</w:t>
    </w:r>
    <w:r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9D671" w14:textId="77777777" w:rsidR="00CB69D9" w:rsidRPr="00E95AE2" w:rsidRDefault="00CB69D9">
    <w:pPr>
      <w:pStyle w:val="En-tte"/>
      <w:rPr>
        <w:sz w:val="22"/>
        <w:szCs w:val="22"/>
        <w:lang w:val="en-GB"/>
      </w:rPr>
    </w:pPr>
    <w:r>
      <w:rPr>
        <w:noProof/>
        <w:lang w:eastAsia="ja-JP"/>
      </w:rPr>
      <w:drawing>
        <wp:anchor distT="0" distB="0" distL="114300" distR="114300" simplePos="0" relativeHeight="251660288" behindDoc="0" locked="0" layoutInCell="1" allowOverlap="1" wp14:anchorId="27B1643A" wp14:editId="5B5EDF22">
          <wp:simplePos x="0" y="0"/>
          <wp:positionH relativeFrom="page">
            <wp:posOffset>343535</wp:posOffset>
          </wp:positionH>
          <wp:positionV relativeFrom="page">
            <wp:posOffset>257175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49A4C" w14:textId="77777777" w:rsidR="00CB69D9" w:rsidRPr="00194648" w:rsidRDefault="00CB69D9" w:rsidP="005E32DA">
    <w:pPr>
      <w:pStyle w:val="En-tte"/>
      <w:spacing w:after="520"/>
      <w:jc w:val="right"/>
      <w:rPr>
        <w:rFonts w:ascii="Arial" w:hAnsi="Arial" w:cs="Arial"/>
        <w:b/>
        <w:sz w:val="44"/>
        <w:szCs w:val="44"/>
      </w:rPr>
    </w:pPr>
    <w:r>
      <w:rPr>
        <w:rFonts w:ascii="Arial" w:hAnsi="Arial" w:cs="Arial"/>
        <w:b/>
        <w:sz w:val="44"/>
        <w:szCs w:val="44"/>
      </w:rPr>
      <w:t>14 COM</w:t>
    </w:r>
  </w:p>
  <w:p w14:paraId="62402927" w14:textId="77777777" w:rsidR="00CB69D9" w:rsidRPr="00194648" w:rsidRDefault="00CB69D9" w:rsidP="005E32DA">
    <w:pPr>
      <w:jc w:val="right"/>
      <w:rPr>
        <w:rFonts w:ascii="Arial" w:hAnsi="Arial" w:cs="Arial"/>
        <w:b/>
        <w:sz w:val="22"/>
        <w:szCs w:val="22"/>
      </w:rPr>
    </w:pPr>
    <w:r>
      <w:rPr>
        <w:rFonts w:ascii="Arial" w:hAnsi="Arial" w:cs="Arial"/>
        <w:b/>
        <w:sz w:val="22"/>
        <w:szCs w:val="22"/>
      </w:rPr>
      <w:t>LHE/19/14.COM/14</w:t>
    </w:r>
  </w:p>
  <w:p w14:paraId="5277AB50" w14:textId="2A748872" w:rsidR="00CB69D9" w:rsidRPr="00194648" w:rsidRDefault="00CB69D9" w:rsidP="005E32DA">
    <w:pPr>
      <w:jc w:val="right"/>
      <w:rPr>
        <w:rFonts w:ascii="Arial" w:eastAsiaTheme="minorEastAsia" w:hAnsi="Arial" w:cs="Arial"/>
        <w:b/>
        <w:sz w:val="22"/>
        <w:szCs w:val="22"/>
        <w:lang w:eastAsia="ko-KR"/>
      </w:rPr>
    </w:pPr>
    <w:r w:rsidRPr="009D5428">
      <w:rPr>
        <w:rFonts w:ascii="Arial" w:hAnsi="Arial" w:cs="Arial"/>
        <w:b/>
        <w:sz w:val="22"/>
        <w:szCs w:val="22"/>
      </w:rPr>
      <w:t xml:space="preserve">Paris, </w:t>
    </w:r>
    <w:r w:rsidRPr="001A3888">
      <w:rPr>
        <w:rFonts w:ascii="Arial" w:hAnsi="Arial" w:cs="Arial"/>
        <w:b/>
        <w:sz w:val="22"/>
        <w:szCs w:val="22"/>
      </w:rPr>
      <w:t xml:space="preserve">le </w:t>
    </w:r>
    <w:r w:rsidR="001A3888">
      <w:rPr>
        <w:rFonts w:ascii="Arial" w:hAnsi="Arial" w:cs="Arial"/>
        <w:b/>
        <w:sz w:val="22"/>
        <w:szCs w:val="22"/>
      </w:rPr>
      <w:t>8</w:t>
    </w:r>
    <w:r w:rsidRPr="001A3888">
      <w:rPr>
        <w:rFonts w:ascii="Arial" w:hAnsi="Arial" w:cs="Arial"/>
        <w:b/>
        <w:sz w:val="22"/>
        <w:szCs w:val="22"/>
      </w:rPr>
      <w:t xml:space="preserve"> </w:t>
    </w:r>
    <w:r w:rsidR="001A3888">
      <w:rPr>
        <w:rFonts w:ascii="Arial" w:hAnsi="Arial" w:cs="Arial"/>
        <w:b/>
        <w:sz w:val="22"/>
        <w:szCs w:val="22"/>
      </w:rPr>
      <w:t xml:space="preserve">novembre </w:t>
    </w:r>
    <w:r w:rsidRPr="009D5428">
      <w:rPr>
        <w:rFonts w:ascii="Arial" w:hAnsi="Arial" w:cs="Arial"/>
        <w:b/>
        <w:sz w:val="22"/>
        <w:szCs w:val="22"/>
      </w:rPr>
      <w:t>2019</w:t>
    </w:r>
  </w:p>
  <w:p w14:paraId="53F3F65A" w14:textId="784DF93E" w:rsidR="00CB69D9" w:rsidRPr="001A3888" w:rsidRDefault="009E1E41" w:rsidP="005E32DA">
    <w:pPr>
      <w:jc w:val="right"/>
      <w:rPr>
        <w:rFonts w:ascii="Arial" w:hAnsi="Arial" w:cs="Arial"/>
        <w:b/>
        <w:sz w:val="22"/>
        <w:szCs w:val="22"/>
      </w:rPr>
    </w:pPr>
    <w:r>
      <w:rPr>
        <w:rFonts w:ascii="Arial" w:hAnsi="Arial" w:cs="Arial"/>
        <w:b/>
        <w:sz w:val="22"/>
        <w:szCs w:val="22"/>
      </w:rPr>
      <w:t>Original : a</w:t>
    </w:r>
    <w:r w:rsidR="00CB69D9" w:rsidRPr="00F32C23">
      <w:rPr>
        <w:rFonts w:ascii="Arial" w:hAnsi="Arial" w:cs="Arial"/>
        <w:b/>
        <w:sz w:val="22"/>
        <w:szCs w:val="22"/>
      </w:rPr>
      <w:t>nglais</w:t>
    </w:r>
  </w:p>
  <w:p w14:paraId="513EAFD0" w14:textId="77777777" w:rsidR="00CB69D9" w:rsidRPr="001A3888" w:rsidRDefault="00CB69D9">
    <w:pPr>
      <w:pStyle w:val="En-tte"/>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C6255" w14:textId="77777777" w:rsidR="00CB69D9" w:rsidRPr="00E95AE2" w:rsidRDefault="00CB69D9" w:rsidP="005E32DA">
    <w:pPr>
      <w:pStyle w:val="En-tte"/>
      <w:jc w:val="right"/>
      <w:rPr>
        <w:sz w:val="22"/>
        <w:szCs w:val="22"/>
        <w:lang w:val="en-GB"/>
      </w:rPr>
    </w:pPr>
  </w:p>
  <w:p w14:paraId="3B39910A" w14:textId="34BD5A6A" w:rsidR="00CB69D9" w:rsidRPr="009E1E41" w:rsidRDefault="00CB69D9">
    <w:pPr>
      <w:pStyle w:val="En-tte"/>
      <w:rPr>
        <w:rFonts w:ascii="Arial" w:hAnsi="Arial" w:cs="Arial"/>
        <w:lang w:val="en-GB"/>
      </w:rPr>
    </w:pPr>
    <w:r>
      <w:rPr>
        <w:rFonts w:ascii="Arial" w:hAnsi="Arial" w:cs="Arial"/>
        <w:sz w:val="20"/>
        <w:szCs w:val="20"/>
      </w:rPr>
      <w:t xml:space="preserve">LHE/19/14.COM/14 –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rPr>
      <w:instrText xml:space="preserve"> PAGE </w:instrText>
    </w:r>
    <w:r w:rsidRPr="00C23A97">
      <w:rPr>
        <w:rStyle w:val="Numrodepage"/>
        <w:rFonts w:ascii="Arial" w:hAnsi="Arial" w:cs="Arial"/>
        <w:sz w:val="20"/>
        <w:szCs w:val="20"/>
        <w:lang w:val="en-GB"/>
      </w:rPr>
      <w:fldChar w:fldCharType="separate"/>
    </w:r>
    <w:r w:rsidR="00AE72F9">
      <w:rPr>
        <w:rStyle w:val="Numrodepage"/>
        <w:rFonts w:ascii="Arial" w:hAnsi="Arial" w:cs="Arial"/>
        <w:noProof/>
        <w:sz w:val="20"/>
        <w:szCs w:val="20"/>
      </w:rPr>
      <w:t>14</w:t>
    </w:r>
    <w:r w:rsidRPr="00C23A97">
      <w:rPr>
        <w:rStyle w:val="Numrodepage"/>
        <w:rFonts w:ascii="Arial" w:hAnsi="Arial" w:cs="Arial"/>
        <w:sz w:val="20"/>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6B9"/>
    <w:multiLevelType w:val="hybridMultilevel"/>
    <w:tmpl w:val="A4F2784A"/>
    <w:lvl w:ilvl="0" w:tplc="1CD0DDFC">
      <w:start w:val="1"/>
      <w:numFmt w:val="decimal"/>
      <w:pStyle w:val="Paragraph"/>
      <w:lvlText w:val="%1."/>
      <w:lvlJc w:val="left"/>
      <w:pPr>
        <w:tabs>
          <w:tab w:val="num" w:pos="360"/>
        </w:tabs>
        <w:ind w:left="360" w:hanging="360"/>
      </w:pPr>
      <w:rPr>
        <w:b w:val="0"/>
      </w:rPr>
    </w:lvl>
    <w:lvl w:ilvl="1" w:tplc="A7AA9E90">
      <w:start w:val="1"/>
      <w:numFmt w:val="lowerLetter"/>
      <w:lvlText w:val="%2."/>
      <w:lvlJc w:val="left"/>
      <w:pPr>
        <w:tabs>
          <w:tab w:val="num" w:pos="1080"/>
        </w:tabs>
        <w:ind w:left="1080" w:hanging="360"/>
      </w:pPr>
    </w:lvl>
    <w:lvl w:ilvl="2" w:tplc="847C1EC0" w:tentative="1">
      <w:start w:val="1"/>
      <w:numFmt w:val="lowerRoman"/>
      <w:lvlText w:val="%3."/>
      <w:lvlJc w:val="right"/>
      <w:pPr>
        <w:tabs>
          <w:tab w:val="num" w:pos="1800"/>
        </w:tabs>
        <w:ind w:left="1800" w:hanging="180"/>
      </w:pPr>
    </w:lvl>
    <w:lvl w:ilvl="3" w:tplc="13D88D7C" w:tentative="1">
      <w:start w:val="1"/>
      <w:numFmt w:val="decimal"/>
      <w:lvlText w:val="%4."/>
      <w:lvlJc w:val="left"/>
      <w:pPr>
        <w:tabs>
          <w:tab w:val="num" w:pos="2520"/>
        </w:tabs>
        <w:ind w:left="2520" w:hanging="360"/>
      </w:pPr>
    </w:lvl>
    <w:lvl w:ilvl="4" w:tplc="4C5257E2" w:tentative="1">
      <w:start w:val="1"/>
      <w:numFmt w:val="lowerLetter"/>
      <w:lvlText w:val="%5."/>
      <w:lvlJc w:val="left"/>
      <w:pPr>
        <w:tabs>
          <w:tab w:val="num" w:pos="3240"/>
        </w:tabs>
        <w:ind w:left="3240" w:hanging="360"/>
      </w:pPr>
    </w:lvl>
    <w:lvl w:ilvl="5" w:tplc="E090B722" w:tentative="1">
      <w:start w:val="1"/>
      <w:numFmt w:val="lowerRoman"/>
      <w:lvlText w:val="%6."/>
      <w:lvlJc w:val="right"/>
      <w:pPr>
        <w:tabs>
          <w:tab w:val="num" w:pos="3960"/>
        </w:tabs>
        <w:ind w:left="3960" w:hanging="180"/>
      </w:pPr>
    </w:lvl>
    <w:lvl w:ilvl="6" w:tplc="3B4ADC90" w:tentative="1">
      <w:start w:val="1"/>
      <w:numFmt w:val="decimal"/>
      <w:lvlText w:val="%7."/>
      <w:lvlJc w:val="left"/>
      <w:pPr>
        <w:tabs>
          <w:tab w:val="num" w:pos="4680"/>
        </w:tabs>
        <w:ind w:left="4680" w:hanging="360"/>
      </w:pPr>
    </w:lvl>
    <w:lvl w:ilvl="7" w:tplc="FB9E9B18" w:tentative="1">
      <w:start w:val="1"/>
      <w:numFmt w:val="lowerLetter"/>
      <w:lvlText w:val="%8."/>
      <w:lvlJc w:val="left"/>
      <w:pPr>
        <w:tabs>
          <w:tab w:val="num" w:pos="5400"/>
        </w:tabs>
        <w:ind w:left="5400" w:hanging="360"/>
      </w:pPr>
    </w:lvl>
    <w:lvl w:ilvl="8" w:tplc="64B25A90" w:tentative="1">
      <w:start w:val="1"/>
      <w:numFmt w:val="lowerRoman"/>
      <w:lvlText w:val="%9."/>
      <w:lvlJc w:val="right"/>
      <w:pPr>
        <w:tabs>
          <w:tab w:val="num" w:pos="6120"/>
        </w:tabs>
        <w:ind w:left="6120" w:hanging="180"/>
      </w:pPr>
    </w:lvl>
  </w:abstractNum>
  <w:abstractNum w:abstractNumId="1" w15:restartNumberingAfterBreak="0">
    <w:nsid w:val="100B1C9C"/>
    <w:multiLevelType w:val="hybridMultilevel"/>
    <w:tmpl w:val="F60E309C"/>
    <w:lvl w:ilvl="0" w:tplc="4EBA8DDE">
      <w:start w:val="1"/>
      <w:numFmt w:val="bullet"/>
      <w:pStyle w:val="TIRETbul1cm"/>
      <w:lvlText w:val=""/>
      <w:lvlJc w:val="left"/>
      <w:pPr>
        <w:tabs>
          <w:tab w:val="num" w:pos="360"/>
        </w:tabs>
        <w:ind w:left="284" w:hanging="284"/>
      </w:pPr>
      <w:rPr>
        <w:rFonts w:ascii="Symbol" w:hAnsi="Symbol" w:hint="default"/>
      </w:rPr>
    </w:lvl>
    <w:lvl w:ilvl="1" w:tplc="244CE920">
      <w:start w:val="1"/>
      <w:numFmt w:val="decimal"/>
      <w:lvlText w:val="%2."/>
      <w:lvlJc w:val="left"/>
      <w:pPr>
        <w:tabs>
          <w:tab w:val="num" w:pos="1157"/>
        </w:tabs>
        <w:ind w:left="1157" w:hanging="360"/>
      </w:pPr>
      <w:rPr>
        <w:rFonts w:hint="default"/>
      </w:rPr>
    </w:lvl>
    <w:lvl w:ilvl="2" w:tplc="FA2AD332" w:tentative="1">
      <w:start w:val="1"/>
      <w:numFmt w:val="bullet"/>
      <w:lvlText w:val=""/>
      <w:lvlJc w:val="left"/>
      <w:pPr>
        <w:tabs>
          <w:tab w:val="num" w:pos="1877"/>
        </w:tabs>
        <w:ind w:left="1877" w:hanging="360"/>
      </w:pPr>
      <w:rPr>
        <w:rFonts w:ascii="Wingdings" w:hAnsi="Wingdings" w:hint="default"/>
      </w:rPr>
    </w:lvl>
    <w:lvl w:ilvl="3" w:tplc="C364810E" w:tentative="1">
      <w:start w:val="1"/>
      <w:numFmt w:val="bullet"/>
      <w:lvlText w:val=""/>
      <w:lvlJc w:val="left"/>
      <w:pPr>
        <w:tabs>
          <w:tab w:val="num" w:pos="2597"/>
        </w:tabs>
        <w:ind w:left="2597" w:hanging="360"/>
      </w:pPr>
      <w:rPr>
        <w:rFonts w:ascii="Symbol" w:hAnsi="Symbol" w:hint="default"/>
      </w:rPr>
    </w:lvl>
    <w:lvl w:ilvl="4" w:tplc="810C36CE" w:tentative="1">
      <w:start w:val="1"/>
      <w:numFmt w:val="bullet"/>
      <w:lvlText w:val="o"/>
      <w:lvlJc w:val="left"/>
      <w:pPr>
        <w:tabs>
          <w:tab w:val="num" w:pos="3317"/>
        </w:tabs>
        <w:ind w:left="3317" w:hanging="360"/>
      </w:pPr>
      <w:rPr>
        <w:rFonts w:ascii="Courier New" w:hAnsi="Courier New" w:hint="default"/>
      </w:rPr>
    </w:lvl>
    <w:lvl w:ilvl="5" w:tplc="F6F81108" w:tentative="1">
      <w:start w:val="1"/>
      <w:numFmt w:val="bullet"/>
      <w:lvlText w:val=""/>
      <w:lvlJc w:val="left"/>
      <w:pPr>
        <w:tabs>
          <w:tab w:val="num" w:pos="4037"/>
        </w:tabs>
        <w:ind w:left="4037" w:hanging="360"/>
      </w:pPr>
      <w:rPr>
        <w:rFonts w:ascii="Wingdings" w:hAnsi="Wingdings" w:hint="default"/>
      </w:rPr>
    </w:lvl>
    <w:lvl w:ilvl="6" w:tplc="BED46802" w:tentative="1">
      <w:start w:val="1"/>
      <w:numFmt w:val="bullet"/>
      <w:lvlText w:val=""/>
      <w:lvlJc w:val="left"/>
      <w:pPr>
        <w:tabs>
          <w:tab w:val="num" w:pos="4757"/>
        </w:tabs>
        <w:ind w:left="4757" w:hanging="360"/>
      </w:pPr>
      <w:rPr>
        <w:rFonts w:ascii="Symbol" w:hAnsi="Symbol" w:hint="default"/>
      </w:rPr>
    </w:lvl>
    <w:lvl w:ilvl="7" w:tplc="6F184D10" w:tentative="1">
      <w:start w:val="1"/>
      <w:numFmt w:val="bullet"/>
      <w:lvlText w:val="o"/>
      <w:lvlJc w:val="left"/>
      <w:pPr>
        <w:tabs>
          <w:tab w:val="num" w:pos="5477"/>
        </w:tabs>
        <w:ind w:left="5477" w:hanging="360"/>
      </w:pPr>
      <w:rPr>
        <w:rFonts w:ascii="Courier New" w:hAnsi="Courier New" w:hint="default"/>
      </w:rPr>
    </w:lvl>
    <w:lvl w:ilvl="8" w:tplc="D3CCF0CA"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F69485A"/>
    <w:multiLevelType w:val="hybridMultilevel"/>
    <w:tmpl w:val="CDD0303A"/>
    <w:lvl w:ilvl="0" w:tplc="215E81EC">
      <w:start w:val="1"/>
      <w:numFmt w:val="bullet"/>
      <w:lvlText w:val=""/>
      <w:lvlJc w:val="left"/>
      <w:pPr>
        <w:ind w:left="1287" w:hanging="360"/>
      </w:pPr>
      <w:rPr>
        <w:rFonts w:ascii="Symbol" w:hAnsi="Symbol" w:hint="default"/>
      </w:rPr>
    </w:lvl>
    <w:lvl w:ilvl="1" w:tplc="E15AD656" w:tentative="1">
      <w:start w:val="1"/>
      <w:numFmt w:val="bullet"/>
      <w:lvlText w:val="o"/>
      <w:lvlJc w:val="left"/>
      <w:pPr>
        <w:ind w:left="2007" w:hanging="360"/>
      </w:pPr>
      <w:rPr>
        <w:rFonts w:ascii="Courier New" w:hAnsi="Courier New" w:cs="Courier New" w:hint="default"/>
      </w:rPr>
    </w:lvl>
    <w:lvl w:ilvl="2" w:tplc="38E40DB2" w:tentative="1">
      <w:start w:val="1"/>
      <w:numFmt w:val="bullet"/>
      <w:lvlText w:val=""/>
      <w:lvlJc w:val="left"/>
      <w:pPr>
        <w:ind w:left="2727" w:hanging="360"/>
      </w:pPr>
      <w:rPr>
        <w:rFonts w:ascii="Wingdings" w:hAnsi="Wingdings" w:hint="default"/>
      </w:rPr>
    </w:lvl>
    <w:lvl w:ilvl="3" w:tplc="BCA8EE52" w:tentative="1">
      <w:start w:val="1"/>
      <w:numFmt w:val="bullet"/>
      <w:lvlText w:val=""/>
      <w:lvlJc w:val="left"/>
      <w:pPr>
        <w:ind w:left="3447" w:hanging="360"/>
      </w:pPr>
      <w:rPr>
        <w:rFonts w:ascii="Symbol" w:hAnsi="Symbol" w:hint="default"/>
      </w:rPr>
    </w:lvl>
    <w:lvl w:ilvl="4" w:tplc="5F74728A" w:tentative="1">
      <w:start w:val="1"/>
      <w:numFmt w:val="bullet"/>
      <w:lvlText w:val="o"/>
      <w:lvlJc w:val="left"/>
      <w:pPr>
        <w:ind w:left="4167" w:hanging="360"/>
      </w:pPr>
      <w:rPr>
        <w:rFonts w:ascii="Courier New" w:hAnsi="Courier New" w:cs="Courier New" w:hint="default"/>
      </w:rPr>
    </w:lvl>
    <w:lvl w:ilvl="5" w:tplc="B7BC4E02" w:tentative="1">
      <w:start w:val="1"/>
      <w:numFmt w:val="bullet"/>
      <w:lvlText w:val=""/>
      <w:lvlJc w:val="left"/>
      <w:pPr>
        <w:ind w:left="4887" w:hanging="360"/>
      </w:pPr>
      <w:rPr>
        <w:rFonts w:ascii="Wingdings" w:hAnsi="Wingdings" w:hint="default"/>
      </w:rPr>
    </w:lvl>
    <w:lvl w:ilvl="6" w:tplc="F4BC8BC4" w:tentative="1">
      <w:start w:val="1"/>
      <w:numFmt w:val="bullet"/>
      <w:lvlText w:val=""/>
      <w:lvlJc w:val="left"/>
      <w:pPr>
        <w:ind w:left="5607" w:hanging="360"/>
      </w:pPr>
      <w:rPr>
        <w:rFonts w:ascii="Symbol" w:hAnsi="Symbol" w:hint="default"/>
      </w:rPr>
    </w:lvl>
    <w:lvl w:ilvl="7" w:tplc="72D84CD8" w:tentative="1">
      <w:start w:val="1"/>
      <w:numFmt w:val="bullet"/>
      <w:lvlText w:val="o"/>
      <w:lvlJc w:val="left"/>
      <w:pPr>
        <w:ind w:left="6327" w:hanging="360"/>
      </w:pPr>
      <w:rPr>
        <w:rFonts w:ascii="Courier New" w:hAnsi="Courier New" w:cs="Courier New" w:hint="default"/>
      </w:rPr>
    </w:lvl>
    <w:lvl w:ilvl="8" w:tplc="83A01D54" w:tentative="1">
      <w:start w:val="1"/>
      <w:numFmt w:val="bullet"/>
      <w:lvlText w:val=""/>
      <w:lvlJc w:val="left"/>
      <w:pPr>
        <w:ind w:left="7047" w:hanging="360"/>
      </w:pPr>
      <w:rPr>
        <w:rFonts w:ascii="Wingdings" w:hAnsi="Wingdings" w:hint="default"/>
      </w:rPr>
    </w:lvl>
  </w:abstractNum>
  <w:abstractNum w:abstractNumId="3" w15:restartNumberingAfterBreak="0">
    <w:nsid w:val="2D4A25E2"/>
    <w:multiLevelType w:val="hybridMultilevel"/>
    <w:tmpl w:val="EDDE1208"/>
    <w:lvl w:ilvl="0" w:tplc="4BF454A2">
      <w:start w:val="1"/>
      <w:numFmt w:val="bullet"/>
      <w:lvlText w:val=""/>
      <w:lvlJc w:val="left"/>
      <w:pPr>
        <w:ind w:left="720" w:hanging="360"/>
      </w:pPr>
      <w:rPr>
        <w:rFonts w:ascii="Symbol" w:hAnsi="Symbol" w:hint="default"/>
      </w:rPr>
    </w:lvl>
    <w:lvl w:ilvl="1" w:tplc="35B0F008" w:tentative="1">
      <w:start w:val="1"/>
      <w:numFmt w:val="bullet"/>
      <w:lvlText w:val="o"/>
      <w:lvlJc w:val="left"/>
      <w:pPr>
        <w:ind w:left="1440" w:hanging="360"/>
      </w:pPr>
      <w:rPr>
        <w:rFonts w:ascii="Courier New" w:hAnsi="Courier New" w:cs="Courier New" w:hint="default"/>
      </w:rPr>
    </w:lvl>
    <w:lvl w:ilvl="2" w:tplc="F59C2372" w:tentative="1">
      <w:start w:val="1"/>
      <w:numFmt w:val="bullet"/>
      <w:lvlText w:val=""/>
      <w:lvlJc w:val="left"/>
      <w:pPr>
        <w:ind w:left="2160" w:hanging="360"/>
      </w:pPr>
      <w:rPr>
        <w:rFonts w:ascii="Wingdings" w:hAnsi="Wingdings" w:hint="default"/>
      </w:rPr>
    </w:lvl>
    <w:lvl w:ilvl="3" w:tplc="32567884" w:tentative="1">
      <w:start w:val="1"/>
      <w:numFmt w:val="bullet"/>
      <w:lvlText w:val=""/>
      <w:lvlJc w:val="left"/>
      <w:pPr>
        <w:ind w:left="2880" w:hanging="360"/>
      </w:pPr>
      <w:rPr>
        <w:rFonts w:ascii="Symbol" w:hAnsi="Symbol" w:hint="default"/>
      </w:rPr>
    </w:lvl>
    <w:lvl w:ilvl="4" w:tplc="C408EFD0" w:tentative="1">
      <w:start w:val="1"/>
      <w:numFmt w:val="bullet"/>
      <w:lvlText w:val="o"/>
      <w:lvlJc w:val="left"/>
      <w:pPr>
        <w:ind w:left="3600" w:hanging="360"/>
      </w:pPr>
      <w:rPr>
        <w:rFonts w:ascii="Courier New" w:hAnsi="Courier New" w:cs="Courier New" w:hint="default"/>
      </w:rPr>
    </w:lvl>
    <w:lvl w:ilvl="5" w:tplc="82BABBA2" w:tentative="1">
      <w:start w:val="1"/>
      <w:numFmt w:val="bullet"/>
      <w:lvlText w:val=""/>
      <w:lvlJc w:val="left"/>
      <w:pPr>
        <w:ind w:left="4320" w:hanging="360"/>
      </w:pPr>
      <w:rPr>
        <w:rFonts w:ascii="Wingdings" w:hAnsi="Wingdings" w:hint="default"/>
      </w:rPr>
    </w:lvl>
    <w:lvl w:ilvl="6" w:tplc="E208F080" w:tentative="1">
      <w:start w:val="1"/>
      <w:numFmt w:val="bullet"/>
      <w:lvlText w:val=""/>
      <w:lvlJc w:val="left"/>
      <w:pPr>
        <w:ind w:left="5040" w:hanging="360"/>
      </w:pPr>
      <w:rPr>
        <w:rFonts w:ascii="Symbol" w:hAnsi="Symbol" w:hint="default"/>
      </w:rPr>
    </w:lvl>
    <w:lvl w:ilvl="7" w:tplc="E79035B8" w:tentative="1">
      <w:start w:val="1"/>
      <w:numFmt w:val="bullet"/>
      <w:lvlText w:val="o"/>
      <w:lvlJc w:val="left"/>
      <w:pPr>
        <w:ind w:left="5760" w:hanging="360"/>
      </w:pPr>
      <w:rPr>
        <w:rFonts w:ascii="Courier New" w:hAnsi="Courier New" w:cs="Courier New" w:hint="default"/>
      </w:rPr>
    </w:lvl>
    <w:lvl w:ilvl="8" w:tplc="3A7AA39E" w:tentative="1">
      <w:start w:val="1"/>
      <w:numFmt w:val="bullet"/>
      <w:lvlText w:val=""/>
      <w:lvlJc w:val="left"/>
      <w:pPr>
        <w:ind w:left="6480" w:hanging="360"/>
      </w:pPr>
      <w:rPr>
        <w:rFonts w:ascii="Wingdings" w:hAnsi="Wingdings" w:hint="default"/>
      </w:rPr>
    </w:lvl>
  </w:abstractNum>
  <w:abstractNum w:abstractNumId="4" w15:restartNumberingAfterBreak="0">
    <w:nsid w:val="35F07BFE"/>
    <w:multiLevelType w:val="hybridMultilevel"/>
    <w:tmpl w:val="E24AD55A"/>
    <w:lvl w:ilvl="0" w:tplc="0D88884E">
      <w:start w:val="1"/>
      <w:numFmt w:val="decimal"/>
      <w:pStyle w:val="COMPara"/>
      <w:lvlText w:val="%1."/>
      <w:lvlJc w:val="left"/>
      <w:pPr>
        <w:ind w:left="720" w:hanging="360"/>
      </w:pPr>
    </w:lvl>
    <w:lvl w:ilvl="1" w:tplc="A2BC7876">
      <w:start w:val="1"/>
      <w:numFmt w:val="lowerLetter"/>
      <w:lvlText w:val="%2."/>
      <w:lvlJc w:val="left"/>
      <w:pPr>
        <w:ind w:left="1440" w:hanging="360"/>
      </w:pPr>
    </w:lvl>
    <w:lvl w:ilvl="2" w:tplc="CB620646">
      <w:start w:val="1"/>
      <w:numFmt w:val="lowerRoman"/>
      <w:lvlText w:val="%3."/>
      <w:lvlJc w:val="right"/>
      <w:pPr>
        <w:ind w:left="2160" w:hanging="180"/>
      </w:pPr>
    </w:lvl>
    <w:lvl w:ilvl="3" w:tplc="0FCA0108">
      <w:start w:val="1"/>
      <w:numFmt w:val="decimal"/>
      <w:lvlText w:val="%4."/>
      <w:lvlJc w:val="left"/>
      <w:pPr>
        <w:ind w:left="2880" w:hanging="360"/>
      </w:pPr>
    </w:lvl>
    <w:lvl w:ilvl="4" w:tplc="DF1E04B6" w:tentative="1">
      <w:start w:val="1"/>
      <w:numFmt w:val="lowerLetter"/>
      <w:lvlText w:val="%5."/>
      <w:lvlJc w:val="left"/>
      <w:pPr>
        <w:ind w:left="3600" w:hanging="360"/>
      </w:pPr>
    </w:lvl>
    <w:lvl w:ilvl="5" w:tplc="0788423E" w:tentative="1">
      <w:start w:val="1"/>
      <w:numFmt w:val="lowerRoman"/>
      <w:lvlText w:val="%6."/>
      <w:lvlJc w:val="right"/>
      <w:pPr>
        <w:ind w:left="4320" w:hanging="180"/>
      </w:pPr>
    </w:lvl>
    <w:lvl w:ilvl="6" w:tplc="90069A90" w:tentative="1">
      <w:start w:val="1"/>
      <w:numFmt w:val="decimal"/>
      <w:lvlText w:val="%7."/>
      <w:lvlJc w:val="left"/>
      <w:pPr>
        <w:ind w:left="5040" w:hanging="360"/>
      </w:pPr>
    </w:lvl>
    <w:lvl w:ilvl="7" w:tplc="FC8E8170" w:tentative="1">
      <w:start w:val="1"/>
      <w:numFmt w:val="lowerLetter"/>
      <w:lvlText w:val="%8."/>
      <w:lvlJc w:val="left"/>
      <w:pPr>
        <w:ind w:left="5760" w:hanging="360"/>
      </w:pPr>
    </w:lvl>
    <w:lvl w:ilvl="8" w:tplc="31E69706" w:tentative="1">
      <w:start w:val="1"/>
      <w:numFmt w:val="lowerRoman"/>
      <w:lvlText w:val="%9."/>
      <w:lvlJc w:val="right"/>
      <w:pPr>
        <w:ind w:left="6480" w:hanging="180"/>
      </w:pPr>
    </w:lvl>
  </w:abstractNum>
  <w:abstractNum w:abstractNumId="5" w15:restartNumberingAfterBreak="0">
    <w:nsid w:val="397A4DB1"/>
    <w:multiLevelType w:val="hybridMultilevel"/>
    <w:tmpl w:val="1F36D964"/>
    <w:lvl w:ilvl="0" w:tplc="D6B6BC4A">
      <w:start w:val="1"/>
      <w:numFmt w:val="decimal"/>
      <w:lvlText w:val="%1."/>
      <w:lvlJc w:val="left"/>
      <w:pPr>
        <w:ind w:left="1287" w:hanging="360"/>
      </w:pPr>
    </w:lvl>
    <w:lvl w:ilvl="1" w:tplc="0C100F2A" w:tentative="1">
      <w:start w:val="1"/>
      <w:numFmt w:val="lowerLetter"/>
      <w:lvlText w:val="%2."/>
      <w:lvlJc w:val="left"/>
      <w:pPr>
        <w:ind w:left="2007" w:hanging="360"/>
      </w:pPr>
    </w:lvl>
    <w:lvl w:ilvl="2" w:tplc="286E871C" w:tentative="1">
      <w:start w:val="1"/>
      <w:numFmt w:val="lowerRoman"/>
      <w:lvlText w:val="%3."/>
      <w:lvlJc w:val="right"/>
      <w:pPr>
        <w:ind w:left="2727" w:hanging="180"/>
      </w:pPr>
    </w:lvl>
    <w:lvl w:ilvl="3" w:tplc="DC6E0620" w:tentative="1">
      <w:start w:val="1"/>
      <w:numFmt w:val="decimal"/>
      <w:lvlText w:val="%4."/>
      <w:lvlJc w:val="left"/>
      <w:pPr>
        <w:ind w:left="3447" w:hanging="360"/>
      </w:pPr>
    </w:lvl>
    <w:lvl w:ilvl="4" w:tplc="4C7ECD78" w:tentative="1">
      <w:start w:val="1"/>
      <w:numFmt w:val="lowerLetter"/>
      <w:lvlText w:val="%5."/>
      <w:lvlJc w:val="left"/>
      <w:pPr>
        <w:ind w:left="4167" w:hanging="360"/>
      </w:pPr>
    </w:lvl>
    <w:lvl w:ilvl="5" w:tplc="17CEBD9C" w:tentative="1">
      <w:start w:val="1"/>
      <w:numFmt w:val="lowerRoman"/>
      <w:lvlText w:val="%6."/>
      <w:lvlJc w:val="right"/>
      <w:pPr>
        <w:ind w:left="4887" w:hanging="180"/>
      </w:pPr>
    </w:lvl>
    <w:lvl w:ilvl="6" w:tplc="B212EE66" w:tentative="1">
      <w:start w:val="1"/>
      <w:numFmt w:val="decimal"/>
      <w:lvlText w:val="%7."/>
      <w:lvlJc w:val="left"/>
      <w:pPr>
        <w:ind w:left="5607" w:hanging="360"/>
      </w:pPr>
    </w:lvl>
    <w:lvl w:ilvl="7" w:tplc="8402DD2E" w:tentative="1">
      <w:start w:val="1"/>
      <w:numFmt w:val="lowerLetter"/>
      <w:lvlText w:val="%8."/>
      <w:lvlJc w:val="left"/>
      <w:pPr>
        <w:ind w:left="6327" w:hanging="360"/>
      </w:pPr>
    </w:lvl>
    <w:lvl w:ilvl="8" w:tplc="F2927EB4"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77A6797C">
      <w:start w:val="1"/>
      <w:numFmt w:val="upperRoman"/>
      <w:pStyle w:val="Titre4"/>
      <w:lvlText w:val="%1."/>
      <w:lvlJc w:val="right"/>
      <w:pPr>
        <w:ind w:left="720" w:hanging="360"/>
      </w:pPr>
      <w:rPr>
        <w:rFonts w:hint="default"/>
        <w:b/>
        <w:i w:val="0"/>
      </w:rPr>
    </w:lvl>
    <w:lvl w:ilvl="1" w:tplc="E822EB66" w:tentative="1">
      <w:start w:val="1"/>
      <w:numFmt w:val="lowerLetter"/>
      <w:lvlText w:val="%2."/>
      <w:lvlJc w:val="left"/>
      <w:pPr>
        <w:ind w:left="1440" w:hanging="360"/>
      </w:pPr>
    </w:lvl>
    <w:lvl w:ilvl="2" w:tplc="4C1415E6" w:tentative="1">
      <w:start w:val="1"/>
      <w:numFmt w:val="lowerRoman"/>
      <w:lvlText w:val="%3."/>
      <w:lvlJc w:val="right"/>
      <w:pPr>
        <w:ind w:left="2160" w:hanging="180"/>
      </w:pPr>
    </w:lvl>
    <w:lvl w:ilvl="3" w:tplc="6700F81C" w:tentative="1">
      <w:start w:val="1"/>
      <w:numFmt w:val="decimal"/>
      <w:lvlText w:val="%4."/>
      <w:lvlJc w:val="left"/>
      <w:pPr>
        <w:ind w:left="2880" w:hanging="360"/>
      </w:pPr>
    </w:lvl>
    <w:lvl w:ilvl="4" w:tplc="F968C572" w:tentative="1">
      <w:start w:val="1"/>
      <w:numFmt w:val="lowerLetter"/>
      <w:lvlText w:val="%5."/>
      <w:lvlJc w:val="left"/>
      <w:pPr>
        <w:ind w:left="3600" w:hanging="360"/>
      </w:pPr>
    </w:lvl>
    <w:lvl w:ilvl="5" w:tplc="25463A9E" w:tentative="1">
      <w:start w:val="1"/>
      <w:numFmt w:val="lowerRoman"/>
      <w:lvlText w:val="%6."/>
      <w:lvlJc w:val="right"/>
      <w:pPr>
        <w:ind w:left="4320" w:hanging="180"/>
      </w:pPr>
    </w:lvl>
    <w:lvl w:ilvl="6" w:tplc="15D8653E" w:tentative="1">
      <w:start w:val="1"/>
      <w:numFmt w:val="decimal"/>
      <w:lvlText w:val="%7."/>
      <w:lvlJc w:val="left"/>
      <w:pPr>
        <w:ind w:left="5040" w:hanging="360"/>
      </w:pPr>
    </w:lvl>
    <w:lvl w:ilvl="7" w:tplc="8B5CED6E" w:tentative="1">
      <w:start w:val="1"/>
      <w:numFmt w:val="lowerLetter"/>
      <w:lvlText w:val="%8."/>
      <w:lvlJc w:val="left"/>
      <w:pPr>
        <w:ind w:left="5760" w:hanging="360"/>
      </w:pPr>
    </w:lvl>
    <w:lvl w:ilvl="8" w:tplc="31889A74" w:tentative="1">
      <w:start w:val="1"/>
      <w:numFmt w:val="lowerRoman"/>
      <w:lvlText w:val="%9."/>
      <w:lvlJc w:val="right"/>
      <w:pPr>
        <w:ind w:left="6480" w:hanging="180"/>
      </w:pPr>
    </w:lvl>
  </w:abstractNum>
  <w:abstractNum w:abstractNumId="7" w15:restartNumberingAfterBreak="0">
    <w:nsid w:val="68B7730B"/>
    <w:multiLevelType w:val="hybridMultilevel"/>
    <w:tmpl w:val="947837CA"/>
    <w:lvl w:ilvl="0" w:tplc="1C461EB4">
      <w:start w:val="1"/>
      <w:numFmt w:val="bullet"/>
      <w:lvlText w:val=""/>
      <w:lvlJc w:val="left"/>
      <w:pPr>
        <w:ind w:left="720" w:hanging="360"/>
      </w:pPr>
      <w:rPr>
        <w:rFonts w:ascii="Symbol" w:hAnsi="Symbol" w:hint="default"/>
      </w:rPr>
    </w:lvl>
    <w:lvl w:ilvl="1" w:tplc="469A16CA" w:tentative="1">
      <w:start w:val="1"/>
      <w:numFmt w:val="bullet"/>
      <w:lvlText w:val="o"/>
      <w:lvlJc w:val="left"/>
      <w:pPr>
        <w:ind w:left="1440" w:hanging="360"/>
      </w:pPr>
      <w:rPr>
        <w:rFonts w:ascii="Courier New" w:hAnsi="Courier New" w:cs="Courier New" w:hint="default"/>
      </w:rPr>
    </w:lvl>
    <w:lvl w:ilvl="2" w:tplc="8312D618" w:tentative="1">
      <w:start w:val="1"/>
      <w:numFmt w:val="bullet"/>
      <w:lvlText w:val=""/>
      <w:lvlJc w:val="left"/>
      <w:pPr>
        <w:ind w:left="2160" w:hanging="360"/>
      </w:pPr>
      <w:rPr>
        <w:rFonts w:ascii="Wingdings" w:hAnsi="Wingdings" w:hint="default"/>
      </w:rPr>
    </w:lvl>
    <w:lvl w:ilvl="3" w:tplc="CFB25872" w:tentative="1">
      <w:start w:val="1"/>
      <w:numFmt w:val="bullet"/>
      <w:lvlText w:val=""/>
      <w:lvlJc w:val="left"/>
      <w:pPr>
        <w:ind w:left="2880" w:hanging="360"/>
      </w:pPr>
      <w:rPr>
        <w:rFonts w:ascii="Symbol" w:hAnsi="Symbol" w:hint="default"/>
      </w:rPr>
    </w:lvl>
    <w:lvl w:ilvl="4" w:tplc="AA8E99D0" w:tentative="1">
      <w:start w:val="1"/>
      <w:numFmt w:val="bullet"/>
      <w:lvlText w:val="o"/>
      <w:lvlJc w:val="left"/>
      <w:pPr>
        <w:ind w:left="3600" w:hanging="360"/>
      </w:pPr>
      <w:rPr>
        <w:rFonts w:ascii="Courier New" w:hAnsi="Courier New" w:cs="Courier New" w:hint="default"/>
      </w:rPr>
    </w:lvl>
    <w:lvl w:ilvl="5" w:tplc="5B04403E" w:tentative="1">
      <w:start w:val="1"/>
      <w:numFmt w:val="bullet"/>
      <w:lvlText w:val=""/>
      <w:lvlJc w:val="left"/>
      <w:pPr>
        <w:ind w:left="4320" w:hanging="360"/>
      </w:pPr>
      <w:rPr>
        <w:rFonts w:ascii="Wingdings" w:hAnsi="Wingdings" w:hint="default"/>
      </w:rPr>
    </w:lvl>
    <w:lvl w:ilvl="6" w:tplc="F0FC9750" w:tentative="1">
      <w:start w:val="1"/>
      <w:numFmt w:val="bullet"/>
      <w:lvlText w:val=""/>
      <w:lvlJc w:val="left"/>
      <w:pPr>
        <w:ind w:left="5040" w:hanging="360"/>
      </w:pPr>
      <w:rPr>
        <w:rFonts w:ascii="Symbol" w:hAnsi="Symbol" w:hint="default"/>
      </w:rPr>
    </w:lvl>
    <w:lvl w:ilvl="7" w:tplc="3CF4A704" w:tentative="1">
      <w:start w:val="1"/>
      <w:numFmt w:val="bullet"/>
      <w:lvlText w:val="o"/>
      <w:lvlJc w:val="left"/>
      <w:pPr>
        <w:ind w:left="5760" w:hanging="360"/>
      </w:pPr>
      <w:rPr>
        <w:rFonts w:ascii="Courier New" w:hAnsi="Courier New" w:cs="Courier New" w:hint="default"/>
      </w:rPr>
    </w:lvl>
    <w:lvl w:ilvl="8" w:tplc="D45EB0E0" w:tentative="1">
      <w:start w:val="1"/>
      <w:numFmt w:val="bullet"/>
      <w:lvlText w:val=""/>
      <w:lvlJc w:val="left"/>
      <w:pPr>
        <w:ind w:left="6480" w:hanging="360"/>
      </w:pPr>
      <w:rPr>
        <w:rFonts w:ascii="Wingdings" w:hAnsi="Wingdings" w:hint="default"/>
      </w:rPr>
    </w:lvl>
  </w:abstractNum>
  <w:abstractNum w:abstractNumId="8" w15:restartNumberingAfterBreak="0">
    <w:nsid w:val="7C627CF4"/>
    <w:multiLevelType w:val="hybridMultilevel"/>
    <w:tmpl w:val="C5527DE8"/>
    <w:lvl w:ilvl="0" w:tplc="6FBCE0AE">
      <w:start w:val="1"/>
      <w:numFmt w:val="upperLetter"/>
      <w:lvlText w:val="%1."/>
      <w:lvlJc w:val="left"/>
      <w:pPr>
        <w:ind w:left="502" w:hanging="360"/>
      </w:pPr>
    </w:lvl>
    <w:lvl w:ilvl="1" w:tplc="0CA2E1BC" w:tentative="1">
      <w:start w:val="1"/>
      <w:numFmt w:val="lowerLetter"/>
      <w:lvlText w:val="%2."/>
      <w:lvlJc w:val="left"/>
      <w:pPr>
        <w:ind w:left="2007" w:hanging="360"/>
      </w:pPr>
    </w:lvl>
    <w:lvl w:ilvl="2" w:tplc="7C5C5876" w:tentative="1">
      <w:start w:val="1"/>
      <w:numFmt w:val="lowerRoman"/>
      <w:lvlText w:val="%3."/>
      <w:lvlJc w:val="right"/>
      <w:pPr>
        <w:ind w:left="2727" w:hanging="180"/>
      </w:pPr>
    </w:lvl>
    <w:lvl w:ilvl="3" w:tplc="FAD68090" w:tentative="1">
      <w:start w:val="1"/>
      <w:numFmt w:val="decimal"/>
      <w:lvlText w:val="%4."/>
      <w:lvlJc w:val="left"/>
      <w:pPr>
        <w:ind w:left="3447" w:hanging="360"/>
      </w:pPr>
    </w:lvl>
    <w:lvl w:ilvl="4" w:tplc="B96ABF1E" w:tentative="1">
      <w:start w:val="1"/>
      <w:numFmt w:val="lowerLetter"/>
      <w:lvlText w:val="%5."/>
      <w:lvlJc w:val="left"/>
      <w:pPr>
        <w:ind w:left="4167" w:hanging="360"/>
      </w:pPr>
    </w:lvl>
    <w:lvl w:ilvl="5" w:tplc="80F004D8" w:tentative="1">
      <w:start w:val="1"/>
      <w:numFmt w:val="lowerRoman"/>
      <w:lvlText w:val="%6."/>
      <w:lvlJc w:val="right"/>
      <w:pPr>
        <w:ind w:left="4887" w:hanging="180"/>
      </w:pPr>
    </w:lvl>
    <w:lvl w:ilvl="6" w:tplc="0E42739C" w:tentative="1">
      <w:start w:val="1"/>
      <w:numFmt w:val="decimal"/>
      <w:lvlText w:val="%7."/>
      <w:lvlJc w:val="left"/>
      <w:pPr>
        <w:ind w:left="5607" w:hanging="360"/>
      </w:pPr>
    </w:lvl>
    <w:lvl w:ilvl="7" w:tplc="C2F6F108" w:tentative="1">
      <w:start w:val="1"/>
      <w:numFmt w:val="lowerLetter"/>
      <w:lvlText w:val="%8."/>
      <w:lvlJc w:val="left"/>
      <w:pPr>
        <w:ind w:left="6327" w:hanging="360"/>
      </w:pPr>
    </w:lvl>
    <w:lvl w:ilvl="8" w:tplc="465A44F0" w:tentative="1">
      <w:start w:val="1"/>
      <w:numFmt w:val="lowerRoman"/>
      <w:lvlText w:val="%9."/>
      <w:lvlJc w:val="right"/>
      <w:pPr>
        <w:ind w:left="7047" w:hanging="180"/>
      </w:pPr>
    </w:lvl>
  </w:abstractNum>
  <w:num w:numId="1">
    <w:abstractNumId w:val="1"/>
  </w:num>
  <w:num w:numId="2">
    <w:abstractNumId w:val="4"/>
  </w:num>
  <w:num w:numId="3">
    <w:abstractNumId w:val="5"/>
  </w:num>
  <w:num w:numId="4">
    <w:abstractNumId w:val="6"/>
  </w:num>
  <w:num w:numId="5">
    <w:abstractNumId w:val="8"/>
  </w:num>
  <w:num w:numId="6">
    <w:abstractNumId w:val="0"/>
  </w:num>
  <w:num w:numId="7">
    <w:abstractNumId w:val="3"/>
  </w:num>
  <w:num w:numId="8">
    <w:abstractNumId w:val="2"/>
  </w:num>
  <w:num w:numId="9">
    <w:abstractNumId w:val="7"/>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62"/>
    <w:rsid w:val="00053F65"/>
    <w:rsid w:val="000568CF"/>
    <w:rsid w:val="00071EC2"/>
    <w:rsid w:val="00083F79"/>
    <w:rsid w:val="00090BB5"/>
    <w:rsid w:val="000B1E0D"/>
    <w:rsid w:val="000F1DB7"/>
    <w:rsid w:val="000F346A"/>
    <w:rsid w:val="0015450A"/>
    <w:rsid w:val="00154E9C"/>
    <w:rsid w:val="00194648"/>
    <w:rsid w:val="001A3888"/>
    <w:rsid w:val="001D297F"/>
    <w:rsid w:val="001D5A3F"/>
    <w:rsid w:val="001D645C"/>
    <w:rsid w:val="001F2815"/>
    <w:rsid w:val="00234981"/>
    <w:rsid w:val="0024285B"/>
    <w:rsid w:val="00246B3B"/>
    <w:rsid w:val="00255DED"/>
    <w:rsid w:val="002C0DA4"/>
    <w:rsid w:val="002C33A6"/>
    <w:rsid w:val="002C5752"/>
    <w:rsid w:val="002F58DE"/>
    <w:rsid w:val="00301240"/>
    <w:rsid w:val="00316E8D"/>
    <w:rsid w:val="003200AA"/>
    <w:rsid w:val="003238A3"/>
    <w:rsid w:val="00326398"/>
    <w:rsid w:val="00370F74"/>
    <w:rsid w:val="00373359"/>
    <w:rsid w:val="00373368"/>
    <w:rsid w:val="00374986"/>
    <w:rsid w:val="00376FD0"/>
    <w:rsid w:val="00377C2B"/>
    <w:rsid w:val="00377C35"/>
    <w:rsid w:val="00381ED4"/>
    <w:rsid w:val="0038693A"/>
    <w:rsid w:val="003A3815"/>
    <w:rsid w:val="0042337D"/>
    <w:rsid w:val="0043171F"/>
    <w:rsid w:val="00451A01"/>
    <w:rsid w:val="004618C3"/>
    <w:rsid w:val="004747FE"/>
    <w:rsid w:val="00493F9F"/>
    <w:rsid w:val="004B24C2"/>
    <w:rsid w:val="004B70D7"/>
    <w:rsid w:val="004B727C"/>
    <w:rsid w:val="004C1DBE"/>
    <w:rsid w:val="004D5307"/>
    <w:rsid w:val="005054F1"/>
    <w:rsid w:val="00530071"/>
    <w:rsid w:val="00542322"/>
    <w:rsid w:val="0054455C"/>
    <w:rsid w:val="00563117"/>
    <w:rsid w:val="005811EF"/>
    <w:rsid w:val="00592CB8"/>
    <w:rsid w:val="0059455F"/>
    <w:rsid w:val="005B184B"/>
    <w:rsid w:val="005B3D28"/>
    <w:rsid w:val="005C6E39"/>
    <w:rsid w:val="005C78A2"/>
    <w:rsid w:val="005D28F0"/>
    <w:rsid w:val="005E242E"/>
    <w:rsid w:val="005E32DA"/>
    <w:rsid w:val="005F63BF"/>
    <w:rsid w:val="00624A6E"/>
    <w:rsid w:val="006303C4"/>
    <w:rsid w:val="00634430"/>
    <w:rsid w:val="006738A6"/>
    <w:rsid w:val="00677F1E"/>
    <w:rsid w:val="006813E4"/>
    <w:rsid w:val="006A159F"/>
    <w:rsid w:val="006C40D0"/>
    <w:rsid w:val="006E2F58"/>
    <w:rsid w:val="006F0AFE"/>
    <w:rsid w:val="006F6EBD"/>
    <w:rsid w:val="00700920"/>
    <w:rsid w:val="00740EA4"/>
    <w:rsid w:val="00761CDB"/>
    <w:rsid w:val="00775DF1"/>
    <w:rsid w:val="007878F4"/>
    <w:rsid w:val="007B69D4"/>
    <w:rsid w:val="007C628B"/>
    <w:rsid w:val="007E4CB0"/>
    <w:rsid w:val="007F7C62"/>
    <w:rsid w:val="00800C26"/>
    <w:rsid w:val="0081516E"/>
    <w:rsid w:val="00840927"/>
    <w:rsid w:val="00841697"/>
    <w:rsid w:val="00854EF5"/>
    <w:rsid w:val="00862928"/>
    <w:rsid w:val="00865E48"/>
    <w:rsid w:val="00867D51"/>
    <w:rsid w:val="00873E78"/>
    <w:rsid w:val="00892ECD"/>
    <w:rsid w:val="00894B73"/>
    <w:rsid w:val="008B1B3B"/>
    <w:rsid w:val="008B2C24"/>
    <w:rsid w:val="008D484C"/>
    <w:rsid w:val="008E3B53"/>
    <w:rsid w:val="009316A8"/>
    <w:rsid w:val="009362DA"/>
    <w:rsid w:val="009364F0"/>
    <w:rsid w:val="0094647E"/>
    <w:rsid w:val="0095369C"/>
    <w:rsid w:val="00987D6A"/>
    <w:rsid w:val="009A2257"/>
    <w:rsid w:val="009B0CD6"/>
    <w:rsid w:val="009C4D92"/>
    <w:rsid w:val="009C5CB0"/>
    <w:rsid w:val="009D394F"/>
    <w:rsid w:val="009E14C0"/>
    <w:rsid w:val="009E1E41"/>
    <w:rsid w:val="009E51F5"/>
    <w:rsid w:val="009F06B8"/>
    <w:rsid w:val="00A0042F"/>
    <w:rsid w:val="00A05F83"/>
    <w:rsid w:val="00A06A1B"/>
    <w:rsid w:val="00A30DFA"/>
    <w:rsid w:val="00A32450"/>
    <w:rsid w:val="00A32C43"/>
    <w:rsid w:val="00A3478F"/>
    <w:rsid w:val="00A433A5"/>
    <w:rsid w:val="00A447D4"/>
    <w:rsid w:val="00A529B5"/>
    <w:rsid w:val="00A74F5E"/>
    <w:rsid w:val="00A91DE7"/>
    <w:rsid w:val="00A93046"/>
    <w:rsid w:val="00A97C18"/>
    <w:rsid w:val="00AA44F2"/>
    <w:rsid w:val="00AE72F9"/>
    <w:rsid w:val="00AF36AE"/>
    <w:rsid w:val="00B03ACD"/>
    <w:rsid w:val="00B043D3"/>
    <w:rsid w:val="00B2307A"/>
    <w:rsid w:val="00B3563B"/>
    <w:rsid w:val="00B35B76"/>
    <w:rsid w:val="00B517CF"/>
    <w:rsid w:val="00B551B4"/>
    <w:rsid w:val="00B667F5"/>
    <w:rsid w:val="00B72A70"/>
    <w:rsid w:val="00BE0BB9"/>
    <w:rsid w:val="00BE248A"/>
    <w:rsid w:val="00C06C2D"/>
    <w:rsid w:val="00C52DA7"/>
    <w:rsid w:val="00C53A63"/>
    <w:rsid w:val="00C74435"/>
    <w:rsid w:val="00C93ED5"/>
    <w:rsid w:val="00CA0A3F"/>
    <w:rsid w:val="00CA280B"/>
    <w:rsid w:val="00CB69D9"/>
    <w:rsid w:val="00CC7103"/>
    <w:rsid w:val="00CD24F2"/>
    <w:rsid w:val="00D17D4E"/>
    <w:rsid w:val="00D526C5"/>
    <w:rsid w:val="00D531E7"/>
    <w:rsid w:val="00D5717A"/>
    <w:rsid w:val="00D605CA"/>
    <w:rsid w:val="00D76612"/>
    <w:rsid w:val="00D76A24"/>
    <w:rsid w:val="00D97A13"/>
    <w:rsid w:val="00DB1E5F"/>
    <w:rsid w:val="00DB4E3F"/>
    <w:rsid w:val="00DD4ED9"/>
    <w:rsid w:val="00DE3F97"/>
    <w:rsid w:val="00E01958"/>
    <w:rsid w:val="00E50CBC"/>
    <w:rsid w:val="00E5654B"/>
    <w:rsid w:val="00E65ECE"/>
    <w:rsid w:val="00E8056D"/>
    <w:rsid w:val="00E943C7"/>
    <w:rsid w:val="00E97EB9"/>
    <w:rsid w:val="00EB496C"/>
    <w:rsid w:val="00EB5C27"/>
    <w:rsid w:val="00EC3948"/>
    <w:rsid w:val="00EC4C3C"/>
    <w:rsid w:val="00EE7BF0"/>
    <w:rsid w:val="00F124C1"/>
    <w:rsid w:val="00F36C26"/>
    <w:rsid w:val="00F45812"/>
    <w:rsid w:val="00F8631C"/>
    <w:rsid w:val="00FA2570"/>
    <w:rsid w:val="00FA28A3"/>
    <w:rsid w:val="00FB7541"/>
    <w:rsid w:val="00FC7A82"/>
    <w:rsid w:val="00FE596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054B"/>
  <w15:docId w15:val="{361C2C2B-4DF4-A648-AD28-80100AC6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45CB4"/>
    <w:rPr>
      <w:rFonts w:ascii="Times New Roman" w:eastAsia="Times New Roman" w:hAnsi="Times New Roman"/>
      <w:sz w:val="24"/>
      <w:szCs w:val="24"/>
    </w:rPr>
  </w:style>
  <w:style w:type="paragraph" w:styleId="Titre1">
    <w:name w:val="heading 1"/>
    <w:basedOn w:val="Normal"/>
    <w:next w:val="Normal"/>
    <w:link w:val="Titre1Car"/>
    <w:uiPriority w:val="9"/>
    <w:rsid w:val="00316E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4"/>
      </w:numPr>
      <w:tabs>
        <w:tab w:val="left" w:pos="567"/>
      </w:tabs>
      <w:snapToGrid w:val="0"/>
      <w:spacing w:after="240"/>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A2875"/>
    <w:pPr>
      <w:ind w:left="720"/>
      <w:contextualSpacing/>
    </w:pPr>
  </w:style>
  <w:style w:type="paragraph" w:customStyle="1" w:styleId="Paragraph">
    <w:name w:val="Paragraph"/>
    <w:basedOn w:val="Marge"/>
    <w:link w:val="ParagraphChar"/>
    <w:qFormat/>
    <w:rsid w:val="00DB6520"/>
    <w:pPr>
      <w:numPr>
        <w:numId w:val="6"/>
      </w:numPr>
    </w:pPr>
    <w:rPr>
      <w:rFonts w:cs="Arial"/>
      <w:szCs w:val="22"/>
      <w:lang w:val="en-GB"/>
    </w:rPr>
  </w:style>
  <w:style w:type="character" w:customStyle="1" w:styleId="ParagraphChar">
    <w:name w:val="Paragraph Char"/>
    <w:link w:val="Paragraph"/>
    <w:rsid w:val="00DB6520"/>
    <w:rPr>
      <w:rFonts w:ascii="Arial" w:eastAsia="Times New Roman" w:hAnsi="Arial" w:cs="Arial"/>
      <w:snapToGrid w:val="0"/>
      <w:sz w:val="22"/>
      <w:szCs w:val="22"/>
      <w:lang w:val="en-GB" w:eastAsia="en-US"/>
    </w:rPr>
  </w:style>
  <w:style w:type="character" w:styleId="Marquedecommentaire">
    <w:name w:val="annotation reference"/>
    <w:basedOn w:val="Policepardfaut"/>
    <w:uiPriority w:val="99"/>
    <w:semiHidden/>
    <w:unhideWhenUsed/>
    <w:rsid w:val="00806073"/>
    <w:rPr>
      <w:sz w:val="16"/>
      <w:szCs w:val="16"/>
    </w:rPr>
  </w:style>
  <w:style w:type="paragraph" w:styleId="Commentaire">
    <w:name w:val="annotation text"/>
    <w:basedOn w:val="Normal"/>
    <w:link w:val="CommentaireCar"/>
    <w:uiPriority w:val="99"/>
    <w:unhideWhenUsed/>
    <w:rsid w:val="00806073"/>
    <w:rPr>
      <w:sz w:val="20"/>
      <w:szCs w:val="20"/>
    </w:rPr>
  </w:style>
  <w:style w:type="character" w:customStyle="1" w:styleId="CommentaireCar">
    <w:name w:val="Commentaire Car"/>
    <w:basedOn w:val="Policepardfaut"/>
    <w:link w:val="Commentaire"/>
    <w:uiPriority w:val="99"/>
    <w:rsid w:val="00806073"/>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806073"/>
    <w:rPr>
      <w:b/>
      <w:bCs/>
    </w:rPr>
  </w:style>
  <w:style w:type="character" w:customStyle="1" w:styleId="ObjetducommentaireCar">
    <w:name w:val="Objet du commentaire Car"/>
    <w:basedOn w:val="CommentaireCar"/>
    <w:link w:val="Objetducommentaire"/>
    <w:uiPriority w:val="99"/>
    <w:semiHidden/>
    <w:rsid w:val="00806073"/>
    <w:rPr>
      <w:rFonts w:ascii="Times New Roman" w:eastAsia="Times New Roman" w:hAnsi="Times New Roman"/>
      <w:b/>
      <w:bCs/>
    </w:rPr>
  </w:style>
  <w:style w:type="character" w:styleId="Lienhypertexte">
    <w:name w:val="Hyperlink"/>
    <w:basedOn w:val="Policepardfaut"/>
    <w:uiPriority w:val="99"/>
    <w:unhideWhenUsed/>
    <w:rsid w:val="005D2FA6"/>
    <w:rPr>
      <w:color w:val="0000FF" w:themeColor="hyperlink"/>
      <w:u w:val="single"/>
    </w:rPr>
  </w:style>
  <w:style w:type="paragraph" w:customStyle="1" w:styleId="Default">
    <w:name w:val="Default"/>
    <w:rsid w:val="007E68F2"/>
    <w:pPr>
      <w:widowControl w:val="0"/>
      <w:autoSpaceDE w:val="0"/>
      <w:autoSpaceDN w:val="0"/>
      <w:adjustRightInd w:val="0"/>
    </w:pPr>
    <w:rPr>
      <w:rFonts w:ascii="Myriad Pro" w:eastAsia="Times New Roman" w:hAnsi="Myriad Pro" w:cs="Myriad Pro"/>
      <w:color w:val="000000"/>
      <w:sz w:val="24"/>
      <w:szCs w:val="24"/>
      <w:lang w:val="en-US" w:eastAsia="en-US"/>
    </w:rPr>
  </w:style>
  <w:style w:type="paragraph" w:styleId="Notedefin">
    <w:name w:val="endnote text"/>
    <w:basedOn w:val="Normal"/>
    <w:link w:val="NotedefinCar"/>
    <w:uiPriority w:val="99"/>
    <w:semiHidden/>
    <w:unhideWhenUsed/>
    <w:rsid w:val="00486D9E"/>
    <w:rPr>
      <w:sz w:val="20"/>
      <w:szCs w:val="20"/>
    </w:rPr>
  </w:style>
  <w:style w:type="character" w:customStyle="1" w:styleId="NotedefinCar">
    <w:name w:val="Note de fin Car"/>
    <w:basedOn w:val="Policepardfaut"/>
    <w:link w:val="Notedefin"/>
    <w:uiPriority w:val="99"/>
    <w:semiHidden/>
    <w:rsid w:val="00486D9E"/>
    <w:rPr>
      <w:rFonts w:ascii="Times New Roman" w:eastAsia="Times New Roman" w:hAnsi="Times New Roman"/>
    </w:rPr>
  </w:style>
  <w:style w:type="character" w:styleId="Appeldenotedefin">
    <w:name w:val="endnote reference"/>
    <w:basedOn w:val="Policepardfaut"/>
    <w:uiPriority w:val="99"/>
    <w:semiHidden/>
    <w:unhideWhenUsed/>
    <w:rsid w:val="00486D9E"/>
    <w:rPr>
      <w:vertAlign w:val="superscript"/>
    </w:rPr>
  </w:style>
  <w:style w:type="paragraph" w:styleId="Notedebasdepage">
    <w:name w:val="footnote text"/>
    <w:basedOn w:val="Normal"/>
    <w:link w:val="NotedebasdepageCar"/>
    <w:uiPriority w:val="99"/>
    <w:semiHidden/>
    <w:unhideWhenUsed/>
    <w:rsid w:val="00486D9E"/>
    <w:rPr>
      <w:sz w:val="20"/>
      <w:szCs w:val="20"/>
    </w:rPr>
  </w:style>
  <w:style w:type="character" w:customStyle="1" w:styleId="NotedebasdepageCar">
    <w:name w:val="Note de bas de page Car"/>
    <w:basedOn w:val="Policepardfaut"/>
    <w:link w:val="Notedebasdepage"/>
    <w:uiPriority w:val="99"/>
    <w:semiHidden/>
    <w:rsid w:val="00486D9E"/>
    <w:rPr>
      <w:rFonts w:ascii="Times New Roman" w:eastAsia="Times New Roman" w:hAnsi="Times New Roman"/>
    </w:rPr>
  </w:style>
  <w:style w:type="character" w:styleId="Appelnotedebasdep">
    <w:name w:val="footnote reference"/>
    <w:basedOn w:val="Policepardfaut"/>
    <w:uiPriority w:val="99"/>
    <w:semiHidden/>
    <w:unhideWhenUsed/>
    <w:rsid w:val="00486D9E"/>
    <w:rPr>
      <w:vertAlign w:val="superscript"/>
    </w:rPr>
  </w:style>
  <w:style w:type="character" w:styleId="Lienhypertextesuivivisit">
    <w:name w:val="FollowedHyperlink"/>
    <w:basedOn w:val="Policepardfaut"/>
    <w:uiPriority w:val="99"/>
    <w:semiHidden/>
    <w:unhideWhenUsed/>
    <w:rsid w:val="000D2E25"/>
    <w:rPr>
      <w:color w:val="800080" w:themeColor="followedHyperlink"/>
      <w:u w:val="single"/>
    </w:rPr>
  </w:style>
  <w:style w:type="character" w:customStyle="1" w:styleId="MargeChar">
    <w:name w:val="Marge Char"/>
    <w:link w:val="Marge"/>
    <w:rsid w:val="003A3FEF"/>
    <w:rPr>
      <w:rFonts w:ascii="Arial" w:eastAsia="Times New Roman" w:hAnsi="Arial"/>
      <w:snapToGrid w:val="0"/>
      <w:sz w:val="22"/>
      <w:szCs w:val="24"/>
      <w:lang w:eastAsia="en-US"/>
    </w:rPr>
  </w:style>
  <w:style w:type="character" w:customStyle="1" w:styleId="hps">
    <w:name w:val="hps"/>
    <w:rsid w:val="00353F3D"/>
  </w:style>
  <w:style w:type="table" w:customStyle="1" w:styleId="TableauGrille4-Accentuation11">
    <w:name w:val="Tableau Grille 4 - Accentuation 11"/>
    <w:basedOn w:val="TableauNormal"/>
    <w:uiPriority w:val="49"/>
    <w:rsid w:val="0088565C"/>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ccentuation">
    <w:name w:val="Emphasis"/>
    <w:uiPriority w:val="20"/>
    <w:qFormat/>
    <w:rsid w:val="008E4C0C"/>
    <w:rPr>
      <w:b/>
      <w:bCs/>
      <w:i w:val="0"/>
      <w:iCs w:val="0"/>
    </w:rPr>
  </w:style>
  <w:style w:type="paragraph" w:styleId="Rvision">
    <w:name w:val="Revision"/>
    <w:hidden/>
    <w:uiPriority w:val="99"/>
    <w:semiHidden/>
    <w:rsid w:val="009514AC"/>
    <w:rPr>
      <w:rFonts w:ascii="Times New Roman" w:eastAsia="Times New Roman" w:hAnsi="Times New Roman"/>
      <w:sz w:val="24"/>
      <w:szCs w:val="24"/>
    </w:rPr>
  </w:style>
  <w:style w:type="character" w:styleId="lev">
    <w:name w:val="Strong"/>
    <w:basedOn w:val="Policepardfaut"/>
    <w:uiPriority w:val="22"/>
    <w:qFormat/>
    <w:rsid w:val="006E6962"/>
    <w:rPr>
      <w:b/>
      <w:bCs/>
    </w:rPr>
  </w:style>
  <w:style w:type="character" w:customStyle="1" w:styleId="Titre1Car">
    <w:name w:val="Titre 1 Car"/>
    <w:basedOn w:val="Policepardfaut"/>
    <w:link w:val="Titre1"/>
    <w:uiPriority w:val="9"/>
    <w:rsid w:val="00316E8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3870">
      <w:bodyDiv w:val="1"/>
      <w:marLeft w:val="0"/>
      <w:marRight w:val="0"/>
      <w:marTop w:val="0"/>
      <w:marBottom w:val="0"/>
      <w:divBdr>
        <w:top w:val="none" w:sz="0" w:space="0" w:color="auto"/>
        <w:left w:val="none" w:sz="0" w:space="0" w:color="auto"/>
        <w:bottom w:val="none" w:sz="0" w:space="0" w:color="auto"/>
        <w:right w:val="none" w:sz="0" w:space="0" w:color="auto"/>
      </w:divBdr>
    </w:div>
    <w:div w:id="874847522">
      <w:bodyDiv w:val="1"/>
      <w:marLeft w:val="0"/>
      <w:marRight w:val="0"/>
      <w:marTop w:val="0"/>
      <w:marBottom w:val="0"/>
      <w:divBdr>
        <w:top w:val="none" w:sz="0" w:space="0" w:color="auto"/>
        <w:left w:val="none" w:sz="0" w:space="0" w:color="auto"/>
        <w:bottom w:val="none" w:sz="0" w:space="0" w:color="auto"/>
        <w:right w:val="none" w:sz="0" w:space="0" w:color="auto"/>
      </w:divBdr>
    </w:div>
    <w:div w:id="1205168166">
      <w:bodyDiv w:val="1"/>
      <w:marLeft w:val="0"/>
      <w:marRight w:val="0"/>
      <w:marTop w:val="0"/>
      <w:marBottom w:val="0"/>
      <w:divBdr>
        <w:top w:val="none" w:sz="0" w:space="0" w:color="auto"/>
        <w:left w:val="none" w:sz="0" w:space="0" w:color="auto"/>
        <w:bottom w:val="none" w:sz="0" w:space="0" w:color="auto"/>
        <w:right w:val="none" w:sz="0" w:space="0" w:color="auto"/>
      </w:divBdr>
    </w:div>
    <w:div w:id="1329941120">
      <w:bodyDiv w:val="1"/>
      <w:marLeft w:val="0"/>
      <w:marRight w:val="0"/>
      <w:marTop w:val="0"/>
      <w:marBottom w:val="0"/>
      <w:divBdr>
        <w:top w:val="none" w:sz="0" w:space="0" w:color="auto"/>
        <w:left w:val="none" w:sz="0" w:space="0" w:color="auto"/>
        <w:bottom w:val="none" w:sz="0" w:space="0" w:color="auto"/>
        <w:right w:val="none" w:sz="0" w:space="0" w:color="auto"/>
      </w:divBdr>
    </w:div>
    <w:div w:id="1383024217">
      <w:bodyDiv w:val="1"/>
      <w:marLeft w:val="0"/>
      <w:marRight w:val="0"/>
      <w:marTop w:val="0"/>
      <w:marBottom w:val="0"/>
      <w:divBdr>
        <w:top w:val="none" w:sz="0" w:space="0" w:color="auto"/>
        <w:left w:val="none" w:sz="0" w:space="0" w:color="auto"/>
        <w:bottom w:val="none" w:sz="0" w:space="0" w:color="auto"/>
        <w:right w:val="none" w:sz="0" w:space="0" w:color="auto"/>
      </w:divBdr>
    </w:div>
    <w:div w:id="1740321298">
      <w:bodyDiv w:val="1"/>
      <w:marLeft w:val="0"/>
      <w:marRight w:val="0"/>
      <w:marTop w:val="0"/>
      <w:marBottom w:val="0"/>
      <w:divBdr>
        <w:top w:val="none" w:sz="0" w:space="0" w:color="auto"/>
        <w:left w:val="none" w:sz="0" w:space="0" w:color="auto"/>
        <w:bottom w:val="none" w:sz="0" w:space="0" w:color="auto"/>
        <w:right w:val="none" w:sz="0" w:space="0" w:color="auto"/>
      </w:divBdr>
    </w:div>
    <w:div w:id="18897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3.COM/6" TargetMode="External"/><Relationship Id="rId13" Type="http://schemas.openxmlformats.org/officeDocument/2006/relationships/hyperlink" Target="https://ich.unesco.org/doc/src/LHE-19-14.COM-5.b-FR.docx" TargetMode="External"/><Relationship Id="rId18" Type="http://schemas.openxmlformats.org/officeDocument/2006/relationships/hyperlink" Target="https://ich.unesco.org/doc/src/ITH-17-12.COM-14-FR.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h.unesco.org/doc/src/LHE-19-14.COM-12-FR.docx" TargetMode="External"/><Relationship Id="rId7" Type="http://schemas.openxmlformats.org/officeDocument/2006/relationships/endnotes" Target="endnotes.xml"/><Relationship Id="rId12" Type="http://schemas.openxmlformats.org/officeDocument/2006/relationships/hyperlink" Target="https://ich.unesco.org/fr/Decisions/13.COM/10" TargetMode="External"/><Relationship Id="rId17" Type="http://schemas.openxmlformats.org/officeDocument/2006/relationships/hyperlink" Target="https://ich.unesco.org/fr/Decisions/13.COM/6"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ich.unesco.org/fr/Decisions/13.COM/10" TargetMode="External"/><Relationship Id="rId20" Type="http://schemas.openxmlformats.org/officeDocument/2006/relationships/hyperlink" Target="https://ich.unesco.org/doc/src/LHE-19-14.COM-10-F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3.COM/6"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fr/Decisions/12.COM/14" TargetMode="External"/><Relationship Id="rId23" Type="http://schemas.openxmlformats.org/officeDocument/2006/relationships/header" Target="header2.xml"/><Relationship Id="rId10" Type="http://schemas.openxmlformats.org/officeDocument/2006/relationships/hyperlink" Target="https://ich.unesco.org/fr/Decisions/12.COM/14" TargetMode="External"/><Relationship Id="rId19" Type="http://schemas.openxmlformats.org/officeDocument/2006/relationships/hyperlink" Target="https://ich.unesco.org/doc/src/LHE-19-14.COM-5.b-FR.docx" TargetMode="External"/><Relationship Id="rId4" Type="http://schemas.openxmlformats.org/officeDocument/2006/relationships/settings" Target="settings.xml"/><Relationship Id="rId9" Type="http://schemas.openxmlformats.org/officeDocument/2006/relationships/hyperlink" Target="https://ich.unesco.org/fr/Decisions/13.COM/10" TargetMode="External"/><Relationship Id="rId14" Type="http://schemas.openxmlformats.org/officeDocument/2006/relationships/hyperlink" Target="https://ich.unesco.org/fr/Decisions/7.COM/15"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ich.unesco.org/doc/src/00035-FR.pdf" TargetMode="External"/><Relationship Id="rId18" Type="http://schemas.openxmlformats.org/officeDocument/2006/relationships/hyperlink" Target="https://ich.unesco.org/fr/Decisions/9.COM/10.3" TargetMode="External"/><Relationship Id="rId26" Type="http://schemas.openxmlformats.org/officeDocument/2006/relationships/hyperlink" Target="https://ich.unesco.org/doc/src/ITH-17-12.COM-11-FR.docx" TargetMode="External"/><Relationship Id="rId39" Type="http://schemas.openxmlformats.org/officeDocument/2006/relationships/hyperlink" Target="https://ich.unesco.org/doc/src/ITH-18-13.COM-10-FR.docx" TargetMode="External"/><Relationship Id="rId21" Type="http://schemas.openxmlformats.org/officeDocument/2006/relationships/hyperlink" Target="https://ich.unesco.org/fr/Decisions/8.COM/5.c.1" TargetMode="External"/><Relationship Id="rId34" Type="http://schemas.openxmlformats.org/officeDocument/2006/relationships/hyperlink" Target="https://unesdoc.unesco.org/ark:/48223/pf0000235270_fre/PDF/235270fre.pdf.multi" TargetMode="External"/><Relationship Id="rId42" Type="http://schemas.openxmlformats.org/officeDocument/2006/relationships/hyperlink" Target="https://ich.unesco.org/doc/src/ITH-11-6.COM-CONF.206-16-FR.doc" TargetMode="External"/><Relationship Id="rId47" Type="http://schemas.openxmlformats.org/officeDocument/2006/relationships/hyperlink" Target="https://whc.unesco.org/fr/suivi-reactif/" TargetMode="External"/><Relationship Id="rId50" Type="http://schemas.openxmlformats.org/officeDocument/2006/relationships/hyperlink" Target="https://ich.unesco.org/doc/src/ITH-16-11.COM-10-FR.docx" TargetMode="External"/><Relationship Id="rId55" Type="http://schemas.openxmlformats.org/officeDocument/2006/relationships/hyperlink" Target="https://ich.unesco.org/doc/src/ITH-17-12.COM-4-FR.docx" TargetMode="External"/><Relationship Id="rId7" Type="http://schemas.openxmlformats.org/officeDocument/2006/relationships/hyperlink" Target="https://ich.unesco.org/fr/Resolutions/5.GA/5.1" TargetMode="External"/><Relationship Id="rId2" Type="http://schemas.openxmlformats.org/officeDocument/2006/relationships/hyperlink" Target="https://unesdoc.unesco.org/ark:/48223/pf0000234414_fre/PDF/234414fre.pdf.multi" TargetMode="External"/><Relationship Id="rId16" Type="http://schemas.openxmlformats.org/officeDocument/2006/relationships/hyperlink" Target="https://ich.unesco.org/fr/Decisions/12.COM/11" TargetMode="External"/><Relationship Id="rId20" Type="http://schemas.openxmlformats.org/officeDocument/2006/relationships/hyperlink" Target="https://ich.unesco.org/fr/Decisions/9.COM/10.34" TargetMode="External"/><Relationship Id="rId29" Type="http://schemas.openxmlformats.org/officeDocument/2006/relationships/hyperlink" Target="https://ich.unesco.org/doc/src/ITH-16-11.COM-4-FR.docx" TargetMode="External"/><Relationship Id="rId41" Type="http://schemas.openxmlformats.org/officeDocument/2006/relationships/hyperlink" Target="https://ich.unesco.org/fr/Resolutions/3.GA/5" TargetMode="External"/><Relationship Id="rId54" Type="http://schemas.openxmlformats.org/officeDocument/2006/relationships/hyperlink" Target="https://ich.unesco.org/doc/src/ITH-16-11.COM-4-FR.docx" TargetMode="External"/><Relationship Id="rId1" Type="http://schemas.openxmlformats.org/officeDocument/2006/relationships/hyperlink" Target="https://ich.unesco.org/fr/decisions/3.COM/1" TargetMode="External"/><Relationship Id="rId6" Type="http://schemas.openxmlformats.org/officeDocument/2006/relationships/hyperlink" Target="https://ich.unesco.org/fr/Resolutions/3.GA/5" TargetMode="External"/><Relationship Id="rId11" Type="http://schemas.openxmlformats.org/officeDocument/2006/relationships/hyperlink" Target="https://ich.unesco.org/doc/src/ITH-14-9.COM-4_Rev.-FR.doc" TargetMode="External"/><Relationship Id="rId24" Type="http://schemas.openxmlformats.org/officeDocument/2006/relationships/hyperlink" Target="https://ich.unesco.org/doc/src/ITH-15-10.COM-10_FR.docx" TargetMode="External"/><Relationship Id="rId32" Type="http://schemas.openxmlformats.org/officeDocument/2006/relationships/hyperlink" Target="https://ich.unesco.org/doc/src/ITH-18-13.COM-10-FR.docx" TargetMode="External"/><Relationship Id="rId37" Type="http://schemas.openxmlformats.org/officeDocument/2006/relationships/hyperlink" Target="https://ich.unesco.org/doc/src/ITH-16-11.COM-10-FR.docx" TargetMode="External"/><Relationship Id="rId40" Type="http://schemas.openxmlformats.org/officeDocument/2006/relationships/hyperlink" Target="https://ich.unesco.org/doc/src/ITH-18-13.COM-10-FR.docx" TargetMode="External"/><Relationship Id="rId45" Type="http://schemas.openxmlformats.org/officeDocument/2006/relationships/hyperlink" Target="https://unesdoc.unesco.org/ark:/48223/pf0000235543_fre/PDF/235543fre.pdf.multi" TargetMode="External"/><Relationship Id="rId53" Type="http://schemas.openxmlformats.org/officeDocument/2006/relationships/hyperlink" Target="https://ich.unesco.org/doc/src/ITH-15-10.COM-4_FR.docx" TargetMode="External"/><Relationship Id="rId58" Type="http://schemas.openxmlformats.org/officeDocument/2006/relationships/hyperlink" Target="https://ich.unesco.org/fr/Decisions/12.COM/13" TargetMode="External"/><Relationship Id="rId5" Type="http://schemas.openxmlformats.org/officeDocument/2006/relationships/hyperlink" Target="https://ich.unesco.org/doc/src/00186-FR.pdf" TargetMode="External"/><Relationship Id="rId15" Type="http://schemas.openxmlformats.org/officeDocument/2006/relationships/hyperlink" Target="https://ich.unesco.org/fr/Decisions/13.COM/10.b.4" TargetMode="External"/><Relationship Id="rId23" Type="http://schemas.openxmlformats.org/officeDocument/2006/relationships/hyperlink" Target="https://ich.unesco.org/doc/src/LHE-19-14.COM-5.b-FR.docx" TargetMode="External"/><Relationship Id="rId28" Type="http://schemas.openxmlformats.org/officeDocument/2006/relationships/hyperlink" Target="https://ich.unesco.org/doc/src/ITH-15-10.COM-4_FR.docx" TargetMode="External"/><Relationship Id="rId36" Type="http://schemas.openxmlformats.org/officeDocument/2006/relationships/hyperlink" Target="https://ich.unesco.org/doc/src/ITH-15-10.COM-10_FR.docx" TargetMode="External"/><Relationship Id="rId49" Type="http://schemas.openxmlformats.org/officeDocument/2006/relationships/hyperlink" Target="https://ich.unesco.org/doc/src/ITH-15-10.COM-10_FR.docx" TargetMode="External"/><Relationship Id="rId57" Type="http://schemas.openxmlformats.org/officeDocument/2006/relationships/hyperlink" Target="https://ich.unesco.org/fr/D%C3%A9cisions/11.COM/10" TargetMode="External"/><Relationship Id="rId61" Type="http://schemas.openxmlformats.org/officeDocument/2006/relationships/hyperlink" Target="https://ich.unesco.org/doc/src/LHE-19-14.COM-19-FR.docx" TargetMode="External"/><Relationship Id="rId10" Type="http://schemas.openxmlformats.org/officeDocument/2006/relationships/hyperlink" Target="https://unesdoc.unesco.org/ark:/48223/pf0000223095_fre/PDF/223095fre.pdf.multi" TargetMode="External"/><Relationship Id="rId19" Type="http://schemas.openxmlformats.org/officeDocument/2006/relationships/hyperlink" Target="https://ich.unesco.org/fr/Decisions/9.COM/10.6" TargetMode="External"/><Relationship Id="rId31" Type="http://schemas.openxmlformats.org/officeDocument/2006/relationships/hyperlink" Target="https://ich.unesco.org/doc/src/ITH-18-13.COM-4-FR.docx" TargetMode="External"/><Relationship Id="rId44" Type="http://schemas.openxmlformats.org/officeDocument/2006/relationships/hyperlink" Target="https://unesdoc.unesco.org/ark:/48223/pf0000242915_fre/PDF/242915fre.pdf.multi" TargetMode="External"/><Relationship Id="rId52" Type="http://schemas.openxmlformats.org/officeDocument/2006/relationships/hyperlink" Target="https://ich.unesco.org/doc/src/ITH-18-13.COM-10-FR.docx" TargetMode="External"/><Relationship Id="rId60" Type="http://schemas.openxmlformats.org/officeDocument/2006/relationships/hyperlink" Target="https://ich.unesco.org/doc/src/LHE-19-14.COM-10-FR.docx" TargetMode="External"/><Relationship Id="rId4" Type="http://schemas.openxmlformats.org/officeDocument/2006/relationships/hyperlink" Target="https://ich.unesco.org/fr/resolutions/2.GA/5?dec=resolutions&amp;ref_decision=2.GA" TargetMode="External"/><Relationship Id="rId9" Type="http://schemas.openxmlformats.org/officeDocument/2006/relationships/hyperlink" Target="https://ich.unesco.org/doc/src/ITH-18-13.COM-10-FR.docx" TargetMode="External"/><Relationship Id="rId14" Type="http://schemas.openxmlformats.org/officeDocument/2006/relationships/hyperlink" Target="https://ich.unesco.org/doc/src/00186-FR.pdf" TargetMode="External"/><Relationship Id="rId22" Type="http://schemas.openxmlformats.org/officeDocument/2006/relationships/hyperlink" Target="https://ich.unesco.org/fr/Decisions/10.COM/10" TargetMode="External"/><Relationship Id="rId27" Type="http://schemas.openxmlformats.org/officeDocument/2006/relationships/hyperlink" Target="https://ich.unesco.org/doc/src/ITH-18-13.COM-10-FR.docx" TargetMode="External"/><Relationship Id="rId30" Type="http://schemas.openxmlformats.org/officeDocument/2006/relationships/hyperlink" Target="https://ich.unesco.org/doc/src/ITH-17-12.COM-4-FR.docx" TargetMode="External"/><Relationship Id="rId35" Type="http://schemas.openxmlformats.org/officeDocument/2006/relationships/hyperlink" Target="https://ich.unesco.org/doc/src/ITH-14-9.COM-10+Add.3-FR.doc" TargetMode="External"/><Relationship Id="rId43" Type="http://schemas.openxmlformats.org/officeDocument/2006/relationships/hyperlink" Target="https://unesdoc.unesco.org/ark:/48223/pf0000235270_fre/PDF/235270fre.pdf.multi" TargetMode="External"/><Relationship Id="rId48" Type="http://schemas.openxmlformats.org/officeDocument/2006/relationships/hyperlink" Target="https://ich.unesco.org/doc/src/ITH-17-12.COM-14-FR.docx" TargetMode="External"/><Relationship Id="rId56" Type="http://schemas.openxmlformats.org/officeDocument/2006/relationships/hyperlink" Target="https://ich.unesco.org/doc/src/ITH-18-13.COM-4-FR.docx" TargetMode="External"/><Relationship Id="rId8" Type="http://schemas.openxmlformats.org/officeDocument/2006/relationships/hyperlink" Target="https://ich.unesco.org/doc/src/ITH-15-10.COM-10_FR.docx" TargetMode="External"/><Relationship Id="rId51" Type="http://schemas.openxmlformats.org/officeDocument/2006/relationships/hyperlink" Target="https://ich.unesco.org/doc/src/ITH-17-12.COM-11-FR.docx" TargetMode="External"/><Relationship Id="rId3" Type="http://schemas.openxmlformats.org/officeDocument/2006/relationships/hyperlink" Target="https://unesdoc.unesco.org/ark:/48223/pf0000177690_fre/PDF/177690fre.pdf.multi" TargetMode="External"/><Relationship Id="rId12" Type="http://schemas.openxmlformats.org/officeDocument/2006/relationships/hyperlink" Target="https://ich.unesco.org/doc/src/ITH-15-10.COM-4_FR.docx" TargetMode="External"/><Relationship Id="rId17" Type="http://schemas.openxmlformats.org/officeDocument/2006/relationships/hyperlink" Target="https://ich.unesco.org/fr/Decisions/9.COM/10" TargetMode="External"/><Relationship Id="rId25" Type="http://schemas.openxmlformats.org/officeDocument/2006/relationships/hyperlink" Target="https://ich.unesco.org/doc/src/ITH-16-11.COM-10-FR.docx" TargetMode="External"/><Relationship Id="rId33" Type="http://schemas.openxmlformats.org/officeDocument/2006/relationships/hyperlink" Target="https://ich.unesco.org/doc/src/LHE-19-14.COM-10-FR.docx" TargetMode="External"/><Relationship Id="rId38" Type="http://schemas.openxmlformats.org/officeDocument/2006/relationships/hyperlink" Target="https://ich.unesco.org/doc/src/ITH-17-12.COM-11-FR.docx" TargetMode="External"/><Relationship Id="rId46" Type="http://schemas.openxmlformats.org/officeDocument/2006/relationships/hyperlink" Target="https://ich.unesco.org/fr/Decisions/13.COM/9" TargetMode="External"/><Relationship Id="rId59" Type="http://schemas.openxmlformats.org/officeDocument/2006/relationships/hyperlink" Target="https://ich.unesco.org/fr/Decisions/13.COM/1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13B0-C4B8-4CB8-8BDB-966574A2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15</Pages>
  <Words>6278</Words>
  <Characters>34532</Characters>
  <Application>Microsoft Office Word</Application>
  <DocSecurity>0</DocSecurity>
  <Lines>287</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Ohinata, Fumiko</cp:lastModifiedBy>
  <cp:revision>19</cp:revision>
  <cp:lastPrinted>2019-10-28T16:27:00Z</cp:lastPrinted>
  <dcterms:created xsi:type="dcterms:W3CDTF">2019-11-08T18:12:00Z</dcterms:created>
  <dcterms:modified xsi:type="dcterms:W3CDTF">2019-11-08T20:16:00Z</dcterms:modified>
</cp:coreProperties>
</file>