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23F" w:rsidRPr="008E6BF0" w:rsidRDefault="00E8323F" w:rsidP="00E8323F">
      <w:pPr>
        <w:pStyle w:val="Caschap"/>
      </w:pPr>
      <w:r w:rsidRPr="008E6BF0">
        <w:t xml:space="preserve">CASE STUDY </w:t>
      </w:r>
      <w:r w:rsidR="00156A16">
        <w:t>60</w:t>
      </w:r>
    </w:p>
    <w:p w:rsidR="00E8323F" w:rsidRPr="008E6BF0" w:rsidRDefault="00E8323F" w:rsidP="008E6BF0">
      <w:pPr>
        <w:pStyle w:val="Cas"/>
      </w:pPr>
      <w:r w:rsidRPr="00A11703">
        <w:t>Cross-sectoral Cooperation and NGO Involvement</w:t>
      </w:r>
      <w:r w:rsidR="00870123">
        <w:t xml:space="preserve"> in Brazil</w:t>
      </w:r>
      <w:r w:rsidRPr="0008450A">
        <w:rPr>
          <w:vertAlign w:val="superscript"/>
        </w:rPr>
        <w:footnoteReference w:id="1"/>
      </w:r>
    </w:p>
    <w:p w:rsidR="00E8323F" w:rsidRPr="007B417E" w:rsidRDefault="00E8323F" w:rsidP="007B417E">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rPr>
      </w:pPr>
      <w:r w:rsidRPr="007B417E">
        <w:rPr>
          <w:rFonts w:ascii="Arial" w:eastAsia="Times New Roman" w:hAnsi="Arial" w:cs="Arial"/>
          <w:b/>
          <w:bCs/>
          <w:i w:val="0"/>
          <w:iCs w:val="0"/>
          <w:caps/>
          <w:color w:val="auto"/>
          <w:sz w:val="20"/>
          <w:szCs w:val="24"/>
          <w:lang w:val="en-US"/>
        </w:rPr>
        <w:t>Institutional framework for Cultural Heritage Protection in Brazil</w:t>
      </w:r>
      <w:r w:rsidR="00DB602E">
        <w:rPr>
          <w:rStyle w:val="FootnoteReference"/>
          <w:rFonts w:ascii="Arial" w:eastAsia="Times New Roman" w:hAnsi="Arial" w:cs="Arial"/>
          <w:b/>
          <w:bCs/>
          <w:i w:val="0"/>
          <w:iCs w:val="0"/>
          <w:caps/>
          <w:color w:val="auto"/>
          <w:sz w:val="20"/>
          <w:szCs w:val="24"/>
          <w:lang w:val="en-US"/>
        </w:rPr>
        <w:footnoteReference w:id="2"/>
      </w:r>
    </w:p>
    <w:p w:rsidR="00E8323F" w:rsidRPr="008E6BF0" w:rsidRDefault="00E8323F" w:rsidP="00156A16">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Since 1937 Brazil has had an institution dedicated to the preservation of</w:t>
      </w:r>
      <w:r w:rsidR="00A960A9">
        <w:rPr>
          <w:rFonts w:ascii="Arial" w:hAnsi="Arial" w:cs="Arial"/>
          <w:sz w:val="20"/>
          <w:szCs w:val="20"/>
        </w:rPr>
        <w:t xml:space="preserve"> </w:t>
      </w:r>
      <w:r w:rsidRPr="008E6BF0">
        <w:rPr>
          <w:rFonts w:ascii="Arial" w:hAnsi="Arial" w:cs="Arial"/>
          <w:sz w:val="20"/>
          <w:szCs w:val="20"/>
        </w:rPr>
        <w:t xml:space="preserve">Brazilian Cultural Heritage, the </w:t>
      </w:r>
      <w:proofErr w:type="spellStart"/>
      <w:r w:rsidRPr="008E6BF0">
        <w:rPr>
          <w:rFonts w:ascii="Arial" w:hAnsi="Arial" w:cs="Arial"/>
          <w:i/>
          <w:iCs/>
          <w:sz w:val="20"/>
          <w:szCs w:val="20"/>
        </w:rPr>
        <w:t>lnstituto</w:t>
      </w:r>
      <w:proofErr w:type="spellEnd"/>
      <w:r w:rsidRPr="008E6BF0">
        <w:rPr>
          <w:rFonts w:ascii="Arial" w:hAnsi="Arial" w:cs="Arial"/>
          <w:i/>
          <w:iCs/>
          <w:sz w:val="20"/>
          <w:szCs w:val="20"/>
        </w:rPr>
        <w:t xml:space="preserve"> do </w:t>
      </w:r>
      <w:proofErr w:type="spellStart"/>
      <w:r w:rsidRPr="008E6BF0">
        <w:rPr>
          <w:rFonts w:ascii="Arial" w:hAnsi="Arial" w:cs="Arial"/>
          <w:i/>
          <w:iCs/>
          <w:sz w:val="20"/>
          <w:szCs w:val="20"/>
        </w:rPr>
        <w:t>Patrim</w:t>
      </w:r>
      <w:r w:rsidR="000B0697">
        <w:rPr>
          <w:rFonts w:ascii="Arial" w:hAnsi="Arial" w:cs="Arial"/>
          <w:i/>
          <w:iCs/>
          <w:sz w:val="20"/>
          <w:szCs w:val="20"/>
        </w:rPr>
        <w:t>ô</w:t>
      </w:r>
      <w:r w:rsidRPr="008E6BF0">
        <w:rPr>
          <w:rFonts w:ascii="Arial" w:hAnsi="Arial" w:cs="Arial"/>
          <w:i/>
          <w:iCs/>
          <w:sz w:val="20"/>
          <w:szCs w:val="20"/>
        </w:rPr>
        <w:t>nio</w:t>
      </w:r>
      <w:proofErr w:type="spellEnd"/>
      <w:r w:rsidRPr="008E6BF0">
        <w:rPr>
          <w:rFonts w:ascii="Arial" w:hAnsi="Arial" w:cs="Arial"/>
          <w:i/>
          <w:iCs/>
          <w:sz w:val="20"/>
          <w:szCs w:val="20"/>
        </w:rPr>
        <w:t xml:space="preserve"> </w:t>
      </w:r>
      <w:proofErr w:type="spellStart"/>
      <w:r w:rsidRPr="008E6BF0">
        <w:rPr>
          <w:rFonts w:ascii="Arial" w:hAnsi="Arial" w:cs="Arial"/>
          <w:i/>
          <w:iCs/>
          <w:sz w:val="20"/>
          <w:szCs w:val="20"/>
        </w:rPr>
        <w:t>Hist</w:t>
      </w:r>
      <w:r w:rsidR="000B0697">
        <w:rPr>
          <w:rFonts w:ascii="Arial" w:hAnsi="Arial" w:cs="Arial"/>
          <w:i/>
          <w:iCs/>
          <w:sz w:val="20"/>
          <w:szCs w:val="20"/>
        </w:rPr>
        <w:t>ó</w:t>
      </w:r>
      <w:r w:rsidRPr="008E6BF0">
        <w:rPr>
          <w:rFonts w:ascii="Arial" w:hAnsi="Arial" w:cs="Arial"/>
          <w:i/>
          <w:iCs/>
          <w:sz w:val="20"/>
          <w:szCs w:val="20"/>
        </w:rPr>
        <w:t>rico</w:t>
      </w:r>
      <w:proofErr w:type="spellEnd"/>
      <w:r w:rsidRPr="008E6BF0">
        <w:rPr>
          <w:rFonts w:ascii="Arial" w:hAnsi="Arial" w:cs="Arial"/>
          <w:i/>
          <w:iCs/>
          <w:sz w:val="20"/>
          <w:szCs w:val="20"/>
        </w:rPr>
        <w:t xml:space="preserve"> e </w:t>
      </w:r>
      <w:proofErr w:type="spellStart"/>
      <w:r w:rsidRPr="008E6BF0">
        <w:rPr>
          <w:rFonts w:ascii="Arial" w:hAnsi="Arial" w:cs="Arial"/>
          <w:i/>
          <w:iCs/>
          <w:sz w:val="20"/>
          <w:szCs w:val="20"/>
        </w:rPr>
        <w:t>Art</w:t>
      </w:r>
      <w:r w:rsidR="000B0697">
        <w:rPr>
          <w:rFonts w:ascii="Arial" w:hAnsi="Arial" w:cs="Arial"/>
          <w:i/>
          <w:iCs/>
          <w:sz w:val="20"/>
          <w:szCs w:val="20"/>
        </w:rPr>
        <w:t>í</w:t>
      </w:r>
      <w:r w:rsidRPr="008E6BF0">
        <w:rPr>
          <w:rFonts w:ascii="Arial" w:hAnsi="Arial" w:cs="Arial"/>
          <w:i/>
          <w:iCs/>
          <w:sz w:val="20"/>
          <w:szCs w:val="20"/>
        </w:rPr>
        <w:t>stico</w:t>
      </w:r>
      <w:proofErr w:type="spellEnd"/>
      <w:r w:rsidRPr="008E6BF0">
        <w:rPr>
          <w:rFonts w:ascii="Arial" w:hAnsi="Arial" w:cs="Arial"/>
          <w:i/>
          <w:iCs/>
          <w:sz w:val="20"/>
          <w:szCs w:val="20"/>
        </w:rPr>
        <w:t xml:space="preserve"> Nacional </w:t>
      </w:r>
      <w:r w:rsidRPr="008E6BF0">
        <w:rPr>
          <w:rFonts w:ascii="Arial" w:hAnsi="Arial" w:cs="Arial"/>
          <w:sz w:val="20"/>
          <w:szCs w:val="20"/>
        </w:rPr>
        <w:t>(National Historic and Artistic Heritage Institute)</w:t>
      </w:r>
      <w:r w:rsidRPr="008E6BF0">
        <w:rPr>
          <w:rFonts w:ascii="Arial" w:hAnsi="Arial" w:cs="Arial"/>
          <w:i/>
          <w:iCs/>
          <w:sz w:val="20"/>
          <w:szCs w:val="20"/>
        </w:rPr>
        <w:t xml:space="preserve"> </w:t>
      </w:r>
      <w:r w:rsidRPr="008E6BF0">
        <w:rPr>
          <w:rFonts w:ascii="Arial" w:hAnsi="Arial" w:cs="Arial"/>
          <w:sz w:val="20"/>
          <w:szCs w:val="20"/>
        </w:rPr>
        <w:t>known as</w:t>
      </w:r>
      <w:r w:rsidRPr="008E6BF0">
        <w:rPr>
          <w:rFonts w:ascii="Arial" w:hAnsi="Arial" w:cs="Arial"/>
          <w:i/>
          <w:iCs/>
          <w:sz w:val="20"/>
          <w:szCs w:val="20"/>
        </w:rPr>
        <w:t xml:space="preserve"> </w:t>
      </w:r>
      <w:r w:rsidRPr="008E6BF0">
        <w:rPr>
          <w:rFonts w:ascii="Arial" w:hAnsi="Arial" w:cs="Arial"/>
          <w:sz w:val="20"/>
          <w:szCs w:val="20"/>
        </w:rPr>
        <w:t xml:space="preserve">IPHAN. In addition to its Headquarters, it has 27 Superintendence Agencies located in state capitals and in the Federal District, 27 Technical Offices in provincial towns, plus four Special Units covering a considerable extent of the national territory. Of course, such a long institutional history has meant that IPHAN inherited approaches that were not </w:t>
      </w:r>
      <w:r w:rsidR="004E44D8">
        <w:rPr>
          <w:rFonts w:ascii="Arial" w:hAnsi="Arial" w:cs="Arial"/>
          <w:sz w:val="20"/>
          <w:szCs w:val="20"/>
        </w:rPr>
        <w:t xml:space="preserve">necessarily </w:t>
      </w:r>
      <w:r w:rsidRPr="008E6BF0">
        <w:rPr>
          <w:rFonts w:ascii="Arial" w:hAnsi="Arial" w:cs="Arial"/>
          <w:sz w:val="20"/>
          <w:szCs w:val="20"/>
        </w:rPr>
        <w:t>designed for safeguarding ICH. It also had certain specificities arising from the interaction with traditional heritage-related practices existing in the country at the time of its creation and inherent in IPHAN</w:t>
      </w:r>
      <w:r w:rsidR="004E44D8">
        <w:rPr>
          <w:rFonts w:ascii="Arial" w:hAnsi="Arial" w:cs="Arial"/>
          <w:sz w:val="20"/>
          <w:szCs w:val="20"/>
        </w:rPr>
        <w:t>’s</w:t>
      </w:r>
      <w:r w:rsidRPr="008E6BF0">
        <w:rPr>
          <w:rFonts w:ascii="Arial" w:hAnsi="Arial" w:cs="Arial"/>
          <w:sz w:val="20"/>
          <w:szCs w:val="20"/>
        </w:rPr>
        <w:t xml:space="preserve"> institutional structure. </w:t>
      </w:r>
    </w:p>
    <w:p w:rsidR="00E8323F" w:rsidRPr="008E6BF0" w:rsidRDefault="00E8323F" w:rsidP="00DB6136">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 xml:space="preserve">In 2000, Presidential Decree no. 3551 established the National Programme on Intangible Heritage </w:t>
      </w:r>
      <w:r w:rsidRPr="008E6BF0">
        <w:rPr>
          <w:rFonts w:ascii="Arial" w:hAnsi="Arial" w:cs="Arial"/>
          <w:i/>
          <w:iCs/>
          <w:sz w:val="20"/>
          <w:szCs w:val="20"/>
        </w:rPr>
        <w:t>(</w:t>
      </w:r>
      <w:proofErr w:type="spellStart"/>
      <w:r w:rsidRPr="008E6BF0">
        <w:rPr>
          <w:rFonts w:ascii="Arial" w:hAnsi="Arial" w:cs="Arial"/>
          <w:i/>
          <w:iCs/>
          <w:sz w:val="20"/>
          <w:szCs w:val="20"/>
        </w:rPr>
        <w:t>Programa</w:t>
      </w:r>
      <w:proofErr w:type="spellEnd"/>
      <w:r w:rsidRPr="008E6BF0">
        <w:rPr>
          <w:rFonts w:ascii="Arial" w:hAnsi="Arial" w:cs="Arial"/>
          <w:i/>
          <w:iCs/>
          <w:sz w:val="20"/>
          <w:szCs w:val="20"/>
        </w:rPr>
        <w:t xml:space="preserve"> Nacional de </w:t>
      </w:r>
      <w:proofErr w:type="spellStart"/>
      <w:r w:rsidRPr="008E6BF0">
        <w:rPr>
          <w:rFonts w:ascii="Arial" w:hAnsi="Arial" w:cs="Arial"/>
          <w:i/>
          <w:iCs/>
          <w:sz w:val="20"/>
          <w:szCs w:val="20"/>
        </w:rPr>
        <w:t>Patrim</w:t>
      </w:r>
      <w:r w:rsidR="00515850">
        <w:rPr>
          <w:rFonts w:ascii="Arial" w:hAnsi="Arial" w:cs="Arial"/>
          <w:i/>
          <w:iCs/>
          <w:sz w:val="20"/>
          <w:szCs w:val="20"/>
        </w:rPr>
        <w:t>ô</w:t>
      </w:r>
      <w:r w:rsidRPr="008E6BF0">
        <w:rPr>
          <w:rFonts w:ascii="Arial" w:hAnsi="Arial" w:cs="Arial"/>
          <w:i/>
          <w:iCs/>
          <w:sz w:val="20"/>
          <w:szCs w:val="20"/>
        </w:rPr>
        <w:t>nio</w:t>
      </w:r>
      <w:proofErr w:type="spellEnd"/>
      <w:r w:rsidRPr="008E6BF0">
        <w:rPr>
          <w:rFonts w:ascii="Arial" w:hAnsi="Arial" w:cs="Arial"/>
          <w:i/>
          <w:iCs/>
          <w:sz w:val="20"/>
          <w:szCs w:val="20"/>
        </w:rPr>
        <w:t xml:space="preserve"> </w:t>
      </w:r>
      <w:proofErr w:type="spellStart"/>
      <w:r w:rsidR="00515850">
        <w:rPr>
          <w:rFonts w:ascii="Arial" w:hAnsi="Arial" w:cs="Arial"/>
          <w:i/>
          <w:iCs/>
          <w:sz w:val="20"/>
          <w:szCs w:val="20"/>
        </w:rPr>
        <w:t>I</w:t>
      </w:r>
      <w:r w:rsidRPr="008E6BF0">
        <w:rPr>
          <w:rFonts w:ascii="Arial" w:hAnsi="Arial" w:cs="Arial"/>
          <w:i/>
          <w:iCs/>
          <w:sz w:val="20"/>
          <w:szCs w:val="20"/>
        </w:rPr>
        <w:t>material</w:t>
      </w:r>
      <w:proofErr w:type="spellEnd"/>
      <w:r w:rsidRPr="008E6BF0">
        <w:rPr>
          <w:rFonts w:ascii="Arial" w:hAnsi="Arial" w:cs="Arial"/>
          <w:i/>
          <w:iCs/>
          <w:sz w:val="20"/>
          <w:szCs w:val="20"/>
        </w:rPr>
        <w:t xml:space="preserve">- </w:t>
      </w:r>
      <w:r w:rsidRPr="008E6BF0">
        <w:rPr>
          <w:rFonts w:ascii="Arial" w:hAnsi="Arial" w:cs="Arial"/>
          <w:sz w:val="20"/>
          <w:szCs w:val="20"/>
        </w:rPr>
        <w:t xml:space="preserve">PNPI) and the Declaration for cultural elements as </w:t>
      </w:r>
      <w:r w:rsidR="004E44D8">
        <w:rPr>
          <w:rFonts w:ascii="Arial" w:hAnsi="Arial" w:cs="Arial"/>
          <w:sz w:val="20"/>
          <w:szCs w:val="20"/>
        </w:rPr>
        <w:t>“</w:t>
      </w:r>
      <w:r w:rsidRPr="008E6BF0">
        <w:rPr>
          <w:rFonts w:ascii="Arial" w:hAnsi="Arial" w:cs="Arial"/>
          <w:sz w:val="20"/>
          <w:szCs w:val="20"/>
        </w:rPr>
        <w:t>Brazilian Cultural Heritage</w:t>
      </w:r>
      <w:r w:rsidR="004E44D8">
        <w:rPr>
          <w:rFonts w:ascii="Arial" w:hAnsi="Arial" w:cs="Arial"/>
          <w:sz w:val="20"/>
          <w:szCs w:val="20"/>
        </w:rPr>
        <w:t>”</w:t>
      </w:r>
      <w:r w:rsidRPr="008E6BF0">
        <w:rPr>
          <w:rFonts w:ascii="Arial" w:hAnsi="Arial" w:cs="Arial"/>
          <w:sz w:val="20"/>
          <w:szCs w:val="20"/>
        </w:rPr>
        <w:t xml:space="preserve"> under the aegis of IPHAN. The PNPI is an institutional programme that enables the Brazilian government to carry out the ICH management and safeguarding policy through three main action lines: </w:t>
      </w:r>
      <w:r w:rsidR="004E44D8">
        <w:rPr>
          <w:rFonts w:ascii="Arial" w:hAnsi="Arial" w:cs="Arial"/>
          <w:sz w:val="20"/>
          <w:szCs w:val="20"/>
        </w:rPr>
        <w:t>i</w:t>
      </w:r>
      <w:r w:rsidR="004E44D8" w:rsidRPr="008E6BF0">
        <w:rPr>
          <w:rFonts w:ascii="Arial" w:hAnsi="Arial" w:cs="Arial"/>
          <w:sz w:val="20"/>
          <w:szCs w:val="20"/>
        </w:rPr>
        <w:t>dentification</w:t>
      </w:r>
      <w:r w:rsidRPr="008E6BF0">
        <w:rPr>
          <w:rFonts w:ascii="Arial" w:hAnsi="Arial" w:cs="Arial"/>
          <w:sz w:val="20"/>
          <w:szCs w:val="20"/>
        </w:rPr>
        <w:t xml:space="preserve">, </w:t>
      </w:r>
      <w:r w:rsidR="004E44D8">
        <w:rPr>
          <w:rFonts w:ascii="Arial" w:hAnsi="Arial" w:cs="Arial"/>
          <w:sz w:val="20"/>
          <w:szCs w:val="20"/>
        </w:rPr>
        <w:t>d</w:t>
      </w:r>
      <w:r w:rsidR="004E44D8" w:rsidRPr="008E6BF0">
        <w:rPr>
          <w:rFonts w:ascii="Arial" w:hAnsi="Arial" w:cs="Arial"/>
          <w:sz w:val="20"/>
          <w:szCs w:val="20"/>
        </w:rPr>
        <w:t>eclaration</w:t>
      </w:r>
      <w:r w:rsidRPr="008E6BF0">
        <w:rPr>
          <w:rFonts w:ascii="Arial" w:hAnsi="Arial" w:cs="Arial"/>
          <w:sz w:val="20"/>
          <w:szCs w:val="20"/>
        </w:rPr>
        <w:t xml:space="preserve">, and </w:t>
      </w:r>
      <w:r w:rsidR="004E44D8">
        <w:rPr>
          <w:rFonts w:ascii="Arial" w:hAnsi="Arial" w:cs="Arial"/>
          <w:sz w:val="20"/>
          <w:szCs w:val="20"/>
        </w:rPr>
        <w:t>s</w:t>
      </w:r>
      <w:r w:rsidR="004E44D8" w:rsidRPr="008E6BF0">
        <w:rPr>
          <w:rFonts w:ascii="Arial" w:hAnsi="Arial" w:cs="Arial"/>
          <w:sz w:val="20"/>
          <w:szCs w:val="20"/>
        </w:rPr>
        <w:t xml:space="preserve">upport </w:t>
      </w:r>
      <w:r w:rsidRPr="008E6BF0">
        <w:rPr>
          <w:rFonts w:ascii="Arial" w:hAnsi="Arial" w:cs="Arial"/>
          <w:sz w:val="20"/>
          <w:szCs w:val="20"/>
        </w:rPr>
        <w:t xml:space="preserve">and </w:t>
      </w:r>
      <w:r w:rsidR="004E44D8">
        <w:rPr>
          <w:rFonts w:ascii="Arial" w:hAnsi="Arial" w:cs="Arial"/>
          <w:sz w:val="20"/>
          <w:szCs w:val="20"/>
        </w:rPr>
        <w:t>p</w:t>
      </w:r>
      <w:r w:rsidR="004E44D8" w:rsidRPr="008E6BF0">
        <w:rPr>
          <w:rFonts w:ascii="Arial" w:hAnsi="Arial" w:cs="Arial"/>
          <w:sz w:val="20"/>
          <w:szCs w:val="20"/>
        </w:rPr>
        <w:t>romotion</w:t>
      </w:r>
      <w:r w:rsidRPr="008E6BF0">
        <w:rPr>
          <w:rFonts w:ascii="Arial" w:hAnsi="Arial" w:cs="Arial"/>
          <w:sz w:val="20"/>
          <w:szCs w:val="20"/>
        </w:rPr>
        <w:t xml:space="preserve">. Active community participation is an essential requirement for the development of actions, and </w:t>
      </w:r>
      <w:r w:rsidR="00087922">
        <w:rPr>
          <w:rFonts w:ascii="Arial" w:hAnsi="Arial" w:cs="Arial"/>
          <w:sz w:val="20"/>
          <w:szCs w:val="20"/>
        </w:rPr>
        <w:t>communities</w:t>
      </w:r>
      <w:r w:rsidR="00087922" w:rsidRPr="008E6BF0">
        <w:rPr>
          <w:rFonts w:ascii="Arial" w:hAnsi="Arial" w:cs="Arial"/>
          <w:sz w:val="20"/>
          <w:szCs w:val="20"/>
        </w:rPr>
        <w:t xml:space="preserve"> </w:t>
      </w:r>
      <w:r w:rsidRPr="008E6BF0">
        <w:rPr>
          <w:rFonts w:ascii="Arial" w:hAnsi="Arial" w:cs="Arial"/>
          <w:sz w:val="20"/>
          <w:szCs w:val="20"/>
        </w:rPr>
        <w:t xml:space="preserve">are considered </w:t>
      </w:r>
      <w:r w:rsidR="00087922">
        <w:rPr>
          <w:rFonts w:ascii="Arial" w:hAnsi="Arial" w:cs="Arial"/>
          <w:sz w:val="20"/>
          <w:szCs w:val="20"/>
        </w:rPr>
        <w:t xml:space="preserve">as </w:t>
      </w:r>
      <w:r w:rsidRPr="008E6BF0">
        <w:rPr>
          <w:rFonts w:ascii="Arial" w:hAnsi="Arial" w:cs="Arial"/>
          <w:sz w:val="20"/>
          <w:szCs w:val="20"/>
        </w:rPr>
        <w:t xml:space="preserve">the primary actors in cultural heritage promotion and </w:t>
      </w:r>
      <w:r w:rsidR="00D930AA" w:rsidRPr="008E6BF0">
        <w:rPr>
          <w:rFonts w:ascii="Arial" w:hAnsi="Arial" w:cs="Arial"/>
          <w:sz w:val="20"/>
          <w:szCs w:val="20"/>
        </w:rPr>
        <w:t>decision-making</w:t>
      </w:r>
      <w:r w:rsidRPr="008E6BF0">
        <w:rPr>
          <w:rFonts w:ascii="Arial" w:hAnsi="Arial" w:cs="Arial"/>
          <w:sz w:val="20"/>
          <w:szCs w:val="20"/>
        </w:rPr>
        <w:t>, sharing the responsibility for heritage management with the State.</w:t>
      </w:r>
    </w:p>
    <w:p w:rsidR="00E8323F" w:rsidRPr="008E6BF0" w:rsidRDefault="00E8323F" w:rsidP="00DB6136">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Two other bodies also participate in the implementation of safeguarding measures: the Consultative Council on Cultural Heritage</w:t>
      </w:r>
      <w:r w:rsidR="00D4371D">
        <w:rPr>
          <w:rFonts w:ascii="Arial" w:hAnsi="Arial" w:cs="Arial"/>
          <w:sz w:val="20"/>
          <w:szCs w:val="20"/>
        </w:rPr>
        <w:t xml:space="preserve"> </w:t>
      </w:r>
      <w:r w:rsidR="00D4371D" w:rsidRPr="0099089D">
        <w:rPr>
          <w:rFonts w:ascii="Arial" w:hAnsi="Arial" w:cs="Arial"/>
          <w:i/>
          <w:sz w:val="20"/>
          <w:szCs w:val="20"/>
        </w:rPr>
        <w:t>(</w:t>
      </w:r>
      <w:proofErr w:type="spellStart"/>
      <w:r w:rsidR="00D4371D" w:rsidRPr="00D4371D">
        <w:rPr>
          <w:rFonts w:ascii="Arial" w:hAnsi="Arial" w:cs="Arial"/>
          <w:i/>
          <w:iCs/>
          <w:sz w:val="20"/>
          <w:szCs w:val="20"/>
        </w:rPr>
        <w:t>Conselho</w:t>
      </w:r>
      <w:proofErr w:type="spellEnd"/>
      <w:r w:rsidR="00D4371D" w:rsidRPr="00D4371D">
        <w:rPr>
          <w:rFonts w:ascii="Arial" w:hAnsi="Arial" w:cs="Arial"/>
          <w:i/>
          <w:iCs/>
          <w:sz w:val="20"/>
          <w:szCs w:val="20"/>
        </w:rPr>
        <w:t xml:space="preserve"> </w:t>
      </w:r>
      <w:proofErr w:type="spellStart"/>
      <w:r w:rsidR="00D4371D" w:rsidRPr="00D4371D">
        <w:rPr>
          <w:rFonts w:ascii="Arial" w:hAnsi="Arial" w:cs="Arial"/>
          <w:i/>
          <w:iCs/>
          <w:sz w:val="20"/>
          <w:szCs w:val="20"/>
        </w:rPr>
        <w:t>Consultivo</w:t>
      </w:r>
      <w:proofErr w:type="spellEnd"/>
      <w:r w:rsidR="00D4371D" w:rsidRPr="00D4371D">
        <w:rPr>
          <w:rFonts w:ascii="Arial" w:hAnsi="Arial" w:cs="Arial"/>
          <w:i/>
          <w:iCs/>
          <w:sz w:val="20"/>
          <w:szCs w:val="20"/>
        </w:rPr>
        <w:t xml:space="preserve"> do </w:t>
      </w:r>
      <w:proofErr w:type="spellStart"/>
      <w:r w:rsidR="00D4371D" w:rsidRPr="00D4371D">
        <w:rPr>
          <w:rFonts w:ascii="Arial" w:hAnsi="Arial" w:cs="Arial"/>
          <w:i/>
          <w:iCs/>
          <w:sz w:val="20"/>
          <w:szCs w:val="20"/>
        </w:rPr>
        <w:t>Patrim</w:t>
      </w:r>
      <w:r w:rsidR="000B0697">
        <w:rPr>
          <w:rFonts w:ascii="Arial" w:hAnsi="Arial" w:cs="Arial"/>
          <w:i/>
          <w:iCs/>
          <w:sz w:val="20"/>
          <w:szCs w:val="20"/>
        </w:rPr>
        <w:t>ô</w:t>
      </w:r>
      <w:r w:rsidR="00D4371D" w:rsidRPr="00D4371D">
        <w:rPr>
          <w:rFonts w:ascii="Arial" w:hAnsi="Arial" w:cs="Arial"/>
          <w:i/>
          <w:iCs/>
          <w:sz w:val="20"/>
          <w:szCs w:val="20"/>
        </w:rPr>
        <w:t>nio</w:t>
      </w:r>
      <w:proofErr w:type="spellEnd"/>
      <w:r w:rsidR="00D4371D" w:rsidRPr="00D4371D">
        <w:rPr>
          <w:rFonts w:ascii="Arial" w:hAnsi="Arial" w:cs="Arial"/>
          <w:i/>
          <w:iCs/>
          <w:sz w:val="20"/>
          <w:szCs w:val="20"/>
        </w:rPr>
        <w:t xml:space="preserve"> Cultural</w:t>
      </w:r>
      <w:r w:rsidR="00D4371D" w:rsidRPr="008E6BF0">
        <w:rPr>
          <w:rFonts w:ascii="Arial" w:hAnsi="Arial" w:cs="Arial"/>
          <w:sz w:val="20"/>
          <w:szCs w:val="20"/>
        </w:rPr>
        <w:t>)</w:t>
      </w:r>
      <w:r w:rsidRPr="008E6BF0">
        <w:rPr>
          <w:rFonts w:ascii="Arial" w:hAnsi="Arial" w:cs="Arial"/>
          <w:sz w:val="20"/>
          <w:szCs w:val="20"/>
        </w:rPr>
        <w:t xml:space="preserve">, the highest decision-making body concerning requests for national heritage declarations composed of members with expertise in cultural heritage; and the Intangible Heritage Sector Board </w:t>
      </w:r>
      <w:r w:rsidRPr="008E6BF0">
        <w:rPr>
          <w:rFonts w:ascii="Arial" w:hAnsi="Arial" w:cs="Arial"/>
          <w:i/>
          <w:iCs/>
          <w:sz w:val="20"/>
          <w:szCs w:val="20"/>
        </w:rPr>
        <w:t>(</w:t>
      </w:r>
      <w:proofErr w:type="spellStart"/>
      <w:r w:rsidRPr="008E6BF0">
        <w:rPr>
          <w:rFonts w:ascii="Arial" w:hAnsi="Arial" w:cs="Arial"/>
          <w:i/>
          <w:iCs/>
          <w:sz w:val="20"/>
          <w:szCs w:val="20"/>
        </w:rPr>
        <w:t>C</w:t>
      </w:r>
      <w:r w:rsidR="00D4371D">
        <w:rPr>
          <w:rFonts w:ascii="Arial" w:hAnsi="Arial" w:cs="Arial"/>
          <w:i/>
          <w:iCs/>
          <w:sz w:val="20"/>
          <w:szCs w:val="20"/>
        </w:rPr>
        <w:t>â</w:t>
      </w:r>
      <w:r w:rsidRPr="008E6BF0">
        <w:rPr>
          <w:rFonts w:ascii="Arial" w:hAnsi="Arial" w:cs="Arial"/>
          <w:i/>
          <w:iCs/>
          <w:sz w:val="20"/>
          <w:szCs w:val="20"/>
        </w:rPr>
        <w:t>mara</w:t>
      </w:r>
      <w:proofErr w:type="spellEnd"/>
      <w:r w:rsidRPr="008E6BF0">
        <w:rPr>
          <w:rFonts w:ascii="Arial" w:hAnsi="Arial" w:cs="Arial"/>
          <w:i/>
          <w:iCs/>
          <w:sz w:val="20"/>
          <w:szCs w:val="20"/>
        </w:rPr>
        <w:t xml:space="preserve"> </w:t>
      </w:r>
      <w:proofErr w:type="spellStart"/>
      <w:r w:rsidR="00D4371D">
        <w:rPr>
          <w:rFonts w:ascii="Arial" w:hAnsi="Arial" w:cs="Arial"/>
          <w:i/>
          <w:iCs/>
          <w:sz w:val="20"/>
          <w:szCs w:val="20"/>
        </w:rPr>
        <w:t>Setorial</w:t>
      </w:r>
      <w:proofErr w:type="spellEnd"/>
      <w:r w:rsidR="00D4371D" w:rsidRPr="008E6BF0">
        <w:rPr>
          <w:rFonts w:ascii="Arial" w:hAnsi="Arial" w:cs="Arial"/>
          <w:i/>
          <w:iCs/>
          <w:sz w:val="20"/>
          <w:szCs w:val="20"/>
        </w:rPr>
        <w:t xml:space="preserve"> </w:t>
      </w:r>
      <w:r w:rsidRPr="008E6BF0">
        <w:rPr>
          <w:rFonts w:ascii="Arial" w:hAnsi="Arial" w:cs="Arial"/>
          <w:i/>
          <w:iCs/>
          <w:sz w:val="20"/>
          <w:szCs w:val="20"/>
        </w:rPr>
        <w:t xml:space="preserve">do </w:t>
      </w:r>
      <w:proofErr w:type="spellStart"/>
      <w:r w:rsidRPr="0099089D">
        <w:rPr>
          <w:rFonts w:ascii="Arial" w:hAnsi="Arial" w:cs="Arial"/>
          <w:i/>
          <w:sz w:val="20"/>
          <w:szCs w:val="20"/>
        </w:rPr>
        <w:t>Patrim</w:t>
      </w:r>
      <w:r w:rsidR="00D4371D">
        <w:rPr>
          <w:rFonts w:ascii="Arial" w:hAnsi="Arial" w:cs="Arial"/>
          <w:i/>
          <w:sz w:val="20"/>
          <w:szCs w:val="20"/>
        </w:rPr>
        <w:t>ô</w:t>
      </w:r>
      <w:r w:rsidRPr="0099089D">
        <w:rPr>
          <w:rFonts w:ascii="Arial" w:hAnsi="Arial" w:cs="Arial"/>
          <w:i/>
          <w:sz w:val="20"/>
          <w:szCs w:val="20"/>
        </w:rPr>
        <w:t>nio</w:t>
      </w:r>
      <w:proofErr w:type="spellEnd"/>
      <w:r w:rsidRPr="008E6BF0">
        <w:rPr>
          <w:rFonts w:ascii="Arial" w:hAnsi="Arial" w:cs="Arial"/>
          <w:i/>
          <w:iCs/>
          <w:sz w:val="20"/>
          <w:szCs w:val="20"/>
        </w:rPr>
        <w:t xml:space="preserve"> </w:t>
      </w:r>
      <w:proofErr w:type="spellStart"/>
      <w:r w:rsidR="00515850">
        <w:rPr>
          <w:rFonts w:ascii="Arial" w:hAnsi="Arial" w:cs="Arial"/>
          <w:i/>
          <w:iCs/>
          <w:sz w:val="20"/>
          <w:szCs w:val="20"/>
        </w:rPr>
        <w:t>I</w:t>
      </w:r>
      <w:r w:rsidRPr="008E6BF0">
        <w:rPr>
          <w:rFonts w:ascii="Arial" w:hAnsi="Arial" w:cs="Arial"/>
          <w:i/>
          <w:iCs/>
          <w:sz w:val="20"/>
          <w:szCs w:val="20"/>
        </w:rPr>
        <w:t>material</w:t>
      </w:r>
      <w:proofErr w:type="spellEnd"/>
      <w:r w:rsidRPr="008E6BF0">
        <w:rPr>
          <w:rFonts w:ascii="Arial" w:hAnsi="Arial" w:cs="Arial"/>
          <w:sz w:val="20"/>
          <w:szCs w:val="20"/>
        </w:rPr>
        <w:t>), whose functions include evaluatin</w:t>
      </w:r>
      <w:r w:rsidR="00824E1F">
        <w:rPr>
          <w:rFonts w:ascii="Arial" w:hAnsi="Arial" w:cs="Arial"/>
          <w:sz w:val="20"/>
          <w:szCs w:val="20"/>
        </w:rPr>
        <w:t>g</w:t>
      </w:r>
      <w:r w:rsidRPr="008E6BF0">
        <w:rPr>
          <w:rFonts w:ascii="Arial" w:hAnsi="Arial" w:cs="Arial"/>
          <w:sz w:val="20"/>
          <w:szCs w:val="20"/>
        </w:rPr>
        <w:t xml:space="preserve"> declaration requests and advising on other pertinent issues.</w:t>
      </w:r>
    </w:p>
    <w:p w:rsidR="00E8323F" w:rsidRPr="007B417E" w:rsidRDefault="00E8323F" w:rsidP="007B417E">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rPr>
      </w:pPr>
      <w:r w:rsidRPr="007B417E">
        <w:rPr>
          <w:rFonts w:ascii="Arial" w:eastAsia="Times New Roman" w:hAnsi="Arial" w:cs="Arial"/>
          <w:b/>
          <w:bCs/>
          <w:i w:val="0"/>
          <w:iCs w:val="0"/>
          <w:caps/>
          <w:color w:val="auto"/>
          <w:sz w:val="20"/>
          <w:szCs w:val="24"/>
          <w:lang w:val="en-US"/>
        </w:rPr>
        <w:t>Devolution of safeguarding activities</w:t>
      </w:r>
    </w:p>
    <w:p w:rsidR="00E8323F" w:rsidRPr="008E6BF0" w:rsidRDefault="00E8323F" w:rsidP="00362D92">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 xml:space="preserve">As of 2007, through a partnership between PNPI and the </w:t>
      </w:r>
      <w:r w:rsidRPr="008E6BF0">
        <w:rPr>
          <w:rFonts w:ascii="Arial" w:hAnsi="Arial" w:cs="Arial"/>
          <w:i/>
          <w:iCs/>
          <w:sz w:val="20"/>
          <w:szCs w:val="20"/>
        </w:rPr>
        <w:t xml:space="preserve">Cultura Viva </w:t>
      </w:r>
      <w:r w:rsidRPr="008E6BF0">
        <w:rPr>
          <w:rFonts w:ascii="Arial" w:hAnsi="Arial" w:cs="Arial"/>
          <w:sz w:val="20"/>
          <w:szCs w:val="20"/>
        </w:rPr>
        <w:t>(Living</w:t>
      </w:r>
      <w:r w:rsidR="00362D92">
        <w:rPr>
          <w:rFonts w:ascii="Arial" w:hAnsi="Arial" w:cs="Arial"/>
          <w:sz w:val="20"/>
          <w:szCs w:val="20"/>
        </w:rPr>
        <w:t xml:space="preserve"> </w:t>
      </w:r>
      <w:r w:rsidRPr="008E6BF0">
        <w:rPr>
          <w:rFonts w:ascii="Arial" w:hAnsi="Arial" w:cs="Arial"/>
          <w:sz w:val="20"/>
          <w:szCs w:val="20"/>
        </w:rPr>
        <w:t>Culture) programme of the Ministry of Culture, Culture Points for Declared Elements and Reference Centres were established. This resulted in some cultural elements receiving significant resources for undertaking safeguarding plans.</w:t>
      </w:r>
    </w:p>
    <w:p w:rsidR="00E8323F" w:rsidRPr="008E6BF0" w:rsidRDefault="00E8323F" w:rsidP="00362D92">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 xml:space="preserve">The creation of these bodies also helped to consolidate the participatory aspect of safeguarding policies. </w:t>
      </w:r>
      <w:r w:rsidR="00780B40">
        <w:rPr>
          <w:rFonts w:ascii="Arial" w:hAnsi="Arial" w:cs="Arial"/>
          <w:sz w:val="20"/>
          <w:szCs w:val="20"/>
        </w:rPr>
        <w:t>W</w:t>
      </w:r>
      <w:r w:rsidRPr="008E6BF0">
        <w:rPr>
          <w:rFonts w:ascii="Arial" w:hAnsi="Arial" w:cs="Arial"/>
          <w:sz w:val="20"/>
          <w:szCs w:val="20"/>
        </w:rPr>
        <w:t xml:space="preserve">hen bearer groups organized themselves into legally established associations, they were able to manage the public resources assigned to the preservation of their elements. In cases where bearers do not yet enjoy the necessary conditions for or are not interested in establishing representative associations, they </w:t>
      </w:r>
      <w:r w:rsidR="002713D1">
        <w:rPr>
          <w:rFonts w:ascii="Arial" w:hAnsi="Arial" w:cs="Arial"/>
          <w:sz w:val="20"/>
          <w:szCs w:val="20"/>
        </w:rPr>
        <w:t xml:space="preserve">can </w:t>
      </w:r>
      <w:r w:rsidRPr="008E6BF0">
        <w:rPr>
          <w:rFonts w:ascii="Arial" w:hAnsi="Arial" w:cs="Arial"/>
          <w:sz w:val="20"/>
          <w:szCs w:val="20"/>
        </w:rPr>
        <w:t>authorize public or third-sector institutions to manage those resources.</w:t>
      </w:r>
    </w:p>
    <w:p w:rsidR="00E8323F" w:rsidRPr="008E6BF0" w:rsidRDefault="00E8323F" w:rsidP="00DC5C17">
      <w:pPr>
        <w:autoSpaceDE w:val="0"/>
        <w:autoSpaceDN w:val="0"/>
        <w:adjustRightInd w:val="0"/>
        <w:spacing w:after="0" w:line="240" w:lineRule="auto"/>
        <w:jc w:val="both"/>
        <w:rPr>
          <w:rFonts w:ascii="Arial" w:hAnsi="Arial" w:cs="Arial"/>
          <w:sz w:val="20"/>
          <w:szCs w:val="20"/>
        </w:rPr>
      </w:pPr>
      <w:r w:rsidRPr="008E6BF0">
        <w:rPr>
          <w:rFonts w:ascii="Arial" w:hAnsi="Arial" w:cs="Arial"/>
          <w:sz w:val="20"/>
          <w:szCs w:val="20"/>
        </w:rPr>
        <w:t>In 2014, there were 26 Culture Points/Reference Centres operating in Brazil</w:t>
      </w:r>
      <w:r w:rsidR="00DC5C17" w:rsidRPr="008E6BF0">
        <w:rPr>
          <w:rFonts w:ascii="Arial" w:hAnsi="Arial" w:cs="Arial"/>
          <w:sz w:val="20"/>
          <w:szCs w:val="20"/>
        </w:rPr>
        <w:t xml:space="preserve">. </w:t>
      </w:r>
      <w:r w:rsidR="002713D1">
        <w:rPr>
          <w:rFonts w:ascii="Arial" w:hAnsi="Arial" w:cs="Arial"/>
          <w:sz w:val="20"/>
          <w:szCs w:val="20"/>
        </w:rPr>
        <w:t>For example</w:t>
      </w:r>
      <w:r w:rsidR="00DC5C17" w:rsidRPr="008E6BF0">
        <w:rPr>
          <w:rFonts w:ascii="Arial" w:hAnsi="Arial" w:cs="Arial"/>
          <w:sz w:val="20"/>
          <w:szCs w:val="20"/>
        </w:rPr>
        <w:t>:</w:t>
      </w:r>
    </w:p>
    <w:p w:rsidR="00E8323F" w:rsidRPr="00362D92" w:rsidRDefault="00E8323F" w:rsidP="00362D92">
      <w:pPr>
        <w:pStyle w:val="ListParagraph"/>
        <w:numPr>
          <w:ilvl w:val="0"/>
          <w:numId w:val="4"/>
        </w:numPr>
        <w:autoSpaceDE w:val="0"/>
        <w:autoSpaceDN w:val="0"/>
        <w:adjustRightInd w:val="0"/>
        <w:spacing w:after="0" w:line="240" w:lineRule="auto"/>
        <w:jc w:val="both"/>
        <w:rPr>
          <w:rFonts w:ascii="Arial" w:hAnsi="Arial" w:cs="Arial"/>
          <w:sz w:val="20"/>
          <w:szCs w:val="20"/>
        </w:rPr>
      </w:pPr>
      <w:r w:rsidRPr="00362D92">
        <w:rPr>
          <w:rFonts w:ascii="Arial" w:hAnsi="Arial" w:cs="Arial"/>
          <w:i/>
          <w:iCs/>
          <w:sz w:val="20"/>
          <w:szCs w:val="20"/>
        </w:rPr>
        <w:t xml:space="preserve">Casa do Samba </w:t>
      </w:r>
      <w:r w:rsidRPr="00362D92">
        <w:rPr>
          <w:rFonts w:ascii="Arial" w:hAnsi="Arial" w:cs="Arial"/>
          <w:sz w:val="20"/>
          <w:szCs w:val="20"/>
        </w:rPr>
        <w:t>(Samba</w:t>
      </w:r>
      <w:r w:rsidRPr="00362D92">
        <w:rPr>
          <w:rFonts w:ascii="Arial" w:hAnsi="Arial" w:cs="Arial"/>
          <w:i/>
          <w:iCs/>
          <w:sz w:val="20"/>
          <w:szCs w:val="20"/>
        </w:rPr>
        <w:t xml:space="preserve"> </w:t>
      </w:r>
      <w:r w:rsidRPr="00362D92">
        <w:rPr>
          <w:rFonts w:ascii="Arial" w:hAnsi="Arial" w:cs="Arial"/>
          <w:sz w:val="20"/>
          <w:szCs w:val="20"/>
        </w:rPr>
        <w:t xml:space="preserve">House), a Reference Centre of the </w:t>
      </w:r>
      <w:r w:rsidRPr="00362D92">
        <w:rPr>
          <w:rFonts w:ascii="Arial" w:hAnsi="Arial" w:cs="Arial"/>
          <w:i/>
          <w:iCs/>
          <w:sz w:val="20"/>
          <w:szCs w:val="20"/>
        </w:rPr>
        <w:t>Samba</w:t>
      </w:r>
      <w:r w:rsidRPr="00362D92">
        <w:rPr>
          <w:rFonts w:ascii="Arial" w:hAnsi="Arial" w:cs="Arial"/>
          <w:sz w:val="20"/>
          <w:szCs w:val="20"/>
        </w:rPr>
        <w:t xml:space="preserve"> Circle</w:t>
      </w:r>
      <w:r w:rsidRPr="00362D92">
        <w:rPr>
          <w:rFonts w:ascii="Arial" w:hAnsi="Arial" w:cs="Arial"/>
          <w:i/>
          <w:iCs/>
          <w:sz w:val="20"/>
          <w:szCs w:val="20"/>
        </w:rPr>
        <w:t xml:space="preserve">, </w:t>
      </w:r>
      <w:r w:rsidRPr="00362D92">
        <w:rPr>
          <w:rFonts w:ascii="Arial" w:hAnsi="Arial" w:cs="Arial"/>
          <w:sz w:val="20"/>
          <w:szCs w:val="20"/>
        </w:rPr>
        <w:t>which coordinates the operations of another 14 centres in the region.</w:t>
      </w:r>
    </w:p>
    <w:p w:rsidR="00E8323F" w:rsidRPr="00362D92" w:rsidRDefault="00E8323F" w:rsidP="00362D92">
      <w:pPr>
        <w:pStyle w:val="ListParagraph"/>
        <w:numPr>
          <w:ilvl w:val="0"/>
          <w:numId w:val="4"/>
        </w:numPr>
        <w:autoSpaceDE w:val="0"/>
        <w:autoSpaceDN w:val="0"/>
        <w:adjustRightInd w:val="0"/>
        <w:spacing w:after="0" w:line="240" w:lineRule="auto"/>
        <w:jc w:val="both"/>
        <w:rPr>
          <w:rFonts w:ascii="Arial" w:hAnsi="Arial" w:cs="Arial"/>
          <w:i/>
          <w:iCs/>
          <w:sz w:val="20"/>
          <w:szCs w:val="20"/>
        </w:rPr>
      </w:pPr>
      <w:r w:rsidRPr="00362D92">
        <w:rPr>
          <w:rFonts w:ascii="Arial" w:hAnsi="Arial" w:cs="Arial"/>
          <w:i/>
          <w:iCs/>
          <w:sz w:val="20"/>
          <w:szCs w:val="20"/>
        </w:rPr>
        <w:t xml:space="preserve">Reference </w:t>
      </w:r>
      <w:proofErr w:type="spellStart"/>
      <w:r w:rsidRPr="00362D92">
        <w:rPr>
          <w:rFonts w:ascii="Arial" w:hAnsi="Arial" w:cs="Arial"/>
          <w:i/>
          <w:iCs/>
          <w:sz w:val="20"/>
          <w:szCs w:val="20"/>
        </w:rPr>
        <w:t>Center</w:t>
      </w:r>
      <w:proofErr w:type="spellEnd"/>
      <w:r w:rsidRPr="00362D92">
        <w:rPr>
          <w:rFonts w:ascii="Arial" w:hAnsi="Arial" w:cs="Arial"/>
          <w:i/>
          <w:iCs/>
          <w:sz w:val="20"/>
          <w:szCs w:val="20"/>
        </w:rPr>
        <w:t xml:space="preserve"> of the Art and Life of the Indigenous Peoples of </w:t>
      </w:r>
      <w:proofErr w:type="spellStart"/>
      <w:r w:rsidRPr="00362D92">
        <w:rPr>
          <w:rFonts w:ascii="Arial" w:hAnsi="Arial" w:cs="Arial"/>
          <w:i/>
          <w:iCs/>
          <w:sz w:val="20"/>
          <w:szCs w:val="20"/>
        </w:rPr>
        <w:t>Amap</w:t>
      </w:r>
      <w:r w:rsidR="00515850">
        <w:rPr>
          <w:rFonts w:ascii="Arial" w:hAnsi="Arial" w:cs="Arial"/>
          <w:i/>
          <w:iCs/>
          <w:sz w:val="20"/>
          <w:szCs w:val="20"/>
        </w:rPr>
        <w:t>á</w:t>
      </w:r>
      <w:proofErr w:type="spellEnd"/>
      <w:r w:rsidRPr="00362D92">
        <w:rPr>
          <w:rFonts w:ascii="Arial" w:hAnsi="Arial" w:cs="Arial"/>
          <w:i/>
          <w:iCs/>
          <w:sz w:val="20"/>
          <w:szCs w:val="20"/>
        </w:rPr>
        <w:t xml:space="preserve"> and Northern</w:t>
      </w:r>
    </w:p>
    <w:p w:rsidR="00DC5C17" w:rsidRPr="00515850" w:rsidRDefault="00E8323F" w:rsidP="0099089D">
      <w:pPr>
        <w:autoSpaceDE w:val="0"/>
        <w:autoSpaceDN w:val="0"/>
        <w:adjustRightInd w:val="0"/>
        <w:spacing w:after="0" w:line="240" w:lineRule="auto"/>
        <w:ind w:firstLine="720"/>
        <w:jc w:val="both"/>
        <w:rPr>
          <w:rFonts w:ascii="Arial" w:hAnsi="Arial" w:cs="Arial"/>
          <w:sz w:val="20"/>
          <w:szCs w:val="20"/>
        </w:rPr>
      </w:pPr>
      <w:r w:rsidRPr="00515850">
        <w:rPr>
          <w:rFonts w:ascii="Arial" w:hAnsi="Arial" w:cs="Arial"/>
          <w:i/>
          <w:iCs/>
          <w:sz w:val="20"/>
          <w:szCs w:val="20"/>
        </w:rPr>
        <w:t>Par</w:t>
      </w:r>
      <w:r w:rsidR="00515850" w:rsidRPr="00515850">
        <w:rPr>
          <w:rFonts w:ascii="Arial" w:hAnsi="Arial" w:cs="Arial"/>
          <w:i/>
          <w:iCs/>
          <w:sz w:val="20"/>
          <w:szCs w:val="20"/>
        </w:rPr>
        <w:t>á</w:t>
      </w:r>
      <w:r w:rsidRPr="00515850">
        <w:rPr>
          <w:rFonts w:ascii="Arial" w:hAnsi="Arial" w:cs="Arial"/>
          <w:sz w:val="20"/>
          <w:szCs w:val="20"/>
        </w:rPr>
        <w:t xml:space="preserve">, in </w:t>
      </w:r>
      <w:proofErr w:type="spellStart"/>
      <w:r w:rsidRPr="00515850">
        <w:rPr>
          <w:rFonts w:ascii="Arial" w:hAnsi="Arial" w:cs="Arial"/>
          <w:sz w:val="20"/>
          <w:szCs w:val="20"/>
        </w:rPr>
        <w:t>Macap</w:t>
      </w:r>
      <w:r w:rsidR="00515850" w:rsidRPr="00515850">
        <w:rPr>
          <w:rFonts w:ascii="Arial" w:hAnsi="Arial" w:cs="Arial"/>
          <w:sz w:val="20"/>
          <w:szCs w:val="20"/>
        </w:rPr>
        <w:t>á</w:t>
      </w:r>
      <w:proofErr w:type="spellEnd"/>
      <w:r w:rsidRPr="00515850">
        <w:rPr>
          <w:rFonts w:ascii="Arial" w:hAnsi="Arial" w:cs="Arial"/>
          <w:sz w:val="20"/>
          <w:szCs w:val="20"/>
        </w:rPr>
        <w:t xml:space="preserve">, of the </w:t>
      </w:r>
      <w:proofErr w:type="spellStart"/>
      <w:r w:rsidRPr="00515850">
        <w:rPr>
          <w:rFonts w:ascii="Arial" w:hAnsi="Arial" w:cs="Arial"/>
          <w:sz w:val="20"/>
          <w:szCs w:val="20"/>
        </w:rPr>
        <w:t>Wajapi</w:t>
      </w:r>
      <w:proofErr w:type="spellEnd"/>
      <w:r w:rsidRPr="00515850">
        <w:rPr>
          <w:rFonts w:ascii="Arial" w:hAnsi="Arial" w:cs="Arial"/>
          <w:sz w:val="20"/>
          <w:szCs w:val="20"/>
        </w:rPr>
        <w:t xml:space="preserve"> indigenous people</w:t>
      </w:r>
      <w:r w:rsidR="00DC5C17" w:rsidRPr="00515850">
        <w:rPr>
          <w:rFonts w:ascii="Arial" w:hAnsi="Arial" w:cs="Arial"/>
          <w:sz w:val="20"/>
          <w:szCs w:val="20"/>
        </w:rPr>
        <w:t>.</w:t>
      </w:r>
    </w:p>
    <w:p w:rsidR="00E8323F" w:rsidRPr="00362D92" w:rsidRDefault="00DC5C17" w:rsidP="00362D92">
      <w:pPr>
        <w:pStyle w:val="ListParagraph"/>
        <w:numPr>
          <w:ilvl w:val="0"/>
          <w:numId w:val="4"/>
        </w:numPr>
        <w:autoSpaceDE w:val="0"/>
        <w:autoSpaceDN w:val="0"/>
        <w:adjustRightInd w:val="0"/>
        <w:spacing w:after="0" w:line="240" w:lineRule="auto"/>
        <w:jc w:val="both"/>
        <w:rPr>
          <w:rFonts w:ascii="Arial" w:hAnsi="Arial" w:cs="Arial"/>
          <w:sz w:val="20"/>
          <w:szCs w:val="20"/>
        </w:rPr>
      </w:pPr>
      <w:r w:rsidRPr="00362D92">
        <w:rPr>
          <w:rFonts w:ascii="Arial" w:hAnsi="Arial" w:cs="Arial"/>
          <w:sz w:val="20"/>
          <w:szCs w:val="20"/>
        </w:rPr>
        <w:t>T</w:t>
      </w:r>
      <w:r w:rsidR="00E8323F" w:rsidRPr="00362D92">
        <w:rPr>
          <w:rFonts w:ascii="Arial" w:hAnsi="Arial" w:cs="Arial"/>
          <w:sz w:val="20"/>
          <w:szCs w:val="20"/>
        </w:rPr>
        <w:t xml:space="preserve">he </w:t>
      </w:r>
      <w:proofErr w:type="spellStart"/>
      <w:r w:rsidR="00E8323F" w:rsidRPr="00362D92">
        <w:rPr>
          <w:rFonts w:ascii="Arial" w:hAnsi="Arial" w:cs="Arial"/>
          <w:i/>
          <w:iCs/>
          <w:sz w:val="20"/>
          <w:szCs w:val="20"/>
        </w:rPr>
        <w:t>Wajapi</w:t>
      </w:r>
      <w:proofErr w:type="spellEnd"/>
      <w:r w:rsidR="00E8323F" w:rsidRPr="00362D92">
        <w:rPr>
          <w:rFonts w:ascii="Arial" w:hAnsi="Arial" w:cs="Arial"/>
          <w:i/>
          <w:iCs/>
          <w:sz w:val="20"/>
          <w:szCs w:val="20"/>
        </w:rPr>
        <w:t xml:space="preserve"> Training and Documentation </w:t>
      </w:r>
      <w:proofErr w:type="spellStart"/>
      <w:r w:rsidR="00E8323F" w:rsidRPr="00362D92">
        <w:rPr>
          <w:rFonts w:ascii="Arial" w:hAnsi="Arial" w:cs="Arial"/>
          <w:i/>
          <w:iCs/>
          <w:sz w:val="20"/>
          <w:szCs w:val="20"/>
        </w:rPr>
        <w:t>Center</w:t>
      </w:r>
      <w:proofErr w:type="spellEnd"/>
      <w:r w:rsidRPr="00362D92">
        <w:rPr>
          <w:rFonts w:ascii="Arial" w:hAnsi="Arial" w:cs="Arial"/>
          <w:sz w:val="20"/>
          <w:szCs w:val="20"/>
        </w:rPr>
        <w:t xml:space="preserve"> </w:t>
      </w:r>
      <w:r w:rsidR="00E8323F" w:rsidRPr="00362D92">
        <w:rPr>
          <w:rFonts w:ascii="Arial" w:hAnsi="Arial" w:cs="Arial"/>
          <w:sz w:val="20"/>
          <w:szCs w:val="20"/>
        </w:rPr>
        <w:t xml:space="preserve">in </w:t>
      </w:r>
      <w:proofErr w:type="spellStart"/>
      <w:r w:rsidRPr="00362D92">
        <w:rPr>
          <w:rFonts w:ascii="Arial" w:hAnsi="Arial" w:cs="Arial"/>
          <w:sz w:val="20"/>
          <w:szCs w:val="20"/>
        </w:rPr>
        <w:t>Wajapi</w:t>
      </w:r>
      <w:proofErr w:type="spellEnd"/>
      <w:r w:rsidRPr="00362D92">
        <w:rPr>
          <w:rFonts w:ascii="Arial" w:hAnsi="Arial" w:cs="Arial"/>
          <w:sz w:val="20"/>
          <w:szCs w:val="20"/>
        </w:rPr>
        <w:t xml:space="preserve"> indigenous territory.</w:t>
      </w:r>
    </w:p>
    <w:p w:rsidR="00E8323F" w:rsidRPr="00362D92" w:rsidRDefault="00E8323F" w:rsidP="00362D92">
      <w:pPr>
        <w:pStyle w:val="ListParagraph"/>
        <w:numPr>
          <w:ilvl w:val="0"/>
          <w:numId w:val="4"/>
        </w:numPr>
        <w:autoSpaceDE w:val="0"/>
        <w:autoSpaceDN w:val="0"/>
        <w:adjustRightInd w:val="0"/>
        <w:spacing w:after="0" w:line="240" w:lineRule="auto"/>
        <w:jc w:val="both"/>
        <w:rPr>
          <w:rFonts w:ascii="Arial" w:hAnsi="Arial" w:cs="Arial"/>
          <w:sz w:val="20"/>
          <w:szCs w:val="20"/>
        </w:rPr>
      </w:pPr>
      <w:proofErr w:type="spellStart"/>
      <w:r w:rsidRPr="00362D92">
        <w:rPr>
          <w:rFonts w:ascii="Arial" w:hAnsi="Arial" w:cs="Arial"/>
          <w:i/>
          <w:iCs/>
          <w:sz w:val="20"/>
          <w:szCs w:val="20"/>
        </w:rPr>
        <w:t>Baianas</w:t>
      </w:r>
      <w:proofErr w:type="spellEnd"/>
      <w:r w:rsidRPr="00362D92">
        <w:rPr>
          <w:rFonts w:ascii="Arial" w:hAnsi="Arial" w:cs="Arial"/>
          <w:i/>
          <w:iCs/>
          <w:sz w:val="20"/>
          <w:szCs w:val="20"/>
        </w:rPr>
        <w:t xml:space="preserve"> de </w:t>
      </w:r>
      <w:proofErr w:type="spellStart"/>
      <w:r w:rsidRPr="00362D92">
        <w:rPr>
          <w:rFonts w:ascii="Arial" w:hAnsi="Arial" w:cs="Arial"/>
          <w:i/>
          <w:iCs/>
          <w:sz w:val="20"/>
          <w:szCs w:val="20"/>
        </w:rPr>
        <w:t>Acaraje</w:t>
      </w:r>
      <w:proofErr w:type="spellEnd"/>
      <w:r w:rsidRPr="00362D92">
        <w:rPr>
          <w:rFonts w:ascii="Arial" w:hAnsi="Arial" w:cs="Arial"/>
          <w:i/>
          <w:iCs/>
          <w:sz w:val="20"/>
          <w:szCs w:val="20"/>
        </w:rPr>
        <w:t xml:space="preserve"> </w:t>
      </w:r>
      <w:r w:rsidRPr="00362D92">
        <w:rPr>
          <w:rFonts w:ascii="Arial" w:hAnsi="Arial" w:cs="Arial"/>
          <w:sz w:val="20"/>
          <w:szCs w:val="20"/>
        </w:rPr>
        <w:t>Memory Centre</w:t>
      </w:r>
      <w:r w:rsidR="00DC5C17" w:rsidRPr="00362D92">
        <w:rPr>
          <w:rFonts w:ascii="Arial" w:hAnsi="Arial" w:cs="Arial"/>
          <w:sz w:val="20"/>
          <w:szCs w:val="20"/>
        </w:rPr>
        <w:t>.</w:t>
      </w:r>
    </w:p>
    <w:p w:rsidR="00E8323F" w:rsidRPr="00362D92" w:rsidRDefault="00E8323F" w:rsidP="00E8323F">
      <w:pPr>
        <w:pStyle w:val="ListParagraph"/>
        <w:numPr>
          <w:ilvl w:val="0"/>
          <w:numId w:val="4"/>
        </w:numPr>
        <w:autoSpaceDE w:val="0"/>
        <w:autoSpaceDN w:val="0"/>
        <w:adjustRightInd w:val="0"/>
        <w:spacing w:after="0" w:line="240" w:lineRule="auto"/>
        <w:jc w:val="both"/>
        <w:rPr>
          <w:rFonts w:ascii="Arial" w:hAnsi="Arial" w:cs="Arial"/>
          <w:sz w:val="20"/>
          <w:szCs w:val="20"/>
          <w:lang w:val="en-US"/>
        </w:rPr>
      </w:pPr>
      <w:r w:rsidRPr="00362D92">
        <w:rPr>
          <w:rFonts w:ascii="Arial" w:hAnsi="Arial" w:cs="Arial"/>
          <w:i/>
          <w:iCs/>
          <w:sz w:val="20"/>
          <w:szCs w:val="20"/>
          <w:lang w:val="en-US"/>
        </w:rPr>
        <w:t xml:space="preserve">Frevo </w:t>
      </w:r>
      <w:r w:rsidRPr="00362D92">
        <w:rPr>
          <w:rFonts w:ascii="Arial" w:hAnsi="Arial" w:cs="Arial"/>
          <w:sz w:val="20"/>
          <w:szCs w:val="20"/>
          <w:lang w:val="en-US"/>
        </w:rPr>
        <w:t>Dance Culture Point.</w:t>
      </w:r>
    </w:p>
    <w:p w:rsidR="00D4371D" w:rsidRDefault="00D4371D" w:rsidP="00E8323F">
      <w:pPr>
        <w:autoSpaceDE w:val="0"/>
        <w:autoSpaceDN w:val="0"/>
        <w:adjustRightInd w:val="0"/>
        <w:spacing w:after="0" w:line="240" w:lineRule="auto"/>
        <w:jc w:val="both"/>
        <w:rPr>
          <w:rFonts w:ascii="Arial" w:hAnsi="Arial" w:cs="Arial"/>
          <w:sz w:val="20"/>
          <w:szCs w:val="20"/>
        </w:rPr>
      </w:pPr>
    </w:p>
    <w:p w:rsidR="00E8323F" w:rsidRPr="008E6BF0" w:rsidRDefault="00E8323F" w:rsidP="00E8323F">
      <w:pPr>
        <w:autoSpaceDE w:val="0"/>
        <w:autoSpaceDN w:val="0"/>
        <w:adjustRightInd w:val="0"/>
        <w:spacing w:after="0" w:line="240" w:lineRule="auto"/>
        <w:jc w:val="both"/>
        <w:rPr>
          <w:rFonts w:ascii="Arial" w:hAnsi="Arial" w:cs="Arial"/>
          <w:sz w:val="20"/>
          <w:szCs w:val="20"/>
        </w:rPr>
      </w:pPr>
      <w:r w:rsidRPr="008E6BF0">
        <w:rPr>
          <w:rFonts w:ascii="Arial" w:hAnsi="Arial" w:cs="Arial"/>
          <w:sz w:val="20"/>
          <w:szCs w:val="20"/>
        </w:rPr>
        <w:t xml:space="preserve">Most Culture Points of Declared Elements have a physical space for the development of their activities. In some cases, such as the </w:t>
      </w:r>
      <w:proofErr w:type="spellStart"/>
      <w:r w:rsidRPr="008E6BF0">
        <w:rPr>
          <w:rFonts w:ascii="Arial" w:hAnsi="Arial" w:cs="Arial"/>
          <w:i/>
          <w:iCs/>
          <w:sz w:val="20"/>
          <w:szCs w:val="20"/>
        </w:rPr>
        <w:t>Jongo-Caxambu</w:t>
      </w:r>
      <w:proofErr w:type="spellEnd"/>
      <w:r w:rsidRPr="008E6BF0">
        <w:rPr>
          <w:rFonts w:ascii="Arial" w:hAnsi="Arial" w:cs="Arial"/>
          <w:i/>
          <w:iCs/>
          <w:sz w:val="20"/>
          <w:szCs w:val="20"/>
        </w:rPr>
        <w:t xml:space="preserve"> </w:t>
      </w:r>
      <w:r w:rsidRPr="008E6BF0">
        <w:rPr>
          <w:rFonts w:ascii="Arial" w:hAnsi="Arial" w:cs="Arial"/>
          <w:sz w:val="20"/>
          <w:szCs w:val="20"/>
        </w:rPr>
        <w:t xml:space="preserve">Culture Point, the point is itinerant and develops activities in public spaces where there are bearer groups. </w:t>
      </w:r>
    </w:p>
    <w:p w:rsidR="00E8323F" w:rsidRPr="000C3504" w:rsidRDefault="00E8323F" w:rsidP="000C3504">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rPr>
      </w:pPr>
      <w:r w:rsidRPr="000C3504">
        <w:rPr>
          <w:rFonts w:ascii="Arial" w:eastAsia="Times New Roman" w:hAnsi="Arial" w:cs="Arial"/>
          <w:b/>
          <w:bCs/>
          <w:i w:val="0"/>
          <w:iCs w:val="0"/>
          <w:caps/>
          <w:color w:val="auto"/>
          <w:sz w:val="20"/>
          <w:szCs w:val="24"/>
          <w:lang w:val="en-US"/>
        </w:rPr>
        <w:t>Cross-sectoral actions and initiatives</w:t>
      </w:r>
    </w:p>
    <w:p w:rsidR="00E8323F" w:rsidRPr="008E6BF0" w:rsidRDefault="00E8323F" w:rsidP="00E8323F">
      <w:pPr>
        <w:autoSpaceDE w:val="0"/>
        <w:autoSpaceDN w:val="0"/>
        <w:adjustRightInd w:val="0"/>
        <w:spacing w:after="0" w:line="240" w:lineRule="auto"/>
        <w:jc w:val="both"/>
        <w:rPr>
          <w:rFonts w:ascii="Arial" w:hAnsi="Arial" w:cs="Arial"/>
          <w:sz w:val="20"/>
          <w:szCs w:val="20"/>
        </w:rPr>
      </w:pPr>
      <w:r w:rsidRPr="008E6BF0">
        <w:rPr>
          <w:rFonts w:ascii="Arial" w:hAnsi="Arial" w:cs="Arial"/>
          <w:sz w:val="20"/>
          <w:szCs w:val="20"/>
        </w:rPr>
        <w:t xml:space="preserve">In view of the transversal nature of ICH and its place in the daily life of communities, linking different public policies is seen as essential to ensure effective safeguarding actions. Hence, the </w:t>
      </w:r>
      <w:r w:rsidR="006E4DA6" w:rsidRPr="0099089D">
        <w:rPr>
          <w:rFonts w:ascii="Arial" w:hAnsi="Arial" w:cs="Arial"/>
          <w:sz w:val="20"/>
          <w:szCs w:val="20"/>
        </w:rPr>
        <w:t>Department of Intangible Heritage (DPI)</w:t>
      </w:r>
      <w:r w:rsidR="00877323">
        <w:rPr>
          <w:rFonts w:ascii="Arial" w:hAnsi="Arial" w:cs="Arial"/>
          <w:sz w:val="20"/>
          <w:szCs w:val="20"/>
        </w:rPr>
        <w:t xml:space="preserve"> </w:t>
      </w:r>
      <w:r w:rsidRPr="008E6BF0">
        <w:rPr>
          <w:rFonts w:ascii="Arial" w:hAnsi="Arial" w:cs="Arial"/>
          <w:sz w:val="20"/>
          <w:szCs w:val="20"/>
        </w:rPr>
        <w:t>has worked to expand the scope of its actions, including into other areas of the federal government. Examples include:</w:t>
      </w:r>
    </w:p>
    <w:p w:rsidR="00E8323F" w:rsidRPr="008E6BF0" w:rsidRDefault="00E8323F" w:rsidP="00DC5C17">
      <w:pPr>
        <w:pStyle w:val="ListParagraph"/>
        <w:numPr>
          <w:ilvl w:val="0"/>
          <w:numId w:val="1"/>
        </w:numPr>
        <w:autoSpaceDE w:val="0"/>
        <w:autoSpaceDN w:val="0"/>
        <w:adjustRightInd w:val="0"/>
        <w:spacing w:after="0" w:line="240" w:lineRule="auto"/>
        <w:jc w:val="both"/>
        <w:rPr>
          <w:rFonts w:ascii="Arial" w:hAnsi="Arial" w:cs="Arial"/>
          <w:sz w:val="20"/>
          <w:szCs w:val="20"/>
        </w:rPr>
      </w:pPr>
      <w:r w:rsidRPr="008E6BF0">
        <w:rPr>
          <w:rFonts w:ascii="Arial" w:hAnsi="Arial" w:cs="Arial"/>
          <w:sz w:val="20"/>
          <w:szCs w:val="20"/>
        </w:rPr>
        <w:t>Elaboration of a technical cooperation agreement between IPHAN and the National Institute of Industrial Property (INPI) which is responsible for the registration of trademarks and patents in the country, aimed at the development of joint actions to register Geographic Indications for ICH elements.</w:t>
      </w:r>
    </w:p>
    <w:p w:rsidR="00E8323F" w:rsidRPr="008E6BF0" w:rsidRDefault="00E8323F" w:rsidP="00DC5C17">
      <w:pPr>
        <w:pStyle w:val="ListParagraph"/>
        <w:numPr>
          <w:ilvl w:val="0"/>
          <w:numId w:val="1"/>
        </w:numPr>
        <w:autoSpaceDE w:val="0"/>
        <w:autoSpaceDN w:val="0"/>
        <w:adjustRightInd w:val="0"/>
        <w:spacing w:after="0" w:line="240" w:lineRule="auto"/>
        <w:jc w:val="both"/>
        <w:rPr>
          <w:rFonts w:ascii="Arial" w:hAnsi="Arial" w:cs="Arial"/>
          <w:sz w:val="20"/>
          <w:szCs w:val="20"/>
        </w:rPr>
      </w:pPr>
      <w:r w:rsidRPr="008E6BF0">
        <w:rPr>
          <w:rFonts w:ascii="Arial" w:hAnsi="Arial" w:cs="Arial"/>
          <w:sz w:val="20"/>
          <w:szCs w:val="20"/>
        </w:rPr>
        <w:t>Participation of the National Agency for Sanitary Surveillance (ANVISA) in the Working Group for the creation of specific standards for traditional and hand</w:t>
      </w:r>
      <w:r w:rsidR="003729D5">
        <w:rPr>
          <w:rFonts w:ascii="Arial" w:hAnsi="Arial" w:cs="Arial"/>
          <w:sz w:val="20"/>
          <w:szCs w:val="20"/>
        </w:rPr>
        <w:t>i</w:t>
      </w:r>
      <w:r w:rsidRPr="008E6BF0">
        <w:rPr>
          <w:rFonts w:ascii="Arial" w:hAnsi="Arial" w:cs="Arial"/>
          <w:sz w:val="20"/>
          <w:szCs w:val="20"/>
        </w:rPr>
        <w:t>craft productions in the</w:t>
      </w:r>
      <w:r w:rsidR="00DC5C17" w:rsidRPr="008E6BF0">
        <w:rPr>
          <w:rFonts w:ascii="Arial" w:hAnsi="Arial" w:cs="Arial"/>
          <w:sz w:val="20"/>
          <w:szCs w:val="20"/>
        </w:rPr>
        <w:t xml:space="preserve"> </w:t>
      </w:r>
      <w:r w:rsidRPr="008E6BF0">
        <w:rPr>
          <w:rFonts w:ascii="Arial" w:hAnsi="Arial" w:cs="Arial"/>
          <w:sz w:val="20"/>
          <w:szCs w:val="20"/>
        </w:rPr>
        <w:t>country.</w:t>
      </w:r>
    </w:p>
    <w:p w:rsidR="00E8323F" w:rsidRPr="00877323" w:rsidRDefault="00E8323F" w:rsidP="00877323">
      <w:pPr>
        <w:pStyle w:val="ListParagraph"/>
        <w:numPr>
          <w:ilvl w:val="0"/>
          <w:numId w:val="1"/>
        </w:numPr>
        <w:autoSpaceDE w:val="0"/>
        <w:autoSpaceDN w:val="0"/>
        <w:adjustRightInd w:val="0"/>
        <w:spacing w:after="0" w:line="240" w:lineRule="auto"/>
        <w:jc w:val="both"/>
        <w:rPr>
          <w:rFonts w:ascii="Arial" w:hAnsi="Arial" w:cs="Arial"/>
          <w:sz w:val="20"/>
          <w:szCs w:val="20"/>
        </w:rPr>
      </w:pPr>
      <w:r w:rsidRPr="008E6BF0">
        <w:rPr>
          <w:rFonts w:ascii="Arial" w:hAnsi="Arial" w:cs="Arial"/>
          <w:sz w:val="20"/>
          <w:szCs w:val="20"/>
        </w:rPr>
        <w:t>Accreditation of IPHAN to grant access permits to traditional knowledge related to genetic resources for research purposes, through Resolution no. 279/2011 of the Genetic Heritage</w:t>
      </w:r>
      <w:r w:rsidR="00877323">
        <w:rPr>
          <w:rFonts w:ascii="Arial" w:hAnsi="Arial" w:cs="Arial"/>
          <w:sz w:val="20"/>
          <w:szCs w:val="20"/>
        </w:rPr>
        <w:t xml:space="preserve"> </w:t>
      </w:r>
      <w:r w:rsidRPr="00877323">
        <w:rPr>
          <w:rFonts w:ascii="Arial" w:hAnsi="Arial" w:cs="Arial"/>
          <w:sz w:val="20"/>
          <w:szCs w:val="20"/>
        </w:rPr>
        <w:t>Managing Council (CGEN) of the Ministry of the Environment, which is responsible for granting access to Brazilian genetic heritage. This measure is considered a major advancement towards the protection of the rights of traditional knowledge bearers, in view of the historical appropriation and use of such knowledge.</w:t>
      </w:r>
    </w:p>
    <w:p w:rsidR="00E8323F" w:rsidRPr="005360DB" w:rsidRDefault="00E8323F" w:rsidP="005360DB">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rPr>
      </w:pPr>
      <w:r w:rsidRPr="005360DB">
        <w:rPr>
          <w:rFonts w:ascii="Arial" w:eastAsia="Times New Roman" w:hAnsi="Arial" w:cs="Arial"/>
          <w:b/>
          <w:bCs/>
          <w:i w:val="0"/>
          <w:iCs w:val="0"/>
          <w:caps/>
          <w:color w:val="auto"/>
          <w:sz w:val="20"/>
          <w:szCs w:val="24"/>
          <w:lang w:val="en-US"/>
        </w:rPr>
        <w:t>Case</w:t>
      </w:r>
      <w:r w:rsidR="003729D5">
        <w:rPr>
          <w:rFonts w:ascii="Arial" w:eastAsia="Times New Roman" w:hAnsi="Arial" w:cs="Arial"/>
          <w:b/>
          <w:bCs/>
          <w:i w:val="0"/>
          <w:iCs w:val="0"/>
          <w:caps/>
          <w:color w:val="auto"/>
          <w:sz w:val="20"/>
          <w:szCs w:val="24"/>
          <w:lang w:val="en-US"/>
        </w:rPr>
        <w:t xml:space="preserve"> Study</w:t>
      </w:r>
      <w:r w:rsidRPr="005360DB">
        <w:rPr>
          <w:rFonts w:ascii="Arial" w:eastAsia="Times New Roman" w:hAnsi="Arial" w:cs="Arial"/>
          <w:b/>
          <w:bCs/>
          <w:i w:val="0"/>
          <w:iCs w:val="0"/>
          <w:caps/>
          <w:color w:val="auto"/>
          <w:sz w:val="20"/>
          <w:szCs w:val="24"/>
          <w:lang w:val="en-US"/>
        </w:rPr>
        <w:t>: Yaokwa, the Enawene Nawe people's ritual for the maintenance of social and cosmic order (USL, 2011)</w:t>
      </w:r>
    </w:p>
    <w:p w:rsidR="00E8323F" w:rsidRPr="008E6BF0" w:rsidRDefault="00E8323F" w:rsidP="00362D92">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 xml:space="preserve">The </w:t>
      </w:r>
      <w:proofErr w:type="spellStart"/>
      <w:r w:rsidRPr="008E6BF0">
        <w:rPr>
          <w:rFonts w:ascii="Arial" w:hAnsi="Arial" w:cs="Arial"/>
          <w:sz w:val="20"/>
          <w:szCs w:val="20"/>
        </w:rPr>
        <w:t>Yaokwa</w:t>
      </w:r>
      <w:proofErr w:type="spellEnd"/>
      <w:r w:rsidRPr="008E6BF0">
        <w:rPr>
          <w:rFonts w:ascii="Arial" w:hAnsi="Arial" w:cs="Arial"/>
          <w:sz w:val="20"/>
          <w:szCs w:val="20"/>
        </w:rPr>
        <w:t xml:space="preserve"> integrates complex relationships of a symbolic order and links the domains of society, culture and environment of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For seven months</w:t>
      </w:r>
      <w:r w:rsidR="003729D5">
        <w:rPr>
          <w:rFonts w:ascii="Arial" w:hAnsi="Arial" w:cs="Arial"/>
          <w:sz w:val="20"/>
          <w:szCs w:val="20"/>
        </w:rPr>
        <w:t>,</w:t>
      </w:r>
      <w:r w:rsidRPr="008E6BF0">
        <w:rPr>
          <w:rFonts w:ascii="Arial" w:hAnsi="Arial" w:cs="Arial"/>
          <w:sz w:val="20"/>
          <w:szCs w:val="20"/>
        </w:rPr>
        <w:t xml:space="preserve"> this indigenous people commune with the </w:t>
      </w:r>
      <w:proofErr w:type="spellStart"/>
      <w:r w:rsidRPr="008E6BF0">
        <w:rPr>
          <w:rFonts w:ascii="Arial" w:hAnsi="Arial" w:cs="Arial"/>
          <w:sz w:val="20"/>
          <w:szCs w:val="20"/>
        </w:rPr>
        <w:t>Yakairiti</w:t>
      </w:r>
      <w:proofErr w:type="spellEnd"/>
      <w:r w:rsidRPr="008E6BF0">
        <w:rPr>
          <w:rFonts w:ascii="Arial" w:hAnsi="Arial" w:cs="Arial"/>
          <w:sz w:val="20"/>
          <w:szCs w:val="20"/>
        </w:rPr>
        <w:t>, subterranean spirits who possess an</w:t>
      </w:r>
      <w:r w:rsidR="003729D5">
        <w:rPr>
          <w:rFonts w:ascii="Arial" w:hAnsi="Arial" w:cs="Arial"/>
          <w:sz w:val="20"/>
          <w:szCs w:val="20"/>
        </w:rPr>
        <w:t xml:space="preserve"> </w:t>
      </w:r>
      <w:r w:rsidRPr="008E6BF0">
        <w:rPr>
          <w:rFonts w:ascii="Arial" w:hAnsi="Arial" w:cs="Arial"/>
          <w:sz w:val="20"/>
          <w:szCs w:val="20"/>
        </w:rPr>
        <w:t xml:space="preserve">insatiable hunger and must be fed. A constant exchange is established with these spirits to maintain the social and cosmic order of the group. The </w:t>
      </w:r>
      <w:proofErr w:type="spellStart"/>
      <w:r w:rsidRPr="008E6BF0">
        <w:rPr>
          <w:rFonts w:ascii="Arial" w:hAnsi="Arial" w:cs="Arial"/>
          <w:sz w:val="20"/>
          <w:szCs w:val="20"/>
        </w:rPr>
        <w:t>Yaokwa</w:t>
      </w:r>
      <w:proofErr w:type="spellEnd"/>
      <w:r w:rsidRPr="008E6BF0">
        <w:rPr>
          <w:rFonts w:ascii="Arial" w:hAnsi="Arial" w:cs="Arial"/>
          <w:sz w:val="20"/>
          <w:szCs w:val="20"/>
        </w:rPr>
        <w:t xml:space="preserve"> </w:t>
      </w:r>
      <w:r w:rsidR="003729D5">
        <w:rPr>
          <w:rFonts w:ascii="Arial" w:hAnsi="Arial" w:cs="Arial"/>
          <w:sz w:val="20"/>
          <w:szCs w:val="20"/>
        </w:rPr>
        <w:t>r</w:t>
      </w:r>
      <w:r w:rsidR="003729D5" w:rsidRPr="008E6BF0">
        <w:rPr>
          <w:rFonts w:ascii="Arial" w:hAnsi="Arial" w:cs="Arial"/>
          <w:sz w:val="20"/>
          <w:szCs w:val="20"/>
        </w:rPr>
        <w:t xml:space="preserve">itual </w:t>
      </w:r>
      <w:r w:rsidRPr="008E6BF0">
        <w:rPr>
          <w:rFonts w:ascii="Arial" w:hAnsi="Arial" w:cs="Arial"/>
          <w:sz w:val="20"/>
          <w:szCs w:val="20"/>
        </w:rPr>
        <w:t xml:space="preserve">provides the main source of food for both the spirits and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themselves. </w:t>
      </w:r>
    </w:p>
    <w:p w:rsidR="00E8323F" w:rsidRPr="008E6BF0" w:rsidRDefault="00E8323F" w:rsidP="00362D92">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 xml:space="preserve">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territory is increasingly faced with threats of invasion and exposed to the river and land pollution from cattle ranching, mining activities and soya production in bordering areas. One of the greatest threats it faces is the construction of ten small hydroelectric power plants along </w:t>
      </w:r>
      <w:proofErr w:type="gramStart"/>
      <w:r w:rsidRPr="008E6BF0">
        <w:rPr>
          <w:rFonts w:ascii="Arial" w:hAnsi="Arial" w:cs="Arial"/>
          <w:sz w:val="20"/>
          <w:szCs w:val="20"/>
        </w:rPr>
        <w:t xml:space="preserve">a </w:t>
      </w:r>
      <w:r w:rsidR="00807ABC">
        <w:rPr>
          <w:rFonts w:ascii="Arial" w:hAnsi="Arial" w:cs="Arial"/>
          <w:sz w:val="20"/>
          <w:szCs w:val="20"/>
        </w:rPr>
        <w:t> </w:t>
      </w:r>
      <w:r w:rsidR="00807ABC" w:rsidRPr="008E6BF0">
        <w:rPr>
          <w:rFonts w:ascii="Arial" w:hAnsi="Arial" w:cs="Arial"/>
          <w:sz w:val="20"/>
          <w:szCs w:val="20"/>
        </w:rPr>
        <w:t>110</w:t>
      </w:r>
      <w:proofErr w:type="gramEnd"/>
      <w:r w:rsidR="00807ABC">
        <w:rPr>
          <w:rFonts w:ascii="Arial" w:hAnsi="Arial" w:cs="Arial"/>
          <w:sz w:val="20"/>
          <w:szCs w:val="20"/>
        </w:rPr>
        <w:t>-</w:t>
      </w:r>
      <w:r w:rsidRPr="008E6BF0">
        <w:rPr>
          <w:rFonts w:ascii="Arial" w:hAnsi="Arial" w:cs="Arial"/>
          <w:sz w:val="20"/>
          <w:szCs w:val="20"/>
        </w:rPr>
        <w:t xml:space="preserve">km stretch of the </w:t>
      </w:r>
      <w:proofErr w:type="spellStart"/>
      <w:r w:rsidRPr="008E6BF0">
        <w:rPr>
          <w:rFonts w:ascii="Arial" w:hAnsi="Arial" w:cs="Arial"/>
          <w:sz w:val="20"/>
          <w:szCs w:val="20"/>
        </w:rPr>
        <w:t>Juruena</w:t>
      </w:r>
      <w:proofErr w:type="spellEnd"/>
      <w:r w:rsidRPr="008E6BF0">
        <w:rPr>
          <w:rFonts w:ascii="Arial" w:hAnsi="Arial" w:cs="Arial"/>
          <w:sz w:val="20"/>
          <w:szCs w:val="20"/>
        </w:rPr>
        <w:t xml:space="preserve"> River from 2007 to 2009. This has seriously undermined the dam fishing methods of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and the absence of fish in the rivers has compromised the existence of this indigenous population, who organise their social life around the ritual and have traditionally fed themselves from the fish collected from the dam fishing traps. Moreover, these rapid environmental and territorial changes have led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to make mistakes reading and interpreting natural signs, causing them to plant maize too early, to arrive too late at the traditional fishing spots, etc. </w:t>
      </w:r>
    </w:p>
    <w:p w:rsidR="00E8323F" w:rsidRPr="008E6BF0" w:rsidRDefault="00E8323F" w:rsidP="00E8323F">
      <w:pPr>
        <w:autoSpaceDE w:val="0"/>
        <w:autoSpaceDN w:val="0"/>
        <w:adjustRightInd w:val="0"/>
        <w:spacing w:after="0" w:line="240" w:lineRule="auto"/>
        <w:jc w:val="both"/>
        <w:rPr>
          <w:rFonts w:ascii="Arial" w:hAnsi="Arial" w:cs="Arial"/>
          <w:b/>
          <w:bCs/>
          <w:i/>
          <w:iCs/>
          <w:sz w:val="20"/>
          <w:szCs w:val="20"/>
        </w:rPr>
      </w:pPr>
      <w:r w:rsidRPr="008E6BF0">
        <w:rPr>
          <w:rFonts w:ascii="Arial" w:hAnsi="Arial" w:cs="Arial"/>
          <w:b/>
          <w:bCs/>
          <w:i/>
          <w:iCs/>
          <w:sz w:val="20"/>
          <w:szCs w:val="20"/>
        </w:rPr>
        <w:t>Partnerships for safeguarding the element</w:t>
      </w:r>
    </w:p>
    <w:p w:rsidR="00E8323F" w:rsidRPr="008E6BF0" w:rsidRDefault="00E8323F" w:rsidP="00362D92">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Even today</w:t>
      </w:r>
      <w:r w:rsidR="006D64E5">
        <w:rPr>
          <w:rFonts w:ascii="Arial" w:hAnsi="Arial" w:cs="Arial"/>
          <w:sz w:val="20"/>
          <w:szCs w:val="20"/>
        </w:rPr>
        <w:t>,</w:t>
      </w:r>
      <w:r w:rsidRPr="008E6BF0">
        <w:rPr>
          <w:rFonts w:ascii="Arial" w:hAnsi="Arial" w:cs="Arial"/>
          <w:sz w:val="20"/>
          <w:szCs w:val="20"/>
        </w:rPr>
        <w:t xml:space="preserve"> there is almost no contact between this ethnic group and the wider society surrounding their territories, which makes their participation in the planning and implementing of safeguarding actions difficult. However,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leaders have weekly telephone contact with the local office of IPHAN in Mato Grosso and, despite language difficulties, they exchange information over the actions carried out by both parties.</w:t>
      </w:r>
    </w:p>
    <w:p w:rsidR="00E8323F" w:rsidRPr="008E6BF0" w:rsidRDefault="00E8323F" w:rsidP="00362D92">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In 2006</w:t>
      </w:r>
      <w:r w:rsidR="00807ABC">
        <w:rPr>
          <w:rFonts w:ascii="Arial" w:hAnsi="Arial" w:cs="Arial"/>
          <w:sz w:val="20"/>
          <w:szCs w:val="20"/>
        </w:rPr>
        <w:t>,</w:t>
      </w:r>
      <w:r w:rsidRPr="008E6BF0">
        <w:rPr>
          <w:rFonts w:ascii="Arial" w:hAnsi="Arial" w:cs="Arial"/>
          <w:sz w:val="20"/>
          <w:szCs w:val="20"/>
        </w:rPr>
        <w:t xml:space="preserve"> Operation Amazon Native (OPAN), a non-governmental organisation, acting with the consent of three clans of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and aware of the award of licences for hydroelectric wo</w:t>
      </w:r>
      <w:r w:rsidR="00807ABC">
        <w:rPr>
          <w:rFonts w:ascii="Arial" w:hAnsi="Arial" w:cs="Arial"/>
          <w:sz w:val="20"/>
          <w:szCs w:val="20"/>
        </w:rPr>
        <w:t>r</w:t>
      </w:r>
      <w:r w:rsidRPr="008E6BF0">
        <w:rPr>
          <w:rFonts w:ascii="Arial" w:hAnsi="Arial" w:cs="Arial"/>
          <w:sz w:val="20"/>
          <w:szCs w:val="20"/>
        </w:rPr>
        <w:t xml:space="preserve">ks on the </w:t>
      </w:r>
      <w:proofErr w:type="spellStart"/>
      <w:r w:rsidRPr="008E6BF0">
        <w:rPr>
          <w:rFonts w:ascii="Arial" w:hAnsi="Arial" w:cs="Arial"/>
          <w:sz w:val="20"/>
          <w:szCs w:val="20"/>
        </w:rPr>
        <w:t>Juruena</w:t>
      </w:r>
      <w:proofErr w:type="spellEnd"/>
      <w:r w:rsidRPr="008E6BF0">
        <w:rPr>
          <w:rFonts w:ascii="Arial" w:hAnsi="Arial" w:cs="Arial"/>
          <w:sz w:val="20"/>
          <w:szCs w:val="20"/>
        </w:rPr>
        <w:t xml:space="preserve"> River, requested IPHAN to initiate the process for declaring the </w:t>
      </w:r>
      <w:proofErr w:type="spellStart"/>
      <w:r w:rsidRPr="008E6BF0">
        <w:rPr>
          <w:rFonts w:ascii="Arial" w:hAnsi="Arial" w:cs="Arial"/>
          <w:sz w:val="20"/>
          <w:szCs w:val="20"/>
        </w:rPr>
        <w:t>Yaokwa</w:t>
      </w:r>
      <w:proofErr w:type="spellEnd"/>
      <w:r w:rsidRPr="008E6BF0">
        <w:rPr>
          <w:rFonts w:ascii="Arial" w:hAnsi="Arial" w:cs="Arial"/>
          <w:sz w:val="20"/>
          <w:szCs w:val="20"/>
        </w:rPr>
        <w:t xml:space="preserve"> Ritual as a Cultural Heritage of Brazil. Research activities for identifying and registering the </w:t>
      </w:r>
      <w:proofErr w:type="spellStart"/>
      <w:r w:rsidRPr="008E6BF0">
        <w:rPr>
          <w:rFonts w:ascii="Arial" w:hAnsi="Arial" w:cs="Arial"/>
          <w:sz w:val="20"/>
          <w:szCs w:val="20"/>
        </w:rPr>
        <w:t>Yaokwa</w:t>
      </w:r>
      <w:proofErr w:type="spellEnd"/>
      <w:r w:rsidRPr="008E6BF0">
        <w:rPr>
          <w:rFonts w:ascii="Arial" w:hAnsi="Arial" w:cs="Arial"/>
          <w:sz w:val="20"/>
          <w:szCs w:val="20"/>
        </w:rPr>
        <w:t xml:space="preserve"> Ritual were conducted throughout 2008 by a multidisciplinary team of experts from OPAN, with the contribution of indigenous leaders and the supervision of anthropologists from the local IPHAN office. In</w:t>
      </w:r>
      <w:r w:rsidR="007347E0">
        <w:rPr>
          <w:rFonts w:ascii="Arial" w:hAnsi="Arial" w:cs="Arial"/>
          <w:sz w:val="20"/>
          <w:szCs w:val="20"/>
        </w:rPr>
        <w:t xml:space="preserve"> </w:t>
      </w:r>
      <w:r w:rsidRPr="008E6BF0">
        <w:rPr>
          <w:rFonts w:ascii="Arial" w:hAnsi="Arial" w:cs="Arial"/>
          <w:sz w:val="20"/>
          <w:szCs w:val="20"/>
        </w:rPr>
        <w:t>November 2010</w:t>
      </w:r>
      <w:r w:rsidR="00807ABC">
        <w:rPr>
          <w:rFonts w:ascii="Arial" w:hAnsi="Arial" w:cs="Arial"/>
          <w:sz w:val="20"/>
          <w:szCs w:val="20"/>
        </w:rPr>
        <w:t>,</w:t>
      </w:r>
      <w:r w:rsidRPr="008E6BF0">
        <w:rPr>
          <w:rFonts w:ascii="Arial" w:hAnsi="Arial" w:cs="Arial"/>
          <w:sz w:val="20"/>
          <w:szCs w:val="20"/>
        </w:rPr>
        <w:t xml:space="preserve"> the CCCP declared the Ritual of </w:t>
      </w:r>
      <w:proofErr w:type="spellStart"/>
      <w:r w:rsidRPr="008E6BF0">
        <w:rPr>
          <w:rFonts w:ascii="Arial" w:hAnsi="Arial" w:cs="Arial"/>
          <w:sz w:val="20"/>
          <w:szCs w:val="20"/>
        </w:rPr>
        <w:t>Yaokwa</w:t>
      </w:r>
      <w:proofErr w:type="spellEnd"/>
      <w:r w:rsidRPr="008E6BF0">
        <w:rPr>
          <w:rFonts w:ascii="Arial" w:hAnsi="Arial" w:cs="Arial"/>
          <w:sz w:val="20"/>
          <w:szCs w:val="20"/>
        </w:rPr>
        <w:t xml:space="preserve"> of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as a national ICH element.</w:t>
      </w:r>
    </w:p>
    <w:p w:rsidR="00E8323F" w:rsidRPr="008E6BF0" w:rsidRDefault="00E8323F" w:rsidP="007347E0">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lastRenderedPageBreak/>
        <w:t xml:space="preserve">However, following </w:t>
      </w:r>
      <w:r w:rsidR="00807ABC">
        <w:rPr>
          <w:rFonts w:ascii="Arial" w:hAnsi="Arial" w:cs="Arial"/>
          <w:sz w:val="20"/>
          <w:szCs w:val="20"/>
        </w:rPr>
        <w:t>its</w:t>
      </w:r>
      <w:r w:rsidR="00807ABC" w:rsidRPr="008E6BF0">
        <w:rPr>
          <w:rFonts w:ascii="Arial" w:hAnsi="Arial" w:cs="Arial"/>
          <w:sz w:val="20"/>
          <w:szCs w:val="20"/>
        </w:rPr>
        <w:t xml:space="preserve"> </w:t>
      </w:r>
      <w:r w:rsidRPr="008E6BF0">
        <w:rPr>
          <w:rFonts w:ascii="Arial" w:hAnsi="Arial" w:cs="Arial"/>
          <w:sz w:val="20"/>
          <w:szCs w:val="20"/>
        </w:rPr>
        <w:t xml:space="preserve">declaration, OPAN withdrew from the safeguarding and management </w:t>
      </w:r>
      <w:r w:rsidR="00807ABC" w:rsidRPr="008E6BF0">
        <w:rPr>
          <w:rFonts w:ascii="Arial" w:hAnsi="Arial" w:cs="Arial"/>
          <w:sz w:val="20"/>
          <w:szCs w:val="20"/>
        </w:rPr>
        <w:t xml:space="preserve">process </w:t>
      </w:r>
      <w:r w:rsidRPr="008E6BF0">
        <w:rPr>
          <w:rFonts w:ascii="Arial" w:hAnsi="Arial" w:cs="Arial"/>
          <w:sz w:val="20"/>
          <w:szCs w:val="20"/>
        </w:rPr>
        <w:t xml:space="preserve">due to misunderstandings with the indigenous people. IPHAN only returned to the indigenous area at the end of 2012 having made various attempts to maintain the partnership with OPAN in late 2011. Since then, IPHAN sought new partners to work with the </w:t>
      </w:r>
      <w:proofErr w:type="spellStart"/>
      <w:r w:rsidRPr="008E6BF0">
        <w:rPr>
          <w:rFonts w:ascii="Arial" w:hAnsi="Arial" w:cs="Arial"/>
          <w:sz w:val="20"/>
          <w:szCs w:val="20"/>
        </w:rPr>
        <w:t>Enawene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taking into account </w:t>
      </w:r>
      <w:r w:rsidR="00807ABC">
        <w:rPr>
          <w:rFonts w:ascii="Arial" w:hAnsi="Arial" w:cs="Arial"/>
          <w:sz w:val="20"/>
          <w:szCs w:val="20"/>
        </w:rPr>
        <w:t xml:space="preserve">the </w:t>
      </w:r>
      <w:r w:rsidR="00B2416E">
        <w:rPr>
          <w:rFonts w:ascii="Arial" w:hAnsi="Arial" w:cs="Arial"/>
          <w:sz w:val="20"/>
          <w:szCs w:val="20"/>
        </w:rPr>
        <w:t xml:space="preserve">associated </w:t>
      </w:r>
      <w:r w:rsidR="00807ABC">
        <w:rPr>
          <w:rFonts w:ascii="Arial" w:hAnsi="Arial" w:cs="Arial"/>
          <w:sz w:val="20"/>
          <w:szCs w:val="20"/>
        </w:rPr>
        <w:t xml:space="preserve">language </w:t>
      </w:r>
      <w:r w:rsidR="00B2416E">
        <w:rPr>
          <w:rFonts w:ascii="Arial" w:hAnsi="Arial" w:cs="Arial"/>
          <w:sz w:val="20"/>
          <w:szCs w:val="20"/>
        </w:rPr>
        <w:t>and cultural challenges</w:t>
      </w:r>
      <w:r w:rsidRPr="008E6BF0">
        <w:rPr>
          <w:rFonts w:ascii="Arial" w:hAnsi="Arial" w:cs="Arial"/>
          <w:sz w:val="20"/>
          <w:szCs w:val="20"/>
        </w:rPr>
        <w:t xml:space="preserve">. </w:t>
      </w:r>
      <w:r w:rsidR="00B2416E">
        <w:rPr>
          <w:rFonts w:ascii="Arial" w:hAnsi="Arial" w:cs="Arial"/>
          <w:sz w:val="20"/>
          <w:szCs w:val="20"/>
        </w:rPr>
        <w:t>R</w:t>
      </w:r>
      <w:r w:rsidRPr="008E6BF0">
        <w:rPr>
          <w:rFonts w:ascii="Arial" w:hAnsi="Arial" w:cs="Arial"/>
          <w:sz w:val="20"/>
          <w:szCs w:val="20"/>
        </w:rPr>
        <w:t>each</w:t>
      </w:r>
      <w:r w:rsidR="00B2416E">
        <w:rPr>
          <w:rFonts w:ascii="Arial" w:hAnsi="Arial" w:cs="Arial"/>
          <w:sz w:val="20"/>
          <w:szCs w:val="20"/>
        </w:rPr>
        <w:t>ing</w:t>
      </w:r>
      <w:r w:rsidRPr="008E6BF0">
        <w:rPr>
          <w:rFonts w:ascii="Arial" w:hAnsi="Arial" w:cs="Arial"/>
          <w:sz w:val="20"/>
          <w:szCs w:val="20"/>
        </w:rPr>
        <w:t xml:space="preserve"> the </w:t>
      </w:r>
      <w:proofErr w:type="spellStart"/>
      <w:r w:rsidRPr="008E6BF0">
        <w:rPr>
          <w:rFonts w:ascii="Arial" w:hAnsi="Arial" w:cs="Arial"/>
          <w:sz w:val="20"/>
          <w:szCs w:val="20"/>
        </w:rPr>
        <w:t>Enawne</w:t>
      </w:r>
      <w:proofErr w:type="spellEnd"/>
      <w:r w:rsidRPr="008E6BF0">
        <w:rPr>
          <w:rFonts w:ascii="Arial" w:hAnsi="Arial" w:cs="Arial"/>
          <w:sz w:val="20"/>
          <w:szCs w:val="20"/>
        </w:rPr>
        <w:t xml:space="preserve"> </w:t>
      </w:r>
      <w:proofErr w:type="spellStart"/>
      <w:r w:rsidRPr="008E6BF0">
        <w:rPr>
          <w:rFonts w:ascii="Arial" w:hAnsi="Arial" w:cs="Arial"/>
          <w:sz w:val="20"/>
          <w:szCs w:val="20"/>
        </w:rPr>
        <w:t>Nawe</w:t>
      </w:r>
      <w:proofErr w:type="spellEnd"/>
      <w:r w:rsidRPr="008E6BF0">
        <w:rPr>
          <w:rFonts w:ascii="Arial" w:hAnsi="Arial" w:cs="Arial"/>
          <w:sz w:val="20"/>
          <w:szCs w:val="20"/>
        </w:rPr>
        <w:t xml:space="preserve"> village involves a </w:t>
      </w:r>
      <w:r w:rsidR="00E51AEE">
        <w:rPr>
          <w:rFonts w:ascii="Arial" w:hAnsi="Arial" w:cs="Arial"/>
          <w:sz w:val="20"/>
          <w:szCs w:val="20"/>
        </w:rPr>
        <w:t>90-minutes</w:t>
      </w:r>
      <w:r w:rsidRPr="008E6BF0">
        <w:rPr>
          <w:rFonts w:ascii="Arial" w:hAnsi="Arial" w:cs="Arial"/>
          <w:sz w:val="20"/>
          <w:szCs w:val="20"/>
        </w:rPr>
        <w:t xml:space="preserve"> flight from Cuiaba, capital of Mato Grosso, in the interior of the state, a one-hour journey by car to the mooring point on the river, and a further eight hours by boat.</w:t>
      </w:r>
    </w:p>
    <w:p w:rsidR="0030724A" w:rsidRDefault="00C43881" w:rsidP="009D488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To </w:t>
      </w:r>
      <w:r w:rsidR="006F0BB4" w:rsidRPr="008E6BF0">
        <w:rPr>
          <w:rFonts w:ascii="Arial" w:hAnsi="Arial" w:cs="Arial"/>
          <w:sz w:val="20"/>
          <w:szCs w:val="20"/>
        </w:rPr>
        <w:t>address the complexities of safeguarding this element, IPHAN has continued to develop partnerships and integrated actions</w:t>
      </w:r>
      <w:r w:rsidR="006F0BB4" w:rsidRPr="008E6BF0" w:rsidDel="00C4461A">
        <w:rPr>
          <w:rFonts w:ascii="Arial" w:hAnsi="Arial" w:cs="Arial"/>
          <w:sz w:val="20"/>
          <w:szCs w:val="20"/>
        </w:rPr>
        <w:t xml:space="preserve"> </w:t>
      </w:r>
      <w:r w:rsidR="006F0BB4" w:rsidRPr="008E6BF0">
        <w:rPr>
          <w:rFonts w:ascii="Arial" w:hAnsi="Arial" w:cs="Arial"/>
          <w:sz w:val="20"/>
          <w:szCs w:val="20"/>
        </w:rPr>
        <w:t xml:space="preserve">with other governmental institutions responsible for the indigenous peoples and the environment. These are aimed at striking a balance between improving the infrastructure for society while maintaining fundamental aspects of the </w:t>
      </w:r>
      <w:r w:rsidR="006F0BB4">
        <w:rPr>
          <w:rFonts w:ascii="Arial" w:hAnsi="Arial" w:cs="Arial"/>
          <w:sz w:val="20"/>
          <w:szCs w:val="20"/>
        </w:rPr>
        <w:t>indigenous</w:t>
      </w:r>
      <w:r w:rsidR="006F0BB4" w:rsidRPr="008E6BF0">
        <w:rPr>
          <w:rFonts w:ascii="Arial" w:eastAsia="HiddenHorzOCR" w:hAnsi="Arial" w:cs="Arial"/>
          <w:sz w:val="20"/>
          <w:szCs w:val="20"/>
        </w:rPr>
        <w:t xml:space="preserve"> </w:t>
      </w:r>
      <w:r w:rsidR="006F0BB4" w:rsidRPr="008E6BF0">
        <w:rPr>
          <w:rFonts w:ascii="Arial" w:hAnsi="Arial" w:cs="Arial"/>
          <w:sz w:val="20"/>
          <w:szCs w:val="20"/>
        </w:rPr>
        <w:t xml:space="preserve">cultures. </w:t>
      </w:r>
      <w:r w:rsidR="00E8323F" w:rsidRPr="008E6BF0">
        <w:rPr>
          <w:rFonts w:ascii="Arial" w:hAnsi="Arial" w:cs="Arial"/>
          <w:sz w:val="20"/>
          <w:szCs w:val="20"/>
        </w:rPr>
        <w:t>One of the new partners identified was the National Foundation for the Indigenous People (FUNAI), the Brazilian government body linked to the Ministry of Justice</w:t>
      </w:r>
      <w:r w:rsidR="003000FB">
        <w:rPr>
          <w:rFonts w:ascii="Arial" w:hAnsi="Arial" w:cs="Arial"/>
          <w:sz w:val="20"/>
          <w:szCs w:val="20"/>
        </w:rPr>
        <w:t xml:space="preserve">. FUNAI </w:t>
      </w:r>
      <w:r w:rsidR="003000FB" w:rsidRPr="0099089D">
        <w:rPr>
          <w:rFonts w:ascii="Arial" w:hAnsi="Arial" w:cs="Arial"/>
          <w:sz w:val="20"/>
          <w:szCs w:val="20"/>
        </w:rPr>
        <w:t>establishes and executes Brazilian Indigenous Policy, in compliance with the Constitution of 1988. FUNAI is tasked to help ensure respect for indigenous cultural expressions and to protect their social organization, customs, languages, beliefs and traditions</w:t>
      </w:r>
      <w:r w:rsidR="003000FB" w:rsidRPr="003000FB">
        <w:rPr>
          <w:rFonts w:ascii="Arial" w:hAnsi="Arial" w:cs="Arial"/>
          <w:sz w:val="20"/>
          <w:szCs w:val="20"/>
        </w:rPr>
        <w:t>.</w:t>
      </w:r>
      <w:r w:rsidR="003000FB">
        <w:rPr>
          <w:rFonts w:ascii="Arial" w:hAnsi="Arial" w:cs="Arial"/>
          <w:sz w:val="20"/>
          <w:szCs w:val="20"/>
        </w:rPr>
        <w:t xml:space="preserve"> It </w:t>
      </w:r>
      <w:r w:rsidR="00E8323F" w:rsidRPr="008E6BF0">
        <w:rPr>
          <w:rFonts w:ascii="Arial" w:hAnsi="Arial" w:cs="Arial"/>
          <w:sz w:val="20"/>
          <w:szCs w:val="20"/>
        </w:rPr>
        <w:t xml:space="preserve">has the mission </w:t>
      </w:r>
      <w:r w:rsidR="00725DA9">
        <w:rPr>
          <w:rFonts w:ascii="Arial" w:hAnsi="Arial" w:cs="Arial"/>
          <w:sz w:val="20"/>
          <w:szCs w:val="20"/>
        </w:rPr>
        <w:t>to</w:t>
      </w:r>
      <w:r w:rsidR="00725DA9" w:rsidRPr="008E6BF0">
        <w:rPr>
          <w:rFonts w:ascii="Arial" w:hAnsi="Arial" w:cs="Arial"/>
          <w:sz w:val="20"/>
          <w:szCs w:val="20"/>
        </w:rPr>
        <w:t xml:space="preserve"> promot</w:t>
      </w:r>
      <w:r w:rsidR="00725DA9">
        <w:rPr>
          <w:rFonts w:ascii="Arial" w:hAnsi="Arial" w:cs="Arial"/>
          <w:sz w:val="20"/>
          <w:szCs w:val="20"/>
        </w:rPr>
        <w:t>e</w:t>
      </w:r>
      <w:r w:rsidR="00725DA9" w:rsidRPr="008E6BF0">
        <w:rPr>
          <w:rFonts w:ascii="Arial" w:hAnsi="Arial" w:cs="Arial"/>
          <w:sz w:val="20"/>
          <w:szCs w:val="20"/>
        </w:rPr>
        <w:t xml:space="preserve"> </w:t>
      </w:r>
      <w:r w:rsidR="00E8323F" w:rsidRPr="008E6BF0">
        <w:rPr>
          <w:rFonts w:ascii="Arial" w:hAnsi="Arial" w:cs="Arial"/>
          <w:sz w:val="20"/>
          <w:szCs w:val="20"/>
        </w:rPr>
        <w:t>and protect the rights of indigenous peoples, monitor their lands, and prevent practices that either encroach upon resources of indigenous heritage or place the preservation of these communities at risk.</w:t>
      </w:r>
      <w:r w:rsidR="003000FB">
        <w:rPr>
          <w:rStyle w:val="FootnoteReference"/>
          <w:rFonts w:ascii="Arial" w:hAnsi="Arial" w:cs="Arial"/>
          <w:sz w:val="20"/>
          <w:szCs w:val="20"/>
        </w:rPr>
        <w:footnoteReference w:id="3"/>
      </w:r>
      <w:r w:rsidR="00E8323F" w:rsidRPr="008E6BF0">
        <w:rPr>
          <w:rFonts w:ascii="Arial" w:hAnsi="Arial" w:cs="Arial"/>
          <w:sz w:val="20"/>
          <w:szCs w:val="20"/>
        </w:rPr>
        <w:t xml:space="preserve"> IPHAN strengthened its links with FUNAI at the beginning of 2012 with the objective of signing a partnership for developing joint actions for the safeguarding of the nationally declared ICH elements of indigenous ethnic groups.</w:t>
      </w:r>
    </w:p>
    <w:p w:rsidR="00DB602E" w:rsidRPr="008E6BF0" w:rsidRDefault="0030724A" w:rsidP="007347E0">
      <w:pPr>
        <w:autoSpaceDE w:val="0"/>
        <w:autoSpaceDN w:val="0"/>
        <w:adjustRightInd w:val="0"/>
        <w:spacing w:line="240" w:lineRule="auto"/>
        <w:jc w:val="both"/>
        <w:rPr>
          <w:rFonts w:ascii="Arial" w:hAnsi="Arial" w:cs="Arial"/>
          <w:sz w:val="20"/>
          <w:szCs w:val="20"/>
        </w:rPr>
      </w:pPr>
      <w:r w:rsidRPr="008E6BF0">
        <w:rPr>
          <w:rFonts w:ascii="Arial" w:hAnsi="Arial" w:cs="Arial"/>
          <w:sz w:val="20"/>
          <w:szCs w:val="20"/>
        </w:rPr>
        <w:t xml:space="preserve">In relation to the </w:t>
      </w:r>
      <w:proofErr w:type="spellStart"/>
      <w:r w:rsidRPr="008E6BF0">
        <w:rPr>
          <w:rFonts w:ascii="Arial" w:hAnsi="Arial" w:cs="Arial"/>
          <w:sz w:val="20"/>
          <w:szCs w:val="20"/>
        </w:rPr>
        <w:t>Yaokwa</w:t>
      </w:r>
      <w:proofErr w:type="spellEnd"/>
      <w:r>
        <w:rPr>
          <w:rFonts w:ascii="Arial" w:hAnsi="Arial" w:cs="Arial"/>
          <w:sz w:val="20"/>
          <w:szCs w:val="20"/>
        </w:rPr>
        <w:t>, the r</w:t>
      </w:r>
      <w:r w:rsidR="009D4881" w:rsidRPr="008E6BF0">
        <w:rPr>
          <w:rFonts w:ascii="Arial" w:hAnsi="Arial" w:cs="Arial"/>
          <w:sz w:val="20"/>
          <w:szCs w:val="20"/>
        </w:rPr>
        <w:t>itual</w:t>
      </w:r>
      <w:r w:rsidR="009D4881" w:rsidRPr="008E6BF0" w:rsidDel="009D4881">
        <w:rPr>
          <w:rFonts w:ascii="Arial" w:hAnsi="Arial" w:cs="Arial"/>
          <w:sz w:val="20"/>
          <w:szCs w:val="20"/>
        </w:rPr>
        <w:t xml:space="preserve"> </w:t>
      </w:r>
      <w:r w:rsidR="009D4881" w:rsidRPr="008E6BF0">
        <w:rPr>
          <w:rFonts w:ascii="Arial" w:hAnsi="Arial" w:cs="Arial"/>
          <w:sz w:val="20"/>
          <w:szCs w:val="20"/>
        </w:rPr>
        <w:t xml:space="preserve">now takes place using frozen fish purchased by FUNAI and, in 2012, 70 tonnes of fish were required to supply the </w:t>
      </w:r>
      <w:proofErr w:type="spellStart"/>
      <w:r w:rsidR="009D4881" w:rsidRPr="008E6BF0">
        <w:rPr>
          <w:rFonts w:ascii="Arial" w:hAnsi="Arial" w:cs="Arial"/>
          <w:sz w:val="20"/>
          <w:szCs w:val="20"/>
        </w:rPr>
        <w:t>Yaokwa</w:t>
      </w:r>
      <w:proofErr w:type="spellEnd"/>
      <w:r w:rsidR="009D4881" w:rsidRPr="008E6BF0">
        <w:rPr>
          <w:rFonts w:ascii="Arial" w:hAnsi="Arial" w:cs="Arial"/>
          <w:sz w:val="20"/>
          <w:szCs w:val="20"/>
        </w:rPr>
        <w:t xml:space="preserve"> Ritual. Ten of the 70 tonnes were purchased using IPHAN resources that were passed onto FUNAI through a Technical Cooperation Agreement</w:t>
      </w:r>
      <w:r>
        <w:rPr>
          <w:rFonts w:ascii="Arial" w:hAnsi="Arial" w:cs="Arial"/>
          <w:sz w:val="20"/>
          <w:szCs w:val="20"/>
        </w:rPr>
        <w:t xml:space="preserve">. </w:t>
      </w:r>
      <w:r w:rsidR="00E8323F" w:rsidRPr="008E6BF0">
        <w:rPr>
          <w:rFonts w:ascii="Arial" w:hAnsi="Arial" w:cs="Arial"/>
          <w:sz w:val="20"/>
          <w:szCs w:val="20"/>
        </w:rPr>
        <w:t xml:space="preserve">IPHAN </w:t>
      </w:r>
      <w:r w:rsidR="00E11BD0">
        <w:rPr>
          <w:rFonts w:ascii="Arial" w:hAnsi="Arial" w:cs="Arial"/>
          <w:sz w:val="20"/>
          <w:szCs w:val="20"/>
        </w:rPr>
        <w:t xml:space="preserve">furthermore </w:t>
      </w:r>
      <w:r w:rsidR="00E8323F" w:rsidRPr="008E6BF0">
        <w:rPr>
          <w:rFonts w:ascii="Arial" w:hAnsi="Arial" w:cs="Arial"/>
          <w:sz w:val="20"/>
          <w:szCs w:val="20"/>
        </w:rPr>
        <w:t xml:space="preserve">requested permission from FUNAI to have a permanent presence of technical consultants from the local office of IPHAN in Mato Grosso during the construction of the fishing dam, and for FUNAI to provide water transport and language interpreters. FUNAI also invited IPHAN to participate in meetings with the companies responsible for the construction of the hydroelectric plants on the </w:t>
      </w:r>
      <w:proofErr w:type="spellStart"/>
      <w:r w:rsidR="00E8323F" w:rsidRPr="008E6BF0">
        <w:rPr>
          <w:rFonts w:ascii="Arial" w:hAnsi="Arial" w:cs="Arial"/>
          <w:sz w:val="20"/>
          <w:szCs w:val="20"/>
        </w:rPr>
        <w:t>Juruena</w:t>
      </w:r>
      <w:proofErr w:type="spellEnd"/>
      <w:r w:rsidR="00E8323F" w:rsidRPr="008E6BF0">
        <w:rPr>
          <w:rFonts w:ascii="Arial" w:hAnsi="Arial" w:cs="Arial"/>
          <w:sz w:val="20"/>
          <w:szCs w:val="20"/>
        </w:rPr>
        <w:t xml:space="preserve"> River and the Federal Prosecutor’s Office of Mato Grosso</w:t>
      </w:r>
      <w:r w:rsidR="000A64F3">
        <w:rPr>
          <w:rFonts w:ascii="Arial" w:hAnsi="Arial" w:cs="Arial"/>
          <w:sz w:val="20"/>
          <w:szCs w:val="20"/>
        </w:rPr>
        <w:t>. This</w:t>
      </w:r>
      <w:r w:rsidR="00A87AB7">
        <w:rPr>
          <w:rFonts w:ascii="Arial" w:hAnsi="Arial" w:cs="Arial"/>
          <w:sz w:val="20"/>
          <w:szCs w:val="20"/>
        </w:rPr>
        <w:t xml:space="preserve"> </w:t>
      </w:r>
      <w:r w:rsidR="00E8323F" w:rsidRPr="008E6BF0">
        <w:rPr>
          <w:rFonts w:ascii="Arial" w:hAnsi="Arial" w:cs="Arial"/>
          <w:sz w:val="20"/>
          <w:szCs w:val="20"/>
        </w:rPr>
        <w:t xml:space="preserve">resulted in the suspension of operating licences for the construction of the hydroelectric plants until a Territorial Management Plan was conducted for this region. IPHAN was also invited by the Federal Prosecutor’s Office to participate in conciliatory meetings between the </w:t>
      </w:r>
      <w:proofErr w:type="spellStart"/>
      <w:r w:rsidR="00E8323F" w:rsidRPr="008E6BF0">
        <w:rPr>
          <w:rFonts w:ascii="Arial" w:hAnsi="Arial" w:cs="Arial"/>
          <w:sz w:val="20"/>
          <w:szCs w:val="20"/>
        </w:rPr>
        <w:t>Enawene</w:t>
      </w:r>
      <w:proofErr w:type="spellEnd"/>
      <w:r w:rsidR="00E8323F" w:rsidRPr="008E6BF0">
        <w:rPr>
          <w:rFonts w:ascii="Arial" w:hAnsi="Arial" w:cs="Arial"/>
          <w:sz w:val="20"/>
          <w:szCs w:val="20"/>
        </w:rPr>
        <w:t xml:space="preserve"> </w:t>
      </w:r>
      <w:proofErr w:type="spellStart"/>
      <w:r w:rsidR="00E8323F" w:rsidRPr="008E6BF0">
        <w:rPr>
          <w:rFonts w:ascii="Arial" w:hAnsi="Arial" w:cs="Arial"/>
          <w:sz w:val="20"/>
          <w:szCs w:val="20"/>
        </w:rPr>
        <w:t>Nawe</w:t>
      </w:r>
      <w:proofErr w:type="spellEnd"/>
      <w:r w:rsidR="00E8323F" w:rsidRPr="008E6BF0">
        <w:rPr>
          <w:rFonts w:ascii="Arial" w:hAnsi="Arial" w:cs="Arial"/>
          <w:sz w:val="20"/>
          <w:szCs w:val="20"/>
        </w:rPr>
        <w:t xml:space="preserve"> community and the construction companies</w:t>
      </w:r>
      <w:r w:rsidR="009D4881">
        <w:rPr>
          <w:rFonts w:ascii="Arial" w:hAnsi="Arial" w:cs="Arial"/>
          <w:sz w:val="20"/>
          <w:szCs w:val="20"/>
        </w:rPr>
        <w:t>.</w:t>
      </w:r>
      <w:r w:rsidR="00E8323F" w:rsidRPr="008E6BF0">
        <w:rPr>
          <w:rFonts w:ascii="Arial" w:hAnsi="Arial" w:cs="Arial"/>
          <w:sz w:val="20"/>
          <w:szCs w:val="20"/>
        </w:rPr>
        <w:t xml:space="preserve"> </w:t>
      </w:r>
      <w:r w:rsidR="009D4881">
        <w:rPr>
          <w:rFonts w:ascii="Arial" w:hAnsi="Arial" w:cs="Arial"/>
          <w:sz w:val="20"/>
          <w:szCs w:val="20"/>
        </w:rPr>
        <w:t>T</w:t>
      </w:r>
      <w:r w:rsidR="00E8323F" w:rsidRPr="008E6BF0">
        <w:rPr>
          <w:rFonts w:ascii="Arial" w:hAnsi="Arial" w:cs="Arial"/>
          <w:sz w:val="20"/>
          <w:szCs w:val="20"/>
        </w:rPr>
        <w:t xml:space="preserve">he </w:t>
      </w:r>
      <w:proofErr w:type="spellStart"/>
      <w:r w:rsidR="00E8323F" w:rsidRPr="008E6BF0">
        <w:rPr>
          <w:rFonts w:ascii="Arial" w:hAnsi="Arial" w:cs="Arial"/>
          <w:sz w:val="20"/>
          <w:szCs w:val="20"/>
        </w:rPr>
        <w:t>Enawene</w:t>
      </w:r>
      <w:proofErr w:type="spellEnd"/>
      <w:r w:rsidR="00E8323F" w:rsidRPr="008E6BF0">
        <w:rPr>
          <w:rFonts w:ascii="Arial" w:hAnsi="Arial" w:cs="Arial"/>
          <w:sz w:val="20"/>
          <w:szCs w:val="20"/>
        </w:rPr>
        <w:t xml:space="preserve"> </w:t>
      </w:r>
      <w:proofErr w:type="spellStart"/>
      <w:r w:rsidR="00E8323F" w:rsidRPr="008E6BF0">
        <w:rPr>
          <w:rFonts w:ascii="Arial" w:hAnsi="Arial" w:cs="Arial"/>
          <w:sz w:val="20"/>
          <w:szCs w:val="20"/>
        </w:rPr>
        <w:t>Nawe</w:t>
      </w:r>
      <w:proofErr w:type="spellEnd"/>
      <w:r w:rsidR="00E8323F" w:rsidRPr="008E6BF0">
        <w:rPr>
          <w:rFonts w:ascii="Arial" w:hAnsi="Arial" w:cs="Arial"/>
          <w:sz w:val="20"/>
          <w:szCs w:val="20"/>
        </w:rPr>
        <w:t xml:space="preserve"> people </w:t>
      </w:r>
      <w:r w:rsidR="009D4881">
        <w:rPr>
          <w:rFonts w:ascii="Arial" w:hAnsi="Arial" w:cs="Arial"/>
          <w:sz w:val="20"/>
          <w:szCs w:val="20"/>
        </w:rPr>
        <w:t>were able to</w:t>
      </w:r>
      <w:r w:rsidR="009D4881" w:rsidRPr="008E6BF0">
        <w:rPr>
          <w:rFonts w:ascii="Arial" w:hAnsi="Arial" w:cs="Arial"/>
          <w:sz w:val="20"/>
          <w:szCs w:val="20"/>
        </w:rPr>
        <w:t xml:space="preserve"> </w:t>
      </w:r>
      <w:r w:rsidR="00E8323F" w:rsidRPr="008E6BF0">
        <w:rPr>
          <w:rFonts w:ascii="Arial" w:hAnsi="Arial" w:cs="Arial"/>
          <w:sz w:val="20"/>
          <w:szCs w:val="20"/>
        </w:rPr>
        <w:t>negotiate compensation of US$10</w:t>
      </w:r>
      <w:r w:rsidR="00F41ACB">
        <w:rPr>
          <w:rFonts w:ascii="Arial" w:hAnsi="Arial" w:cs="Arial"/>
          <w:sz w:val="20"/>
          <w:szCs w:val="20"/>
        </w:rPr>
        <w:t xml:space="preserve"> </w:t>
      </w:r>
      <w:r w:rsidR="00252F45">
        <w:rPr>
          <w:rFonts w:ascii="Arial" w:hAnsi="Arial" w:cs="Arial"/>
          <w:sz w:val="20"/>
          <w:szCs w:val="20"/>
        </w:rPr>
        <w:t> </w:t>
      </w:r>
      <w:r w:rsidR="00E8323F" w:rsidRPr="008E6BF0">
        <w:rPr>
          <w:rFonts w:ascii="Arial" w:hAnsi="Arial" w:cs="Arial"/>
          <w:sz w:val="20"/>
          <w:szCs w:val="20"/>
        </w:rPr>
        <w:t xml:space="preserve">000 per month for 20 years for purchasing fish and the maintenance of boats and other essential items, thus </w:t>
      </w:r>
      <w:r w:rsidR="002100A3">
        <w:rPr>
          <w:rFonts w:ascii="Arial" w:hAnsi="Arial" w:cs="Arial"/>
          <w:sz w:val="20"/>
          <w:szCs w:val="20"/>
        </w:rPr>
        <w:t>supporting</w:t>
      </w:r>
      <w:r w:rsidR="002100A3" w:rsidRPr="008E6BF0">
        <w:rPr>
          <w:rFonts w:ascii="Arial" w:hAnsi="Arial" w:cs="Arial"/>
          <w:sz w:val="20"/>
          <w:szCs w:val="20"/>
        </w:rPr>
        <w:t xml:space="preserve"> </w:t>
      </w:r>
      <w:r w:rsidR="00E8323F" w:rsidRPr="008E6BF0">
        <w:rPr>
          <w:rFonts w:ascii="Arial" w:hAnsi="Arial" w:cs="Arial"/>
          <w:sz w:val="20"/>
          <w:szCs w:val="20"/>
        </w:rPr>
        <w:t xml:space="preserve">the continuity of the </w:t>
      </w:r>
      <w:proofErr w:type="spellStart"/>
      <w:r w:rsidR="00E8323F" w:rsidRPr="008E6BF0">
        <w:rPr>
          <w:rFonts w:ascii="Arial" w:hAnsi="Arial" w:cs="Arial"/>
          <w:sz w:val="20"/>
          <w:szCs w:val="20"/>
        </w:rPr>
        <w:t>Yaokwa</w:t>
      </w:r>
      <w:proofErr w:type="spellEnd"/>
      <w:r w:rsidR="00E8323F" w:rsidRPr="008E6BF0">
        <w:rPr>
          <w:rFonts w:ascii="Arial" w:hAnsi="Arial" w:cs="Arial"/>
          <w:sz w:val="20"/>
          <w:szCs w:val="20"/>
        </w:rPr>
        <w:t xml:space="preserve"> Ritual. Meetings with the Ministry of Fisheries have also been held to seek solutions such as the construction of fish farms and the appropriate training for the indigenous people to maintain them. These would then restock the river network of the </w:t>
      </w:r>
      <w:proofErr w:type="spellStart"/>
      <w:r w:rsidR="00E8323F" w:rsidRPr="008E6BF0">
        <w:rPr>
          <w:rFonts w:ascii="Arial" w:hAnsi="Arial" w:cs="Arial"/>
          <w:sz w:val="20"/>
          <w:szCs w:val="20"/>
        </w:rPr>
        <w:t>Enawene</w:t>
      </w:r>
      <w:proofErr w:type="spellEnd"/>
      <w:r w:rsidR="00E8323F" w:rsidRPr="008E6BF0">
        <w:rPr>
          <w:rFonts w:ascii="Arial" w:hAnsi="Arial" w:cs="Arial"/>
          <w:sz w:val="20"/>
          <w:szCs w:val="20"/>
        </w:rPr>
        <w:t xml:space="preserve"> </w:t>
      </w:r>
      <w:proofErr w:type="spellStart"/>
      <w:r w:rsidR="00E8323F" w:rsidRPr="008E6BF0">
        <w:rPr>
          <w:rFonts w:ascii="Arial" w:hAnsi="Arial" w:cs="Arial"/>
          <w:sz w:val="20"/>
          <w:szCs w:val="20"/>
        </w:rPr>
        <w:t>Nawe</w:t>
      </w:r>
      <w:proofErr w:type="spellEnd"/>
      <w:r w:rsidR="00E8323F" w:rsidRPr="008E6BF0">
        <w:rPr>
          <w:rFonts w:ascii="Arial" w:hAnsi="Arial" w:cs="Arial"/>
          <w:sz w:val="20"/>
          <w:szCs w:val="20"/>
        </w:rPr>
        <w:t xml:space="preserve"> indigenous lands.</w:t>
      </w:r>
    </w:p>
    <w:p w:rsidR="00DC5C17" w:rsidRPr="00DE092A" w:rsidRDefault="00DC5C17" w:rsidP="00DE092A">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rPr>
      </w:pPr>
      <w:r w:rsidRPr="00DE092A">
        <w:rPr>
          <w:rFonts w:ascii="Arial" w:eastAsia="Times New Roman" w:hAnsi="Arial" w:cs="Arial"/>
          <w:b/>
          <w:bCs/>
          <w:i w:val="0"/>
          <w:iCs w:val="0"/>
          <w:caps/>
          <w:color w:val="auto"/>
          <w:sz w:val="20"/>
          <w:szCs w:val="24"/>
          <w:lang w:val="en-US"/>
        </w:rPr>
        <w:t>Guiding questions:</w:t>
      </w:r>
    </w:p>
    <w:p w:rsidR="00DC5C17" w:rsidRPr="008E6BF0" w:rsidRDefault="00DC5C17">
      <w:pPr>
        <w:rPr>
          <w:rFonts w:ascii="Arial" w:hAnsi="Arial" w:cs="Arial"/>
          <w:sz w:val="20"/>
          <w:szCs w:val="20"/>
        </w:rPr>
      </w:pPr>
      <w:r w:rsidRPr="008E6BF0">
        <w:rPr>
          <w:rFonts w:ascii="Arial" w:hAnsi="Arial" w:cs="Arial"/>
          <w:sz w:val="20"/>
          <w:szCs w:val="20"/>
        </w:rPr>
        <w:t xml:space="preserve">The following are some questions </w:t>
      </w:r>
      <w:r w:rsidR="00E11BD0">
        <w:rPr>
          <w:rFonts w:ascii="Arial" w:hAnsi="Arial" w:cs="Arial"/>
          <w:sz w:val="20"/>
          <w:szCs w:val="20"/>
        </w:rPr>
        <w:t>to consider</w:t>
      </w:r>
      <w:r w:rsidRPr="008E6BF0">
        <w:rPr>
          <w:rFonts w:ascii="Arial" w:hAnsi="Arial" w:cs="Arial"/>
          <w:sz w:val="20"/>
          <w:szCs w:val="20"/>
        </w:rPr>
        <w:t xml:space="preserve"> when reading this case study.</w:t>
      </w:r>
    </w:p>
    <w:p w:rsidR="00DC5C17" w:rsidRPr="008E6BF0" w:rsidRDefault="00DC5C17" w:rsidP="00641AE9">
      <w:pPr>
        <w:pStyle w:val="ListParagraph"/>
        <w:numPr>
          <w:ilvl w:val="0"/>
          <w:numId w:val="2"/>
        </w:numPr>
        <w:rPr>
          <w:rFonts w:ascii="Arial" w:hAnsi="Arial" w:cs="Arial"/>
          <w:sz w:val="20"/>
          <w:szCs w:val="20"/>
        </w:rPr>
      </w:pPr>
      <w:r w:rsidRPr="008E6BF0">
        <w:rPr>
          <w:rFonts w:ascii="Arial" w:hAnsi="Arial" w:cs="Arial"/>
          <w:sz w:val="20"/>
          <w:szCs w:val="20"/>
        </w:rPr>
        <w:t xml:space="preserve">What characteristics of the Brazilian institutional framework are of interest in the context of this workshop? </w:t>
      </w:r>
    </w:p>
    <w:p w:rsidR="00DC5C17" w:rsidRPr="008E6BF0" w:rsidRDefault="00DC5C17" w:rsidP="00641AE9">
      <w:pPr>
        <w:pStyle w:val="ListParagraph"/>
        <w:numPr>
          <w:ilvl w:val="0"/>
          <w:numId w:val="2"/>
        </w:numPr>
        <w:rPr>
          <w:rFonts w:ascii="Arial" w:hAnsi="Arial" w:cs="Arial"/>
          <w:sz w:val="20"/>
          <w:szCs w:val="20"/>
        </w:rPr>
      </w:pPr>
      <w:r w:rsidRPr="008E6BF0">
        <w:rPr>
          <w:rFonts w:ascii="Arial" w:hAnsi="Arial" w:cs="Arial"/>
          <w:sz w:val="20"/>
          <w:szCs w:val="20"/>
        </w:rPr>
        <w:t>Are they typical of the experience of your country or not (for non-Brazilian participants)?</w:t>
      </w:r>
    </w:p>
    <w:p w:rsidR="00DC5C17" w:rsidRPr="008E6BF0" w:rsidRDefault="00DC5C17" w:rsidP="00641AE9">
      <w:pPr>
        <w:pStyle w:val="ListParagraph"/>
        <w:numPr>
          <w:ilvl w:val="0"/>
          <w:numId w:val="2"/>
        </w:numPr>
        <w:rPr>
          <w:rFonts w:ascii="Arial" w:hAnsi="Arial" w:cs="Arial"/>
          <w:sz w:val="20"/>
          <w:szCs w:val="20"/>
        </w:rPr>
      </w:pPr>
      <w:r w:rsidRPr="008E6BF0">
        <w:rPr>
          <w:rFonts w:ascii="Arial" w:hAnsi="Arial" w:cs="Arial"/>
          <w:sz w:val="20"/>
          <w:szCs w:val="20"/>
        </w:rPr>
        <w:t>What are the local specificities of Brazil and its ICH that are reflected in the institutional arrangements for its safeguarding?</w:t>
      </w:r>
    </w:p>
    <w:p w:rsidR="00DC5C17" w:rsidRPr="008E6BF0" w:rsidRDefault="00DC5C17" w:rsidP="00641AE9">
      <w:pPr>
        <w:pStyle w:val="ListParagraph"/>
        <w:numPr>
          <w:ilvl w:val="0"/>
          <w:numId w:val="2"/>
        </w:numPr>
        <w:rPr>
          <w:rFonts w:ascii="Arial" w:hAnsi="Arial" w:cs="Arial"/>
          <w:sz w:val="20"/>
          <w:szCs w:val="20"/>
        </w:rPr>
      </w:pPr>
      <w:r w:rsidRPr="008E6BF0">
        <w:rPr>
          <w:rFonts w:ascii="Arial" w:hAnsi="Arial" w:cs="Arial"/>
          <w:sz w:val="20"/>
          <w:szCs w:val="20"/>
        </w:rPr>
        <w:t>How has Brazil responded to the inter-sectoral character of setting policies for ICH safeguarding?</w:t>
      </w:r>
    </w:p>
    <w:p w:rsidR="00DC5C17" w:rsidRPr="008E6BF0" w:rsidRDefault="00DC5C17" w:rsidP="00641AE9">
      <w:pPr>
        <w:pStyle w:val="ListParagraph"/>
        <w:numPr>
          <w:ilvl w:val="0"/>
          <w:numId w:val="2"/>
        </w:numPr>
        <w:rPr>
          <w:rFonts w:ascii="Arial" w:hAnsi="Arial" w:cs="Arial"/>
          <w:sz w:val="20"/>
          <w:szCs w:val="20"/>
        </w:rPr>
      </w:pPr>
      <w:r w:rsidRPr="008E6BF0">
        <w:rPr>
          <w:rFonts w:ascii="Arial" w:hAnsi="Arial" w:cs="Arial"/>
          <w:sz w:val="20"/>
          <w:szCs w:val="20"/>
        </w:rPr>
        <w:t>How has Brazil responded to the existence of significant and in some cases very remote, indigenous populations in the country?</w:t>
      </w:r>
    </w:p>
    <w:p w:rsidR="00641AE9" w:rsidRPr="008E6BF0" w:rsidRDefault="00EF2A86" w:rsidP="00641AE9">
      <w:pPr>
        <w:pStyle w:val="ListParagraph"/>
        <w:numPr>
          <w:ilvl w:val="0"/>
          <w:numId w:val="2"/>
        </w:numPr>
        <w:rPr>
          <w:rFonts w:ascii="Arial" w:hAnsi="Arial" w:cs="Arial"/>
          <w:sz w:val="20"/>
          <w:szCs w:val="20"/>
        </w:rPr>
      </w:pPr>
      <w:r w:rsidRPr="008E6BF0">
        <w:rPr>
          <w:rFonts w:ascii="Arial" w:hAnsi="Arial" w:cs="Arial"/>
          <w:sz w:val="20"/>
          <w:szCs w:val="20"/>
        </w:rPr>
        <w:t xml:space="preserve">How have governmental and non-governmental bodies cooperated over safeguarding indigenous ICH? </w:t>
      </w:r>
    </w:p>
    <w:p w:rsidR="00EF2A86" w:rsidRPr="008E6BF0" w:rsidRDefault="00EF2A86" w:rsidP="00641AE9">
      <w:pPr>
        <w:pStyle w:val="ListParagraph"/>
        <w:numPr>
          <w:ilvl w:val="0"/>
          <w:numId w:val="2"/>
        </w:numPr>
        <w:rPr>
          <w:rFonts w:ascii="Arial" w:hAnsi="Arial" w:cs="Arial"/>
          <w:sz w:val="20"/>
          <w:szCs w:val="20"/>
        </w:rPr>
      </w:pPr>
      <w:r w:rsidRPr="008E6BF0">
        <w:rPr>
          <w:rFonts w:ascii="Arial" w:hAnsi="Arial" w:cs="Arial"/>
          <w:sz w:val="20"/>
          <w:szCs w:val="20"/>
        </w:rPr>
        <w:lastRenderedPageBreak/>
        <w:t>How effective has this cooperation been, and what challenges has it faced?</w:t>
      </w:r>
    </w:p>
    <w:p w:rsidR="00DC5C17" w:rsidRPr="008E6BF0" w:rsidRDefault="00DC5C17" w:rsidP="00DC5C17">
      <w:pPr>
        <w:pStyle w:val="ListParagraph"/>
        <w:numPr>
          <w:ilvl w:val="0"/>
          <w:numId w:val="2"/>
        </w:numPr>
        <w:rPr>
          <w:rFonts w:ascii="Arial" w:hAnsi="Arial" w:cs="Arial"/>
          <w:sz w:val="20"/>
          <w:szCs w:val="20"/>
        </w:rPr>
      </w:pPr>
      <w:r w:rsidRPr="008E6BF0">
        <w:rPr>
          <w:rFonts w:ascii="Arial" w:hAnsi="Arial" w:cs="Arial"/>
          <w:sz w:val="20"/>
          <w:szCs w:val="20"/>
        </w:rPr>
        <w:t>What aspects of this institutional framework could provide a useful basis for gathering data and information on safeguarding activities?</w:t>
      </w:r>
    </w:p>
    <w:sectPr w:rsidR="00DC5C17" w:rsidRPr="008E6BF0" w:rsidSect="00EC33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D3D" w:rsidRDefault="00D31D3D" w:rsidP="00E8323F">
      <w:pPr>
        <w:spacing w:after="0" w:line="240" w:lineRule="auto"/>
      </w:pPr>
      <w:r>
        <w:separator/>
      </w:r>
    </w:p>
  </w:endnote>
  <w:endnote w:type="continuationSeparator" w:id="0">
    <w:p w:rsidR="00D31D3D" w:rsidRDefault="00D31D3D" w:rsidP="00E8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52" w:rsidRPr="00134887" w:rsidRDefault="004F4452" w:rsidP="004F4452">
    <w:pPr>
      <w:tabs>
        <w:tab w:val="center" w:pos="4423"/>
        <w:tab w:val="right" w:pos="9000"/>
      </w:tabs>
      <w:spacing w:after="0" w:line="240" w:lineRule="exact"/>
      <w:rPr>
        <w:sz w:val="16"/>
        <w:szCs w:val="18"/>
      </w:rPr>
    </w:pPr>
    <w:r>
      <w:rPr>
        <w:noProof/>
        <w:lang w:val="fr-FR" w:eastAsia="ja-JP"/>
      </w:rPr>
      <w:drawing>
        <wp:anchor distT="0" distB="0" distL="114300" distR="114300" simplePos="0" relativeHeight="251660288" behindDoc="0" locked="0" layoutInCell="1" allowOverlap="1" wp14:anchorId="4AB74B77" wp14:editId="74D6ECF1">
          <wp:simplePos x="0" y="0"/>
          <wp:positionH relativeFrom="column">
            <wp:posOffset>2628265</wp:posOffset>
          </wp:positionH>
          <wp:positionV relativeFrom="paragraph">
            <wp:posOffset>-8890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B114E">
      <w:rPr>
        <w:sz w:val="16"/>
        <w:szCs w:val="18"/>
      </w:rPr>
      <w:t>CS60</w:t>
    </w:r>
    <w:r w:rsidRPr="00BC05CE">
      <w:rPr>
        <w:sz w:val="16"/>
        <w:szCs w:val="18"/>
      </w:rPr>
      <w:t>-v1.0-EN</w:t>
    </w:r>
    <w:r w:rsidRPr="00BC05CE">
      <w:rPr>
        <w:sz w:val="16"/>
        <w:szCs w:val="18"/>
      </w:rPr>
      <w:tab/>
    </w:r>
    <w:r w:rsidRPr="00BC05CE">
      <w:rPr>
        <w:sz w:val="16"/>
        <w:szCs w:val="18"/>
      </w:rPr>
      <w:tab/>
    </w:r>
    <w:r w:rsidRPr="00BC05CE">
      <w:rPr>
        <w:noProof/>
        <w:sz w:val="16"/>
        <w:szCs w:val="18"/>
        <w:lang w:val="fr-FR" w:eastAsia="ja-JP"/>
      </w:rPr>
      <w:drawing>
        <wp:anchor distT="0" distB="0" distL="114300" distR="114300" simplePos="0" relativeHeight="251659264" behindDoc="0" locked="1" layoutInCell="1" allowOverlap="0" wp14:anchorId="744CDC26" wp14:editId="43A68EB9">
          <wp:simplePos x="0" y="0"/>
          <wp:positionH relativeFrom="margin">
            <wp:posOffset>4914265</wp:posOffset>
          </wp:positionH>
          <wp:positionV relativeFrom="margin">
            <wp:posOffset>8932545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rsidR="004F4452" w:rsidRDefault="004F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D3D" w:rsidRDefault="00D31D3D" w:rsidP="00E8323F">
      <w:pPr>
        <w:spacing w:after="0" w:line="240" w:lineRule="auto"/>
      </w:pPr>
      <w:r>
        <w:separator/>
      </w:r>
    </w:p>
  </w:footnote>
  <w:footnote w:type="continuationSeparator" w:id="0">
    <w:p w:rsidR="00D31D3D" w:rsidRDefault="00D31D3D" w:rsidP="00E8323F">
      <w:pPr>
        <w:spacing w:after="0" w:line="240" w:lineRule="auto"/>
      </w:pPr>
      <w:r>
        <w:continuationSeparator/>
      </w:r>
    </w:p>
  </w:footnote>
  <w:footnote w:id="1">
    <w:p w:rsidR="00E8323F" w:rsidRPr="00E873F0" w:rsidRDefault="00E8323F" w:rsidP="00E8323F">
      <w:pPr>
        <w:pStyle w:val="FootnoteText"/>
        <w:rPr>
          <w:rFonts w:ascii="Arial" w:hAnsi="Arial" w:cs="Arial"/>
          <w:sz w:val="16"/>
          <w:szCs w:val="16"/>
        </w:rPr>
      </w:pPr>
      <w:r w:rsidRPr="00E873F0">
        <w:rPr>
          <w:rStyle w:val="FootnoteReference"/>
          <w:rFonts w:ascii="Arial" w:hAnsi="Arial" w:cs="Arial"/>
          <w:sz w:val="16"/>
          <w:szCs w:val="16"/>
          <w:vertAlign w:val="baseline"/>
        </w:rPr>
        <w:footnoteRef/>
      </w:r>
      <w:r w:rsidRPr="00E873F0">
        <w:rPr>
          <w:rFonts w:ascii="Arial" w:hAnsi="Arial" w:cs="Arial"/>
          <w:sz w:val="16"/>
          <w:szCs w:val="16"/>
        </w:rPr>
        <w:t xml:space="preserve"> </w:t>
      </w:r>
      <w:r w:rsidR="004E44D8" w:rsidRPr="00E873F0">
        <w:rPr>
          <w:rFonts w:ascii="Arial" w:hAnsi="Arial" w:cs="Arial"/>
          <w:sz w:val="16"/>
          <w:szCs w:val="16"/>
        </w:rPr>
        <w:tab/>
      </w:r>
      <w:r w:rsidRPr="00E873F0">
        <w:rPr>
          <w:rFonts w:ascii="Arial" w:hAnsi="Arial" w:cs="Arial"/>
          <w:sz w:val="16"/>
          <w:szCs w:val="16"/>
        </w:rPr>
        <w:t xml:space="preserve">The </w:t>
      </w:r>
      <w:r w:rsidR="00061EBD">
        <w:rPr>
          <w:rFonts w:ascii="Arial" w:hAnsi="Arial" w:cs="Arial"/>
          <w:sz w:val="16"/>
          <w:szCs w:val="16"/>
        </w:rPr>
        <w:t xml:space="preserve">case study is based on </w:t>
      </w:r>
      <w:r w:rsidRPr="00E873F0">
        <w:rPr>
          <w:rFonts w:ascii="Arial" w:hAnsi="Arial" w:cs="Arial"/>
          <w:sz w:val="16"/>
          <w:szCs w:val="16"/>
        </w:rPr>
        <w:t xml:space="preserve">information </w:t>
      </w:r>
      <w:r w:rsidR="00061EBD">
        <w:rPr>
          <w:rFonts w:ascii="Arial" w:hAnsi="Arial" w:cs="Arial"/>
          <w:sz w:val="16"/>
          <w:szCs w:val="16"/>
        </w:rPr>
        <w:t>in</w:t>
      </w:r>
      <w:r w:rsidRPr="00E873F0">
        <w:rPr>
          <w:rFonts w:ascii="Arial" w:hAnsi="Arial" w:cs="Arial"/>
          <w:sz w:val="16"/>
          <w:szCs w:val="16"/>
        </w:rPr>
        <w:t xml:space="preserve"> the periodic report submitted by Brazil in 2014 and </w:t>
      </w:r>
      <w:r w:rsidR="00061EBD">
        <w:rPr>
          <w:rFonts w:ascii="Arial" w:hAnsi="Arial" w:cs="Arial"/>
          <w:sz w:val="16"/>
          <w:szCs w:val="16"/>
        </w:rPr>
        <w:tab/>
      </w:r>
      <w:r w:rsidRPr="00E873F0">
        <w:rPr>
          <w:rFonts w:ascii="Arial" w:hAnsi="Arial" w:cs="Arial"/>
          <w:sz w:val="16"/>
          <w:szCs w:val="16"/>
        </w:rPr>
        <w:t xml:space="preserve">the report submitted in 2013 on the </w:t>
      </w:r>
      <w:proofErr w:type="spellStart"/>
      <w:r w:rsidRPr="00E873F0">
        <w:rPr>
          <w:rFonts w:ascii="Arial" w:hAnsi="Arial" w:cs="Arial"/>
          <w:sz w:val="16"/>
          <w:szCs w:val="16"/>
        </w:rPr>
        <w:t>Yaokwa</w:t>
      </w:r>
      <w:proofErr w:type="spellEnd"/>
      <w:r w:rsidRPr="00E873F0">
        <w:rPr>
          <w:rFonts w:ascii="Arial" w:hAnsi="Arial" w:cs="Arial"/>
          <w:sz w:val="16"/>
          <w:szCs w:val="16"/>
        </w:rPr>
        <w:t xml:space="preserve">, the </w:t>
      </w:r>
      <w:proofErr w:type="spellStart"/>
      <w:r w:rsidRPr="00E873F0">
        <w:rPr>
          <w:rFonts w:ascii="Arial" w:hAnsi="Arial" w:cs="Arial"/>
          <w:sz w:val="16"/>
          <w:szCs w:val="16"/>
        </w:rPr>
        <w:t>Enawene</w:t>
      </w:r>
      <w:proofErr w:type="spellEnd"/>
      <w:r w:rsidRPr="00E873F0">
        <w:rPr>
          <w:rFonts w:ascii="Arial" w:hAnsi="Arial" w:cs="Arial"/>
          <w:sz w:val="16"/>
          <w:szCs w:val="16"/>
        </w:rPr>
        <w:t xml:space="preserve"> </w:t>
      </w:r>
      <w:proofErr w:type="spellStart"/>
      <w:r w:rsidRPr="00E873F0">
        <w:rPr>
          <w:rFonts w:ascii="Arial" w:hAnsi="Arial" w:cs="Arial"/>
          <w:sz w:val="16"/>
          <w:szCs w:val="16"/>
        </w:rPr>
        <w:t>Nawe</w:t>
      </w:r>
      <w:proofErr w:type="spellEnd"/>
      <w:r w:rsidRPr="00E873F0">
        <w:rPr>
          <w:rFonts w:ascii="Arial" w:hAnsi="Arial" w:cs="Arial"/>
          <w:sz w:val="16"/>
          <w:szCs w:val="16"/>
        </w:rPr>
        <w:t xml:space="preserve"> people's ritual for the maintenance of social </w:t>
      </w:r>
      <w:r w:rsidR="00061EBD">
        <w:rPr>
          <w:rFonts w:ascii="Arial" w:hAnsi="Arial" w:cs="Arial"/>
          <w:sz w:val="16"/>
          <w:szCs w:val="16"/>
        </w:rPr>
        <w:tab/>
      </w:r>
      <w:r w:rsidRPr="00E873F0">
        <w:rPr>
          <w:rFonts w:ascii="Arial" w:hAnsi="Arial" w:cs="Arial"/>
          <w:sz w:val="16"/>
          <w:szCs w:val="16"/>
        </w:rPr>
        <w:t>and cosmic order element (inscribed on the USL, 2011).</w:t>
      </w:r>
    </w:p>
  </w:footnote>
  <w:footnote w:id="2">
    <w:p w:rsidR="00DB602E" w:rsidRPr="0099089D" w:rsidRDefault="00DB602E">
      <w:pPr>
        <w:pStyle w:val="FootnoteText"/>
        <w:rPr>
          <w:rFonts w:ascii="Arial" w:hAnsi="Arial" w:cs="Arial"/>
          <w:sz w:val="16"/>
          <w:szCs w:val="16"/>
        </w:rPr>
      </w:pPr>
      <w:r w:rsidRPr="0099089D">
        <w:rPr>
          <w:rStyle w:val="FootnoteReference"/>
          <w:rFonts w:ascii="Arial" w:hAnsi="Arial" w:cs="Arial"/>
          <w:sz w:val="16"/>
          <w:szCs w:val="16"/>
          <w:vertAlign w:val="baseline"/>
        </w:rPr>
        <w:footnoteRef/>
      </w:r>
      <w:r w:rsidRPr="0099089D">
        <w:rPr>
          <w:rFonts w:ascii="Arial" w:hAnsi="Arial" w:cs="Arial"/>
          <w:sz w:val="16"/>
          <w:szCs w:val="16"/>
        </w:rPr>
        <w:t xml:space="preserve"> </w:t>
      </w:r>
      <w:r w:rsidRPr="0099089D">
        <w:rPr>
          <w:rFonts w:ascii="Arial" w:hAnsi="Arial" w:cs="Arial"/>
          <w:sz w:val="16"/>
          <w:szCs w:val="16"/>
        </w:rPr>
        <w:tab/>
        <w:t xml:space="preserve">For more </w:t>
      </w:r>
      <w:r w:rsidR="00061EBD">
        <w:rPr>
          <w:rFonts w:ascii="Arial" w:hAnsi="Arial" w:cs="Arial"/>
          <w:sz w:val="16"/>
          <w:szCs w:val="16"/>
        </w:rPr>
        <w:t>details</w:t>
      </w:r>
      <w:r w:rsidRPr="0099089D">
        <w:rPr>
          <w:rFonts w:ascii="Arial" w:hAnsi="Arial" w:cs="Arial"/>
          <w:sz w:val="16"/>
          <w:szCs w:val="16"/>
        </w:rPr>
        <w:t xml:space="preserve"> on the institutional and legal framework in Brazil, see </w:t>
      </w:r>
      <w:r w:rsidRPr="0099089D">
        <w:rPr>
          <w:rFonts w:ascii="Arial" w:hAnsi="Arial" w:cs="Arial"/>
          <w:b/>
          <w:sz w:val="16"/>
          <w:szCs w:val="16"/>
        </w:rPr>
        <w:t>Case Study 8:</w:t>
      </w:r>
      <w:r w:rsidRPr="0099089D">
        <w:rPr>
          <w:rFonts w:ascii="Arial" w:hAnsi="Arial" w:cs="Arial"/>
          <w:sz w:val="16"/>
          <w:szCs w:val="16"/>
        </w:rPr>
        <w:t xml:space="preserve"> </w:t>
      </w:r>
      <w:r w:rsidR="00E873F0" w:rsidRPr="0099089D">
        <w:rPr>
          <w:rFonts w:ascii="Arial" w:hAnsi="Arial" w:cs="Arial"/>
          <w:sz w:val="16"/>
          <w:szCs w:val="16"/>
        </w:rPr>
        <w:t>‘</w:t>
      </w:r>
      <w:r w:rsidRPr="0099089D">
        <w:rPr>
          <w:rFonts w:ascii="Arial" w:hAnsi="Arial" w:cs="Arial"/>
          <w:sz w:val="16"/>
          <w:szCs w:val="16"/>
        </w:rPr>
        <w:t xml:space="preserve">Inventorying with </w:t>
      </w:r>
      <w:r w:rsidR="00E873F0">
        <w:rPr>
          <w:rFonts w:ascii="Arial" w:hAnsi="Arial" w:cs="Arial"/>
          <w:sz w:val="16"/>
          <w:szCs w:val="16"/>
        </w:rPr>
        <w:tab/>
      </w:r>
      <w:r w:rsidRPr="0099089D">
        <w:rPr>
          <w:rFonts w:ascii="Arial" w:hAnsi="Arial" w:cs="Arial"/>
          <w:sz w:val="16"/>
          <w:szCs w:val="16"/>
        </w:rPr>
        <w:t xml:space="preserve">community involvement </w:t>
      </w:r>
      <w:r w:rsidR="001A21BF" w:rsidRPr="001A21BF">
        <w:rPr>
          <w:rFonts w:ascii="Arial" w:hAnsi="Arial" w:cs="Arial"/>
          <w:sz w:val="16"/>
          <w:szCs w:val="16"/>
        </w:rPr>
        <w:t>in a</w:t>
      </w:r>
      <w:r w:rsidRPr="0099089D">
        <w:rPr>
          <w:rFonts w:ascii="Arial" w:hAnsi="Arial" w:cs="Arial"/>
          <w:sz w:val="16"/>
          <w:szCs w:val="16"/>
        </w:rPr>
        <w:t xml:space="preserve"> well-</w:t>
      </w:r>
      <w:r w:rsidR="001A21BF" w:rsidRPr="001A21BF">
        <w:rPr>
          <w:rFonts w:ascii="Arial" w:hAnsi="Arial" w:cs="Arial"/>
          <w:sz w:val="16"/>
          <w:szCs w:val="16"/>
        </w:rPr>
        <w:t>developed</w:t>
      </w:r>
      <w:r w:rsidRPr="0099089D">
        <w:rPr>
          <w:rFonts w:ascii="Arial" w:hAnsi="Arial" w:cs="Arial"/>
          <w:sz w:val="16"/>
          <w:szCs w:val="16"/>
        </w:rPr>
        <w:t xml:space="preserve"> institutional and legal context in Brazil</w:t>
      </w:r>
      <w:r w:rsidR="00E873F0" w:rsidRPr="0099089D">
        <w:rPr>
          <w:rFonts w:ascii="Arial" w:hAnsi="Arial" w:cs="Arial"/>
          <w:sz w:val="16"/>
          <w:szCs w:val="16"/>
        </w:rPr>
        <w:t>’</w:t>
      </w:r>
    </w:p>
  </w:footnote>
  <w:footnote w:id="3">
    <w:p w:rsidR="003000FB" w:rsidRPr="0099089D" w:rsidRDefault="003000FB">
      <w:pPr>
        <w:pStyle w:val="FootnoteText"/>
        <w:rPr>
          <w:rFonts w:ascii="Arial" w:hAnsi="Arial" w:cs="Arial"/>
          <w:sz w:val="16"/>
          <w:szCs w:val="16"/>
          <w:lang w:val="en-US"/>
        </w:rPr>
      </w:pPr>
      <w:r w:rsidRPr="0099089D">
        <w:rPr>
          <w:rStyle w:val="FootnoteReference"/>
          <w:rFonts w:ascii="Arial" w:hAnsi="Arial" w:cs="Arial"/>
          <w:sz w:val="16"/>
          <w:szCs w:val="16"/>
          <w:vertAlign w:val="baseline"/>
        </w:rPr>
        <w:footnoteRef/>
      </w:r>
      <w:r w:rsidRPr="0099089D">
        <w:rPr>
          <w:rFonts w:ascii="Arial" w:hAnsi="Arial" w:cs="Arial"/>
          <w:sz w:val="16"/>
          <w:szCs w:val="16"/>
        </w:rPr>
        <w:t xml:space="preserve"> </w:t>
      </w:r>
      <w:r w:rsidRPr="0099089D">
        <w:rPr>
          <w:rFonts w:ascii="Arial" w:hAnsi="Arial" w:cs="Arial"/>
          <w:sz w:val="16"/>
          <w:szCs w:val="16"/>
          <w:lang w:val="en-US"/>
        </w:rPr>
        <w:tab/>
        <w:t xml:space="preserve">For more information, see </w:t>
      </w:r>
      <w:r w:rsidRPr="0099089D">
        <w:rPr>
          <w:rFonts w:ascii="Arial" w:hAnsi="Arial" w:cs="Arial"/>
          <w:b/>
          <w:sz w:val="16"/>
          <w:szCs w:val="16"/>
          <w:lang w:val="en-US"/>
        </w:rPr>
        <w:t>Case Study 31</w:t>
      </w:r>
      <w:r w:rsidRPr="0099089D">
        <w:rPr>
          <w:rFonts w:ascii="Arial" w:hAnsi="Arial" w:cs="Arial"/>
          <w:sz w:val="16"/>
          <w:szCs w:val="16"/>
          <w:lang w:val="en-US"/>
        </w:rPr>
        <w:t xml:space="preserve"> ‘State agencies protecting the rights of indigenous groups in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F0" w:rsidRPr="004E44D8" w:rsidRDefault="008E6BF0" w:rsidP="008E6BF0">
    <w:pPr>
      <w:keepNext/>
      <w:tabs>
        <w:tab w:val="center" w:pos="4423"/>
        <w:tab w:val="left" w:pos="5314"/>
      </w:tabs>
      <w:spacing w:after="0" w:line="280" w:lineRule="exact"/>
      <w:ind w:right="360"/>
      <w:rPr>
        <w:rFonts w:ascii="Arial" w:hAnsi="Arial" w:cs="Arial"/>
        <w:sz w:val="16"/>
        <w:szCs w:val="20"/>
      </w:rPr>
    </w:pPr>
    <w:r w:rsidRPr="004E44D8">
      <w:rPr>
        <w:rFonts w:ascii="Arial" w:hAnsi="Arial" w:cs="Arial"/>
        <w:sz w:val="16"/>
        <w:szCs w:val="20"/>
      </w:rPr>
      <w:tab/>
      <w:t>Case studies</w:t>
    </w:r>
  </w:p>
  <w:p w:rsidR="008E6BF0" w:rsidRDefault="008E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6DF4"/>
    <w:multiLevelType w:val="hybridMultilevel"/>
    <w:tmpl w:val="E4B2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0025E"/>
    <w:multiLevelType w:val="hybridMultilevel"/>
    <w:tmpl w:val="E46EF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D1380C"/>
    <w:multiLevelType w:val="hybridMultilevel"/>
    <w:tmpl w:val="CF1C1B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9264A"/>
    <w:multiLevelType w:val="hybridMultilevel"/>
    <w:tmpl w:val="94028808"/>
    <w:lvl w:ilvl="0" w:tplc="93D03D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3F"/>
    <w:rsid w:val="000028D1"/>
    <w:rsid w:val="00005D00"/>
    <w:rsid w:val="000114C0"/>
    <w:rsid w:val="00061EBD"/>
    <w:rsid w:val="0008450A"/>
    <w:rsid w:val="00087922"/>
    <w:rsid w:val="000A64F3"/>
    <w:rsid w:val="000B0697"/>
    <w:rsid w:val="000C3504"/>
    <w:rsid w:val="00156A16"/>
    <w:rsid w:val="001A21BF"/>
    <w:rsid w:val="001B50E2"/>
    <w:rsid w:val="001F76AF"/>
    <w:rsid w:val="002100A3"/>
    <w:rsid w:val="00252F45"/>
    <w:rsid w:val="002713D1"/>
    <w:rsid w:val="003000FB"/>
    <w:rsid w:val="0030724A"/>
    <w:rsid w:val="00362D92"/>
    <w:rsid w:val="003729D5"/>
    <w:rsid w:val="00392965"/>
    <w:rsid w:val="00437573"/>
    <w:rsid w:val="00480277"/>
    <w:rsid w:val="004E44D8"/>
    <w:rsid w:val="004F4452"/>
    <w:rsid w:val="00515850"/>
    <w:rsid w:val="005360DB"/>
    <w:rsid w:val="005D3634"/>
    <w:rsid w:val="00641AE9"/>
    <w:rsid w:val="006D64E5"/>
    <w:rsid w:val="006E4DA6"/>
    <w:rsid w:val="006F0BB4"/>
    <w:rsid w:val="00725DA9"/>
    <w:rsid w:val="007347E0"/>
    <w:rsid w:val="00767C47"/>
    <w:rsid w:val="00780B40"/>
    <w:rsid w:val="007B417E"/>
    <w:rsid w:val="00807A66"/>
    <w:rsid w:val="00807ABC"/>
    <w:rsid w:val="00824E1F"/>
    <w:rsid w:val="008268F8"/>
    <w:rsid w:val="00870123"/>
    <w:rsid w:val="00877323"/>
    <w:rsid w:val="008B127A"/>
    <w:rsid w:val="008E6BF0"/>
    <w:rsid w:val="0099089D"/>
    <w:rsid w:val="009D4881"/>
    <w:rsid w:val="00A364E6"/>
    <w:rsid w:val="00A4752B"/>
    <w:rsid w:val="00A87AB7"/>
    <w:rsid w:val="00A960A9"/>
    <w:rsid w:val="00B2416E"/>
    <w:rsid w:val="00BE3602"/>
    <w:rsid w:val="00C43881"/>
    <w:rsid w:val="00C4461A"/>
    <w:rsid w:val="00C543B4"/>
    <w:rsid w:val="00C9171F"/>
    <w:rsid w:val="00CF1A46"/>
    <w:rsid w:val="00D31D3D"/>
    <w:rsid w:val="00D4371D"/>
    <w:rsid w:val="00D930AA"/>
    <w:rsid w:val="00DB602E"/>
    <w:rsid w:val="00DB6136"/>
    <w:rsid w:val="00DC5C17"/>
    <w:rsid w:val="00DE092A"/>
    <w:rsid w:val="00E11BD0"/>
    <w:rsid w:val="00E40FDE"/>
    <w:rsid w:val="00E51AEE"/>
    <w:rsid w:val="00E8323F"/>
    <w:rsid w:val="00E873F0"/>
    <w:rsid w:val="00EC33F4"/>
    <w:rsid w:val="00EF2A86"/>
    <w:rsid w:val="00F41ACB"/>
    <w:rsid w:val="00F41CE0"/>
    <w:rsid w:val="00F47E32"/>
    <w:rsid w:val="00FB114E"/>
    <w:rsid w:val="00FD32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1B16"/>
  <w15:docId w15:val="{D69C6A67-0AEB-4797-B0F4-09F7780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3F"/>
  </w:style>
  <w:style w:type="paragraph" w:styleId="Heading1">
    <w:name w:val="heading 1"/>
    <w:basedOn w:val="Normal"/>
    <w:next w:val="Normal"/>
    <w:link w:val="Heading1Char"/>
    <w:uiPriority w:val="9"/>
    <w:qFormat/>
    <w:rsid w:val="00E83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8E6B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323F"/>
    <w:pPr>
      <w:spacing w:after="0" w:line="240" w:lineRule="auto"/>
    </w:pPr>
    <w:rPr>
      <w:sz w:val="20"/>
      <w:szCs w:val="20"/>
    </w:rPr>
  </w:style>
  <w:style w:type="character" w:customStyle="1" w:styleId="FootnoteTextChar">
    <w:name w:val="Footnote Text Char"/>
    <w:basedOn w:val="DefaultParagraphFont"/>
    <w:link w:val="FootnoteText"/>
    <w:uiPriority w:val="99"/>
    <w:rsid w:val="00E8323F"/>
    <w:rPr>
      <w:sz w:val="20"/>
      <w:szCs w:val="20"/>
    </w:rPr>
  </w:style>
  <w:style w:type="character" w:styleId="FootnoteReference">
    <w:name w:val="footnote reference"/>
    <w:basedOn w:val="DefaultParagraphFont"/>
    <w:uiPriority w:val="99"/>
    <w:unhideWhenUsed/>
    <w:rsid w:val="00E8323F"/>
    <w:rPr>
      <w:vertAlign w:val="superscript"/>
    </w:rPr>
  </w:style>
  <w:style w:type="paragraph" w:customStyle="1" w:styleId="Caschap">
    <w:name w:val="Caschap"/>
    <w:basedOn w:val="Normal"/>
    <w:rsid w:val="00E8323F"/>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hapitre">
    <w:name w:val="Chapitre"/>
    <w:basedOn w:val="Heading1"/>
    <w:link w:val="ChapitreCar"/>
    <w:rsid w:val="00E8323F"/>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E8323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E8323F"/>
    <w:pPr>
      <w:keepNext/>
      <w:keepLines/>
      <w:tabs>
        <w:tab w:val="left" w:pos="567"/>
      </w:tabs>
      <w:snapToGrid w:val="0"/>
      <w:spacing w:before="480" w:after="0" w:line="480" w:lineRule="exact"/>
      <w:outlineLvl w:val="0"/>
    </w:pPr>
    <w:rPr>
      <w:rFonts w:ascii="Arial" w:eastAsia="Times New Roman" w:hAnsi="Arial" w:cs="Arial"/>
      <w:b/>
      <w:bCs/>
      <w:caps/>
      <w:noProof/>
      <w:snapToGrid w:val="0"/>
      <w:color w:val="3366FF"/>
      <w:kern w:val="28"/>
      <w:sz w:val="48"/>
      <w:szCs w:val="48"/>
      <w:lang w:eastAsia="zh-CN"/>
    </w:rPr>
  </w:style>
  <w:style w:type="character" w:customStyle="1" w:styleId="UPlanCar">
    <w:name w:val="UPlan Car"/>
    <w:basedOn w:val="DefaultParagraphFont"/>
    <w:link w:val="UPlan"/>
    <w:rsid w:val="00E8323F"/>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E832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5C17"/>
    <w:pPr>
      <w:ind w:left="720"/>
      <w:contextualSpacing/>
    </w:pPr>
  </w:style>
  <w:style w:type="paragraph" w:styleId="Header">
    <w:name w:val="header"/>
    <w:basedOn w:val="Normal"/>
    <w:link w:val="HeaderChar"/>
    <w:uiPriority w:val="99"/>
    <w:unhideWhenUsed/>
    <w:rsid w:val="008E6B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BF0"/>
  </w:style>
  <w:style w:type="paragraph" w:styleId="Footer">
    <w:name w:val="footer"/>
    <w:basedOn w:val="Normal"/>
    <w:link w:val="FooterChar"/>
    <w:uiPriority w:val="99"/>
    <w:unhideWhenUsed/>
    <w:rsid w:val="008E6B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BF0"/>
  </w:style>
  <w:style w:type="paragraph" w:customStyle="1" w:styleId="Cas">
    <w:name w:val="Cas"/>
    <w:basedOn w:val="Heading4"/>
    <w:rsid w:val="008E6BF0"/>
    <w:pPr>
      <w:keepLines w:val="0"/>
      <w:widowControl w:val="0"/>
      <w:snapToGrid w:val="0"/>
      <w:spacing w:before="0" w:after="240" w:line="360" w:lineRule="exact"/>
    </w:pPr>
    <w:rPr>
      <w:rFonts w:ascii="Arial" w:eastAsia="Times New Roman" w:hAnsi="Arial" w:cs="Arial"/>
      <w:b/>
      <w:bCs/>
      <w:i w:val="0"/>
      <w:iCs w:val="0"/>
      <w:color w:val="0000FF"/>
      <w:w w:val="107"/>
      <w:sz w:val="28"/>
      <w:szCs w:val="28"/>
    </w:rPr>
  </w:style>
  <w:style w:type="character" w:customStyle="1" w:styleId="Heading4Char">
    <w:name w:val="Heading 4 Char"/>
    <w:basedOn w:val="DefaultParagraphFont"/>
    <w:link w:val="Heading4"/>
    <w:rsid w:val="008E6BF0"/>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6E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A6"/>
    <w:rPr>
      <w:rFonts w:ascii="Segoe UI" w:hAnsi="Segoe UI" w:cs="Segoe UI"/>
      <w:sz w:val="18"/>
      <w:szCs w:val="18"/>
    </w:rPr>
  </w:style>
  <w:style w:type="paragraph" w:customStyle="1" w:styleId="Texte1">
    <w:name w:val="Texte1"/>
    <w:basedOn w:val="Normal"/>
    <w:link w:val="Texte1Car"/>
    <w:autoRedefine/>
    <w:rsid w:val="003000FB"/>
    <w:pPr>
      <w:tabs>
        <w:tab w:val="left" w:pos="567"/>
      </w:tabs>
      <w:snapToGrid w:val="0"/>
      <w:spacing w:after="60" w:line="280" w:lineRule="exact"/>
      <w:ind w:left="851"/>
      <w:jc w:val="both"/>
    </w:pPr>
    <w:rPr>
      <w:rFonts w:ascii="Arial" w:eastAsia="SimSun" w:hAnsi="Arial" w:cs="Arial"/>
      <w:w w:val="95"/>
      <w:sz w:val="20"/>
      <w:szCs w:val="20"/>
      <w:lang w:eastAsia="zh-CN"/>
    </w:rPr>
  </w:style>
  <w:style w:type="character" w:customStyle="1" w:styleId="Texte1Car">
    <w:name w:val="Texte1 Car"/>
    <w:link w:val="Texte1"/>
    <w:rsid w:val="003000FB"/>
    <w:rPr>
      <w:rFonts w:ascii="Arial" w:eastAsia="SimSun" w:hAnsi="Arial" w:cs="Arial"/>
      <w:w w:val="95"/>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EED2-F389-F546-A45E-74279E08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1843</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3</cp:revision>
  <dcterms:created xsi:type="dcterms:W3CDTF">2020-01-23T16:51:00Z</dcterms:created>
  <dcterms:modified xsi:type="dcterms:W3CDTF">2020-05-11T12:18:00Z</dcterms:modified>
</cp:coreProperties>
</file>