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CD34" w14:textId="0F111E7F" w:rsidR="00F91721" w:rsidRPr="004637C2" w:rsidRDefault="00A853D3" w:rsidP="004637C2">
      <w:pPr>
        <w:pStyle w:val="Chapitre"/>
        <w:keepLines/>
        <w:tabs>
          <w:tab w:val="left" w:pos="567"/>
        </w:tabs>
        <w:spacing w:before="240" w:after="480"/>
        <w:jc w:val="both"/>
        <w:outlineLvl w:val="0"/>
        <w:rPr>
          <w:noProof/>
          <w:kern w:val="28"/>
          <w:lang w:val="en-US"/>
        </w:rPr>
      </w:pPr>
      <w:bookmarkStart w:id="0" w:name="_Toc241229644"/>
      <w:bookmarkStart w:id="1" w:name="_Toc241229848"/>
      <w:bookmarkStart w:id="2" w:name="_Toc242165541"/>
      <w:r w:rsidRPr="004637C2">
        <w:rPr>
          <w:noProof/>
          <w:kern w:val="28"/>
          <w:lang w:val="en-US"/>
        </w:rPr>
        <w:t xml:space="preserve">Unit </w:t>
      </w:r>
      <w:r w:rsidR="004637C2">
        <w:rPr>
          <w:noProof/>
          <w:kern w:val="28"/>
          <w:lang w:val="en-US"/>
        </w:rPr>
        <w:t>56</w:t>
      </w:r>
      <w:r w:rsidR="0061494B" w:rsidRPr="004637C2">
        <w:rPr>
          <w:noProof/>
          <w:kern w:val="28"/>
          <w:lang w:val="en-US"/>
        </w:rPr>
        <w:tab/>
      </w:r>
    </w:p>
    <w:p w14:paraId="3AE91B55" w14:textId="30AD29E8" w:rsidR="00A52615" w:rsidRDefault="00A52615" w:rsidP="0013791E">
      <w:pPr>
        <w:pStyle w:val="COMTitleDecision"/>
        <w:spacing w:before="0" w:after="0" w:line="276" w:lineRule="auto"/>
        <w:jc w:val="left"/>
        <w:rPr>
          <w:caps/>
          <w:noProof/>
          <w:snapToGrid w:val="0"/>
          <w:color w:val="3366FF"/>
          <w:kern w:val="28"/>
          <w:sz w:val="48"/>
          <w:szCs w:val="48"/>
          <w:lang w:eastAsia="zh-CN"/>
        </w:rPr>
      </w:pPr>
      <w:r w:rsidRPr="0013791E">
        <w:rPr>
          <w:caps/>
          <w:noProof/>
          <w:snapToGrid w:val="0"/>
          <w:color w:val="3366FF"/>
          <w:kern w:val="28"/>
          <w:sz w:val="48"/>
          <w:szCs w:val="48"/>
          <w:lang w:eastAsia="zh-CN"/>
        </w:rPr>
        <w:t>workshop on periodic reporting</w:t>
      </w:r>
      <w:r w:rsidR="004637C2" w:rsidRPr="0013791E">
        <w:rPr>
          <w:caps/>
          <w:noProof/>
          <w:snapToGrid w:val="0"/>
          <w:color w:val="3366FF"/>
          <w:kern w:val="28"/>
          <w:sz w:val="48"/>
          <w:szCs w:val="48"/>
          <w:lang w:eastAsia="zh-CN"/>
        </w:rPr>
        <w:t xml:space="preserve"> </w:t>
      </w:r>
      <w:r w:rsidR="0013791E">
        <w:rPr>
          <w:caps/>
          <w:noProof/>
          <w:snapToGrid w:val="0"/>
          <w:color w:val="3366FF"/>
          <w:kern w:val="28"/>
          <w:sz w:val="48"/>
          <w:szCs w:val="48"/>
          <w:lang w:eastAsia="zh-CN"/>
        </w:rPr>
        <w:t>–</w:t>
      </w:r>
      <w:r w:rsidR="004637C2" w:rsidRPr="0013791E">
        <w:rPr>
          <w:caps/>
          <w:noProof/>
          <w:snapToGrid w:val="0"/>
          <w:color w:val="3366FF"/>
          <w:kern w:val="28"/>
          <w:sz w:val="48"/>
          <w:szCs w:val="48"/>
          <w:lang w:eastAsia="zh-CN"/>
        </w:rPr>
        <w:t xml:space="preserve"> introduction</w:t>
      </w:r>
    </w:p>
    <w:p w14:paraId="13ED706B" w14:textId="77777777" w:rsidR="002337C2" w:rsidRPr="002337C2" w:rsidRDefault="002337C2" w:rsidP="002337C2">
      <w:pPr>
        <w:tabs>
          <w:tab w:val="clear" w:pos="567"/>
        </w:tabs>
        <w:snapToGrid/>
        <w:spacing w:after="200" w:line="276" w:lineRule="auto"/>
        <w:ind w:left="0"/>
        <w:jc w:val="left"/>
        <w:rPr>
          <w:rFonts w:eastAsiaTheme="minorHAnsi"/>
          <w:lang w:val="en-GB" w:eastAsia="en-US"/>
        </w:rPr>
      </w:pPr>
      <w:r w:rsidRPr="002337C2">
        <w:rPr>
          <w:rFonts w:eastAsiaTheme="minorHAnsi"/>
          <w:lang w:val="en-GB" w:eastAsia="en-US"/>
        </w:rPr>
        <w:t xml:space="preserve">Published in 2019 by the United Nations Educational, Scientific and Cultural Organization, 7, place de </w:t>
      </w:r>
      <w:proofErr w:type="spellStart"/>
      <w:r w:rsidRPr="002337C2">
        <w:rPr>
          <w:rFonts w:eastAsiaTheme="minorHAnsi"/>
          <w:lang w:val="en-GB" w:eastAsia="en-US"/>
        </w:rPr>
        <w:t>Fontenoy</w:t>
      </w:r>
      <w:proofErr w:type="spellEnd"/>
      <w:r w:rsidRPr="002337C2">
        <w:rPr>
          <w:rFonts w:eastAsiaTheme="minorHAnsi"/>
          <w:lang w:val="en-GB" w:eastAsia="en-US"/>
        </w:rPr>
        <w:t>, 75352 Paris 07 SP, France</w:t>
      </w:r>
    </w:p>
    <w:p w14:paraId="16FE859A" w14:textId="77777777" w:rsidR="002337C2" w:rsidRPr="00A30A16" w:rsidRDefault="002337C2" w:rsidP="002337C2">
      <w:pPr>
        <w:tabs>
          <w:tab w:val="clear" w:pos="567"/>
        </w:tabs>
        <w:snapToGrid/>
        <w:spacing w:after="200" w:line="276" w:lineRule="auto"/>
        <w:ind w:left="0"/>
        <w:jc w:val="left"/>
      </w:pPr>
      <w:r w:rsidRPr="00A30A16">
        <w:t xml:space="preserve">© </w:t>
      </w:r>
      <w:r w:rsidRPr="002337C2">
        <w:rPr>
          <w:rFonts w:eastAsiaTheme="minorHAnsi"/>
          <w:lang w:val="en-GB" w:eastAsia="en-US"/>
        </w:rPr>
        <w:t>UNESCO</w:t>
      </w:r>
      <w:r w:rsidRPr="00A30A16">
        <w:t xml:space="preserve"> 2019</w:t>
      </w:r>
    </w:p>
    <w:p w14:paraId="3D58186C" w14:textId="77777777" w:rsidR="002337C2" w:rsidRPr="00A30A16" w:rsidRDefault="002337C2" w:rsidP="002337C2">
      <w:pPr>
        <w:ind w:left="0"/>
      </w:pPr>
      <w:r w:rsidRPr="00A30A16">
        <w:rPr>
          <w:noProof/>
          <w:lang w:eastAsia="fr-FR"/>
        </w:rPr>
        <w:drawing>
          <wp:inline distT="0" distB="0" distL="0" distR="0" wp14:anchorId="4D884AE1" wp14:editId="00AD7B00">
            <wp:extent cx="756527" cy="26603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7ADB8E7" w14:textId="77777777" w:rsidR="002337C2" w:rsidRPr="002337C2" w:rsidRDefault="002337C2" w:rsidP="002337C2">
      <w:pPr>
        <w:tabs>
          <w:tab w:val="clear" w:pos="567"/>
        </w:tabs>
        <w:snapToGrid/>
        <w:spacing w:after="200" w:line="276" w:lineRule="auto"/>
        <w:ind w:left="0"/>
        <w:jc w:val="left"/>
        <w:rPr>
          <w:rFonts w:eastAsiaTheme="minorHAnsi"/>
          <w:lang w:val="en-GB" w:eastAsia="en-US"/>
        </w:rPr>
      </w:pPr>
      <w:r w:rsidRPr="002337C2">
        <w:rPr>
          <w:rFonts w:eastAsiaTheme="minorHAnsi"/>
          <w:lang w:val="en-GB" w:eastAsia="en-US"/>
        </w:rPr>
        <w:t>This publication is available in Open Access under the Attribution-</w:t>
      </w:r>
      <w:proofErr w:type="spellStart"/>
      <w:r w:rsidRPr="002337C2">
        <w:rPr>
          <w:rFonts w:eastAsiaTheme="minorHAnsi"/>
          <w:lang w:val="en-GB" w:eastAsia="en-US"/>
        </w:rPr>
        <w:t>ShareAlike</w:t>
      </w:r>
      <w:proofErr w:type="spellEnd"/>
      <w:r w:rsidRPr="002337C2">
        <w:rPr>
          <w:rFonts w:eastAsiaTheme="minorHAnsi"/>
          <w:lang w:val="en-GB" w:eastAsia="en-US"/>
        </w:rPr>
        <w:t xml:space="preserve"> 3.0 IGO (CC-BY-SA 3.0 IGO) license (</w:t>
      </w:r>
      <w:hyperlink r:id="rId9" w:history="1">
        <w:r w:rsidRPr="002337C2">
          <w:rPr>
            <w:rStyle w:val="Hyperlink"/>
            <w:lang w:val="en-GB" w:eastAsia="en-US"/>
          </w:rPr>
          <w:t>http://creativecommons.org/licenses/by-sa/3.0/igo/</w:t>
        </w:r>
      </w:hyperlink>
      <w:r w:rsidRPr="002337C2">
        <w:rPr>
          <w:rFonts w:eastAsiaTheme="minorHAnsi"/>
          <w:lang w:val="en-GB" w:eastAsia="en-US"/>
        </w:rPr>
        <w:t>). By using the content of this publication, the users accept to be bound by the terms of use of the UNESCO Open Access Repository (</w:t>
      </w:r>
      <w:hyperlink r:id="rId10" w:history="1">
        <w:r w:rsidRPr="002337C2">
          <w:rPr>
            <w:rStyle w:val="Hyperlink"/>
            <w:lang w:val="en-GB" w:eastAsia="en-US"/>
          </w:rPr>
          <w:t>http://www.unesco.org/open-access/terms-use-ccbysa-en</w:t>
        </w:r>
      </w:hyperlink>
      <w:r w:rsidRPr="002337C2">
        <w:rPr>
          <w:rFonts w:eastAsiaTheme="minorHAnsi"/>
          <w:lang w:val="en-GB" w:eastAsia="en-US"/>
        </w:rPr>
        <w:t>).</w:t>
      </w:r>
    </w:p>
    <w:p w14:paraId="5E9B75AB" w14:textId="77777777" w:rsidR="002337C2" w:rsidRPr="002337C2" w:rsidRDefault="002337C2" w:rsidP="002337C2">
      <w:pPr>
        <w:tabs>
          <w:tab w:val="clear" w:pos="567"/>
        </w:tabs>
        <w:snapToGrid/>
        <w:spacing w:after="200" w:line="276" w:lineRule="auto"/>
        <w:ind w:left="0"/>
        <w:jc w:val="left"/>
        <w:rPr>
          <w:rFonts w:eastAsiaTheme="minorHAnsi"/>
          <w:lang w:val="en-GB" w:eastAsia="en-US"/>
        </w:rPr>
      </w:pPr>
      <w:r w:rsidRPr="002337C2">
        <w:rPr>
          <w:rFonts w:eastAsiaTheme="minorHAnsi"/>
          <w:lang w:val="en-GB" w:eastAsia="en-US"/>
        </w:rPr>
        <w:t>The images of this publication do not fall under the CC-BY-SA licence and may not be used, reproduced, or commercialized without the prior permission of the copyright holders.</w:t>
      </w:r>
    </w:p>
    <w:p w14:paraId="0CFE15CA" w14:textId="77777777" w:rsidR="002337C2" w:rsidRPr="002337C2" w:rsidRDefault="002337C2" w:rsidP="002337C2">
      <w:pPr>
        <w:tabs>
          <w:tab w:val="clear" w:pos="567"/>
        </w:tabs>
        <w:snapToGrid/>
        <w:spacing w:after="200" w:line="276" w:lineRule="auto"/>
        <w:ind w:left="0"/>
        <w:jc w:val="left"/>
        <w:rPr>
          <w:rFonts w:eastAsiaTheme="minorHAnsi"/>
          <w:lang w:val="en-GB" w:eastAsia="en-US"/>
        </w:rPr>
      </w:pPr>
      <w:r w:rsidRPr="002337C2">
        <w:rPr>
          <w:rFonts w:eastAsiaTheme="minorHAnsi"/>
          <w:lang w:val="en-GB" w:eastAsia="en-US"/>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038F0E76" w14:textId="63661B41" w:rsidR="002337C2" w:rsidRPr="002337C2" w:rsidRDefault="002337C2" w:rsidP="002337C2">
      <w:pPr>
        <w:tabs>
          <w:tab w:val="clear" w:pos="567"/>
        </w:tabs>
        <w:snapToGrid/>
        <w:spacing w:after="200" w:line="276" w:lineRule="auto"/>
        <w:ind w:left="0"/>
        <w:jc w:val="left"/>
        <w:rPr>
          <w:rFonts w:eastAsiaTheme="minorHAnsi"/>
          <w:lang w:val="en-GB" w:eastAsia="en-US"/>
        </w:rPr>
      </w:pPr>
      <w:r w:rsidRPr="002337C2">
        <w:rPr>
          <w:rFonts w:eastAsiaTheme="minorHAnsi"/>
          <w:lang w:val="en-GB" w:eastAsia="en-US"/>
        </w:rPr>
        <w:t>The ideas and opinions expressed in this publication are those of the authors; they are not necessarily those of UNESCO and do not commit the Organization.</w:t>
      </w:r>
    </w:p>
    <w:p w14:paraId="274AF73D" w14:textId="764DAC8A" w:rsidR="0013791E" w:rsidRPr="00276288" w:rsidRDefault="0013791E" w:rsidP="00276288">
      <w:pPr>
        <w:rPr>
          <w:rFonts w:eastAsia="Times New Roman"/>
          <w:noProof/>
          <w:color w:val="3366FF"/>
          <w:kern w:val="28"/>
          <w:sz w:val="48"/>
          <w:szCs w:val="48"/>
          <w:lang w:val="en-US"/>
        </w:rPr>
      </w:pPr>
      <w:r w:rsidRPr="0013791E">
        <w:rPr>
          <w:lang w:val="en-US"/>
        </w:rPr>
        <w:br w:type="page"/>
      </w:r>
    </w:p>
    <w:p w14:paraId="1BCA64BF" w14:textId="464F7FA1" w:rsidR="002B3157" w:rsidRPr="00276288" w:rsidRDefault="005B0690" w:rsidP="00276288">
      <w:pPr>
        <w:keepLines/>
        <w:widowControl w:val="0"/>
        <w:tabs>
          <w:tab w:val="left" w:pos="851"/>
        </w:tabs>
        <w:spacing w:before="480" w:after="240" w:line="480" w:lineRule="exact"/>
        <w:ind w:left="0"/>
        <w:jc w:val="left"/>
        <w:outlineLvl w:val="0"/>
        <w:rPr>
          <w:b/>
          <w:caps/>
          <w:snapToGrid w:val="0"/>
          <w:color w:val="3366FF"/>
          <w:kern w:val="28"/>
          <w:sz w:val="32"/>
          <w:szCs w:val="24"/>
          <w:lang w:val="en-US"/>
        </w:rPr>
      </w:pPr>
      <w:r w:rsidRPr="00276288">
        <w:rPr>
          <w:b/>
          <w:caps/>
          <w:snapToGrid w:val="0"/>
          <w:color w:val="3366FF"/>
          <w:kern w:val="28"/>
          <w:sz w:val="32"/>
          <w:szCs w:val="24"/>
          <w:lang w:val="en-US"/>
        </w:rPr>
        <w:lastRenderedPageBreak/>
        <w:t>participant text</w:t>
      </w:r>
    </w:p>
    <w:bookmarkEnd w:id="0"/>
    <w:bookmarkEnd w:id="1"/>
    <w:bookmarkEnd w:id="2"/>
    <w:p w14:paraId="3E87B732" w14:textId="77777777" w:rsidR="00741F8D" w:rsidRPr="00E92C6B" w:rsidRDefault="00741F8D" w:rsidP="00E92C6B">
      <w:pPr>
        <w:pStyle w:val="Para"/>
      </w:pPr>
      <w:r w:rsidRPr="00E92C6B">
        <w:t xml:space="preserve">This </w:t>
      </w:r>
      <w:r w:rsidR="00A31F35" w:rsidRPr="00E92C6B">
        <w:t>unit</w:t>
      </w:r>
      <w:r w:rsidRPr="00E92C6B">
        <w:t xml:space="preserve"> covers the following topics:</w:t>
      </w:r>
    </w:p>
    <w:p w14:paraId="778BE1C3" w14:textId="77777777" w:rsidR="00741F8D" w:rsidRPr="00E92C6B" w:rsidRDefault="00BA7B83" w:rsidP="00E92C6B">
      <w:pPr>
        <w:pStyle w:val="Para"/>
        <w:numPr>
          <w:ilvl w:val="0"/>
          <w:numId w:val="521"/>
        </w:numPr>
      </w:pPr>
      <w:r w:rsidRPr="00E92C6B">
        <w:t>C</w:t>
      </w:r>
      <w:r w:rsidR="00741F8D" w:rsidRPr="00E92C6B">
        <w:t>apacity-building workshops for implementing the</w:t>
      </w:r>
      <w:r w:rsidR="00DD01F3" w:rsidRPr="00E92C6B">
        <w:t xml:space="preserve"> </w:t>
      </w:r>
      <w:r w:rsidR="00741F8D" w:rsidRPr="00E92C6B">
        <w:t>UNESCO Convention for the Safeguarding of the Intangible Cultural Heritage</w:t>
      </w:r>
      <w:r w:rsidR="0098323A" w:rsidRPr="00E92C6B">
        <w:t>.</w:t>
      </w:r>
      <w:r w:rsidR="009F15C2" w:rsidRPr="0061652D">
        <w:rPr>
          <w:vertAlign w:val="superscript"/>
        </w:rPr>
        <w:footnoteReference w:id="1"/>
      </w:r>
    </w:p>
    <w:p w14:paraId="4C60E58F" w14:textId="77777777" w:rsidR="00741F8D" w:rsidRPr="00E92C6B" w:rsidRDefault="00BA7B83" w:rsidP="00E92C6B">
      <w:pPr>
        <w:pStyle w:val="Para"/>
        <w:numPr>
          <w:ilvl w:val="0"/>
          <w:numId w:val="521"/>
        </w:numPr>
      </w:pPr>
      <w:r w:rsidRPr="00E92C6B">
        <w:t>T</w:t>
      </w:r>
      <w:r w:rsidR="00741F8D" w:rsidRPr="00E92C6B">
        <w:t xml:space="preserve">he use of </w:t>
      </w:r>
      <w:r w:rsidR="006825F1" w:rsidRPr="00E92C6B">
        <w:t xml:space="preserve">the </w:t>
      </w:r>
      <w:r w:rsidR="00D963DE" w:rsidRPr="00E92C6B">
        <w:t xml:space="preserve">capacity-building </w:t>
      </w:r>
      <w:r w:rsidR="006825F1" w:rsidRPr="00E92C6B">
        <w:t>materials</w:t>
      </w:r>
      <w:r w:rsidRPr="00E92C6B">
        <w:t>.</w:t>
      </w:r>
    </w:p>
    <w:p w14:paraId="6850BA6F" w14:textId="112102C5" w:rsidR="00AB7F55" w:rsidRPr="00E92C6B" w:rsidRDefault="00EC5AA0" w:rsidP="00E92C6B">
      <w:pPr>
        <w:pStyle w:val="Para"/>
        <w:numPr>
          <w:ilvl w:val="0"/>
          <w:numId w:val="521"/>
        </w:numPr>
      </w:pPr>
      <w:r w:rsidRPr="00E92C6B">
        <w:t>The content of the regional workshop on periodic reporting</w:t>
      </w:r>
    </w:p>
    <w:p w14:paraId="7C0D1F18" w14:textId="66FBEE61" w:rsidR="008F5EDF" w:rsidRPr="00E92C6B" w:rsidRDefault="008F5EDF" w:rsidP="00E92C6B">
      <w:pPr>
        <w:pStyle w:val="MainText"/>
      </w:pPr>
      <w:r w:rsidRPr="00E92C6B">
        <w:t>Participant’s text Unit </w:t>
      </w:r>
      <w:r w:rsidR="0061652D">
        <w:t>56</w:t>
      </w:r>
      <w:r w:rsidRPr="00E92C6B">
        <w:t xml:space="preserve"> provides some background for participants: it introduces this workshop and explains its place in the series of workshops developed by UNESCO in the framework of its global capacity-building strategy for the implementation of the Convention at national level. It explains how to use the </w:t>
      </w:r>
      <w:r w:rsidR="00082930" w:rsidRPr="00E92C6B">
        <w:t>p</w:t>
      </w:r>
      <w:r w:rsidRPr="00E92C6B">
        <w:t>articipant’s text and provides guidance on the use of abbreviations/terminology. It also provides information on the concepts of ICH and safeguarding.</w:t>
      </w:r>
    </w:p>
    <w:p w14:paraId="1E6ED5B4" w14:textId="77777777" w:rsidR="00862581" w:rsidRPr="00E64463" w:rsidRDefault="00862581" w:rsidP="0061652D">
      <w:pPr>
        <w:pStyle w:val="Style1"/>
      </w:pPr>
      <w:bookmarkStart w:id="3" w:name="_Toc241229645"/>
      <w:bookmarkStart w:id="4" w:name="_Toc241229849"/>
      <w:bookmarkStart w:id="5" w:name="_Toc242165542"/>
      <w:r w:rsidRPr="00E64463">
        <w:rPr>
          <w:rFonts w:hint="eastAsia"/>
        </w:rPr>
        <w:t>1.1</w:t>
      </w:r>
      <w:r w:rsidR="00677A68">
        <w:tab/>
      </w:r>
      <w:r w:rsidRPr="00800B6A">
        <w:t xml:space="preserve">A </w:t>
      </w:r>
      <w:bookmarkEnd w:id="3"/>
      <w:bookmarkEnd w:id="4"/>
      <w:bookmarkEnd w:id="5"/>
      <w:r w:rsidR="009A085A" w:rsidRPr="00800B6A">
        <w:t>capacity-building curriculum</w:t>
      </w:r>
    </w:p>
    <w:p w14:paraId="4BEDE661" w14:textId="77777777" w:rsidR="00862581" w:rsidRPr="0061652D" w:rsidRDefault="00862581" w:rsidP="0061652D">
      <w:pPr>
        <w:pStyle w:val="Style2"/>
      </w:pPr>
      <w:r w:rsidRPr="0061652D">
        <w:t>Capacity-building workshops</w:t>
      </w:r>
    </w:p>
    <w:p w14:paraId="00ABFABF" w14:textId="170560EA" w:rsidR="00B33320" w:rsidRPr="00496C7B" w:rsidRDefault="004A1DE9" w:rsidP="0061652D">
      <w:pPr>
        <w:pStyle w:val="MainText"/>
      </w:pPr>
      <w:r w:rsidRPr="00496C7B">
        <w:t xml:space="preserve">The </w:t>
      </w:r>
      <w:r w:rsidR="00090852" w:rsidRPr="00496C7B">
        <w:t xml:space="preserve">Secretariat has developed a series of </w:t>
      </w:r>
      <w:r w:rsidRPr="00496C7B">
        <w:t>capacity-building workshops</w:t>
      </w:r>
      <w:r w:rsidR="00090852" w:rsidRPr="00496C7B">
        <w:t xml:space="preserve"> that</w:t>
      </w:r>
      <w:r w:rsidRPr="00496C7B">
        <w:t xml:space="preserve"> cover</w:t>
      </w:r>
      <w:r w:rsidR="00B33320" w:rsidRPr="00496C7B">
        <w:t xml:space="preserve"> different themes </w:t>
      </w:r>
      <w:r w:rsidR="00090852" w:rsidRPr="00496C7B">
        <w:t xml:space="preserve">related to the implementation of the Convention </w:t>
      </w:r>
      <w:r w:rsidR="00B33320" w:rsidRPr="00496C7B">
        <w:t>such as ratification, implementation</w:t>
      </w:r>
      <w:r w:rsidR="00090852" w:rsidRPr="00496C7B">
        <w:t xml:space="preserve"> of the Convention at the national level</w:t>
      </w:r>
      <w:r w:rsidR="00B33320" w:rsidRPr="00496C7B">
        <w:t>, community-based inventorying</w:t>
      </w:r>
      <w:r w:rsidR="00540639" w:rsidRPr="00496C7B">
        <w:t>,</w:t>
      </w:r>
      <w:r w:rsidR="00B33320" w:rsidRPr="00496C7B">
        <w:t xml:space="preserve"> nominations </w:t>
      </w:r>
      <w:r w:rsidR="00760875">
        <w:t>and</w:t>
      </w:r>
      <w:r w:rsidR="00B33320" w:rsidRPr="00496C7B">
        <w:t xml:space="preserve"> development of safeguarding plans.</w:t>
      </w:r>
      <w:r w:rsidR="00075EFF" w:rsidRPr="00496C7B">
        <w:t xml:space="preserve"> </w:t>
      </w:r>
      <w:r w:rsidR="00090852" w:rsidRPr="00496C7B">
        <w:t xml:space="preserve">Further themes are currently under development. </w:t>
      </w:r>
      <w:r w:rsidR="00075EFF" w:rsidRPr="00496C7B">
        <w:t xml:space="preserve">The workshops themselves </w:t>
      </w:r>
      <w:r w:rsidR="00B71610" w:rsidRPr="00496C7B">
        <w:t>are</w:t>
      </w:r>
      <w:r w:rsidR="00075EFF" w:rsidRPr="00496C7B">
        <w:t xml:space="preserve"> customized to the needs of the participants and the countries </w:t>
      </w:r>
      <w:r w:rsidR="00671977">
        <w:t xml:space="preserve">from which </w:t>
      </w:r>
      <w:r w:rsidR="00075EFF" w:rsidRPr="00496C7B">
        <w:t>they come</w:t>
      </w:r>
      <w:r w:rsidR="00671977">
        <w:t>.</w:t>
      </w:r>
      <w:r w:rsidR="002F59FF" w:rsidRPr="00496C7B">
        <w:t xml:space="preserve"> Interactive discussions </w:t>
      </w:r>
      <w:r w:rsidR="00B276AF" w:rsidRPr="00496C7B">
        <w:t>are</w:t>
      </w:r>
      <w:r w:rsidR="002F59FF" w:rsidRPr="00496C7B">
        <w:t xml:space="preserve"> organized around themes that are especially important for participants.</w:t>
      </w:r>
    </w:p>
    <w:p w14:paraId="60BF2D41" w14:textId="77777777" w:rsidR="00862581" w:rsidRPr="0001293F" w:rsidRDefault="0055120D" w:rsidP="0061652D">
      <w:pPr>
        <w:pStyle w:val="Style2"/>
        <w:rPr>
          <w:w w:val="108"/>
        </w:rPr>
      </w:pPr>
      <w:r w:rsidRPr="0001293F">
        <w:rPr>
          <w:w w:val="108"/>
        </w:rPr>
        <w:t xml:space="preserve">TRAINING </w:t>
      </w:r>
      <w:r w:rsidR="0079365E">
        <w:rPr>
          <w:w w:val="108"/>
        </w:rPr>
        <w:t>Materials</w:t>
      </w:r>
    </w:p>
    <w:p w14:paraId="2137F57A" w14:textId="77777777" w:rsidR="0030639A" w:rsidRDefault="00CF7E9C" w:rsidP="0061652D">
      <w:pPr>
        <w:pStyle w:val="MainText"/>
      </w:pPr>
      <w:r>
        <w:t>T</w:t>
      </w:r>
      <w:r w:rsidR="00272FC4">
        <w:t>raining</w:t>
      </w:r>
      <w:r w:rsidR="00272FC4" w:rsidRPr="0001293F">
        <w:t xml:space="preserve"> </w:t>
      </w:r>
      <w:r w:rsidR="00F60D75" w:rsidRPr="0001293F">
        <w:t xml:space="preserve">materials </w:t>
      </w:r>
      <w:r>
        <w:t xml:space="preserve">for the workshops </w:t>
      </w:r>
      <w:r w:rsidR="00F60D75" w:rsidRPr="0001293F">
        <w:t xml:space="preserve">were developed by internationally recognized experts in the field of </w:t>
      </w:r>
      <w:r w:rsidR="00302388">
        <w:t>ICH</w:t>
      </w:r>
      <w:r w:rsidR="00F60D75" w:rsidRPr="0001293F">
        <w:t>. Designed to be easily adaptable to local needs, these materials</w:t>
      </w:r>
      <w:r w:rsidR="00760875">
        <w:t xml:space="preserve"> are divided into units which include Facilitator’s notes, Participant’s texts, PowerPoint presentations,</w:t>
      </w:r>
      <w:r w:rsidR="00F60D75" w:rsidRPr="0001293F">
        <w:t xml:space="preserve"> exercises</w:t>
      </w:r>
      <w:r w:rsidR="0030639A">
        <w:t>,</w:t>
      </w:r>
      <w:r w:rsidR="00F60D75" w:rsidRPr="0001293F">
        <w:t xml:space="preserve"> quizzes</w:t>
      </w:r>
      <w:r w:rsidR="002F0C20">
        <w:t xml:space="preserve"> and a wide range of</w:t>
      </w:r>
      <w:r w:rsidR="0030639A">
        <w:t xml:space="preserve"> case studies</w:t>
      </w:r>
      <w:r w:rsidR="00F60D75" w:rsidRPr="0001293F">
        <w:t>.</w:t>
      </w:r>
      <w:r w:rsidR="003A3354">
        <w:t xml:space="preserve"> </w:t>
      </w:r>
      <w:r w:rsidR="003A3354" w:rsidRPr="00787639">
        <w:t xml:space="preserve">The training materials frequently refer to </w:t>
      </w:r>
      <w:r w:rsidR="00F416E5">
        <w:t>A</w:t>
      </w:r>
      <w:r w:rsidR="003A3354" w:rsidRPr="00787639">
        <w:t xml:space="preserve">rticles of the Convention and paragraphs of the </w:t>
      </w:r>
      <w:r w:rsidR="003A3354">
        <w:t>Operational Directives (ODs)</w:t>
      </w:r>
      <w:r w:rsidR="00760875">
        <w:t>.</w:t>
      </w:r>
      <w:r w:rsidR="003A3354" w:rsidRPr="00787639">
        <w:t xml:space="preserve"> </w:t>
      </w:r>
      <w:r w:rsidR="00760875">
        <w:t>T</w:t>
      </w:r>
      <w:r w:rsidR="003A3354" w:rsidRPr="00787639">
        <w:t xml:space="preserve">hese texts </w:t>
      </w:r>
      <w:r w:rsidR="00760875">
        <w:t>should</w:t>
      </w:r>
      <w:r w:rsidR="003A3354" w:rsidRPr="00787639">
        <w:t xml:space="preserve"> therefore also be used during the </w:t>
      </w:r>
      <w:r w:rsidR="009D6F85">
        <w:t>workshops</w:t>
      </w:r>
      <w:r w:rsidR="003A3354" w:rsidRPr="00787639">
        <w:t>.</w:t>
      </w:r>
    </w:p>
    <w:p w14:paraId="7AD1069C" w14:textId="4C171C8E" w:rsidR="00F60D75" w:rsidRPr="0001293F" w:rsidRDefault="00272FC4" w:rsidP="0061652D">
      <w:pPr>
        <w:pStyle w:val="MainText"/>
      </w:pPr>
      <w:r>
        <w:t>M</w:t>
      </w:r>
      <w:r w:rsidR="00F60D75" w:rsidRPr="0001293F">
        <w:t xml:space="preserve">aterials </w:t>
      </w:r>
      <w:r w:rsidR="00540639">
        <w:t>were</w:t>
      </w:r>
      <w:r w:rsidR="00F60D75" w:rsidRPr="0001293F">
        <w:t xml:space="preserve"> tested by facilitators </w:t>
      </w:r>
      <w:r w:rsidR="00760875">
        <w:t>with</w:t>
      </w:r>
      <w:r w:rsidR="00F60D75" w:rsidRPr="0001293F">
        <w:t xml:space="preserve"> different audiences around the world</w:t>
      </w:r>
      <w:r w:rsidR="003D41AA" w:rsidRPr="0001293F">
        <w:t>.</w:t>
      </w:r>
      <w:r w:rsidR="00862581" w:rsidRPr="0001293F">
        <w:t xml:space="preserve"> All materials are available electronically for use by facilitators</w:t>
      </w:r>
      <w:r w:rsidR="009D6F85">
        <w:t xml:space="preserve"> </w:t>
      </w:r>
      <w:r w:rsidR="009D6F85" w:rsidRPr="009D6F85">
        <w:t>in English</w:t>
      </w:r>
      <w:r w:rsidR="008825A0">
        <w:t>.</w:t>
      </w:r>
      <w:r w:rsidR="009D6F85" w:rsidRPr="000B0AC0">
        <w:t xml:space="preserve"> </w:t>
      </w:r>
      <w:r w:rsidR="008825A0">
        <w:t>S</w:t>
      </w:r>
      <w:r w:rsidR="009D6F85" w:rsidRPr="000B0AC0">
        <w:t xml:space="preserve">ome </w:t>
      </w:r>
      <w:r w:rsidR="008825A0">
        <w:t>units are also</w:t>
      </w:r>
      <w:r w:rsidR="009D6F85" w:rsidRPr="000B0AC0">
        <w:t xml:space="preserve"> in French, Spanish,</w:t>
      </w:r>
      <w:r w:rsidR="008825A0">
        <w:t xml:space="preserve"> </w:t>
      </w:r>
      <w:r w:rsidR="0061652D">
        <w:t>Portuguese</w:t>
      </w:r>
      <w:r w:rsidR="008825A0">
        <w:t>,</w:t>
      </w:r>
      <w:r w:rsidR="009D6F85" w:rsidRPr="000B0AC0">
        <w:t xml:space="preserve"> Russian and Arabic.</w:t>
      </w:r>
    </w:p>
    <w:p w14:paraId="3FF77ED7" w14:textId="58C041E6" w:rsidR="00F60D75" w:rsidRPr="0001293F" w:rsidRDefault="00F60D75" w:rsidP="0061652D">
      <w:pPr>
        <w:pStyle w:val="MainText"/>
      </w:pPr>
      <w:r w:rsidRPr="0001293F">
        <w:t>Th</w:t>
      </w:r>
      <w:r w:rsidR="00042916">
        <w:t xml:space="preserve">e </w:t>
      </w:r>
      <w:r w:rsidRPr="0001293F">
        <w:t>core curricul</w:t>
      </w:r>
      <w:r w:rsidR="002B3E72">
        <w:t>um</w:t>
      </w:r>
      <w:r w:rsidRPr="0001293F">
        <w:t xml:space="preserve"> is far from closed. On the contrary, the strategy foresees a continuous process of development of new topics and of improvement and adaptation of the existing materials to reflect the feedback received from facilitators and participants and to adapt them effectively to the specific needs </w:t>
      </w:r>
      <w:r w:rsidR="008825A0">
        <w:t>of</w:t>
      </w:r>
      <w:r w:rsidRPr="0001293F">
        <w:t xml:space="preserve"> each State. This updating process concerns not only content development but also the design and packaging of the training curricula to increase their educational effectiveness, attractiveness and ease of reproduction.</w:t>
      </w:r>
    </w:p>
    <w:p w14:paraId="3E55BED9" w14:textId="65B1164F" w:rsidR="00E960CF" w:rsidRPr="00C83C46" w:rsidRDefault="0055120D" w:rsidP="00C83C46">
      <w:pPr>
        <w:pStyle w:val="MainText"/>
      </w:pPr>
      <w:r w:rsidRPr="0001293F">
        <w:lastRenderedPageBreak/>
        <w:t>Training materials are used not only in the context of workshops. They have also been designed as sources of information to accompany the longer-term initiatives such as policy rev</w:t>
      </w:r>
      <w:r w:rsidR="0079365E">
        <w:t>ision or institutional reforms.</w:t>
      </w:r>
    </w:p>
    <w:p w14:paraId="7A876FAF" w14:textId="4CE59877" w:rsidR="00E960CF" w:rsidRPr="00A91355" w:rsidRDefault="00A91355" w:rsidP="00C83C46">
      <w:pPr>
        <w:pStyle w:val="Style1"/>
      </w:pPr>
      <w:bookmarkStart w:id="6" w:name="_Toc241229647"/>
      <w:bookmarkStart w:id="7" w:name="_Toc241229851"/>
      <w:bookmarkStart w:id="8" w:name="_Toc242165544"/>
      <w:r>
        <w:t>1</w:t>
      </w:r>
      <w:r w:rsidR="00E960CF" w:rsidRPr="00A91355">
        <w:t>.</w:t>
      </w:r>
      <w:r w:rsidR="00160D09">
        <w:t>2</w:t>
      </w:r>
      <w:r w:rsidR="00677A68">
        <w:tab/>
      </w:r>
      <w:bookmarkEnd w:id="6"/>
      <w:bookmarkEnd w:id="7"/>
      <w:bookmarkEnd w:id="8"/>
      <w:r w:rsidR="00382EB4">
        <w:t>Structure</w:t>
      </w:r>
    </w:p>
    <w:p w14:paraId="38D47925" w14:textId="13E4B55F" w:rsidR="00C25E85" w:rsidRPr="003A56ED" w:rsidRDefault="00C25E85" w:rsidP="00C83C46">
      <w:pPr>
        <w:pStyle w:val="MainText"/>
      </w:pPr>
      <w:r w:rsidRPr="003A56ED">
        <w:t xml:space="preserve">The </w:t>
      </w:r>
      <w:r>
        <w:t>Participant’s </w:t>
      </w:r>
      <w:r w:rsidRPr="00940083">
        <w:t xml:space="preserve">text </w:t>
      </w:r>
      <w:r w:rsidRPr="006E7CEB">
        <w:t xml:space="preserve">of the </w:t>
      </w:r>
      <w:r>
        <w:t>thre</w:t>
      </w:r>
      <w:r w:rsidRPr="006E7CEB">
        <w:t xml:space="preserve">e-day workshop </w:t>
      </w:r>
      <w:r w:rsidRPr="002349E9">
        <w:t xml:space="preserve">covers </w:t>
      </w:r>
      <w:r>
        <w:t>seven</w:t>
      </w:r>
      <w:r w:rsidRPr="002349E9">
        <w:t xml:space="preserve"> units</w:t>
      </w:r>
      <w:r>
        <w:t>, most of which are</w:t>
      </w:r>
      <w:r w:rsidRPr="002349E9">
        <w:t xml:space="preserve"> </w:t>
      </w:r>
      <w:r w:rsidRPr="003A56ED">
        <w:t>practical</w:t>
      </w:r>
      <w:r>
        <w:t xml:space="preserve">. It is aimed both at providing not only an understanding of the </w:t>
      </w:r>
      <w:r w:rsidR="00C83C46">
        <w:t>o</w:t>
      </w:r>
      <w:r>
        <w:t xml:space="preserve">verall </w:t>
      </w:r>
      <w:r w:rsidR="00C83C46">
        <w:t>r</w:t>
      </w:r>
      <w:r>
        <w:t xml:space="preserve">esults </w:t>
      </w:r>
      <w:r w:rsidR="00C83C46">
        <w:t>f</w:t>
      </w:r>
      <w:r>
        <w:t>ramework developed for the 2003 Convention and the revision of the periodic reporting system, and also to provide participants with direct, hands-on experience of the online reporting tool and supporting materials. It is also designed to encourage participants to reflect upon their role(s) in this process, especially as national Focal Points, and on how it can be rolled out in their own country and the region</w:t>
      </w:r>
      <w:r w:rsidRPr="003A56ED">
        <w:t>.</w:t>
      </w:r>
    </w:p>
    <w:p w14:paraId="4A3861EC" w14:textId="4831F111" w:rsidR="009A7B60" w:rsidRDefault="00C25E85" w:rsidP="00C83C46">
      <w:pPr>
        <w:pStyle w:val="MainText"/>
      </w:pPr>
      <w:r w:rsidRPr="00B255C4">
        <w:t>The</w:t>
      </w:r>
      <w:r w:rsidR="00B255C4">
        <w:t xml:space="preserve"> workshop begins with </w:t>
      </w:r>
      <w:r w:rsidR="009A7B60">
        <w:t xml:space="preserve">a brief introductory unit followed by </w:t>
      </w:r>
      <w:r w:rsidR="00B255C4">
        <w:t>two units in which important information is imparted that the participants will need to move onto the more practical sessions later on in the workshop</w:t>
      </w:r>
      <w:r w:rsidR="009A7B60">
        <w:t>. The units are as follows:</w:t>
      </w:r>
    </w:p>
    <w:p w14:paraId="701180A2" w14:textId="78128064" w:rsidR="00C25E85" w:rsidRPr="009A7B60" w:rsidRDefault="00C25E85" w:rsidP="00C83C46">
      <w:pPr>
        <w:pStyle w:val="MainText"/>
        <w:ind w:left="567"/>
        <w:rPr>
          <w:bCs/>
          <w:szCs w:val="24"/>
        </w:rPr>
      </w:pPr>
      <w:r w:rsidRPr="00B255C4">
        <w:rPr>
          <w:b/>
          <w:szCs w:val="24"/>
        </w:rPr>
        <w:t>Unit </w:t>
      </w:r>
      <w:r w:rsidR="007B4909">
        <w:rPr>
          <w:b/>
          <w:szCs w:val="24"/>
        </w:rPr>
        <w:t>56</w:t>
      </w:r>
      <w:r w:rsidRPr="00B255C4">
        <w:rPr>
          <w:b/>
          <w:szCs w:val="24"/>
        </w:rPr>
        <w:t xml:space="preserve"> </w:t>
      </w:r>
      <w:r w:rsidR="009A7B60" w:rsidRPr="009A7B60">
        <w:rPr>
          <w:bCs/>
          <w:szCs w:val="24"/>
        </w:rPr>
        <w:t>opens</w:t>
      </w:r>
      <w:r w:rsidR="001967AD">
        <w:rPr>
          <w:bCs/>
          <w:szCs w:val="24"/>
        </w:rPr>
        <w:t xml:space="preserve"> and introduces </w:t>
      </w:r>
      <w:r w:rsidR="009A7B60" w:rsidRPr="009A7B60">
        <w:rPr>
          <w:bCs/>
          <w:szCs w:val="24"/>
        </w:rPr>
        <w:t>the workshop, participants and facilitators.</w:t>
      </w:r>
    </w:p>
    <w:p w14:paraId="6A80C840" w14:textId="7475F134" w:rsidR="00C25E85" w:rsidRPr="00B255C4" w:rsidRDefault="007B4909" w:rsidP="00C83C46">
      <w:pPr>
        <w:pStyle w:val="MainText"/>
        <w:ind w:left="567"/>
        <w:rPr>
          <w:bCs/>
          <w:szCs w:val="24"/>
        </w:rPr>
      </w:pPr>
      <w:r>
        <w:rPr>
          <w:b/>
          <w:szCs w:val="24"/>
        </w:rPr>
        <w:t>Unit 57</w:t>
      </w:r>
      <w:r w:rsidR="00C25E85" w:rsidRPr="00B255C4">
        <w:rPr>
          <w:b/>
          <w:szCs w:val="24"/>
        </w:rPr>
        <w:t xml:space="preserve"> </w:t>
      </w:r>
      <w:r w:rsidR="006F2570" w:rsidRPr="00B255C4">
        <w:rPr>
          <w:bCs/>
          <w:szCs w:val="24"/>
        </w:rPr>
        <w:t>introduces periodic reporting</w:t>
      </w:r>
      <w:r w:rsidR="001967AD">
        <w:rPr>
          <w:bCs/>
          <w:szCs w:val="24"/>
        </w:rPr>
        <w:t xml:space="preserve"> </w:t>
      </w:r>
      <w:r w:rsidR="00FB7A23">
        <w:rPr>
          <w:bCs/>
          <w:szCs w:val="24"/>
        </w:rPr>
        <w:t>and its benefits</w:t>
      </w:r>
      <w:r w:rsidR="00B054E9">
        <w:rPr>
          <w:bCs/>
          <w:szCs w:val="24"/>
        </w:rPr>
        <w:t xml:space="preserve"> </w:t>
      </w:r>
      <w:r w:rsidR="001967AD">
        <w:rPr>
          <w:bCs/>
          <w:szCs w:val="24"/>
        </w:rPr>
        <w:t xml:space="preserve">under the </w:t>
      </w:r>
      <w:r w:rsidR="006F2570" w:rsidRPr="00B255C4">
        <w:rPr>
          <w:bCs/>
          <w:szCs w:val="24"/>
        </w:rPr>
        <w:t>2003 Convention.</w:t>
      </w:r>
    </w:p>
    <w:p w14:paraId="698F33C3" w14:textId="50693935" w:rsidR="00C25E85" w:rsidRPr="00B255C4" w:rsidRDefault="007B4909" w:rsidP="00C83C46">
      <w:pPr>
        <w:pStyle w:val="MainText"/>
        <w:ind w:left="567"/>
        <w:rPr>
          <w:bCs/>
          <w:szCs w:val="24"/>
        </w:rPr>
      </w:pPr>
      <w:r>
        <w:rPr>
          <w:b/>
          <w:szCs w:val="24"/>
        </w:rPr>
        <w:t>Unit 58</w:t>
      </w:r>
      <w:r w:rsidR="006F2570" w:rsidRPr="00B255C4">
        <w:rPr>
          <w:b/>
          <w:szCs w:val="24"/>
        </w:rPr>
        <w:t xml:space="preserve"> </w:t>
      </w:r>
      <w:r w:rsidR="006F2570" w:rsidRPr="00B255C4">
        <w:rPr>
          <w:bCs/>
          <w:szCs w:val="24"/>
        </w:rPr>
        <w:t xml:space="preserve">introduces </w:t>
      </w:r>
      <w:r w:rsidR="00FB7A23" w:rsidRPr="001A4DD7">
        <w:rPr>
          <w:bCs/>
          <w:szCs w:val="24"/>
        </w:rPr>
        <w:t xml:space="preserve">results-based monitoring and </w:t>
      </w:r>
      <w:r w:rsidR="006F2570" w:rsidRPr="00B255C4">
        <w:rPr>
          <w:bCs/>
          <w:szCs w:val="24"/>
        </w:rPr>
        <w:t xml:space="preserve">the </w:t>
      </w:r>
      <w:r w:rsidR="00080963">
        <w:rPr>
          <w:bCs/>
          <w:szCs w:val="24"/>
        </w:rPr>
        <w:t>o</w:t>
      </w:r>
      <w:r w:rsidR="006F2570" w:rsidRPr="00B255C4">
        <w:rPr>
          <w:bCs/>
          <w:szCs w:val="24"/>
        </w:rPr>
        <w:t xml:space="preserve">verall </w:t>
      </w:r>
      <w:r w:rsidR="00080963">
        <w:rPr>
          <w:bCs/>
          <w:szCs w:val="24"/>
        </w:rPr>
        <w:t>r</w:t>
      </w:r>
      <w:r w:rsidR="006F2570" w:rsidRPr="00B255C4">
        <w:rPr>
          <w:bCs/>
          <w:szCs w:val="24"/>
        </w:rPr>
        <w:t xml:space="preserve">esults </w:t>
      </w:r>
      <w:r w:rsidR="00080963">
        <w:rPr>
          <w:bCs/>
          <w:szCs w:val="24"/>
        </w:rPr>
        <w:t>f</w:t>
      </w:r>
      <w:r w:rsidR="006F2570" w:rsidRPr="00B255C4">
        <w:rPr>
          <w:bCs/>
          <w:szCs w:val="24"/>
        </w:rPr>
        <w:t>ramework for the 2003 Convention.</w:t>
      </w:r>
    </w:p>
    <w:p w14:paraId="35C1AAFD" w14:textId="46B12044" w:rsidR="00C25E85" w:rsidRPr="00B255C4" w:rsidRDefault="007B4909" w:rsidP="00C83C46">
      <w:pPr>
        <w:pStyle w:val="MainText"/>
        <w:ind w:left="567"/>
        <w:rPr>
          <w:bCs/>
          <w:szCs w:val="24"/>
          <w:lang w:val="en-US"/>
        </w:rPr>
      </w:pPr>
      <w:r>
        <w:rPr>
          <w:b/>
          <w:szCs w:val="24"/>
        </w:rPr>
        <w:t>Unit 59</w:t>
      </w:r>
      <w:r w:rsidR="006F2570" w:rsidRPr="00B255C4">
        <w:rPr>
          <w:b/>
          <w:szCs w:val="24"/>
        </w:rPr>
        <w:t xml:space="preserve"> </w:t>
      </w:r>
      <w:r w:rsidR="001967AD">
        <w:rPr>
          <w:bCs/>
          <w:szCs w:val="24"/>
        </w:rPr>
        <w:t xml:space="preserve">focuses </w:t>
      </w:r>
      <w:r w:rsidR="006F2570" w:rsidRPr="00B255C4">
        <w:rPr>
          <w:bCs/>
          <w:szCs w:val="24"/>
        </w:rPr>
        <w:t xml:space="preserve">on periodic reporting with </w:t>
      </w:r>
      <w:r w:rsidR="001967AD">
        <w:rPr>
          <w:bCs/>
          <w:szCs w:val="24"/>
        </w:rPr>
        <w:t xml:space="preserve">a primarily </w:t>
      </w:r>
      <w:r w:rsidR="006F2570" w:rsidRPr="00B255C4">
        <w:rPr>
          <w:bCs/>
          <w:szCs w:val="24"/>
        </w:rPr>
        <w:t xml:space="preserve">practical </w:t>
      </w:r>
      <w:r w:rsidR="001967AD">
        <w:rPr>
          <w:bCs/>
          <w:szCs w:val="24"/>
        </w:rPr>
        <w:t>approach to</w:t>
      </w:r>
      <w:r w:rsidR="006F2570" w:rsidRPr="00B255C4">
        <w:rPr>
          <w:bCs/>
          <w:szCs w:val="24"/>
        </w:rPr>
        <w:t xml:space="preserve"> data and statistical information.</w:t>
      </w:r>
    </w:p>
    <w:p w14:paraId="61C97C02" w14:textId="2511A06B" w:rsidR="00C25E85" w:rsidRPr="00B255C4" w:rsidRDefault="00C25E85" w:rsidP="00C83C46">
      <w:pPr>
        <w:pStyle w:val="MainText"/>
        <w:ind w:left="567"/>
        <w:rPr>
          <w:szCs w:val="24"/>
          <w:lang w:val="en-US"/>
        </w:rPr>
      </w:pPr>
      <w:r w:rsidRPr="00B255C4">
        <w:rPr>
          <w:b/>
          <w:szCs w:val="24"/>
          <w:lang w:val="en-US"/>
        </w:rPr>
        <w:t>Unit</w:t>
      </w:r>
      <w:r w:rsidRPr="00B255C4">
        <w:rPr>
          <w:b/>
          <w:szCs w:val="24"/>
        </w:rPr>
        <w:t> </w:t>
      </w:r>
      <w:r w:rsidR="007B4909">
        <w:rPr>
          <w:b/>
          <w:szCs w:val="24"/>
          <w:lang w:val="en-US"/>
        </w:rPr>
        <w:t>60</w:t>
      </w:r>
      <w:r w:rsidRPr="00B255C4">
        <w:rPr>
          <w:szCs w:val="24"/>
          <w:lang w:val="en-US"/>
        </w:rPr>
        <w:t xml:space="preserve"> </w:t>
      </w:r>
      <w:r w:rsidR="001967AD">
        <w:rPr>
          <w:szCs w:val="24"/>
          <w:lang w:val="en-US"/>
        </w:rPr>
        <w:t xml:space="preserve">focuses </w:t>
      </w:r>
      <w:r w:rsidR="007C41B1" w:rsidRPr="00B255C4">
        <w:rPr>
          <w:szCs w:val="24"/>
          <w:lang w:val="en-US"/>
        </w:rPr>
        <w:t xml:space="preserve">on periodic reporting </w:t>
      </w:r>
      <w:r w:rsidR="001967AD">
        <w:rPr>
          <w:szCs w:val="24"/>
          <w:lang w:val="en-US"/>
        </w:rPr>
        <w:t>and</w:t>
      </w:r>
      <w:r w:rsidR="007C41B1" w:rsidRPr="00B255C4">
        <w:rPr>
          <w:szCs w:val="24"/>
          <w:lang w:val="en-US"/>
        </w:rPr>
        <w:t xml:space="preserve"> participatory approaches</w:t>
      </w:r>
      <w:r w:rsidR="001967AD">
        <w:rPr>
          <w:szCs w:val="24"/>
          <w:lang w:val="en-US"/>
        </w:rPr>
        <w:t xml:space="preserve"> to the process</w:t>
      </w:r>
      <w:r w:rsidR="007C41B1" w:rsidRPr="00B255C4">
        <w:rPr>
          <w:szCs w:val="24"/>
          <w:lang w:val="en-US"/>
        </w:rPr>
        <w:t>.</w:t>
      </w:r>
    </w:p>
    <w:p w14:paraId="09A7393D" w14:textId="624D73B2" w:rsidR="00C25E85" w:rsidRPr="00B255C4" w:rsidRDefault="007B4909" w:rsidP="00C83C46">
      <w:pPr>
        <w:pStyle w:val="MainText"/>
        <w:ind w:left="567"/>
        <w:rPr>
          <w:szCs w:val="24"/>
          <w:lang w:val="en-US"/>
        </w:rPr>
      </w:pPr>
      <w:r>
        <w:rPr>
          <w:b/>
          <w:szCs w:val="24"/>
          <w:lang w:val="en-US"/>
        </w:rPr>
        <w:t>Unit 61</w:t>
      </w:r>
      <w:r w:rsidR="00C25E85" w:rsidRPr="00B255C4">
        <w:rPr>
          <w:szCs w:val="24"/>
          <w:lang w:val="en-US"/>
        </w:rPr>
        <w:t xml:space="preserve"> </w:t>
      </w:r>
      <w:r w:rsidR="001967AD">
        <w:rPr>
          <w:szCs w:val="24"/>
          <w:lang w:val="en-US"/>
        </w:rPr>
        <w:t xml:space="preserve">focuses </w:t>
      </w:r>
      <w:r w:rsidR="00B255C4" w:rsidRPr="00B255C4">
        <w:rPr>
          <w:szCs w:val="24"/>
          <w:lang w:val="en-US"/>
        </w:rPr>
        <w:t xml:space="preserve">on filling out the periodic reporting form, </w:t>
      </w:r>
      <w:r w:rsidR="001967AD">
        <w:rPr>
          <w:szCs w:val="24"/>
          <w:lang w:val="en-US"/>
        </w:rPr>
        <w:t>giving</w:t>
      </w:r>
      <w:r w:rsidR="00B255C4" w:rsidRPr="00B255C4">
        <w:rPr>
          <w:szCs w:val="24"/>
          <w:lang w:val="en-US"/>
        </w:rPr>
        <w:t xml:space="preserve"> hands-on experience.</w:t>
      </w:r>
    </w:p>
    <w:p w14:paraId="44FD62A1" w14:textId="2FDC3F5F" w:rsidR="00BF57B3" w:rsidRPr="0070249B" w:rsidRDefault="007B4909" w:rsidP="00C83C46">
      <w:pPr>
        <w:pStyle w:val="MainText"/>
        <w:ind w:left="567"/>
      </w:pPr>
      <w:r>
        <w:rPr>
          <w:b/>
          <w:szCs w:val="24"/>
          <w:lang w:val="en-US"/>
        </w:rPr>
        <w:t>Unit 62</w:t>
      </w:r>
      <w:r w:rsidR="00C25E85" w:rsidRPr="00CE4441">
        <w:rPr>
          <w:szCs w:val="24"/>
          <w:lang w:val="en-US"/>
        </w:rPr>
        <w:t xml:space="preserve"> </w:t>
      </w:r>
      <w:r w:rsidR="00B255C4">
        <w:rPr>
          <w:szCs w:val="24"/>
          <w:lang w:val="en-US"/>
        </w:rPr>
        <w:t xml:space="preserve">wraps up the workshop with a </w:t>
      </w:r>
      <w:r w:rsidR="001967AD">
        <w:rPr>
          <w:szCs w:val="24"/>
          <w:lang w:val="en-US"/>
        </w:rPr>
        <w:t xml:space="preserve">review of </w:t>
      </w:r>
      <w:r w:rsidR="00B255C4">
        <w:rPr>
          <w:szCs w:val="24"/>
          <w:lang w:val="en-US"/>
        </w:rPr>
        <w:t>what has been learned</w:t>
      </w:r>
      <w:r w:rsidR="001967AD">
        <w:rPr>
          <w:szCs w:val="24"/>
          <w:lang w:val="en-US"/>
        </w:rPr>
        <w:t>,</w:t>
      </w:r>
      <w:r w:rsidR="00B255C4">
        <w:rPr>
          <w:szCs w:val="24"/>
          <w:lang w:val="en-US"/>
        </w:rPr>
        <w:t xml:space="preserve"> discussion concerning the future roll-out of periodic reporting and evaluation of the workshop.</w:t>
      </w:r>
    </w:p>
    <w:sectPr w:rsidR="00BF57B3" w:rsidRPr="0070249B" w:rsidSect="00737816">
      <w:headerReference w:type="even" r:id="rId11"/>
      <w:headerReference w:type="default" r:id="rId12"/>
      <w:footerReference w:type="even" r:id="rId13"/>
      <w:footerReference w:type="default" r:id="rId14"/>
      <w:headerReference w:type="first" r:id="rId15"/>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FB755" w14:textId="77777777" w:rsidR="00153F8C" w:rsidRDefault="00153F8C" w:rsidP="000F4C6A">
      <w:r>
        <w:separator/>
      </w:r>
    </w:p>
    <w:p w14:paraId="29A9152B" w14:textId="77777777" w:rsidR="00153F8C" w:rsidRDefault="00153F8C"/>
  </w:endnote>
  <w:endnote w:type="continuationSeparator" w:id="0">
    <w:p w14:paraId="7E97554F" w14:textId="77777777" w:rsidR="00153F8C" w:rsidRDefault="00153F8C" w:rsidP="000F4C6A">
      <w:r>
        <w:continuationSeparator/>
      </w:r>
    </w:p>
    <w:p w14:paraId="0EB0BD86" w14:textId="77777777" w:rsidR="00153F8C" w:rsidRDefault="00153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Myriad Pro">
    <w:altName w:val="Corbel"/>
    <w:panose1 w:val="020B0604020202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Gras">
    <w:altName w:val="Arial"/>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C134" w14:textId="13583F38" w:rsidR="00C74E03" w:rsidRPr="00276288" w:rsidRDefault="00276288" w:rsidP="00276288">
    <w:pPr>
      <w:pStyle w:val="Footer"/>
      <w:jc w:val="both"/>
      <w:rPr>
        <w:szCs w:val="16"/>
        <w:lang w:val="en-US"/>
      </w:rPr>
    </w:pPr>
    <w:r w:rsidRPr="007B1C89">
      <w:rPr>
        <w:noProof/>
        <w:szCs w:val="16"/>
        <w:lang w:eastAsia="fr-FR"/>
      </w:rPr>
      <w:drawing>
        <wp:anchor distT="0" distB="0" distL="114300" distR="114300" simplePos="0" relativeHeight="251660288" behindDoc="0" locked="0" layoutInCell="1" allowOverlap="1" wp14:anchorId="0AFEA17F" wp14:editId="46FFEDB2">
          <wp:simplePos x="0" y="0"/>
          <wp:positionH relativeFrom="column">
            <wp:posOffset>2429316</wp:posOffset>
          </wp:positionH>
          <wp:positionV relativeFrom="paragraph">
            <wp:posOffset>179070</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7B1C89">
      <w:rPr>
        <w:szCs w:val="16"/>
        <w:lang w:val="en-US"/>
      </w:rPr>
      <w:t>U0</w:t>
    </w:r>
    <w:r>
      <w:rPr>
        <w:szCs w:val="16"/>
        <w:lang w:val="en-US"/>
      </w:rPr>
      <w:t>56</w:t>
    </w:r>
    <w:r w:rsidRPr="007B1C89">
      <w:rPr>
        <w:szCs w:val="16"/>
        <w:lang w:val="en-US"/>
      </w:rPr>
      <w:t>-v1.</w:t>
    </w:r>
    <w:r>
      <w:rPr>
        <w:szCs w:val="16"/>
        <w:lang w:val="en-US"/>
      </w:rPr>
      <w:t>0</w:t>
    </w:r>
    <w:r w:rsidRPr="007B1C89">
      <w:rPr>
        <w:szCs w:val="16"/>
        <w:lang w:val="en-US"/>
      </w:rPr>
      <w:t>-PT-EN</w:t>
    </w:r>
    <w:r w:rsidRPr="007B1C89">
      <w:rPr>
        <w:szCs w:val="16"/>
        <w:lang w:val="en-US"/>
      </w:rPr>
      <w:tab/>
    </w:r>
    <w:r w:rsidRPr="007B1C89">
      <w:rPr>
        <w:szCs w:val="16"/>
        <w:lang w:val="en-US"/>
      </w:rPr>
      <w:tab/>
    </w:r>
    <w:r w:rsidRPr="007B1C89">
      <w:rPr>
        <w:noProof/>
        <w:szCs w:val="16"/>
        <w:lang w:eastAsia="fr-FR"/>
      </w:rPr>
      <w:drawing>
        <wp:anchor distT="0" distB="0" distL="114300" distR="114300" simplePos="0" relativeHeight="251659264" behindDoc="0" locked="1" layoutInCell="1" allowOverlap="0" wp14:anchorId="71D3A4D2" wp14:editId="6A234EA3">
          <wp:simplePos x="0" y="0"/>
          <wp:positionH relativeFrom="margin">
            <wp:posOffset>5147310</wp:posOffset>
          </wp:positionH>
          <wp:positionV relativeFrom="margin">
            <wp:posOffset>8926830</wp:posOffset>
          </wp:positionV>
          <wp:extent cx="942975" cy="538480"/>
          <wp:effectExtent l="0" t="0" r="0" b="0"/>
          <wp:wrapSquare wrapText="bothSides"/>
          <wp:docPr id="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4C56" w14:textId="0987458E" w:rsidR="00F17A23" w:rsidRPr="00F17A23" w:rsidRDefault="00F17A23" w:rsidP="00F17A23">
    <w:pPr>
      <w:pStyle w:val="Footer"/>
      <w:jc w:val="both"/>
      <w:rPr>
        <w:szCs w:val="16"/>
        <w:lang w:val="en-US"/>
      </w:rPr>
    </w:pPr>
    <w:r w:rsidRPr="007B1C89">
      <w:rPr>
        <w:noProof/>
        <w:szCs w:val="16"/>
        <w:lang w:eastAsia="fr-FR"/>
      </w:rPr>
      <w:drawing>
        <wp:anchor distT="0" distB="0" distL="114300" distR="114300" simplePos="0" relativeHeight="251663360" behindDoc="0" locked="0" layoutInCell="1" allowOverlap="1" wp14:anchorId="1FD80625" wp14:editId="61B42379">
          <wp:simplePos x="0" y="0"/>
          <wp:positionH relativeFrom="column">
            <wp:posOffset>2572440</wp:posOffset>
          </wp:positionH>
          <wp:positionV relativeFrom="paragraph">
            <wp:posOffset>51849</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7B1C89">
      <w:rPr>
        <w:szCs w:val="16"/>
        <w:lang w:val="en-US"/>
      </w:rPr>
      <w:t>U0</w:t>
    </w:r>
    <w:r>
      <w:rPr>
        <w:szCs w:val="16"/>
        <w:lang w:val="en-US"/>
      </w:rPr>
      <w:t>56</w:t>
    </w:r>
    <w:r w:rsidRPr="007B1C89">
      <w:rPr>
        <w:szCs w:val="16"/>
        <w:lang w:val="en-US"/>
      </w:rPr>
      <w:t>-v1.</w:t>
    </w:r>
    <w:r>
      <w:rPr>
        <w:szCs w:val="16"/>
        <w:lang w:val="en-US"/>
      </w:rPr>
      <w:t>0-PT-EN</w:t>
    </w:r>
    <w:r w:rsidRPr="007B1C89">
      <w:rPr>
        <w:noProof/>
        <w:szCs w:val="16"/>
        <w:lang w:eastAsia="fr-FR"/>
      </w:rPr>
      <w:drawing>
        <wp:anchor distT="0" distB="0" distL="114300" distR="114300" simplePos="0" relativeHeight="251662336" behindDoc="0" locked="1" layoutInCell="1" allowOverlap="0" wp14:anchorId="1FFAA36C" wp14:editId="6D5C1BF5">
          <wp:simplePos x="0" y="0"/>
          <wp:positionH relativeFrom="margin">
            <wp:posOffset>5147310</wp:posOffset>
          </wp:positionH>
          <wp:positionV relativeFrom="margin">
            <wp:posOffset>8926830</wp:posOffset>
          </wp:positionV>
          <wp:extent cx="942975" cy="538480"/>
          <wp:effectExtent l="0" t="0" r="0" b="0"/>
          <wp:wrapSquare wrapText="bothSides"/>
          <wp:docPr id="7"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DD0F" w14:textId="77777777" w:rsidR="00153F8C" w:rsidRDefault="00153F8C" w:rsidP="00117DDB">
      <w:pPr>
        <w:ind w:left="0"/>
      </w:pPr>
      <w:r>
        <w:separator/>
      </w:r>
    </w:p>
  </w:footnote>
  <w:footnote w:type="continuationSeparator" w:id="0">
    <w:p w14:paraId="3FED4FB1" w14:textId="77777777" w:rsidR="00153F8C" w:rsidRDefault="00153F8C" w:rsidP="000F4C6A">
      <w:r>
        <w:continuationSeparator/>
      </w:r>
    </w:p>
    <w:p w14:paraId="0E16FF23" w14:textId="77777777" w:rsidR="00153F8C" w:rsidRDefault="00153F8C"/>
  </w:footnote>
  <w:footnote w:id="1">
    <w:p w14:paraId="3210A53B" w14:textId="77777777" w:rsidR="009F15C2" w:rsidRPr="009F15C2" w:rsidRDefault="009F15C2" w:rsidP="009F15C2">
      <w:pPr>
        <w:pStyle w:val="FootnoteText"/>
        <w:rPr>
          <w:lang w:val="en-GB"/>
        </w:rPr>
      </w:pPr>
      <w:r w:rsidRPr="009F15C2">
        <w:rPr>
          <w:rStyle w:val="FootnoteReference"/>
          <w:sz w:val="16"/>
          <w:szCs w:val="16"/>
          <w:vertAlign w:val="baseline"/>
        </w:rPr>
        <w:footnoteRef/>
      </w:r>
      <w:r w:rsidRPr="009F15C2">
        <w:rPr>
          <w:lang w:val="en-GB"/>
        </w:rPr>
        <w:t>.</w:t>
      </w:r>
      <w:r w:rsidRPr="009F15C2">
        <w:rPr>
          <w:lang w:val="en-GB"/>
        </w:rPr>
        <w:tab/>
        <w:t>Frequently referred to as the ‘Intangible Heritage Convention’, the ‘2003 Convention’ and, for the purpose of this unit,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818A" w14:textId="5664A883" w:rsidR="0061652D" w:rsidRDefault="0061652D" w:rsidP="0061652D">
    <w:pPr>
      <w:pStyle w:val="Header"/>
    </w:pPr>
    <w:r>
      <w:rPr>
        <w:rStyle w:val="PageNumber"/>
      </w:rPr>
      <w:fldChar w:fldCharType="begin"/>
    </w:r>
    <w:r>
      <w:rPr>
        <w:rStyle w:val="PageNumber"/>
      </w:rPr>
      <w:instrText xml:space="preserve"> PAGE </w:instrText>
    </w:r>
    <w:r>
      <w:rPr>
        <w:rStyle w:val="PageNumber"/>
      </w:rPr>
      <w:fldChar w:fldCharType="separate"/>
    </w:r>
    <w:r w:rsidR="00B054E9">
      <w:rPr>
        <w:rStyle w:val="PageNumber"/>
        <w:noProof/>
      </w:rPr>
      <w:t>2</w:t>
    </w:r>
    <w:r>
      <w:rPr>
        <w:rStyle w:val="PageNumber"/>
      </w:rPr>
      <w:fldChar w:fldCharType="end"/>
    </w:r>
    <w:r>
      <w:tab/>
    </w:r>
    <w:r>
      <w:rPr>
        <w:szCs w:val="16"/>
      </w:rPr>
      <w:t>Unit 56: Workshop on periodic reporting - introduction</w:t>
    </w:r>
    <w:r>
      <w:tab/>
      <w:t xml:space="preserve">Participant’s text </w:t>
    </w:r>
  </w:p>
  <w:p w14:paraId="5725DABE" w14:textId="77777777" w:rsidR="0061652D" w:rsidRDefault="00616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6B89" w14:textId="2D6E0C33" w:rsidR="00C74E03" w:rsidRPr="00DB506E" w:rsidRDefault="00C74E03" w:rsidP="009D4AB5">
    <w:pPr>
      <w:pStyle w:val="Header"/>
    </w:pPr>
    <w:r>
      <w:t>Participant’s text</w:t>
    </w:r>
    <w:r>
      <w:tab/>
    </w:r>
    <w:r w:rsidR="00273802">
      <w:rPr>
        <w:szCs w:val="16"/>
      </w:rPr>
      <w:t xml:space="preserve">Unit </w:t>
    </w:r>
    <w:r w:rsidR="004A7588">
      <w:rPr>
        <w:szCs w:val="16"/>
      </w:rPr>
      <w:t>56: Workshop on periodic reporting - introduction</w:t>
    </w:r>
    <w:r>
      <w:tab/>
    </w:r>
    <w:r w:rsidR="00C53DE1">
      <w:rPr>
        <w:rStyle w:val="PageNumber"/>
      </w:rPr>
      <w:fldChar w:fldCharType="begin"/>
    </w:r>
    <w:r>
      <w:rPr>
        <w:rStyle w:val="PageNumber"/>
      </w:rPr>
      <w:instrText xml:space="preserve"> PAGE </w:instrText>
    </w:r>
    <w:r w:rsidR="00C53DE1">
      <w:rPr>
        <w:rStyle w:val="PageNumber"/>
      </w:rPr>
      <w:fldChar w:fldCharType="separate"/>
    </w:r>
    <w:r w:rsidR="00B054E9">
      <w:rPr>
        <w:rStyle w:val="PageNumber"/>
        <w:noProof/>
      </w:rPr>
      <w:t>3</w:t>
    </w:r>
    <w:r w:rsidR="00C53DE1">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6BB3" w14:textId="77777777" w:rsidR="00C74E03" w:rsidRDefault="00C74E03" w:rsidP="00065059">
    <w:pPr>
      <w:pStyle w:val="Header"/>
      <w:ind w:right="360"/>
    </w:pPr>
    <w:r>
      <w:tab/>
      <w:t xml:space="preserve">Participant’s text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5C24239"/>
    <w:multiLevelType w:val="hybridMultilevel"/>
    <w:tmpl w:val="7310AA7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4"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0"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1"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2"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3"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6"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8"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2"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3"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4"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5"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7"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8"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3"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4"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5"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6"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8"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9"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0"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1"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2"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4"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2"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3"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4"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6"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4"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5"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6"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7"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8"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0"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4"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5"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8"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4"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7"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0"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2"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7"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1"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7"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4"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6"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7"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9"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0"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2"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3"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5"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6"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7"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0"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1"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3"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4"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5"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6"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8"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0"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8"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9"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2"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4"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7"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8"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0"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1"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2"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3"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8"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0"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1"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3"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4"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8"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9"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0"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1"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2"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5"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7"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0"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5" w15:restartNumberingAfterBreak="0">
    <w:nsid w:val="797F563F"/>
    <w:multiLevelType w:val="hybridMultilevel"/>
    <w:tmpl w:val="D71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1"/>
  </w:num>
  <w:num w:numId="2">
    <w:abstractNumId w:val="206"/>
  </w:num>
  <w:num w:numId="3">
    <w:abstractNumId w:val="271"/>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0"/>
  </w:num>
  <w:num w:numId="7">
    <w:abstractNumId w:val="281"/>
  </w:num>
  <w:num w:numId="8">
    <w:abstractNumId w:val="238"/>
  </w:num>
  <w:num w:numId="9">
    <w:abstractNumId w:val="290"/>
  </w:num>
  <w:num w:numId="10">
    <w:abstractNumId w:val="220"/>
  </w:num>
  <w:num w:numId="11">
    <w:abstractNumId w:val="224"/>
  </w:num>
  <w:num w:numId="12">
    <w:abstractNumId w:val="261"/>
  </w:num>
  <w:num w:numId="13">
    <w:abstractNumId w:val="2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1"/>
  </w:num>
  <w:num w:numId="19">
    <w:abstractNumId w:val="40"/>
  </w:num>
  <w:num w:numId="20">
    <w:abstractNumId w:val="336"/>
  </w:num>
  <w:num w:numId="21">
    <w:abstractNumId w:val="75"/>
  </w:num>
  <w:num w:numId="22">
    <w:abstractNumId w:val="252"/>
  </w:num>
  <w:num w:numId="23">
    <w:abstractNumId w:val="29"/>
  </w:num>
  <w:num w:numId="24">
    <w:abstractNumId w:val="167"/>
  </w:num>
  <w:num w:numId="25">
    <w:abstractNumId w:val="233"/>
  </w:num>
  <w:num w:numId="26">
    <w:abstractNumId w:val="91"/>
  </w:num>
  <w:num w:numId="27">
    <w:abstractNumId w:val="56"/>
  </w:num>
  <w:num w:numId="28">
    <w:abstractNumId w:val="223"/>
  </w:num>
  <w:num w:numId="29">
    <w:abstractNumId w:val="65"/>
  </w:num>
  <w:num w:numId="30">
    <w:abstractNumId w:val="315"/>
  </w:num>
  <w:num w:numId="31">
    <w:abstractNumId w:val="18"/>
  </w:num>
  <w:num w:numId="32">
    <w:abstractNumId w:val="78"/>
  </w:num>
  <w:num w:numId="33">
    <w:abstractNumId w:val="189"/>
  </w:num>
  <w:num w:numId="34">
    <w:abstractNumId w:val="239"/>
  </w:num>
  <w:num w:numId="35">
    <w:abstractNumId w:val="103"/>
  </w:num>
  <w:num w:numId="36">
    <w:abstractNumId w:val="143"/>
  </w:num>
  <w:num w:numId="37">
    <w:abstractNumId w:val="341"/>
  </w:num>
  <w:num w:numId="38">
    <w:abstractNumId w:val="5"/>
  </w:num>
  <w:num w:numId="39">
    <w:abstractNumId w:val="317"/>
  </w:num>
  <w:num w:numId="40">
    <w:abstractNumId w:val="186"/>
  </w:num>
  <w:num w:numId="41">
    <w:abstractNumId w:val="214"/>
  </w:num>
  <w:num w:numId="42">
    <w:abstractNumId w:val="157"/>
  </w:num>
  <w:num w:numId="43">
    <w:abstractNumId w:val="149"/>
  </w:num>
  <w:num w:numId="44">
    <w:abstractNumId w:val="267"/>
  </w:num>
  <w:num w:numId="45">
    <w:abstractNumId w:val="147"/>
  </w:num>
  <w:num w:numId="46">
    <w:abstractNumId w:val="145"/>
  </w:num>
  <w:num w:numId="47">
    <w:abstractNumId w:val="247"/>
  </w:num>
  <w:num w:numId="48">
    <w:abstractNumId w:val="191"/>
  </w:num>
  <w:num w:numId="49">
    <w:abstractNumId w:val="136"/>
  </w:num>
  <w:num w:numId="50">
    <w:abstractNumId w:val="130"/>
  </w:num>
  <w:num w:numId="51">
    <w:abstractNumId w:val="111"/>
  </w:num>
  <w:num w:numId="52">
    <w:abstractNumId w:val="287"/>
  </w:num>
  <w:num w:numId="53">
    <w:abstractNumId w:val="302"/>
  </w:num>
  <w:num w:numId="54">
    <w:abstractNumId w:val="192"/>
  </w:num>
  <w:num w:numId="55">
    <w:abstractNumId w:val="82"/>
  </w:num>
  <w:num w:numId="56">
    <w:abstractNumId w:val="173"/>
  </w:num>
  <w:num w:numId="57">
    <w:abstractNumId w:val="133"/>
  </w:num>
  <w:num w:numId="58">
    <w:abstractNumId w:val="92"/>
  </w:num>
  <w:num w:numId="59">
    <w:abstractNumId w:val="31"/>
  </w:num>
  <w:num w:numId="60">
    <w:abstractNumId w:val="23"/>
  </w:num>
  <w:num w:numId="61">
    <w:abstractNumId w:val="285"/>
  </w:num>
  <w:num w:numId="62">
    <w:abstractNumId w:val="254"/>
  </w:num>
  <w:num w:numId="63">
    <w:abstractNumId w:val="314"/>
  </w:num>
  <w:num w:numId="64">
    <w:abstractNumId w:val="175"/>
  </w:num>
  <w:num w:numId="65">
    <w:abstractNumId w:val="32"/>
  </w:num>
  <w:num w:numId="66">
    <w:abstractNumId w:val="87"/>
  </w:num>
  <w:num w:numId="67">
    <w:abstractNumId w:val="59"/>
  </w:num>
  <w:num w:numId="68">
    <w:abstractNumId w:val="118"/>
  </w:num>
  <w:num w:numId="69">
    <w:abstractNumId w:val="259"/>
  </w:num>
  <w:num w:numId="70">
    <w:abstractNumId w:val="242"/>
  </w:num>
  <w:num w:numId="71">
    <w:abstractNumId w:val="70"/>
  </w:num>
  <w:num w:numId="72">
    <w:abstractNumId w:val="112"/>
  </w:num>
  <w:num w:numId="73">
    <w:abstractNumId w:val="292"/>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272"/>
  </w:num>
  <w:num w:numId="85">
    <w:abstractNumId w:val="17"/>
  </w:num>
  <w:num w:numId="86">
    <w:abstractNumId w:val="177"/>
  </w:num>
  <w:num w:numId="87">
    <w:abstractNumId w:val="127"/>
  </w:num>
  <w:num w:numId="88">
    <w:abstractNumId w:val="172"/>
  </w:num>
  <w:num w:numId="89">
    <w:abstractNumId w:val="326"/>
  </w:num>
  <w:num w:numId="90">
    <w:abstractNumId w:val="243"/>
  </w:num>
  <w:num w:numId="91">
    <w:abstractNumId w:val="14"/>
  </w:num>
  <w:num w:numId="92">
    <w:abstractNumId w:val="312"/>
  </w:num>
  <w:num w:numId="93">
    <w:abstractNumId w:val="205"/>
  </w:num>
  <w:num w:numId="94">
    <w:abstractNumId w:val="258"/>
  </w:num>
  <w:num w:numId="95">
    <w:abstractNumId w:val="346"/>
  </w:num>
  <w:num w:numId="96">
    <w:abstractNumId w:val="89"/>
  </w:num>
  <w:num w:numId="97">
    <w:abstractNumId w:val="283"/>
  </w:num>
  <w:num w:numId="98">
    <w:abstractNumId w:val="43"/>
  </w:num>
  <w:num w:numId="99">
    <w:abstractNumId w:val="323"/>
  </w:num>
  <w:num w:numId="100">
    <w:abstractNumId w:val="134"/>
  </w:num>
  <w:num w:numId="101">
    <w:abstractNumId w:val="135"/>
  </w:num>
  <w:num w:numId="102">
    <w:abstractNumId w:val="284"/>
    <w:lvlOverride w:ilvl="0">
      <w:startOverride w:val="1"/>
    </w:lvlOverride>
  </w:num>
  <w:num w:numId="103">
    <w:abstractNumId w:val="284"/>
  </w:num>
  <w:num w:numId="104">
    <w:abstractNumId w:val="115"/>
  </w:num>
  <w:num w:numId="105">
    <w:abstractNumId w:val="68"/>
  </w:num>
  <w:num w:numId="106">
    <w:abstractNumId w:val="348"/>
  </w:num>
  <w:num w:numId="107">
    <w:abstractNumId w:val="203"/>
  </w:num>
  <w:num w:numId="108">
    <w:abstractNumId w:val="0"/>
  </w:num>
  <w:num w:numId="109">
    <w:abstractNumId w:val="288"/>
  </w:num>
  <w:num w:numId="110">
    <w:abstractNumId w:val="300"/>
  </w:num>
  <w:num w:numId="111">
    <w:abstractNumId w:val="300"/>
  </w:num>
  <w:num w:numId="112">
    <w:abstractNumId w:val="300"/>
  </w:num>
  <w:num w:numId="113">
    <w:abstractNumId w:val="300"/>
  </w:num>
  <w:num w:numId="114">
    <w:abstractNumId w:val="300"/>
  </w:num>
  <w:num w:numId="115">
    <w:abstractNumId w:val="300"/>
  </w:num>
  <w:num w:numId="116">
    <w:abstractNumId w:val="300"/>
  </w:num>
  <w:num w:numId="117">
    <w:abstractNumId w:val="300"/>
  </w:num>
  <w:num w:numId="118">
    <w:abstractNumId w:val="300"/>
  </w:num>
  <w:num w:numId="119">
    <w:abstractNumId w:val="300"/>
  </w:num>
  <w:num w:numId="120">
    <w:abstractNumId w:val="300"/>
  </w:num>
  <w:num w:numId="121">
    <w:abstractNumId w:val="300"/>
  </w:num>
  <w:num w:numId="122">
    <w:abstractNumId w:val="300"/>
  </w:num>
  <w:num w:numId="123">
    <w:abstractNumId w:val="300"/>
  </w:num>
  <w:num w:numId="124">
    <w:abstractNumId w:val="300"/>
  </w:num>
  <w:num w:numId="125">
    <w:abstractNumId w:val="300"/>
  </w:num>
  <w:num w:numId="126">
    <w:abstractNumId w:val="300"/>
  </w:num>
  <w:num w:numId="127">
    <w:abstractNumId w:val="300"/>
  </w:num>
  <w:num w:numId="128">
    <w:abstractNumId w:val="300"/>
  </w:num>
  <w:num w:numId="129">
    <w:abstractNumId w:val="300"/>
  </w:num>
  <w:num w:numId="130">
    <w:abstractNumId w:val="300"/>
  </w:num>
  <w:num w:numId="131">
    <w:abstractNumId w:val="300"/>
  </w:num>
  <w:num w:numId="132">
    <w:abstractNumId w:val="300"/>
  </w:num>
  <w:num w:numId="133">
    <w:abstractNumId w:val="300"/>
  </w:num>
  <w:num w:numId="134">
    <w:abstractNumId w:val="300"/>
  </w:num>
  <w:num w:numId="135">
    <w:abstractNumId w:val="300"/>
  </w:num>
  <w:num w:numId="136">
    <w:abstractNumId w:val="300"/>
  </w:num>
  <w:num w:numId="137">
    <w:abstractNumId w:val="300"/>
  </w:num>
  <w:num w:numId="138">
    <w:abstractNumId w:val="300"/>
  </w:num>
  <w:num w:numId="139">
    <w:abstractNumId w:val="300"/>
  </w:num>
  <w:num w:numId="140">
    <w:abstractNumId w:val="298"/>
  </w:num>
  <w:num w:numId="141">
    <w:abstractNumId w:val="342"/>
  </w:num>
  <w:num w:numId="142">
    <w:abstractNumId w:val="55"/>
  </w:num>
  <w:num w:numId="143">
    <w:abstractNumId w:val="262"/>
  </w:num>
  <w:num w:numId="144">
    <w:abstractNumId w:val="225"/>
  </w:num>
  <w:num w:numId="145">
    <w:abstractNumId w:val="260"/>
  </w:num>
  <w:num w:numId="146">
    <w:abstractNumId w:val="154"/>
  </w:num>
  <w:num w:numId="147">
    <w:abstractNumId w:val="316"/>
  </w:num>
  <w:num w:numId="148">
    <w:abstractNumId w:val="142"/>
  </w:num>
  <w:num w:numId="149">
    <w:abstractNumId w:val="273"/>
  </w:num>
  <w:num w:numId="150">
    <w:abstractNumId w:val="154"/>
  </w:num>
  <w:num w:numId="151">
    <w:abstractNumId w:val="265"/>
  </w:num>
  <w:num w:numId="152">
    <w:abstractNumId w:val="221"/>
  </w:num>
  <w:num w:numId="153">
    <w:abstractNumId w:val="121"/>
  </w:num>
  <w:num w:numId="154">
    <w:abstractNumId w:val="168"/>
  </w:num>
  <w:num w:numId="155">
    <w:abstractNumId w:val="170"/>
  </w:num>
  <w:num w:numId="156">
    <w:abstractNumId w:val="345"/>
  </w:num>
  <w:num w:numId="157">
    <w:abstractNumId w:val="295"/>
  </w:num>
  <w:num w:numId="158">
    <w:abstractNumId w:val="108"/>
  </w:num>
  <w:num w:numId="159">
    <w:abstractNumId w:val="146"/>
  </w:num>
  <w:num w:numId="160">
    <w:abstractNumId w:val="295"/>
    <w:lvlOverride w:ilvl="0">
      <w:startOverride w:val="1"/>
    </w:lvlOverride>
  </w:num>
  <w:num w:numId="161">
    <w:abstractNumId w:val="35"/>
  </w:num>
  <w:num w:numId="162">
    <w:abstractNumId w:val="301"/>
  </w:num>
  <w:num w:numId="163">
    <w:abstractNumId w:val="110"/>
  </w:num>
  <w:num w:numId="164">
    <w:abstractNumId w:val="226"/>
  </w:num>
  <w:num w:numId="165">
    <w:abstractNumId w:val="10"/>
  </w:num>
  <w:num w:numId="166">
    <w:abstractNumId w:val="340"/>
  </w:num>
  <w:num w:numId="167">
    <w:abstractNumId w:val="340"/>
  </w:num>
  <w:num w:numId="168">
    <w:abstractNumId w:val="340"/>
  </w:num>
  <w:num w:numId="169">
    <w:abstractNumId w:val="340"/>
  </w:num>
  <w:num w:numId="170">
    <w:abstractNumId w:val="300"/>
  </w:num>
  <w:num w:numId="171">
    <w:abstractNumId w:val="300"/>
  </w:num>
  <w:num w:numId="172">
    <w:abstractNumId w:val="300"/>
  </w:num>
  <w:num w:numId="173">
    <w:abstractNumId w:val="300"/>
  </w:num>
  <w:num w:numId="174">
    <w:abstractNumId w:val="300"/>
  </w:num>
  <w:num w:numId="175">
    <w:abstractNumId w:val="300"/>
  </w:num>
  <w:num w:numId="176">
    <w:abstractNumId w:val="235"/>
  </w:num>
  <w:num w:numId="177">
    <w:abstractNumId w:val="329"/>
  </w:num>
  <w:num w:numId="178">
    <w:abstractNumId w:val="296"/>
  </w:num>
  <w:num w:numId="179">
    <w:abstractNumId w:val="300"/>
  </w:num>
  <w:num w:numId="180">
    <w:abstractNumId w:val="240"/>
  </w:num>
  <w:num w:numId="181">
    <w:abstractNumId w:val="217"/>
  </w:num>
  <w:num w:numId="182">
    <w:abstractNumId w:val="46"/>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7"/>
  </w:num>
  <w:num w:numId="190">
    <w:abstractNumId w:val="19"/>
  </w:num>
  <w:num w:numId="191">
    <w:abstractNumId w:val="36"/>
  </w:num>
  <w:num w:numId="192">
    <w:abstractNumId w:val="184"/>
  </w:num>
  <w:num w:numId="193">
    <w:abstractNumId w:val="332"/>
  </w:num>
  <w:num w:numId="194">
    <w:abstractNumId w:val="212"/>
  </w:num>
  <w:num w:numId="195">
    <w:abstractNumId w:val="81"/>
  </w:num>
  <w:num w:numId="196">
    <w:abstractNumId w:val="94"/>
  </w:num>
  <w:num w:numId="197">
    <w:abstractNumId w:val="86"/>
  </w:num>
  <w:num w:numId="198">
    <w:abstractNumId w:val="286"/>
  </w:num>
  <w:num w:numId="199">
    <w:abstractNumId w:val="286"/>
  </w:num>
  <w:num w:numId="200">
    <w:abstractNumId w:val="286"/>
  </w:num>
  <w:num w:numId="201">
    <w:abstractNumId w:val="286"/>
  </w:num>
  <w:num w:numId="202">
    <w:abstractNumId w:val="286"/>
  </w:num>
  <w:num w:numId="203">
    <w:abstractNumId w:val="286"/>
  </w:num>
  <w:num w:numId="204">
    <w:abstractNumId w:val="286"/>
  </w:num>
  <w:num w:numId="205">
    <w:abstractNumId w:val="269"/>
  </w:num>
  <w:num w:numId="206">
    <w:abstractNumId w:val="1"/>
  </w:num>
  <w:num w:numId="207">
    <w:abstractNumId w:val="12"/>
  </w:num>
  <w:num w:numId="208">
    <w:abstractNumId w:val="30"/>
  </w:num>
  <w:num w:numId="209">
    <w:abstractNumId w:val="63"/>
  </w:num>
  <w:num w:numId="210">
    <w:abstractNumId w:val="268"/>
  </w:num>
  <w:num w:numId="211">
    <w:abstractNumId w:val="165"/>
  </w:num>
  <w:num w:numId="212">
    <w:abstractNumId w:val="277"/>
  </w:num>
  <w:num w:numId="213">
    <w:abstractNumId w:val="293"/>
  </w:num>
  <w:num w:numId="214">
    <w:abstractNumId w:val="350"/>
  </w:num>
  <w:num w:numId="215">
    <w:abstractNumId w:val="350"/>
  </w:num>
  <w:num w:numId="216">
    <w:abstractNumId w:val="4"/>
  </w:num>
  <w:num w:numId="217">
    <w:abstractNumId w:val="350"/>
    <w:lvlOverride w:ilvl="0">
      <w:startOverride w:val="1"/>
    </w:lvlOverride>
  </w:num>
  <w:num w:numId="218">
    <w:abstractNumId w:val="169"/>
  </w:num>
  <w:num w:numId="219">
    <w:abstractNumId w:val="339"/>
  </w:num>
  <w:num w:numId="220">
    <w:abstractNumId w:val="304"/>
  </w:num>
  <w:num w:numId="221">
    <w:abstractNumId w:val="333"/>
  </w:num>
  <w:num w:numId="222">
    <w:abstractNumId w:val="180"/>
  </w:num>
  <w:num w:numId="223">
    <w:abstractNumId w:val="256"/>
  </w:num>
  <w:num w:numId="224">
    <w:abstractNumId w:val="276"/>
  </w:num>
  <w:num w:numId="225">
    <w:abstractNumId w:val="270"/>
  </w:num>
  <w:num w:numId="226">
    <w:abstractNumId w:val="77"/>
  </w:num>
  <w:num w:numId="227">
    <w:abstractNumId w:val="349"/>
  </w:num>
  <w:num w:numId="228">
    <w:abstractNumId w:val="227"/>
  </w:num>
  <w:num w:numId="229">
    <w:abstractNumId w:val="20"/>
  </w:num>
  <w:num w:numId="230">
    <w:abstractNumId w:val="300"/>
  </w:num>
  <w:num w:numId="231">
    <w:abstractNumId w:val="188"/>
  </w:num>
  <w:num w:numId="232">
    <w:abstractNumId w:val="2"/>
  </w:num>
  <w:num w:numId="233">
    <w:abstractNumId w:val="2"/>
  </w:num>
  <w:num w:numId="234">
    <w:abstractNumId w:val="113"/>
  </w:num>
  <w:num w:numId="235">
    <w:abstractNumId w:val="2"/>
    <w:lvlOverride w:ilvl="0">
      <w:startOverride w:val="2"/>
    </w:lvlOverride>
  </w:num>
  <w:num w:numId="236">
    <w:abstractNumId w:val="85"/>
  </w:num>
  <w:num w:numId="237">
    <w:abstractNumId w:val="171"/>
  </w:num>
  <w:num w:numId="238">
    <w:abstractNumId w:val="207"/>
  </w:num>
  <w:num w:numId="239">
    <w:abstractNumId w:val="28"/>
  </w:num>
  <w:num w:numId="240">
    <w:abstractNumId w:val="245"/>
  </w:num>
  <w:num w:numId="241">
    <w:abstractNumId w:val="95"/>
  </w:num>
  <w:num w:numId="242">
    <w:abstractNumId w:val="331"/>
  </w:num>
  <w:num w:numId="243">
    <w:abstractNumId w:val="9"/>
  </w:num>
  <w:num w:numId="244">
    <w:abstractNumId w:val="109"/>
  </w:num>
  <w:num w:numId="245">
    <w:abstractNumId w:val="51"/>
  </w:num>
  <w:num w:numId="246">
    <w:abstractNumId w:val="66"/>
  </w:num>
  <w:num w:numId="247">
    <w:abstractNumId w:val="105"/>
  </w:num>
  <w:num w:numId="248">
    <w:abstractNumId w:val="228"/>
  </w:num>
  <w:num w:numId="249">
    <w:abstractNumId w:val="282"/>
  </w:num>
  <w:num w:numId="250">
    <w:abstractNumId w:val="204"/>
  </w:num>
  <w:num w:numId="251">
    <w:abstractNumId w:val="266"/>
  </w:num>
  <w:num w:numId="252">
    <w:abstractNumId w:val="6"/>
  </w:num>
  <w:num w:numId="253">
    <w:abstractNumId w:val="300"/>
  </w:num>
  <w:num w:numId="254">
    <w:abstractNumId w:val="343"/>
  </w:num>
  <w:num w:numId="255">
    <w:abstractNumId w:val="6"/>
    <w:lvlOverride w:ilvl="0">
      <w:startOverride w:val="2"/>
    </w:lvlOverride>
  </w:num>
  <w:num w:numId="256">
    <w:abstractNumId w:val="200"/>
  </w:num>
  <w:num w:numId="257">
    <w:abstractNumId w:val="236"/>
  </w:num>
  <w:num w:numId="258">
    <w:abstractNumId w:val="160"/>
  </w:num>
  <w:num w:numId="259">
    <w:abstractNumId w:val="182"/>
  </w:num>
  <w:num w:numId="260">
    <w:abstractNumId w:val="309"/>
  </w:num>
  <w:num w:numId="261">
    <w:abstractNumId w:val="83"/>
  </w:num>
  <w:num w:numId="262">
    <w:abstractNumId w:val="76"/>
  </w:num>
  <w:num w:numId="263">
    <w:abstractNumId w:val="182"/>
    <w:lvlOverride w:ilvl="0">
      <w:startOverride w:val="2"/>
    </w:lvlOverride>
  </w:num>
  <w:num w:numId="264">
    <w:abstractNumId w:val="39"/>
  </w:num>
  <w:num w:numId="265">
    <w:abstractNumId w:val="139"/>
  </w:num>
  <w:num w:numId="266">
    <w:abstractNumId w:val="41"/>
  </w:num>
  <w:num w:numId="267">
    <w:abstractNumId w:val="294"/>
  </w:num>
  <w:num w:numId="268">
    <w:abstractNumId w:val="11"/>
  </w:num>
  <w:num w:numId="269">
    <w:abstractNumId w:val="140"/>
  </w:num>
  <w:num w:numId="270">
    <w:abstractNumId w:val="11"/>
    <w:lvlOverride w:ilvl="0">
      <w:startOverride w:val="2"/>
    </w:lvlOverride>
  </w:num>
  <w:num w:numId="271">
    <w:abstractNumId w:val="16"/>
  </w:num>
  <w:num w:numId="272">
    <w:abstractNumId w:val="354"/>
  </w:num>
  <w:num w:numId="273">
    <w:abstractNumId w:val="155"/>
  </w:num>
  <w:num w:numId="274">
    <w:abstractNumId w:val="48"/>
  </w:num>
  <w:num w:numId="275">
    <w:abstractNumId w:val="33"/>
  </w:num>
  <w:num w:numId="276">
    <w:abstractNumId w:val="11"/>
  </w:num>
  <w:num w:numId="277">
    <w:abstractNumId w:val="126"/>
  </w:num>
  <w:num w:numId="278">
    <w:abstractNumId w:val="232"/>
  </w:num>
  <w:num w:numId="279">
    <w:abstractNumId w:val="15"/>
  </w:num>
  <w:num w:numId="280">
    <w:abstractNumId w:val="347"/>
  </w:num>
  <w:num w:numId="281">
    <w:abstractNumId w:val="321"/>
  </w:num>
  <w:num w:numId="282">
    <w:abstractNumId w:val="67"/>
  </w:num>
  <w:num w:numId="283">
    <w:abstractNumId w:val="248"/>
  </w:num>
  <w:num w:numId="284">
    <w:abstractNumId w:val="313"/>
  </w:num>
  <w:num w:numId="285">
    <w:abstractNumId w:val="187"/>
  </w:num>
  <w:num w:numId="286">
    <w:abstractNumId w:val="355"/>
  </w:num>
  <w:num w:numId="287">
    <w:abstractNumId w:val="38"/>
  </w:num>
  <w:num w:numId="288">
    <w:abstractNumId w:val="235"/>
  </w:num>
  <w:num w:numId="289">
    <w:abstractNumId w:val="235"/>
  </w:num>
  <w:num w:numId="290">
    <w:abstractNumId w:val="235"/>
  </w:num>
  <w:num w:numId="291">
    <w:abstractNumId w:val="235"/>
  </w:num>
  <w:num w:numId="292">
    <w:abstractNumId w:val="235"/>
  </w:num>
  <w:num w:numId="293">
    <w:abstractNumId w:val="138"/>
  </w:num>
  <w:num w:numId="294">
    <w:abstractNumId w:val="124"/>
  </w:num>
  <w:num w:numId="295">
    <w:abstractNumId w:val="230"/>
  </w:num>
  <w:num w:numId="296">
    <w:abstractNumId w:val="156"/>
  </w:num>
  <w:num w:numId="297">
    <w:abstractNumId w:val="34"/>
  </w:num>
  <w:num w:numId="298">
    <w:abstractNumId w:val="234"/>
  </w:num>
  <w:num w:numId="299">
    <w:abstractNumId w:val="185"/>
  </w:num>
  <w:num w:numId="300">
    <w:abstractNumId w:val="249"/>
  </w:num>
  <w:num w:numId="301">
    <w:abstractNumId w:val="13"/>
  </w:num>
  <w:num w:numId="302">
    <w:abstractNumId w:val="324"/>
  </w:num>
  <w:num w:numId="303">
    <w:abstractNumId w:val="194"/>
  </w:num>
  <w:num w:numId="304">
    <w:abstractNumId w:val="141"/>
  </w:num>
  <w:num w:numId="305">
    <w:abstractNumId w:val="129"/>
  </w:num>
  <w:num w:numId="306">
    <w:abstractNumId w:val="338"/>
  </w:num>
  <w:num w:numId="307">
    <w:abstractNumId w:val="337"/>
  </w:num>
  <w:num w:numId="308">
    <w:abstractNumId w:val="198"/>
  </w:num>
  <w:num w:numId="309">
    <w:abstractNumId w:val="101"/>
  </w:num>
  <w:num w:numId="310">
    <w:abstractNumId w:val="211"/>
  </w:num>
  <w:num w:numId="311">
    <w:abstractNumId w:val="54"/>
  </w:num>
  <w:num w:numId="312">
    <w:abstractNumId w:val="199"/>
  </w:num>
  <w:num w:numId="313">
    <w:abstractNumId w:val="162"/>
  </w:num>
  <w:num w:numId="314">
    <w:abstractNumId w:val="162"/>
  </w:num>
  <w:num w:numId="315">
    <w:abstractNumId w:val="231"/>
  </w:num>
  <w:num w:numId="316">
    <w:abstractNumId w:val="279"/>
  </w:num>
  <w:num w:numId="317">
    <w:abstractNumId w:val="123"/>
  </w:num>
  <w:num w:numId="318">
    <w:abstractNumId w:val="153"/>
  </w:num>
  <w:num w:numId="319">
    <w:abstractNumId w:val="218"/>
  </w:num>
  <w:num w:numId="320">
    <w:abstractNumId w:val="151"/>
  </w:num>
  <w:num w:numId="321">
    <w:abstractNumId w:val="151"/>
  </w:num>
  <w:num w:numId="322">
    <w:abstractNumId w:val="174"/>
  </w:num>
  <w:num w:numId="323">
    <w:abstractNumId w:val="53"/>
  </w:num>
  <w:num w:numId="324">
    <w:abstractNumId w:val="344"/>
  </w:num>
  <w:num w:numId="325">
    <w:abstractNumId w:val="353"/>
  </w:num>
  <w:num w:numId="326">
    <w:abstractNumId w:val="257"/>
  </w:num>
  <w:num w:numId="327">
    <w:abstractNumId w:val="99"/>
  </w:num>
  <w:num w:numId="328">
    <w:abstractNumId w:val="246"/>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8"/>
  </w:num>
  <w:num w:numId="338">
    <w:abstractNumId w:val="320"/>
  </w:num>
  <w:num w:numId="339">
    <w:abstractNumId w:val="291"/>
  </w:num>
  <w:num w:numId="340">
    <w:abstractNumId w:val="325"/>
  </w:num>
  <w:num w:numId="341">
    <w:abstractNumId w:val="229"/>
  </w:num>
  <w:num w:numId="342">
    <w:abstractNumId w:val="310"/>
  </w:num>
  <w:num w:numId="343">
    <w:abstractNumId w:val="79"/>
  </w:num>
  <w:num w:numId="344">
    <w:abstractNumId w:val="300"/>
  </w:num>
  <w:num w:numId="345">
    <w:abstractNumId w:val="300"/>
  </w:num>
  <w:num w:numId="346">
    <w:abstractNumId w:val="305"/>
  </w:num>
  <w:num w:numId="347">
    <w:abstractNumId w:val="163"/>
  </w:num>
  <w:num w:numId="348">
    <w:abstractNumId w:val="178"/>
  </w:num>
  <w:num w:numId="349">
    <w:abstractNumId w:val="237"/>
  </w:num>
  <w:num w:numId="350">
    <w:abstractNumId w:val="305"/>
  </w:num>
  <w:num w:numId="351">
    <w:abstractNumId w:val="45"/>
  </w:num>
  <w:num w:numId="352">
    <w:abstractNumId w:val="37"/>
  </w:num>
  <w:num w:numId="353">
    <w:abstractNumId w:val="37"/>
  </w:num>
  <w:num w:numId="354">
    <w:abstractNumId w:val="215"/>
  </w:num>
  <w:num w:numId="355">
    <w:abstractNumId w:val="334"/>
  </w:num>
  <w:num w:numId="356">
    <w:abstractNumId w:val="289"/>
  </w:num>
  <w:num w:numId="357">
    <w:abstractNumId w:val="264"/>
  </w:num>
  <w:num w:numId="358">
    <w:abstractNumId w:val="190"/>
  </w:num>
  <w:num w:numId="359">
    <w:abstractNumId w:val="255"/>
  </w:num>
  <w:num w:numId="360">
    <w:abstractNumId w:val="235"/>
    <w:lvlOverride w:ilvl="0">
      <w:startOverride w:val="1"/>
    </w:lvlOverride>
  </w:num>
  <w:num w:numId="361">
    <w:abstractNumId w:val="80"/>
  </w:num>
  <w:num w:numId="362">
    <w:abstractNumId w:val="235"/>
    <w:lvlOverride w:ilvl="0">
      <w:startOverride w:val="1"/>
    </w:lvlOverride>
  </w:num>
  <w:num w:numId="363">
    <w:abstractNumId w:val="72"/>
  </w:num>
  <w:num w:numId="364">
    <w:abstractNumId w:val="235"/>
    <w:lvlOverride w:ilvl="0">
      <w:startOverride w:val="1"/>
    </w:lvlOverride>
  </w:num>
  <w:num w:numId="365">
    <w:abstractNumId w:val="125"/>
  </w:num>
  <w:num w:numId="366">
    <w:abstractNumId w:val="235"/>
    <w:lvlOverride w:ilvl="0">
      <w:startOverride w:val="1"/>
    </w:lvlOverride>
  </w:num>
  <w:num w:numId="367">
    <w:abstractNumId w:val="100"/>
  </w:num>
  <w:num w:numId="368">
    <w:abstractNumId w:val="235"/>
    <w:lvlOverride w:ilvl="0">
      <w:startOverride w:val="1"/>
    </w:lvlOverride>
  </w:num>
  <w:num w:numId="369">
    <w:abstractNumId w:val="183"/>
  </w:num>
  <w:num w:numId="370">
    <w:abstractNumId w:val="235"/>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4"/>
  </w:num>
  <w:num w:numId="378">
    <w:abstractNumId w:val="235"/>
    <w:lvlOverride w:ilvl="0">
      <w:startOverride w:val="1"/>
    </w:lvlOverride>
  </w:num>
  <w:num w:numId="379">
    <w:abstractNumId w:val="37"/>
  </w:num>
  <w:num w:numId="380">
    <w:abstractNumId w:val="27"/>
  </w:num>
  <w:num w:numId="381">
    <w:abstractNumId w:val="235"/>
    <w:lvlOverride w:ilvl="0">
      <w:startOverride w:val="1"/>
    </w:lvlOverride>
  </w:num>
  <w:num w:numId="382">
    <w:abstractNumId w:val="104"/>
  </w:num>
  <w:num w:numId="383">
    <w:abstractNumId w:val="61"/>
  </w:num>
  <w:num w:numId="384">
    <w:abstractNumId w:val="201"/>
  </w:num>
  <w:num w:numId="385">
    <w:abstractNumId w:val="144"/>
  </w:num>
  <w:num w:numId="386">
    <w:abstractNumId w:val="22"/>
  </w:num>
  <w:num w:numId="387">
    <w:abstractNumId w:val="330"/>
  </w:num>
  <w:num w:numId="388">
    <w:abstractNumId w:val="251"/>
  </w:num>
  <w:num w:numId="389">
    <w:abstractNumId w:val="31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6"/>
  </w:num>
  <w:num w:numId="399">
    <w:abstractNumId w:val="235"/>
    <w:lvlOverride w:ilvl="0">
      <w:startOverride w:val="1"/>
    </w:lvlOverride>
  </w:num>
  <w:num w:numId="400">
    <w:abstractNumId w:val="235"/>
  </w:num>
  <w:num w:numId="401">
    <w:abstractNumId w:val="62"/>
  </w:num>
  <w:num w:numId="402">
    <w:abstractNumId w:val="235"/>
    <w:lvlOverride w:ilvl="0">
      <w:startOverride w:val="1"/>
    </w:lvlOverride>
  </w:num>
  <w:num w:numId="403">
    <w:abstractNumId w:val="102"/>
  </w:num>
  <w:num w:numId="404">
    <w:abstractNumId w:val="235"/>
    <w:lvlOverride w:ilvl="0">
      <w:startOverride w:val="1"/>
    </w:lvlOverride>
  </w:num>
  <w:num w:numId="405">
    <w:abstractNumId w:val="306"/>
  </w:num>
  <w:num w:numId="406">
    <w:abstractNumId w:val="7"/>
  </w:num>
  <w:num w:numId="407">
    <w:abstractNumId w:val="163"/>
  </w:num>
  <w:num w:numId="408">
    <w:abstractNumId w:val="300"/>
  </w:num>
  <w:num w:numId="409">
    <w:abstractNumId w:val="300"/>
  </w:num>
  <w:num w:numId="410">
    <w:abstractNumId w:val="300"/>
  </w:num>
  <w:num w:numId="411">
    <w:abstractNumId w:val="300"/>
  </w:num>
  <w:num w:numId="412">
    <w:abstractNumId w:val="300"/>
  </w:num>
  <w:num w:numId="413">
    <w:abstractNumId w:val="300"/>
  </w:num>
  <w:num w:numId="414">
    <w:abstractNumId w:val="300"/>
  </w:num>
  <w:num w:numId="415">
    <w:abstractNumId w:val="300"/>
  </w:num>
  <w:num w:numId="416">
    <w:abstractNumId w:val="300"/>
  </w:num>
  <w:num w:numId="417">
    <w:abstractNumId w:val="300"/>
  </w:num>
  <w:num w:numId="418">
    <w:abstractNumId w:val="300"/>
  </w:num>
  <w:num w:numId="419">
    <w:abstractNumId w:val="37"/>
  </w:num>
  <w:num w:numId="420">
    <w:abstractNumId w:val="300"/>
  </w:num>
  <w:num w:numId="421">
    <w:abstractNumId w:val="300"/>
  </w:num>
  <w:num w:numId="422">
    <w:abstractNumId w:val="300"/>
  </w:num>
  <w:num w:numId="423">
    <w:abstractNumId w:val="300"/>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7"/>
  </w:num>
  <w:num w:numId="432">
    <w:abstractNumId w:val="275"/>
  </w:num>
  <w:num w:numId="433">
    <w:abstractNumId w:val="322"/>
  </w:num>
  <w:num w:numId="434">
    <w:abstractNumId w:val="166"/>
  </w:num>
  <w:num w:numId="435">
    <w:abstractNumId w:val="235"/>
    <w:lvlOverride w:ilvl="0">
      <w:startOverride w:val="1"/>
    </w:lvlOverride>
  </w:num>
  <w:num w:numId="436">
    <w:abstractNumId w:val="73"/>
  </w:num>
  <w:num w:numId="437">
    <w:abstractNumId w:val="235"/>
    <w:lvlOverride w:ilvl="0">
      <w:startOverride w:val="1"/>
    </w:lvlOverride>
  </w:num>
  <w:num w:numId="438">
    <w:abstractNumId w:val="37"/>
  </w:num>
  <w:num w:numId="439">
    <w:abstractNumId w:val="37"/>
  </w:num>
  <w:num w:numId="440">
    <w:abstractNumId w:val="278"/>
  </w:num>
  <w:num w:numId="441">
    <w:abstractNumId w:val="235"/>
    <w:lvlOverride w:ilvl="0">
      <w:startOverride w:val="1"/>
    </w:lvlOverride>
  </w:num>
  <w:num w:numId="442">
    <w:abstractNumId w:val="235"/>
  </w:num>
  <w:num w:numId="443">
    <w:abstractNumId w:val="3"/>
  </w:num>
  <w:num w:numId="444">
    <w:abstractNumId w:val="60"/>
  </w:num>
  <w:num w:numId="445">
    <w:abstractNumId w:val="235"/>
    <w:lvlOverride w:ilvl="0">
      <w:startOverride w:val="1"/>
    </w:lvlOverride>
  </w:num>
  <w:num w:numId="446">
    <w:abstractNumId w:val="308"/>
  </w:num>
  <w:num w:numId="447">
    <w:abstractNumId w:val="161"/>
  </w:num>
  <w:num w:numId="448">
    <w:abstractNumId w:val="210"/>
  </w:num>
  <w:num w:numId="449">
    <w:abstractNumId w:val="161"/>
    <w:lvlOverride w:ilvl="0">
      <w:startOverride w:val="1"/>
    </w:lvlOverride>
  </w:num>
  <w:num w:numId="450">
    <w:abstractNumId w:val="37"/>
  </w:num>
  <w:num w:numId="451">
    <w:abstractNumId w:val="241"/>
  </w:num>
  <w:num w:numId="452">
    <w:abstractNumId w:val="161"/>
    <w:lvlOverride w:ilvl="0">
      <w:startOverride w:val="1"/>
    </w:lvlOverride>
  </w:num>
  <w:num w:numId="453">
    <w:abstractNumId w:val="42"/>
  </w:num>
  <w:num w:numId="454">
    <w:abstractNumId w:val="161"/>
    <w:lvlOverride w:ilvl="0">
      <w:startOverride w:val="1"/>
    </w:lvlOverride>
  </w:num>
  <w:num w:numId="455">
    <w:abstractNumId w:val="37"/>
  </w:num>
  <w:num w:numId="456">
    <w:abstractNumId w:val="26"/>
  </w:num>
  <w:num w:numId="457">
    <w:abstractNumId w:val="161"/>
    <w:lvlOverride w:ilvl="0">
      <w:startOverride w:val="1"/>
    </w:lvlOverride>
  </w:num>
  <w:num w:numId="458">
    <w:abstractNumId w:val="208"/>
  </w:num>
  <w:num w:numId="459">
    <w:abstractNumId w:val="120"/>
  </w:num>
  <w:num w:numId="460">
    <w:abstractNumId w:val="197"/>
  </w:num>
  <w:num w:numId="461">
    <w:abstractNumId w:val="164"/>
  </w:num>
  <w:num w:numId="462">
    <w:abstractNumId w:val="96"/>
  </w:num>
  <w:num w:numId="463">
    <w:abstractNumId w:val="250"/>
  </w:num>
  <w:num w:numId="464">
    <w:abstractNumId w:val="222"/>
  </w:num>
  <w:num w:numId="465">
    <w:abstractNumId w:val="161"/>
    <w:lvlOverride w:ilvl="0">
      <w:startOverride w:val="1"/>
    </w:lvlOverride>
  </w:num>
  <w:num w:numId="466">
    <w:abstractNumId w:val="57"/>
  </w:num>
  <w:num w:numId="467">
    <w:abstractNumId w:val="253"/>
  </w:num>
  <w:num w:numId="468">
    <w:abstractNumId w:val="148"/>
  </w:num>
  <w:num w:numId="469">
    <w:abstractNumId w:val="253"/>
  </w:num>
  <w:num w:numId="470">
    <w:abstractNumId w:val="318"/>
  </w:num>
  <w:num w:numId="471">
    <w:abstractNumId w:val="253"/>
    <w:lvlOverride w:ilvl="0">
      <w:startOverride w:val="1"/>
    </w:lvlOverride>
  </w:num>
  <w:num w:numId="472">
    <w:abstractNumId w:val="128"/>
  </w:num>
  <w:num w:numId="473">
    <w:abstractNumId w:val="328"/>
  </w:num>
  <w:num w:numId="474">
    <w:abstractNumId w:val="47"/>
  </w:num>
  <w:num w:numId="475">
    <w:abstractNumId w:val="88"/>
  </w:num>
  <w:num w:numId="476">
    <w:abstractNumId w:val="263"/>
  </w:num>
  <w:num w:numId="477">
    <w:abstractNumId w:val="58"/>
  </w:num>
  <w:num w:numId="478">
    <w:abstractNumId w:val="37"/>
  </w:num>
  <w:num w:numId="479">
    <w:abstractNumId w:val="244"/>
  </w:num>
  <w:num w:numId="480">
    <w:abstractNumId w:val="90"/>
  </w:num>
  <w:num w:numId="481">
    <w:abstractNumId w:val="196"/>
  </w:num>
  <w:num w:numId="482">
    <w:abstractNumId w:val="52"/>
  </w:num>
  <w:num w:numId="483">
    <w:abstractNumId w:val="351"/>
  </w:num>
  <w:num w:numId="484">
    <w:abstractNumId w:val="97"/>
  </w:num>
  <w:num w:numId="485">
    <w:abstractNumId w:val="150"/>
  </w:num>
  <w:num w:numId="486">
    <w:abstractNumId w:val="98"/>
  </w:num>
  <w:num w:numId="487">
    <w:abstractNumId w:val="216"/>
  </w:num>
  <w:num w:numId="488">
    <w:abstractNumId w:val="280"/>
  </w:num>
  <w:num w:numId="489">
    <w:abstractNumId w:val="69"/>
  </w:num>
  <w:num w:numId="490">
    <w:abstractNumId w:val="219"/>
  </w:num>
  <w:num w:numId="491">
    <w:abstractNumId w:val="131"/>
  </w:num>
  <w:num w:numId="492">
    <w:abstractNumId w:val="195"/>
  </w:num>
  <w:num w:numId="493">
    <w:abstractNumId w:val="117"/>
  </w:num>
  <w:num w:numId="494">
    <w:abstractNumId w:val="300"/>
  </w:num>
  <w:num w:numId="495">
    <w:abstractNumId w:val="163"/>
  </w:num>
  <w:num w:numId="496">
    <w:abstractNumId w:val="274"/>
  </w:num>
  <w:num w:numId="497">
    <w:abstractNumId w:val="311"/>
  </w:num>
  <w:num w:numId="498">
    <w:abstractNumId w:val="307"/>
  </w:num>
  <w:num w:numId="499">
    <w:abstractNumId w:val="352"/>
  </w:num>
  <w:num w:numId="500">
    <w:abstractNumId w:val="49"/>
  </w:num>
  <w:num w:numId="501">
    <w:abstractNumId w:val="176"/>
  </w:num>
  <w:num w:numId="502">
    <w:abstractNumId w:val="64"/>
  </w:num>
  <w:num w:numId="503">
    <w:abstractNumId w:val="213"/>
  </w:num>
  <w:num w:numId="504">
    <w:abstractNumId w:val="64"/>
    <w:lvlOverride w:ilvl="0">
      <w:startOverride w:val="1"/>
    </w:lvlOverride>
  </w:num>
  <w:num w:numId="505">
    <w:abstractNumId w:val="106"/>
  </w:num>
  <w:num w:numId="506">
    <w:abstractNumId w:val="300"/>
  </w:num>
  <w:num w:numId="507">
    <w:abstractNumId w:val="300"/>
  </w:num>
  <w:num w:numId="508">
    <w:abstractNumId w:val="163"/>
  </w:num>
  <w:num w:numId="509">
    <w:abstractNumId w:val="163"/>
  </w:num>
  <w:num w:numId="510">
    <w:abstractNumId w:val="300"/>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4"/>
  </w:num>
  <w:num w:numId="520">
    <w:abstractNumId w:val="93"/>
  </w:num>
  <w:num w:numId="521">
    <w:abstractNumId w:val="335"/>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removePersonalInformation/>
  <w:removeDateAndTime/>
  <w:displayBackgroundShape/>
  <w:embedSystemFonts/>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86683E"/>
    <w:rsid w:val="000006EA"/>
    <w:rsid w:val="00001B1A"/>
    <w:rsid w:val="00002A62"/>
    <w:rsid w:val="00006598"/>
    <w:rsid w:val="000070CA"/>
    <w:rsid w:val="0001293F"/>
    <w:rsid w:val="00014873"/>
    <w:rsid w:val="00017360"/>
    <w:rsid w:val="00017D71"/>
    <w:rsid w:val="00020DDD"/>
    <w:rsid w:val="000213A8"/>
    <w:rsid w:val="0002203F"/>
    <w:rsid w:val="00022302"/>
    <w:rsid w:val="0002511C"/>
    <w:rsid w:val="00025E6B"/>
    <w:rsid w:val="00027510"/>
    <w:rsid w:val="00033E6C"/>
    <w:rsid w:val="0003412A"/>
    <w:rsid w:val="000349C0"/>
    <w:rsid w:val="000354E3"/>
    <w:rsid w:val="00035D61"/>
    <w:rsid w:val="00036BC5"/>
    <w:rsid w:val="0003710D"/>
    <w:rsid w:val="00037FE6"/>
    <w:rsid w:val="00041EBF"/>
    <w:rsid w:val="00042018"/>
    <w:rsid w:val="00042916"/>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875"/>
    <w:rsid w:val="00072B6A"/>
    <w:rsid w:val="00072F5E"/>
    <w:rsid w:val="00073E1C"/>
    <w:rsid w:val="00073E48"/>
    <w:rsid w:val="00074F29"/>
    <w:rsid w:val="00075EFF"/>
    <w:rsid w:val="00076221"/>
    <w:rsid w:val="00080963"/>
    <w:rsid w:val="00081E8B"/>
    <w:rsid w:val="000826CD"/>
    <w:rsid w:val="00082930"/>
    <w:rsid w:val="000838BD"/>
    <w:rsid w:val="0008417E"/>
    <w:rsid w:val="00085406"/>
    <w:rsid w:val="0008689C"/>
    <w:rsid w:val="000870DC"/>
    <w:rsid w:val="000877FD"/>
    <w:rsid w:val="00090852"/>
    <w:rsid w:val="00094654"/>
    <w:rsid w:val="00094B61"/>
    <w:rsid w:val="00094E6C"/>
    <w:rsid w:val="000A06A3"/>
    <w:rsid w:val="000A1092"/>
    <w:rsid w:val="000A137F"/>
    <w:rsid w:val="000A7857"/>
    <w:rsid w:val="000A7DE3"/>
    <w:rsid w:val="000B0AC0"/>
    <w:rsid w:val="000B3AC7"/>
    <w:rsid w:val="000B3BEF"/>
    <w:rsid w:val="000B4581"/>
    <w:rsid w:val="000B6CC5"/>
    <w:rsid w:val="000C08B2"/>
    <w:rsid w:val="000C0E6A"/>
    <w:rsid w:val="000C2812"/>
    <w:rsid w:val="000C4C10"/>
    <w:rsid w:val="000C61DA"/>
    <w:rsid w:val="000C65CB"/>
    <w:rsid w:val="000C6BD2"/>
    <w:rsid w:val="000C7B32"/>
    <w:rsid w:val="000D5D72"/>
    <w:rsid w:val="000D647B"/>
    <w:rsid w:val="000D7317"/>
    <w:rsid w:val="000E18AA"/>
    <w:rsid w:val="000E1D9D"/>
    <w:rsid w:val="000E38A5"/>
    <w:rsid w:val="000E487A"/>
    <w:rsid w:val="000E4DDE"/>
    <w:rsid w:val="000E5B15"/>
    <w:rsid w:val="000E6438"/>
    <w:rsid w:val="000E6F12"/>
    <w:rsid w:val="000F0E2D"/>
    <w:rsid w:val="000F2801"/>
    <w:rsid w:val="000F4C6A"/>
    <w:rsid w:val="000F779D"/>
    <w:rsid w:val="001002E2"/>
    <w:rsid w:val="00100F44"/>
    <w:rsid w:val="001044A2"/>
    <w:rsid w:val="00104F6B"/>
    <w:rsid w:val="00106058"/>
    <w:rsid w:val="00106526"/>
    <w:rsid w:val="00111748"/>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3791E"/>
    <w:rsid w:val="00140936"/>
    <w:rsid w:val="00140E07"/>
    <w:rsid w:val="00142100"/>
    <w:rsid w:val="001435BA"/>
    <w:rsid w:val="001437AA"/>
    <w:rsid w:val="001442C7"/>
    <w:rsid w:val="00144A3A"/>
    <w:rsid w:val="00144C96"/>
    <w:rsid w:val="00146D1E"/>
    <w:rsid w:val="00146F25"/>
    <w:rsid w:val="00147C0A"/>
    <w:rsid w:val="00150A32"/>
    <w:rsid w:val="00150F56"/>
    <w:rsid w:val="00151D2F"/>
    <w:rsid w:val="00152FA0"/>
    <w:rsid w:val="001533D4"/>
    <w:rsid w:val="00153F8C"/>
    <w:rsid w:val="00155FF4"/>
    <w:rsid w:val="00156881"/>
    <w:rsid w:val="00156D75"/>
    <w:rsid w:val="001570F0"/>
    <w:rsid w:val="00160D09"/>
    <w:rsid w:val="00160FD6"/>
    <w:rsid w:val="001621D9"/>
    <w:rsid w:val="00162DBC"/>
    <w:rsid w:val="001631E0"/>
    <w:rsid w:val="00163DE2"/>
    <w:rsid w:val="00164E5A"/>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967AD"/>
    <w:rsid w:val="001A2366"/>
    <w:rsid w:val="001A2A63"/>
    <w:rsid w:val="001A2B13"/>
    <w:rsid w:val="001A4DD7"/>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D724C"/>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05B52"/>
    <w:rsid w:val="00210630"/>
    <w:rsid w:val="00210AA6"/>
    <w:rsid w:val="00210EAC"/>
    <w:rsid w:val="00212202"/>
    <w:rsid w:val="00212B50"/>
    <w:rsid w:val="002132D2"/>
    <w:rsid w:val="00215FA5"/>
    <w:rsid w:val="00216E1F"/>
    <w:rsid w:val="002207C3"/>
    <w:rsid w:val="00222A7A"/>
    <w:rsid w:val="00227E50"/>
    <w:rsid w:val="002335CF"/>
    <w:rsid w:val="002337C2"/>
    <w:rsid w:val="00233CE4"/>
    <w:rsid w:val="002342B8"/>
    <w:rsid w:val="0023454D"/>
    <w:rsid w:val="002349E9"/>
    <w:rsid w:val="0023521F"/>
    <w:rsid w:val="00235DC5"/>
    <w:rsid w:val="00243CC1"/>
    <w:rsid w:val="002440CE"/>
    <w:rsid w:val="00244283"/>
    <w:rsid w:val="00246192"/>
    <w:rsid w:val="00253333"/>
    <w:rsid w:val="0025444A"/>
    <w:rsid w:val="002573B2"/>
    <w:rsid w:val="00261762"/>
    <w:rsid w:val="00261A28"/>
    <w:rsid w:val="00262118"/>
    <w:rsid w:val="00263BAE"/>
    <w:rsid w:val="002650D4"/>
    <w:rsid w:val="002712FD"/>
    <w:rsid w:val="002727D1"/>
    <w:rsid w:val="00272FC4"/>
    <w:rsid w:val="00272FE8"/>
    <w:rsid w:val="00273802"/>
    <w:rsid w:val="00276288"/>
    <w:rsid w:val="002804CF"/>
    <w:rsid w:val="00280EE3"/>
    <w:rsid w:val="002815A7"/>
    <w:rsid w:val="002832A1"/>
    <w:rsid w:val="0028384F"/>
    <w:rsid w:val="00283A00"/>
    <w:rsid w:val="00284482"/>
    <w:rsid w:val="00284539"/>
    <w:rsid w:val="00285F80"/>
    <w:rsid w:val="002869EB"/>
    <w:rsid w:val="002907B1"/>
    <w:rsid w:val="00291E2F"/>
    <w:rsid w:val="00291EE1"/>
    <w:rsid w:val="00292581"/>
    <w:rsid w:val="00293033"/>
    <w:rsid w:val="00294972"/>
    <w:rsid w:val="00294FD3"/>
    <w:rsid w:val="00296F9F"/>
    <w:rsid w:val="002A0044"/>
    <w:rsid w:val="002A1F9C"/>
    <w:rsid w:val="002A228F"/>
    <w:rsid w:val="002A22C2"/>
    <w:rsid w:val="002A3011"/>
    <w:rsid w:val="002A3A64"/>
    <w:rsid w:val="002A5E66"/>
    <w:rsid w:val="002A5F35"/>
    <w:rsid w:val="002B1ED4"/>
    <w:rsid w:val="002B3157"/>
    <w:rsid w:val="002B33DC"/>
    <w:rsid w:val="002B3E72"/>
    <w:rsid w:val="002B5ECD"/>
    <w:rsid w:val="002B6623"/>
    <w:rsid w:val="002B6A2C"/>
    <w:rsid w:val="002C078E"/>
    <w:rsid w:val="002C37DF"/>
    <w:rsid w:val="002C4B1C"/>
    <w:rsid w:val="002C4B32"/>
    <w:rsid w:val="002C53CE"/>
    <w:rsid w:val="002C5DD4"/>
    <w:rsid w:val="002C7C0D"/>
    <w:rsid w:val="002D13BF"/>
    <w:rsid w:val="002D143A"/>
    <w:rsid w:val="002D5639"/>
    <w:rsid w:val="002E318B"/>
    <w:rsid w:val="002E5028"/>
    <w:rsid w:val="002E728A"/>
    <w:rsid w:val="002E7C3D"/>
    <w:rsid w:val="002E7FAC"/>
    <w:rsid w:val="002F02A6"/>
    <w:rsid w:val="002F0C20"/>
    <w:rsid w:val="002F20F5"/>
    <w:rsid w:val="002F2B9E"/>
    <w:rsid w:val="002F4DBD"/>
    <w:rsid w:val="002F54E1"/>
    <w:rsid w:val="002F59FF"/>
    <w:rsid w:val="002F739D"/>
    <w:rsid w:val="00301581"/>
    <w:rsid w:val="0030168E"/>
    <w:rsid w:val="0030186B"/>
    <w:rsid w:val="00302388"/>
    <w:rsid w:val="00305780"/>
    <w:rsid w:val="0030639A"/>
    <w:rsid w:val="00306BB2"/>
    <w:rsid w:val="00307757"/>
    <w:rsid w:val="00307B4E"/>
    <w:rsid w:val="00311EAD"/>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379BD"/>
    <w:rsid w:val="003403F4"/>
    <w:rsid w:val="00340604"/>
    <w:rsid w:val="003408F2"/>
    <w:rsid w:val="00340932"/>
    <w:rsid w:val="00340A29"/>
    <w:rsid w:val="003426FF"/>
    <w:rsid w:val="0034280C"/>
    <w:rsid w:val="00343923"/>
    <w:rsid w:val="00344B54"/>
    <w:rsid w:val="00346A86"/>
    <w:rsid w:val="00346CC4"/>
    <w:rsid w:val="00350705"/>
    <w:rsid w:val="00351040"/>
    <w:rsid w:val="003531BA"/>
    <w:rsid w:val="00356606"/>
    <w:rsid w:val="00360231"/>
    <w:rsid w:val="00361F8E"/>
    <w:rsid w:val="00367858"/>
    <w:rsid w:val="003728E8"/>
    <w:rsid w:val="00375BFE"/>
    <w:rsid w:val="00376601"/>
    <w:rsid w:val="00376AF3"/>
    <w:rsid w:val="00377CF2"/>
    <w:rsid w:val="003801E5"/>
    <w:rsid w:val="00381789"/>
    <w:rsid w:val="00382EB4"/>
    <w:rsid w:val="00387787"/>
    <w:rsid w:val="0039555D"/>
    <w:rsid w:val="00396449"/>
    <w:rsid w:val="0039678B"/>
    <w:rsid w:val="003967C2"/>
    <w:rsid w:val="0039745B"/>
    <w:rsid w:val="003A0944"/>
    <w:rsid w:val="003A1010"/>
    <w:rsid w:val="003A3354"/>
    <w:rsid w:val="003A33AE"/>
    <w:rsid w:val="003A3469"/>
    <w:rsid w:val="003A56ED"/>
    <w:rsid w:val="003A6CA1"/>
    <w:rsid w:val="003A75C8"/>
    <w:rsid w:val="003B0E03"/>
    <w:rsid w:val="003B2A6E"/>
    <w:rsid w:val="003B3F5C"/>
    <w:rsid w:val="003B4AA2"/>
    <w:rsid w:val="003B5330"/>
    <w:rsid w:val="003B63B7"/>
    <w:rsid w:val="003B70C7"/>
    <w:rsid w:val="003B7126"/>
    <w:rsid w:val="003B7243"/>
    <w:rsid w:val="003B7844"/>
    <w:rsid w:val="003B7D0F"/>
    <w:rsid w:val="003C0A6F"/>
    <w:rsid w:val="003C0C9F"/>
    <w:rsid w:val="003C16F8"/>
    <w:rsid w:val="003C2B71"/>
    <w:rsid w:val="003C2E1E"/>
    <w:rsid w:val="003C3419"/>
    <w:rsid w:val="003C43B9"/>
    <w:rsid w:val="003C698E"/>
    <w:rsid w:val="003C7BB6"/>
    <w:rsid w:val="003D3CA6"/>
    <w:rsid w:val="003D41AA"/>
    <w:rsid w:val="003D4B1D"/>
    <w:rsid w:val="003D5074"/>
    <w:rsid w:val="003D591B"/>
    <w:rsid w:val="003D7818"/>
    <w:rsid w:val="003D7CC1"/>
    <w:rsid w:val="003E0DFA"/>
    <w:rsid w:val="003E2227"/>
    <w:rsid w:val="003E2928"/>
    <w:rsid w:val="003E3905"/>
    <w:rsid w:val="003E3FB3"/>
    <w:rsid w:val="003E55C6"/>
    <w:rsid w:val="003E687B"/>
    <w:rsid w:val="003E697A"/>
    <w:rsid w:val="003F104E"/>
    <w:rsid w:val="003F586A"/>
    <w:rsid w:val="003F7994"/>
    <w:rsid w:val="004000C8"/>
    <w:rsid w:val="00400713"/>
    <w:rsid w:val="0040083C"/>
    <w:rsid w:val="0040286F"/>
    <w:rsid w:val="00402BBD"/>
    <w:rsid w:val="0040373D"/>
    <w:rsid w:val="00404B18"/>
    <w:rsid w:val="00406DE9"/>
    <w:rsid w:val="00410A29"/>
    <w:rsid w:val="00410AD0"/>
    <w:rsid w:val="004117F7"/>
    <w:rsid w:val="004127A8"/>
    <w:rsid w:val="004150DA"/>
    <w:rsid w:val="0041526A"/>
    <w:rsid w:val="004172D7"/>
    <w:rsid w:val="00421D0E"/>
    <w:rsid w:val="0042312C"/>
    <w:rsid w:val="004233C1"/>
    <w:rsid w:val="00423A98"/>
    <w:rsid w:val="004241EB"/>
    <w:rsid w:val="004272A4"/>
    <w:rsid w:val="00430B70"/>
    <w:rsid w:val="00432261"/>
    <w:rsid w:val="00432F46"/>
    <w:rsid w:val="004338FB"/>
    <w:rsid w:val="0043553C"/>
    <w:rsid w:val="0043679B"/>
    <w:rsid w:val="0043729F"/>
    <w:rsid w:val="00441E29"/>
    <w:rsid w:val="004449EE"/>
    <w:rsid w:val="00445E2A"/>
    <w:rsid w:val="004461BC"/>
    <w:rsid w:val="00446660"/>
    <w:rsid w:val="00447076"/>
    <w:rsid w:val="00450EF9"/>
    <w:rsid w:val="004524B2"/>
    <w:rsid w:val="00452B43"/>
    <w:rsid w:val="0045628D"/>
    <w:rsid w:val="00457D56"/>
    <w:rsid w:val="00460BA9"/>
    <w:rsid w:val="00461004"/>
    <w:rsid w:val="004637C2"/>
    <w:rsid w:val="00464B85"/>
    <w:rsid w:val="00466D6B"/>
    <w:rsid w:val="0047474E"/>
    <w:rsid w:val="00475F68"/>
    <w:rsid w:val="00476162"/>
    <w:rsid w:val="00477C3F"/>
    <w:rsid w:val="00480CB1"/>
    <w:rsid w:val="00482544"/>
    <w:rsid w:val="00482FAD"/>
    <w:rsid w:val="00483E5F"/>
    <w:rsid w:val="004873ED"/>
    <w:rsid w:val="00487F47"/>
    <w:rsid w:val="00491B67"/>
    <w:rsid w:val="00493699"/>
    <w:rsid w:val="00494083"/>
    <w:rsid w:val="00494B66"/>
    <w:rsid w:val="00495197"/>
    <w:rsid w:val="00496C7B"/>
    <w:rsid w:val="0049701D"/>
    <w:rsid w:val="00497179"/>
    <w:rsid w:val="004A1DE9"/>
    <w:rsid w:val="004A37BA"/>
    <w:rsid w:val="004A4711"/>
    <w:rsid w:val="004A55D3"/>
    <w:rsid w:val="004A66F4"/>
    <w:rsid w:val="004A6AB4"/>
    <w:rsid w:val="004A6F2C"/>
    <w:rsid w:val="004A7115"/>
    <w:rsid w:val="004A736F"/>
    <w:rsid w:val="004A7588"/>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3C2"/>
    <w:rsid w:val="004E3C1B"/>
    <w:rsid w:val="004E5B44"/>
    <w:rsid w:val="004E6DAA"/>
    <w:rsid w:val="004E7D6C"/>
    <w:rsid w:val="004F37E0"/>
    <w:rsid w:val="004F3C16"/>
    <w:rsid w:val="004F46C9"/>
    <w:rsid w:val="004F653A"/>
    <w:rsid w:val="005009F7"/>
    <w:rsid w:val="00501117"/>
    <w:rsid w:val="005011E9"/>
    <w:rsid w:val="00502D2E"/>
    <w:rsid w:val="00505241"/>
    <w:rsid w:val="005058A4"/>
    <w:rsid w:val="00505F03"/>
    <w:rsid w:val="00505FCF"/>
    <w:rsid w:val="00506791"/>
    <w:rsid w:val="00506ADE"/>
    <w:rsid w:val="005076FF"/>
    <w:rsid w:val="00507FCB"/>
    <w:rsid w:val="0051158F"/>
    <w:rsid w:val="00511F08"/>
    <w:rsid w:val="00513A84"/>
    <w:rsid w:val="005141D8"/>
    <w:rsid w:val="00520CB3"/>
    <w:rsid w:val="00521548"/>
    <w:rsid w:val="00521937"/>
    <w:rsid w:val="005226D5"/>
    <w:rsid w:val="00527CC5"/>
    <w:rsid w:val="00527E16"/>
    <w:rsid w:val="005322A5"/>
    <w:rsid w:val="00533A85"/>
    <w:rsid w:val="0053533D"/>
    <w:rsid w:val="005358EF"/>
    <w:rsid w:val="00535CA3"/>
    <w:rsid w:val="00536045"/>
    <w:rsid w:val="00536A95"/>
    <w:rsid w:val="00536F8D"/>
    <w:rsid w:val="00540639"/>
    <w:rsid w:val="0054201F"/>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D29"/>
    <w:rsid w:val="00561EE9"/>
    <w:rsid w:val="00562D85"/>
    <w:rsid w:val="005630DC"/>
    <w:rsid w:val="0056329E"/>
    <w:rsid w:val="00564EBC"/>
    <w:rsid w:val="00565F12"/>
    <w:rsid w:val="0056621E"/>
    <w:rsid w:val="0056646B"/>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950"/>
    <w:rsid w:val="00583AF9"/>
    <w:rsid w:val="00584506"/>
    <w:rsid w:val="005855C9"/>
    <w:rsid w:val="0058637A"/>
    <w:rsid w:val="00587285"/>
    <w:rsid w:val="005904EF"/>
    <w:rsid w:val="00590B2E"/>
    <w:rsid w:val="00590F22"/>
    <w:rsid w:val="0059228C"/>
    <w:rsid w:val="0059367A"/>
    <w:rsid w:val="005951FB"/>
    <w:rsid w:val="00595FA1"/>
    <w:rsid w:val="0059714B"/>
    <w:rsid w:val="00597670"/>
    <w:rsid w:val="005A0707"/>
    <w:rsid w:val="005A221B"/>
    <w:rsid w:val="005A3518"/>
    <w:rsid w:val="005A408C"/>
    <w:rsid w:val="005A68B9"/>
    <w:rsid w:val="005B0690"/>
    <w:rsid w:val="005B0DA6"/>
    <w:rsid w:val="005B0E2C"/>
    <w:rsid w:val="005B1C14"/>
    <w:rsid w:val="005B1ED9"/>
    <w:rsid w:val="005B2CAA"/>
    <w:rsid w:val="005B5922"/>
    <w:rsid w:val="005B5D26"/>
    <w:rsid w:val="005C10EB"/>
    <w:rsid w:val="005C21E7"/>
    <w:rsid w:val="005D15F4"/>
    <w:rsid w:val="005D3070"/>
    <w:rsid w:val="005D35D9"/>
    <w:rsid w:val="005D3954"/>
    <w:rsid w:val="005D4E0C"/>
    <w:rsid w:val="005D5FA7"/>
    <w:rsid w:val="005D72AA"/>
    <w:rsid w:val="005D72E2"/>
    <w:rsid w:val="005E0090"/>
    <w:rsid w:val="005E0EFD"/>
    <w:rsid w:val="005E221C"/>
    <w:rsid w:val="005E274A"/>
    <w:rsid w:val="005E36D5"/>
    <w:rsid w:val="005E3735"/>
    <w:rsid w:val="005E39EF"/>
    <w:rsid w:val="005E45A5"/>
    <w:rsid w:val="005E4F57"/>
    <w:rsid w:val="005E6768"/>
    <w:rsid w:val="005E7014"/>
    <w:rsid w:val="005E7148"/>
    <w:rsid w:val="005E735D"/>
    <w:rsid w:val="005F0B1D"/>
    <w:rsid w:val="005F3328"/>
    <w:rsid w:val="005F3D8C"/>
    <w:rsid w:val="005F6E75"/>
    <w:rsid w:val="005F7B44"/>
    <w:rsid w:val="00600682"/>
    <w:rsid w:val="006073FB"/>
    <w:rsid w:val="00610F11"/>
    <w:rsid w:val="0061203C"/>
    <w:rsid w:val="00612754"/>
    <w:rsid w:val="00612E93"/>
    <w:rsid w:val="00614307"/>
    <w:rsid w:val="0061494B"/>
    <w:rsid w:val="00614CB8"/>
    <w:rsid w:val="00615968"/>
    <w:rsid w:val="00615CE8"/>
    <w:rsid w:val="0061652D"/>
    <w:rsid w:val="00616CEB"/>
    <w:rsid w:val="00621FCA"/>
    <w:rsid w:val="00625277"/>
    <w:rsid w:val="006273B9"/>
    <w:rsid w:val="00630559"/>
    <w:rsid w:val="0063095F"/>
    <w:rsid w:val="00630C52"/>
    <w:rsid w:val="00631706"/>
    <w:rsid w:val="00633031"/>
    <w:rsid w:val="00633EDB"/>
    <w:rsid w:val="006359A9"/>
    <w:rsid w:val="006361C2"/>
    <w:rsid w:val="00640640"/>
    <w:rsid w:val="006409CD"/>
    <w:rsid w:val="00640A46"/>
    <w:rsid w:val="00640EB6"/>
    <w:rsid w:val="00645717"/>
    <w:rsid w:val="00645FE7"/>
    <w:rsid w:val="00646C0C"/>
    <w:rsid w:val="00646DFA"/>
    <w:rsid w:val="00651D20"/>
    <w:rsid w:val="00653A5B"/>
    <w:rsid w:val="00653FD6"/>
    <w:rsid w:val="00657CCC"/>
    <w:rsid w:val="006606EE"/>
    <w:rsid w:val="00660730"/>
    <w:rsid w:val="00660FC7"/>
    <w:rsid w:val="006636B8"/>
    <w:rsid w:val="00663AE6"/>
    <w:rsid w:val="00663EAF"/>
    <w:rsid w:val="00665D0F"/>
    <w:rsid w:val="006673FC"/>
    <w:rsid w:val="00667BF2"/>
    <w:rsid w:val="00671977"/>
    <w:rsid w:val="00672ACC"/>
    <w:rsid w:val="00674354"/>
    <w:rsid w:val="006744C9"/>
    <w:rsid w:val="00674581"/>
    <w:rsid w:val="006752F3"/>
    <w:rsid w:val="00677A68"/>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18CC"/>
    <w:rsid w:val="006A2C05"/>
    <w:rsid w:val="006A34BE"/>
    <w:rsid w:val="006B0E7D"/>
    <w:rsid w:val="006B20AA"/>
    <w:rsid w:val="006B2303"/>
    <w:rsid w:val="006B4812"/>
    <w:rsid w:val="006C3379"/>
    <w:rsid w:val="006C4053"/>
    <w:rsid w:val="006C6F2C"/>
    <w:rsid w:val="006D1DCA"/>
    <w:rsid w:val="006D377F"/>
    <w:rsid w:val="006D3839"/>
    <w:rsid w:val="006D3F50"/>
    <w:rsid w:val="006D52B1"/>
    <w:rsid w:val="006D65B3"/>
    <w:rsid w:val="006D7EAB"/>
    <w:rsid w:val="006E1465"/>
    <w:rsid w:val="006E147C"/>
    <w:rsid w:val="006E14A0"/>
    <w:rsid w:val="006E45F1"/>
    <w:rsid w:val="006E5029"/>
    <w:rsid w:val="006E528B"/>
    <w:rsid w:val="006E61DF"/>
    <w:rsid w:val="006E76BE"/>
    <w:rsid w:val="006E7CEB"/>
    <w:rsid w:val="006F07A6"/>
    <w:rsid w:val="006F146C"/>
    <w:rsid w:val="006F2570"/>
    <w:rsid w:val="006F42AA"/>
    <w:rsid w:val="006F4915"/>
    <w:rsid w:val="006F64E6"/>
    <w:rsid w:val="00701EE2"/>
    <w:rsid w:val="0070249B"/>
    <w:rsid w:val="00703853"/>
    <w:rsid w:val="0070388C"/>
    <w:rsid w:val="0070685A"/>
    <w:rsid w:val="007102EC"/>
    <w:rsid w:val="00713A17"/>
    <w:rsid w:val="00713A95"/>
    <w:rsid w:val="00714801"/>
    <w:rsid w:val="00714CFE"/>
    <w:rsid w:val="00722E3D"/>
    <w:rsid w:val="00723BF6"/>
    <w:rsid w:val="00723FDF"/>
    <w:rsid w:val="007240B8"/>
    <w:rsid w:val="00726F77"/>
    <w:rsid w:val="007303F8"/>
    <w:rsid w:val="00730D9F"/>
    <w:rsid w:val="00731BEB"/>
    <w:rsid w:val="007322FA"/>
    <w:rsid w:val="00732E2B"/>
    <w:rsid w:val="007342F5"/>
    <w:rsid w:val="00736F23"/>
    <w:rsid w:val="007374AE"/>
    <w:rsid w:val="00737816"/>
    <w:rsid w:val="00737894"/>
    <w:rsid w:val="00737CE6"/>
    <w:rsid w:val="00737D0D"/>
    <w:rsid w:val="00740702"/>
    <w:rsid w:val="007415EE"/>
    <w:rsid w:val="00741AB2"/>
    <w:rsid w:val="00741F8D"/>
    <w:rsid w:val="00744390"/>
    <w:rsid w:val="00747BB7"/>
    <w:rsid w:val="00747DEB"/>
    <w:rsid w:val="00751114"/>
    <w:rsid w:val="00751637"/>
    <w:rsid w:val="007530FA"/>
    <w:rsid w:val="00754559"/>
    <w:rsid w:val="0075609B"/>
    <w:rsid w:val="00757DCB"/>
    <w:rsid w:val="0076010D"/>
    <w:rsid w:val="007603C9"/>
    <w:rsid w:val="00760875"/>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65E"/>
    <w:rsid w:val="00793BB8"/>
    <w:rsid w:val="00795C6B"/>
    <w:rsid w:val="00795D4A"/>
    <w:rsid w:val="007964D2"/>
    <w:rsid w:val="007971CB"/>
    <w:rsid w:val="007A0E22"/>
    <w:rsid w:val="007A15E6"/>
    <w:rsid w:val="007A17E3"/>
    <w:rsid w:val="007A57E4"/>
    <w:rsid w:val="007B3D5A"/>
    <w:rsid w:val="007B4909"/>
    <w:rsid w:val="007C222C"/>
    <w:rsid w:val="007C41B1"/>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6BE1"/>
    <w:rsid w:val="00800B6A"/>
    <w:rsid w:val="00801545"/>
    <w:rsid w:val="00801CFC"/>
    <w:rsid w:val="00802500"/>
    <w:rsid w:val="00802D85"/>
    <w:rsid w:val="00803BA6"/>
    <w:rsid w:val="00803FB3"/>
    <w:rsid w:val="0080518F"/>
    <w:rsid w:val="0080530D"/>
    <w:rsid w:val="00806058"/>
    <w:rsid w:val="00812A5F"/>
    <w:rsid w:val="0081398D"/>
    <w:rsid w:val="0081535C"/>
    <w:rsid w:val="00815552"/>
    <w:rsid w:val="00816623"/>
    <w:rsid w:val="00816DE1"/>
    <w:rsid w:val="008177E6"/>
    <w:rsid w:val="00817F2E"/>
    <w:rsid w:val="00822E9A"/>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08C1"/>
    <w:rsid w:val="00871D61"/>
    <w:rsid w:val="00872CC0"/>
    <w:rsid w:val="00874E4D"/>
    <w:rsid w:val="008750B0"/>
    <w:rsid w:val="008760FD"/>
    <w:rsid w:val="008763F7"/>
    <w:rsid w:val="00876DE9"/>
    <w:rsid w:val="00877EBE"/>
    <w:rsid w:val="00881BF7"/>
    <w:rsid w:val="008821BC"/>
    <w:rsid w:val="008824CF"/>
    <w:rsid w:val="008825A0"/>
    <w:rsid w:val="00882ED1"/>
    <w:rsid w:val="008861A8"/>
    <w:rsid w:val="00890EEB"/>
    <w:rsid w:val="008939D5"/>
    <w:rsid w:val="008A003E"/>
    <w:rsid w:val="008A08B9"/>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0C62"/>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5EDF"/>
    <w:rsid w:val="008F630C"/>
    <w:rsid w:val="008F6FDB"/>
    <w:rsid w:val="008F712A"/>
    <w:rsid w:val="008F7BC2"/>
    <w:rsid w:val="00900517"/>
    <w:rsid w:val="0090384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2728F"/>
    <w:rsid w:val="0093206D"/>
    <w:rsid w:val="009323E0"/>
    <w:rsid w:val="0093356D"/>
    <w:rsid w:val="00933B41"/>
    <w:rsid w:val="009356B4"/>
    <w:rsid w:val="009373AE"/>
    <w:rsid w:val="00940083"/>
    <w:rsid w:val="009413E6"/>
    <w:rsid w:val="009431BF"/>
    <w:rsid w:val="00943418"/>
    <w:rsid w:val="0094608F"/>
    <w:rsid w:val="009461FC"/>
    <w:rsid w:val="00946262"/>
    <w:rsid w:val="0094639D"/>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401"/>
    <w:rsid w:val="009815DB"/>
    <w:rsid w:val="00982C3E"/>
    <w:rsid w:val="0098323A"/>
    <w:rsid w:val="00985325"/>
    <w:rsid w:val="009867A4"/>
    <w:rsid w:val="009877B9"/>
    <w:rsid w:val="00987925"/>
    <w:rsid w:val="00992155"/>
    <w:rsid w:val="0099219B"/>
    <w:rsid w:val="009940E0"/>
    <w:rsid w:val="009940E4"/>
    <w:rsid w:val="009A05B3"/>
    <w:rsid w:val="009A085A"/>
    <w:rsid w:val="009A18C3"/>
    <w:rsid w:val="009A2615"/>
    <w:rsid w:val="009A3E3D"/>
    <w:rsid w:val="009A3F28"/>
    <w:rsid w:val="009A3F99"/>
    <w:rsid w:val="009A47F4"/>
    <w:rsid w:val="009A543F"/>
    <w:rsid w:val="009A5BFA"/>
    <w:rsid w:val="009A650C"/>
    <w:rsid w:val="009A6C4C"/>
    <w:rsid w:val="009A7B60"/>
    <w:rsid w:val="009B0F21"/>
    <w:rsid w:val="009B3246"/>
    <w:rsid w:val="009B3F88"/>
    <w:rsid w:val="009B47F5"/>
    <w:rsid w:val="009B4BEA"/>
    <w:rsid w:val="009C12C4"/>
    <w:rsid w:val="009C402D"/>
    <w:rsid w:val="009D15A0"/>
    <w:rsid w:val="009D16DD"/>
    <w:rsid w:val="009D4AB5"/>
    <w:rsid w:val="009D6F85"/>
    <w:rsid w:val="009E1392"/>
    <w:rsid w:val="009E36E3"/>
    <w:rsid w:val="009E3CFB"/>
    <w:rsid w:val="009E459E"/>
    <w:rsid w:val="009E47DA"/>
    <w:rsid w:val="009E59B1"/>
    <w:rsid w:val="009F15C2"/>
    <w:rsid w:val="009F1A6E"/>
    <w:rsid w:val="009F2DD8"/>
    <w:rsid w:val="009F3AAE"/>
    <w:rsid w:val="009F59F9"/>
    <w:rsid w:val="009F6803"/>
    <w:rsid w:val="00A0101C"/>
    <w:rsid w:val="00A02DF9"/>
    <w:rsid w:val="00A03231"/>
    <w:rsid w:val="00A04665"/>
    <w:rsid w:val="00A0517A"/>
    <w:rsid w:val="00A0562C"/>
    <w:rsid w:val="00A06A5A"/>
    <w:rsid w:val="00A121CB"/>
    <w:rsid w:val="00A129FC"/>
    <w:rsid w:val="00A1335D"/>
    <w:rsid w:val="00A14E17"/>
    <w:rsid w:val="00A15A6A"/>
    <w:rsid w:val="00A162F3"/>
    <w:rsid w:val="00A217A0"/>
    <w:rsid w:val="00A228F7"/>
    <w:rsid w:val="00A26548"/>
    <w:rsid w:val="00A27F81"/>
    <w:rsid w:val="00A31F35"/>
    <w:rsid w:val="00A37CA4"/>
    <w:rsid w:val="00A42BCC"/>
    <w:rsid w:val="00A45068"/>
    <w:rsid w:val="00A45356"/>
    <w:rsid w:val="00A4590E"/>
    <w:rsid w:val="00A45DC5"/>
    <w:rsid w:val="00A4618E"/>
    <w:rsid w:val="00A46534"/>
    <w:rsid w:val="00A47CA1"/>
    <w:rsid w:val="00A52615"/>
    <w:rsid w:val="00A528CB"/>
    <w:rsid w:val="00A53781"/>
    <w:rsid w:val="00A53AD2"/>
    <w:rsid w:val="00A55396"/>
    <w:rsid w:val="00A5684F"/>
    <w:rsid w:val="00A60C59"/>
    <w:rsid w:val="00A60D82"/>
    <w:rsid w:val="00A60F56"/>
    <w:rsid w:val="00A61FEB"/>
    <w:rsid w:val="00A62FA8"/>
    <w:rsid w:val="00A63B69"/>
    <w:rsid w:val="00A6597D"/>
    <w:rsid w:val="00A674BB"/>
    <w:rsid w:val="00A67DA7"/>
    <w:rsid w:val="00A716C2"/>
    <w:rsid w:val="00A7170C"/>
    <w:rsid w:val="00A7319A"/>
    <w:rsid w:val="00A734AC"/>
    <w:rsid w:val="00A775DA"/>
    <w:rsid w:val="00A80468"/>
    <w:rsid w:val="00A81058"/>
    <w:rsid w:val="00A81421"/>
    <w:rsid w:val="00A84586"/>
    <w:rsid w:val="00A84809"/>
    <w:rsid w:val="00A84E50"/>
    <w:rsid w:val="00A853D3"/>
    <w:rsid w:val="00A85D64"/>
    <w:rsid w:val="00A861B3"/>
    <w:rsid w:val="00A86D9A"/>
    <w:rsid w:val="00A91355"/>
    <w:rsid w:val="00A935EC"/>
    <w:rsid w:val="00A939E8"/>
    <w:rsid w:val="00A9415D"/>
    <w:rsid w:val="00A96AE7"/>
    <w:rsid w:val="00A96D79"/>
    <w:rsid w:val="00A9799B"/>
    <w:rsid w:val="00AA1129"/>
    <w:rsid w:val="00AA16C5"/>
    <w:rsid w:val="00AA6AD3"/>
    <w:rsid w:val="00AA79CB"/>
    <w:rsid w:val="00AB0D2D"/>
    <w:rsid w:val="00AB1E31"/>
    <w:rsid w:val="00AB3F98"/>
    <w:rsid w:val="00AB54CF"/>
    <w:rsid w:val="00AB6CE7"/>
    <w:rsid w:val="00AB74ED"/>
    <w:rsid w:val="00AB7F55"/>
    <w:rsid w:val="00AC0AE6"/>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54E9"/>
    <w:rsid w:val="00B06CFE"/>
    <w:rsid w:val="00B078A4"/>
    <w:rsid w:val="00B10189"/>
    <w:rsid w:val="00B11970"/>
    <w:rsid w:val="00B121E6"/>
    <w:rsid w:val="00B139E0"/>
    <w:rsid w:val="00B14A6D"/>
    <w:rsid w:val="00B217EE"/>
    <w:rsid w:val="00B24530"/>
    <w:rsid w:val="00B245A2"/>
    <w:rsid w:val="00B255C4"/>
    <w:rsid w:val="00B2590B"/>
    <w:rsid w:val="00B26124"/>
    <w:rsid w:val="00B276AF"/>
    <w:rsid w:val="00B31B06"/>
    <w:rsid w:val="00B31D6C"/>
    <w:rsid w:val="00B32948"/>
    <w:rsid w:val="00B33320"/>
    <w:rsid w:val="00B425F0"/>
    <w:rsid w:val="00B43374"/>
    <w:rsid w:val="00B43616"/>
    <w:rsid w:val="00B5184E"/>
    <w:rsid w:val="00B545FC"/>
    <w:rsid w:val="00B54BB0"/>
    <w:rsid w:val="00B554D7"/>
    <w:rsid w:val="00B55B6D"/>
    <w:rsid w:val="00B570D4"/>
    <w:rsid w:val="00B57BFE"/>
    <w:rsid w:val="00B603FA"/>
    <w:rsid w:val="00B63045"/>
    <w:rsid w:val="00B674D3"/>
    <w:rsid w:val="00B71610"/>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2B0E"/>
    <w:rsid w:val="00B958DB"/>
    <w:rsid w:val="00B9594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0A75"/>
    <w:rsid w:val="00BE17CC"/>
    <w:rsid w:val="00BE1A87"/>
    <w:rsid w:val="00BF300D"/>
    <w:rsid w:val="00BF4B81"/>
    <w:rsid w:val="00BF57B3"/>
    <w:rsid w:val="00BF70FA"/>
    <w:rsid w:val="00C01918"/>
    <w:rsid w:val="00C05554"/>
    <w:rsid w:val="00C05680"/>
    <w:rsid w:val="00C05A18"/>
    <w:rsid w:val="00C06D96"/>
    <w:rsid w:val="00C07366"/>
    <w:rsid w:val="00C10A1F"/>
    <w:rsid w:val="00C16C54"/>
    <w:rsid w:val="00C17136"/>
    <w:rsid w:val="00C17F25"/>
    <w:rsid w:val="00C209BC"/>
    <w:rsid w:val="00C223B7"/>
    <w:rsid w:val="00C2455A"/>
    <w:rsid w:val="00C25E85"/>
    <w:rsid w:val="00C3056E"/>
    <w:rsid w:val="00C30C92"/>
    <w:rsid w:val="00C34622"/>
    <w:rsid w:val="00C349F9"/>
    <w:rsid w:val="00C34D22"/>
    <w:rsid w:val="00C35139"/>
    <w:rsid w:val="00C37527"/>
    <w:rsid w:val="00C42BA0"/>
    <w:rsid w:val="00C43050"/>
    <w:rsid w:val="00C430F5"/>
    <w:rsid w:val="00C44811"/>
    <w:rsid w:val="00C44BA2"/>
    <w:rsid w:val="00C4559D"/>
    <w:rsid w:val="00C45626"/>
    <w:rsid w:val="00C457EB"/>
    <w:rsid w:val="00C45C2C"/>
    <w:rsid w:val="00C46DCC"/>
    <w:rsid w:val="00C47438"/>
    <w:rsid w:val="00C50DB8"/>
    <w:rsid w:val="00C5105E"/>
    <w:rsid w:val="00C525E8"/>
    <w:rsid w:val="00C53DE1"/>
    <w:rsid w:val="00C54C76"/>
    <w:rsid w:val="00C558BD"/>
    <w:rsid w:val="00C55AA0"/>
    <w:rsid w:val="00C56D36"/>
    <w:rsid w:val="00C570A2"/>
    <w:rsid w:val="00C605CA"/>
    <w:rsid w:val="00C61BCD"/>
    <w:rsid w:val="00C63065"/>
    <w:rsid w:val="00C67642"/>
    <w:rsid w:val="00C70B5B"/>
    <w:rsid w:val="00C713A3"/>
    <w:rsid w:val="00C71F3C"/>
    <w:rsid w:val="00C74E03"/>
    <w:rsid w:val="00C7573D"/>
    <w:rsid w:val="00C75B4A"/>
    <w:rsid w:val="00C76400"/>
    <w:rsid w:val="00C77A64"/>
    <w:rsid w:val="00C77D06"/>
    <w:rsid w:val="00C82340"/>
    <w:rsid w:val="00C824DE"/>
    <w:rsid w:val="00C82715"/>
    <w:rsid w:val="00C82E38"/>
    <w:rsid w:val="00C83C46"/>
    <w:rsid w:val="00C83FC7"/>
    <w:rsid w:val="00C83FF9"/>
    <w:rsid w:val="00C84051"/>
    <w:rsid w:val="00C867D7"/>
    <w:rsid w:val="00C86D17"/>
    <w:rsid w:val="00C87A61"/>
    <w:rsid w:val="00C87B34"/>
    <w:rsid w:val="00C87B4E"/>
    <w:rsid w:val="00C90A63"/>
    <w:rsid w:val="00C93A79"/>
    <w:rsid w:val="00C9615E"/>
    <w:rsid w:val="00CA050B"/>
    <w:rsid w:val="00CA05D8"/>
    <w:rsid w:val="00CA0B3D"/>
    <w:rsid w:val="00CA0D12"/>
    <w:rsid w:val="00CA13DD"/>
    <w:rsid w:val="00CA1C08"/>
    <w:rsid w:val="00CA2347"/>
    <w:rsid w:val="00CA2468"/>
    <w:rsid w:val="00CA2F6A"/>
    <w:rsid w:val="00CA412F"/>
    <w:rsid w:val="00CA440F"/>
    <w:rsid w:val="00CA4EBB"/>
    <w:rsid w:val="00CA546B"/>
    <w:rsid w:val="00CA73D6"/>
    <w:rsid w:val="00CB05C9"/>
    <w:rsid w:val="00CB05ED"/>
    <w:rsid w:val="00CB0859"/>
    <w:rsid w:val="00CB1AE9"/>
    <w:rsid w:val="00CB334B"/>
    <w:rsid w:val="00CB7203"/>
    <w:rsid w:val="00CB7436"/>
    <w:rsid w:val="00CB7619"/>
    <w:rsid w:val="00CC13A0"/>
    <w:rsid w:val="00CC4285"/>
    <w:rsid w:val="00CC4980"/>
    <w:rsid w:val="00CC4C82"/>
    <w:rsid w:val="00CC5641"/>
    <w:rsid w:val="00CD1F3D"/>
    <w:rsid w:val="00CD753F"/>
    <w:rsid w:val="00CE06CF"/>
    <w:rsid w:val="00CE1B8F"/>
    <w:rsid w:val="00CE3D17"/>
    <w:rsid w:val="00CE3E33"/>
    <w:rsid w:val="00CE4441"/>
    <w:rsid w:val="00CE4F34"/>
    <w:rsid w:val="00CE6A9D"/>
    <w:rsid w:val="00CE759F"/>
    <w:rsid w:val="00CF48DA"/>
    <w:rsid w:val="00CF7E9C"/>
    <w:rsid w:val="00D03555"/>
    <w:rsid w:val="00D039E8"/>
    <w:rsid w:val="00D04A6F"/>
    <w:rsid w:val="00D0503F"/>
    <w:rsid w:val="00D056C2"/>
    <w:rsid w:val="00D0595E"/>
    <w:rsid w:val="00D05CE0"/>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473C4"/>
    <w:rsid w:val="00D50B0A"/>
    <w:rsid w:val="00D5154A"/>
    <w:rsid w:val="00D5253D"/>
    <w:rsid w:val="00D54D96"/>
    <w:rsid w:val="00D55AD1"/>
    <w:rsid w:val="00D56B4E"/>
    <w:rsid w:val="00D57EC4"/>
    <w:rsid w:val="00D602CC"/>
    <w:rsid w:val="00D609C5"/>
    <w:rsid w:val="00D626D1"/>
    <w:rsid w:val="00D628CC"/>
    <w:rsid w:val="00D66235"/>
    <w:rsid w:val="00D718BE"/>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376B"/>
    <w:rsid w:val="00DB506E"/>
    <w:rsid w:val="00DB5693"/>
    <w:rsid w:val="00DB5E57"/>
    <w:rsid w:val="00DB7A41"/>
    <w:rsid w:val="00DC01F1"/>
    <w:rsid w:val="00DC0EC6"/>
    <w:rsid w:val="00DC2C8F"/>
    <w:rsid w:val="00DC2D07"/>
    <w:rsid w:val="00DC4622"/>
    <w:rsid w:val="00DC4E8A"/>
    <w:rsid w:val="00DC58B1"/>
    <w:rsid w:val="00DC5FF4"/>
    <w:rsid w:val="00DD01F3"/>
    <w:rsid w:val="00DD15F6"/>
    <w:rsid w:val="00DD2327"/>
    <w:rsid w:val="00DD23DF"/>
    <w:rsid w:val="00DD501A"/>
    <w:rsid w:val="00DD5CE3"/>
    <w:rsid w:val="00DD675B"/>
    <w:rsid w:val="00DE087D"/>
    <w:rsid w:val="00DE27BD"/>
    <w:rsid w:val="00DE6482"/>
    <w:rsid w:val="00DE6A25"/>
    <w:rsid w:val="00DF0BCA"/>
    <w:rsid w:val="00DF198A"/>
    <w:rsid w:val="00DF28E4"/>
    <w:rsid w:val="00DF5F13"/>
    <w:rsid w:val="00DF7123"/>
    <w:rsid w:val="00E0099C"/>
    <w:rsid w:val="00E03E22"/>
    <w:rsid w:val="00E07B52"/>
    <w:rsid w:val="00E11F54"/>
    <w:rsid w:val="00E122E3"/>
    <w:rsid w:val="00E13B6A"/>
    <w:rsid w:val="00E14A69"/>
    <w:rsid w:val="00E15326"/>
    <w:rsid w:val="00E217C6"/>
    <w:rsid w:val="00E24688"/>
    <w:rsid w:val="00E251C3"/>
    <w:rsid w:val="00E25329"/>
    <w:rsid w:val="00E327C8"/>
    <w:rsid w:val="00E32E89"/>
    <w:rsid w:val="00E33654"/>
    <w:rsid w:val="00E3474D"/>
    <w:rsid w:val="00E430E1"/>
    <w:rsid w:val="00E46F9F"/>
    <w:rsid w:val="00E47B99"/>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1977"/>
    <w:rsid w:val="00E821BF"/>
    <w:rsid w:val="00E84C50"/>
    <w:rsid w:val="00E85653"/>
    <w:rsid w:val="00E90CD6"/>
    <w:rsid w:val="00E90E89"/>
    <w:rsid w:val="00E92C6B"/>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A6BFD"/>
    <w:rsid w:val="00EB1959"/>
    <w:rsid w:val="00EB1BDE"/>
    <w:rsid w:val="00EB2F19"/>
    <w:rsid w:val="00EB4707"/>
    <w:rsid w:val="00EB4F91"/>
    <w:rsid w:val="00EB6DF4"/>
    <w:rsid w:val="00EC04BE"/>
    <w:rsid w:val="00EC0518"/>
    <w:rsid w:val="00EC0B81"/>
    <w:rsid w:val="00EC0C35"/>
    <w:rsid w:val="00EC23E6"/>
    <w:rsid w:val="00EC3441"/>
    <w:rsid w:val="00EC4BF6"/>
    <w:rsid w:val="00EC5AA0"/>
    <w:rsid w:val="00ED03A6"/>
    <w:rsid w:val="00ED1093"/>
    <w:rsid w:val="00ED1A2B"/>
    <w:rsid w:val="00ED4698"/>
    <w:rsid w:val="00ED5E01"/>
    <w:rsid w:val="00EE2067"/>
    <w:rsid w:val="00EE22B0"/>
    <w:rsid w:val="00EE3CAB"/>
    <w:rsid w:val="00EE5287"/>
    <w:rsid w:val="00EE52C8"/>
    <w:rsid w:val="00EE57B4"/>
    <w:rsid w:val="00EE7FB8"/>
    <w:rsid w:val="00EF0733"/>
    <w:rsid w:val="00EF1424"/>
    <w:rsid w:val="00EF41A3"/>
    <w:rsid w:val="00EF4A81"/>
    <w:rsid w:val="00EF5320"/>
    <w:rsid w:val="00EF5BCA"/>
    <w:rsid w:val="00EF6749"/>
    <w:rsid w:val="00EF693C"/>
    <w:rsid w:val="00EF7621"/>
    <w:rsid w:val="00F00A08"/>
    <w:rsid w:val="00F05812"/>
    <w:rsid w:val="00F071C0"/>
    <w:rsid w:val="00F107C6"/>
    <w:rsid w:val="00F11F04"/>
    <w:rsid w:val="00F13D41"/>
    <w:rsid w:val="00F13DB7"/>
    <w:rsid w:val="00F15C08"/>
    <w:rsid w:val="00F16CE1"/>
    <w:rsid w:val="00F17154"/>
    <w:rsid w:val="00F17A23"/>
    <w:rsid w:val="00F17A82"/>
    <w:rsid w:val="00F22FFD"/>
    <w:rsid w:val="00F25609"/>
    <w:rsid w:val="00F265C9"/>
    <w:rsid w:val="00F26DF3"/>
    <w:rsid w:val="00F26E18"/>
    <w:rsid w:val="00F27518"/>
    <w:rsid w:val="00F27DEE"/>
    <w:rsid w:val="00F3091E"/>
    <w:rsid w:val="00F31468"/>
    <w:rsid w:val="00F32819"/>
    <w:rsid w:val="00F34ADD"/>
    <w:rsid w:val="00F35090"/>
    <w:rsid w:val="00F358EA"/>
    <w:rsid w:val="00F35B62"/>
    <w:rsid w:val="00F36BFC"/>
    <w:rsid w:val="00F37AAF"/>
    <w:rsid w:val="00F416E5"/>
    <w:rsid w:val="00F44180"/>
    <w:rsid w:val="00F456DC"/>
    <w:rsid w:val="00F465DC"/>
    <w:rsid w:val="00F47D20"/>
    <w:rsid w:val="00F50BB0"/>
    <w:rsid w:val="00F51B06"/>
    <w:rsid w:val="00F52120"/>
    <w:rsid w:val="00F537D1"/>
    <w:rsid w:val="00F53DE1"/>
    <w:rsid w:val="00F54994"/>
    <w:rsid w:val="00F60D75"/>
    <w:rsid w:val="00F61A93"/>
    <w:rsid w:val="00F649DE"/>
    <w:rsid w:val="00F65397"/>
    <w:rsid w:val="00F66B71"/>
    <w:rsid w:val="00F7237E"/>
    <w:rsid w:val="00F72F1C"/>
    <w:rsid w:val="00F74532"/>
    <w:rsid w:val="00F74BA1"/>
    <w:rsid w:val="00F74E20"/>
    <w:rsid w:val="00F7595D"/>
    <w:rsid w:val="00F764DC"/>
    <w:rsid w:val="00F76AC7"/>
    <w:rsid w:val="00F77FE5"/>
    <w:rsid w:val="00F8067A"/>
    <w:rsid w:val="00F838A3"/>
    <w:rsid w:val="00F847AD"/>
    <w:rsid w:val="00F84DC6"/>
    <w:rsid w:val="00F857B5"/>
    <w:rsid w:val="00F8756D"/>
    <w:rsid w:val="00F90026"/>
    <w:rsid w:val="00F904CC"/>
    <w:rsid w:val="00F91721"/>
    <w:rsid w:val="00F91B3A"/>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B7A23"/>
    <w:rsid w:val="00FC1FCD"/>
    <w:rsid w:val="00FC20ED"/>
    <w:rsid w:val="00FC3B50"/>
    <w:rsid w:val="00FC40CC"/>
    <w:rsid w:val="00FC5D9B"/>
    <w:rsid w:val="00FC747E"/>
    <w:rsid w:val="00FC7761"/>
    <w:rsid w:val="00FC7DDA"/>
    <w:rsid w:val="00FD1685"/>
    <w:rsid w:val="00FD17F8"/>
    <w:rsid w:val="00FD1B37"/>
    <w:rsid w:val="00FD1E95"/>
    <w:rsid w:val="00FD5A48"/>
    <w:rsid w:val="00FD7C4B"/>
    <w:rsid w:val="00FE099C"/>
    <w:rsid w:val="00FE120E"/>
    <w:rsid w:val="00FE2223"/>
    <w:rsid w:val="00FE5320"/>
    <w:rsid w:val="00FF0438"/>
    <w:rsid w:val="00FF0FCD"/>
    <w:rsid w:val="00FF1221"/>
    <w:rsid w:val="00FF2732"/>
    <w:rsid w:val="00FF2E03"/>
    <w:rsid w:val="00FF3DCE"/>
    <w:rsid w:val="00FF48A7"/>
    <w:rsid w:val="00FF4A29"/>
    <w:rsid w:val="00FF4DAA"/>
    <w:rsid w:val="00FF4E26"/>
    <w:rsid w:val="00FF5563"/>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C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111748"/>
    <w:pPr>
      <w:keepLines/>
      <w:numPr>
        <w:numId w:val="146"/>
      </w:numPr>
      <w:spacing w:before="240" w:after="240" w:line="240" w:lineRule="auto"/>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1748"/>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qFormat/>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AB6CE7"/>
    <w:pPr>
      <w:numPr>
        <w:numId w:val="6"/>
      </w:numPr>
      <w:ind w:left="1135" w:hanging="284"/>
    </w:pPr>
  </w:style>
  <w:style w:type="paragraph" w:customStyle="1" w:styleId="Titcoul">
    <w:name w:val="Titcoul"/>
    <w:basedOn w:val="Heading1"/>
    <w:link w:val="TitcoulCar"/>
    <w:rsid w:val="00C05554"/>
    <w:pPr>
      <w:widowControl w:val="0"/>
      <w:tabs>
        <w:tab w:val="left" w:pos="851"/>
      </w:tabs>
      <w:spacing w:before="480" w:line="480" w:lineRule="exact"/>
      <w:ind w:left="851" w:hanging="851"/>
    </w:pPr>
    <w:rPr>
      <w:rFonts w:ascii="Arial Bold" w:eastAsia="SimSun" w:hAnsi="Arial Bold"/>
      <w:b/>
      <w:bCs w:val="0"/>
      <w:caps/>
      <w:color w:val="3366FF"/>
      <w:sz w:val="24"/>
      <w:szCs w:val="24"/>
      <w:lang w:val="en-US"/>
    </w:rPr>
  </w:style>
  <w:style w:type="character" w:customStyle="1" w:styleId="TitcoulCar">
    <w:name w:val="Titcoul Car"/>
    <w:link w:val="Titcoul"/>
    <w:rsid w:val="00C05554"/>
    <w:rPr>
      <w:rFonts w:ascii="Arial Bold" w:hAnsi="Arial Bold" w:cs="Arial"/>
      <w:b/>
      <w:caps/>
      <w:color w:val="3366FF"/>
      <w:kern w:val="28"/>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widowControl/>
      <w:tabs>
        <w:tab w:val="clear" w:pos="851"/>
      </w:tabs>
      <w:spacing w:after="0"/>
      <w:ind w:left="0" w:firstLine="0"/>
    </w:pPr>
    <w:rPr>
      <w:rFonts w:eastAsia="Times New Roman"/>
      <w:caps w:val="0"/>
      <w:noProof/>
      <w:szCs w:val="32"/>
    </w:rPr>
  </w:style>
  <w:style w:type="character" w:customStyle="1" w:styleId="HO1Car">
    <w:name w:val="HO1 Car"/>
    <w:basedOn w:val="TitcoulCar"/>
    <w:link w:val="HO1"/>
    <w:rsid w:val="00544FDE"/>
    <w:rPr>
      <w:rFonts w:ascii="Arial" w:eastAsia="Times New Roman" w:hAnsi="Arial" w:cs="Arial"/>
      <w:b/>
      <w:bCs w:val="0"/>
      <w:caps w:val="0"/>
      <w:noProof/>
      <w:snapToGrid/>
      <w:color w:val="3366FF"/>
      <w:kern w:val="28"/>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val="0"/>
      <w:caps/>
      <w:noProof/>
      <w:snapToGrid/>
      <w:color w:val="3366FF"/>
      <w:kern w:val="28"/>
      <w:sz w:val="32"/>
      <w:szCs w:val="32"/>
      <w:lang w:val="en-US" w:eastAsia="zh-CN"/>
    </w:rPr>
  </w:style>
  <w:style w:type="paragraph" w:customStyle="1" w:styleId="UPlan">
    <w:name w:val="UPlan"/>
    <w:basedOn w:val="Titcoul"/>
    <w:link w:val="UPlanCar"/>
    <w:rsid w:val="00F7237E"/>
    <w:pPr>
      <w:widowControl/>
      <w:tabs>
        <w:tab w:val="clear" w:pos="851"/>
      </w:tabs>
      <w:spacing w:after="0"/>
      <w:ind w:left="0" w:firstLine="0"/>
    </w:pPr>
    <w:rPr>
      <w:rFonts w:eastAsia="Times New Roman"/>
      <w:noProof/>
      <w:sz w:val="48"/>
      <w:szCs w:val="48"/>
      <w:lang w:val="en-GB"/>
    </w:rPr>
  </w:style>
  <w:style w:type="character" w:customStyle="1" w:styleId="UPlanCar">
    <w:name w:val="UPlan Car"/>
    <w:basedOn w:val="TitcoulCar"/>
    <w:link w:val="UPlan"/>
    <w:rsid w:val="00F7237E"/>
    <w:rPr>
      <w:rFonts w:ascii="Arial Bold" w:eastAsia="Times New Roman" w:hAnsi="Arial Bold" w:cs="Arial"/>
      <w:b/>
      <w:caps/>
      <w:noProof/>
      <w:color w:val="3366FF"/>
      <w:kern w:val="28"/>
      <w:sz w:val="48"/>
      <w:szCs w:val="48"/>
      <w:lang w:val="en-GB" w:eastAsia="zh-CN"/>
    </w:rPr>
  </w:style>
  <w:style w:type="paragraph" w:customStyle="1" w:styleId="COMTitleDecision">
    <w:name w:val="COM Title Decision"/>
    <w:basedOn w:val="Normal"/>
    <w:qFormat/>
    <w:rsid w:val="0013791E"/>
    <w:pPr>
      <w:keepNext/>
      <w:tabs>
        <w:tab w:val="clear" w:pos="567"/>
      </w:tabs>
      <w:snapToGrid/>
      <w:spacing w:before="360" w:after="120" w:line="240" w:lineRule="auto"/>
      <w:ind w:left="0"/>
    </w:pPr>
    <w:rPr>
      <w:rFonts w:eastAsia="Times New Roman"/>
      <w:b/>
      <w:sz w:val="22"/>
      <w:szCs w:val="22"/>
      <w:lang w:val="en-GB" w:eastAsia="fr-FR"/>
    </w:rPr>
  </w:style>
  <w:style w:type="paragraph" w:customStyle="1" w:styleId="Para">
    <w:name w:val="Para"/>
    <w:qFormat/>
    <w:rsid w:val="00E92C6B"/>
    <w:pPr>
      <w:spacing w:after="240" w:line="276" w:lineRule="auto"/>
      <w:jc w:val="both"/>
    </w:pPr>
    <w:rPr>
      <w:rFonts w:ascii="Arial" w:eastAsia="Times New Roman" w:hAnsi="Arial" w:cs="Arial"/>
      <w:snapToGrid w:val="0"/>
      <w:lang w:val="en-GB" w:eastAsia="en-US"/>
    </w:rPr>
  </w:style>
  <w:style w:type="paragraph" w:customStyle="1" w:styleId="MainText">
    <w:name w:val="MainText"/>
    <w:basedOn w:val="Para"/>
    <w:rsid w:val="00E92C6B"/>
  </w:style>
  <w:style w:type="paragraph" w:customStyle="1" w:styleId="Heading20">
    <w:name w:val="Heading2"/>
    <w:basedOn w:val="Title"/>
    <w:link w:val="Heading2Char0"/>
    <w:rsid w:val="0061652D"/>
    <w:pPr>
      <w:widowControl w:val="0"/>
      <w:tabs>
        <w:tab w:val="left" w:pos="851"/>
      </w:tabs>
      <w:spacing w:before="0" w:after="240" w:line="320" w:lineRule="exact"/>
    </w:pPr>
    <w:rPr>
      <w:rFonts w:eastAsia="SimSun"/>
      <w:bCs/>
      <w:noProof/>
      <w:color w:val="3366FF"/>
      <w:w w:val="106"/>
      <w:sz w:val="24"/>
      <w:szCs w:val="24"/>
      <w:lang w:val="en-GB"/>
    </w:rPr>
  </w:style>
  <w:style w:type="character" w:customStyle="1" w:styleId="Heading2Char0">
    <w:name w:val="Heading2 Char"/>
    <w:link w:val="Heading20"/>
    <w:rsid w:val="0061652D"/>
    <w:rPr>
      <w:rFonts w:ascii="Arial" w:hAnsi="Arial" w:cs="Arial"/>
      <w:b/>
      <w:bCs/>
      <w:caps/>
      <w:noProof/>
      <w:snapToGrid w:val="0"/>
      <w:color w:val="3366FF"/>
      <w:w w:val="106"/>
      <w:sz w:val="24"/>
      <w:szCs w:val="24"/>
      <w:lang w:val="en-GB" w:eastAsia="zh-CN"/>
    </w:rPr>
  </w:style>
  <w:style w:type="paragraph" w:customStyle="1" w:styleId="Style1">
    <w:name w:val="Style1"/>
    <w:basedOn w:val="Heading20"/>
    <w:rsid w:val="0061652D"/>
    <w:pPr>
      <w:ind w:left="851" w:hanging="851"/>
    </w:pPr>
  </w:style>
  <w:style w:type="paragraph" w:customStyle="1" w:styleId="HeadingSlide">
    <w:name w:val="HeadingSlide"/>
    <w:basedOn w:val="Normal"/>
    <w:qFormat/>
    <w:rsid w:val="0061652D"/>
    <w:pPr>
      <w:keepNext/>
      <w:keepLines/>
      <w:tabs>
        <w:tab w:val="clear" w:pos="567"/>
      </w:tabs>
      <w:snapToGrid/>
      <w:spacing w:before="240" w:after="120"/>
      <w:ind w:left="0"/>
      <w:outlineLvl w:val="3"/>
    </w:pPr>
    <w:rPr>
      <w:rFonts w:cs="Times New Roman"/>
      <w:b/>
      <w:bCs/>
      <w:caps/>
      <w:sz w:val="22"/>
      <w:szCs w:val="22"/>
      <w:lang w:val="en-US" w:eastAsia="en-US"/>
    </w:rPr>
  </w:style>
  <w:style w:type="paragraph" w:customStyle="1" w:styleId="Style2">
    <w:name w:val="Style2"/>
    <w:basedOn w:val="HeadingSlide"/>
    <w:rsid w:val="0061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6DA7-1BFD-3947-8E8C-72067B67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4892</Characters>
  <Application>Microsoft Office Word</Application>
  <DocSecurity>0</DocSecurity>
  <Lines>85</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5781</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2020-01-15T15:29:00Z</dcterms:created>
  <dcterms:modified xsi:type="dcterms:W3CDTF">2020-04-16T15:47:00Z</dcterms:modified>
</cp:coreProperties>
</file>