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1319B" w14:textId="77777777" w:rsidR="00A13F16" w:rsidRDefault="00A13F16" w:rsidP="00A64EB5">
      <w:pPr>
        <w:pStyle w:val="Chapitre"/>
        <w:spacing w:before="0" w:after="0" w:line="240" w:lineRule="auto"/>
        <w:rPr>
          <w:rFonts w:cstheme="minorHAnsi"/>
          <w:b w:val="0"/>
          <w:color w:val="00B0F0"/>
          <w:sz w:val="44"/>
          <w:szCs w:val="44"/>
        </w:rPr>
      </w:pPr>
      <w:r w:rsidRPr="00E9751E">
        <w:rPr>
          <w:lang w:val="en-US"/>
        </w:rPr>
        <w:t>UNIt</w:t>
      </w:r>
      <w:r>
        <w:rPr>
          <w:kern w:val="0"/>
        </w:rPr>
        <w:t xml:space="preserve"> </w:t>
      </w:r>
      <w:r w:rsidR="00E9751E">
        <w:rPr>
          <w:kern w:val="0"/>
        </w:rPr>
        <w:t>58</w:t>
      </w:r>
      <w:r>
        <w:rPr>
          <w:rFonts w:cstheme="minorHAnsi"/>
          <w:color w:val="00B0F0"/>
          <w:sz w:val="44"/>
          <w:szCs w:val="44"/>
        </w:rPr>
        <w:t xml:space="preserve"> </w:t>
      </w:r>
    </w:p>
    <w:p w14:paraId="2268AC40" w14:textId="77777777" w:rsidR="00E9751E" w:rsidRDefault="00E9751E" w:rsidP="00E9751E">
      <w:pPr>
        <w:pStyle w:val="HO1"/>
      </w:pPr>
      <w:r>
        <w:t>Hand-out 1:</w:t>
      </w:r>
    </w:p>
    <w:p w14:paraId="24A4DBC8" w14:textId="77777777" w:rsidR="00DB4501" w:rsidRPr="00E9751E" w:rsidRDefault="00E9751E" w:rsidP="008E320D">
      <w:pPr>
        <w:pStyle w:val="HO1"/>
        <w:spacing w:before="0" w:after="240"/>
        <w:rPr>
          <w:caps/>
        </w:rPr>
      </w:pPr>
      <w:r w:rsidRPr="00E9751E">
        <w:rPr>
          <w:caps/>
        </w:rPr>
        <w:t>A</w:t>
      </w:r>
      <w:r w:rsidR="00A13F16" w:rsidRPr="00E9751E">
        <w:rPr>
          <w:caps/>
        </w:rPr>
        <w:t xml:space="preserve">ssessment factors </w:t>
      </w:r>
    </w:p>
    <w:p w14:paraId="63905AE6" w14:textId="77777777" w:rsidR="00696A0B" w:rsidRPr="008E320D" w:rsidRDefault="00696A0B" w:rsidP="00D85F0B">
      <w:pPr>
        <w:jc w:val="both"/>
        <w:rPr>
          <w:rFonts w:ascii="Arial" w:hAnsi="Arial" w:cs="Arial"/>
          <w:sz w:val="20"/>
          <w:szCs w:val="20"/>
        </w:rPr>
      </w:pPr>
      <w:r w:rsidRPr="008E320D">
        <w:rPr>
          <w:rFonts w:ascii="Arial" w:hAnsi="Arial" w:cs="Arial"/>
          <w:sz w:val="20"/>
          <w:szCs w:val="20"/>
        </w:rPr>
        <w:t xml:space="preserve">Below, you will find five of the Thematic Areas of the ORF, with the Assessment Factors assigned for measuring each of the Core Indicators. These </w:t>
      </w:r>
      <w:r w:rsidR="00793B25" w:rsidRPr="008E320D">
        <w:rPr>
          <w:rFonts w:ascii="Arial" w:hAnsi="Arial" w:cs="Arial"/>
          <w:sz w:val="20"/>
          <w:szCs w:val="20"/>
        </w:rPr>
        <w:t xml:space="preserve">Assessment Factors </w:t>
      </w:r>
      <w:r w:rsidRPr="008E320D">
        <w:rPr>
          <w:rFonts w:ascii="Arial" w:hAnsi="Arial" w:cs="Arial"/>
          <w:sz w:val="20"/>
          <w:szCs w:val="20"/>
        </w:rPr>
        <w:t>correspond in content to the questions in the online periodic reporting tool</w:t>
      </w:r>
      <w:r w:rsidR="00793B25" w:rsidRPr="008E320D">
        <w:rPr>
          <w:rFonts w:ascii="Arial" w:hAnsi="Arial" w:cs="Arial"/>
          <w:sz w:val="20"/>
          <w:szCs w:val="20"/>
        </w:rPr>
        <w:t>.</w:t>
      </w:r>
    </w:p>
    <w:p w14:paraId="33FC2231" w14:textId="77777777" w:rsidR="00696A0B" w:rsidRPr="008E320D" w:rsidRDefault="00696A0B" w:rsidP="00696A0B">
      <w:pPr>
        <w:rPr>
          <w:rFonts w:ascii="Arial" w:hAnsi="Arial" w:cs="Arial"/>
          <w:b/>
          <w:bCs/>
          <w:iCs/>
          <w:sz w:val="20"/>
          <w:szCs w:val="20"/>
        </w:rPr>
      </w:pPr>
      <w:r w:rsidRPr="008E320D">
        <w:rPr>
          <w:rFonts w:ascii="Arial" w:hAnsi="Arial" w:cs="Arial"/>
          <w:b/>
          <w:bCs/>
          <w:iCs/>
          <w:sz w:val="20"/>
          <w:szCs w:val="20"/>
        </w:rPr>
        <w:t>Transmission and education (Thematic Area 2)</w:t>
      </w:r>
    </w:p>
    <w:tbl>
      <w:tblPr>
        <w:tblW w:w="50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696A0B" w:rsidRPr="008E320D" w14:paraId="419BC93D" w14:textId="77777777" w:rsidTr="00696A0B">
        <w:trPr>
          <w:cantSplit/>
        </w:trPr>
        <w:tc>
          <w:tcPr>
            <w:tcW w:w="5000" w:type="pct"/>
            <w:shd w:val="clear" w:color="auto" w:fill="auto"/>
            <w:vAlign w:val="center"/>
          </w:tcPr>
          <w:p w14:paraId="6AB87635" w14:textId="77777777" w:rsidR="00696A0B" w:rsidRPr="008E320D" w:rsidRDefault="00696A0B" w:rsidP="00696A0B">
            <w:pPr>
              <w:numPr>
                <w:ilvl w:val="1"/>
                <w:numId w:val="3"/>
              </w:numPr>
              <w:spacing w:before="60" w:after="60" w:line="240" w:lineRule="auto"/>
              <w:ind w:left="567" w:hanging="567"/>
              <w:rPr>
                <w:rFonts w:ascii="Arial" w:eastAsia="Calibri" w:hAnsi="Arial" w:cs="Arial"/>
                <w:vanish/>
                <w:sz w:val="20"/>
                <w:szCs w:val="20"/>
              </w:rPr>
            </w:pPr>
            <w:r w:rsidRPr="008E320D">
              <w:rPr>
                <w:rFonts w:ascii="Arial" w:eastAsia="Calibri" w:hAnsi="Arial" w:cs="Arial"/>
                <w:sz w:val="20"/>
                <w:szCs w:val="20"/>
              </w:rPr>
              <w:t>Tertiary education institutions offer curricula and degrees in ICH safeguarding and management, on an inclusive basis.</w:t>
            </w:r>
          </w:p>
        </w:tc>
      </w:tr>
      <w:tr w:rsidR="00696A0B" w:rsidRPr="008E320D" w:rsidDel="004E7236" w14:paraId="31CA7BD0" w14:textId="77777777" w:rsidTr="00696A0B">
        <w:trPr>
          <w:cantSplit/>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83F7EA" w14:textId="27A59620" w:rsidR="00696A0B" w:rsidRPr="00FE5120" w:rsidDel="004E7236" w:rsidRDefault="00FE5120" w:rsidP="00FE5120">
            <w:pPr>
              <w:pStyle w:val="ListParagraph"/>
              <w:numPr>
                <w:ilvl w:val="1"/>
                <w:numId w:val="21"/>
              </w:numPr>
              <w:spacing w:before="60" w:after="60"/>
              <w:rPr>
                <w:rFonts w:ascii="Arial" w:eastAsia="Calibri" w:hAnsi="Arial" w:cs="Arial"/>
                <w:sz w:val="20"/>
                <w:szCs w:val="20"/>
                <w:lang w:val="en-US"/>
              </w:rPr>
            </w:pPr>
            <w:r>
              <w:rPr>
                <w:rFonts w:ascii="Arial" w:eastAsia="Calibri" w:hAnsi="Arial" w:cs="Arial"/>
                <w:sz w:val="20"/>
                <w:szCs w:val="20"/>
                <w:lang w:val="en-US"/>
              </w:rPr>
              <w:tab/>
            </w:r>
            <w:r w:rsidR="00696A0B" w:rsidRPr="00FE5120">
              <w:rPr>
                <w:rFonts w:ascii="Arial" w:eastAsia="Calibri" w:hAnsi="Arial" w:cs="Arial"/>
                <w:sz w:val="20"/>
                <w:szCs w:val="20"/>
                <w:lang w:val="en-US"/>
              </w:rPr>
              <w:t xml:space="preserve">Community-based or NGO-based initiatives provide training in ICH safeguarding and </w:t>
            </w:r>
            <w:r>
              <w:rPr>
                <w:rFonts w:ascii="Arial" w:eastAsia="Calibri" w:hAnsi="Arial" w:cs="Arial"/>
                <w:sz w:val="20"/>
                <w:szCs w:val="20"/>
                <w:lang w:val="en-US"/>
              </w:rPr>
              <w:tab/>
            </w:r>
            <w:r w:rsidR="00696A0B" w:rsidRPr="00FE5120">
              <w:rPr>
                <w:rFonts w:ascii="Arial" w:eastAsia="Calibri" w:hAnsi="Arial" w:cs="Arial"/>
                <w:sz w:val="20"/>
                <w:szCs w:val="20"/>
                <w:lang w:val="en-US"/>
              </w:rPr>
              <w:t>management, on an inclusive basis.</w:t>
            </w:r>
          </w:p>
        </w:tc>
      </w:tr>
      <w:tr w:rsidR="00696A0B" w:rsidRPr="008E320D" w14:paraId="5BFAEC97" w14:textId="77777777" w:rsidTr="00696A0B">
        <w:trPr>
          <w:cantSplit/>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FCB00E" w14:textId="19EDD207" w:rsidR="00696A0B" w:rsidRPr="00E955A6" w:rsidRDefault="00696A0B" w:rsidP="00E955A6">
            <w:pPr>
              <w:pStyle w:val="ListParagraph"/>
              <w:numPr>
                <w:ilvl w:val="1"/>
                <w:numId w:val="22"/>
              </w:numPr>
              <w:spacing w:before="60" w:after="60"/>
              <w:rPr>
                <w:rFonts w:ascii="Arial" w:eastAsia="Calibri" w:hAnsi="Arial" w:cs="Arial"/>
                <w:sz w:val="20"/>
                <w:szCs w:val="20"/>
                <w:lang w:val="en-US"/>
              </w:rPr>
            </w:pPr>
            <w:r w:rsidRPr="00E955A6">
              <w:rPr>
                <w:rFonts w:ascii="Arial" w:eastAsia="Calibri" w:hAnsi="Arial" w:cs="Arial"/>
                <w:sz w:val="20"/>
                <w:szCs w:val="20"/>
                <w:lang w:val="en-US"/>
              </w:rPr>
              <w:t xml:space="preserve">Training </w:t>
            </w:r>
            <w:proofErr w:type="spellStart"/>
            <w:r w:rsidRPr="00E955A6">
              <w:rPr>
                <w:rFonts w:ascii="Arial" w:eastAsia="Calibri" w:hAnsi="Arial" w:cs="Arial"/>
                <w:sz w:val="20"/>
                <w:szCs w:val="20"/>
                <w:lang w:val="en-US"/>
              </w:rPr>
              <w:t>programmes</w:t>
            </w:r>
            <w:proofErr w:type="spellEnd"/>
            <w:r w:rsidRPr="00E955A6">
              <w:rPr>
                <w:rFonts w:ascii="Arial" w:eastAsia="Calibri" w:hAnsi="Arial" w:cs="Arial"/>
                <w:sz w:val="20"/>
                <w:szCs w:val="20"/>
                <w:lang w:val="en-US"/>
              </w:rPr>
              <w:t xml:space="preserve"> provide capacity building in ICH addressed on an inclusive basis to those working in the fields of culture and heritage.</w:t>
            </w:r>
          </w:p>
        </w:tc>
      </w:tr>
      <w:tr w:rsidR="00696A0B" w:rsidRPr="008E320D" w14:paraId="48A80DDA" w14:textId="77777777" w:rsidTr="00696A0B">
        <w:trPr>
          <w:cantSplit/>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533F16" w14:textId="366CC2E7" w:rsidR="00696A0B" w:rsidRPr="00E955A6" w:rsidRDefault="00696A0B" w:rsidP="00E955A6">
            <w:pPr>
              <w:pStyle w:val="ListParagraph"/>
              <w:numPr>
                <w:ilvl w:val="1"/>
                <w:numId w:val="23"/>
              </w:numPr>
              <w:spacing w:before="60" w:after="60"/>
              <w:rPr>
                <w:rFonts w:ascii="Arial" w:eastAsia="Calibri" w:hAnsi="Arial" w:cs="Arial"/>
                <w:sz w:val="20"/>
                <w:szCs w:val="20"/>
                <w:lang w:val="en-US"/>
              </w:rPr>
            </w:pPr>
            <w:r w:rsidRPr="00E955A6">
              <w:rPr>
                <w:rFonts w:ascii="Arial" w:eastAsia="Calibri" w:hAnsi="Arial" w:cs="Arial"/>
                <w:sz w:val="20"/>
                <w:szCs w:val="20"/>
                <w:lang w:val="en-US"/>
              </w:rPr>
              <w:t xml:space="preserve">Modes and methods of transmitting ICH that are recognized by communities, groups and individuals are learned and/or strengthened, and included in educational </w:t>
            </w:r>
            <w:proofErr w:type="spellStart"/>
            <w:r w:rsidRPr="00E955A6">
              <w:rPr>
                <w:rFonts w:ascii="Arial" w:eastAsia="Calibri" w:hAnsi="Arial" w:cs="Arial"/>
                <w:sz w:val="20"/>
                <w:szCs w:val="20"/>
                <w:lang w:val="en-US"/>
              </w:rPr>
              <w:t>programmes</w:t>
            </w:r>
            <w:proofErr w:type="spellEnd"/>
            <w:r w:rsidRPr="00E955A6">
              <w:rPr>
                <w:rFonts w:ascii="Arial" w:eastAsia="Calibri" w:hAnsi="Arial" w:cs="Arial"/>
                <w:sz w:val="20"/>
                <w:szCs w:val="20"/>
                <w:lang w:val="en-US"/>
              </w:rPr>
              <w:t>, both formal and non-formal.</w:t>
            </w:r>
          </w:p>
        </w:tc>
      </w:tr>
      <w:tr w:rsidR="00696A0B" w:rsidRPr="008E320D" w14:paraId="0CA173CA" w14:textId="77777777" w:rsidTr="00696A0B">
        <w:trPr>
          <w:cantSplit/>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283C62" w14:textId="6B26E605" w:rsidR="00696A0B" w:rsidRPr="00E955A6" w:rsidRDefault="00696A0B" w:rsidP="00E955A6">
            <w:pPr>
              <w:pStyle w:val="ListParagraph"/>
              <w:numPr>
                <w:ilvl w:val="1"/>
                <w:numId w:val="24"/>
              </w:numPr>
              <w:spacing w:before="60" w:after="60"/>
              <w:rPr>
                <w:rFonts w:ascii="Arial" w:eastAsia="Calibri" w:hAnsi="Arial" w:cs="Arial"/>
                <w:sz w:val="20"/>
                <w:szCs w:val="20"/>
                <w:lang w:val="en-US"/>
              </w:rPr>
            </w:pPr>
            <w:r w:rsidRPr="00E955A6">
              <w:rPr>
                <w:rFonts w:ascii="Arial" w:eastAsia="Calibri" w:hAnsi="Arial" w:cs="Arial"/>
                <w:sz w:val="20"/>
                <w:szCs w:val="20"/>
                <w:lang w:val="en-US"/>
              </w:rPr>
              <w:t xml:space="preserve">Teacher training </w:t>
            </w:r>
            <w:proofErr w:type="spellStart"/>
            <w:r w:rsidRPr="00E955A6">
              <w:rPr>
                <w:rFonts w:ascii="Arial" w:eastAsia="Calibri" w:hAnsi="Arial" w:cs="Arial"/>
                <w:sz w:val="20"/>
                <w:szCs w:val="20"/>
                <w:lang w:val="en-US"/>
              </w:rPr>
              <w:t>programmes</w:t>
            </w:r>
            <w:proofErr w:type="spellEnd"/>
            <w:r w:rsidRPr="00E955A6">
              <w:rPr>
                <w:rFonts w:ascii="Arial" w:eastAsia="Calibri" w:hAnsi="Arial" w:cs="Arial"/>
                <w:sz w:val="20"/>
                <w:szCs w:val="20"/>
                <w:lang w:val="en-US"/>
              </w:rPr>
              <w:t xml:space="preserve"> and </w:t>
            </w:r>
            <w:proofErr w:type="spellStart"/>
            <w:r w:rsidRPr="00E955A6">
              <w:rPr>
                <w:rFonts w:ascii="Arial" w:eastAsia="Calibri" w:hAnsi="Arial" w:cs="Arial"/>
                <w:sz w:val="20"/>
                <w:szCs w:val="20"/>
                <w:lang w:val="en-US"/>
              </w:rPr>
              <w:t>programmes</w:t>
            </w:r>
            <w:proofErr w:type="spellEnd"/>
            <w:r w:rsidRPr="00E955A6">
              <w:rPr>
                <w:rFonts w:ascii="Arial" w:eastAsia="Calibri" w:hAnsi="Arial" w:cs="Arial"/>
                <w:sz w:val="20"/>
                <w:szCs w:val="20"/>
                <w:lang w:val="en-US"/>
              </w:rPr>
              <w:t xml:space="preserve"> for training providers of non-formal education include approaches to integrating ICH and its safeguarding into education.</w:t>
            </w:r>
          </w:p>
        </w:tc>
      </w:tr>
      <w:tr w:rsidR="00696A0B" w:rsidRPr="008E320D" w14:paraId="46499551" w14:textId="77777777" w:rsidTr="008E320D">
        <w:trPr>
          <w:cantSplit/>
          <w:trHeight w:val="507"/>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E3CD59" w14:textId="77777777" w:rsidR="00696A0B" w:rsidRPr="008E320D" w:rsidRDefault="00696A0B" w:rsidP="008E320D">
            <w:pPr>
              <w:spacing w:before="60" w:after="60" w:line="240" w:lineRule="auto"/>
              <w:rPr>
                <w:rFonts w:ascii="Arial" w:eastAsia="Calibri" w:hAnsi="Arial" w:cs="Arial"/>
                <w:sz w:val="20"/>
                <w:szCs w:val="20"/>
              </w:rPr>
            </w:pPr>
            <w:r w:rsidRPr="008E320D">
              <w:rPr>
                <w:rFonts w:ascii="Arial" w:eastAsia="Calibri" w:hAnsi="Arial" w:cs="Arial"/>
                <w:sz w:val="20"/>
                <w:szCs w:val="20"/>
              </w:rPr>
              <w:t>6.2</w:t>
            </w:r>
            <w:r w:rsidR="001C4929" w:rsidRPr="008E320D">
              <w:rPr>
                <w:rFonts w:ascii="Arial" w:eastAsia="Calibri" w:hAnsi="Arial" w:cs="Arial"/>
                <w:sz w:val="20"/>
                <w:szCs w:val="20"/>
              </w:rPr>
              <w:tab/>
            </w:r>
            <w:r w:rsidRPr="008E320D">
              <w:rPr>
                <w:rFonts w:ascii="Arial" w:eastAsia="Calibri" w:hAnsi="Arial" w:cs="Arial"/>
                <w:sz w:val="20"/>
                <w:szCs w:val="20"/>
              </w:rPr>
              <w:t>Post-secondary education institutions offer curricula and degrees for the study of ICH and its social, cultural and other dimensions.</w:t>
            </w:r>
          </w:p>
        </w:tc>
      </w:tr>
    </w:tbl>
    <w:p w14:paraId="0FF210EE" w14:textId="77777777" w:rsidR="00696A0B" w:rsidRPr="008E320D" w:rsidRDefault="00696A0B" w:rsidP="00696A0B">
      <w:pPr>
        <w:rPr>
          <w:rFonts w:ascii="Arial" w:hAnsi="Arial" w:cs="Arial"/>
          <w:iCs/>
          <w:sz w:val="20"/>
          <w:szCs w:val="20"/>
        </w:rPr>
      </w:pPr>
    </w:p>
    <w:p w14:paraId="54803F65" w14:textId="77777777" w:rsidR="00696A0B" w:rsidRPr="008E320D" w:rsidRDefault="00696A0B" w:rsidP="00696A0B">
      <w:pPr>
        <w:rPr>
          <w:rFonts w:ascii="Arial" w:hAnsi="Arial" w:cs="Arial"/>
          <w:b/>
          <w:bCs/>
          <w:iCs/>
          <w:sz w:val="20"/>
          <w:szCs w:val="20"/>
        </w:rPr>
      </w:pPr>
      <w:r w:rsidRPr="008E320D">
        <w:rPr>
          <w:rFonts w:ascii="Arial" w:hAnsi="Arial" w:cs="Arial"/>
          <w:b/>
          <w:bCs/>
          <w:iCs/>
          <w:sz w:val="20"/>
          <w:szCs w:val="20"/>
        </w:rPr>
        <w:t>Inventory and research (Thematic Area 3):</w:t>
      </w:r>
    </w:p>
    <w:tbl>
      <w:tblPr>
        <w:tblW w:w="50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696A0B" w:rsidRPr="008E320D" w14:paraId="24892ED6" w14:textId="77777777" w:rsidTr="00696A0B">
        <w:trPr>
          <w:cantSplit/>
        </w:trPr>
        <w:tc>
          <w:tcPr>
            <w:tcW w:w="5000" w:type="pct"/>
            <w:shd w:val="clear" w:color="auto" w:fill="auto"/>
            <w:vAlign w:val="center"/>
          </w:tcPr>
          <w:p w14:paraId="570CE3BA" w14:textId="1C3CF0D4" w:rsidR="00696A0B" w:rsidRPr="00E955A6" w:rsidRDefault="00696A0B" w:rsidP="00E955A6">
            <w:pPr>
              <w:pStyle w:val="ListParagraph"/>
              <w:numPr>
                <w:ilvl w:val="1"/>
                <w:numId w:val="25"/>
              </w:numPr>
              <w:spacing w:before="60" w:after="60"/>
              <w:rPr>
                <w:rFonts w:ascii="Arial" w:eastAsia="Calibri" w:hAnsi="Arial" w:cs="Arial"/>
                <w:sz w:val="20"/>
                <w:szCs w:val="20"/>
                <w:lang w:val="en-US"/>
              </w:rPr>
            </w:pPr>
            <w:r w:rsidRPr="00E955A6">
              <w:rPr>
                <w:rFonts w:ascii="Arial" w:eastAsia="Calibri" w:hAnsi="Arial" w:cs="Arial"/>
                <w:sz w:val="20"/>
                <w:szCs w:val="20"/>
                <w:lang w:val="en-US"/>
              </w:rPr>
              <w:t>Specialized inventories and/or inventories of various scopes reflect diversity and contribute to safeguarding.</w:t>
            </w:r>
          </w:p>
        </w:tc>
      </w:tr>
      <w:tr w:rsidR="00696A0B" w:rsidRPr="008E320D" w14:paraId="6DD9649C" w14:textId="77777777" w:rsidTr="00696A0B">
        <w:trPr>
          <w:cantSplit/>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D6A088" w14:textId="77777777" w:rsidR="00696A0B" w:rsidRPr="008E320D" w:rsidRDefault="00696A0B" w:rsidP="00696A0B">
            <w:pPr>
              <w:numPr>
                <w:ilvl w:val="1"/>
                <w:numId w:val="7"/>
              </w:numPr>
              <w:spacing w:before="60" w:after="60" w:line="240" w:lineRule="auto"/>
              <w:ind w:left="567" w:hanging="567"/>
              <w:rPr>
                <w:rFonts w:ascii="Arial" w:eastAsia="Calibri" w:hAnsi="Arial" w:cs="Arial"/>
                <w:sz w:val="20"/>
                <w:szCs w:val="20"/>
              </w:rPr>
            </w:pPr>
            <w:r w:rsidRPr="008E320D">
              <w:rPr>
                <w:rFonts w:ascii="Arial" w:eastAsia="Calibri" w:hAnsi="Arial" w:cs="Arial"/>
                <w:sz w:val="20"/>
                <w:szCs w:val="20"/>
              </w:rPr>
              <w:t>Communities, groups and relevant NGOs participate inclusively in inventorying which informs and strengthens their safeguarding efforts.</w:t>
            </w:r>
          </w:p>
        </w:tc>
      </w:tr>
      <w:tr w:rsidR="00696A0B" w:rsidRPr="008E320D" w14:paraId="353D68BF" w14:textId="77777777" w:rsidTr="00696A0B">
        <w:trPr>
          <w:cantSplit/>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F5A165" w14:textId="77777777" w:rsidR="00696A0B" w:rsidRPr="008E320D" w:rsidRDefault="00696A0B" w:rsidP="00696A0B">
            <w:pPr>
              <w:numPr>
                <w:ilvl w:val="1"/>
                <w:numId w:val="8"/>
              </w:numPr>
              <w:spacing w:before="60" w:after="60" w:line="240" w:lineRule="auto"/>
              <w:ind w:left="567" w:hanging="567"/>
              <w:rPr>
                <w:rFonts w:ascii="Arial" w:eastAsia="Calibri" w:hAnsi="Arial" w:cs="Arial"/>
                <w:sz w:val="20"/>
                <w:szCs w:val="20"/>
              </w:rPr>
            </w:pPr>
            <w:r w:rsidRPr="008E320D">
              <w:rPr>
                <w:rFonts w:ascii="Arial" w:eastAsia="Calibri" w:hAnsi="Arial" w:cs="Arial"/>
                <w:sz w:val="20"/>
                <w:szCs w:val="20"/>
              </w:rPr>
              <w:t>Financial and other forms of support foster research, scientific, technical and artistic studies, documentation and archiving, oriented towards safeguarding and carried out in conformity with relevant ethical principles.</w:t>
            </w:r>
          </w:p>
        </w:tc>
      </w:tr>
      <w:tr w:rsidR="00696A0B" w:rsidRPr="008E320D" w14:paraId="5CADB925" w14:textId="77777777" w:rsidTr="00696A0B">
        <w:trPr>
          <w:cantSplit/>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E8450D" w14:textId="77777777" w:rsidR="00696A0B" w:rsidRPr="008E320D" w:rsidRDefault="00696A0B" w:rsidP="00696A0B">
            <w:pPr>
              <w:numPr>
                <w:ilvl w:val="1"/>
                <w:numId w:val="9"/>
              </w:numPr>
              <w:spacing w:before="60" w:after="60" w:line="240" w:lineRule="auto"/>
              <w:ind w:left="567" w:hanging="567"/>
              <w:rPr>
                <w:rFonts w:ascii="Arial" w:eastAsia="Calibri" w:hAnsi="Arial" w:cs="Arial"/>
                <w:sz w:val="20"/>
                <w:szCs w:val="20"/>
              </w:rPr>
            </w:pPr>
            <w:r w:rsidRPr="008E320D">
              <w:rPr>
                <w:rFonts w:ascii="Arial" w:eastAsia="Calibri" w:hAnsi="Arial" w:cs="Arial"/>
                <w:sz w:val="20"/>
                <w:szCs w:val="20"/>
              </w:rPr>
              <w:t>Documentation and research findings are accessible to communities, groups and individuals, while respecting customary practices governing access to specific aspects of ICH.</w:t>
            </w:r>
          </w:p>
        </w:tc>
      </w:tr>
      <w:tr w:rsidR="00696A0B" w:rsidRPr="008E320D" w14:paraId="3BADCC13" w14:textId="77777777" w:rsidTr="00696A0B">
        <w:trPr>
          <w:cantSplit/>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A4ADD7" w14:textId="77777777" w:rsidR="00696A0B" w:rsidRPr="008E320D" w:rsidRDefault="00696A0B" w:rsidP="00696A0B">
            <w:pPr>
              <w:numPr>
                <w:ilvl w:val="1"/>
                <w:numId w:val="9"/>
              </w:numPr>
              <w:spacing w:before="60" w:after="60" w:line="240" w:lineRule="auto"/>
              <w:ind w:left="567" w:hanging="567"/>
              <w:rPr>
                <w:rFonts w:ascii="Arial" w:eastAsia="Calibri" w:hAnsi="Arial" w:cs="Arial"/>
                <w:sz w:val="20"/>
                <w:szCs w:val="20"/>
              </w:rPr>
            </w:pPr>
            <w:r w:rsidRPr="008E320D">
              <w:rPr>
                <w:rFonts w:ascii="Arial" w:eastAsia="Calibri" w:hAnsi="Arial" w:cs="Arial"/>
                <w:sz w:val="20"/>
                <w:szCs w:val="20"/>
              </w:rPr>
              <w:t xml:space="preserve">The results of research, documentation, and scientific, technical and artistic studies on ICH are utilized to strengthen </w:t>
            </w:r>
            <w:proofErr w:type="gramStart"/>
            <w:r w:rsidRPr="008E320D">
              <w:rPr>
                <w:rFonts w:ascii="Arial" w:eastAsia="Calibri" w:hAnsi="Arial" w:cs="Arial"/>
                <w:sz w:val="20"/>
                <w:szCs w:val="20"/>
              </w:rPr>
              <w:t>policy-making</w:t>
            </w:r>
            <w:proofErr w:type="gramEnd"/>
            <w:r w:rsidRPr="008E320D">
              <w:rPr>
                <w:rFonts w:ascii="Arial" w:eastAsia="Calibri" w:hAnsi="Arial" w:cs="Arial"/>
                <w:sz w:val="20"/>
                <w:szCs w:val="20"/>
              </w:rPr>
              <w:t xml:space="preserve"> across sectors.</w:t>
            </w:r>
          </w:p>
        </w:tc>
      </w:tr>
    </w:tbl>
    <w:p w14:paraId="157ACCDF" w14:textId="77777777" w:rsidR="00696A0B" w:rsidRPr="008E320D" w:rsidRDefault="00696A0B" w:rsidP="00696A0B">
      <w:pPr>
        <w:rPr>
          <w:rFonts w:ascii="Arial" w:hAnsi="Arial" w:cs="Arial"/>
          <w:iCs/>
          <w:sz w:val="20"/>
          <w:szCs w:val="20"/>
        </w:rPr>
      </w:pPr>
    </w:p>
    <w:p w14:paraId="231243EE" w14:textId="77777777" w:rsidR="00696A0B" w:rsidRPr="008E320D" w:rsidRDefault="00696A0B" w:rsidP="00696A0B">
      <w:pPr>
        <w:spacing w:after="0"/>
        <w:rPr>
          <w:rFonts w:ascii="Arial" w:hAnsi="Arial" w:cs="Arial"/>
          <w:b/>
          <w:bCs/>
          <w:iCs/>
          <w:sz w:val="20"/>
          <w:szCs w:val="20"/>
        </w:rPr>
      </w:pPr>
      <w:r w:rsidRPr="008E320D">
        <w:rPr>
          <w:rFonts w:ascii="Arial" w:hAnsi="Arial" w:cs="Arial"/>
          <w:b/>
          <w:bCs/>
          <w:iCs/>
          <w:sz w:val="20"/>
          <w:szCs w:val="20"/>
        </w:rPr>
        <w:t xml:space="preserve">Policies as well as </w:t>
      </w:r>
      <w:r w:rsidRPr="008E320D">
        <w:rPr>
          <w:rFonts w:ascii="Arial" w:eastAsia="Times New Roman" w:hAnsi="Arial" w:cs="Arial"/>
          <w:b/>
          <w:bCs/>
          <w:color w:val="000000"/>
          <w:kern w:val="24"/>
          <w:sz w:val="20"/>
          <w:szCs w:val="20"/>
          <w:lang w:eastAsia="en-GB"/>
        </w:rPr>
        <w:t xml:space="preserve">legal and administrative measures </w:t>
      </w:r>
      <w:r w:rsidRPr="008E320D">
        <w:rPr>
          <w:rFonts w:ascii="Arial" w:hAnsi="Arial" w:cs="Arial"/>
          <w:b/>
          <w:bCs/>
          <w:iCs/>
          <w:sz w:val="20"/>
          <w:szCs w:val="20"/>
        </w:rPr>
        <w:t>(Thematic Area 4):</w:t>
      </w:r>
    </w:p>
    <w:tbl>
      <w:tblPr>
        <w:tblW w:w="50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696A0B" w:rsidRPr="008E320D" w14:paraId="73D08196" w14:textId="77777777" w:rsidTr="00696A0B">
        <w:trPr>
          <w:cantSplit/>
        </w:trPr>
        <w:tc>
          <w:tcPr>
            <w:tcW w:w="5000" w:type="pct"/>
            <w:shd w:val="clear" w:color="auto" w:fill="auto"/>
            <w:vAlign w:val="center"/>
          </w:tcPr>
          <w:p w14:paraId="0EC4CECA" w14:textId="61A2DC5E" w:rsidR="0015429A" w:rsidRPr="004025B4" w:rsidRDefault="00696A0B" w:rsidP="004025B4">
            <w:pPr>
              <w:pStyle w:val="ListParagraph"/>
              <w:numPr>
                <w:ilvl w:val="1"/>
                <w:numId w:val="26"/>
              </w:numPr>
              <w:spacing w:before="60" w:after="60"/>
              <w:rPr>
                <w:rFonts w:ascii="Arial" w:eastAsia="Calibri" w:hAnsi="Arial" w:cs="Arial"/>
                <w:sz w:val="20"/>
                <w:szCs w:val="20"/>
                <w:lang w:val="en-US"/>
              </w:rPr>
            </w:pPr>
            <w:r w:rsidRPr="004025B4">
              <w:rPr>
                <w:rFonts w:ascii="Arial" w:eastAsia="Calibri" w:hAnsi="Arial" w:cs="Arial"/>
                <w:sz w:val="20"/>
                <w:szCs w:val="20"/>
                <w:lang w:val="en-US"/>
              </w:rPr>
              <w:lastRenderedPageBreak/>
              <w:t xml:space="preserve">National or sub-national strategies and/or action plans for ICH safeguarding are established or revised and are being implemented, including safeguarding plans for specific elements, </w:t>
            </w:r>
            <w:proofErr w:type="gramStart"/>
            <w:r w:rsidRPr="004025B4">
              <w:rPr>
                <w:rFonts w:ascii="Arial" w:eastAsia="Calibri" w:hAnsi="Arial" w:cs="Arial"/>
                <w:sz w:val="20"/>
                <w:szCs w:val="20"/>
                <w:lang w:val="en-US"/>
              </w:rPr>
              <w:t>whether or not</w:t>
            </w:r>
            <w:proofErr w:type="gramEnd"/>
            <w:r w:rsidRPr="004025B4">
              <w:rPr>
                <w:rFonts w:ascii="Arial" w:eastAsia="Calibri" w:hAnsi="Arial" w:cs="Arial"/>
                <w:sz w:val="20"/>
                <w:szCs w:val="20"/>
                <w:lang w:val="en-US"/>
              </w:rPr>
              <w:t xml:space="preserve"> inscribed.</w:t>
            </w:r>
          </w:p>
          <w:p w14:paraId="2F3DE03E" w14:textId="77777777" w:rsidR="00696A0B" w:rsidRPr="0015429A" w:rsidRDefault="00696A0B" w:rsidP="0015429A">
            <w:pPr>
              <w:rPr>
                <w:rFonts w:ascii="Arial" w:eastAsia="Calibri" w:hAnsi="Arial" w:cs="Arial"/>
                <w:sz w:val="20"/>
                <w:szCs w:val="20"/>
              </w:rPr>
            </w:pPr>
          </w:p>
        </w:tc>
      </w:tr>
      <w:tr w:rsidR="00696A0B" w:rsidRPr="008E320D" w14:paraId="587AD503" w14:textId="77777777" w:rsidTr="00696A0B">
        <w:trPr>
          <w:cantSplit/>
        </w:trPr>
        <w:tc>
          <w:tcPr>
            <w:tcW w:w="5000" w:type="pct"/>
            <w:shd w:val="clear" w:color="auto" w:fill="auto"/>
            <w:vAlign w:val="center"/>
          </w:tcPr>
          <w:p w14:paraId="21085A3F" w14:textId="3066EA56" w:rsidR="00696A0B" w:rsidRPr="004025B4" w:rsidRDefault="00696A0B" w:rsidP="004025B4">
            <w:pPr>
              <w:pStyle w:val="ListParagraph"/>
              <w:numPr>
                <w:ilvl w:val="1"/>
                <w:numId w:val="27"/>
              </w:numPr>
              <w:spacing w:before="60" w:after="60"/>
              <w:rPr>
                <w:rFonts w:ascii="Arial" w:eastAsia="Calibri" w:hAnsi="Arial" w:cs="Arial"/>
                <w:sz w:val="20"/>
                <w:szCs w:val="20"/>
                <w:lang w:val="en-US"/>
              </w:rPr>
            </w:pPr>
            <w:r w:rsidRPr="004025B4">
              <w:rPr>
                <w:rFonts w:ascii="Arial" w:eastAsia="Calibri" w:hAnsi="Arial" w:cs="Arial"/>
                <w:sz w:val="20"/>
                <w:szCs w:val="20"/>
                <w:lang w:val="en-US"/>
              </w:rPr>
              <w:t xml:space="preserve"> Cultural policies and/or legal and administrative measures integrating ICH and its safeguarding are informed by the active participation of communities, groups and individuals.</w:t>
            </w:r>
          </w:p>
        </w:tc>
      </w:tr>
      <w:tr w:rsidR="00696A0B" w:rsidRPr="008E320D" w14:paraId="7DF912DC" w14:textId="77777777" w:rsidTr="00696A0B">
        <w:trPr>
          <w:cantSplit/>
        </w:trPr>
        <w:tc>
          <w:tcPr>
            <w:tcW w:w="5000" w:type="pct"/>
            <w:shd w:val="clear" w:color="auto" w:fill="auto"/>
            <w:vAlign w:val="center"/>
          </w:tcPr>
          <w:p w14:paraId="7B4AC1C8" w14:textId="42BF96AD" w:rsidR="00696A0B" w:rsidRPr="004025B4" w:rsidRDefault="00696A0B" w:rsidP="004025B4">
            <w:pPr>
              <w:pStyle w:val="ListParagraph"/>
              <w:numPr>
                <w:ilvl w:val="1"/>
                <w:numId w:val="28"/>
              </w:numPr>
              <w:spacing w:before="60" w:after="60"/>
              <w:rPr>
                <w:rFonts w:ascii="Arial" w:eastAsia="Calibri" w:hAnsi="Arial" w:cs="Arial"/>
                <w:sz w:val="20"/>
                <w:szCs w:val="20"/>
                <w:lang w:val="en-US"/>
              </w:rPr>
            </w:pPr>
            <w:r w:rsidRPr="004025B4">
              <w:rPr>
                <w:rFonts w:ascii="Arial" w:eastAsia="Calibri" w:hAnsi="Arial" w:cs="Arial"/>
                <w:sz w:val="20"/>
                <w:szCs w:val="20"/>
                <w:lang w:val="en-US"/>
              </w:rPr>
              <w:t>Policies and/or legal and administrative measures promote mother tongue instruction and multilingual education.</w:t>
            </w:r>
          </w:p>
        </w:tc>
      </w:tr>
      <w:tr w:rsidR="00696A0B" w:rsidRPr="008E320D" w14:paraId="03B076EE" w14:textId="77777777" w:rsidTr="00696A0B">
        <w:trPr>
          <w:cantSplit/>
          <w:trHeight w:val="675"/>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556FD7" w14:textId="4F2D2E46" w:rsidR="00696A0B" w:rsidRPr="004025B4" w:rsidRDefault="00696A0B" w:rsidP="004025B4">
            <w:pPr>
              <w:pStyle w:val="ListParagraph"/>
              <w:numPr>
                <w:ilvl w:val="1"/>
                <w:numId w:val="29"/>
              </w:numPr>
              <w:spacing w:before="60" w:after="60"/>
              <w:rPr>
                <w:rFonts w:ascii="Arial" w:eastAsia="Calibri" w:hAnsi="Arial" w:cs="Arial"/>
                <w:sz w:val="20"/>
                <w:szCs w:val="20"/>
                <w:lang w:val="en-US"/>
              </w:rPr>
            </w:pPr>
            <w:r w:rsidRPr="004025B4">
              <w:rPr>
                <w:rFonts w:ascii="Arial" w:eastAsia="Calibri" w:hAnsi="Arial" w:cs="Arial"/>
                <w:sz w:val="20"/>
                <w:szCs w:val="20"/>
                <w:lang w:val="en-US"/>
              </w:rPr>
              <w:t>Policies and/or legal and administrative measures to respond to situations of natural disaster or armed conflict are established or revised to include the ICH affected and to recognize its importance for the resilience of the affected populations.</w:t>
            </w:r>
          </w:p>
        </w:tc>
      </w:tr>
      <w:tr w:rsidR="00696A0B" w:rsidRPr="008E320D" w14:paraId="626BBEA4" w14:textId="77777777" w:rsidTr="00696A0B">
        <w:trPr>
          <w:cantSplit/>
          <w:trHeight w:val="675"/>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CF4A8D" w14:textId="056421DE" w:rsidR="00696A0B" w:rsidRPr="004025B4" w:rsidRDefault="00696A0B" w:rsidP="004025B4">
            <w:pPr>
              <w:pStyle w:val="ListParagraph"/>
              <w:numPr>
                <w:ilvl w:val="1"/>
                <w:numId w:val="30"/>
              </w:numPr>
              <w:spacing w:before="60" w:after="60"/>
              <w:rPr>
                <w:rFonts w:ascii="Arial" w:eastAsia="Calibri" w:hAnsi="Arial" w:cs="Arial"/>
                <w:sz w:val="20"/>
                <w:szCs w:val="20"/>
                <w:lang w:val="en-US"/>
              </w:rPr>
            </w:pPr>
            <w:proofErr w:type="spellStart"/>
            <w:r w:rsidRPr="004025B4">
              <w:rPr>
                <w:rFonts w:ascii="Arial" w:eastAsia="Calibri" w:hAnsi="Arial" w:cs="Arial"/>
                <w:sz w:val="20"/>
                <w:szCs w:val="20"/>
                <w:lang w:val="en-US"/>
              </w:rPr>
              <w:t>Favourable</w:t>
            </w:r>
            <w:proofErr w:type="spellEnd"/>
            <w:r w:rsidRPr="004025B4">
              <w:rPr>
                <w:rFonts w:ascii="Arial" w:eastAsia="Calibri" w:hAnsi="Arial" w:cs="Arial"/>
                <w:sz w:val="20"/>
                <w:szCs w:val="20"/>
                <w:lang w:val="en-US"/>
              </w:rPr>
              <w:t xml:space="preserve"> financial or fiscal measures or incentives are established or revised to facilitate and/or encourage practice and transmission of ICH and increase availability of natural and other resources required for its practice.</w:t>
            </w:r>
          </w:p>
        </w:tc>
      </w:tr>
    </w:tbl>
    <w:p w14:paraId="5A7D74FD" w14:textId="77777777" w:rsidR="00696A0B" w:rsidRPr="008E320D" w:rsidRDefault="00696A0B" w:rsidP="00696A0B">
      <w:pPr>
        <w:rPr>
          <w:rFonts w:ascii="Arial" w:hAnsi="Arial" w:cs="Arial"/>
          <w:b/>
          <w:bCs/>
          <w:iCs/>
          <w:sz w:val="20"/>
          <w:szCs w:val="20"/>
        </w:rPr>
      </w:pPr>
    </w:p>
    <w:p w14:paraId="19FDFED4" w14:textId="77777777" w:rsidR="00696A0B" w:rsidRPr="008E320D" w:rsidRDefault="00696A0B" w:rsidP="00696A0B">
      <w:pPr>
        <w:spacing w:after="0"/>
        <w:rPr>
          <w:rFonts w:ascii="Arial" w:hAnsi="Arial" w:cs="Arial"/>
          <w:b/>
          <w:bCs/>
          <w:iCs/>
          <w:sz w:val="20"/>
          <w:szCs w:val="20"/>
        </w:rPr>
      </w:pPr>
      <w:r w:rsidRPr="008E320D">
        <w:rPr>
          <w:rFonts w:ascii="Arial" w:hAnsi="Arial" w:cs="Arial"/>
          <w:b/>
          <w:bCs/>
          <w:iCs/>
          <w:sz w:val="20"/>
          <w:szCs w:val="20"/>
        </w:rPr>
        <w:t>Awareness-raising (Thematic Area 5):</w:t>
      </w:r>
    </w:p>
    <w:tbl>
      <w:tblPr>
        <w:tblW w:w="50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696A0B" w:rsidRPr="008E320D" w14:paraId="073FA8F4" w14:textId="77777777" w:rsidTr="00696A0B">
        <w:trPr>
          <w:cantSplit/>
        </w:trPr>
        <w:tc>
          <w:tcPr>
            <w:tcW w:w="5000" w:type="pct"/>
            <w:shd w:val="clear" w:color="auto" w:fill="auto"/>
            <w:vAlign w:val="center"/>
          </w:tcPr>
          <w:p w14:paraId="4025DA97" w14:textId="2A102805" w:rsidR="00696A0B" w:rsidRPr="004025B4" w:rsidRDefault="00696A0B" w:rsidP="004025B4">
            <w:pPr>
              <w:pStyle w:val="ListParagraph"/>
              <w:numPr>
                <w:ilvl w:val="1"/>
                <w:numId w:val="31"/>
              </w:numPr>
              <w:spacing w:before="60" w:after="60"/>
              <w:rPr>
                <w:rFonts w:ascii="Arial" w:eastAsia="Calibri" w:hAnsi="Arial" w:cs="Arial"/>
                <w:sz w:val="20"/>
                <w:szCs w:val="20"/>
                <w:lang w:val="en-US"/>
              </w:rPr>
            </w:pPr>
            <w:r w:rsidRPr="004025B4">
              <w:rPr>
                <w:rFonts w:ascii="Arial" w:eastAsia="Calibri" w:hAnsi="Arial" w:cs="Arial"/>
                <w:sz w:val="20"/>
                <w:szCs w:val="20"/>
                <w:lang w:val="en-US"/>
              </w:rPr>
              <w:t>The rights of communities, groups and individuals and their moral and material interests are duly protected when raising awareness about their ICH.</w:t>
            </w:r>
          </w:p>
        </w:tc>
      </w:tr>
      <w:tr w:rsidR="00696A0B" w:rsidRPr="008E320D" w14:paraId="525FE019" w14:textId="77777777" w:rsidTr="00696A0B">
        <w:trPr>
          <w:cantSplit/>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4140CE" w14:textId="33368B23" w:rsidR="00696A0B" w:rsidRPr="004025B4" w:rsidRDefault="00696A0B" w:rsidP="004025B4">
            <w:pPr>
              <w:pStyle w:val="ListParagraph"/>
              <w:numPr>
                <w:ilvl w:val="1"/>
                <w:numId w:val="31"/>
              </w:numPr>
              <w:spacing w:before="60" w:after="60"/>
              <w:rPr>
                <w:rFonts w:ascii="Arial" w:eastAsia="Calibri" w:hAnsi="Arial" w:cs="Arial"/>
                <w:sz w:val="20"/>
                <w:szCs w:val="20"/>
                <w:lang w:val="en-US"/>
              </w:rPr>
            </w:pPr>
            <w:r w:rsidRPr="004025B4">
              <w:rPr>
                <w:rFonts w:ascii="Arial" w:eastAsia="Calibri" w:hAnsi="Arial" w:cs="Arial"/>
                <w:sz w:val="20"/>
                <w:szCs w:val="20"/>
                <w:lang w:val="en-US"/>
              </w:rPr>
              <w:t>Youth are actively engaged in awareness-raising activities, including collecting and disseminating information about the intangible cultural heritage of their communities or groups.</w:t>
            </w:r>
          </w:p>
        </w:tc>
      </w:tr>
      <w:tr w:rsidR="00696A0B" w:rsidRPr="008E320D" w14:paraId="7DA1D991" w14:textId="77777777" w:rsidTr="00696A0B">
        <w:trPr>
          <w:cantSplit/>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2500F0" w14:textId="4519EB3F" w:rsidR="00696A0B" w:rsidRPr="004025B4" w:rsidRDefault="00696A0B" w:rsidP="004025B4">
            <w:pPr>
              <w:pStyle w:val="ListParagraph"/>
              <w:numPr>
                <w:ilvl w:val="1"/>
                <w:numId w:val="32"/>
              </w:numPr>
              <w:spacing w:before="60" w:after="60"/>
              <w:rPr>
                <w:rFonts w:ascii="Arial" w:eastAsia="Calibri" w:hAnsi="Arial" w:cs="Arial"/>
                <w:sz w:val="20"/>
                <w:szCs w:val="20"/>
                <w:lang w:val="en-US"/>
              </w:rPr>
            </w:pPr>
            <w:r w:rsidRPr="004025B4">
              <w:rPr>
                <w:rFonts w:ascii="Arial" w:eastAsia="Calibri" w:hAnsi="Arial" w:cs="Arial"/>
                <w:sz w:val="20"/>
                <w:szCs w:val="20"/>
                <w:lang w:val="en-US"/>
              </w:rPr>
              <w:t>Media programming on ICH is inclusive, utilizes the languages of the communities and groups concerned, and/or addresses different target groups.</w:t>
            </w:r>
          </w:p>
        </w:tc>
      </w:tr>
      <w:tr w:rsidR="00696A0B" w:rsidRPr="008E320D" w14:paraId="23C7FDE8" w14:textId="77777777" w:rsidTr="00696A0B">
        <w:trPr>
          <w:cantSplit/>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247C79" w14:textId="1901AB18" w:rsidR="00696A0B" w:rsidRPr="004025B4" w:rsidRDefault="00696A0B" w:rsidP="004025B4">
            <w:pPr>
              <w:pStyle w:val="ListParagraph"/>
              <w:numPr>
                <w:ilvl w:val="1"/>
                <w:numId w:val="33"/>
              </w:numPr>
              <w:spacing w:before="60" w:after="60"/>
              <w:rPr>
                <w:rFonts w:ascii="Arial" w:eastAsia="Calibri" w:hAnsi="Arial" w:cs="Arial"/>
                <w:sz w:val="20"/>
                <w:szCs w:val="20"/>
                <w:lang w:val="en-US"/>
              </w:rPr>
            </w:pPr>
            <w:bookmarkStart w:id="0" w:name="_GoBack"/>
            <w:bookmarkEnd w:id="0"/>
            <w:r w:rsidRPr="004025B4">
              <w:rPr>
                <w:rFonts w:ascii="Arial" w:eastAsia="Calibri" w:hAnsi="Arial" w:cs="Arial"/>
                <w:sz w:val="20"/>
                <w:szCs w:val="20"/>
                <w:lang w:val="en-US"/>
              </w:rPr>
              <w:t>Public information on ICH promotes mutual respect and appreciation within and between communities and groups.</w:t>
            </w:r>
          </w:p>
        </w:tc>
      </w:tr>
      <w:tr w:rsidR="00696A0B" w:rsidRPr="008E320D" w14:paraId="0C89AE7B" w14:textId="77777777" w:rsidTr="00696A0B">
        <w:trPr>
          <w:cantSplit/>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647FDA" w14:textId="77777777" w:rsidR="00696A0B" w:rsidRPr="008E320D" w:rsidRDefault="00696A0B" w:rsidP="00696A0B">
            <w:pPr>
              <w:numPr>
                <w:ilvl w:val="1"/>
                <w:numId w:val="17"/>
              </w:numPr>
              <w:spacing w:before="60" w:after="60" w:line="240" w:lineRule="auto"/>
              <w:ind w:left="567" w:hanging="567"/>
              <w:rPr>
                <w:rFonts w:ascii="Arial" w:eastAsia="Calibri" w:hAnsi="Arial" w:cs="Arial"/>
                <w:sz w:val="20"/>
                <w:szCs w:val="20"/>
              </w:rPr>
            </w:pPr>
            <w:r w:rsidRPr="008E320D">
              <w:rPr>
                <w:rFonts w:ascii="Arial" w:eastAsia="Calibri" w:hAnsi="Arial" w:cs="Arial"/>
                <w:sz w:val="20"/>
                <w:szCs w:val="20"/>
              </w:rPr>
              <w:t>The Ethical Principles for Safeguarding Intangible Cultural Heritage are respected in awareness-raising activities.</w:t>
            </w:r>
          </w:p>
        </w:tc>
      </w:tr>
    </w:tbl>
    <w:p w14:paraId="18F767D2" w14:textId="77777777" w:rsidR="00696A0B" w:rsidRPr="008E320D" w:rsidRDefault="00696A0B" w:rsidP="00696A0B">
      <w:pPr>
        <w:spacing w:after="0"/>
        <w:rPr>
          <w:rFonts w:ascii="Arial" w:hAnsi="Arial" w:cs="Arial"/>
          <w:iCs/>
          <w:sz w:val="20"/>
          <w:szCs w:val="20"/>
        </w:rPr>
      </w:pPr>
    </w:p>
    <w:p w14:paraId="6656B389" w14:textId="77777777" w:rsidR="00696A0B" w:rsidRPr="008E320D" w:rsidRDefault="00696A0B" w:rsidP="00696A0B">
      <w:pPr>
        <w:spacing w:after="0"/>
        <w:rPr>
          <w:rFonts w:ascii="Arial" w:hAnsi="Arial" w:cs="Arial"/>
          <w:b/>
          <w:bCs/>
          <w:iCs/>
          <w:sz w:val="20"/>
          <w:szCs w:val="20"/>
        </w:rPr>
      </w:pPr>
      <w:r w:rsidRPr="008E320D">
        <w:rPr>
          <w:rFonts w:ascii="Arial" w:hAnsi="Arial" w:cs="Arial"/>
          <w:b/>
          <w:bCs/>
          <w:iCs/>
          <w:sz w:val="20"/>
          <w:szCs w:val="20"/>
        </w:rPr>
        <w:t xml:space="preserve">Engagement </w:t>
      </w:r>
      <w:r w:rsidRPr="008E320D">
        <w:rPr>
          <w:rFonts w:ascii="Arial" w:eastAsia="Times New Roman" w:hAnsi="Arial" w:cs="Arial"/>
          <w:b/>
          <w:bCs/>
          <w:color w:val="000000"/>
          <w:kern w:val="24"/>
          <w:sz w:val="20"/>
          <w:szCs w:val="20"/>
          <w:lang w:eastAsia="en-GB"/>
        </w:rPr>
        <w:t>of communities, groups and individuals as well as other</w:t>
      </w:r>
      <w:r w:rsidRPr="008E320D">
        <w:rPr>
          <w:rFonts w:ascii="Arial" w:hAnsi="Arial" w:cs="Arial"/>
          <w:b/>
          <w:bCs/>
          <w:iCs/>
          <w:sz w:val="20"/>
          <w:szCs w:val="20"/>
        </w:rPr>
        <w:t xml:space="preserve"> stakeholders (Thematic Area 6):</w:t>
      </w:r>
    </w:p>
    <w:tbl>
      <w:tblPr>
        <w:tblW w:w="50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696A0B" w:rsidRPr="008E320D" w14:paraId="56FA76C7" w14:textId="77777777" w:rsidTr="00696A0B">
        <w:trPr>
          <w:cantSplit/>
        </w:trPr>
        <w:tc>
          <w:tcPr>
            <w:tcW w:w="5000" w:type="pct"/>
            <w:shd w:val="clear" w:color="auto" w:fill="auto"/>
            <w:vAlign w:val="center"/>
          </w:tcPr>
          <w:p w14:paraId="27327D37" w14:textId="77777777" w:rsidR="00696A0B" w:rsidRPr="008E320D" w:rsidRDefault="00696A0B" w:rsidP="00696A0B">
            <w:pPr>
              <w:numPr>
                <w:ilvl w:val="1"/>
                <w:numId w:val="18"/>
              </w:numPr>
              <w:spacing w:before="60" w:after="60" w:line="240" w:lineRule="auto"/>
              <w:ind w:left="567" w:hanging="567"/>
              <w:rPr>
                <w:rFonts w:ascii="Arial" w:eastAsia="Calibri" w:hAnsi="Arial" w:cs="Arial"/>
                <w:vanish/>
                <w:sz w:val="20"/>
                <w:szCs w:val="20"/>
              </w:rPr>
            </w:pPr>
            <w:r w:rsidRPr="008E320D">
              <w:rPr>
                <w:rFonts w:ascii="Arial" w:eastAsia="Calibri" w:hAnsi="Arial" w:cs="Arial"/>
                <w:sz w:val="20"/>
                <w:szCs w:val="20"/>
              </w:rPr>
              <w:t>Communities, groups and individuals participate, on an inclusive basis and to the widest possible extent, in the safeguarding of ICH in general and of specific elements of ICH, whether or not inscribed.</w:t>
            </w:r>
          </w:p>
        </w:tc>
      </w:tr>
      <w:tr w:rsidR="00696A0B" w:rsidRPr="008E320D" w14:paraId="0F714E69" w14:textId="77777777" w:rsidTr="00696A0B">
        <w:trPr>
          <w:cantSplit/>
        </w:trPr>
        <w:tc>
          <w:tcPr>
            <w:tcW w:w="5000" w:type="pct"/>
            <w:shd w:val="clear" w:color="auto" w:fill="auto"/>
            <w:vAlign w:val="center"/>
          </w:tcPr>
          <w:p w14:paraId="61AB9B4A" w14:textId="77777777" w:rsidR="00696A0B" w:rsidRPr="008E320D" w:rsidRDefault="00696A0B" w:rsidP="00696A0B">
            <w:pPr>
              <w:numPr>
                <w:ilvl w:val="1"/>
                <w:numId w:val="18"/>
              </w:numPr>
              <w:spacing w:before="60" w:after="60" w:line="240" w:lineRule="auto"/>
              <w:ind w:left="567" w:hanging="567"/>
              <w:rPr>
                <w:rFonts w:ascii="Arial" w:eastAsia="Calibri" w:hAnsi="Arial" w:cs="Arial"/>
                <w:sz w:val="20"/>
                <w:szCs w:val="20"/>
              </w:rPr>
            </w:pPr>
            <w:r w:rsidRPr="008E320D">
              <w:rPr>
                <w:rFonts w:ascii="Arial" w:eastAsia="Calibri" w:hAnsi="Arial" w:cs="Arial"/>
                <w:sz w:val="20"/>
                <w:szCs w:val="20"/>
              </w:rPr>
              <w:t>NGOs and other civil society actors participate in the safeguarding of ICH in general, and of specific elements of ICH, whether or not inscribed.</w:t>
            </w:r>
          </w:p>
        </w:tc>
      </w:tr>
      <w:tr w:rsidR="00696A0B" w:rsidRPr="008E320D" w14:paraId="27BB3CB3" w14:textId="77777777" w:rsidTr="00696A0B">
        <w:trPr>
          <w:cantSplit/>
        </w:trPr>
        <w:tc>
          <w:tcPr>
            <w:tcW w:w="5000" w:type="pct"/>
            <w:shd w:val="clear" w:color="auto" w:fill="auto"/>
            <w:vAlign w:val="center"/>
          </w:tcPr>
          <w:p w14:paraId="08D9D489" w14:textId="77777777" w:rsidR="00696A0B" w:rsidRPr="008E320D" w:rsidRDefault="00696A0B" w:rsidP="00696A0B">
            <w:pPr>
              <w:numPr>
                <w:ilvl w:val="1"/>
                <w:numId w:val="18"/>
              </w:numPr>
              <w:spacing w:before="60" w:after="60" w:line="240" w:lineRule="auto"/>
              <w:ind w:left="567" w:hanging="567"/>
              <w:rPr>
                <w:rFonts w:ascii="Arial" w:eastAsia="Calibri" w:hAnsi="Arial" w:cs="Arial"/>
                <w:sz w:val="20"/>
                <w:szCs w:val="20"/>
              </w:rPr>
            </w:pPr>
            <w:r w:rsidRPr="008E320D">
              <w:rPr>
                <w:rFonts w:ascii="Arial" w:eastAsia="Calibri" w:hAnsi="Arial" w:cs="Arial"/>
                <w:sz w:val="20"/>
                <w:szCs w:val="20"/>
              </w:rPr>
              <w:t>Private sector entities participate in the safeguarding of ICH, and of specific elements of ICH, whether or not inscribed, respecting the Ethical Principles for Safeguarding ICH.</w:t>
            </w:r>
          </w:p>
        </w:tc>
      </w:tr>
      <w:tr w:rsidR="00696A0B" w:rsidRPr="008E320D" w14:paraId="0B31A80F" w14:textId="77777777" w:rsidTr="00696A0B">
        <w:trPr>
          <w:cantSplit/>
        </w:trPr>
        <w:tc>
          <w:tcPr>
            <w:tcW w:w="5000" w:type="pct"/>
            <w:shd w:val="clear" w:color="auto" w:fill="auto"/>
            <w:vAlign w:val="center"/>
          </w:tcPr>
          <w:p w14:paraId="551469F4" w14:textId="77777777" w:rsidR="00696A0B" w:rsidRPr="008E320D" w:rsidRDefault="00696A0B" w:rsidP="00696A0B">
            <w:pPr>
              <w:numPr>
                <w:ilvl w:val="1"/>
                <w:numId w:val="19"/>
              </w:numPr>
              <w:spacing w:before="60" w:after="60" w:line="240" w:lineRule="auto"/>
              <w:ind w:left="567" w:hanging="567"/>
              <w:rPr>
                <w:rFonts w:ascii="Arial" w:eastAsia="Calibri" w:hAnsi="Arial" w:cs="Arial"/>
                <w:vanish/>
                <w:sz w:val="20"/>
                <w:szCs w:val="20"/>
              </w:rPr>
            </w:pPr>
            <w:r w:rsidRPr="008E320D">
              <w:rPr>
                <w:rFonts w:ascii="Arial" w:eastAsia="Calibri" w:hAnsi="Arial" w:cs="Arial"/>
                <w:sz w:val="20"/>
                <w:szCs w:val="20"/>
              </w:rPr>
              <w:t>An enabling environment exists for communities, groups and individuals concerned to monitor and undertake scientific, technical and artistic studies on ICH safeguarding programmes and measures.</w:t>
            </w:r>
          </w:p>
        </w:tc>
      </w:tr>
      <w:tr w:rsidR="00696A0B" w:rsidRPr="008E320D" w14:paraId="74A8AF95" w14:textId="77777777" w:rsidTr="00696A0B">
        <w:trPr>
          <w:cantSplit/>
        </w:trPr>
        <w:tc>
          <w:tcPr>
            <w:tcW w:w="5000" w:type="pct"/>
            <w:shd w:val="clear" w:color="auto" w:fill="auto"/>
            <w:vAlign w:val="center"/>
          </w:tcPr>
          <w:p w14:paraId="0B0908F1" w14:textId="77777777" w:rsidR="00696A0B" w:rsidRPr="008E320D" w:rsidRDefault="00696A0B" w:rsidP="00696A0B">
            <w:pPr>
              <w:numPr>
                <w:ilvl w:val="1"/>
                <w:numId w:val="19"/>
              </w:numPr>
              <w:spacing w:before="60" w:after="60" w:line="240" w:lineRule="auto"/>
              <w:ind w:left="567" w:hanging="567"/>
              <w:rPr>
                <w:rFonts w:ascii="Arial" w:eastAsia="Calibri" w:hAnsi="Arial" w:cs="Arial"/>
                <w:sz w:val="20"/>
                <w:szCs w:val="20"/>
              </w:rPr>
            </w:pPr>
            <w:r w:rsidRPr="008E320D">
              <w:rPr>
                <w:rFonts w:ascii="Arial" w:eastAsia="Calibri" w:hAnsi="Arial" w:cs="Arial"/>
                <w:sz w:val="20"/>
                <w:szCs w:val="20"/>
              </w:rPr>
              <w:t>An enabling environment exists for NGOs, and other civil society bodies to monitor and undertake scientific, technical and artistic studies on ICH safeguarding programmes and measures.</w:t>
            </w:r>
          </w:p>
        </w:tc>
      </w:tr>
    </w:tbl>
    <w:p w14:paraId="0664E384" w14:textId="77777777" w:rsidR="00696A0B" w:rsidRPr="008E320D" w:rsidRDefault="00696A0B" w:rsidP="00696A0B">
      <w:pPr>
        <w:spacing w:after="0"/>
        <w:rPr>
          <w:rFonts w:ascii="Arial" w:hAnsi="Arial" w:cs="Arial"/>
          <w:b/>
          <w:bCs/>
          <w:iCs/>
          <w:sz w:val="20"/>
          <w:szCs w:val="20"/>
        </w:rPr>
      </w:pPr>
    </w:p>
    <w:p w14:paraId="6778E025" w14:textId="77777777" w:rsidR="00840BE7" w:rsidRPr="008E320D" w:rsidRDefault="00840BE7" w:rsidP="00840BE7">
      <w:pPr>
        <w:rPr>
          <w:rFonts w:ascii="Arial" w:hAnsi="Arial" w:cs="Arial"/>
          <w:b/>
          <w:iCs/>
          <w:sz w:val="20"/>
          <w:szCs w:val="20"/>
        </w:rPr>
      </w:pPr>
      <w:r w:rsidRPr="008E320D">
        <w:rPr>
          <w:rFonts w:ascii="Arial" w:hAnsi="Arial" w:cs="Arial"/>
          <w:b/>
          <w:iCs/>
          <w:sz w:val="20"/>
          <w:szCs w:val="20"/>
        </w:rPr>
        <w:t xml:space="preserve">Questions </w:t>
      </w:r>
      <w:r w:rsidR="00793B25" w:rsidRPr="008E320D">
        <w:rPr>
          <w:rFonts w:ascii="Arial" w:hAnsi="Arial" w:cs="Arial"/>
          <w:b/>
          <w:iCs/>
          <w:sz w:val="20"/>
          <w:szCs w:val="20"/>
        </w:rPr>
        <w:t xml:space="preserve">to consider: </w:t>
      </w:r>
    </w:p>
    <w:p w14:paraId="233BD731" w14:textId="77777777" w:rsidR="003166E5" w:rsidRPr="008E320D" w:rsidRDefault="003166E5" w:rsidP="003166E5">
      <w:pPr>
        <w:pStyle w:val="ListParagraph"/>
        <w:numPr>
          <w:ilvl w:val="0"/>
          <w:numId w:val="1"/>
        </w:numPr>
        <w:rPr>
          <w:rFonts w:ascii="Arial" w:hAnsi="Arial" w:cs="Arial"/>
          <w:iCs/>
          <w:sz w:val="20"/>
          <w:szCs w:val="20"/>
          <w:lang w:val="en-GB"/>
        </w:rPr>
      </w:pPr>
      <w:r w:rsidRPr="008E320D">
        <w:rPr>
          <w:rFonts w:ascii="Arial" w:hAnsi="Arial" w:cs="Arial"/>
          <w:iCs/>
          <w:sz w:val="20"/>
          <w:szCs w:val="20"/>
          <w:lang w:val="en-GB"/>
        </w:rPr>
        <w:t>How have these assessment factors been selected (i.e. what are their sources)?</w:t>
      </w:r>
    </w:p>
    <w:p w14:paraId="49BB2DEB" w14:textId="77777777" w:rsidR="00840BE7" w:rsidRPr="008E320D" w:rsidRDefault="00840BE7" w:rsidP="000F263A">
      <w:pPr>
        <w:pStyle w:val="ListParagraph"/>
        <w:numPr>
          <w:ilvl w:val="0"/>
          <w:numId w:val="1"/>
        </w:numPr>
        <w:rPr>
          <w:rFonts w:ascii="Arial" w:hAnsi="Arial" w:cs="Arial"/>
          <w:iCs/>
          <w:sz w:val="20"/>
          <w:szCs w:val="20"/>
          <w:lang w:val="en-GB"/>
        </w:rPr>
      </w:pPr>
      <w:r w:rsidRPr="008E320D">
        <w:rPr>
          <w:rFonts w:ascii="Arial" w:hAnsi="Arial" w:cs="Arial"/>
          <w:iCs/>
          <w:sz w:val="20"/>
          <w:szCs w:val="20"/>
          <w:lang w:val="en-GB"/>
        </w:rPr>
        <w:t xml:space="preserve">Which of these </w:t>
      </w:r>
      <w:r w:rsidR="000F263A" w:rsidRPr="008E320D">
        <w:rPr>
          <w:rFonts w:ascii="Arial" w:hAnsi="Arial" w:cs="Arial"/>
          <w:iCs/>
          <w:sz w:val="20"/>
          <w:szCs w:val="20"/>
          <w:lang w:val="en-GB"/>
        </w:rPr>
        <w:t>assessment factors</w:t>
      </w:r>
      <w:r w:rsidRPr="008E320D">
        <w:rPr>
          <w:rFonts w:ascii="Arial" w:hAnsi="Arial" w:cs="Arial"/>
          <w:iCs/>
          <w:sz w:val="20"/>
          <w:szCs w:val="20"/>
          <w:lang w:val="en-GB"/>
        </w:rPr>
        <w:t xml:space="preserve"> measure purely quantitative aspects of the indicator</w:t>
      </w:r>
      <w:r w:rsidR="003166E5" w:rsidRPr="008E320D">
        <w:rPr>
          <w:rFonts w:ascii="Arial" w:hAnsi="Arial" w:cs="Arial"/>
          <w:iCs/>
          <w:sz w:val="20"/>
          <w:szCs w:val="20"/>
          <w:lang w:val="en-GB"/>
        </w:rPr>
        <w:t>?</w:t>
      </w:r>
    </w:p>
    <w:p w14:paraId="2CDD7646" w14:textId="77777777" w:rsidR="00840BE7" w:rsidRPr="008E320D" w:rsidRDefault="00840BE7" w:rsidP="000F263A">
      <w:pPr>
        <w:pStyle w:val="ListParagraph"/>
        <w:numPr>
          <w:ilvl w:val="0"/>
          <w:numId w:val="1"/>
        </w:numPr>
        <w:rPr>
          <w:rFonts w:ascii="Arial" w:hAnsi="Arial" w:cs="Arial"/>
          <w:iCs/>
          <w:sz w:val="20"/>
          <w:szCs w:val="20"/>
          <w:lang w:val="en-GB"/>
        </w:rPr>
      </w:pPr>
      <w:r w:rsidRPr="008E320D">
        <w:rPr>
          <w:rFonts w:ascii="Arial" w:hAnsi="Arial" w:cs="Arial"/>
          <w:iCs/>
          <w:sz w:val="20"/>
          <w:szCs w:val="20"/>
          <w:lang w:val="en-GB"/>
        </w:rPr>
        <w:t xml:space="preserve">Which of these </w:t>
      </w:r>
      <w:r w:rsidR="000F263A" w:rsidRPr="008E320D">
        <w:rPr>
          <w:rFonts w:ascii="Arial" w:hAnsi="Arial" w:cs="Arial"/>
          <w:iCs/>
          <w:sz w:val="20"/>
          <w:szCs w:val="20"/>
          <w:lang w:val="en-GB"/>
        </w:rPr>
        <w:t>assessment factors</w:t>
      </w:r>
      <w:r w:rsidRPr="008E320D">
        <w:rPr>
          <w:rFonts w:ascii="Arial" w:hAnsi="Arial" w:cs="Arial"/>
          <w:iCs/>
          <w:sz w:val="20"/>
          <w:szCs w:val="20"/>
          <w:lang w:val="en-GB"/>
        </w:rPr>
        <w:t xml:space="preserve"> also measure qualitative aspects?</w:t>
      </w:r>
    </w:p>
    <w:p w14:paraId="470F3678" w14:textId="77777777" w:rsidR="000F263A" w:rsidRPr="008E320D" w:rsidRDefault="000F263A" w:rsidP="000F263A">
      <w:pPr>
        <w:pStyle w:val="ListParagraph"/>
        <w:numPr>
          <w:ilvl w:val="0"/>
          <w:numId w:val="1"/>
        </w:numPr>
        <w:rPr>
          <w:rFonts w:ascii="Arial" w:hAnsi="Arial" w:cs="Arial"/>
          <w:iCs/>
          <w:sz w:val="20"/>
          <w:szCs w:val="20"/>
          <w:lang w:val="en-GB"/>
        </w:rPr>
      </w:pPr>
      <w:r w:rsidRPr="008E320D">
        <w:rPr>
          <w:rFonts w:ascii="Arial" w:hAnsi="Arial" w:cs="Arial"/>
          <w:iCs/>
          <w:sz w:val="20"/>
          <w:szCs w:val="20"/>
          <w:lang w:val="en-GB"/>
        </w:rPr>
        <w:t>What makes an assessment factor more qualitative?</w:t>
      </w:r>
    </w:p>
    <w:p w14:paraId="2DA967AC" w14:textId="77777777" w:rsidR="00840BE7" w:rsidRPr="008E320D" w:rsidRDefault="00840BE7" w:rsidP="00840BE7">
      <w:pPr>
        <w:pStyle w:val="ListParagraph"/>
        <w:numPr>
          <w:ilvl w:val="0"/>
          <w:numId w:val="1"/>
        </w:numPr>
        <w:rPr>
          <w:rFonts w:ascii="Arial" w:hAnsi="Arial" w:cs="Arial"/>
          <w:iCs/>
          <w:sz w:val="20"/>
          <w:szCs w:val="20"/>
          <w:lang w:val="en-GB"/>
        </w:rPr>
      </w:pPr>
      <w:r w:rsidRPr="008E320D">
        <w:rPr>
          <w:rFonts w:ascii="Arial" w:hAnsi="Arial" w:cs="Arial"/>
          <w:iCs/>
          <w:sz w:val="20"/>
          <w:szCs w:val="20"/>
          <w:lang w:val="en-GB"/>
        </w:rPr>
        <w:lastRenderedPageBreak/>
        <w:t>How available is data and information for these</w:t>
      </w:r>
      <w:r w:rsidR="00793B25" w:rsidRPr="008E320D">
        <w:rPr>
          <w:rFonts w:ascii="Arial" w:hAnsi="Arial" w:cs="Arial"/>
          <w:iCs/>
          <w:sz w:val="20"/>
          <w:szCs w:val="20"/>
          <w:lang w:val="en-GB"/>
        </w:rPr>
        <w:t xml:space="preserve"> assessment</w:t>
      </w:r>
      <w:r w:rsidRPr="008E320D">
        <w:rPr>
          <w:rFonts w:ascii="Arial" w:hAnsi="Arial" w:cs="Arial"/>
          <w:iCs/>
          <w:sz w:val="20"/>
          <w:szCs w:val="20"/>
          <w:lang w:val="en-GB"/>
        </w:rPr>
        <w:t xml:space="preserve"> factors?</w:t>
      </w:r>
    </w:p>
    <w:p w14:paraId="56FAEF4D" w14:textId="77777777" w:rsidR="00840BE7" w:rsidRPr="008E320D" w:rsidRDefault="00840BE7" w:rsidP="00840BE7">
      <w:pPr>
        <w:pStyle w:val="ListParagraph"/>
        <w:numPr>
          <w:ilvl w:val="0"/>
          <w:numId w:val="1"/>
        </w:numPr>
        <w:rPr>
          <w:rFonts w:ascii="Arial" w:hAnsi="Arial" w:cs="Arial"/>
          <w:iCs/>
          <w:sz w:val="20"/>
          <w:szCs w:val="20"/>
          <w:lang w:val="en-GB"/>
        </w:rPr>
      </w:pPr>
      <w:r w:rsidRPr="008E320D">
        <w:rPr>
          <w:rFonts w:ascii="Arial" w:hAnsi="Arial" w:cs="Arial"/>
          <w:iCs/>
          <w:sz w:val="20"/>
          <w:szCs w:val="20"/>
          <w:lang w:val="en-GB"/>
        </w:rPr>
        <w:t xml:space="preserve">Which actors/stakeholders </w:t>
      </w:r>
      <w:r w:rsidR="003246C7" w:rsidRPr="008E320D">
        <w:rPr>
          <w:rFonts w:ascii="Arial" w:hAnsi="Arial" w:cs="Arial"/>
          <w:iCs/>
          <w:sz w:val="20"/>
          <w:szCs w:val="20"/>
          <w:lang w:val="en-GB"/>
        </w:rPr>
        <w:t>can</w:t>
      </w:r>
      <w:r w:rsidRPr="008E320D">
        <w:rPr>
          <w:rFonts w:ascii="Arial" w:hAnsi="Arial" w:cs="Arial"/>
          <w:iCs/>
          <w:sz w:val="20"/>
          <w:szCs w:val="20"/>
          <w:lang w:val="en-GB"/>
        </w:rPr>
        <w:t xml:space="preserve"> provide data and information?</w:t>
      </w:r>
    </w:p>
    <w:p w14:paraId="73BB3130" w14:textId="77777777" w:rsidR="00840BE7" w:rsidRPr="008E320D" w:rsidRDefault="00840BE7" w:rsidP="00840BE7">
      <w:pPr>
        <w:pStyle w:val="ListParagraph"/>
        <w:numPr>
          <w:ilvl w:val="0"/>
          <w:numId w:val="1"/>
        </w:numPr>
        <w:rPr>
          <w:rFonts w:ascii="Arial" w:hAnsi="Arial" w:cs="Arial"/>
          <w:iCs/>
          <w:sz w:val="20"/>
          <w:szCs w:val="20"/>
          <w:lang w:val="en-GB"/>
        </w:rPr>
      </w:pPr>
      <w:r w:rsidRPr="008E320D">
        <w:rPr>
          <w:rFonts w:ascii="Arial" w:hAnsi="Arial" w:cs="Arial"/>
          <w:iCs/>
          <w:sz w:val="20"/>
          <w:szCs w:val="20"/>
          <w:lang w:val="en-GB"/>
        </w:rPr>
        <w:t>Can these</w:t>
      </w:r>
      <w:r w:rsidR="00CD2A9B" w:rsidRPr="008E320D">
        <w:rPr>
          <w:rFonts w:ascii="Arial" w:hAnsi="Arial" w:cs="Arial"/>
          <w:iCs/>
          <w:sz w:val="20"/>
          <w:szCs w:val="20"/>
          <w:lang w:val="en-GB"/>
        </w:rPr>
        <w:t xml:space="preserve"> assessment factors</w:t>
      </w:r>
      <w:r w:rsidRPr="008E320D">
        <w:rPr>
          <w:rFonts w:ascii="Arial" w:hAnsi="Arial" w:cs="Arial"/>
          <w:iCs/>
          <w:sz w:val="20"/>
          <w:szCs w:val="20"/>
          <w:lang w:val="en-GB"/>
        </w:rPr>
        <w:t xml:space="preserve"> continue to be measured over time?</w:t>
      </w:r>
    </w:p>
    <w:p w14:paraId="6F5B04EE" w14:textId="77777777" w:rsidR="00840BE7" w:rsidRPr="008E320D" w:rsidRDefault="00840BE7" w:rsidP="00840BE7">
      <w:pPr>
        <w:pStyle w:val="ListParagraph"/>
        <w:numPr>
          <w:ilvl w:val="0"/>
          <w:numId w:val="1"/>
        </w:numPr>
        <w:rPr>
          <w:rFonts w:ascii="Arial" w:hAnsi="Arial" w:cs="Arial"/>
          <w:iCs/>
          <w:sz w:val="20"/>
          <w:szCs w:val="20"/>
          <w:lang w:val="en-GB"/>
        </w:rPr>
      </w:pPr>
      <w:r w:rsidRPr="008E320D">
        <w:rPr>
          <w:rFonts w:ascii="Arial" w:hAnsi="Arial" w:cs="Arial"/>
          <w:iCs/>
          <w:sz w:val="20"/>
          <w:szCs w:val="20"/>
          <w:lang w:val="en-GB"/>
        </w:rPr>
        <w:t xml:space="preserve">How do </w:t>
      </w:r>
      <w:r w:rsidR="006A2C4A" w:rsidRPr="008E320D">
        <w:rPr>
          <w:rFonts w:ascii="Arial" w:hAnsi="Arial" w:cs="Arial"/>
          <w:iCs/>
          <w:sz w:val="20"/>
          <w:szCs w:val="20"/>
          <w:lang w:val="en-GB"/>
        </w:rPr>
        <w:t>these assessment factors</w:t>
      </w:r>
      <w:r w:rsidRPr="008E320D">
        <w:rPr>
          <w:rFonts w:ascii="Arial" w:hAnsi="Arial" w:cs="Arial"/>
          <w:iCs/>
          <w:sz w:val="20"/>
          <w:szCs w:val="20"/>
          <w:lang w:val="en-GB"/>
        </w:rPr>
        <w:t xml:space="preserve"> inform the setting of baselines and targets for their associated indicator?</w:t>
      </w:r>
    </w:p>
    <w:sectPr w:rsidR="00840BE7" w:rsidRPr="008E320D" w:rsidSect="003F7A1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D3E8C" w14:textId="77777777" w:rsidR="004D228C" w:rsidRDefault="004D228C" w:rsidP="00002413">
      <w:pPr>
        <w:spacing w:after="0" w:line="240" w:lineRule="auto"/>
      </w:pPr>
      <w:r>
        <w:separator/>
      </w:r>
    </w:p>
  </w:endnote>
  <w:endnote w:type="continuationSeparator" w:id="0">
    <w:p w14:paraId="0B9B6D77" w14:textId="77777777" w:rsidR="004D228C" w:rsidRDefault="004D228C" w:rsidP="00002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8612F" w14:textId="77777777" w:rsidR="008E320D" w:rsidRPr="008E320D" w:rsidRDefault="008E320D" w:rsidP="008E320D">
    <w:pPr>
      <w:pStyle w:val="Footer"/>
      <w:tabs>
        <w:tab w:val="left" w:pos="2093"/>
      </w:tabs>
      <w:rPr>
        <w:rFonts w:ascii="Arial" w:hAnsi="Arial" w:cs="Arial"/>
        <w:sz w:val="16"/>
        <w:szCs w:val="16"/>
      </w:rPr>
    </w:pPr>
    <w:r w:rsidRPr="008E320D">
      <w:rPr>
        <w:rFonts w:ascii="Arial" w:hAnsi="Arial" w:cs="Arial"/>
        <w:sz w:val="16"/>
        <w:szCs w:val="16"/>
      </w:rPr>
      <w:t>U0</w:t>
    </w:r>
    <w:r w:rsidR="00A506E6">
      <w:rPr>
        <w:rFonts w:ascii="Arial" w:hAnsi="Arial" w:cs="Arial"/>
        <w:sz w:val="16"/>
        <w:szCs w:val="16"/>
      </w:rPr>
      <w:t>5</w:t>
    </w:r>
    <w:r w:rsidRPr="008E320D">
      <w:rPr>
        <w:rFonts w:ascii="Arial" w:hAnsi="Arial" w:cs="Arial"/>
        <w:sz w:val="16"/>
        <w:szCs w:val="16"/>
      </w:rPr>
      <w:t>8-v1.0-HO1-EN</w:t>
    </w:r>
    <w:r w:rsidRPr="008E320D">
      <w:rPr>
        <w:rFonts w:ascii="Arial" w:hAnsi="Arial" w:cs="Arial"/>
        <w:sz w:val="16"/>
        <w:szCs w:val="16"/>
      </w:rPr>
      <w:tab/>
    </w:r>
    <w:r w:rsidRPr="008E320D">
      <w:rPr>
        <w:rFonts w:ascii="Arial" w:hAnsi="Arial" w:cs="Arial"/>
        <w:sz w:val="16"/>
        <w:szCs w:val="16"/>
      </w:rPr>
      <w:tab/>
    </w:r>
    <w:r w:rsidRPr="008E320D">
      <w:rPr>
        <w:rFonts w:ascii="Arial" w:hAnsi="Arial" w:cs="Arial"/>
        <w:sz w:val="16"/>
        <w:szCs w:val="16"/>
      </w:rPr>
      <w:tab/>
    </w:r>
    <w:r w:rsidRPr="008E320D">
      <w:rPr>
        <w:rFonts w:ascii="Arial" w:hAnsi="Arial" w:cs="Arial"/>
        <w:noProof/>
        <w:sz w:val="16"/>
        <w:szCs w:val="16"/>
        <w:lang w:val="fr-FR" w:eastAsia="fr-FR"/>
      </w:rPr>
      <w:drawing>
        <wp:anchor distT="0" distB="0" distL="114300" distR="114300" simplePos="0" relativeHeight="251659264" behindDoc="0" locked="1" layoutInCell="1" allowOverlap="0" wp14:anchorId="5E22F2CF" wp14:editId="7DC9E4E8">
          <wp:simplePos x="0" y="0"/>
          <wp:positionH relativeFrom="margin">
            <wp:posOffset>4681855</wp:posOffset>
          </wp:positionH>
          <wp:positionV relativeFrom="margin">
            <wp:posOffset>8834755</wp:posOffset>
          </wp:positionV>
          <wp:extent cx="942975" cy="538480"/>
          <wp:effectExtent l="0" t="0" r="0" b="0"/>
          <wp:wrapSquare wrapText="bothSides"/>
          <wp:docPr id="450" name="Imag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p w14:paraId="096538B2" w14:textId="77777777" w:rsidR="008E320D" w:rsidRPr="008E320D" w:rsidRDefault="008E320D" w:rsidP="008E320D">
    <w:pPr>
      <w:pStyle w:val="Footer"/>
    </w:pPr>
    <w:r w:rsidRPr="008E320D">
      <w:rPr>
        <w:rFonts w:ascii="Arial" w:hAnsi="Arial" w:cs="Arial"/>
        <w:noProof/>
        <w:sz w:val="16"/>
        <w:szCs w:val="16"/>
        <w:lang w:val="fr-FR" w:eastAsia="fr-FR"/>
      </w:rPr>
      <w:drawing>
        <wp:anchor distT="0" distB="0" distL="114300" distR="114300" simplePos="0" relativeHeight="251660288" behindDoc="0" locked="0" layoutInCell="1" allowOverlap="1" wp14:anchorId="455FA632" wp14:editId="0177A735">
          <wp:simplePos x="0" y="0"/>
          <wp:positionH relativeFrom="column">
            <wp:posOffset>2438400</wp:posOffset>
          </wp:positionH>
          <wp:positionV relativeFrom="paragraph">
            <wp:posOffset>27305</wp:posOffset>
          </wp:positionV>
          <wp:extent cx="542290" cy="189230"/>
          <wp:effectExtent l="0" t="0" r="0" b="1270"/>
          <wp:wrapThrough wrapText="bothSides">
            <wp:wrapPolygon edited="0">
              <wp:start x="0" y="0"/>
              <wp:lineTo x="0" y="19570"/>
              <wp:lineTo x="20487" y="19570"/>
              <wp:lineTo x="2048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92077" w14:textId="77777777" w:rsidR="004D228C" w:rsidRDefault="004D228C" w:rsidP="00002413">
      <w:pPr>
        <w:spacing w:after="0" w:line="240" w:lineRule="auto"/>
      </w:pPr>
      <w:r>
        <w:separator/>
      </w:r>
    </w:p>
  </w:footnote>
  <w:footnote w:type="continuationSeparator" w:id="0">
    <w:p w14:paraId="2E63EF99" w14:textId="77777777" w:rsidR="004D228C" w:rsidRDefault="004D228C" w:rsidP="00002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5B569" w14:textId="77777777" w:rsidR="008E320D" w:rsidRPr="008E320D" w:rsidRDefault="008E320D" w:rsidP="008E320D">
    <w:pPr>
      <w:pStyle w:val="Header"/>
    </w:pPr>
    <w:r w:rsidRPr="008E320D">
      <w:tab/>
      <w:t>Hand-out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D4AC1"/>
    <w:multiLevelType w:val="multilevel"/>
    <w:tmpl w:val="143A3F5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8D6F3D"/>
    <w:multiLevelType w:val="multilevel"/>
    <w:tmpl w:val="850A45F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173312"/>
    <w:multiLevelType w:val="multilevel"/>
    <w:tmpl w:val="FA760232"/>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E6277A5"/>
    <w:multiLevelType w:val="multilevel"/>
    <w:tmpl w:val="855E06A2"/>
    <w:lvl w:ilvl="0">
      <w:start w:val="18"/>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7F20F3"/>
    <w:multiLevelType w:val="multilevel"/>
    <w:tmpl w:val="69DC8654"/>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354438A"/>
    <w:multiLevelType w:val="multilevel"/>
    <w:tmpl w:val="B47CB1A8"/>
    <w:lvl w:ilvl="0">
      <w:start w:val="1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5155C1"/>
    <w:multiLevelType w:val="multilevel"/>
    <w:tmpl w:val="356E2A84"/>
    <w:lvl w:ilvl="0">
      <w:start w:val="2"/>
      <w:numFmt w:val="decimal"/>
      <w:lvlText w:val="%1"/>
      <w:lvlJc w:val="left"/>
      <w:pPr>
        <w:ind w:left="360" w:hanging="360"/>
      </w:pPr>
      <w:rPr>
        <w:rFonts w:hint="default"/>
      </w:rPr>
    </w:lvl>
    <w:lvl w:ilvl="1">
      <w:start w:val="1"/>
      <w:numFmt w:val="decimal"/>
      <w:lvlText w:val="4.%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7" w15:restartNumberingAfterBreak="0">
    <w:nsid w:val="1E6F3D42"/>
    <w:multiLevelType w:val="multilevel"/>
    <w:tmpl w:val="9232358E"/>
    <w:lvl w:ilvl="0">
      <w:start w:val="11"/>
      <w:numFmt w:val="decimal"/>
      <w:lvlText w:val="%1"/>
      <w:lvlJc w:val="left"/>
      <w:pPr>
        <w:ind w:left="375" w:hanging="375"/>
      </w:pPr>
      <w:rPr>
        <w:rFonts w:hint="default"/>
      </w:rPr>
    </w:lvl>
    <w:lvl w:ilvl="1">
      <w:start w:val="1"/>
      <w:numFmt w:val="decimal"/>
      <w:lvlText w:val="%1.%2"/>
      <w:lvlJc w:val="left"/>
      <w:pPr>
        <w:ind w:left="4061"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8" w15:restartNumberingAfterBreak="0">
    <w:nsid w:val="28503CC3"/>
    <w:multiLevelType w:val="multilevel"/>
    <w:tmpl w:val="765075C4"/>
    <w:lvl w:ilvl="0">
      <w:start w:val="2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923711F"/>
    <w:multiLevelType w:val="hybridMultilevel"/>
    <w:tmpl w:val="12885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B34008"/>
    <w:multiLevelType w:val="multilevel"/>
    <w:tmpl w:val="67E6409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F84BCB"/>
    <w:multiLevelType w:val="multilevel"/>
    <w:tmpl w:val="DBD86F44"/>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91359B8"/>
    <w:multiLevelType w:val="multilevel"/>
    <w:tmpl w:val="76340600"/>
    <w:lvl w:ilvl="0">
      <w:start w:val="9"/>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3" w15:restartNumberingAfterBreak="0">
    <w:nsid w:val="3C833CD7"/>
    <w:multiLevelType w:val="multilevel"/>
    <w:tmpl w:val="835843FC"/>
    <w:lvl w:ilvl="0">
      <w:start w:val="13"/>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4" w15:restartNumberingAfterBreak="0">
    <w:nsid w:val="3FA7287F"/>
    <w:multiLevelType w:val="multilevel"/>
    <w:tmpl w:val="90102936"/>
    <w:lvl w:ilvl="0">
      <w:start w:val="8"/>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5" w15:restartNumberingAfterBreak="0">
    <w:nsid w:val="3FEC7D21"/>
    <w:multiLevelType w:val="multilevel"/>
    <w:tmpl w:val="3AA67EA8"/>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0EB2969"/>
    <w:multiLevelType w:val="multilevel"/>
    <w:tmpl w:val="CCDA820A"/>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0FD6EEF"/>
    <w:multiLevelType w:val="multilevel"/>
    <w:tmpl w:val="1080733E"/>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8" w15:restartNumberingAfterBreak="0">
    <w:nsid w:val="44984C0B"/>
    <w:multiLevelType w:val="multilevel"/>
    <w:tmpl w:val="F37EAD20"/>
    <w:lvl w:ilvl="0">
      <w:start w:val="14"/>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9" w15:restartNumberingAfterBreak="0">
    <w:nsid w:val="48DB3C32"/>
    <w:multiLevelType w:val="multilevel"/>
    <w:tmpl w:val="FCACF1C2"/>
    <w:lvl w:ilvl="0">
      <w:start w:val="17"/>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9545EAC"/>
    <w:multiLevelType w:val="multilevel"/>
    <w:tmpl w:val="E1DEAED6"/>
    <w:lvl w:ilvl="0">
      <w:start w:val="5"/>
      <w:numFmt w:val="decimal"/>
      <w:lvlText w:val="%1"/>
      <w:lvlJc w:val="left"/>
      <w:pPr>
        <w:ind w:left="360" w:hanging="360"/>
      </w:pPr>
      <w:rPr>
        <w:rFonts w:hint="default"/>
      </w:rPr>
    </w:lvl>
    <w:lvl w:ilvl="1">
      <w:start w:val="1"/>
      <w:numFmt w:val="decimal"/>
      <w:lvlText w:val="2.%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1" w15:restartNumberingAfterBreak="0">
    <w:nsid w:val="4B037D21"/>
    <w:multiLevelType w:val="multilevel"/>
    <w:tmpl w:val="4FF27ACA"/>
    <w:lvl w:ilvl="0">
      <w:start w:val="1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E526D40"/>
    <w:multiLevelType w:val="multilevel"/>
    <w:tmpl w:val="DAC0A96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39E1716"/>
    <w:multiLevelType w:val="multilevel"/>
    <w:tmpl w:val="BAA6E88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85211E8"/>
    <w:multiLevelType w:val="multilevel"/>
    <w:tmpl w:val="6B8C3E24"/>
    <w:lvl w:ilvl="0">
      <w:start w:val="10"/>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25" w15:restartNumberingAfterBreak="0">
    <w:nsid w:val="63092062"/>
    <w:multiLevelType w:val="multilevel"/>
    <w:tmpl w:val="FD704AB8"/>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8EE4F0A"/>
    <w:multiLevelType w:val="multilevel"/>
    <w:tmpl w:val="FCDC34A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9B22285"/>
    <w:multiLevelType w:val="multilevel"/>
    <w:tmpl w:val="FF4EE7DA"/>
    <w:lvl w:ilvl="0">
      <w:start w:val="2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D731661"/>
    <w:multiLevelType w:val="multilevel"/>
    <w:tmpl w:val="5A8E6138"/>
    <w:lvl w:ilvl="0">
      <w:start w:val="13"/>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00C4D85"/>
    <w:multiLevelType w:val="multilevel"/>
    <w:tmpl w:val="3A36B022"/>
    <w:lvl w:ilvl="0">
      <w:start w:val="19"/>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737571D"/>
    <w:multiLevelType w:val="multilevel"/>
    <w:tmpl w:val="84A42890"/>
    <w:lvl w:ilvl="0">
      <w:start w:val="1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92D0E80"/>
    <w:multiLevelType w:val="hybridMultilevel"/>
    <w:tmpl w:val="CB8E9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367C2A"/>
    <w:multiLevelType w:val="multilevel"/>
    <w:tmpl w:val="CF381C3A"/>
    <w:lvl w:ilvl="0">
      <w:start w:val="6"/>
      <w:numFmt w:val="decimal"/>
      <w:lvlText w:val="%1"/>
      <w:lvlJc w:val="left"/>
      <w:pPr>
        <w:ind w:left="360" w:hanging="360"/>
      </w:pPr>
      <w:rPr>
        <w:rFonts w:hint="default"/>
      </w:rPr>
    </w:lvl>
    <w:lvl w:ilvl="1">
      <w:start w:val="1"/>
      <w:numFmt w:val="decimal"/>
      <w:lvlText w:val="3.%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1"/>
  </w:num>
  <w:num w:numId="2">
    <w:abstractNumId w:val="9"/>
  </w:num>
  <w:num w:numId="3">
    <w:abstractNumId w:val="20"/>
  </w:num>
  <w:num w:numId="4">
    <w:abstractNumId w:val="6"/>
  </w:num>
  <w:num w:numId="5">
    <w:abstractNumId w:val="32"/>
  </w:num>
  <w:num w:numId="6">
    <w:abstractNumId w:val="17"/>
  </w:num>
  <w:num w:numId="7">
    <w:abstractNumId w:val="14"/>
  </w:num>
  <w:num w:numId="8">
    <w:abstractNumId w:val="12"/>
  </w:num>
  <w:num w:numId="9">
    <w:abstractNumId w:val="24"/>
  </w:num>
  <w:num w:numId="10">
    <w:abstractNumId w:val="13"/>
  </w:num>
  <w:num w:numId="11">
    <w:abstractNumId w:val="7"/>
  </w:num>
  <w:num w:numId="12">
    <w:abstractNumId w:val="1"/>
  </w:num>
  <w:num w:numId="13">
    <w:abstractNumId w:val="18"/>
  </w:num>
  <w:num w:numId="14">
    <w:abstractNumId w:val="4"/>
  </w:num>
  <w:num w:numId="15">
    <w:abstractNumId w:val="25"/>
  </w:num>
  <w:num w:numId="16">
    <w:abstractNumId w:val="2"/>
  </w:num>
  <w:num w:numId="17">
    <w:abstractNumId w:val="16"/>
  </w:num>
  <w:num w:numId="18">
    <w:abstractNumId w:val="11"/>
  </w:num>
  <w:num w:numId="19">
    <w:abstractNumId w:val="27"/>
  </w:num>
  <w:num w:numId="20">
    <w:abstractNumId w:val="8"/>
  </w:num>
  <w:num w:numId="21">
    <w:abstractNumId w:val="10"/>
  </w:num>
  <w:num w:numId="22">
    <w:abstractNumId w:val="23"/>
  </w:num>
  <w:num w:numId="23">
    <w:abstractNumId w:val="0"/>
  </w:num>
  <w:num w:numId="24">
    <w:abstractNumId w:val="22"/>
  </w:num>
  <w:num w:numId="25">
    <w:abstractNumId w:val="26"/>
  </w:num>
  <w:num w:numId="26">
    <w:abstractNumId w:val="15"/>
  </w:num>
  <w:num w:numId="27">
    <w:abstractNumId w:val="30"/>
  </w:num>
  <w:num w:numId="28">
    <w:abstractNumId w:val="21"/>
  </w:num>
  <w:num w:numId="29">
    <w:abstractNumId w:val="5"/>
  </w:num>
  <w:num w:numId="30">
    <w:abstractNumId w:val="28"/>
  </w:num>
  <w:num w:numId="31">
    <w:abstractNumId w:val="19"/>
  </w:num>
  <w:num w:numId="32">
    <w:abstractNumId w:val="3"/>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413"/>
    <w:rsid w:val="00002413"/>
    <w:rsid w:val="000E017B"/>
    <w:rsid w:val="000F263A"/>
    <w:rsid w:val="00111F4F"/>
    <w:rsid w:val="0015429A"/>
    <w:rsid w:val="001A089D"/>
    <w:rsid w:val="001C4929"/>
    <w:rsid w:val="002058EB"/>
    <w:rsid w:val="003166E5"/>
    <w:rsid w:val="003246C7"/>
    <w:rsid w:val="0032694C"/>
    <w:rsid w:val="003F7A1D"/>
    <w:rsid w:val="004025B4"/>
    <w:rsid w:val="004B6280"/>
    <w:rsid w:val="004D228C"/>
    <w:rsid w:val="00561AB7"/>
    <w:rsid w:val="00696A0B"/>
    <w:rsid w:val="006A2C4A"/>
    <w:rsid w:val="006E43F3"/>
    <w:rsid w:val="007615AC"/>
    <w:rsid w:val="00793B25"/>
    <w:rsid w:val="007C2A37"/>
    <w:rsid w:val="00840BE7"/>
    <w:rsid w:val="008603E9"/>
    <w:rsid w:val="008C4B76"/>
    <w:rsid w:val="008E320D"/>
    <w:rsid w:val="00A13F16"/>
    <w:rsid w:val="00A506E6"/>
    <w:rsid w:val="00A64EB5"/>
    <w:rsid w:val="00B84983"/>
    <w:rsid w:val="00BA3B30"/>
    <w:rsid w:val="00C543B4"/>
    <w:rsid w:val="00C93E1E"/>
    <w:rsid w:val="00CD2A9B"/>
    <w:rsid w:val="00CF393F"/>
    <w:rsid w:val="00D85F0B"/>
    <w:rsid w:val="00DB4501"/>
    <w:rsid w:val="00DE185C"/>
    <w:rsid w:val="00E40FDE"/>
    <w:rsid w:val="00E42283"/>
    <w:rsid w:val="00E955A6"/>
    <w:rsid w:val="00E9751E"/>
    <w:rsid w:val="00FE512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A3EEA"/>
  <w15:docId w15:val="{A05007FE-A77B-4420-BE96-F775F6396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F7A1D"/>
  </w:style>
  <w:style w:type="paragraph" w:styleId="Heading1">
    <w:name w:val="heading 1"/>
    <w:basedOn w:val="Normal"/>
    <w:next w:val="Normal"/>
    <w:link w:val="Heading1Char"/>
    <w:uiPriority w:val="9"/>
    <w:qFormat/>
    <w:rsid w:val="00A13F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93F"/>
    <w:pPr>
      <w:spacing w:after="0" w:line="240" w:lineRule="auto"/>
      <w:ind w:left="720"/>
      <w:contextualSpacing/>
    </w:pPr>
    <w:rPr>
      <w:rFonts w:ascii="Calibri" w:eastAsiaTheme="minorEastAsia" w:hAnsi="Calibri" w:cs="Times New Roman"/>
      <w:lang w:val="fr-FR" w:eastAsia="ja-JP"/>
    </w:rPr>
  </w:style>
  <w:style w:type="paragraph" w:styleId="BalloonText">
    <w:name w:val="Balloon Text"/>
    <w:basedOn w:val="Normal"/>
    <w:link w:val="BalloonTextChar"/>
    <w:uiPriority w:val="99"/>
    <w:semiHidden/>
    <w:unhideWhenUsed/>
    <w:rsid w:val="00CF39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93F"/>
    <w:rPr>
      <w:rFonts w:ascii="Tahoma" w:hAnsi="Tahoma" w:cs="Tahoma"/>
      <w:sz w:val="16"/>
      <w:szCs w:val="16"/>
    </w:rPr>
  </w:style>
  <w:style w:type="paragraph" w:styleId="FootnoteText">
    <w:name w:val="footnote text"/>
    <w:basedOn w:val="Normal"/>
    <w:link w:val="FootnoteTextChar"/>
    <w:uiPriority w:val="99"/>
    <w:unhideWhenUsed/>
    <w:rsid w:val="00DB4501"/>
    <w:pPr>
      <w:spacing w:after="0" w:line="240" w:lineRule="auto"/>
    </w:pPr>
    <w:rPr>
      <w:rFonts w:ascii="Times New Roman" w:eastAsia="Times New Roman" w:hAnsi="Times New Roman" w:cs="Times New Roman"/>
      <w:sz w:val="20"/>
      <w:szCs w:val="20"/>
      <w:lang w:val="fr-FR" w:eastAsia="fr-FR"/>
    </w:rPr>
  </w:style>
  <w:style w:type="character" w:customStyle="1" w:styleId="FootnoteTextChar">
    <w:name w:val="Footnote Text Char"/>
    <w:basedOn w:val="DefaultParagraphFont"/>
    <w:link w:val="FootnoteText"/>
    <w:uiPriority w:val="99"/>
    <w:rsid w:val="00DB4501"/>
    <w:rPr>
      <w:rFonts w:ascii="Times New Roman" w:eastAsia="Times New Roman" w:hAnsi="Times New Roman" w:cs="Times New Roman"/>
      <w:sz w:val="20"/>
      <w:szCs w:val="20"/>
      <w:lang w:val="fr-FR" w:eastAsia="fr-FR"/>
    </w:rPr>
  </w:style>
  <w:style w:type="character" w:styleId="FootnoteReference">
    <w:name w:val="footnote reference"/>
    <w:uiPriority w:val="99"/>
    <w:semiHidden/>
    <w:unhideWhenUsed/>
    <w:rsid w:val="00DB4501"/>
    <w:rPr>
      <w:vertAlign w:val="superscript"/>
    </w:rPr>
  </w:style>
  <w:style w:type="paragraph" w:customStyle="1" w:styleId="Chapitre">
    <w:name w:val="Chapitre"/>
    <w:basedOn w:val="Heading1"/>
    <w:rsid w:val="00A13F16"/>
    <w:pPr>
      <w:pBdr>
        <w:bottom w:val="single" w:sz="4" w:space="14" w:color="3366FF"/>
      </w:pBdr>
      <w:tabs>
        <w:tab w:val="left" w:pos="567"/>
      </w:tabs>
      <w:snapToGrid w:val="0"/>
      <w:spacing w:before="240" w:after="480" w:line="840" w:lineRule="exact"/>
    </w:pPr>
    <w:rPr>
      <w:rFonts w:ascii="Arial" w:eastAsia="Times New Roman" w:hAnsi="Arial" w:cs="Arial"/>
      <w:caps/>
      <w:noProof/>
      <w:snapToGrid w:val="0"/>
      <w:color w:val="3366FF"/>
      <w:kern w:val="28"/>
      <w:sz w:val="70"/>
      <w:szCs w:val="70"/>
      <w:lang w:eastAsia="zh-CN"/>
    </w:rPr>
  </w:style>
  <w:style w:type="character" w:customStyle="1" w:styleId="Heading1Char">
    <w:name w:val="Heading 1 Char"/>
    <w:basedOn w:val="DefaultParagraphFont"/>
    <w:link w:val="Heading1"/>
    <w:uiPriority w:val="9"/>
    <w:rsid w:val="00A13F16"/>
    <w:rPr>
      <w:rFonts w:asciiTheme="majorHAnsi" w:eastAsiaTheme="majorEastAsia" w:hAnsiTheme="majorHAnsi" w:cstheme="majorBidi"/>
      <w:b/>
      <w:bCs/>
      <w:color w:val="365F91" w:themeColor="accent1" w:themeShade="BF"/>
      <w:sz w:val="28"/>
      <w:szCs w:val="28"/>
    </w:rPr>
  </w:style>
  <w:style w:type="paragraph" w:customStyle="1" w:styleId="HO1">
    <w:name w:val="HO1"/>
    <w:basedOn w:val="Normal"/>
    <w:link w:val="HO1Car"/>
    <w:rsid w:val="00E9751E"/>
    <w:pPr>
      <w:keepNext/>
      <w:keepLines/>
      <w:tabs>
        <w:tab w:val="left" w:pos="567"/>
      </w:tabs>
      <w:snapToGrid w:val="0"/>
      <w:spacing w:before="480" w:after="0" w:line="480" w:lineRule="exact"/>
      <w:outlineLvl w:val="0"/>
    </w:pPr>
    <w:rPr>
      <w:rFonts w:ascii="Arial" w:eastAsia="Times New Roman" w:hAnsi="Arial" w:cs="Arial"/>
      <w:b/>
      <w:bCs/>
      <w:noProof/>
      <w:snapToGrid w:val="0"/>
      <w:color w:val="3366FF"/>
      <w:kern w:val="28"/>
      <w:sz w:val="32"/>
      <w:szCs w:val="32"/>
      <w:lang w:val="en-US" w:eastAsia="zh-CN"/>
    </w:rPr>
  </w:style>
  <w:style w:type="character" w:customStyle="1" w:styleId="HO1Car">
    <w:name w:val="HO1 Car"/>
    <w:basedOn w:val="DefaultParagraphFont"/>
    <w:link w:val="HO1"/>
    <w:rsid w:val="00E9751E"/>
    <w:rPr>
      <w:rFonts w:ascii="Arial" w:eastAsia="Times New Roman" w:hAnsi="Arial" w:cs="Arial"/>
      <w:b/>
      <w:bCs/>
      <w:noProof/>
      <w:snapToGrid w:val="0"/>
      <w:color w:val="3366FF"/>
      <w:kern w:val="28"/>
      <w:sz w:val="32"/>
      <w:szCs w:val="32"/>
      <w:lang w:val="en-US" w:eastAsia="zh-CN"/>
    </w:rPr>
  </w:style>
  <w:style w:type="paragraph" w:styleId="Header">
    <w:name w:val="header"/>
    <w:basedOn w:val="Normal"/>
    <w:link w:val="HeaderChar"/>
    <w:uiPriority w:val="99"/>
    <w:unhideWhenUsed/>
    <w:rsid w:val="008E320D"/>
    <w:pPr>
      <w:tabs>
        <w:tab w:val="center" w:pos="4536"/>
        <w:tab w:val="right" w:pos="9072"/>
      </w:tabs>
      <w:spacing w:after="0" w:line="240" w:lineRule="auto"/>
    </w:pPr>
    <w:rPr>
      <w:rFonts w:ascii="Arial" w:hAnsi="Arial" w:cs="Arial"/>
      <w:sz w:val="16"/>
      <w:szCs w:val="16"/>
    </w:rPr>
  </w:style>
  <w:style w:type="character" w:customStyle="1" w:styleId="HeaderChar">
    <w:name w:val="Header Char"/>
    <w:basedOn w:val="DefaultParagraphFont"/>
    <w:link w:val="Header"/>
    <w:uiPriority w:val="99"/>
    <w:rsid w:val="008E320D"/>
    <w:rPr>
      <w:rFonts w:ascii="Arial" w:hAnsi="Arial" w:cs="Arial"/>
      <w:sz w:val="16"/>
      <w:szCs w:val="16"/>
    </w:rPr>
  </w:style>
  <w:style w:type="paragraph" w:styleId="Footer">
    <w:name w:val="footer"/>
    <w:basedOn w:val="Normal"/>
    <w:link w:val="FooterChar"/>
    <w:unhideWhenUsed/>
    <w:rsid w:val="008E320D"/>
    <w:pPr>
      <w:tabs>
        <w:tab w:val="center" w:pos="4536"/>
        <w:tab w:val="right" w:pos="9072"/>
      </w:tabs>
      <w:spacing w:after="0" w:line="240" w:lineRule="auto"/>
    </w:pPr>
  </w:style>
  <w:style w:type="character" w:customStyle="1" w:styleId="FooterChar">
    <w:name w:val="Footer Char"/>
    <w:basedOn w:val="DefaultParagraphFont"/>
    <w:link w:val="Footer"/>
    <w:rsid w:val="008E3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2773B-92D8-4AA5-8520-C575DD2BD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Jeb Blake</dc:creator>
  <cp:lastModifiedBy>Hopkins, Juliette</cp:lastModifiedBy>
  <cp:revision>17</cp:revision>
  <cp:lastPrinted>2019-09-07T06:18:00Z</cp:lastPrinted>
  <dcterms:created xsi:type="dcterms:W3CDTF">2020-01-03T10:22:00Z</dcterms:created>
  <dcterms:modified xsi:type="dcterms:W3CDTF">2020-02-17T16:57:00Z</dcterms:modified>
</cp:coreProperties>
</file>