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3212" w14:textId="77777777" w:rsidR="00401DF7" w:rsidRPr="00293C60" w:rsidRDefault="00401DF7" w:rsidP="00401DF7">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543FA884" w14:textId="77777777" w:rsidR="00401DF7" w:rsidRPr="00293C60" w:rsidRDefault="00401DF7" w:rsidP="00401DF7">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CABD2DD"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6C55AC7"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1C384CC0"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36E52E07" w14:textId="77777777" w:rsidR="00EC6F8D" w:rsidRPr="00293C60" w:rsidRDefault="00EC6F8D" w:rsidP="00EC6F8D">
      <w:pPr>
        <w:pStyle w:val="Sansinterligne2"/>
        <w:spacing w:before="1200"/>
        <w:jc w:val="center"/>
        <w:rPr>
          <w:rFonts w:ascii="Arial" w:hAnsi="Arial" w:cs="Arial"/>
          <w:b/>
          <w:sz w:val="22"/>
          <w:szCs w:val="22"/>
          <w:lang w:val="en-GB"/>
        </w:rPr>
      </w:pPr>
      <w:r w:rsidRPr="00E3718C">
        <w:rPr>
          <w:rFonts w:ascii="Arial" w:hAnsi="Arial" w:cs="Arial"/>
          <w:b/>
          <w:sz w:val="22"/>
          <w:szCs w:val="22"/>
          <w:u w:val="single"/>
          <w:lang w:val="en-GB"/>
        </w:rPr>
        <w:t xml:space="preserve">Item </w:t>
      </w:r>
      <w:r w:rsidR="00E3718C" w:rsidRPr="00E3718C">
        <w:rPr>
          <w:rFonts w:ascii="Arial" w:hAnsi="Arial" w:cs="Arial"/>
          <w:b/>
          <w:sz w:val="22"/>
          <w:szCs w:val="22"/>
          <w:u w:val="single"/>
          <w:lang w:val="en-GB"/>
        </w:rPr>
        <w:t>14</w:t>
      </w:r>
      <w:r w:rsidR="00651A5B" w:rsidRPr="00E3718C">
        <w:rPr>
          <w:rFonts w:ascii="Arial" w:hAnsi="Arial" w:cs="Arial"/>
          <w:b/>
          <w:sz w:val="22"/>
          <w:szCs w:val="22"/>
          <w:u w:val="single"/>
          <w:lang w:val="en-GB"/>
        </w:rPr>
        <w:t xml:space="preserve"> </w:t>
      </w:r>
      <w:r w:rsidRPr="00E3718C">
        <w:rPr>
          <w:rFonts w:ascii="Arial" w:hAnsi="Arial" w:cs="Arial"/>
          <w:b/>
          <w:sz w:val="22"/>
          <w:szCs w:val="22"/>
          <w:u w:val="single"/>
          <w:lang w:val="en-GB"/>
        </w:rPr>
        <w:t>of the</w:t>
      </w:r>
      <w:r w:rsidRPr="00293C60">
        <w:rPr>
          <w:rFonts w:ascii="Arial" w:hAnsi="Arial" w:cs="Arial"/>
          <w:b/>
          <w:sz w:val="22"/>
          <w:szCs w:val="22"/>
          <w:u w:val="single"/>
          <w:lang w:val="en-GB"/>
        </w:rPr>
        <w:t xml:space="preserve"> Provisional Agenda</w:t>
      </w:r>
      <w:r w:rsidRPr="00293C60">
        <w:rPr>
          <w:rFonts w:ascii="Arial" w:hAnsi="Arial" w:cs="Arial"/>
          <w:b/>
          <w:sz w:val="22"/>
          <w:szCs w:val="22"/>
          <w:lang w:val="en-GB"/>
        </w:rPr>
        <w:t>:</w:t>
      </w:r>
    </w:p>
    <w:p w14:paraId="112398F0" w14:textId="77777777" w:rsidR="004A2875" w:rsidRPr="00293C60" w:rsidRDefault="00E3718C" w:rsidP="004A2875">
      <w:pPr>
        <w:pStyle w:val="Sansinterligne2"/>
        <w:spacing w:after="960"/>
        <w:jc w:val="center"/>
        <w:rPr>
          <w:rFonts w:ascii="Arial" w:hAnsi="Arial" w:cs="Arial"/>
          <w:b/>
          <w:sz w:val="22"/>
          <w:szCs w:val="22"/>
          <w:lang w:val="en-GB"/>
        </w:rPr>
      </w:pPr>
      <w:r w:rsidRPr="00E3718C">
        <w:rPr>
          <w:rFonts w:ascii="Arial" w:hAnsi="Arial" w:cs="Arial"/>
          <w:b/>
          <w:sz w:val="22"/>
          <w:szCs w:val="22"/>
          <w:lang w:val="en-GB"/>
        </w:rPr>
        <w:t>Reflection on the listing mechanisms of the Convention</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tblGrid>
      <w:tr w:rsidR="00EC6F8D" w:rsidRPr="00D80C30" w14:paraId="631B702F" w14:textId="77777777" w:rsidTr="00072359">
        <w:trPr>
          <w:jc w:val="center"/>
        </w:trPr>
        <w:tc>
          <w:tcPr>
            <w:tcW w:w="5949" w:type="dxa"/>
            <w:vAlign w:val="center"/>
          </w:tcPr>
          <w:p w14:paraId="1DAEF33A" w14:textId="779914F1" w:rsidR="00EC6F8D"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FFB2D50" w14:textId="5B282BAA" w:rsidR="00D80C30" w:rsidRPr="00513035" w:rsidRDefault="00C03514" w:rsidP="00D80C30">
            <w:pPr>
              <w:pStyle w:val="Sansinterligne1"/>
              <w:spacing w:before="200" w:after="200"/>
              <w:jc w:val="both"/>
              <w:rPr>
                <w:rFonts w:ascii="Arial" w:hAnsi="Arial" w:cs="Arial"/>
                <w:sz w:val="22"/>
                <w:szCs w:val="22"/>
                <w:lang w:val="en-GB"/>
              </w:rPr>
            </w:pPr>
            <w:r>
              <w:rPr>
                <w:rFonts w:ascii="Arial" w:hAnsi="Arial" w:cs="Arial"/>
                <w:sz w:val="22"/>
                <w:szCs w:val="22"/>
                <w:lang w:val="en-GB"/>
              </w:rPr>
              <w:t>At its thirteenth session in 2018, t</w:t>
            </w:r>
            <w:r w:rsidRPr="00513035">
              <w:rPr>
                <w:rFonts w:ascii="Arial" w:hAnsi="Arial" w:cs="Arial"/>
                <w:sz w:val="22"/>
                <w:szCs w:val="22"/>
                <w:lang w:val="en-GB"/>
              </w:rPr>
              <w:t xml:space="preserve">he </w:t>
            </w:r>
            <w:r w:rsidR="00D80C30" w:rsidRPr="00513035">
              <w:rPr>
                <w:rFonts w:ascii="Arial" w:hAnsi="Arial" w:cs="Arial"/>
                <w:sz w:val="22"/>
                <w:szCs w:val="22"/>
                <w:lang w:val="en-GB"/>
              </w:rPr>
              <w:t>Intergovernmental Committee</w:t>
            </w:r>
            <w:r>
              <w:rPr>
                <w:rFonts w:ascii="Arial" w:hAnsi="Arial" w:cs="Arial"/>
                <w:sz w:val="22"/>
                <w:szCs w:val="22"/>
                <w:lang w:val="en-GB"/>
              </w:rPr>
              <w:t xml:space="preserve"> </w:t>
            </w:r>
            <w:r w:rsidR="0050097A" w:rsidRPr="00513035">
              <w:rPr>
                <w:rFonts w:ascii="Arial" w:hAnsi="Arial" w:cs="Arial"/>
                <w:sz w:val="22"/>
                <w:szCs w:val="22"/>
                <w:lang w:val="en-GB"/>
              </w:rPr>
              <w:t xml:space="preserve">launched </w:t>
            </w:r>
            <w:r>
              <w:rPr>
                <w:rFonts w:ascii="Arial" w:hAnsi="Arial" w:cs="Arial"/>
                <w:sz w:val="22"/>
                <w:szCs w:val="22"/>
                <w:lang w:val="en-GB"/>
              </w:rPr>
              <w:t>a</w:t>
            </w:r>
            <w:r w:rsidR="0050097A" w:rsidRPr="00513035">
              <w:rPr>
                <w:rFonts w:ascii="Arial" w:hAnsi="Arial" w:cs="Arial"/>
                <w:sz w:val="22"/>
                <w:szCs w:val="22"/>
                <w:lang w:val="en-GB"/>
              </w:rPr>
              <w:t xml:space="preserve"> global reflection on the listing mechanisms of the 2003 Convention</w:t>
            </w:r>
            <w:r w:rsidR="00D80C30" w:rsidRPr="00513035">
              <w:rPr>
                <w:rFonts w:ascii="Arial" w:hAnsi="Arial" w:cs="Arial"/>
                <w:sz w:val="22"/>
                <w:szCs w:val="22"/>
                <w:lang w:val="en-GB"/>
              </w:rPr>
              <w:t xml:space="preserve">, </w:t>
            </w:r>
            <w:r w:rsidR="0050097A" w:rsidRPr="00513035">
              <w:rPr>
                <w:rFonts w:ascii="Arial" w:hAnsi="Arial" w:cs="Arial"/>
                <w:sz w:val="22"/>
                <w:szCs w:val="22"/>
                <w:lang w:val="en-GB"/>
              </w:rPr>
              <w:t xml:space="preserve">with support </w:t>
            </w:r>
            <w:r w:rsidR="00D80C30" w:rsidRPr="00513035">
              <w:rPr>
                <w:rFonts w:ascii="Arial" w:hAnsi="Arial" w:cs="Arial"/>
                <w:sz w:val="22"/>
                <w:szCs w:val="22"/>
                <w:lang w:val="en-GB"/>
              </w:rPr>
              <w:t xml:space="preserve">from the Government of Japan (Decisions </w:t>
            </w:r>
            <w:hyperlink r:id="rId8" w:history="1">
              <w:r w:rsidR="00D80C30" w:rsidRPr="0096272B">
                <w:rPr>
                  <w:rStyle w:val="Lienhypertexte"/>
                  <w:rFonts w:ascii="Arial" w:hAnsi="Arial" w:cs="Arial"/>
                  <w:sz w:val="22"/>
                  <w:szCs w:val="22"/>
                  <w:lang w:val="en-US"/>
                </w:rPr>
                <w:t>13.COM</w:t>
              </w:r>
              <w:r w:rsidR="000601DB">
                <w:rPr>
                  <w:rStyle w:val="Lienhypertexte"/>
                  <w:rFonts w:ascii="Arial" w:hAnsi="Arial" w:cs="Arial"/>
                  <w:sz w:val="22"/>
                  <w:szCs w:val="22"/>
                  <w:lang w:val="en-US"/>
                </w:rPr>
                <w:t> </w:t>
              </w:r>
              <w:r w:rsidR="00D80C30" w:rsidRPr="0096272B">
                <w:rPr>
                  <w:rStyle w:val="Lienhypertexte"/>
                  <w:rFonts w:ascii="Arial" w:hAnsi="Arial" w:cs="Arial"/>
                  <w:sz w:val="22"/>
                  <w:szCs w:val="22"/>
                  <w:lang w:val="en-US"/>
                </w:rPr>
                <w:t>6</w:t>
              </w:r>
            </w:hyperlink>
            <w:r w:rsidR="00D80C30" w:rsidRPr="00513035">
              <w:rPr>
                <w:rFonts w:ascii="Arial" w:hAnsi="Arial" w:cs="Arial"/>
                <w:sz w:val="22"/>
                <w:szCs w:val="22"/>
                <w:lang w:val="en-GB"/>
              </w:rPr>
              <w:t xml:space="preserve"> and</w:t>
            </w:r>
            <w:r w:rsidR="0015101C" w:rsidRPr="00513035">
              <w:rPr>
                <w:rFonts w:ascii="Arial" w:hAnsi="Arial" w:cs="Arial"/>
                <w:sz w:val="22"/>
                <w:szCs w:val="22"/>
                <w:lang w:val="en-GB"/>
              </w:rPr>
              <w:t xml:space="preserve"> </w:t>
            </w:r>
            <w:hyperlink r:id="rId9" w:history="1">
              <w:r w:rsidR="00D80C30" w:rsidRPr="0096272B">
                <w:rPr>
                  <w:rStyle w:val="Lienhypertexte"/>
                  <w:rFonts w:ascii="Arial" w:hAnsi="Arial" w:cs="Arial"/>
                  <w:sz w:val="22"/>
                  <w:szCs w:val="22"/>
                  <w:lang w:val="en-US"/>
                </w:rPr>
                <w:t>13.COM</w:t>
              </w:r>
              <w:r w:rsidR="0015101C" w:rsidRPr="0096272B">
                <w:rPr>
                  <w:rStyle w:val="Lienhypertexte"/>
                  <w:rFonts w:ascii="Arial" w:hAnsi="Arial" w:cs="Arial"/>
                  <w:sz w:val="22"/>
                  <w:szCs w:val="22"/>
                  <w:lang w:val="en-US"/>
                </w:rPr>
                <w:t> </w:t>
              </w:r>
              <w:r w:rsidR="00D80C30" w:rsidRPr="0096272B">
                <w:rPr>
                  <w:rStyle w:val="Lienhypertexte"/>
                  <w:rFonts w:ascii="Arial" w:hAnsi="Arial" w:cs="Arial"/>
                  <w:sz w:val="22"/>
                  <w:szCs w:val="22"/>
                  <w:lang w:val="en-US"/>
                </w:rPr>
                <w:t>10</w:t>
              </w:r>
            </w:hyperlink>
            <w:r w:rsidR="00D80C30" w:rsidRPr="00513035">
              <w:rPr>
                <w:rFonts w:ascii="Arial" w:hAnsi="Arial" w:cs="Arial"/>
                <w:sz w:val="22"/>
                <w:szCs w:val="22"/>
                <w:lang w:val="en-GB"/>
              </w:rPr>
              <w:t>).</w:t>
            </w:r>
          </w:p>
          <w:p w14:paraId="65B08BFA" w14:textId="62C9ECF5" w:rsidR="00D80C30" w:rsidRPr="00513035" w:rsidRDefault="00D80C30" w:rsidP="00D80C30">
            <w:pPr>
              <w:pStyle w:val="Sansinterligne1"/>
              <w:spacing w:before="200" w:after="200"/>
              <w:jc w:val="both"/>
              <w:rPr>
                <w:rFonts w:ascii="Arial" w:hAnsi="Arial" w:cs="Arial"/>
                <w:sz w:val="22"/>
                <w:szCs w:val="22"/>
                <w:lang w:val="en-GB"/>
              </w:rPr>
            </w:pPr>
            <w:r w:rsidRPr="00513035">
              <w:rPr>
                <w:rFonts w:ascii="Arial" w:hAnsi="Arial" w:cs="Arial"/>
                <w:sz w:val="22"/>
                <w:szCs w:val="22"/>
                <w:lang w:val="en-GB"/>
              </w:rPr>
              <w:t xml:space="preserve">This document summarises the issues and challenges encountered by the Committee and its evaluation bodies </w:t>
            </w:r>
            <w:r w:rsidR="00A37B92">
              <w:rPr>
                <w:rFonts w:ascii="Arial" w:hAnsi="Arial" w:cs="Arial"/>
                <w:sz w:val="22"/>
                <w:szCs w:val="22"/>
                <w:lang w:val="en-GB"/>
              </w:rPr>
              <w:t xml:space="preserve">through the implementation of the Convention so far </w:t>
            </w:r>
            <w:r w:rsidR="00C03514">
              <w:rPr>
                <w:rFonts w:ascii="Arial" w:hAnsi="Arial" w:cs="Arial"/>
                <w:sz w:val="22"/>
                <w:szCs w:val="22"/>
                <w:lang w:val="en-GB"/>
              </w:rPr>
              <w:t>in relation</w:t>
            </w:r>
            <w:r w:rsidR="00C03514" w:rsidRPr="00513035">
              <w:rPr>
                <w:rFonts w:ascii="Arial" w:hAnsi="Arial" w:cs="Arial"/>
                <w:sz w:val="22"/>
                <w:szCs w:val="22"/>
                <w:lang w:val="en-GB"/>
              </w:rPr>
              <w:t xml:space="preserve"> </w:t>
            </w:r>
            <w:r w:rsidRPr="00513035">
              <w:rPr>
                <w:rFonts w:ascii="Arial" w:hAnsi="Arial" w:cs="Arial"/>
                <w:sz w:val="22"/>
                <w:szCs w:val="22"/>
                <w:lang w:val="en-GB"/>
              </w:rPr>
              <w:t xml:space="preserve">to the listing mechanisms and proposes </w:t>
            </w:r>
            <w:r w:rsidR="00C03514">
              <w:rPr>
                <w:rFonts w:ascii="Arial" w:hAnsi="Arial" w:cs="Arial"/>
                <w:sz w:val="22"/>
                <w:szCs w:val="22"/>
                <w:lang w:val="en-GB"/>
              </w:rPr>
              <w:t>a</w:t>
            </w:r>
            <w:r w:rsidR="00C03514" w:rsidRPr="00513035">
              <w:rPr>
                <w:rFonts w:ascii="Arial" w:hAnsi="Arial" w:cs="Arial"/>
                <w:sz w:val="22"/>
                <w:szCs w:val="22"/>
                <w:lang w:val="en-GB"/>
              </w:rPr>
              <w:t xml:space="preserve"> </w:t>
            </w:r>
            <w:r w:rsidRPr="00513035">
              <w:rPr>
                <w:rFonts w:ascii="Arial" w:hAnsi="Arial" w:cs="Arial"/>
                <w:sz w:val="22"/>
                <w:szCs w:val="22"/>
                <w:lang w:val="en-GB"/>
              </w:rPr>
              <w:t>way forward</w:t>
            </w:r>
            <w:r w:rsidR="001956CF" w:rsidRPr="00513035">
              <w:rPr>
                <w:rFonts w:ascii="Arial" w:hAnsi="Arial" w:cs="Arial"/>
                <w:sz w:val="22"/>
                <w:szCs w:val="22"/>
                <w:lang w:val="en-GB"/>
              </w:rPr>
              <w:t xml:space="preserve"> for the reflection</w:t>
            </w:r>
            <w:r w:rsidRPr="00513035">
              <w:rPr>
                <w:rFonts w:ascii="Arial" w:hAnsi="Arial" w:cs="Arial"/>
                <w:sz w:val="22"/>
                <w:szCs w:val="22"/>
                <w:lang w:val="en-GB"/>
              </w:rPr>
              <w:t>.</w:t>
            </w:r>
          </w:p>
          <w:p w14:paraId="5BB5A8D9" w14:textId="542DE1D3" w:rsidR="00EC6F8D" w:rsidRPr="00293C60" w:rsidRDefault="00EC6F8D" w:rsidP="00D80C30">
            <w:pPr>
              <w:pStyle w:val="Sansinterligne1"/>
              <w:spacing w:before="200" w:after="200"/>
              <w:jc w:val="both"/>
              <w:rPr>
                <w:rFonts w:ascii="Arial" w:hAnsi="Arial" w:cs="Arial"/>
                <w:b/>
                <w:sz w:val="22"/>
                <w:szCs w:val="22"/>
                <w:lang w:val="en-GB"/>
              </w:rPr>
            </w:pPr>
            <w:r w:rsidRPr="00513035">
              <w:rPr>
                <w:rFonts w:ascii="Arial" w:hAnsi="Arial" w:cs="Arial"/>
                <w:b/>
                <w:sz w:val="22"/>
                <w:szCs w:val="22"/>
                <w:lang w:val="en-GB"/>
              </w:rPr>
              <w:t xml:space="preserve">Decision required: </w:t>
            </w:r>
            <w:r w:rsidRPr="00513035">
              <w:rPr>
                <w:rFonts w:ascii="Arial" w:hAnsi="Arial" w:cs="Arial"/>
                <w:bCs/>
                <w:sz w:val="22"/>
                <w:szCs w:val="22"/>
                <w:lang w:val="en-GB"/>
              </w:rPr>
              <w:t xml:space="preserve">paragraph </w:t>
            </w:r>
            <w:r w:rsidR="00D80C30" w:rsidRPr="00513035">
              <w:rPr>
                <w:rFonts w:ascii="Arial" w:hAnsi="Arial" w:cs="Arial"/>
                <w:bCs/>
                <w:sz w:val="22"/>
                <w:szCs w:val="22"/>
                <w:lang w:val="en-GB"/>
              </w:rPr>
              <w:t>3</w:t>
            </w:r>
            <w:r w:rsidR="000E7362">
              <w:rPr>
                <w:rFonts w:ascii="Arial" w:hAnsi="Arial" w:cs="Arial"/>
                <w:bCs/>
                <w:sz w:val="22"/>
                <w:szCs w:val="22"/>
                <w:lang w:val="en-GB"/>
              </w:rPr>
              <w:t>6</w:t>
            </w:r>
          </w:p>
        </w:tc>
      </w:tr>
    </w:tbl>
    <w:p w14:paraId="2EABB5BC" w14:textId="77777777" w:rsidR="004A2875" w:rsidRPr="009B4638" w:rsidRDefault="00655736" w:rsidP="008F5FE8">
      <w:pPr>
        <w:pStyle w:val="Paragraphedeliste"/>
        <w:keepLines/>
        <w:numPr>
          <w:ilvl w:val="0"/>
          <w:numId w:val="5"/>
        </w:numPr>
        <w:spacing w:after="240"/>
        <w:ind w:left="567" w:hanging="567"/>
        <w:contextualSpacing w:val="0"/>
        <w:rPr>
          <w:rFonts w:ascii="Arial" w:hAnsi="Arial" w:cs="Arial"/>
          <w:b/>
          <w:snapToGrid w:val="0"/>
          <w:sz w:val="22"/>
          <w:szCs w:val="22"/>
          <w:lang w:val="en-GB" w:eastAsia="en-US"/>
        </w:rPr>
      </w:pPr>
      <w:r w:rsidRPr="00E3718C">
        <w:rPr>
          <w:lang w:val="en-GB"/>
        </w:rPr>
        <w:br w:type="page"/>
      </w:r>
    </w:p>
    <w:p w14:paraId="2A30F07B" w14:textId="005C5A1C" w:rsidR="007C5042" w:rsidRPr="007C5042" w:rsidRDefault="007E1BF0" w:rsidP="004A7593">
      <w:pPr>
        <w:pStyle w:val="Titre4"/>
        <w:spacing w:before="240"/>
        <w:ind w:hanging="578"/>
      </w:pPr>
      <w:r>
        <w:lastRenderedPageBreak/>
        <w:t>Introduction</w:t>
      </w:r>
    </w:p>
    <w:p w14:paraId="1F36F5BC" w14:textId="603B40D1" w:rsidR="00704EF9" w:rsidRPr="00D70A16" w:rsidRDefault="00704EF9" w:rsidP="004A190D">
      <w:pPr>
        <w:pStyle w:val="COMPara"/>
        <w:ind w:left="567" w:hanging="567"/>
        <w:jc w:val="both"/>
        <w:rPr>
          <w:bCs/>
        </w:rPr>
      </w:pPr>
      <w:r>
        <w:t>The listing mechanisms under the 2003 Convention became truly operational ten years ago, in 2009</w:t>
      </w:r>
      <w:r>
        <w:rPr>
          <w:rStyle w:val="Appelnotedebasdep"/>
        </w:rPr>
        <w:footnoteReference w:id="1"/>
      </w:r>
      <w:r>
        <w:t xml:space="preserve">, with the first set of inscriptions on the </w:t>
      </w:r>
      <w:r w:rsidR="00A2282A">
        <w:t>Representative List of the Intangible Cultural Heritage of Humanity, the List of Intangible Cultural Heritage in Need of Urgent Safeguarding, and t</w:t>
      </w:r>
      <w:r w:rsidR="00A2282A" w:rsidRPr="00A2282A">
        <w:t>he Register of programmes, projects and activities that best reflect the principles and objectives of the Convention</w:t>
      </w:r>
      <w:r>
        <w:t>. After a decade of implementation, a high number of wide-ranging, complex and inter-related issues</w:t>
      </w:r>
      <w:r w:rsidR="00CE678D">
        <w:t xml:space="preserve">, both positive and negative, have been </w:t>
      </w:r>
      <w:r>
        <w:t>identified by various stakeholders</w:t>
      </w:r>
      <w:r w:rsidR="00CE678D">
        <w:t xml:space="preserve"> in relation to these mechanisms.</w:t>
      </w:r>
    </w:p>
    <w:p w14:paraId="3C89899C" w14:textId="14181D2D" w:rsidR="002D3367" w:rsidRPr="003F230A" w:rsidRDefault="00CE47AA">
      <w:pPr>
        <w:pStyle w:val="COMPara"/>
        <w:ind w:left="567" w:hanging="567"/>
        <w:jc w:val="both"/>
        <w:rPr>
          <w:bCs/>
        </w:rPr>
      </w:pPr>
      <w:r w:rsidRPr="004A7593">
        <w:t xml:space="preserve">The </w:t>
      </w:r>
      <w:r w:rsidR="003A1F3F" w:rsidRPr="004A7593">
        <w:t>n</w:t>
      </w:r>
      <w:r w:rsidR="003A1F3F">
        <w:t xml:space="preserve">eed </w:t>
      </w:r>
      <w:r w:rsidRPr="004A7593">
        <w:t>f</w:t>
      </w:r>
      <w:r w:rsidR="00B92B1E">
        <w:t xml:space="preserve">or an overall reflection on </w:t>
      </w:r>
      <w:r w:rsidRPr="004A7593">
        <w:t xml:space="preserve">the intent and purpose of </w:t>
      </w:r>
      <w:r w:rsidR="003A1F3F">
        <w:t xml:space="preserve">the </w:t>
      </w:r>
      <w:r w:rsidRPr="004A7593">
        <w:t xml:space="preserve">listing mechanisms </w:t>
      </w:r>
      <w:r>
        <w:t xml:space="preserve">was clearly expressed by the Committee </w:t>
      </w:r>
      <w:r w:rsidR="00067F46">
        <w:t xml:space="preserve">for </w:t>
      </w:r>
      <w:r>
        <w:t>the first time in 2017,</w:t>
      </w:r>
      <w:r w:rsidRPr="004A7593">
        <w:t xml:space="preserve"> </w:t>
      </w:r>
      <w:r>
        <w:t xml:space="preserve">when </w:t>
      </w:r>
      <w:r w:rsidR="003A1F3F">
        <w:t>it</w:t>
      </w:r>
      <w:r w:rsidRPr="004A7593">
        <w:t xml:space="preserve"> examined a request</w:t>
      </w:r>
      <w:r>
        <w:t>,</w:t>
      </w:r>
      <w:r w:rsidRPr="004A7593">
        <w:t xml:space="preserve"> submitted by Viet Nam</w:t>
      </w:r>
      <w:r>
        <w:t xml:space="preserve">, </w:t>
      </w:r>
      <w:r w:rsidRPr="004A7593">
        <w:t>to transfer an element from the Urgent Safeguarding List to the Representative List</w:t>
      </w:r>
      <w:r>
        <w:t xml:space="preserve"> (</w:t>
      </w:r>
      <w:hyperlink r:id="rId10" w:history="1">
        <w:r w:rsidRPr="00CE47AA">
          <w:rPr>
            <w:rStyle w:val="Lienhypertexte"/>
          </w:rPr>
          <w:t xml:space="preserve">Decision </w:t>
        </w:r>
        <w:r w:rsidRPr="00C347ED">
          <w:rPr>
            <w:rStyle w:val="Lienhypertexte"/>
            <w:lang w:val="en-US"/>
          </w:rPr>
          <w:t>12.COM 14</w:t>
        </w:r>
      </w:hyperlink>
      <w:r w:rsidRPr="00C347ED">
        <w:rPr>
          <w:lang w:val="en-US"/>
        </w:rPr>
        <w:t xml:space="preserve">). </w:t>
      </w:r>
      <w:r w:rsidR="009E1288">
        <w:t>On</w:t>
      </w:r>
      <w:r w:rsidR="00D458C5">
        <w:t xml:space="preserve"> that occasion</w:t>
      </w:r>
      <w:r w:rsidR="009E1288">
        <w:t>,</w:t>
      </w:r>
      <w:r w:rsidR="00D458C5">
        <w:t xml:space="preserve"> </w:t>
      </w:r>
      <w:r w:rsidR="009E1288">
        <w:t>t</w:t>
      </w:r>
      <w:r w:rsidR="009E1288" w:rsidRPr="00B92B1E">
        <w:t xml:space="preserve">he Committee </w:t>
      </w:r>
      <w:r w:rsidR="00B92B1E" w:rsidRPr="00B92B1E">
        <w:t>decided to convene an open-ended intergovernmental working group</w:t>
      </w:r>
      <w:r w:rsidR="009E1288">
        <w:t xml:space="preserve"> </w:t>
      </w:r>
      <w:r w:rsidR="00B92B1E" w:rsidRPr="00B92B1E">
        <w:t>to reflect on the procedures for the removal of an element from a List and the transfer from one List to the other, on the nature and purposes of the Lists and the Register established under the Convention and on the relevance of the various criteria for each of these mechanism</w:t>
      </w:r>
      <w:r w:rsidR="00D66975">
        <w:t>s, amongst others</w:t>
      </w:r>
      <w:r w:rsidR="00B92B1E">
        <w:t>.</w:t>
      </w:r>
      <w:r w:rsidR="00EF1331">
        <w:t xml:space="preserve"> </w:t>
      </w:r>
      <w:r w:rsidR="009E1288">
        <w:t>Funding for this reflection</w:t>
      </w:r>
      <w:r w:rsidR="00EF1331">
        <w:t xml:space="preserve"> came through </w:t>
      </w:r>
      <w:r w:rsidR="009E1288">
        <w:t>at</w:t>
      </w:r>
      <w:r w:rsidR="008A4C8B">
        <w:t xml:space="preserve"> </w:t>
      </w:r>
      <w:r w:rsidR="00EF1331">
        <w:t xml:space="preserve">the </w:t>
      </w:r>
      <w:r w:rsidR="00D21C98">
        <w:t>thirteenth sessio</w:t>
      </w:r>
      <w:r w:rsidR="00EF1331">
        <w:t>n of</w:t>
      </w:r>
      <w:r w:rsidR="00D21C98">
        <w:t xml:space="preserve"> </w:t>
      </w:r>
      <w:r w:rsidR="004B4541">
        <w:t>t</w:t>
      </w:r>
      <w:r w:rsidR="00447CB0" w:rsidRPr="00EA5FAF">
        <w:t xml:space="preserve">he </w:t>
      </w:r>
      <w:r w:rsidR="002D3367">
        <w:t>Committee</w:t>
      </w:r>
      <w:r w:rsidR="00196ECD">
        <w:t xml:space="preserve"> </w:t>
      </w:r>
      <w:r w:rsidR="00EF1331">
        <w:t xml:space="preserve">in 2018 </w:t>
      </w:r>
      <w:r w:rsidR="00D66975">
        <w:t xml:space="preserve">which </w:t>
      </w:r>
      <w:r w:rsidR="00067F46" w:rsidRPr="003F230A">
        <w:rPr>
          <w:lang w:val="en-US"/>
        </w:rPr>
        <w:t xml:space="preserve">accepted a voluntary supplementary contribution from the Government of Japan to the Intangible Cultural Heritage Fund to support </w:t>
      </w:r>
      <w:r w:rsidR="004B4541" w:rsidRPr="003F230A">
        <w:rPr>
          <w:lang w:val="en-US"/>
        </w:rPr>
        <w:t>a</w:t>
      </w:r>
      <w:r w:rsidR="00AC5F5D" w:rsidRPr="003F230A">
        <w:rPr>
          <w:lang w:val="en-US"/>
        </w:rPr>
        <w:t xml:space="preserve"> global reflection</w:t>
      </w:r>
      <w:r w:rsidR="007A0AD3" w:rsidRPr="003F230A">
        <w:rPr>
          <w:lang w:val="en-US"/>
        </w:rPr>
        <w:t xml:space="preserve"> </w:t>
      </w:r>
      <w:r w:rsidR="00AC5F5D" w:rsidRPr="003F230A">
        <w:rPr>
          <w:lang w:val="en-US"/>
        </w:rPr>
        <w:t>on the listing mechanisms of the 2003 Convention</w:t>
      </w:r>
      <w:r w:rsidR="00D010B6" w:rsidRPr="003F230A">
        <w:rPr>
          <w:lang w:val="en-US"/>
        </w:rPr>
        <w:t xml:space="preserve"> </w:t>
      </w:r>
      <w:r w:rsidR="00067F46" w:rsidRPr="003F230A">
        <w:rPr>
          <w:lang w:val="en-US"/>
        </w:rPr>
        <w:t xml:space="preserve">(Decisions </w:t>
      </w:r>
      <w:hyperlink r:id="rId11" w:history="1">
        <w:r w:rsidR="00067F46" w:rsidRPr="003F230A">
          <w:rPr>
            <w:rStyle w:val="Lienhypertexte"/>
            <w:lang w:val="en-US"/>
          </w:rPr>
          <w:t>13.COM 6</w:t>
        </w:r>
      </w:hyperlink>
      <w:r w:rsidR="00067F46" w:rsidRPr="003F230A">
        <w:rPr>
          <w:lang w:val="en-US"/>
        </w:rPr>
        <w:t xml:space="preserve"> and </w:t>
      </w:r>
      <w:hyperlink r:id="rId12" w:history="1">
        <w:r w:rsidR="00067F46" w:rsidRPr="003F230A">
          <w:rPr>
            <w:rStyle w:val="Lienhypertexte"/>
            <w:lang w:val="en-US"/>
          </w:rPr>
          <w:t>13.COM 10</w:t>
        </w:r>
      </w:hyperlink>
      <w:r w:rsidR="00067F46" w:rsidRPr="003F230A">
        <w:rPr>
          <w:rStyle w:val="Lienhypertexte"/>
          <w:color w:val="auto"/>
          <w:u w:val="none"/>
          <w:lang w:val="en-US"/>
        </w:rPr>
        <w:t>)</w:t>
      </w:r>
      <w:r w:rsidR="00067F46" w:rsidRPr="003F230A">
        <w:rPr>
          <w:lang w:val="en-US"/>
        </w:rPr>
        <w:t>.</w:t>
      </w:r>
    </w:p>
    <w:p w14:paraId="29987FAD" w14:textId="7C2409CE" w:rsidR="00BD5F05" w:rsidRDefault="00D84252" w:rsidP="002D3367">
      <w:pPr>
        <w:pStyle w:val="COMPara"/>
        <w:ind w:left="567" w:hanging="567"/>
        <w:jc w:val="both"/>
      </w:pPr>
      <w:r>
        <w:t xml:space="preserve">The overall aim of the initiative is to reflect, </w:t>
      </w:r>
      <w:r w:rsidRPr="004A7593">
        <w:rPr>
          <w:i/>
        </w:rPr>
        <w:t>inter alia</w:t>
      </w:r>
      <w:r>
        <w:t xml:space="preserve">, </w:t>
      </w:r>
      <w:r w:rsidR="00AF6925">
        <w:t xml:space="preserve">on </w:t>
      </w:r>
      <w:r>
        <w:t xml:space="preserve">the nature and purposes of the Lists and the Register </w:t>
      </w:r>
      <w:r w:rsidR="004A5FCD">
        <w:t xml:space="preserve">of the Convention </w:t>
      </w:r>
      <w:r w:rsidR="004A7593">
        <w:t xml:space="preserve">as well as </w:t>
      </w:r>
      <w:r>
        <w:t>on the relevance of the various criteria for each of these mechanisms</w:t>
      </w:r>
      <w:r w:rsidR="004A7593">
        <w:t xml:space="preserve">. </w:t>
      </w:r>
      <w:r w:rsidR="000266B0">
        <w:t>The r</w:t>
      </w:r>
      <w:r w:rsidR="00907339">
        <w:t xml:space="preserve">eview of </w:t>
      </w:r>
      <w:r w:rsidR="004A7593">
        <w:t xml:space="preserve">the </w:t>
      </w:r>
      <w:r w:rsidR="00AF6925">
        <w:rPr>
          <w:lang w:val="en-US"/>
        </w:rPr>
        <w:t xml:space="preserve">methodology for the evaluation and examination of </w:t>
      </w:r>
      <w:r w:rsidR="004A5FCD">
        <w:rPr>
          <w:lang w:val="en-US"/>
        </w:rPr>
        <w:t>nominations</w:t>
      </w:r>
      <w:r w:rsidR="00AF6925">
        <w:rPr>
          <w:lang w:val="en-US"/>
        </w:rPr>
        <w:t xml:space="preserve"> </w:t>
      </w:r>
      <w:r w:rsidR="00907339">
        <w:rPr>
          <w:lang w:val="en-US"/>
        </w:rPr>
        <w:t xml:space="preserve">also </w:t>
      </w:r>
      <w:r w:rsidR="00AF6925">
        <w:rPr>
          <w:lang w:val="en-US"/>
        </w:rPr>
        <w:t>form</w:t>
      </w:r>
      <w:r w:rsidR="000266B0">
        <w:rPr>
          <w:lang w:val="en-US"/>
        </w:rPr>
        <w:t>s</w:t>
      </w:r>
      <w:r w:rsidR="00AF6925">
        <w:rPr>
          <w:lang w:val="en-US"/>
        </w:rPr>
        <w:t xml:space="preserve"> an important part of the reflection.</w:t>
      </w:r>
      <w:r>
        <w:t xml:space="preserve"> </w:t>
      </w:r>
      <w:r w:rsidR="00401519">
        <w:t>The</w:t>
      </w:r>
      <w:r w:rsidR="004A5FCD">
        <w:t xml:space="preserve"> </w:t>
      </w:r>
      <w:r w:rsidR="00401519">
        <w:t xml:space="preserve">process </w:t>
      </w:r>
      <w:r w:rsidR="00BD5F05">
        <w:t xml:space="preserve">will </w:t>
      </w:r>
      <w:r w:rsidR="00A2282A">
        <w:t>consist of</w:t>
      </w:r>
      <w:r w:rsidR="00BD5F05">
        <w:t xml:space="preserve"> a meeting of experts </w:t>
      </w:r>
      <w:r w:rsidR="00A2282A">
        <w:t xml:space="preserve">to be held </w:t>
      </w:r>
      <w:r w:rsidR="0005400D">
        <w:t xml:space="preserve">during the first semester of 2020 </w:t>
      </w:r>
      <w:r w:rsidR="00BD5F05">
        <w:t>and</w:t>
      </w:r>
      <w:r>
        <w:t xml:space="preserve"> </w:t>
      </w:r>
      <w:r w:rsidR="00AF6925">
        <w:t xml:space="preserve">another meeting </w:t>
      </w:r>
      <w:r>
        <w:t xml:space="preserve">of </w:t>
      </w:r>
      <w:r w:rsidR="000D4485">
        <w:t xml:space="preserve">the </w:t>
      </w:r>
      <w:r w:rsidR="00BD5F05">
        <w:t>open-ended intergovernmental working group</w:t>
      </w:r>
      <w:r>
        <w:t xml:space="preserve"> in 2021; in addition</w:t>
      </w:r>
      <w:r w:rsidR="00AF6925">
        <w:t xml:space="preserve">, </w:t>
      </w:r>
      <w:r w:rsidR="00A732AF">
        <w:t xml:space="preserve">the </w:t>
      </w:r>
      <w:r w:rsidR="00AF6925">
        <w:t>sessions of the</w:t>
      </w:r>
      <w:r w:rsidR="004A5FCD">
        <w:t xml:space="preserve"> Committee and the General Assembly </w:t>
      </w:r>
      <w:r w:rsidR="00A732AF">
        <w:t xml:space="preserve">will </w:t>
      </w:r>
      <w:r w:rsidR="004A5FCD">
        <w:t xml:space="preserve">provide </w:t>
      </w:r>
      <w:r w:rsidR="002F7B6C">
        <w:t xml:space="preserve">an opportunity </w:t>
      </w:r>
      <w:r w:rsidR="004A5FCD">
        <w:t>for intergovernmental discussion</w:t>
      </w:r>
      <w:r w:rsidR="002F7B6C">
        <w:t>s</w:t>
      </w:r>
      <w:r w:rsidR="004A5FCD">
        <w:t xml:space="preserve"> on </w:t>
      </w:r>
      <w:r w:rsidR="00A732AF">
        <w:t xml:space="preserve">the </w:t>
      </w:r>
      <w:r w:rsidR="004A5FCD">
        <w:t xml:space="preserve">topic. Annex I </w:t>
      </w:r>
      <w:r w:rsidR="00A732AF">
        <w:t xml:space="preserve">presents </w:t>
      </w:r>
      <w:r w:rsidR="004A5FCD">
        <w:t xml:space="preserve">the provisional timeline, </w:t>
      </w:r>
      <w:r w:rsidR="00DF72BB">
        <w:t>bearing in mind</w:t>
      </w:r>
      <w:r w:rsidR="004A5FCD">
        <w:t xml:space="preserve"> the request by the</w:t>
      </w:r>
      <w:r w:rsidR="00447CB0" w:rsidRPr="00196ECD">
        <w:t xml:space="preserve"> Committee </w:t>
      </w:r>
      <w:r w:rsidR="004A5FCD">
        <w:t xml:space="preserve">to finalize the reflection in </w:t>
      </w:r>
      <w:r w:rsidR="00447CB0" w:rsidRPr="00196ECD">
        <w:t>time for the ninth session of the General Assembly in 202</w:t>
      </w:r>
      <w:r w:rsidR="004A5FCD">
        <w:t>2</w:t>
      </w:r>
      <w:r w:rsidR="00447CB0" w:rsidRPr="00196ECD">
        <w:t>.</w:t>
      </w:r>
    </w:p>
    <w:p w14:paraId="01079F6F" w14:textId="149085BC" w:rsidR="00AE27F7" w:rsidRPr="001E4272" w:rsidRDefault="00360F80" w:rsidP="00106CEB">
      <w:pPr>
        <w:pStyle w:val="COMPara"/>
        <w:ind w:left="567" w:hanging="567"/>
        <w:jc w:val="both"/>
      </w:pPr>
      <w:r w:rsidRPr="00683EF3">
        <w:rPr>
          <w:bCs/>
        </w:rPr>
        <w:t xml:space="preserve">Given the long-term timeframe, the Committee </w:t>
      </w:r>
      <w:r w:rsidR="009E1288">
        <w:rPr>
          <w:bCs/>
        </w:rPr>
        <w:t xml:space="preserve">also </w:t>
      </w:r>
      <w:r w:rsidRPr="00683EF3">
        <w:rPr>
          <w:bCs/>
        </w:rPr>
        <w:t>requested</w:t>
      </w:r>
      <w:r w:rsidR="009E1288">
        <w:rPr>
          <w:bCs/>
        </w:rPr>
        <w:t xml:space="preserve"> </w:t>
      </w:r>
      <w:r w:rsidRPr="00683EF3">
        <w:rPr>
          <w:bCs/>
        </w:rPr>
        <w:t>that the Secretariat propose ways to improve the inscription process of nominations</w:t>
      </w:r>
      <w:r w:rsidR="002F7B6C">
        <w:rPr>
          <w:bCs/>
        </w:rPr>
        <w:t>,</w:t>
      </w:r>
      <w:r w:rsidRPr="00683EF3">
        <w:rPr>
          <w:bCs/>
        </w:rPr>
        <w:t xml:space="preserve"> taking into account imminent issues raised during </w:t>
      </w:r>
      <w:r w:rsidR="00907339">
        <w:rPr>
          <w:bCs/>
        </w:rPr>
        <w:t>its thirteenth session</w:t>
      </w:r>
      <w:r w:rsidRPr="00683EF3">
        <w:rPr>
          <w:bCs/>
        </w:rPr>
        <w:t xml:space="preserve"> as </w:t>
      </w:r>
      <w:r w:rsidR="009E1288">
        <w:rPr>
          <w:bCs/>
        </w:rPr>
        <w:t xml:space="preserve">part of </w:t>
      </w:r>
      <w:r w:rsidRPr="00683EF3">
        <w:rPr>
          <w:bCs/>
        </w:rPr>
        <w:t xml:space="preserve">the ‘early harvest package’. </w:t>
      </w:r>
      <w:r w:rsidR="009E1288" w:rsidRPr="00683EF3">
        <w:rPr>
          <w:bCs/>
        </w:rPr>
        <w:t>Th</w:t>
      </w:r>
      <w:r w:rsidR="009E1288">
        <w:rPr>
          <w:bCs/>
        </w:rPr>
        <w:t>ese</w:t>
      </w:r>
      <w:r w:rsidR="009E1288" w:rsidRPr="00683EF3">
        <w:rPr>
          <w:bCs/>
        </w:rPr>
        <w:t xml:space="preserve"> </w:t>
      </w:r>
      <w:r w:rsidRPr="00683EF3">
        <w:rPr>
          <w:bCs/>
        </w:rPr>
        <w:t>concern</w:t>
      </w:r>
      <w:r w:rsidR="002F7B6C">
        <w:rPr>
          <w:bCs/>
        </w:rPr>
        <w:t>,</w:t>
      </w:r>
      <w:r w:rsidRPr="00683EF3">
        <w:rPr>
          <w:bCs/>
        </w:rPr>
        <w:t xml:space="preserve"> in particular</w:t>
      </w:r>
      <w:r w:rsidR="002F7B6C">
        <w:rPr>
          <w:bCs/>
        </w:rPr>
        <w:t>,</w:t>
      </w:r>
      <w:r w:rsidRPr="00683EF3">
        <w:rPr>
          <w:bCs/>
        </w:rPr>
        <w:t xml:space="preserve"> the </w:t>
      </w:r>
      <w:r w:rsidR="003B20C8">
        <w:rPr>
          <w:bCs/>
        </w:rPr>
        <w:t xml:space="preserve">inclusion of the </w:t>
      </w:r>
      <w:r w:rsidR="009E1288">
        <w:rPr>
          <w:bCs/>
        </w:rPr>
        <w:t>‘</w:t>
      </w:r>
      <w:r w:rsidR="003B20C8">
        <w:rPr>
          <w:bCs/>
        </w:rPr>
        <w:t xml:space="preserve">provisional upstream </w:t>
      </w:r>
      <w:r w:rsidRPr="00683EF3">
        <w:rPr>
          <w:bCs/>
        </w:rPr>
        <w:t>dialogue</w:t>
      </w:r>
      <w:r w:rsidR="009E1288">
        <w:rPr>
          <w:bCs/>
        </w:rPr>
        <w:t>’</w:t>
      </w:r>
      <w:r w:rsidRPr="00683EF3">
        <w:rPr>
          <w:bCs/>
        </w:rPr>
        <w:t xml:space="preserve"> process</w:t>
      </w:r>
      <w:r w:rsidR="00907339">
        <w:rPr>
          <w:bCs/>
        </w:rPr>
        <w:t xml:space="preserve"> between the Evaluation Body and submitting States to </w:t>
      </w:r>
      <w:r w:rsidR="00087870">
        <w:rPr>
          <w:bCs/>
        </w:rPr>
        <w:t>clarify minor issues identified in nomination files</w:t>
      </w:r>
      <w:r w:rsidR="003212CD">
        <w:rPr>
          <w:bCs/>
        </w:rPr>
        <w:t>,</w:t>
      </w:r>
      <w:r w:rsidR="00907339">
        <w:rPr>
          <w:bCs/>
        </w:rPr>
        <w:t xml:space="preserve"> through a simple question and answer process</w:t>
      </w:r>
      <w:r w:rsidR="00236BA5">
        <w:rPr>
          <w:bCs/>
        </w:rPr>
        <w:t xml:space="preserve">. This </w:t>
      </w:r>
      <w:r w:rsidR="009E1288">
        <w:rPr>
          <w:bCs/>
        </w:rPr>
        <w:t>‘</w:t>
      </w:r>
      <w:r w:rsidR="00236BA5">
        <w:rPr>
          <w:bCs/>
        </w:rPr>
        <w:t>dialogue</w:t>
      </w:r>
      <w:r w:rsidR="009E1288">
        <w:rPr>
          <w:bCs/>
        </w:rPr>
        <w:t>’</w:t>
      </w:r>
      <w:r w:rsidR="00236BA5">
        <w:rPr>
          <w:bCs/>
        </w:rPr>
        <w:t xml:space="preserve"> process</w:t>
      </w:r>
      <w:r w:rsidR="003212CD">
        <w:rPr>
          <w:bCs/>
        </w:rPr>
        <w:t xml:space="preserve">, used for the first time </w:t>
      </w:r>
      <w:r w:rsidR="009E1288">
        <w:rPr>
          <w:bCs/>
        </w:rPr>
        <w:t>during the 2019 cycle</w:t>
      </w:r>
      <w:r w:rsidR="002F7B6C">
        <w:rPr>
          <w:bCs/>
        </w:rPr>
        <w:t xml:space="preserve"> </w:t>
      </w:r>
      <w:r w:rsidR="003212CD">
        <w:rPr>
          <w:bCs/>
        </w:rPr>
        <w:t xml:space="preserve">on </w:t>
      </w:r>
      <w:r w:rsidR="002F7B6C">
        <w:rPr>
          <w:bCs/>
        </w:rPr>
        <w:t xml:space="preserve">a </w:t>
      </w:r>
      <w:r w:rsidR="003212CD">
        <w:rPr>
          <w:bCs/>
        </w:rPr>
        <w:t>provisional basis,</w:t>
      </w:r>
      <w:r w:rsidR="00236BA5">
        <w:rPr>
          <w:bCs/>
        </w:rPr>
        <w:t xml:space="preserve"> is expected to be formalized through</w:t>
      </w:r>
      <w:r w:rsidRPr="00683EF3">
        <w:rPr>
          <w:bCs/>
        </w:rPr>
        <w:t xml:space="preserve"> the revision of the Operational Directives by the General Assembly at it</w:t>
      </w:r>
      <w:r w:rsidR="00907339">
        <w:rPr>
          <w:bCs/>
        </w:rPr>
        <w:t>s eighth session in 2020.</w:t>
      </w:r>
    </w:p>
    <w:p w14:paraId="2501E2DE" w14:textId="5A38EF72" w:rsidR="00447CB0" w:rsidRPr="00143EBD" w:rsidRDefault="0050097A" w:rsidP="004A7593">
      <w:pPr>
        <w:pStyle w:val="COMPara"/>
        <w:ind w:left="567" w:hanging="567"/>
        <w:jc w:val="both"/>
      </w:pPr>
      <w:r>
        <w:t xml:space="preserve">This document </w:t>
      </w:r>
      <w:r w:rsidRPr="00143EBD">
        <w:rPr>
          <w:bCs/>
        </w:rPr>
        <w:t>summari</w:t>
      </w:r>
      <w:r w:rsidR="002F7B6C">
        <w:rPr>
          <w:bCs/>
        </w:rPr>
        <w:t>z</w:t>
      </w:r>
      <w:r w:rsidRPr="00143EBD">
        <w:rPr>
          <w:bCs/>
        </w:rPr>
        <w:t>es</w:t>
      </w:r>
      <w:r>
        <w:t xml:space="preserve"> the issues and challenges encountered by the Committee and its evaluation bodies</w:t>
      </w:r>
      <w:r w:rsidR="002A20CB">
        <w:t xml:space="preserve"> through the implementation of </w:t>
      </w:r>
      <w:r>
        <w:t>the listing mechanisms</w:t>
      </w:r>
      <w:r w:rsidR="002A20CB">
        <w:t xml:space="preserve"> of the Convention</w:t>
      </w:r>
      <w:r>
        <w:t xml:space="preserve"> and proposes ways forward for the reflection.</w:t>
      </w:r>
    </w:p>
    <w:p w14:paraId="2853D3EE" w14:textId="62C0CC4A" w:rsidR="000C2C76" w:rsidRDefault="002374D2" w:rsidP="004A7593">
      <w:pPr>
        <w:pStyle w:val="Titre4"/>
        <w:spacing w:before="240"/>
        <w:ind w:hanging="578"/>
      </w:pPr>
      <w:r>
        <w:t xml:space="preserve">A </w:t>
      </w:r>
      <w:r w:rsidR="000B7AE7">
        <w:t xml:space="preserve">historical </w:t>
      </w:r>
      <w:r>
        <w:t xml:space="preserve">overview </w:t>
      </w:r>
      <w:r w:rsidR="007C5042">
        <w:t>– the Convention and its listing mechanisms</w:t>
      </w:r>
    </w:p>
    <w:p w14:paraId="516F2596" w14:textId="118E8B59" w:rsidR="00AE27F7" w:rsidRDefault="00867BB1" w:rsidP="007D2EA0">
      <w:pPr>
        <w:pStyle w:val="COMPara"/>
        <w:ind w:left="567" w:hanging="567"/>
        <w:jc w:val="both"/>
      </w:pPr>
      <w:r>
        <w:t xml:space="preserve">Despite </w:t>
      </w:r>
      <w:r w:rsidR="005747B0">
        <w:t xml:space="preserve">initial </w:t>
      </w:r>
      <w:r>
        <w:t>hesitations</w:t>
      </w:r>
      <w:r w:rsidR="00FA3AB4">
        <w:t xml:space="preserve"> expressed</w:t>
      </w:r>
      <w:r>
        <w:t xml:space="preserve"> </w:t>
      </w:r>
      <w:r w:rsidR="00662F2F">
        <w:t xml:space="preserve">by some </w:t>
      </w:r>
      <w:r>
        <w:t xml:space="preserve">when </w:t>
      </w:r>
      <w:r w:rsidR="007E1BF0">
        <w:t xml:space="preserve">preparing for the adoption of </w:t>
      </w:r>
      <w:r>
        <w:t xml:space="preserve">the </w:t>
      </w:r>
      <w:r w:rsidR="005747B0">
        <w:t>2003</w:t>
      </w:r>
      <w:r w:rsidR="00171A45">
        <w:t> </w:t>
      </w:r>
      <w:r>
        <w:t>Convention</w:t>
      </w:r>
      <w:r w:rsidR="00C17295">
        <w:rPr>
          <w:rStyle w:val="Appelnotedebasdep"/>
        </w:rPr>
        <w:footnoteReference w:id="2"/>
      </w:r>
      <w:r>
        <w:t xml:space="preserve">, Member States opted for </w:t>
      </w:r>
      <w:r w:rsidR="00C50DA5">
        <w:t>an international listing system</w:t>
      </w:r>
      <w:r w:rsidR="00800F6C">
        <w:t>.</w:t>
      </w:r>
      <w:r w:rsidR="007E1BF0">
        <w:t xml:space="preserve"> </w:t>
      </w:r>
      <w:r w:rsidR="00800F6C">
        <w:t>I</w:t>
      </w:r>
      <w:r w:rsidR="007E1BF0">
        <w:t xml:space="preserve">t was hoped that such </w:t>
      </w:r>
      <w:r w:rsidR="002F7B6C">
        <w:t xml:space="preserve">a </w:t>
      </w:r>
      <w:r w:rsidR="007E1BF0">
        <w:t>system</w:t>
      </w:r>
      <w:r w:rsidR="00803836">
        <w:t xml:space="preserve"> would</w:t>
      </w:r>
      <w:r w:rsidR="00EE4641">
        <w:t xml:space="preserve"> act as</w:t>
      </w:r>
      <w:r>
        <w:t xml:space="preserve"> </w:t>
      </w:r>
      <w:r w:rsidR="00DE176F">
        <w:t xml:space="preserve">a </w:t>
      </w:r>
      <w:r>
        <w:t>driving</w:t>
      </w:r>
      <w:r w:rsidR="00EE4641">
        <w:t xml:space="preserve"> force</w:t>
      </w:r>
      <w:r>
        <w:t xml:space="preserve"> </w:t>
      </w:r>
      <w:r w:rsidR="007E1BF0">
        <w:t xml:space="preserve">to raise </w:t>
      </w:r>
      <w:r w:rsidR="00C71401">
        <w:t xml:space="preserve">the visibility of the new </w:t>
      </w:r>
      <w:r w:rsidR="007E1BF0">
        <w:t xml:space="preserve">international legal instrument in favour of </w:t>
      </w:r>
      <w:r w:rsidR="00C71401">
        <w:t xml:space="preserve">the </w:t>
      </w:r>
      <w:r w:rsidR="00EC7E11">
        <w:t>safeguarding</w:t>
      </w:r>
      <w:r w:rsidR="0077124A">
        <w:t xml:space="preserve"> of intangible cultural h</w:t>
      </w:r>
      <w:r w:rsidR="00C71401">
        <w:t>eritage</w:t>
      </w:r>
      <w:r w:rsidR="00DE176F">
        <w:t>. This decision was</w:t>
      </w:r>
      <w:r w:rsidR="005747B0">
        <w:t xml:space="preserve"> </w:t>
      </w:r>
      <w:r w:rsidR="007E1BF0">
        <w:t xml:space="preserve">based </w:t>
      </w:r>
      <w:r w:rsidR="00EE4641">
        <w:t xml:space="preserve">on </w:t>
      </w:r>
      <w:r w:rsidR="00730FA6">
        <w:t xml:space="preserve">the </w:t>
      </w:r>
      <w:r w:rsidR="00EE4641">
        <w:t xml:space="preserve">experience </w:t>
      </w:r>
      <w:r w:rsidR="00DE176F">
        <w:t>gained from</w:t>
      </w:r>
      <w:r w:rsidR="00EE4641">
        <w:t xml:space="preserve"> the 1972 Convention concerning the protection of world </w:t>
      </w:r>
      <w:r w:rsidR="00EE4641">
        <w:lastRenderedPageBreak/>
        <w:t>cultural and natural heritage</w:t>
      </w:r>
      <w:r w:rsidR="00241749">
        <w:t xml:space="preserve"> (hereafter</w:t>
      </w:r>
      <w:r w:rsidR="002F7B6C">
        <w:t>,</w:t>
      </w:r>
      <w:r w:rsidR="00241749">
        <w:t xml:space="preserve"> </w:t>
      </w:r>
      <w:r w:rsidR="002F7B6C">
        <w:t>‘</w:t>
      </w:r>
      <w:r w:rsidR="00241749">
        <w:t>the World Heritage Convention</w:t>
      </w:r>
      <w:r w:rsidR="002F7B6C">
        <w:t>’</w:t>
      </w:r>
      <w:r w:rsidR="003E6FF6">
        <w:t>)</w:t>
      </w:r>
      <w:r w:rsidR="00EE4641">
        <w:t xml:space="preserve">. </w:t>
      </w:r>
      <w:r w:rsidR="00A35019">
        <w:t xml:space="preserve">However, </w:t>
      </w:r>
      <w:r w:rsidR="00106CEB">
        <w:t xml:space="preserve">Member </w:t>
      </w:r>
      <w:r w:rsidR="00B243AB">
        <w:t xml:space="preserve">States </w:t>
      </w:r>
      <w:r w:rsidR="004A7593">
        <w:t>insisted</w:t>
      </w:r>
      <w:r w:rsidR="00B243AB">
        <w:t xml:space="preserve"> </w:t>
      </w:r>
      <w:r w:rsidR="00447CB0" w:rsidRPr="00447CB0">
        <w:t>that no value judgement</w:t>
      </w:r>
      <w:r w:rsidR="00A35019">
        <w:t xml:space="preserve"> – </w:t>
      </w:r>
      <w:r w:rsidR="003A1049">
        <w:t>in particular</w:t>
      </w:r>
      <w:r w:rsidR="00067F46">
        <w:t xml:space="preserve"> </w:t>
      </w:r>
      <w:r w:rsidR="000C7430">
        <w:t>‘</w:t>
      </w:r>
      <w:r w:rsidR="00CD36A4" w:rsidRPr="00447CB0">
        <w:t>outstanding</w:t>
      </w:r>
      <w:r w:rsidR="00447CB0" w:rsidRPr="00447CB0">
        <w:t xml:space="preserve"> universal value</w:t>
      </w:r>
      <w:r w:rsidR="000C7430">
        <w:t>’</w:t>
      </w:r>
      <w:r w:rsidR="00447CB0" w:rsidRPr="00447CB0">
        <w:t xml:space="preserve"> </w:t>
      </w:r>
      <w:r w:rsidR="002F7B6C">
        <w:t>which</w:t>
      </w:r>
      <w:r w:rsidR="009A747A">
        <w:t xml:space="preserve"> is central to the </w:t>
      </w:r>
      <w:r w:rsidR="003F230A">
        <w:t>inscription on the list of the</w:t>
      </w:r>
      <w:r w:rsidR="00FF6D6B">
        <w:t xml:space="preserve"> </w:t>
      </w:r>
      <w:r w:rsidR="00106CEB">
        <w:t xml:space="preserve">World Heritage Convention </w:t>
      </w:r>
      <w:r w:rsidR="00884C8D">
        <w:t xml:space="preserve">– </w:t>
      </w:r>
      <w:r w:rsidR="00447CB0" w:rsidRPr="00447CB0">
        <w:t>should be implied when inscribing elements</w:t>
      </w:r>
      <w:r w:rsidR="006A4155">
        <w:t xml:space="preserve"> of living heritage on the Lists and the Register of the 2003 Convention</w:t>
      </w:r>
      <w:r w:rsidR="00447CB0" w:rsidRPr="00447CB0">
        <w:t xml:space="preserve"> since such judgements </w:t>
      </w:r>
      <w:r w:rsidR="007E1BF0">
        <w:t xml:space="preserve">would </w:t>
      </w:r>
      <w:r w:rsidR="00447CB0" w:rsidRPr="00447CB0">
        <w:t>go again</w:t>
      </w:r>
      <w:r w:rsidR="00447CB0">
        <w:t xml:space="preserve">st </w:t>
      </w:r>
      <w:r w:rsidR="00FA4CBE">
        <w:t xml:space="preserve">the </w:t>
      </w:r>
      <w:r w:rsidR="00447CB0">
        <w:t>spirit</w:t>
      </w:r>
      <w:r w:rsidR="00FA4CBE">
        <w:t xml:space="preserve"> of the 2003 Convention</w:t>
      </w:r>
      <w:r w:rsidR="00CD36A4">
        <w:rPr>
          <w:rStyle w:val="Appelnotedebasdep"/>
        </w:rPr>
        <w:footnoteReference w:id="3"/>
      </w:r>
      <w:r w:rsidR="002D3367">
        <w:t>.</w:t>
      </w:r>
    </w:p>
    <w:p w14:paraId="002C749F" w14:textId="16A4384E" w:rsidR="00784C6C" w:rsidRDefault="007E1BF0" w:rsidP="004A7593">
      <w:pPr>
        <w:pStyle w:val="COMPara"/>
        <w:ind w:left="567" w:hanging="567"/>
        <w:jc w:val="both"/>
      </w:pPr>
      <w:r>
        <w:t>Instead, t</w:t>
      </w:r>
      <w:r w:rsidR="002D3367">
        <w:t>he purpose</w:t>
      </w:r>
      <w:r>
        <w:t xml:space="preserve"> of </w:t>
      </w:r>
      <w:r w:rsidR="00784C6C">
        <w:t>the</w:t>
      </w:r>
      <w:r>
        <w:t xml:space="preserve"> system</w:t>
      </w:r>
      <w:r w:rsidR="00447CB0" w:rsidRPr="00447CB0">
        <w:t xml:space="preserve"> was </w:t>
      </w:r>
      <w:r w:rsidR="0011312E">
        <w:t>understood to</w:t>
      </w:r>
      <w:r w:rsidR="007D2EA0">
        <w:t xml:space="preserve"> be to</w:t>
      </w:r>
      <w:r w:rsidR="0011312E">
        <w:t xml:space="preserve"> </w:t>
      </w:r>
      <w:r w:rsidR="00FA4CBE">
        <w:t>serve as a tool</w:t>
      </w:r>
      <w:r w:rsidR="00784C6C">
        <w:t xml:space="preserve"> </w:t>
      </w:r>
      <w:r>
        <w:t xml:space="preserve">to help </w:t>
      </w:r>
      <w:r w:rsidR="00AE27F7">
        <w:t>sensitize</w:t>
      </w:r>
      <w:r w:rsidR="00447CB0" w:rsidRPr="00447CB0">
        <w:t xml:space="preserve"> national authorities and communities </w:t>
      </w:r>
      <w:r>
        <w:t xml:space="preserve">around the world </w:t>
      </w:r>
      <w:r w:rsidR="00A732AF">
        <w:t>to</w:t>
      </w:r>
      <w:r w:rsidR="00A732AF" w:rsidRPr="00447CB0">
        <w:t xml:space="preserve"> </w:t>
      </w:r>
      <w:r w:rsidR="00447CB0" w:rsidRPr="00447CB0">
        <w:t xml:space="preserve">the importance of living heritage </w:t>
      </w:r>
      <w:r w:rsidR="00CD36A4">
        <w:t xml:space="preserve">in general </w:t>
      </w:r>
      <w:r w:rsidR="00447CB0" w:rsidRPr="00447CB0">
        <w:t xml:space="preserve">and </w:t>
      </w:r>
      <w:r w:rsidR="00740B29">
        <w:t xml:space="preserve">to </w:t>
      </w:r>
      <w:r w:rsidR="00447CB0" w:rsidRPr="00447CB0">
        <w:t xml:space="preserve">the </w:t>
      </w:r>
      <w:r w:rsidR="007D2EA0" w:rsidRPr="00447CB0">
        <w:t>ne</w:t>
      </w:r>
      <w:r w:rsidR="007D2EA0">
        <w:t>ed</w:t>
      </w:r>
      <w:r w:rsidR="007D2EA0" w:rsidRPr="00447CB0">
        <w:t xml:space="preserve"> </w:t>
      </w:r>
      <w:r w:rsidR="00447CB0" w:rsidRPr="00447CB0">
        <w:t>to safeguard it</w:t>
      </w:r>
      <w:r>
        <w:t>,</w:t>
      </w:r>
      <w:r w:rsidR="00447CB0" w:rsidRPr="00447CB0">
        <w:t xml:space="preserve"> as well as to mobilize international solidarity</w:t>
      </w:r>
      <w:r w:rsidR="00E6178B">
        <w:t xml:space="preserve">. </w:t>
      </w:r>
      <w:r w:rsidR="009A747A">
        <w:t>The</w:t>
      </w:r>
      <w:r w:rsidR="00C50DA5">
        <w:t xml:space="preserve"> international listing system of the 2003 Convention</w:t>
      </w:r>
      <w:r w:rsidR="007D2EA0">
        <w:t xml:space="preserve"> would be composed of three mechanisms:</w:t>
      </w:r>
      <w:r w:rsidR="00F56760">
        <w:t xml:space="preserve"> two Lists and one Register</w:t>
      </w:r>
      <w:r w:rsidR="00784C6C">
        <w:t>, each with distinct</w:t>
      </w:r>
      <w:r w:rsidR="004A7593">
        <w:t xml:space="preserve"> and</w:t>
      </w:r>
      <w:r w:rsidR="00784C6C">
        <w:t xml:space="preserve"> specific but complementary objectives</w:t>
      </w:r>
      <w:r w:rsidR="00A732AF">
        <w:t>,</w:t>
      </w:r>
      <w:r w:rsidR="00AE27F7">
        <w:t xml:space="preserve"> </w:t>
      </w:r>
      <w:r w:rsidR="00784C6C">
        <w:t>as set out under Articles 16, 17 and 18 of the Convention</w:t>
      </w:r>
      <w:r w:rsidR="007D2EA0">
        <w:t>,</w:t>
      </w:r>
      <w:r w:rsidR="00784C6C">
        <w:t xml:space="preserve"> respectively</w:t>
      </w:r>
      <w:r w:rsidR="007D2EA0">
        <w:t>,</w:t>
      </w:r>
      <w:r w:rsidR="00784C6C">
        <w:t xml:space="preserve"> and as further elaborate</w:t>
      </w:r>
      <w:r w:rsidR="00AE27F7">
        <w:t>d in the Operational Directives:</w:t>
      </w:r>
    </w:p>
    <w:p w14:paraId="023E22DB" w14:textId="452B3A1C" w:rsidR="00784C6C" w:rsidRDefault="007D2EA0" w:rsidP="004A7593">
      <w:pPr>
        <w:pStyle w:val="COMPara"/>
        <w:numPr>
          <w:ilvl w:val="0"/>
          <w:numId w:val="33"/>
        </w:numPr>
        <w:jc w:val="both"/>
      </w:pPr>
      <w:r>
        <w:t xml:space="preserve">The </w:t>
      </w:r>
      <w:r w:rsidR="007E1BF0">
        <w:t>Representative List of the Intangible Cultural Heritage of Humanity (</w:t>
      </w:r>
      <w:r w:rsidR="00A2282A">
        <w:t xml:space="preserve">hereafter, </w:t>
      </w:r>
      <w:r>
        <w:t>‘</w:t>
      </w:r>
      <w:r w:rsidR="007E1BF0">
        <w:t>Representative List</w:t>
      </w:r>
      <w:r>
        <w:t>’</w:t>
      </w:r>
      <w:r w:rsidR="007E1BF0">
        <w:t>)</w:t>
      </w:r>
      <w:r>
        <w:t>;</w:t>
      </w:r>
    </w:p>
    <w:p w14:paraId="6873362D" w14:textId="1FF3083A" w:rsidR="00784C6C" w:rsidRDefault="007D2EA0" w:rsidP="004A7593">
      <w:pPr>
        <w:pStyle w:val="COMPara"/>
        <w:numPr>
          <w:ilvl w:val="0"/>
          <w:numId w:val="33"/>
        </w:numPr>
        <w:jc w:val="both"/>
      </w:pPr>
      <w:r>
        <w:t xml:space="preserve">The </w:t>
      </w:r>
      <w:r w:rsidR="00DB6520">
        <w:t>List of Intangible Cultural Heritage in Need of Urgent Safeguarding</w:t>
      </w:r>
      <w:r w:rsidR="00B00F3D">
        <w:t xml:space="preserve"> (</w:t>
      </w:r>
      <w:r w:rsidR="00A2282A">
        <w:t xml:space="preserve">hereafter, </w:t>
      </w:r>
      <w:r>
        <w:t>‘</w:t>
      </w:r>
      <w:r w:rsidR="00B00F3D">
        <w:t>Urgent Safeguarding List</w:t>
      </w:r>
      <w:r>
        <w:t>’</w:t>
      </w:r>
      <w:r w:rsidR="00B00F3D">
        <w:t>)</w:t>
      </w:r>
      <w:r>
        <w:t>;</w:t>
      </w:r>
    </w:p>
    <w:p w14:paraId="0880BDE0" w14:textId="2CFFFE27" w:rsidR="00784C6C" w:rsidRDefault="00784C6C" w:rsidP="004A7593">
      <w:pPr>
        <w:pStyle w:val="COMPara"/>
        <w:numPr>
          <w:ilvl w:val="0"/>
          <w:numId w:val="33"/>
        </w:numPr>
        <w:jc w:val="both"/>
      </w:pPr>
      <w:r>
        <w:t>The Register of programmes, projects and activities that best reflect the principles and objectives of the Convention (</w:t>
      </w:r>
      <w:r w:rsidR="00A2282A">
        <w:t xml:space="preserve">hereafter, </w:t>
      </w:r>
      <w:r w:rsidR="007D2EA0">
        <w:t>‘</w:t>
      </w:r>
      <w:r>
        <w:t>Register of Good Safeguarding Practices</w:t>
      </w:r>
      <w:r w:rsidR="007D2EA0">
        <w:t>’</w:t>
      </w:r>
      <w:r>
        <w:t>).</w:t>
      </w:r>
    </w:p>
    <w:p w14:paraId="46058D62" w14:textId="5F945A21" w:rsidR="006243B4" w:rsidRDefault="007D2EA0" w:rsidP="001E4272">
      <w:pPr>
        <w:pStyle w:val="COMPara"/>
        <w:ind w:left="567" w:hanging="567"/>
        <w:jc w:val="both"/>
      </w:pPr>
      <w:r>
        <w:t>At its second session in 2008, t</w:t>
      </w:r>
      <w:r w:rsidRPr="00DB6520">
        <w:t>he</w:t>
      </w:r>
      <w:r>
        <w:t xml:space="preserve"> </w:t>
      </w:r>
      <w:r w:rsidR="009A2BD3">
        <w:t>General Assembly adopted</w:t>
      </w:r>
      <w:r w:rsidR="007C4528">
        <w:t xml:space="preserve"> </w:t>
      </w:r>
      <w:r w:rsidR="00650C8E">
        <w:t xml:space="preserve">the </w:t>
      </w:r>
      <w:r w:rsidR="007C4528">
        <w:t>Operational Directives</w:t>
      </w:r>
      <w:r>
        <w:t>,</w:t>
      </w:r>
      <w:r w:rsidR="007C4528">
        <w:t xml:space="preserve"> </w:t>
      </w:r>
      <w:r w:rsidR="00A35019">
        <w:t xml:space="preserve">which included </w:t>
      </w:r>
      <w:r w:rsidR="000E44DD">
        <w:t>a set of</w:t>
      </w:r>
      <w:r w:rsidR="009A2BD3">
        <w:t xml:space="preserve"> </w:t>
      </w:r>
      <w:r w:rsidR="009A2BD3" w:rsidRPr="00891EF2">
        <w:t xml:space="preserve">criteria for </w:t>
      </w:r>
      <w:r w:rsidR="00513136">
        <w:t xml:space="preserve">inscription on </w:t>
      </w:r>
      <w:r w:rsidR="000E44DD">
        <w:t xml:space="preserve">each of </w:t>
      </w:r>
      <w:r w:rsidR="00FA3AB4">
        <w:t>the three listing mechanisms</w:t>
      </w:r>
      <w:r w:rsidR="00650C8E">
        <w:t>,</w:t>
      </w:r>
      <w:r w:rsidR="00806073">
        <w:t xml:space="preserve"> together with the nomination procedure</w:t>
      </w:r>
      <w:r w:rsidR="005C2433">
        <w:t>s</w:t>
      </w:r>
      <w:r w:rsidR="0054563A">
        <w:rPr>
          <w:rStyle w:val="Appelnotedebasdep"/>
        </w:rPr>
        <w:footnoteReference w:id="4"/>
      </w:r>
      <w:r w:rsidR="0054563A">
        <w:t xml:space="preserve">. </w:t>
      </w:r>
      <w:r w:rsidR="00650C8E">
        <w:t>T</w:t>
      </w:r>
      <w:r w:rsidR="00311BEA">
        <w:t xml:space="preserve">he </w:t>
      </w:r>
      <w:r w:rsidR="00650C8E">
        <w:t xml:space="preserve">adoption of the </w:t>
      </w:r>
      <w:r w:rsidR="00CD36A4">
        <w:t>Operational Directives</w:t>
      </w:r>
      <w:r w:rsidR="00650C8E">
        <w:t xml:space="preserve"> was preceded by</w:t>
      </w:r>
      <w:r w:rsidR="00311BEA">
        <w:t xml:space="preserve"> </w:t>
      </w:r>
      <w:r>
        <w:t xml:space="preserve">a </w:t>
      </w:r>
      <w:r w:rsidR="00650C8E">
        <w:t>lengthy discussion on</w:t>
      </w:r>
      <w:r w:rsidR="005D2FA6">
        <w:t xml:space="preserve"> </w:t>
      </w:r>
      <w:r>
        <w:t xml:space="preserve">the </w:t>
      </w:r>
      <w:r w:rsidR="005D2FA6">
        <w:t>criteria</w:t>
      </w:r>
      <w:r w:rsidR="005C2433">
        <w:t xml:space="preserve"> and the nomination procedures</w:t>
      </w:r>
      <w:r w:rsidR="005D2FA6">
        <w:t xml:space="preserve"> </w:t>
      </w:r>
      <w:r>
        <w:t xml:space="preserve">in </w:t>
      </w:r>
      <w:r w:rsidR="00311BEA">
        <w:t xml:space="preserve">three </w:t>
      </w:r>
      <w:r w:rsidR="00650C8E">
        <w:t>session</w:t>
      </w:r>
      <w:r>
        <w:t>s</w:t>
      </w:r>
      <w:r w:rsidR="00650C8E">
        <w:t xml:space="preserve"> of the </w:t>
      </w:r>
      <w:r w:rsidR="00311BEA">
        <w:t>Committee</w:t>
      </w:r>
      <w:r w:rsidR="00311BEA">
        <w:rPr>
          <w:rStyle w:val="Appelnotedebasdep"/>
        </w:rPr>
        <w:footnoteReference w:id="5"/>
      </w:r>
      <w:r w:rsidR="005D2FA6">
        <w:t xml:space="preserve"> </w:t>
      </w:r>
      <w:r w:rsidR="00AB1AFD">
        <w:t xml:space="preserve">and </w:t>
      </w:r>
      <w:r w:rsidR="005D2FA6">
        <w:t xml:space="preserve">three </w:t>
      </w:r>
      <w:r w:rsidR="000A4203">
        <w:t xml:space="preserve">dedicated </w:t>
      </w:r>
      <w:r w:rsidR="005D2FA6">
        <w:t xml:space="preserve">category VI </w:t>
      </w:r>
      <w:r w:rsidR="008B6B5D">
        <w:t>meetings of experts</w:t>
      </w:r>
      <w:r w:rsidR="00486D9E">
        <w:rPr>
          <w:rStyle w:val="Appelnotedebasdep"/>
        </w:rPr>
        <w:footnoteReference w:id="6"/>
      </w:r>
      <w:r w:rsidR="00650C8E">
        <w:t>.</w:t>
      </w:r>
      <w:r w:rsidR="000D2E25">
        <w:t xml:space="preserve"> These multiple meetings were necessary to</w:t>
      </w:r>
      <w:r w:rsidR="007C4528">
        <w:t xml:space="preserve"> </w:t>
      </w:r>
      <w:r w:rsidR="00AB1AFD">
        <w:t>reconcil</w:t>
      </w:r>
      <w:r w:rsidR="000D2E25">
        <w:t>e</w:t>
      </w:r>
      <w:r w:rsidR="00AB1AFD">
        <w:t xml:space="preserve"> different positions </w:t>
      </w:r>
      <w:r>
        <w:t>on dealing</w:t>
      </w:r>
      <w:r w:rsidR="00004ED6">
        <w:t xml:space="preserve"> with</w:t>
      </w:r>
      <w:r w:rsidR="00B00F3D">
        <w:t xml:space="preserve"> fun</w:t>
      </w:r>
      <w:r w:rsidR="00422154">
        <w:t>damental issues related to the L</w:t>
      </w:r>
      <w:r w:rsidR="00B00F3D">
        <w:t>ists</w:t>
      </w:r>
      <w:r w:rsidR="00AB1AFD">
        <w:t xml:space="preserve">. </w:t>
      </w:r>
      <w:r w:rsidR="00401366">
        <w:t>For instance</w:t>
      </w:r>
      <w:r w:rsidR="007C4528">
        <w:t xml:space="preserve">, different options were discussed </w:t>
      </w:r>
      <w:r w:rsidR="000D2E25">
        <w:t>concerning</w:t>
      </w:r>
      <w:r w:rsidR="007C4528">
        <w:t xml:space="preserve"> the relation</w:t>
      </w:r>
      <w:r w:rsidR="00A732AF">
        <w:t>ship</w:t>
      </w:r>
      <w:r w:rsidR="007C4528">
        <w:t xml:space="preserve"> between </w:t>
      </w:r>
      <w:r>
        <w:t xml:space="preserve">the </w:t>
      </w:r>
      <w:r w:rsidR="00B00F3D">
        <w:t xml:space="preserve">Urgent Safeguarding List and the Representative List, </w:t>
      </w:r>
      <w:r w:rsidR="00A5024C" w:rsidRPr="009F61E2">
        <w:t xml:space="preserve">the </w:t>
      </w:r>
      <w:r w:rsidR="00B00F3D" w:rsidRPr="009F61E2">
        <w:t xml:space="preserve">purpose and nature of the </w:t>
      </w:r>
      <w:r w:rsidR="00422154" w:rsidRPr="009F61E2">
        <w:t>L</w:t>
      </w:r>
      <w:r w:rsidR="00EC7E11" w:rsidRPr="009F61E2">
        <w:t>ists</w:t>
      </w:r>
      <w:r w:rsidR="009F61E2" w:rsidRPr="009F61E2">
        <w:t xml:space="preserve">, </w:t>
      </w:r>
      <w:r w:rsidR="00EC7E11" w:rsidRPr="009F61E2">
        <w:t>the length of inscription</w:t>
      </w:r>
      <w:r>
        <w:t>,</w:t>
      </w:r>
      <w:r w:rsidR="006D4676">
        <w:t xml:space="preserve"> including the possibility of introducing a sunset clause</w:t>
      </w:r>
      <w:r w:rsidR="009F61E2" w:rsidRPr="009F61E2">
        <w:t xml:space="preserve">, and community </w:t>
      </w:r>
      <w:r w:rsidR="009F61E2" w:rsidRPr="00CD36A4">
        <w:t>involvement</w:t>
      </w:r>
      <w:r w:rsidR="00EC7E11" w:rsidRPr="00CD36A4">
        <w:t xml:space="preserve">. </w:t>
      </w:r>
      <w:r w:rsidR="00513136" w:rsidRPr="00CD36A4">
        <w:t xml:space="preserve">At </w:t>
      </w:r>
      <w:r w:rsidRPr="00CD36A4">
        <w:t>th</w:t>
      </w:r>
      <w:r>
        <w:t>e</w:t>
      </w:r>
      <w:r w:rsidRPr="00CD36A4">
        <w:t xml:space="preserve"> </w:t>
      </w:r>
      <w:r w:rsidR="00513136" w:rsidRPr="00CD36A4">
        <w:t xml:space="preserve">time, </w:t>
      </w:r>
      <w:r w:rsidR="008203D0">
        <w:t>a number of</w:t>
      </w:r>
      <w:r w:rsidR="008203D0" w:rsidRPr="00CD36A4">
        <w:t xml:space="preserve"> </w:t>
      </w:r>
      <w:r w:rsidR="00513136" w:rsidRPr="00CD36A4">
        <w:t xml:space="preserve">experts cautioned against </w:t>
      </w:r>
      <w:r w:rsidR="00A732AF">
        <w:t xml:space="preserve">the </w:t>
      </w:r>
      <w:r w:rsidR="00513136" w:rsidRPr="00CD36A4">
        <w:t>possible politicization of the Representative List</w:t>
      </w:r>
      <w:r w:rsidR="00607AAB" w:rsidRPr="00CD36A4">
        <w:rPr>
          <w:rStyle w:val="Appelnotedebasdep"/>
        </w:rPr>
        <w:footnoteReference w:id="7"/>
      </w:r>
      <w:r w:rsidR="00513136" w:rsidRPr="00CD36A4">
        <w:t>.</w:t>
      </w:r>
    </w:p>
    <w:p w14:paraId="26896FB2" w14:textId="61DC2688" w:rsidR="002430F4" w:rsidRPr="002430F4" w:rsidRDefault="00A828D9" w:rsidP="00143EBD">
      <w:pPr>
        <w:pStyle w:val="COMPara"/>
        <w:ind w:left="567" w:hanging="567"/>
        <w:jc w:val="both"/>
      </w:pPr>
      <w:r>
        <w:t xml:space="preserve">Even though the Operational Directives regarding the nomination procedure and the nomination forms have evolved since the first inscription cycle, the inscription criteria </w:t>
      </w:r>
      <w:r w:rsidR="005828A5">
        <w:t xml:space="preserve">themselves </w:t>
      </w:r>
      <w:r w:rsidR="00914533">
        <w:t>have</w:t>
      </w:r>
      <w:r w:rsidR="00FC3465">
        <w:t xml:space="preserve"> </w:t>
      </w:r>
      <w:r w:rsidR="007D2EA0">
        <w:t xml:space="preserve">only been subject to </w:t>
      </w:r>
      <w:r>
        <w:t>minor amendments</w:t>
      </w:r>
      <w:r w:rsidR="005454CC">
        <w:t>.</w:t>
      </w:r>
      <w:r w:rsidR="00CD36A4">
        <w:t xml:space="preserve"> </w:t>
      </w:r>
      <w:r w:rsidR="005828A5">
        <w:t xml:space="preserve">The amendment adopted by the third session of the General Assembly concerned criteria P.4 and P.5 for selection on the Register of Good Safeguarding Practices. </w:t>
      </w:r>
      <w:r w:rsidR="005828A5" w:rsidRPr="005A268C">
        <w:rPr>
          <w:lang w:val="en-US"/>
        </w:rPr>
        <w:t xml:space="preserve">The </w:t>
      </w:r>
      <w:r w:rsidR="005828A5">
        <w:rPr>
          <w:lang w:val="en-US"/>
        </w:rPr>
        <w:t>objective of this amendment was to</w:t>
      </w:r>
      <w:r w:rsidR="005828A5" w:rsidRPr="005A268C">
        <w:rPr>
          <w:lang w:val="en-US"/>
        </w:rPr>
        <w:t xml:space="preserve"> </w:t>
      </w:r>
      <w:r w:rsidR="005828A5">
        <w:rPr>
          <w:lang w:val="en-US"/>
        </w:rPr>
        <w:t xml:space="preserve">limit the Register to </w:t>
      </w:r>
      <w:r w:rsidR="005828A5" w:rsidRPr="005A268C">
        <w:rPr>
          <w:lang w:val="en-US"/>
        </w:rPr>
        <w:t>programmes</w:t>
      </w:r>
      <w:r w:rsidR="005828A5">
        <w:rPr>
          <w:lang w:val="en-US"/>
        </w:rPr>
        <w:t>, project</w:t>
      </w:r>
      <w:r w:rsidR="007D2EA0">
        <w:rPr>
          <w:lang w:val="en-US"/>
        </w:rPr>
        <w:t>s</w:t>
      </w:r>
      <w:r w:rsidR="005828A5">
        <w:rPr>
          <w:lang w:val="en-US"/>
        </w:rPr>
        <w:t xml:space="preserve"> or activities</w:t>
      </w:r>
      <w:r w:rsidR="005828A5" w:rsidRPr="005A268C">
        <w:rPr>
          <w:lang w:val="en-US"/>
        </w:rPr>
        <w:t xml:space="preserve"> </w:t>
      </w:r>
      <w:r w:rsidR="005828A5">
        <w:rPr>
          <w:lang w:val="en-US"/>
        </w:rPr>
        <w:t xml:space="preserve">that are </w:t>
      </w:r>
      <w:r w:rsidR="005828A5" w:rsidRPr="005A268C">
        <w:rPr>
          <w:lang w:val="en-US"/>
        </w:rPr>
        <w:t xml:space="preserve">already completed, and not </w:t>
      </w:r>
      <w:r w:rsidR="005828A5">
        <w:rPr>
          <w:lang w:val="en-US"/>
        </w:rPr>
        <w:t>to include those that are only at the planning stage</w:t>
      </w:r>
      <w:r w:rsidR="005828A5">
        <w:rPr>
          <w:rStyle w:val="Appelnotedebasdep"/>
          <w:lang w:val="en-US"/>
        </w:rPr>
        <w:footnoteReference w:id="8"/>
      </w:r>
      <w:r w:rsidR="005828A5" w:rsidRPr="005A268C">
        <w:rPr>
          <w:lang w:val="en-US"/>
        </w:rPr>
        <w:t>.</w:t>
      </w:r>
      <w:r w:rsidR="005828A5">
        <w:t xml:space="preserve"> The other </w:t>
      </w:r>
      <w:r w:rsidR="00914533">
        <w:t xml:space="preserve">amendment </w:t>
      </w:r>
      <w:r w:rsidR="002430F4">
        <w:t xml:space="preserve">adopted by </w:t>
      </w:r>
      <w:r w:rsidR="007D2EA0">
        <w:t xml:space="preserve">the </w:t>
      </w:r>
      <w:r w:rsidR="002430F4">
        <w:t xml:space="preserve">General Assembly at </w:t>
      </w:r>
      <w:r w:rsidR="00EB0B84">
        <w:t xml:space="preserve">its </w:t>
      </w:r>
      <w:r w:rsidR="002430F4">
        <w:t xml:space="preserve">fifth session </w:t>
      </w:r>
      <w:r w:rsidR="00914533">
        <w:t>concern</w:t>
      </w:r>
      <w:r w:rsidR="00EB0B84">
        <w:t>ed</w:t>
      </w:r>
      <w:r w:rsidR="00914533">
        <w:t xml:space="preserve"> criterion U.3 for inscription on the Urgent Safeguarding list</w:t>
      </w:r>
      <w:r w:rsidR="007D2EA0">
        <w:t>,</w:t>
      </w:r>
      <w:r w:rsidR="00914533">
        <w:t xml:space="preserve"> where ‘safeguarding measures’ was replaced </w:t>
      </w:r>
      <w:r w:rsidR="007D2EA0">
        <w:t xml:space="preserve">with </w:t>
      </w:r>
      <w:r w:rsidR="00914533">
        <w:t xml:space="preserve">‘safeguarding plans’ </w:t>
      </w:r>
      <w:r w:rsidR="002430F4" w:rsidRPr="002430F4">
        <w:t xml:space="preserve">to distinguish the </w:t>
      </w:r>
      <w:r w:rsidR="002430F4" w:rsidRPr="002430F4">
        <w:lastRenderedPageBreak/>
        <w:t>safeguarding plan expected for the Urgent Safeguarding List from the set of safeguarding measures expected for the Representative List</w:t>
      </w:r>
      <w:r w:rsidR="002430F4">
        <w:rPr>
          <w:rStyle w:val="Appelnotedebasdep"/>
        </w:rPr>
        <w:footnoteReference w:id="9"/>
      </w:r>
      <w:r w:rsidR="002430F4" w:rsidRPr="002430F4">
        <w:t>.</w:t>
      </w:r>
    </w:p>
    <w:p w14:paraId="2558ACC9" w14:textId="0A0902E8" w:rsidR="00603CCE" w:rsidRDefault="002C3D79">
      <w:pPr>
        <w:pStyle w:val="COMPara"/>
        <w:ind w:left="567" w:hanging="567"/>
        <w:jc w:val="both"/>
      </w:pPr>
      <w:r>
        <w:t xml:space="preserve">Over the past </w:t>
      </w:r>
      <w:r w:rsidR="000E7362">
        <w:t xml:space="preserve">ten </w:t>
      </w:r>
      <w:r>
        <w:t xml:space="preserve">cycles, the Committee </w:t>
      </w:r>
      <w:r w:rsidR="007D2EA0">
        <w:t xml:space="preserve">has </w:t>
      </w:r>
      <w:r>
        <w:t>inscribed 59 elements on the Urgent Safeguarding List, 429 elements on the Representative List, and 20 programmes</w:t>
      </w:r>
      <w:r w:rsidR="000D4485">
        <w:t>,</w:t>
      </w:r>
      <w:r>
        <w:t xml:space="preserve"> project</w:t>
      </w:r>
      <w:r w:rsidR="007D2EA0">
        <w:t>s</w:t>
      </w:r>
      <w:r>
        <w:t xml:space="preserve"> or activities </w:t>
      </w:r>
      <w:r w:rsidR="007D2EA0">
        <w:t xml:space="preserve">have been </w:t>
      </w:r>
      <w:r>
        <w:t xml:space="preserve">included in the Register of Good Safeguarding Practices. </w:t>
      </w:r>
      <w:r w:rsidR="003E6FF6">
        <w:t>It is undeniable that t</w:t>
      </w:r>
      <w:r w:rsidR="000C2C76">
        <w:t>he listing mechanisms</w:t>
      </w:r>
      <w:r w:rsidR="00D958BD">
        <w:t>,</w:t>
      </w:r>
      <w:r w:rsidR="000C2C76">
        <w:t xml:space="preserve"> and in particular the Representative List,</w:t>
      </w:r>
      <w:r w:rsidR="00D958BD">
        <w:t xml:space="preserve"> </w:t>
      </w:r>
      <w:r w:rsidR="00B34B68">
        <w:t xml:space="preserve">attract </w:t>
      </w:r>
      <w:r w:rsidR="008203D0">
        <w:t xml:space="preserve">a </w:t>
      </w:r>
      <w:r w:rsidR="00FA4CBE">
        <w:t>high</w:t>
      </w:r>
      <w:r w:rsidR="008203D0">
        <w:t xml:space="preserve"> level of</w:t>
      </w:r>
      <w:r w:rsidR="00FA4CBE">
        <w:t xml:space="preserve"> </w:t>
      </w:r>
      <w:r w:rsidR="00B34B68">
        <w:t xml:space="preserve">attention </w:t>
      </w:r>
      <w:r w:rsidR="008203D0">
        <w:t xml:space="preserve">from </w:t>
      </w:r>
      <w:r w:rsidR="00B34B68">
        <w:t>States Parties</w:t>
      </w:r>
      <w:r w:rsidR="00E6178B">
        <w:t>, communities</w:t>
      </w:r>
      <w:r w:rsidR="00B34B68">
        <w:t xml:space="preserve"> and </w:t>
      </w:r>
      <w:r w:rsidR="002912C0">
        <w:t xml:space="preserve">the </w:t>
      </w:r>
      <w:r w:rsidR="00B34B68">
        <w:t>public</w:t>
      </w:r>
      <w:r w:rsidR="00DE026D">
        <w:t xml:space="preserve"> in general</w:t>
      </w:r>
      <w:r w:rsidR="00FA4CBE">
        <w:t>,</w:t>
      </w:r>
      <w:r w:rsidR="00B34B68">
        <w:t xml:space="preserve"> </w:t>
      </w:r>
      <w:r w:rsidR="003457C6">
        <w:t>thus</w:t>
      </w:r>
      <w:r w:rsidR="00D958BD">
        <w:t xml:space="preserve"> </w:t>
      </w:r>
      <w:r w:rsidR="007D2EA0">
        <w:t xml:space="preserve">positively </w:t>
      </w:r>
      <w:r w:rsidR="003457C6">
        <w:t xml:space="preserve">enhancing </w:t>
      </w:r>
      <w:r w:rsidR="00904E8A">
        <w:t>the visibility of the Convention</w:t>
      </w:r>
      <w:r w:rsidR="00C465BE">
        <w:t xml:space="preserve"> and of intangible cultural heritage</w:t>
      </w:r>
      <w:r w:rsidR="000C2C76">
        <w:t>.</w:t>
      </w:r>
      <w:r w:rsidR="00EC6553">
        <w:t xml:space="preserve"> </w:t>
      </w:r>
      <w:r w:rsidR="000C2C76">
        <w:t>O</w:t>
      </w:r>
      <w:r w:rsidR="00491DF5">
        <w:t>ver the years</w:t>
      </w:r>
      <w:r w:rsidR="000C2C76">
        <w:t>, however,</w:t>
      </w:r>
      <w:r w:rsidR="00491DF5">
        <w:t xml:space="preserve"> </w:t>
      </w:r>
      <w:r w:rsidR="00093BDE">
        <w:t>the evaluation bodies and the</w:t>
      </w:r>
      <w:r w:rsidR="005C2433">
        <w:t xml:space="preserve"> </w:t>
      </w:r>
      <w:r w:rsidR="00491DF5">
        <w:t xml:space="preserve">Committee </w:t>
      </w:r>
      <w:r w:rsidR="00CD36A4">
        <w:t xml:space="preserve">have </w:t>
      </w:r>
      <w:r w:rsidR="00491DF5">
        <w:t xml:space="preserve">faced </w:t>
      </w:r>
      <w:r w:rsidR="001A071A">
        <w:t xml:space="preserve">recurrent </w:t>
      </w:r>
      <w:r w:rsidR="00491DF5">
        <w:t xml:space="preserve">challenges related to </w:t>
      </w:r>
      <w:r w:rsidR="00BA72CC">
        <w:t xml:space="preserve">the </w:t>
      </w:r>
      <w:r w:rsidR="00132D16">
        <w:t>inscription</w:t>
      </w:r>
      <w:r w:rsidR="00BA72CC">
        <w:t xml:space="preserve"> procedure</w:t>
      </w:r>
      <w:r w:rsidR="00DE026D">
        <w:t>, the criteria</w:t>
      </w:r>
      <w:r w:rsidR="00F56354">
        <w:t xml:space="preserve"> and</w:t>
      </w:r>
      <w:r w:rsidR="001A1AA5">
        <w:t xml:space="preserve"> </w:t>
      </w:r>
      <w:r w:rsidR="00491DF5">
        <w:t xml:space="preserve">fundamental issues </w:t>
      </w:r>
      <w:r w:rsidR="001A1AA5">
        <w:t>concerning</w:t>
      </w:r>
      <w:r w:rsidR="00491DF5">
        <w:t xml:space="preserve"> the listing mechanisms</w:t>
      </w:r>
      <w:r w:rsidR="00904E8A">
        <w:t>. It is interesting to note that</w:t>
      </w:r>
      <w:r w:rsidR="00FA4CBE">
        <w:t xml:space="preserve"> many</w:t>
      </w:r>
      <w:r w:rsidR="00904E8A">
        <w:t xml:space="preserve"> of these issues</w:t>
      </w:r>
      <w:r w:rsidR="00491DF5">
        <w:t xml:space="preserve"> </w:t>
      </w:r>
      <w:r w:rsidR="00904E8A">
        <w:t xml:space="preserve">were </w:t>
      </w:r>
      <w:r w:rsidR="000D4485">
        <w:t xml:space="preserve">already </w:t>
      </w:r>
      <w:r w:rsidR="00904E8A">
        <w:t>extensively</w:t>
      </w:r>
      <w:r w:rsidR="00491DF5">
        <w:t xml:space="preserve"> </w:t>
      </w:r>
      <w:r w:rsidR="001A071A">
        <w:t xml:space="preserve">debated </w:t>
      </w:r>
      <w:r w:rsidR="00491DF5">
        <w:t xml:space="preserve">at the time of the </w:t>
      </w:r>
      <w:r w:rsidR="00A72432">
        <w:t>elaboration</w:t>
      </w:r>
      <w:r w:rsidR="00491DF5">
        <w:t xml:space="preserve"> of the </w:t>
      </w:r>
      <w:r w:rsidR="00401366">
        <w:t xml:space="preserve">Convention and the listing </w:t>
      </w:r>
      <w:r w:rsidR="00491DF5">
        <w:t>criteria.</w:t>
      </w:r>
    </w:p>
    <w:p w14:paraId="374FF077" w14:textId="600BA397" w:rsidR="007E2798" w:rsidRDefault="00B608A9" w:rsidP="004A7593">
      <w:pPr>
        <w:pStyle w:val="Titre4"/>
        <w:spacing w:before="240"/>
        <w:ind w:hanging="578"/>
      </w:pPr>
      <w:r>
        <w:t>Challenges related to the listing mechanisms</w:t>
      </w:r>
    </w:p>
    <w:p w14:paraId="7D07F539" w14:textId="596EB651" w:rsidR="00B03A30" w:rsidRPr="004A190D" w:rsidRDefault="007D2EA0" w:rsidP="004A7593">
      <w:pPr>
        <w:pStyle w:val="COMPara"/>
        <w:spacing w:after="360"/>
        <w:ind w:left="567" w:hanging="567"/>
        <w:jc w:val="both"/>
      </w:pPr>
      <w:r w:rsidRPr="000C7430">
        <w:t xml:space="preserve">The challenges </w:t>
      </w:r>
      <w:r w:rsidR="007E2798" w:rsidRPr="000C7430">
        <w:t xml:space="preserve">related to the listing mechanisms of the Convention are numerous and complex. </w:t>
      </w:r>
      <w:r w:rsidRPr="000C7430">
        <w:t xml:space="preserve">When </w:t>
      </w:r>
      <w:r w:rsidR="007E2798" w:rsidRPr="000C7430">
        <w:t>reviewing them</w:t>
      </w:r>
      <w:r w:rsidRPr="000C7430">
        <w:t xml:space="preserve">, </w:t>
      </w:r>
      <w:r w:rsidR="007E2798" w:rsidRPr="000C7430">
        <w:t xml:space="preserve">it </w:t>
      </w:r>
      <w:r w:rsidRPr="000C7430">
        <w:t xml:space="preserve">quickly </w:t>
      </w:r>
      <w:r w:rsidR="007E2798" w:rsidRPr="000C7430">
        <w:t xml:space="preserve">becomes evident that many of the issues are interlinked and cannot be considered </w:t>
      </w:r>
      <w:r w:rsidR="008203D0" w:rsidRPr="000C7430">
        <w:t>in isolation of each other</w:t>
      </w:r>
      <w:r w:rsidR="007E2798" w:rsidRPr="000C7430">
        <w:t xml:space="preserve">. For the purpose of the reflection process at hand, and particularly to help prepare for the forthcoming meeting of experts and another meeting of the open-ended intergovernmental working group, it is proposed that </w:t>
      </w:r>
      <w:r w:rsidRPr="000C7430">
        <w:t xml:space="preserve">the </w:t>
      </w:r>
      <w:r w:rsidR="007E2798" w:rsidRPr="000C7430">
        <w:t xml:space="preserve">following </w:t>
      </w:r>
      <w:r w:rsidR="00A45D20" w:rsidRPr="000C7430">
        <w:t xml:space="preserve">non exhaustive list </w:t>
      </w:r>
      <w:r w:rsidR="00F01427" w:rsidRPr="000C7430">
        <w:t xml:space="preserve">of challenges </w:t>
      </w:r>
      <w:r w:rsidRPr="000C7430">
        <w:t xml:space="preserve">be used, </w:t>
      </w:r>
      <w:r w:rsidR="00F01427" w:rsidRPr="000C7430">
        <w:t xml:space="preserve">which can be </w:t>
      </w:r>
      <w:r w:rsidR="009A747A" w:rsidRPr="000C7430">
        <w:t xml:space="preserve">broken down into </w:t>
      </w:r>
      <w:r w:rsidR="0060053E">
        <w:t>four</w:t>
      </w:r>
      <w:r w:rsidR="009A747A" w:rsidRPr="000C7430">
        <w:t xml:space="preserve"> categories</w:t>
      </w:r>
      <w:r w:rsidR="007E2798" w:rsidRPr="004A190D">
        <w:t>: (</w:t>
      </w:r>
      <w:r w:rsidR="005378C9" w:rsidRPr="004A190D">
        <w:t>A</w:t>
      </w:r>
      <w:r w:rsidR="007E2798" w:rsidRPr="004A190D">
        <w:t>)</w:t>
      </w:r>
      <w:r w:rsidR="00E779DF" w:rsidRPr="004A190D">
        <w:t> </w:t>
      </w:r>
      <w:r w:rsidR="007E2798" w:rsidRPr="004A190D">
        <w:t>overall approach to the listing mechanisms</w:t>
      </w:r>
      <w:r w:rsidRPr="004A190D">
        <w:t xml:space="preserve">; </w:t>
      </w:r>
      <w:r w:rsidR="007E2798" w:rsidRPr="004A190D">
        <w:t>(</w:t>
      </w:r>
      <w:r w:rsidR="005378C9" w:rsidRPr="004A190D">
        <w:t>B</w:t>
      </w:r>
      <w:r w:rsidR="007E2798" w:rsidRPr="004A190D">
        <w:t>) issues related to</w:t>
      </w:r>
      <w:r w:rsidR="009E564C">
        <w:t xml:space="preserve"> the</w:t>
      </w:r>
      <w:r w:rsidR="007E2798" w:rsidRPr="004A190D">
        <w:t xml:space="preserve"> criteria</w:t>
      </w:r>
      <w:r w:rsidR="009E564C">
        <w:t xml:space="preserve"> for inscription</w:t>
      </w:r>
      <w:r w:rsidRPr="004A190D">
        <w:t>;</w:t>
      </w:r>
      <w:r w:rsidR="007E2798" w:rsidRPr="004A190D">
        <w:t xml:space="preserve"> (</w:t>
      </w:r>
      <w:r w:rsidR="005378C9" w:rsidRPr="004A190D">
        <w:t>C</w:t>
      </w:r>
      <w:r w:rsidR="007E2798" w:rsidRPr="004A190D">
        <w:t>)</w:t>
      </w:r>
      <w:r w:rsidR="00FA3165">
        <w:t> </w:t>
      </w:r>
      <w:r w:rsidR="002E00CB">
        <w:t xml:space="preserve">issues related to </w:t>
      </w:r>
      <w:r w:rsidR="00A35019">
        <w:t>the follow-up of inscribed elements</w:t>
      </w:r>
      <w:r w:rsidRPr="004A190D">
        <w:t>;</w:t>
      </w:r>
      <w:r w:rsidR="007E2798" w:rsidRPr="004A190D">
        <w:t xml:space="preserve"> (</w:t>
      </w:r>
      <w:r w:rsidR="005378C9" w:rsidRPr="004A190D">
        <w:t>D</w:t>
      </w:r>
      <w:r w:rsidR="007E2798" w:rsidRPr="004A190D">
        <w:t xml:space="preserve">) </w:t>
      </w:r>
      <w:r w:rsidR="00AF36ED" w:rsidRPr="004A190D">
        <w:rPr>
          <w:lang w:val="en-US"/>
        </w:rPr>
        <w:t>m</w:t>
      </w:r>
      <w:r w:rsidR="00AE16D3" w:rsidRPr="004A190D">
        <w:rPr>
          <w:lang w:val="en-US"/>
        </w:rPr>
        <w:t>ethodology for the evaluation and exam</w:t>
      </w:r>
      <w:r w:rsidR="00AF36ED" w:rsidRPr="004A190D">
        <w:rPr>
          <w:lang w:val="en-US"/>
        </w:rPr>
        <w:t>ination of nominations</w:t>
      </w:r>
      <w:r w:rsidR="0060053E">
        <w:rPr>
          <w:lang w:val="en-US"/>
        </w:rPr>
        <w:t>.</w:t>
      </w:r>
    </w:p>
    <w:tbl>
      <w:tblPr>
        <w:tblStyle w:val="Grilledutableau"/>
        <w:tblW w:w="0" w:type="auto"/>
        <w:tblInd w:w="562" w:type="dxa"/>
        <w:tblLook w:val="04A0" w:firstRow="1" w:lastRow="0" w:firstColumn="1" w:lastColumn="0" w:noHBand="0" w:noVBand="1"/>
      </w:tblPr>
      <w:tblGrid>
        <w:gridCol w:w="9066"/>
      </w:tblGrid>
      <w:tr w:rsidR="00813998" w:rsidRPr="000601DB" w14:paraId="3A036284" w14:textId="77777777" w:rsidTr="004A7593">
        <w:tc>
          <w:tcPr>
            <w:tcW w:w="9066" w:type="dxa"/>
            <w:shd w:val="clear" w:color="auto" w:fill="F2F2F2" w:themeFill="background1" w:themeFillShade="F2"/>
          </w:tcPr>
          <w:p w14:paraId="668FE9A6" w14:textId="31B2B672" w:rsidR="00813998" w:rsidRDefault="005378C9" w:rsidP="004A190D">
            <w:pPr>
              <w:pStyle w:val="COMPara"/>
              <w:numPr>
                <w:ilvl w:val="0"/>
                <w:numId w:val="0"/>
              </w:numPr>
              <w:spacing w:before="120"/>
              <w:jc w:val="both"/>
            </w:pPr>
            <w:r>
              <w:t>A</w:t>
            </w:r>
            <w:r w:rsidR="009A747A">
              <w:t>.</w:t>
            </w:r>
            <w:r w:rsidR="009A747A">
              <w:tab/>
            </w:r>
            <w:r w:rsidR="000119FD">
              <w:t>O</w:t>
            </w:r>
            <w:r w:rsidR="00813998">
              <w:t>verall approach to the listing mechanisms</w:t>
            </w:r>
          </w:p>
        </w:tc>
      </w:tr>
    </w:tbl>
    <w:p w14:paraId="2ABDEEA9" w14:textId="16C145EA" w:rsidR="00915D2E" w:rsidRDefault="00813998" w:rsidP="004A7593">
      <w:pPr>
        <w:pStyle w:val="COMPara"/>
        <w:spacing w:before="120"/>
        <w:ind w:left="567" w:hanging="567"/>
        <w:jc w:val="both"/>
      </w:pPr>
      <w:r w:rsidRPr="004A7593">
        <w:rPr>
          <w:b/>
        </w:rPr>
        <w:t>Preference for the Representative List:</w:t>
      </w:r>
      <w:r>
        <w:t xml:space="preserve"> </w:t>
      </w:r>
      <w:r w:rsidR="003D14BD" w:rsidRPr="0054563A">
        <w:t xml:space="preserve">The </w:t>
      </w:r>
      <w:r w:rsidR="00125634">
        <w:t xml:space="preserve">number </w:t>
      </w:r>
      <w:r w:rsidR="003D14BD" w:rsidRPr="0054563A">
        <w:t xml:space="preserve">of </w:t>
      </w:r>
      <w:r w:rsidR="00125634">
        <w:t xml:space="preserve">inscribed elements </w:t>
      </w:r>
      <w:r w:rsidR="00A2282A">
        <w:t xml:space="preserve">on </w:t>
      </w:r>
      <w:r w:rsidR="000D4485">
        <w:t xml:space="preserve">the </w:t>
      </w:r>
      <w:r w:rsidR="00125634">
        <w:t xml:space="preserve">Lists and the Register </w:t>
      </w:r>
      <w:r w:rsidR="003D14BD" w:rsidRPr="0054563A">
        <w:t>demonstrate</w:t>
      </w:r>
      <w:r w:rsidR="000D4485">
        <w:t>s a</w:t>
      </w:r>
      <w:r w:rsidR="003D14BD" w:rsidRPr="0054563A">
        <w:t xml:space="preserve"> clear preference </w:t>
      </w:r>
      <w:r w:rsidR="000D4485">
        <w:t>by</w:t>
      </w:r>
      <w:r w:rsidR="000D4485" w:rsidRPr="0054563A">
        <w:t xml:space="preserve"> </w:t>
      </w:r>
      <w:r w:rsidR="003D14BD" w:rsidRPr="0054563A">
        <w:t>States Parties for the Representative List over the other two mechanisms.</w:t>
      </w:r>
      <w:r w:rsidR="00125634">
        <w:t xml:space="preserve"> </w:t>
      </w:r>
      <w:r w:rsidR="003D14BD" w:rsidRPr="0054563A">
        <w:t xml:space="preserve">Noting this </w:t>
      </w:r>
      <w:r w:rsidR="00616C3A">
        <w:t>trend</w:t>
      </w:r>
      <w:r w:rsidR="003D14BD" w:rsidRPr="0054563A">
        <w:t>, the</w:t>
      </w:r>
      <w:r w:rsidR="00502F7A" w:rsidRPr="0054563A">
        <w:t xml:space="preserve"> </w:t>
      </w:r>
      <w:r w:rsidR="003D14BD" w:rsidRPr="0054563A">
        <w:t>Evaluation B</w:t>
      </w:r>
      <w:r w:rsidR="00B608A9" w:rsidRPr="0054563A">
        <w:t>od</w:t>
      </w:r>
      <w:r w:rsidR="003D14BD" w:rsidRPr="0054563A">
        <w:t>y</w:t>
      </w:r>
      <w:r w:rsidR="00B608A9" w:rsidRPr="0054563A">
        <w:t xml:space="preserve"> </w:t>
      </w:r>
      <w:r w:rsidR="00502F7A" w:rsidRPr="0054563A">
        <w:t>regretted</w:t>
      </w:r>
      <w:r w:rsidR="003D14BD" w:rsidRPr="0054563A">
        <w:t xml:space="preserve"> the</w:t>
      </w:r>
      <w:r w:rsidR="00502F7A" w:rsidRPr="0054563A">
        <w:t xml:space="preserve"> underuse of the Urgent Safeguarding List and the Register of Good Safeguarding </w:t>
      </w:r>
      <w:r w:rsidR="00603A61" w:rsidRPr="0054563A">
        <w:t>Practices</w:t>
      </w:r>
      <w:r w:rsidR="00603A61">
        <w:t xml:space="preserve"> in</w:t>
      </w:r>
      <w:r w:rsidR="00B6077E">
        <w:t xml:space="preserve"> its</w:t>
      </w:r>
      <w:r w:rsidR="00603A61">
        <w:t xml:space="preserve"> 2015 and 2018</w:t>
      </w:r>
      <w:r w:rsidR="00B6077E">
        <w:t xml:space="preserve"> reports</w:t>
      </w:r>
      <w:r w:rsidR="00603A61" w:rsidRPr="0054563A">
        <w:rPr>
          <w:rStyle w:val="Appelnotedebasdep"/>
        </w:rPr>
        <w:footnoteReference w:id="10"/>
      </w:r>
      <w:r w:rsidR="00965D8D" w:rsidRPr="0054563A">
        <w:t xml:space="preserve">. </w:t>
      </w:r>
      <w:r w:rsidR="009113E4" w:rsidRPr="0054563A">
        <w:t xml:space="preserve">The overrating of the Representative List was </w:t>
      </w:r>
      <w:r w:rsidR="00841190" w:rsidRPr="0054563A">
        <w:t xml:space="preserve">also </w:t>
      </w:r>
      <w:r w:rsidR="009113E4" w:rsidRPr="0054563A">
        <w:t xml:space="preserve">noted by </w:t>
      </w:r>
      <w:r w:rsidR="00A61A7C">
        <w:t xml:space="preserve">the </w:t>
      </w:r>
      <w:r w:rsidR="009113E4" w:rsidRPr="0054563A">
        <w:t>Internal Oversight Service of UNESCO</w:t>
      </w:r>
      <w:r w:rsidR="00841190" w:rsidRPr="0054563A">
        <w:t xml:space="preserve"> (IOS)</w:t>
      </w:r>
      <w:r w:rsidR="00023003" w:rsidRPr="0054563A">
        <w:t xml:space="preserve"> in</w:t>
      </w:r>
      <w:r w:rsidR="009113E4" w:rsidRPr="0054563A">
        <w:t xml:space="preserve"> its 2013 Evaluation concerning the Convention for the Safeguarding of t</w:t>
      </w:r>
      <w:r w:rsidR="00841190" w:rsidRPr="0054563A">
        <w:t>he Intangible Cultural Heritage</w:t>
      </w:r>
      <w:r w:rsidR="003A12F3" w:rsidRPr="0054563A">
        <w:rPr>
          <w:rStyle w:val="Appelnotedebasdep"/>
        </w:rPr>
        <w:footnoteReference w:id="11"/>
      </w:r>
      <w:r w:rsidR="00841190" w:rsidRPr="0054563A">
        <w:t>.</w:t>
      </w:r>
      <w:r w:rsidR="00E779DF">
        <w:t>This matter should be discussed through</w:t>
      </w:r>
      <w:r w:rsidR="00623EE3">
        <w:t xml:space="preserve"> the reflection process at hand to clarify what future </w:t>
      </w:r>
      <w:r w:rsidR="00740B29">
        <w:t>States Parties to the Convention</w:t>
      </w:r>
      <w:r w:rsidR="00623EE3">
        <w:t xml:space="preserve"> wish </w:t>
      </w:r>
      <w:r w:rsidR="00836CCB">
        <w:t>to see</w:t>
      </w:r>
      <w:r w:rsidR="00623EE3" w:rsidRPr="004A7593">
        <w:rPr>
          <w:rStyle w:val="Appelnotedebasdep"/>
        </w:rPr>
        <w:footnoteReference w:id="12"/>
      </w:r>
      <w:r w:rsidR="00623EE3" w:rsidRPr="009514AC">
        <w:t xml:space="preserve">. </w:t>
      </w:r>
      <w:r w:rsidR="00C8135C">
        <w:t>For example, t</w:t>
      </w:r>
      <w:r w:rsidR="00623EE3" w:rsidRPr="009514AC">
        <w:t>he</w:t>
      </w:r>
      <w:r w:rsidR="00623EE3">
        <w:t xml:space="preserve"> Lists and the Register may follow</w:t>
      </w:r>
      <w:r w:rsidR="008203D0">
        <w:t xml:space="preserve"> a</w:t>
      </w:r>
      <w:r w:rsidR="00623EE3">
        <w:t xml:space="preserve"> </w:t>
      </w:r>
      <w:r w:rsidR="00623EE3">
        <w:rPr>
          <w:lang w:val="en-US"/>
        </w:rPr>
        <w:t>strict</w:t>
      </w:r>
      <w:r w:rsidR="008203D0">
        <w:rPr>
          <w:lang w:val="en-US"/>
        </w:rPr>
        <w:t xml:space="preserve"> and rigid</w:t>
      </w:r>
      <w:r w:rsidR="00623EE3">
        <w:rPr>
          <w:lang w:val="en-US"/>
        </w:rPr>
        <w:t xml:space="preserve"> criteria</w:t>
      </w:r>
      <w:r w:rsidR="00A61A7C">
        <w:rPr>
          <w:lang w:val="en-US"/>
        </w:rPr>
        <w:t>-</w:t>
      </w:r>
      <w:r w:rsidR="00623EE3">
        <w:rPr>
          <w:lang w:val="en-US"/>
        </w:rPr>
        <w:t>based selection</w:t>
      </w:r>
      <w:r w:rsidR="00605E74">
        <w:rPr>
          <w:lang w:val="en-US"/>
        </w:rPr>
        <w:t xml:space="preserve"> </w:t>
      </w:r>
      <w:r w:rsidR="00A61A7C">
        <w:rPr>
          <w:lang w:val="en-US"/>
        </w:rPr>
        <w:t>process</w:t>
      </w:r>
      <w:r w:rsidR="00740B29">
        <w:rPr>
          <w:lang w:val="en-US"/>
        </w:rPr>
        <w:t>,</w:t>
      </w:r>
      <w:r w:rsidR="00F77DF8">
        <w:rPr>
          <w:lang w:val="en-US"/>
        </w:rPr>
        <w:t xml:space="preserve"> </w:t>
      </w:r>
      <w:r w:rsidR="00794CB1">
        <w:rPr>
          <w:lang w:val="en-US"/>
        </w:rPr>
        <w:t xml:space="preserve">or alternatively, </w:t>
      </w:r>
      <w:r w:rsidR="008203D0">
        <w:rPr>
          <w:lang w:val="en-US"/>
        </w:rPr>
        <w:t>an inclusive</w:t>
      </w:r>
      <w:r w:rsidR="00A61A7C">
        <w:rPr>
          <w:lang w:val="en-US"/>
        </w:rPr>
        <w:t>,</w:t>
      </w:r>
      <w:r w:rsidR="00623EE3">
        <w:rPr>
          <w:lang w:val="en-US"/>
        </w:rPr>
        <w:t xml:space="preserve"> </w:t>
      </w:r>
      <w:r w:rsidR="008203D0">
        <w:rPr>
          <w:lang w:val="en-US"/>
        </w:rPr>
        <w:t xml:space="preserve">more </w:t>
      </w:r>
      <w:r w:rsidR="00623EE3">
        <w:rPr>
          <w:lang w:val="en-US"/>
        </w:rPr>
        <w:t xml:space="preserve">open </w:t>
      </w:r>
      <w:r w:rsidR="008203D0">
        <w:rPr>
          <w:lang w:val="en-US"/>
        </w:rPr>
        <w:t xml:space="preserve">and fluid listing system. </w:t>
      </w:r>
      <w:r w:rsidR="0086430E">
        <w:rPr>
          <w:lang w:val="en-US"/>
        </w:rPr>
        <w:t>The Representative List</w:t>
      </w:r>
      <w:r w:rsidR="00390688">
        <w:rPr>
          <w:lang w:val="en-US"/>
        </w:rPr>
        <w:t>,</w:t>
      </w:r>
      <w:r w:rsidR="0086430E">
        <w:rPr>
          <w:lang w:val="en-US"/>
        </w:rPr>
        <w:t xml:space="preserve"> </w:t>
      </w:r>
      <w:r w:rsidR="00464584">
        <w:rPr>
          <w:lang w:val="en-US"/>
        </w:rPr>
        <w:t>in particular</w:t>
      </w:r>
      <w:r w:rsidR="00390688">
        <w:rPr>
          <w:lang w:val="en-US"/>
        </w:rPr>
        <w:t>,</w:t>
      </w:r>
      <w:r w:rsidR="00464584">
        <w:rPr>
          <w:lang w:val="en-US"/>
        </w:rPr>
        <w:t xml:space="preserve"> </w:t>
      </w:r>
      <w:r w:rsidR="0086430E">
        <w:rPr>
          <w:lang w:val="en-US"/>
        </w:rPr>
        <w:t>may better serve its purpose through a more inclusive</w:t>
      </w:r>
      <w:r w:rsidR="006D4676">
        <w:rPr>
          <w:lang w:val="en-US"/>
        </w:rPr>
        <w:t>, evolving</w:t>
      </w:r>
      <w:r w:rsidR="001061F9">
        <w:rPr>
          <w:lang w:val="en-US"/>
        </w:rPr>
        <w:t xml:space="preserve"> and dynamic</w:t>
      </w:r>
      <w:r w:rsidR="0086430E">
        <w:rPr>
          <w:lang w:val="en-US"/>
        </w:rPr>
        <w:t xml:space="preserve"> system</w:t>
      </w:r>
      <w:r w:rsidR="00C8135C">
        <w:rPr>
          <w:lang w:val="en-US"/>
        </w:rPr>
        <w:t xml:space="preserve"> which </w:t>
      </w:r>
      <w:r w:rsidR="009A747A">
        <w:rPr>
          <w:lang w:val="en-US"/>
        </w:rPr>
        <w:t xml:space="preserve">might </w:t>
      </w:r>
      <w:r w:rsidR="00A61A7C">
        <w:rPr>
          <w:lang w:val="en-US"/>
        </w:rPr>
        <w:t>include</w:t>
      </w:r>
      <w:r w:rsidR="00C8135C">
        <w:rPr>
          <w:lang w:val="en-US"/>
        </w:rPr>
        <w:t xml:space="preserve"> </w:t>
      </w:r>
      <w:r w:rsidR="006D4676">
        <w:rPr>
          <w:lang w:val="en-US"/>
        </w:rPr>
        <w:t>a</w:t>
      </w:r>
      <w:r w:rsidR="00390688">
        <w:rPr>
          <w:lang w:val="en-US"/>
        </w:rPr>
        <w:t xml:space="preserve"> </w:t>
      </w:r>
      <w:r w:rsidR="001061F9">
        <w:rPr>
          <w:lang w:val="en-US"/>
        </w:rPr>
        <w:t>‘sunset clause’ to limit the duration of inscriptions</w:t>
      </w:r>
      <w:r w:rsidR="00807BEC">
        <w:rPr>
          <w:lang w:val="en-US"/>
        </w:rPr>
        <w:t>, as initially discussed</w:t>
      </w:r>
      <w:r w:rsidR="00740B29">
        <w:rPr>
          <w:lang w:val="en-US"/>
        </w:rPr>
        <w:t xml:space="preserve"> when elaborating the mechanism</w:t>
      </w:r>
      <w:r w:rsidR="00C8135C">
        <w:rPr>
          <w:rStyle w:val="Appelnotedebasdep"/>
          <w:lang w:val="en-US"/>
        </w:rPr>
        <w:footnoteReference w:id="13"/>
      </w:r>
      <w:r w:rsidR="00C8135C">
        <w:rPr>
          <w:lang w:val="en-US"/>
        </w:rPr>
        <w:t>.</w:t>
      </w:r>
      <w:r w:rsidR="006D4676">
        <w:rPr>
          <w:lang w:val="en-US"/>
        </w:rPr>
        <w:t xml:space="preserve"> </w:t>
      </w:r>
      <w:r w:rsidR="00740B29">
        <w:rPr>
          <w:lang w:val="en-US"/>
        </w:rPr>
        <w:t>It is also now evident that a</w:t>
      </w:r>
      <w:r w:rsidR="006603A1">
        <w:rPr>
          <w:lang w:val="en-US"/>
        </w:rPr>
        <w:t xml:space="preserve"> list </w:t>
      </w:r>
      <w:r w:rsidR="00BF011A">
        <w:rPr>
          <w:lang w:val="en-US"/>
        </w:rPr>
        <w:t>which</w:t>
      </w:r>
      <w:r w:rsidR="006603A1">
        <w:rPr>
          <w:lang w:val="en-US"/>
        </w:rPr>
        <w:t xml:space="preserve"> </w:t>
      </w:r>
      <w:r w:rsidR="00A61A7C">
        <w:rPr>
          <w:lang w:val="en-US"/>
        </w:rPr>
        <w:t xml:space="preserve">does </w:t>
      </w:r>
      <w:r w:rsidR="00BF011A">
        <w:rPr>
          <w:lang w:val="en-US"/>
        </w:rPr>
        <w:t xml:space="preserve">not </w:t>
      </w:r>
      <w:r w:rsidR="00A61A7C">
        <w:rPr>
          <w:lang w:val="en-US"/>
        </w:rPr>
        <w:t>set</w:t>
      </w:r>
      <w:r w:rsidR="006603A1">
        <w:rPr>
          <w:lang w:val="en-US"/>
        </w:rPr>
        <w:t xml:space="preserve"> limit</w:t>
      </w:r>
      <w:r w:rsidR="00956787">
        <w:rPr>
          <w:lang w:val="en-US"/>
        </w:rPr>
        <w:t xml:space="preserve">s </w:t>
      </w:r>
      <w:r w:rsidR="00A61A7C">
        <w:rPr>
          <w:lang w:val="en-US"/>
        </w:rPr>
        <w:t>o</w:t>
      </w:r>
      <w:r w:rsidR="00956787">
        <w:rPr>
          <w:lang w:val="en-US"/>
        </w:rPr>
        <w:t>n</w:t>
      </w:r>
      <w:r w:rsidR="006603A1">
        <w:rPr>
          <w:lang w:val="en-US"/>
        </w:rPr>
        <w:t xml:space="preserve"> the duration of inscriptions</w:t>
      </w:r>
      <w:r w:rsidR="00956787">
        <w:rPr>
          <w:lang w:val="en-US"/>
        </w:rPr>
        <w:t xml:space="preserve"> </w:t>
      </w:r>
      <w:r w:rsidR="00807BEC">
        <w:rPr>
          <w:lang w:val="en-US"/>
        </w:rPr>
        <w:t xml:space="preserve">also </w:t>
      </w:r>
      <w:r w:rsidR="00956787">
        <w:rPr>
          <w:lang w:val="en-US"/>
        </w:rPr>
        <w:t>require</w:t>
      </w:r>
      <w:r w:rsidR="009E564C">
        <w:rPr>
          <w:lang w:val="en-US"/>
        </w:rPr>
        <w:t>s</w:t>
      </w:r>
      <w:r w:rsidR="00956787">
        <w:rPr>
          <w:lang w:val="en-US"/>
        </w:rPr>
        <w:t xml:space="preserve"> </w:t>
      </w:r>
      <w:r w:rsidR="00740B29">
        <w:rPr>
          <w:lang w:val="en-US"/>
        </w:rPr>
        <w:t>an enhanced and robust</w:t>
      </w:r>
      <w:r w:rsidR="00956787">
        <w:rPr>
          <w:lang w:val="en-US"/>
        </w:rPr>
        <w:t xml:space="preserve"> monitoring mechanism.</w:t>
      </w:r>
    </w:p>
    <w:p w14:paraId="7CDE7444" w14:textId="67B05276" w:rsidR="009113E4" w:rsidRDefault="00813998" w:rsidP="00143EBD">
      <w:pPr>
        <w:pStyle w:val="COMPara"/>
        <w:ind w:left="567" w:hanging="567"/>
        <w:jc w:val="both"/>
      </w:pPr>
      <w:r w:rsidRPr="004A7593">
        <w:rPr>
          <w:b/>
        </w:rPr>
        <w:t>‘Misunderstanding’ of the purpose of the Representative List</w:t>
      </w:r>
      <w:r>
        <w:t xml:space="preserve">: </w:t>
      </w:r>
      <w:r w:rsidR="0054563A">
        <w:t>The</w:t>
      </w:r>
      <w:r w:rsidR="00841190" w:rsidRPr="0054563A">
        <w:t xml:space="preserve"> </w:t>
      </w:r>
      <w:r w:rsidR="000C2C76">
        <w:t xml:space="preserve">IOS </w:t>
      </w:r>
      <w:r w:rsidR="00841190" w:rsidRPr="0054563A">
        <w:t xml:space="preserve">evaluation </w:t>
      </w:r>
      <w:r w:rsidR="0054563A">
        <w:t>found</w:t>
      </w:r>
      <w:r w:rsidR="00841190" w:rsidRPr="0054563A">
        <w:t xml:space="preserve"> that States had difficulties </w:t>
      </w:r>
      <w:r w:rsidR="00A61A7C">
        <w:t>in</w:t>
      </w:r>
      <w:r w:rsidR="00841190" w:rsidRPr="0054563A">
        <w:t xml:space="preserve"> understand</w:t>
      </w:r>
      <w:r w:rsidR="00A61A7C">
        <w:t>ing</w:t>
      </w:r>
      <w:r w:rsidR="00841190" w:rsidRPr="0054563A">
        <w:t xml:space="preserve"> the notion of ‘representativeness’ and </w:t>
      </w:r>
      <w:r w:rsidR="002C0A66">
        <w:t>therefore</w:t>
      </w:r>
      <w:r w:rsidR="00841190" w:rsidRPr="0054563A">
        <w:t xml:space="preserve"> misunderstood the purpose and </w:t>
      </w:r>
      <w:r w:rsidR="00023003" w:rsidRPr="0054563A">
        <w:t>inten</w:t>
      </w:r>
      <w:r w:rsidR="003A12F3" w:rsidRPr="0054563A">
        <w:t>t</w:t>
      </w:r>
      <w:r w:rsidR="00841190" w:rsidRPr="0054563A">
        <w:t xml:space="preserve"> of the Representative</w:t>
      </w:r>
      <w:r w:rsidR="00267AE2">
        <w:t xml:space="preserve"> List. </w:t>
      </w:r>
      <w:r w:rsidR="00C8135C">
        <w:t xml:space="preserve">Experience </w:t>
      </w:r>
      <w:r w:rsidR="00A61A7C">
        <w:t xml:space="preserve">has </w:t>
      </w:r>
      <w:r w:rsidR="00C8135C">
        <w:t>show</w:t>
      </w:r>
      <w:r w:rsidR="00A61A7C">
        <w:t>n</w:t>
      </w:r>
      <w:r w:rsidR="00C8135C">
        <w:t xml:space="preserve"> that </w:t>
      </w:r>
      <w:r w:rsidR="002B5813">
        <w:t xml:space="preserve">a number of </w:t>
      </w:r>
      <w:r w:rsidR="00C8135C">
        <w:t>States nominate elements</w:t>
      </w:r>
      <w:r w:rsidR="001F4104">
        <w:t xml:space="preserve"> because they consider that </w:t>
      </w:r>
      <w:r w:rsidR="00A61A7C">
        <w:t>an</w:t>
      </w:r>
      <w:r w:rsidR="001F4104">
        <w:t xml:space="preserve"> inscription o</w:t>
      </w:r>
      <w:r w:rsidR="00A61A7C">
        <w:t>n</w:t>
      </w:r>
      <w:r w:rsidR="001F4104">
        <w:t xml:space="preserve"> the Representative List valorises the element itself rather than because </w:t>
      </w:r>
      <w:r w:rsidR="002B5813">
        <w:t>its inscription would</w:t>
      </w:r>
      <w:r w:rsidR="001F4104">
        <w:t xml:space="preserve"> </w:t>
      </w:r>
      <w:r w:rsidR="001F4104">
        <w:lastRenderedPageBreak/>
        <w:t xml:space="preserve">contribute to the purpose of the List, </w:t>
      </w:r>
      <w:r w:rsidR="00211BAD">
        <w:t xml:space="preserve">probably </w:t>
      </w:r>
      <w:r w:rsidR="001F4104">
        <w:t>confusing ‘representativeness’ with ‘outstanding universal value’</w:t>
      </w:r>
      <w:r w:rsidR="005F23EB">
        <w:t xml:space="preserve"> in the sense of the World Heritage Convention</w:t>
      </w:r>
      <w:r w:rsidR="001F4104">
        <w:t>. Furthermore</w:t>
      </w:r>
      <w:r w:rsidR="00A61A7C">
        <w:t>,</w:t>
      </w:r>
      <w:r w:rsidR="001F4104">
        <w:t xml:space="preserve"> the IOS evaluation found that s</w:t>
      </w:r>
      <w:r w:rsidR="00267AE2">
        <w:t xml:space="preserve">ome States </w:t>
      </w:r>
      <w:r w:rsidR="003A12F3">
        <w:t>understood t</w:t>
      </w:r>
      <w:r w:rsidR="009A043E">
        <w:t>hat inscription on</w:t>
      </w:r>
      <w:r w:rsidR="003A12F3">
        <w:t xml:space="preserve"> the Representative List meant national </w:t>
      </w:r>
      <w:r w:rsidR="00E253B9">
        <w:t>ownership</w:t>
      </w:r>
      <w:r w:rsidR="009A043E">
        <w:t xml:space="preserve"> of the element</w:t>
      </w:r>
      <w:r w:rsidR="00E253B9">
        <w:t>, which</w:t>
      </w:r>
      <w:r w:rsidR="003A12F3">
        <w:t xml:space="preserve"> in some instances generated conflict between States. </w:t>
      </w:r>
      <w:r w:rsidR="003B7BF0">
        <w:t>In fact</w:t>
      </w:r>
      <w:r w:rsidR="00227268">
        <w:t>,</w:t>
      </w:r>
      <w:r w:rsidR="000E1B23">
        <w:t xml:space="preserve"> the Committee was confronted with this </w:t>
      </w:r>
      <w:r w:rsidR="00836CCB">
        <w:t xml:space="preserve">type of </w:t>
      </w:r>
      <w:r w:rsidR="000E1B23">
        <w:t>misunderstanding</w:t>
      </w:r>
      <w:r w:rsidR="00B6077E">
        <w:t xml:space="preserve"> </w:t>
      </w:r>
      <w:r w:rsidR="003B7BF0">
        <w:t xml:space="preserve">on </w:t>
      </w:r>
      <w:r w:rsidR="008474A7">
        <w:t>multiple</w:t>
      </w:r>
      <w:r w:rsidR="003B7BF0">
        <w:t xml:space="preserve"> occasions </w:t>
      </w:r>
      <w:r w:rsidR="000E1B23">
        <w:t xml:space="preserve">and therefore felt that it was necessary to remind States that </w:t>
      </w:r>
      <w:r w:rsidR="00BA724D">
        <w:t xml:space="preserve">an </w:t>
      </w:r>
      <w:r w:rsidR="000E1B23">
        <w:t xml:space="preserve">inscription </w:t>
      </w:r>
      <w:r w:rsidR="00A61A7C">
        <w:t>was not intended</w:t>
      </w:r>
      <w:r w:rsidR="000E1B23">
        <w:t xml:space="preserve"> to establish a system of ownership and </w:t>
      </w:r>
      <w:r w:rsidR="0054563A">
        <w:t>that it did</w:t>
      </w:r>
      <w:r w:rsidR="000E1B23">
        <w:t xml:space="preserve"> not imply exclusive ownership of a cultural expression</w:t>
      </w:r>
      <w:r w:rsidR="00227268">
        <w:rPr>
          <w:rStyle w:val="Appelnotedebasdep"/>
        </w:rPr>
        <w:footnoteReference w:id="14"/>
      </w:r>
      <w:r w:rsidR="008474A7">
        <w:t>.</w:t>
      </w:r>
    </w:p>
    <w:p w14:paraId="6CF812D1" w14:textId="75FFA7EA" w:rsidR="00502F7A" w:rsidRPr="00353F3D" w:rsidRDefault="0045615D" w:rsidP="004A7593">
      <w:pPr>
        <w:pStyle w:val="COMPara"/>
        <w:spacing w:after="360"/>
        <w:ind w:left="567" w:hanging="567"/>
        <w:jc w:val="both"/>
      </w:pPr>
      <w:r w:rsidRPr="004A7593">
        <w:rPr>
          <w:b/>
        </w:rPr>
        <w:t>Lighter ways of sharing</w:t>
      </w:r>
      <w:r>
        <w:t xml:space="preserve">: </w:t>
      </w:r>
      <w:r w:rsidR="00E253B9">
        <w:t>With regard to the Register of Good Safeguarding Practices, t</w:t>
      </w:r>
      <w:r w:rsidR="00B6077E">
        <w:t xml:space="preserve">he </w:t>
      </w:r>
      <w:r w:rsidR="00E83E26">
        <w:t xml:space="preserve">above-mentioned </w:t>
      </w:r>
      <w:r w:rsidR="00B6077E">
        <w:t xml:space="preserve">IOS evaluation </w:t>
      </w:r>
      <w:r w:rsidR="00977DB4">
        <w:t xml:space="preserve">also </w:t>
      </w:r>
      <w:r w:rsidR="00B6077E">
        <w:t>found that</w:t>
      </w:r>
      <w:r w:rsidR="00802A5F">
        <w:t>,</w:t>
      </w:r>
      <w:r w:rsidR="00C64017">
        <w:t xml:space="preserve"> at </w:t>
      </w:r>
      <w:r w:rsidR="00A61A7C">
        <w:t xml:space="preserve">the </w:t>
      </w:r>
      <w:r w:rsidR="00B6077E">
        <w:t xml:space="preserve">time, </w:t>
      </w:r>
      <w:r w:rsidR="00E83E26">
        <w:t>the Register</w:t>
      </w:r>
      <w:r w:rsidR="00E253B9">
        <w:t xml:space="preserve"> did not</w:t>
      </w:r>
      <w:r w:rsidR="009A043E">
        <w:t xml:space="preserve"> serve as an inspiration </w:t>
      </w:r>
      <w:r w:rsidR="00BA724D">
        <w:t xml:space="preserve">for </w:t>
      </w:r>
      <w:r w:rsidR="002C0A66">
        <w:t xml:space="preserve">good </w:t>
      </w:r>
      <w:r w:rsidR="009A043E">
        <w:t xml:space="preserve">ways to </w:t>
      </w:r>
      <w:r w:rsidR="00E253B9">
        <w:t>safeguard</w:t>
      </w:r>
      <w:r w:rsidR="009A043E">
        <w:t xml:space="preserve"> living heritage</w:t>
      </w:r>
      <w:r w:rsidR="00E253B9">
        <w:t>.</w:t>
      </w:r>
      <w:r w:rsidR="00B6077E">
        <w:t xml:space="preserve"> </w:t>
      </w:r>
      <w:r w:rsidR="00E253B9">
        <w:t>Based on these findings and noting the</w:t>
      </w:r>
      <w:r w:rsidR="00502F7A">
        <w:t xml:space="preserve"> underuse of the Register, the Committee called upon States Parties and the Secretariat to c</w:t>
      </w:r>
      <w:r w:rsidR="00502F7A" w:rsidRPr="0072502C">
        <w:t>omplement</w:t>
      </w:r>
      <w:r w:rsidR="00502F7A" w:rsidRPr="003974CB">
        <w:t xml:space="preserve"> the Register </w:t>
      </w:r>
      <w:r w:rsidR="00502F7A">
        <w:t xml:space="preserve">with </w:t>
      </w:r>
      <w:r w:rsidR="009A043E">
        <w:t>‘</w:t>
      </w:r>
      <w:r w:rsidR="00502F7A" w:rsidRPr="00E83E26">
        <w:t>alternative and lighter ways of sharing intangible cultural heritage safeguarding practices</w:t>
      </w:r>
      <w:r w:rsidR="009A043E">
        <w:t>’</w:t>
      </w:r>
      <w:r w:rsidR="003D14BD" w:rsidRPr="00E83E26">
        <w:rPr>
          <w:rStyle w:val="Appelnotedebasdep"/>
        </w:rPr>
        <w:footnoteReference w:id="15"/>
      </w:r>
      <w:r w:rsidR="00502F7A" w:rsidRPr="00E83E26">
        <w:t>.</w:t>
      </w:r>
      <w:r w:rsidR="00502F7A" w:rsidRPr="00E829BA">
        <w:t xml:space="preserve"> </w:t>
      </w:r>
      <w:r w:rsidR="00A61A7C">
        <w:t>In</w:t>
      </w:r>
      <w:r w:rsidR="00502F7A">
        <w:t xml:space="preserve"> response, </w:t>
      </w:r>
      <w:r w:rsidR="00502F7A" w:rsidRPr="00320503">
        <w:rPr>
          <w:rStyle w:val="hps"/>
          <w:lang w:val="en-US"/>
        </w:rPr>
        <w:t>the</w:t>
      </w:r>
      <w:r w:rsidR="00502F7A">
        <w:t xml:space="preserve"> Secretariat </w:t>
      </w:r>
      <w:r w:rsidR="00502F7A" w:rsidRPr="00320503">
        <w:rPr>
          <w:rStyle w:val="hps"/>
          <w:lang w:val="en-US"/>
        </w:rPr>
        <w:t>launched a broad consultation, through an online survey</w:t>
      </w:r>
      <w:r w:rsidR="000A4D1E">
        <w:rPr>
          <w:rStyle w:val="hps"/>
          <w:lang w:val="en-US"/>
        </w:rPr>
        <w:t>, as</w:t>
      </w:r>
      <w:r w:rsidR="00A61A7C">
        <w:rPr>
          <w:rStyle w:val="hps"/>
          <w:lang w:val="en-US"/>
        </w:rPr>
        <w:t xml:space="preserve"> </w:t>
      </w:r>
      <w:r w:rsidR="000A4D1E">
        <w:rPr>
          <w:rStyle w:val="hps"/>
          <w:lang w:val="en-US"/>
        </w:rPr>
        <w:t>reported to this session of the Committee</w:t>
      </w:r>
      <w:r w:rsidR="00E253B9">
        <w:rPr>
          <w:rStyle w:val="Appelnotedebasdep"/>
          <w:lang w:val="en-US"/>
        </w:rPr>
        <w:footnoteReference w:id="16"/>
      </w:r>
      <w:r w:rsidR="00A61A7C">
        <w:rPr>
          <w:rStyle w:val="hps"/>
          <w:lang w:val="en-US"/>
        </w:rPr>
        <w:t xml:space="preserve"> (s</w:t>
      </w:r>
      <w:r w:rsidR="002E26E8">
        <w:rPr>
          <w:rStyle w:val="hps"/>
          <w:lang w:val="en-US"/>
        </w:rPr>
        <w:t>ee</w:t>
      </w:r>
      <w:r w:rsidR="002E26E8">
        <w:t> </w:t>
      </w:r>
      <w:hyperlink r:id="rId13" w:history="1">
        <w:r w:rsidR="00836CCB" w:rsidRPr="00AD64FE">
          <w:rPr>
            <w:rStyle w:val="Lienhypertexte"/>
          </w:rPr>
          <w:t>LHE/19/14.COM/5.b</w:t>
        </w:r>
      </w:hyperlink>
      <w:r w:rsidR="00836CCB" w:rsidRPr="003F16B3">
        <w:rPr>
          <w:rStyle w:val="hps"/>
          <w:lang w:val="en-US"/>
        </w:rPr>
        <w:t xml:space="preserve"> for</w:t>
      </w:r>
      <w:r w:rsidR="00836CCB">
        <w:rPr>
          <w:rStyle w:val="hps"/>
          <w:lang w:val="en-US"/>
        </w:rPr>
        <w:t xml:space="preserve"> more information on this topic</w:t>
      </w:r>
      <w:r w:rsidR="00A61A7C">
        <w:rPr>
          <w:rStyle w:val="hps"/>
          <w:lang w:val="en-US"/>
        </w:rPr>
        <w:t>)</w:t>
      </w:r>
      <w:r w:rsidR="00836CCB">
        <w:rPr>
          <w:rStyle w:val="hps"/>
          <w:lang w:val="en-US"/>
        </w:rPr>
        <w:t>.</w:t>
      </w:r>
    </w:p>
    <w:tbl>
      <w:tblPr>
        <w:tblStyle w:val="Grilledutableau"/>
        <w:tblW w:w="0" w:type="auto"/>
        <w:tblInd w:w="567" w:type="dxa"/>
        <w:tblLook w:val="04A0" w:firstRow="1" w:lastRow="0" w:firstColumn="1" w:lastColumn="0" w:noHBand="0" w:noVBand="1"/>
      </w:tblPr>
      <w:tblGrid>
        <w:gridCol w:w="9061"/>
      </w:tblGrid>
      <w:tr w:rsidR="001E5EC5" w:rsidRPr="000601DB" w14:paraId="37512C0C" w14:textId="77777777" w:rsidTr="004A7593">
        <w:tc>
          <w:tcPr>
            <w:tcW w:w="9061" w:type="dxa"/>
            <w:shd w:val="clear" w:color="auto" w:fill="F2F2F2" w:themeFill="background1" w:themeFillShade="F2"/>
          </w:tcPr>
          <w:p w14:paraId="6736AB29" w14:textId="16156769" w:rsidR="001E5EC5" w:rsidRPr="004A7593" w:rsidRDefault="005378C9" w:rsidP="004A190D">
            <w:pPr>
              <w:pStyle w:val="COMPara"/>
              <w:numPr>
                <w:ilvl w:val="0"/>
                <w:numId w:val="0"/>
              </w:numPr>
              <w:spacing w:before="120"/>
              <w:jc w:val="both"/>
            </w:pPr>
            <w:r>
              <w:t>B</w:t>
            </w:r>
            <w:r w:rsidR="00807BEC">
              <w:t>.</w:t>
            </w:r>
            <w:r w:rsidR="00807BEC">
              <w:tab/>
            </w:r>
            <w:r w:rsidR="001E5EC5">
              <w:t xml:space="preserve">Issues related to </w:t>
            </w:r>
            <w:r w:rsidR="009E564C">
              <w:t xml:space="preserve">the </w:t>
            </w:r>
            <w:r w:rsidR="001E5EC5">
              <w:t>criteria</w:t>
            </w:r>
            <w:r w:rsidR="009E564C">
              <w:t xml:space="preserve"> of inscription.</w:t>
            </w:r>
          </w:p>
        </w:tc>
      </w:tr>
    </w:tbl>
    <w:p w14:paraId="13F44E55" w14:textId="7E5D2D68" w:rsidR="00726855" w:rsidRDefault="00726855" w:rsidP="00726855">
      <w:pPr>
        <w:pStyle w:val="COMPara"/>
        <w:keepNext/>
        <w:spacing w:before="120"/>
        <w:ind w:left="567" w:hanging="567"/>
        <w:jc w:val="both"/>
        <w:rPr>
          <w:lang w:val="en-US"/>
        </w:rPr>
      </w:pPr>
      <w:r w:rsidRPr="00EF1D02">
        <w:rPr>
          <w:b/>
        </w:rPr>
        <w:t>Recurrent difficulties with criterion R.2</w:t>
      </w:r>
      <w:r w:rsidRPr="00EF1D02">
        <w:t xml:space="preserve">: </w:t>
      </w:r>
      <w:r w:rsidR="00A61A7C">
        <w:t>C</w:t>
      </w:r>
      <w:r w:rsidRPr="00EF1D02">
        <w:t xml:space="preserve">riterion R.2 </w:t>
      </w:r>
      <w:r w:rsidRPr="00EF1D02">
        <w:rPr>
          <w:lang w:val="en-US"/>
        </w:rPr>
        <w:t>reflects the fundamental purpose and objective of the Representative List,</w:t>
      </w:r>
      <w:r w:rsidRPr="00EF1D02">
        <w:t xml:space="preserve"> which </w:t>
      </w:r>
      <w:r w:rsidR="00807BEC">
        <w:t xml:space="preserve">include </w:t>
      </w:r>
      <w:r w:rsidRPr="00EF1D02">
        <w:t>contribut</w:t>
      </w:r>
      <w:r w:rsidR="00807BEC">
        <w:t>ing</w:t>
      </w:r>
      <w:r w:rsidRPr="00EF1D02">
        <w:t xml:space="preserve"> to the visibility of intangible cultural heritage and rais</w:t>
      </w:r>
      <w:r w:rsidR="00807BEC">
        <w:t>ing</w:t>
      </w:r>
      <w:r w:rsidRPr="00EF1D02">
        <w:t xml:space="preserve"> awareness of its importance, encourag</w:t>
      </w:r>
      <w:r w:rsidR="00807BEC">
        <w:t>ing</w:t>
      </w:r>
      <w:r w:rsidRPr="00EF1D02">
        <w:t xml:space="preserve"> dialogue among communities, groups and individuals, </w:t>
      </w:r>
      <w:r w:rsidR="00211BAD" w:rsidRPr="00EF1D02">
        <w:t>a</w:t>
      </w:r>
      <w:r w:rsidR="00211BAD">
        <w:t>s well as</w:t>
      </w:r>
      <w:r w:rsidR="00211BAD" w:rsidRPr="00EF1D02">
        <w:t xml:space="preserve"> promot</w:t>
      </w:r>
      <w:r w:rsidR="00211BAD">
        <w:t>ing</w:t>
      </w:r>
      <w:r w:rsidR="00211BAD" w:rsidRPr="00EF1D02">
        <w:t xml:space="preserve"> </w:t>
      </w:r>
      <w:r w:rsidRPr="00EF1D02">
        <w:t xml:space="preserve">respect for cultural diversity and human creativity. </w:t>
      </w:r>
      <w:r w:rsidR="00A61A7C">
        <w:t>However</w:t>
      </w:r>
      <w:r w:rsidRPr="00EF1D02">
        <w:t xml:space="preserve">, the </w:t>
      </w:r>
      <w:r w:rsidR="00884C8D">
        <w:t>e</w:t>
      </w:r>
      <w:r w:rsidR="00A61A7C" w:rsidRPr="00EF1D02">
        <w:t xml:space="preserve">valuation </w:t>
      </w:r>
      <w:r w:rsidR="00884C8D">
        <w:t>b</w:t>
      </w:r>
      <w:r w:rsidR="00A61A7C" w:rsidRPr="00EF1D02">
        <w:t xml:space="preserve">odies </w:t>
      </w:r>
      <w:r w:rsidRPr="00EF1D02">
        <w:t xml:space="preserve">and the Committee </w:t>
      </w:r>
      <w:r w:rsidR="00A61A7C" w:rsidRPr="00EF1D02">
        <w:t>ha</w:t>
      </w:r>
      <w:r w:rsidR="00A61A7C">
        <w:t>ve</w:t>
      </w:r>
      <w:r w:rsidR="00A61A7C" w:rsidRPr="00EF1D02">
        <w:t xml:space="preserve"> </w:t>
      </w:r>
      <w:r w:rsidRPr="00EF1D02">
        <w:t xml:space="preserve">repeatedly underlined the persistent misunderstanding </w:t>
      </w:r>
      <w:r w:rsidR="00BA724D" w:rsidRPr="00EF1D02">
        <w:t>of criterion R.2</w:t>
      </w:r>
      <w:r w:rsidR="00BA724D">
        <w:t xml:space="preserve"> o</w:t>
      </w:r>
      <w:r w:rsidRPr="00EF1D02">
        <w:t>n the part of submitting States</w:t>
      </w:r>
      <w:r w:rsidRPr="00EF1D02">
        <w:rPr>
          <w:rStyle w:val="Appelnotedebasdep"/>
        </w:rPr>
        <w:footnoteReference w:id="17"/>
      </w:r>
      <w:r w:rsidRPr="00EF1D02">
        <w:t xml:space="preserve">. Many files focus on </w:t>
      </w:r>
      <w:r w:rsidRPr="00EF1D02">
        <w:rPr>
          <w:lang w:val="en-US"/>
        </w:rPr>
        <w:t xml:space="preserve">the enhanced visibility of the element itself rather than the visibility of intangible cultural heritage in general. </w:t>
      </w:r>
      <w:r w:rsidR="00556BE1">
        <w:rPr>
          <w:lang w:val="en-US"/>
        </w:rPr>
        <w:t xml:space="preserve">One </w:t>
      </w:r>
      <w:r w:rsidRPr="00EF1D02">
        <w:rPr>
          <w:lang w:val="en-US"/>
        </w:rPr>
        <w:t xml:space="preserve">reason for </w:t>
      </w:r>
      <w:r w:rsidR="00BA724D">
        <w:rPr>
          <w:lang w:val="en-US"/>
        </w:rPr>
        <w:t>such</w:t>
      </w:r>
      <w:r w:rsidRPr="00EF1D02">
        <w:rPr>
          <w:lang w:val="en-US"/>
        </w:rPr>
        <w:t xml:space="preserve"> difficulties seem</w:t>
      </w:r>
      <w:r w:rsidR="00A61A7C">
        <w:rPr>
          <w:lang w:val="en-US"/>
        </w:rPr>
        <w:t>s</w:t>
      </w:r>
      <w:r w:rsidRPr="00EF1D02">
        <w:rPr>
          <w:lang w:val="en-US"/>
        </w:rPr>
        <w:t xml:space="preserve"> to relate to the fact that this criterion requires a point of view on the nominated element</w:t>
      </w:r>
      <w:r w:rsidR="00A61A7C">
        <w:rPr>
          <w:lang w:val="en-US"/>
        </w:rPr>
        <w:t xml:space="preserve"> </w:t>
      </w:r>
      <w:r w:rsidR="00BA724D">
        <w:rPr>
          <w:lang w:val="en-US"/>
        </w:rPr>
        <w:t xml:space="preserve">that is </w:t>
      </w:r>
      <w:r w:rsidR="00A61A7C" w:rsidRPr="00EF1D02">
        <w:rPr>
          <w:lang w:val="en-US"/>
        </w:rPr>
        <w:t>external to the communities</w:t>
      </w:r>
      <w:r w:rsidR="00A61A7C">
        <w:rPr>
          <w:lang w:val="en-US"/>
        </w:rPr>
        <w:t xml:space="preserve"> themselves</w:t>
      </w:r>
      <w:r w:rsidRPr="00EF1D02">
        <w:rPr>
          <w:lang w:val="en-US"/>
        </w:rPr>
        <w:t xml:space="preserve">, while the rest of the criteria and the descriptive parts of the nomination files are set up to encourage the demonstration of </w:t>
      </w:r>
      <w:r w:rsidR="00A61A7C">
        <w:rPr>
          <w:lang w:val="en-US"/>
        </w:rPr>
        <w:t xml:space="preserve">the </w:t>
      </w:r>
      <w:r w:rsidRPr="00EF1D02">
        <w:rPr>
          <w:lang w:val="en-US"/>
        </w:rPr>
        <w:t>communities</w:t>
      </w:r>
      <w:r w:rsidR="00836CCB" w:rsidRPr="00EF1D02">
        <w:rPr>
          <w:lang w:val="en-US"/>
        </w:rPr>
        <w:t>’</w:t>
      </w:r>
      <w:r w:rsidRPr="00EF1D02">
        <w:rPr>
          <w:lang w:val="en-US"/>
        </w:rPr>
        <w:t xml:space="preserve"> points of view</w:t>
      </w:r>
      <w:r w:rsidRPr="00EF1D02">
        <w:rPr>
          <w:rStyle w:val="Appelnotedebasdep"/>
          <w:lang w:val="en-US"/>
        </w:rPr>
        <w:footnoteReference w:id="18"/>
      </w:r>
      <w:r w:rsidRPr="00EF1D02">
        <w:rPr>
          <w:lang w:val="en-US"/>
        </w:rPr>
        <w:t xml:space="preserve">. </w:t>
      </w:r>
      <w:r w:rsidRPr="00EF1D02">
        <w:rPr>
          <w:rFonts w:eastAsia="SimSun"/>
          <w:lang w:val="en-US"/>
        </w:rPr>
        <w:t xml:space="preserve">Furthermore, </w:t>
      </w:r>
      <w:r w:rsidRPr="00EF1D02">
        <w:rPr>
          <w:rFonts w:eastAsia="SimSun"/>
        </w:rPr>
        <w:t>this criterion requires proof of a future outcome, which is not known when the nomination is being drafted</w:t>
      </w:r>
      <w:r w:rsidRPr="00EF1D02">
        <w:rPr>
          <w:rStyle w:val="Appelnotedebasdep"/>
          <w:rFonts w:eastAsia="SimSun"/>
        </w:rPr>
        <w:footnoteReference w:id="19"/>
      </w:r>
      <w:r w:rsidRPr="00EF1D02">
        <w:rPr>
          <w:rFonts w:eastAsia="SimSun"/>
        </w:rPr>
        <w:t>.</w:t>
      </w:r>
      <w:r w:rsidRPr="00EF1D02">
        <w:rPr>
          <w:lang w:val="en-US"/>
        </w:rPr>
        <w:t xml:space="preserve"> </w:t>
      </w:r>
      <w:r w:rsidR="00556BE1">
        <w:rPr>
          <w:lang w:val="en-US"/>
        </w:rPr>
        <w:t xml:space="preserve">The misunderstanding related to the purpose of the Representative List and confusion between </w:t>
      </w:r>
      <w:r w:rsidR="000266B0">
        <w:rPr>
          <w:lang w:val="en-US"/>
        </w:rPr>
        <w:t>‘</w:t>
      </w:r>
      <w:r w:rsidR="00556BE1">
        <w:rPr>
          <w:lang w:val="en-US"/>
        </w:rPr>
        <w:t>representativeness</w:t>
      </w:r>
      <w:r w:rsidR="000266B0">
        <w:rPr>
          <w:lang w:val="en-US"/>
        </w:rPr>
        <w:t>’</w:t>
      </w:r>
      <w:r w:rsidR="00556BE1">
        <w:rPr>
          <w:lang w:val="en-US"/>
        </w:rPr>
        <w:t xml:space="preserve"> and </w:t>
      </w:r>
      <w:r w:rsidR="000266B0">
        <w:rPr>
          <w:lang w:val="en-US"/>
        </w:rPr>
        <w:t>‘</w:t>
      </w:r>
      <w:r w:rsidR="00556BE1">
        <w:rPr>
          <w:lang w:val="en-US"/>
        </w:rPr>
        <w:t>outstanding universal value</w:t>
      </w:r>
      <w:r w:rsidR="000266B0">
        <w:rPr>
          <w:lang w:val="en-US"/>
        </w:rPr>
        <w:t>’</w:t>
      </w:r>
      <w:r w:rsidR="00556BE1">
        <w:rPr>
          <w:lang w:val="en-US"/>
        </w:rPr>
        <w:t xml:space="preserve"> is another </w:t>
      </w:r>
      <w:r w:rsidR="00956787">
        <w:rPr>
          <w:lang w:val="en-US"/>
        </w:rPr>
        <w:t xml:space="preserve">major </w:t>
      </w:r>
      <w:r w:rsidR="00556BE1">
        <w:rPr>
          <w:lang w:val="en-US"/>
        </w:rPr>
        <w:t xml:space="preserve">reason </w:t>
      </w:r>
      <w:r w:rsidR="00A61A7C">
        <w:rPr>
          <w:lang w:val="en-US"/>
        </w:rPr>
        <w:t>for</w:t>
      </w:r>
      <w:r w:rsidR="00556BE1">
        <w:rPr>
          <w:lang w:val="en-US"/>
        </w:rPr>
        <w:t xml:space="preserve"> the difficulties States</w:t>
      </w:r>
      <w:r w:rsidR="00956787">
        <w:rPr>
          <w:lang w:val="en-US"/>
        </w:rPr>
        <w:t xml:space="preserve"> </w:t>
      </w:r>
      <w:r w:rsidR="00A61A7C">
        <w:rPr>
          <w:lang w:val="en-US"/>
        </w:rPr>
        <w:t>experience</w:t>
      </w:r>
      <w:r w:rsidR="00556BE1">
        <w:rPr>
          <w:lang w:val="en-US"/>
        </w:rPr>
        <w:t xml:space="preserve"> </w:t>
      </w:r>
      <w:r w:rsidR="006603A1">
        <w:rPr>
          <w:lang w:val="en-US"/>
        </w:rPr>
        <w:t>in responding to criterion</w:t>
      </w:r>
      <w:r w:rsidR="002E26E8">
        <w:t> </w:t>
      </w:r>
      <w:r w:rsidR="00556BE1">
        <w:rPr>
          <w:lang w:val="en-US"/>
        </w:rPr>
        <w:t>R.2.</w:t>
      </w:r>
      <w:r w:rsidR="00556BE1" w:rsidRPr="006603A1">
        <w:rPr>
          <w:lang w:val="en-US"/>
        </w:rPr>
        <w:t xml:space="preserve"> </w:t>
      </w:r>
      <w:r w:rsidR="006B2BBC" w:rsidRPr="00EF1D02">
        <w:rPr>
          <w:lang w:val="en-US"/>
        </w:rPr>
        <w:t>Despite</w:t>
      </w:r>
      <w:r w:rsidR="006B2BBC">
        <w:rPr>
          <w:lang w:val="en-US"/>
        </w:rPr>
        <w:t xml:space="preserve"> </w:t>
      </w:r>
      <w:r w:rsidR="006B2BBC" w:rsidRPr="004A7593">
        <w:rPr>
          <w:lang w:val="en-US"/>
        </w:rPr>
        <w:t>s</w:t>
      </w:r>
      <w:r w:rsidR="00836CCB" w:rsidRPr="00EF1D02">
        <w:rPr>
          <w:lang w:val="en-US"/>
        </w:rPr>
        <w:t xml:space="preserve">everal revisions to </w:t>
      </w:r>
      <w:r w:rsidRPr="00EF1D02">
        <w:rPr>
          <w:lang w:val="en-US"/>
        </w:rPr>
        <w:t>the nomination forms</w:t>
      </w:r>
      <w:r w:rsidR="006B2BBC" w:rsidRPr="004A7593">
        <w:rPr>
          <w:lang w:val="en-US"/>
        </w:rPr>
        <w:t xml:space="preserve"> concerning R.2</w:t>
      </w:r>
      <w:r w:rsidRPr="00EF1D02">
        <w:rPr>
          <w:lang w:val="en-US"/>
        </w:rPr>
        <w:t xml:space="preserve">, </w:t>
      </w:r>
      <w:r w:rsidR="00794CB1">
        <w:rPr>
          <w:lang w:val="en-US"/>
        </w:rPr>
        <w:t>this criterion continues to pose problems in the nomination process.</w:t>
      </w:r>
    </w:p>
    <w:p w14:paraId="6CD77053" w14:textId="0FA3EE5D" w:rsidR="001E58FB" w:rsidRPr="001E58FB" w:rsidRDefault="001E58FB" w:rsidP="004A190D">
      <w:pPr>
        <w:pStyle w:val="COMPara"/>
        <w:keepNext/>
        <w:spacing w:before="120"/>
        <w:ind w:left="567" w:hanging="567"/>
        <w:jc w:val="both"/>
      </w:pPr>
      <w:r w:rsidRPr="001E58FB">
        <w:rPr>
          <w:b/>
        </w:rPr>
        <w:t>Difficulties with criterion U.5/R.5</w:t>
      </w:r>
      <w:r w:rsidRPr="004A190D">
        <w:t>:</w:t>
      </w:r>
      <w:r w:rsidRPr="004A190D" w:rsidDel="001E58FB">
        <w:t xml:space="preserve"> </w:t>
      </w:r>
      <w:r>
        <w:t xml:space="preserve">Criteria U.5/R.5 reflect the obligation of States Parties to draw and update inventories of intangible cultural heritage present in their territories with the participation of communities, groups and non-governmental organizations as a safeguarding measure (articles 11 and 12 of the Convention). </w:t>
      </w:r>
      <w:r w:rsidR="000E7362">
        <w:t>In this regard</w:t>
      </w:r>
      <w:r>
        <w:t xml:space="preserve">, the evaluation </w:t>
      </w:r>
      <w:r w:rsidR="00C31098">
        <w:t xml:space="preserve">bodies </w:t>
      </w:r>
      <w:r w:rsidR="00926962">
        <w:t xml:space="preserve">have </w:t>
      </w:r>
      <w:r w:rsidR="00C31098">
        <w:t>repeated</w:t>
      </w:r>
      <w:r w:rsidR="00E12B03">
        <w:t xml:space="preserve">ly drawn attention to the fact </w:t>
      </w:r>
      <w:r>
        <w:t>that many</w:t>
      </w:r>
      <w:r w:rsidRPr="001E58FB">
        <w:t xml:space="preserve"> nomination files</w:t>
      </w:r>
      <w:r>
        <w:t xml:space="preserve"> fail</w:t>
      </w:r>
      <w:r w:rsidR="00C31098">
        <w:t>ed</w:t>
      </w:r>
      <w:r>
        <w:t xml:space="preserve"> to</w:t>
      </w:r>
      <w:r w:rsidR="00C31098">
        <w:t xml:space="preserve"> fully satisfy</w:t>
      </w:r>
      <w:r w:rsidRPr="001E58FB">
        <w:t xml:space="preserve"> criteria U.5/R.5</w:t>
      </w:r>
      <w:r w:rsidR="005402FE">
        <w:t xml:space="preserve">. </w:t>
      </w:r>
      <w:r w:rsidR="00E12B03">
        <w:t>This</w:t>
      </w:r>
      <w:r w:rsidR="005402FE">
        <w:t xml:space="preserve"> </w:t>
      </w:r>
      <w:r w:rsidR="00E12B03">
        <w:t>seems often to be</w:t>
      </w:r>
      <w:r w:rsidR="005402FE">
        <w:t xml:space="preserve"> because the modality and periodicity of drawing and updating inventories in accordance to articles 11 and 12 was not explained</w:t>
      </w:r>
      <w:r w:rsidR="00E12B03">
        <w:t xml:space="preserve"> adequately, leading to referral recommendations</w:t>
      </w:r>
      <w:r w:rsidR="006A5F78">
        <w:rPr>
          <w:rStyle w:val="Appelnotedebasdep"/>
        </w:rPr>
        <w:footnoteReference w:id="20"/>
      </w:r>
      <w:r w:rsidR="005402FE">
        <w:t xml:space="preserve">. </w:t>
      </w:r>
      <w:r w:rsidR="00926962">
        <w:t>Nevertheless t</w:t>
      </w:r>
      <w:r w:rsidR="005402FE">
        <w:t xml:space="preserve">he Evaluation Body </w:t>
      </w:r>
      <w:r w:rsidR="00926962">
        <w:t>in 2018</w:t>
      </w:r>
      <w:r w:rsidR="005402FE">
        <w:t xml:space="preserve"> felt that </w:t>
      </w:r>
      <w:r w:rsidR="00926962">
        <w:t xml:space="preserve">the </w:t>
      </w:r>
      <w:r w:rsidR="00C31098">
        <w:t xml:space="preserve">recent </w:t>
      </w:r>
      <w:r w:rsidR="005402FE">
        <w:lastRenderedPageBreak/>
        <w:t xml:space="preserve">reform of the nomination forms regarding criterion R.5 </w:t>
      </w:r>
      <w:r w:rsidR="00926962">
        <w:t xml:space="preserve">had </w:t>
      </w:r>
      <w:r w:rsidR="005402FE">
        <w:t xml:space="preserve">helped to better guide submitting States </w:t>
      </w:r>
      <w:r w:rsidR="00926962">
        <w:t xml:space="preserve">in </w:t>
      </w:r>
      <w:r w:rsidR="005402FE">
        <w:t>provid</w:t>
      </w:r>
      <w:r w:rsidR="00926962">
        <w:t xml:space="preserve">ing </w:t>
      </w:r>
      <w:r w:rsidR="005402FE">
        <w:t>the necessary information to satisfy this criterion</w:t>
      </w:r>
      <w:r w:rsidR="005513FD">
        <w:rPr>
          <w:rStyle w:val="Appelnotedebasdep"/>
        </w:rPr>
        <w:footnoteReference w:id="21"/>
      </w:r>
      <w:r w:rsidR="005402FE">
        <w:t>.</w:t>
      </w:r>
    </w:p>
    <w:p w14:paraId="1E6DC934" w14:textId="2119B49C" w:rsidR="00726855" w:rsidRPr="00BD0245" w:rsidRDefault="007E3221" w:rsidP="002E26E8">
      <w:pPr>
        <w:pStyle w:val="COMPara"/>
        <w:keepNext/>
        <w:spacing w:before="120" w:after="360"/>
        <w:ind w:left="567" w:hanging="567"/>
        <w:jc w:val="both"/>
        <w:rPr>
          <w:rFonts w:eastAsia="SimSun"/>
          <w:lang w:eastAsia="ja-JP"/>
        </w:rPr>
      </w:pPr>
      <w:r w:rsidRPr="004A7593">
        <w:rPr>
          <w:b/>
          <w:lang w:val="en-US"/>
        </w:rPr>
        <w:t xml:space="preserve">Earlier </w:t>
      </w:r>
      <w:r w:rsidRPr="004A190D">
        <w:rPr>
          <w:b/>
        </w:rPr>
        <w:t>debate</w:t>
      </w:r>
      <w:r w:rsidR="000E7362">
        <w:rPr>
          <w:b/>
        </w:rPr>
        <w:t>s</w:t>
      </w:r>
      <w:r>
        <w:rPr>
          <w:lang w:val="en-US"/>
        </w:rPr>
        <w:t xml:space="preserve">: </w:t>
      </w:r>
      <w:r w:rsidR="00726855">
        <w:rPr>
          <w:lang w:val="en-US"/>
        </w:rPr>
        <w:t xml:space="preserve">It </w:t>
      </w:r>
      <w:r w:rsidR="00BA724D">
        <w:rPr>
          <w:lang w:val="en-US"/>
        </w:rPr>
        <w:t>should be noted</w:t>
      </w:r>
      <w:r w:rsidR="00726855">
        <w:rPr>
          <w:lang w:val="en-US"/>
        </w:rPr>
        <w:t xml:space="preserve"> that</w:t>
      </w:r>
      <w:r w:rsidR="00A61A7C">
        <w:rPr>
          <w:lang w:val="en-US"/>
        </w:rPr>
        <w:t>,</w:t>
      </w:r>
      <w:r w:rsidR="00726855" w:rsidRPr="003648A5">
        <w:rPr>
          <w:lang w:val="en-US"/>
        </w:rPr>
        <w:t xml:space="preserve"> at the request of the General Assembly at its third session in 2010</w:t>
      </w:r>
      <w:r w:rsidR="00726855">
        <w:rPr>
          <w:rStyle w:val="Appelnotedebasdep"/>
          <w:lang w:val="en-US"/>
        </w:rPr>
        <w:footnoteReference w:id="22"/>
      </w:r>
      <w:r w:rsidR="00726855" w:rsidRPr="009442D9">
        <w:t xml:space="preserve">, the Committee </w:t>
      </w:r>
      <w:r w:rsidR="00726855">
        <w:t xml:space="preserve">already </w:t>
      </w:r>
      <w:r w:rsidR="00726855" w:rsidRPr="009442D9">
        <w:t>undertook a reflection on revising the criteria for inscription on the Urgent Safeguarding List and the Representative List</w:t>
      </w:r>
      <w:r w:rsidR="00726855" w:rsidRPr="009442D9">
        <w:rPr>
          <w:rFonts w:eastAsia="SimSun"/>
          <w:lang w:eastAsia="ja-JP"/>
        </w:rPr>
        <w:t xml:space="preserve"> at its fifth and sixth sessions</w:t>
      </w:r>
      <w:r w:rsidR="00726855" w:rsidRPr="009442D9">
        <w:t>.</w:t>
      </w:r>
      <w:r w:rsidR="00726855">
        <w:t xml:space="preserve"> </w:t>
      </w:r>
      <w:r w:rsidR="00BA724D">
        <w:rPr>
          <w:rFonts w:eastAsia="SimSun"/>
          <w:lang w:eastAsia="ja-JP"/>
        </w:rPr>
        <w:t>The ar</w:t>
      </w:r>
      <w:r w:rsidR="00BA724D" w:rsidRPr="00783728">
        <w:rPr>
          <w:rFonts w:eastAsia="SimSun"/>
          <w:lang w:eastAsia="ja-JP"/>
        </w:rPr>
        <w:t xml:space="preserve">guments </w:t>
      </w:r>
      <w:r w:rsidR="00726855" w:rsidRPr="00783728">
        <w:rPr>
          <w:rFonts w:eastAsia="SimSun"/>
          <w:lang w:eastAsia="ja-JP"/>
        </w:rPr>
        <w:t xml:space="preserve">expressed </w:t>
      </w:r>
      <w:r w:rsidR="00A61A7C">
        <w:rPr>
          <w:rFonts w:eastAsia="SimSun"/>
          <w:lang w:eastAsia="ja-JP"/>
        </w:rPr>
        <w:t>by</w:t>
      </w:r>
      <w:r w:rsidR="00A61A7C" w:rsidRPr="00783728">
        <w:rPr>
          <w:rFonts w:eastAsia="SimSun"/>
          <w:lang w:eastAsia="ja-JP"/>
        </w:rPr>
        <w:t xml:space="preserve"> </w:t>
      </w:r>
      <w:r w:rsidR="00726855" w:rsidRPr="00783728">
        <w:rPr>
          <w:rFonts w:eastAsia="SimSun"/>
          <w:lang w:eastAsia="ja-JP"/>
        </w:rPr>
        <w:t>a minority of States regarding potential amendments</w:t>
      </w:r>
      <w:r w:rsidR="00726855" w:rsidRPr="000B7AE7">
        <w:rPr>
          <w:rFonts w:eastAsia="SimSun"/>
          <w:lang w:eastAsia="ja-JP"/>
        </w:rPr>
        <w:t xml:space="preserve"> to criterion R.2</w:t>
      </w:r>
      <w:r w:rsidR="00726855" w:rsidRPr="00474F57">
        <w:rPr>
          <w:rFonts w:eastAsia="SimSun"/>
          <w:lang w:eastAsia="ja-JP"/>
        </w:rPr>
        <w:t xml:space="preserve"> during these meeting</w:t>
      </w:r>
      <w:r w:rsidR="00BA724D">
        <w:rPr>
          <w:rFonts w:eastAsia="SimSun"/>
          <w:lang w:eastAsia="ja-JP"/>
        </w:rPr>
        <w:t>s</w:t>
      </w:r>
      <w:r w:rsidR="00726855" w:rsidRPr="00474F57">
        <w:rPr>
          <w:rFonts w:eastAsia="SimSun"/>
          <w:lang w:eastAsia="ja-JP"/>
        </w:rPr>
        <w:t xml:space="preserve"> included</w:t>
      </w:r>
      <w:r w:rsidR="00A61A7C">
        <w:rPr>
          <w:rFonts w:eastAsia="SimSun"/>
          <w:lang w:eastAsia="ja-JP"/>
        </w:rPr>
        <w:t xml:space="preserve"> the following</w:t>
      </w:r>
      <w:r w:rsidR="00726855" w:rsidRPr="00474F57">
        <w:rPr>
          <w:rFonts w:eastAsia="SimSun"/>
          <w:lang w:eastAsia="ja-JP"/>
        </w:rPr>
        <w:t xml:space="preserve">: (1) that </w:t>
      </w:r>
      <w:r w:rsidR="00A61A7C">
        <w:rPr>
          <w:rFonts w:eastAsia="SimSun"/>
          <w:lang w:eastAsia="ja-JP"/>
        </w:rPr>
        <w:t xml:space="preserve">the </w:t>
      </w:r>
      <w:r w:rsidR="00726855" w:rsidRPr="00474F57">
        <w:rPr>
          <w:rFonts w:eastAsia="SimSun"/>
          <w:lang w:eastAsia="ja-JP"/>
        </w:rPr>
        <w:t xml:space="preserve">visibility and awareness of the significance </w:t>
      </w:r>
      <w:r w:rsidR="00A61A7C">
        <w:rPr>
          <w:rFonts w:eastAsia="SimSun"/>
          <w:lang w:eastAsia="ja-JP"/>
        </w:rPr>
        <w:t xml:space="preserve">of </w:t>
      </w:r>
      <w:r w:rsidR="00726855" w:rsidRPr="00474F57">
        <w:rPr>
          <w:rFonts w:eastAsia="SimSun"/>
          <w:lang w:eastAsia="ja-JP"/>
        </w:rPr>
        <w:t>intangible cultural heritage were a consequence rather than a pre-condition for inscription</w:t>
      </w:r>
      <w:r w:rsidR="00A61A7C">
        <w:rPr>
          <w:rFonts w:eastAsia="SimSun"/>
          <w:lang w:eastAsia="ja-JP"/>
        </w:rPr>
        <w:t>;</w:t>
      </w:r>
      <w:r w:rsidR="00726855" w:rsidRPr="00474F57">
        <w:rPr>
          <w:rFonts w:eastAsia="SimSun"/>
          <w:lang w:eastAsia="ja-JP"/>
        </w:rPr>
        <w:t xml:space="preserve"> (2) that criterion R.2 was redundant</w:t>
      </w:r>
      <w:r w:rsidR="00A61A7C">
        <w:rPr>
          <w:rFonts w:eastAsia="SimSun"/>
          <w:lang w:eastAsia="ja-JP"/>
        </w:rPr>
        <w:t>;</w:t>
      </w:r>
      <w:r w:rsidR="00726855" w:rsidRPr="00474F57">
        <w:rPr>
          <w:rFonts w:eastAsia="SimSun"/>
          <w:lang w:eastAsia="ja-JP"/>
        </w:rPr>
        <w:t xml:space="preserve"> and (3) that criterion R.2 should </w:t>
      </w:r>
      <w:r w:rsidR="00BA724D">
        <w:rPr>
          <w:rFonts w:eastAsia="SimSun"/>
          <w:lang w:eastAsia="ja-JP"/>
        </w:rPr>
        <w:t>be</w:t>
      </w:r>
      <w:r w:rsidR="00726855" w:rsidRPr="00474F57">
        <w:rPr>
          <w:rFonts w:eastAsia="SimSun"/>
          <w:lang w:eastAsia="ja-JP"/>
        </w:rPr>
        <w:t xml:space="preserve"> deleted or merged with criterion R.1. The </w:t>
      </w:r>
      <w:r w:rsidR="00726855">
        <w:rPr>
          <w:rFonts w:eastAsia="SimSun"/>
          <w:lang w:eastAsia="ja-JP"/>
        </w:rPr>
        <w:t xml:space="preserve">majority </w:t>
      </w:r>
      <w:r w:rsidR="00E779DF">
        <w:rPr>
          <w:rFonts w:eastAsia="SimSun"/>
          <w:lang w:eastAsia="ja-JP"/>
        </w:rPr>
        <w:t xml:space="preserve">of States </w:t>
      </w:r>
      <w:r w:rsidR="00726855">
        <w:rPr>
          <w:rFonts w:eastAsia="SimSun"/>
          <w:lang w:eastAsia="ja-JP"/>
        </w:rPr>
        <w:t>considered</w:t>
      </w:r>
      <w:r w:rsidR="00726855" w:rsidRPr="00783728">
        <w:rPr>
          <w:rFonts w:eastAsia="SimSun"/>
          <w:lang w:eastAsia="ja-JP"/>
        </w:rPr>
        <w:t xml:space="preserve"> that the criteria </w:t>
      </w:r>
      <w:r w:rsidR="00A61A7C">
        <w:rPr>
          <w:rFonts w:eastAsia="SimSun"/>
          <w:lang w:eastAsia="ja-JP"/>
        </w:rPr>
        <w:t>had been</w:t>
      </w:r>
      <w:r w:rsidR="00A61A7C" w:rsidRPr="00783728">
        <w:rPr>
          <w:rFonts w:eastAsia="SimSun"/>
          <w:lang w:eastAsia="ja-JP"/>
        </w:rPr>
        <w:t xml:space="preserve"> </w:t>
      </w:r>
      <w:r w:rsidR="00726855">
        <w:rPr>
          <w:rFonts w:eastAsia="SimSun"/>
          <w:lang w:eastAsia="ja-JP"/>
        </w:rPr>
        <w:t xml:space="preserve">established as </w:t>
      </w:r>
      <w:r w:rsidR="00726855" w:rsidRPr="00783728">
        <w:rPr>
          <w:rFonts w:eastAsia="SimSun"/>
          <w:lang w:eastAsia="ja-JP"/>
        </w:rPr>
        <w:t xml:space="preserve">the </w:t>
      </w:r>
      <w:r w:rsidR="00726855" w:rsidRPr="00474F57">
        <w:rPr>
          <w:rFonts w:eastAsia="SimSun"/>
          <w:lang w:eastAsia="ja-JP"/>
        </w:rPr>
        <w:t xml:space="preserve">result of careful and lengthy considerations and </w:t>
      </w:r>
      <w:r w:rsidR="00A61A7C">
        <w:rPr>
          <w:rFonts w:eastAsia="SimSun"/>
          <w:lang w:eastAsia="ja-JP"/>
        </w:rPr>
        <w:t>that</w:t>
      </w:r>
      <w:r w:rsidR="00A61A7C" w:rsidRPr="00474F57">
        <w:rPr>
          <w:rFonts w:eastAsia="SimSun"/>
          <w:lang w:eastAsia="ja-JP"/>
        </w:rPr>
        <w:t xml:space="preserve"> </w:t>
      </w:r>
      <w:r w:rsidR="00726855" w:rsidRPr="00474F57">
        <w:rPr>
          <w:rFonts w:eastAsia="SimSun"/>
          <w:lang w:eastAsia="ja-JP"/>
        </w:rPr>
        <w:t xml:space="preserve">revision at that point would </w:t>
      </w:r>
      <w:r w:rsidR="00A61A7C">
        <w:rPr>
          <w:rFonts w:eastAsia="SimSun"/>
          <w:lang w:eastAsia="ja-JP"/>
        </w:rPr>
        <w:t xml:space="preserve">therefore </w:t>
      </w:r>
      <w:r w:rsidR="00726855" w:rsidRPr="00474F57">
        <w:rPr>
          <w:rFonts w:eastAsia="SimSun"/>
          <w:lang w:eastAsia="ja-JP"/>
        </w:rPr>
        <w:t>be premature. Furthermore, it was argued that criterion</w:t>
      </w:r>
      <w:r w:rsidR="002E26E8">
        <w:t> </w:t>
      </w:r>
      <w:r w:rsidR="00726855" w:rsidRPr="00474F57">
        <w:rPr>
          <w:rFonts w:eastAsia="SimSun"/>
          <w:lang w:eastAsia="ja-JP"/>
        </w:rPr>
        <w:t xml:space="preserve">R.2 reflected the main purpose of the Representative List and should </w:t>
      </w:r>
      <w:r w:rsidR="00A61A7C">
        <w:rPr>
          <w:rFonts w:eastAsia="SimSun"/>
          <w:lang w:eastAsia="ja-JP"/>
        </w:rPr>
        <w:t>therefore be</w:t>
      </w:r>
      <w:r w:rsidR="00726855" w:rsidRPr="00474F57">
        <w:rPr>
          <w:rFonts w:eastAsia="SimSun"/>
          <w:lang w:eastAsia="ja-JP"/>
        </w:rPr>
        <w:t xml:space="preserve"> retained</w:t>
      </w:r>
      <w:r w:rsidR="00726855">
        <w:rPr>
          <w:rStyle w:val="Appelnotedebasdep"/>
          <w:rFonts w:eastAsia="SimSun"/>
          <w:lang w:eastAsia="ja-JP"/>
        </w:rPr>
        <w:footnoteReference w:id="23"/>
      </w:r>
      <w:r w:rsidR="00726855" w:rsidRPr="00783728">
        <w:rPr>
          <w:rFonts w:eastAsia="SimSun"/>
          <w:lang w:eastAsia="ja-JP"/>
        </w:rPr>
        <w:t xml:space="preserve">. Following </w:t>
      </w:r>
      <w:r w:rsidR="00A61A7C">
        <w:rPr>
          <w:rFonts w:eastAsia="SimSun"/>
          <w:lang w:eastAsia="ja-JP"/>
        </w:rPr>
        <w:t xml:space="preserve">the </w:t>
      </w:r>
      <w:r w:rsidR="00726855" w:rsidRPr="00783728">
        <w:rPr>
          <w:rFonts w:eastAsia="SimSun"/>
          <w:lang w:eastAsia="ja-JP"/>
        </w:rPr>
        <w:t>debates</w:t>
      </w:r>
      <w:r w:rsidR="00726855" w:rsidRPr="000B7AE7">
        <w:rPr>
          <w:rFonts w:eastAsia="SimSun"/>
          <w:lang w:eastAsia="ja-JP"/>
        </w:rPr>
        <w:t xml:space="preserve">, the Committee recommended </w:t>
      </w:r>
      <w:r w:rsidR="00A61A7C">
        <w:rPr>
          <w:rFonts w:eastAsia="SimSun"/>
          <w:lang w:eastAsia="ja-JP"/>
        </w:rPr>
        <w:t>that</w:t>
      </w:r>
      <w:r w:rsidR="00A61A7C" w:rsidRPr="000B7AE7">
        <w:rPr>
          <w:rFonts w:eastAsia="SimSun"/>
          <w:lang w:eastAsia="ja-JP"/>
        </w:rPr>
        <w:t xml:space="preserve"> </w:t>
      </w:r>
      <w:r w:rsidR="00726855" w:rsidRPr="000B7AE7">
        <w:rPr>
          <w:rFonts w:eastAsia="SimSun"/>
          <w:lang w:eastAsia="ja-JP"/>
        </w:rPr>
        <w:t>the in</w:t>
      </w:r>
      <w:r w:rsidR="00726855" w:rsidRPr="00474F57">
        <w:rPr>
          <w:rFonts w:eastAsia="SimSun"/>
          <w:lang w:eastAsia="ja-JP"/>
        </w:rPr>
        <w:t xml:space="preserve">scription criteria for the two Lists </w:t>
      </w:r>
      <w:r w:rsidR="00A61A7C">
        <w:rPr>
          <w:rFonts w:eastAsia="SimSun"/>
          <w:lang w:eastAsia="ja-JP"/>
        </w:rPr>
        <w:t xml:space="preserve">remain </w:t>
      </w:r>
      <w:r w:rsidR="00726855" w:rsidRPr="00474F57">
        <w:rPr>
          <w:rFonts w:eastAsia="SimSun"/>
          <w:lang w:eastAsia="ja-JP"/>
        </w:rPr>
        <w:t>unchanged</w:t>
      </w:r>
      <w:r w:rsidR="00726855">
        <w:rPr>
          <w:rStyle w:val="Appelnotedebasdep"/>
          <w:rFonts w:eastAsia="SimSun"/>
          <w:lang w:eastAsia="ja-JP"/>
        </w:rPr>
        <w:footnoteReference w:id="24"/>
      </w:r>
      <w:r w:rsidR="00726855" w:rsidRPr="00783728">
        <w:rPr>
          <w:rFonts w:eastAsia="SimSun"/>
          <w:lang w:eastAsia="ja-JP"/>
        </w:rPr>
        <w:t>.</w:t>
      </w:r>
    </w:p>
    <w:tbl>
      <w:tblPr>
        <w:tblStyle w:val="Grilledutableau"/>
        <w:tblW w:w="0" w:type="auto"/>
        <w:tblInd w:w="567" w:type="dxa"/>
        <w:tblLook w:val="04A0" w:firstRow="1" w:lastRow="0" w:firstColumn="1" w:lastColumn="0" w:noHBand="0" w:noVBand="1"/>
      </w:tblPr>
      <w:tblGrid>
        <w:gridCol w:w="9061"/>
      </w:tblGrid>
      <w:tr w:rsidR="00754D63" w:rsidRPr="000601DB" w14:paraId="61F260D9" w14:textId="77777777" w:rsidTr="004A7593">
        <w:tc>
          <w:tcPr>
            <w:tcW w:w="9628" w:type="dxa"/>
            <w:shd w:val="clear" w:color="auto" w:fill="F2F2F2" w:themeFill="background1" w:themeFillShade="F2"/>
          </w:tcPr>
          <w:p w14:paraId="6AFC0901" w14:textId="4661A267" w:rsidR="00754D63" w:rsidRDefault="005378C9">
            <w:pPr>
              <w:pStyle w:val="COMPara"/>
              <w:keepNext/>
              <w:numPr>
                <w:ilvl w:val="0"/>
                <w:numId w:val="0"/>
              </w:numPr>
              <w:spacing w:before="120"/>
              <w:jc w:val="both"/>
              <w:rPr>
                <w:lang w:val="en-US"/>
              </w:rPr>
            </w:pPr>
            <w:r>
              <w:t>C</w:t>
            </w:r>
            <w:r w:rsidR="00807BEC">
              <w:t>.</w:t>
            </w:r>
            <w:r w:rsidR="00807BEC">
              <w:tab/>
            </w:r>
            <w:r w:rsidR="000C7430">
              <w:t xml:space="preserve">Issues related to </w:t>
            </w:r>
            <w:r w:rsidR="00F8122A">
              <w:t>the follow-</w:t>
            </w:r>
            <w:r w:rsidR="0014086A">
              <w:t>up of inscribed elements</w:t>
            </w:r>
          </w:p>
        </w:tc>
      </w:tr>
    </w:tbl>
    <w:p w14:paraId="77B3C9DD" w14:textId="553B3A75" w:rsidR="00310776" w:rsidRDefault="00CE678D" w:rsidP="004A190D">
      <w:pPr>
        <w:pStyle w:val="COMPara"/>
        <w:spacing w:before="240"/>
        <w:ind w:left="567" w:hanging="567"/>
        <w:jc w:val="both"/>
      </w:pPr>
      <w:r>
        <w:rPr>
          <w:b/>
        </w:rPr>
        <w:t>Treatment of information</w:t>
      </w:r>
      <w:r w:rsidR="00BB41CD">
        <w:t xml:space="preserve">: </w:t>
      </w:r>
      <w:r w:rsidR="000256AE">
        <w:t xml:space="preserve">The Secretariat </w:t>
      </w:r>
      <w:r w:rsidR="00211BAD" w:rsidRPr="004A190D">
        <w:t>has observed</w:t>
      </w:r>
      <w:r w:rsidR="000256AE">
        <w:t xml:space="preserve"> an increasing trend </w:t>
      </w:r>
      <w:r w:rsidR="00B4268D" w:rsidRPr="004A190D">
        <w:t>whereby</w:t>
      </w:r>
      <w:r w:rsidR="00B4268D">
        <w:t xml:space="preserve"> </w:t>
      </w:r>
      <w:r w:rsidR="000256AE">
        <w:t xml:space="preserve">issues regarding </w:t>
      </w:r>
      <w:r w:rsidR="00C64017">
        <w:t xml:space="preserve">elements </w:t>
      </w:r>
      <w:r w:rsidR="000256AE">
        <w:t xml:space="preserve">inscribed on the Lists </w:t>
      </w:r>
      <w:r w:rsidR="001F6AD0">
        <w:t xml:space="preserve">are brought </w:t>
      </w:r>
      <w:r w:rsidR="000256AE">
        <w:t xml:space="preserve">to its attention </w:t>
      </w:r>
      <w:r w:rsidR="00B4268D" w:rsidRPr="004A190D">
        <w:t>by</w:t>
      </w:r>
      <w:r w:rsidR="00B4268D" w:rsidRPr="006A0793">
        <w:t xml:space="preserve"> </w:t>
      </w:r>
      <w:r w:rsidR="00907C60">
        <w:t>c</w:t>
      </w:r>
      <w:r w:rsidR="000256AE" w:rsidRPr="006A0793">
        <w:t xml:space="preserve">ommunities, </w:t>
      </w:r>
      <w:r w:rsidR="00BA724D">
        <w:t>non-governmental organizations (</w:t>
      </w:r>
      <w:r w:rsidR="000256AE">
        <w:t>NGOs</w:t>
      </w:r>
      <w:r w:rsidR="00BA724D">
        <w:t>)</w:t>
      </w:r>
      <w:r w:rsidR="000256AE">
        <w:t>, individuals and other third partie</w:t>
      </w:r>
      <w:r w:rsidR="000256AE" w:rsidRPr="006A0793">
        <w:t>s</w:t>
      </w:r>
      <w:r w:rsidR="001F6AD0">
        <w:t>,</w:t>
      </w:r>
      <w:r w:rsidR="000256AE">
        <w:t xml:space="preserve"> as well as</w:t>
      </w:r>
      <w:r w:rsidR="000256AE" w:rsidRPr="006A0793">
        <w:t xml:space="preserve"> </w:t>
      </w:r>
      <w:r w:rsidR="005B2839" w:rsidRPr="004A190D">
        <w:t xml:space="preserve">through </w:t>
      </w:r>
      <w:r w:rsidR="000256AE">
        <w:t xml:space="preserve">the </w:t>
      </w:r>
      <w:r w:rsidR="000256AE" w:rsidRPr="006A0793">
        <w:t xml:space="preserve">press. </w:t>
      </w:r>
      <w:r w:rsidR="00B4268D">
        <w:rPr>
          <w:lang w:val="en-US"/>
        </w:rPr>
        <w:t xml:space="preserve">Despite </w:t>
      </w:r>
      <w:r w:rsidR="0014086A" w:rsidRPr="00F655E6">
        <w:t xml:space="preserve">the seriousness of some of the issues raised, </w:t>
      </w:r>
      <w:r w:rsidR="00A2282A">
        <w:t xml:space="preserve">there is </w:t>
      </w:r>
      <w:r w:rsidR="0014086A" w:rsidRPr="00F655E6">
        <w:t>currently no mechanism</w:t>
      </w:r>
      <w:r w:rsidR="00A2282A">
        <w:t xml:space="preserve"> in place</w:t>
      </w:r>
      <w:r w:rsidR="0014086A" w:rsidRPr="00F655E6">
        <w:t xml:space="preserve"> </w:t>
      </w:r>
      <w:r w:rsidR="00B4268D" w:rsidRPr="004A190D">
        <w:t>to</w:t>
      </w:r>
      <w:r w:rsidR="0014086A" w:rsidRPr="00F655E6">
        <w:t xml:space="preserve"> </w:t>
      </w:r>
      <w:r w:rsidR="00B4268D" w:rsidRPr="004A190D">
        <w:t>guide</w:t>
      </w:r>
      <w:r w:rsidR="0014086A" w:rsidRPr="00F655E6">
        <w:t xml:space="preserve"> the Secretariat </w:t>
      </w:r>
      <w:r w:rsidR="00B4268D" w:rsidRPr="004A190D">
        <w:t>in</w:t>
      </w:r>
      <w:r w:rsidR="0014086A" w:rsidRPr="00F655E6">
        <w:t xml:space="preserve"> bring</w:t>
      </w:r>
      <w:r w:rsidR="00B4268D" w:rsidRPr="004A190D">
        <w:t>ing</w:t>
      </w:r>
      <w:r w:rsidR="0014086A" w:rsidRPr="00F655E6">
        <w:t xml:space="preserve"> such information to the attention of the Committee. In light of this increasing trend and the absence of a mechanism in this regard, at its thirteenth session in 2018 the Committee ‘recognize[d] the need to reflect on the follow-up of inscribed elements’ and decided to include this reflection in the broader reflection on the future of the listing mechanisms of the Convention</w:t>
      </w:r>
      <w:r w:rsidR="0014086A">
        <w:rPr>
          <w:rStyle w:val="Appelnotedebasdep"/>
        </w:rPr>
        <w:footnoteReference w:id="25"/>
      </w:r>
      <w:r w:rsidR="0014086A" w:rsidRPr="00F655E6">
        <w:t>.</w:t>
      </w:r>
    </w:p>
    <w:p w14:paraId="145A1A9B" w14:textId="48E90AEF" w:rsidR="00310776" w:rsidRPr="009525DF" w:rsidRDefault="00310776">
      <w:pPr>
        <w:pStyle w:val="Marge"/>
        <w:numPr>
          <w:ilvl w:val="0"/>
          <w:numId w:val="2"/>
        </w:numPr>
        <w:snapToGrid/>
        <w:spacing w:after="120"/>
        <w:ind w:left="567" w:hanging="567"/>
        <w:rPr>
          <w:rFonts w:eastAsia="SimSun"/>
          <w:lang w:val="en-US" w:eastAsia="ja-JP"/>
        </w:rPr>
      </w:pPr>
      <w:r w:rsidRPr="00910792">
        <w:rPr>
          <w:rFonts w:cs="Arial"/>
          <w:szCs w:val="22"/>
          <w:lang w:val="en-GB"/>
        </w:rPr>
        <w:t>During the reporting period</w:t>
      </w:r>
      <w:r>
        <w:rPr>
          <w:rFonts w:cs="Arial"/>
          <w:szCs w:val="22"/>
          <w:lang w:val="en-GB"/>
        </w:rPr>
        <w:t xml:space="preserve"> </w:t>
      </w:r>
      <w:r w:rsidRPr="002D6B9B">
        <w:rPr>
          <w:lang w:val="en-GB"/>
        </w:rPr>
        <w:t>(December 2018-September 2019)</w:t>
      </w:r>
      <w:r w:rsidRPr="00910792">
        <w:rPr>
          <w:rFonts w:cs="Arial"/>
          <w:szCs w:val="22"/>
          <w:lang w:val="en-GB"/>
        </w:rPr>
        <w:t>, f</w:t>
      </w:r>
      <w:r>
        <w:rPr>
          <w:rFonts w:cs="Arial"/>
          <w:szCs w:val="22"/>
          <w:lang w:val="en-GB"/>
        </w:rPr>
        <w:t>our</w:t>
      </w:r>
      <w:r w:rsidRPr="00910792">
        <w:rPr>
          <w:rFonts w:cs="Arial"/>
          <w:szCs w:val="22"/>
          <w:lang w:val="en-GB"/>
        </w:rPr>
        <w:t xml:space="preserve"> elements were the subject of correspondence from the communities concerned or third parties that expressed concerns regarding the latest </w:t>
      </w:r>
      <w:r w:rsidRPr="004A7593">
        <w:rPr>
          <w:lang w:val="en-GB"/>
        </w:rPr>
        <w:t>developments</w:t>
      </w:r>
      <w:r w:rsidRPr="00910792">
        <w:rPr>
          <w:rFonts w:cs="Arial"/>
          <w:szCs w:val="22"/>
          <w:lang w:val="en-GB"/>
        </w:rPr>
        <w:t xml:space="preserve"> affecting the status and viability of an inscribed element</w:t>
      </w:r>
      <w:r w:rsidRPr="004A7593">
        <w:rPr>
          <w:lang w:val="en-US"/>
        </w:rPr>
        <w:t xml:space="preserve"> (see </w:t>
      </w:r>
      <w:r w:rsidRPr="00884C8D">
        <w:rPr>
          <w:lang w:val="en-US"/>
        </w:rPr>
        <w:t>Annex II)</w:t>
      </w:r>
      <w:r w:rsidRPr="00884C8D">
        <w:rPr>
          <w:rFonts w:cs="Arial"/>
          <w:szCs w:val="22"/>
          <w:lang w:val="en-GB"/>
        </w:rPr>
        <w:t>.</w:t>
      </w:r>
      <w:r w:rsidRPr="00910792">
        <w:rPr>
          <w:rFonts w:cs="Arial"/>
          <w:szCs w:val="22"/>
          <w:lang w:val="en-GB"/>
        </w:rPr>
        <w:t xml:space="preserve"> The correspondence received has raised several important issues that may affect the status of inscribed elements. </w:t>
      </w:r>
      <w:r w:rsidRPr="004A190D">
        <w:rPr>
          <w:lang w:val="en-GB"/>
        </w:rPr>
        <w:t>According to ‘</w:t>
      </w:r>
      <w:r w:rsidRPr="00461897">
        <w:rPr>
          <w:lang w:val="en-US"/>
        </w:rPr>
        <w:t>Guidelines</w:t>
      </w:r>
      <w:r w:rsidRPr="004A190D">
        <w:rPr>
          <w:lang w:val="en-GB"/>
        </w:rPr>
        <w:t xml:space="preserve"> for the treatment of correspondence from the public or other concerned parties with regard to nominations’ (</w:t>
      </w:r>
      <w:hyperlink r:id="rId14" w:history="1">
        <w:r w:rsidRPr="004A190D">
          <w:rPr>
            <w:rStyle w:val="Lienhypertexte"/>
            <w:lang w:val="en-GB"/>
          </w:rPr>
          <w:t>Decision 7.COM 15</w:t>
        </w:r>
      </w:hyperlink>
      <w:r w:rsidRPr="004A190D">
        <w:rPr>
          <w:lang w:val="en-GB"/>
        </w:rPr>
        <w:t>), which were adopted by the Committee in 2012, the Secretariat serves as a messenger between the stakeholder that raised the issue and the State Party</w:t>
      </w:r>
      <w:r w:rsidR="00C2122E">
        <w:rPr>
          <w:lang w:val="en-GB"/>
        </w:rPr>
        <w:t>(ies)</w:t>
      </w:r>
      <w:r w:rsidRPr="004A190D">
        <w:rPr>
          <w:lang w:val="en-GB"/>
        </w:rPr>
        <w:t xml:space="preserve"> concerned. </w:t>
      </w:r>
      <w:r>
        <w:rPr>
          <w:lang w:val="en-US"/>
        </w:rPr>
        <w:t>In application of the guidelines,</w:t>
      </w:r>
      <w:r w:rsidRPr="004A7593">
        <w:rPr>
          <w:lang w:val="en-US"/>
        </w:rPr>
        <w:t xml:space="preserve"> the Secretariat transmitted the letters received to the competent authorities of the </w:t>
      </w:r>
      <w:r>
        <w:rPr>
          <w:lang w:val="en-US"/>
        </w:rPr>
        <w:t>element</w:t>
      </w:r>
      <w:r w:rsidRPr="004A7593">
        <w:rPr>
          <w:lang w:val="en-US"/>
        </w:rPr>
        <w:t xml:space="preserve"> concerned</w:t>
      </w:r>
      <w:r w:rsidRPr="009525DF">
        <w:rPr>
          <w:lang w:val="en-US"/>
        </w:rPr>
        <w:t xml:space="preserve">. </w:t>
      </w:r>
      <w:r w:rsidRPr="00AD64FE">
        <w:rPr>
          <w:lang w:val="en-US"/>
        </w:rPr>
        <w:t xml:space="preserve">In all cases, States Parties have not yet provided a response that could be transmitted back to the </w:t>
      </w:r>
      <w:r w:rsidR="000E7362" w:rsidRPr="00AD64FE">
        <w:rPr>
          <w:lang w:val="en-US"/>
        </w:rPr>
        <w:t xml:space="preserve">stakeholder </w:t>
      </w:r>
      <w:r w:rsidRPr="00AD64FE">
        <w:rPr>
          <w:lang w:val="en-US"/>
        </w:rPr>
        <w:t>that sent the initial correspondence</w:t>
      </w:r>
      <w:r w:rsidR="00444C88" w:rsidRPr="009525DF">
        <w:rPr>
          <w:lang w:val="en-GB"/>
        </w:rPr>
        <w:t>.</w:t>
      </w:r>
    </w:p>
    <w:p w14:paraId="50735CFD" w14:textId="3FACF09D" w:rsidR="0014086A" w:rsidRDefault="00E5057A" w:rsidP="00E31CC3">
      <w:pPr>
        <w:pStyle w:val="COMPara"/>
        <w:keepNext/>
        <w:ind w:left="567" w:hanging="567"/>
        <w:jc w:val="both"/>
      </w:pPr>
      <w:r>
        <w:rPr>
          <w:lang w:val="en-US"/>
        </w:rPr>
        <w:t>I</w:t>
      </w:r>
      <w:r w:rsidR="0014086A" w:rsidRPr="00930CE2">
        <w:rPr>
          <w:lang w:val="en-US"/>
        </w:rPr>
        <w:t xml:space="preserve">nspiration </w:t>
      </w:r>
      <w:r w:rsidR="00444C88">
        <w:rPr>
          <w:lang w:val="en-US"/>
        </w:rPr>
        <w:t xml:space="preserve">to address the situation </w:t>
      </w:r>
      <w:r>
        <w:rPr>
          <w:lang w:val="en-US"/>
        </w:rPr>
        <w:t>could</w:t>
      </w:r>
      <w:r w:rsidR="0014086A" w:rsidRPr="00930CE2">
        <w:rPr>
          <w:lang w:val="en-US"/>
        </w:rPr>
        <w:t xml:space="preserve"> be sought from Chapter IV of the Operational Guidelines for the Implementation of the World Heritage Convention concerning the process for monitoring the state of conservation of World Heritage Properties and in particular paragraphs 169 to 176 </w:t>
      </w:r>
      <w:r w:rsidR="0014086A">
        <w:rPr>
          <w:lang w:val="en-US"/>
        </w:rPr>
        <w:t>about</w:t>
      </w:r>
      <w:r w:rsidR="0014086A" w:rsidRPr="00930CE2">
        <w:rPr>
          <w:lang w:val="en-US"/>
        </w:rPr>
        <w:t xml:space="preserve"> the Reactive Monitoring mechanism. In accordance with the</w:t>
      </w:r>
      <w:r w:rsidR="0014086A">
        <w:rPr>
          <w:lang w:val="en-US"/>
        </w:rPr>
        <w:t>se</w:t>
      </w:r>
      <w:r w:rsidR="0014086A" w:rsidRPr="00930CE2">
        <w:rPr>
          <w:lang w:val="en-US"/>
        </w:rPr>
        <w:t xml:space="preserve"> Guidelines, when information from third parties concerning the state of conservation of World Heritage Properties is received, the Secretariat verifies the source and the contents of the information in consultation with the State Party</w:t>
      </w:r>
      <w:r w:rsidR="00A2282A">
        <w:rPr>
          <w:lang w:val="en-US"/>
        </w:rPr>
        <w:t>(ies)</w:t>
      </w:r>
      <w:r w:rsidR="0014086A" w:rsidRPr="00930CE2">
        <w:rPr>
          <w:lang w:val="en-US"/>
        </w:rPr>
        <w:t xml:space="preserve"> concerned and request its comments. </w:t>
      </w:r>
      <w:r w:rsidR="0014086A" w:rsidRPr="00930CE2">
        <w:rPr>
          <w:lang w:val="en-US"/>
        </w:rPr>
        <w:lastRenderedPageBreak/>
        <w:t xml:space="preserve">Consequently, </w:t>
      </w:r>
      <w:r w:rsidR="0014086A">
        <w:t>t</w:t>
      </w:r>
      <w:r w:rsidR="0014086A" w:rsidRPr="0020459C">
        <w:t>he information received</w:t>
      </w:r>
      <w:r w:rsidR="0014086A">
        <w:t>,</w:t>
      </w:r>
      <w:r w:rsidR="0014086A" w:rsidRPr="0020459C">
        <w:t xml:space="preserve"> together with the comments of the State Party</w:t>
      </w:r>
      <w:r w:rsidR="00C2122E">
        <w:t>(ies)</w:t>
      </w:r>
      <w:r w:rsidR="0014086A" w:rsidRPr="0020459C">
        <w:t xml:space="preserve"> and the Advisory Bodies, is brought to the attention of the World Heritage Committee</w:t>
      </w:r>
      <w:r w:rsidR="0014086A">
        <w:rPr>
          <w:rStyle w:val="Appelnotedebasdep"/>
        </w:rPr>
        <w:footnoteReference w:id="26"/>
      </w:r>
      <w:r w:rsidR="0014086A" w:rsidRPr="0020459C">
        <w:t>.</w:t>
      </w:r>
    </w:p>
    <w:p w14:paraId="49FAB3D2" w14:textId="5BC50409" w:rsidR="00DE21C6" w:rsidRPr="00DE21C6" w:rsidRDefault="00E5057A" w:rsidP="009D3CAB">
      <w:pPr>
        <w:pStyle w:val="Marge"/>
        <w:numPr>
          <w:ilvl w:val="0"/>
          <w:numId w:val="2"/>
        </w:numPr>
        <w:snapToGrid/>
        <w:spacing w:after="120"/>
        <w:ind w:left="567" w:hanging="567"/>
        <w:rPr>
          <w:rFonts w:eastAsia="SimSun"/>
          <w:lang w:val="en-GB" w:eastAsia="ja-JP"/>
        </w:rPr>
      </w:pPr>
      <w:r>
        <w:rPr>
          <w:rFonts w:cs="Arial"/>
          <w:szCs w:val="22"/>
          <w:lang w:val="en-GB"/>
        </w:rPr>
        <w:t>Nevertheless, bearing in mind that</w:t>
      </w:r>
      <w:r w:rsidR="0014086A" w:rsidRPr="004A190D">
        <w:rPr>
          <w:lang w:val="en-GB"/>
        </w:rPr>
        <w:t xml:space="preserve"> the World Heritage Convention and 2003 Convention are based on different purposes and </w:t>
      </w:r>
      <w:r w:rsidR="00DE21C6">
        <w:rPr>
          <w:lang w:val="en-GB"/>
        </w:rPr>
        <w:t xml:space="preserve">that </w:t>
      </w:r>
      <w:r w:rsidR="0014086A" w:rsidRPr="004A190D">
        <w:rPr>
          <w:lang w:val="en-GB"/>
        </w:rPr>
        <w:t xml:space="preserve">their Lists </w:t>
      </w:r>
      <w:r w:rsidR="00DE21C6">
        <w:rPr>
          <w:lang w:val="en-GB"/>
        </w:rPr>
        <w:t xml:space="preserve">are established </w:t>
      </w:r>
      <w:r w:rsidR="0014086A" w:rsidRPr="004A190D">
        <w:rPr>
          <w:lang w:val="en-GB"/>
        </w:rPr>
        <w:t xml:space="preserve">on different </w:t>
      </w:r>
      <w:r w:rsidR="0014086A" w:rsidRPr="005B1A82">
        <w:rPr>
          <w:lang w:val="en-US"/>
        </w:rPr>
        <w:t>criteria</w:t>
      </w:r>
      <w:r w:rsidR="0014086A" w:rsidRPr="004A190D">
        <w:rPr>
          <w:lang w:val="en-GB"/>
        </w:rPr>
        <w:t xml:space="preserve">, it seems clear that the Reactive Monitoring mechanism, as developed for the World Heritage Convention, </w:t>
      </w:r>
      <w:r>
        <w:rPr>
          <w:lang w:val="en-GB"/>
        </w:rPr>
        <w:t xml:space="preserve">would </w:t>
      </w:r>
      <w:r w:rsidR="0014086A" w:rsidRPr="004A190D">
        <w:rPr>
          <w:lang w:val="en-GB"/>
        </w:rPr>
        <w:t xml:space="preserve">not </w:t>
      </w:r>
      <w:r>
        <w:rPr>
          <w:lang w:val="en-GB"/>
        </w:rPr>
        <w:t>be</w:t>
      </w:r>
      <w:r w:rsidR="0014086A" w:rsidRPr="004A190D">
        <w:rPr>
          <w:lang w:val="en-GB"/>
        </w:rPr>
        <w:t xml:space="preserve"> directly transferrable to the 2003 Convention. However, some principles of this mechanism such as the accountability of States Parties concerning inscribed elements and ways for stakeholders other than the State Party to provide information to the Committee through the Secretariat, may be useful for a follow-up mechanism for inscribed </w:t>
      </w:r>
      <w:r w:rsidR="0014086A" w:rsidRPr="00DE21C6">
        <w:rPr>
          <w:lang w:val="en-GB"/>
        </w:rPr>
        <w:t>elements under the 2003 Convention.</w:t>
      </w:r>
    </w:p>
    <w:p w14:paraId="21384B68" w14:textId="2F554A58" w:rsidR="009D3CAB" w:rsidRPr="008D73B8" w:rsidRDefault="0014086A">
      <w:pPr>
        <w:pStyle w:val="Marge"/>
        <w:numPr>
          <w:ilvl w:val="0"/>
          <w:numId w:val="2"/>
        </w:numPr>
        <w:snapToGrid/>
        <w:spacing w:after="120"/>
        <w:ind w:left="567" w:hanging="567"/>
        <w:rPr>
          <w:rFonts w:eastAsia="SimSun"/>
          <w:lang w:val="en-US" w:eastAsia="ja-JP"/>
        </w:rPr>
      </w:pPr>
      <w:r w:rsidRPr="008D73B8">
        <w:rPr>
          <w:lang w:val="en-US"/>
        </w:rPr>
        <w:t xml:space="preserve">The details </w:t>
      </w:r>
      <w:r w:rsidRPr="00DE21C6">
        <w:rPr>
          <w:rFonts w:cs="Arial"/>
          <w:szCs w:val="22"/>
          <w:lang w:val="en-GB"/>
        </w:rPr>
        <w:t>of</w:t>
      </w:r>
      <w:r w:rsidRPr="008D73B8">
        <w:rPr>
          <w:lang w:val="en-US"/>
        </w:rPr>
        <w:t xml:space="preserve"> an appropriate mechanism </w:t>
      </w:r>
      <w:r w:rsidR="00DE21C6" w:rsidRPr="008D73B8">
        <w:rPr>
          <w:lang w:val="en-US"/>
        </w:rPr>
        <w:t xml:space="preserve">for dealing with information received on inscribed elements </w:t>
      </w:r>
      <w:r w:rsidR="00E5057A" w:rsidRPr="008D73B8">
        <w:rPr>
          <w:lang w:val="en-US"/>
        </w:rPr>
        <w:t xml:space="preserve">could </w:t>
      </w:r>
      <w:r w:rsidRPr="008D73B8">
        <w:rPr>
          <w:lang w:val="en-US"/>
        </w:rPr>
        <w:t xml:space="preserve">be clarified during the overall reflection of the listing mechanisms of the Convention at hand. </w:t>
      </w:r>
      <w:r w:rsidR="00E5057A" w:rsidRPr="00DE21C6">
        <w:rPr>
          <w:lang w:val="en-GB"/>
        </w:rPr>
        <w:t>The reflection might address considerations such as ways to set up a long-term monitoring mechanism against the need to respond to unforeseen events, managing the flows of information and opinions from various stakeholders, as well as the usefulness of the periodic reporting mechanism, amongst others.</w:t>
      </w:r>
      <w:r w:rsidR="00DE21C6" w:rsidRPr="00DE21C6">
        <w:rPr>
          <w:lang w:val="en-US"/>
        </w:rPr>
        <w:t xml:space="preserve"> </w:t>
      </w:r>
      <w:r w:rsidRPr="008D73B8">
        <w:rPr>
          <w:lang w:val="en-US"/>
        </w:rPr>
        <w:t xml:space="preserve">In the meantime, the Committee may wish to </w:t>
      </w:r>
      <w:r w:rsidR="000E7362">
        <w:rPr>
          <w:lang w:val="en-US"/>
        </w:rPr>
        <w:t>request</w:t>
      </w:r>
      <w:r w:rsidR="000E7362" w:rsidRPr="008D73B8">
        <w:rPr>
          <w:lang w:val="en-US"/>
        </w:rPr>
        <w:t xml:space="preserve"> </w:t>
      </w:r>
      <w:r w:rsidRPr="008D73B8">
        <w:rPr>
          <w:lang w:val="en-US"/>
        </w:rPr>
        <w:t xml:space="preserve">the Secretariat to continue to bring to the attention of the Committee information received from third parties concerning already inscribed elements. </w:t>
      </w:r>
      <w:r w:rsidRPr="008D73B8">
        <w:rPr>
          <w:lang w:val="en-GB"/>
        </w:rPr>
        <w:t>This may take the form of a summary to be included in a working document regarding the follow-up of already inscribed elements.</w:t>
      </w:r>
    </w:p>
    <w:p w14:paraId="5DEFFB99" w14:textId="22C52EA2" w:rsidR="00444C88" w:rsidRDefault="008228EF" w:rsidP="00BE6737">
      <w:pPr>
        <w:pStyle w:val="COMPara"/>
        <w:spacing w:before="120"/>
        <w:ind w:left="567" w:hanging="567"/>
        <w:jc w:val="both"/>
      </w:pPr>
      <w:r w:rsidRPr="009D3CAB">
        <w:rPr>
          <w:b/>
        </w:rPr>
        <w:t>Transfer of an element from one List and removal of an element from a List</w:t>
      </w:r>
      <w:r w:rsidRPr="009D3CAB">
        <w:t>: The necessity for an overall reflection on the Convention and the intent and purpose of its listing mechanisms became evident when, for the first time in 2017, the Committee examined a request, submitted by Viet Nam, to transfer an element from the Urgent Safeguarding List to the Representative List</w:t>
      </w:r>
      <w:r w:rsidRPr="00F107CF">
        <w:rPr>
          <w:rStyle w:val="Appelnotedebasdep"/>
        </w:rPr>
        <w:footnoteReference w:id="27"/>
      </w:r>
      <w:r w:rsidRPr="009D3CAB">
        <w:t xml:space="preserve"> based on an evaluation undertaken by the Evaluation Body in this regard. While the Operational Directive</w:t>
      </w:r>
      <w:r w:rsidR="006E34F6" w:rsidRPr="009D3CAB">
        <w:t>s</w:t>
      </w:r>
      <w:r w:rsidRPr="009D3CAB">
        <w:t xml:space="preserve"> include provisions for the transfer of an element from one List and removal of an element from a List, the Evaluation Body and consequently the Committee felt that neither the available forms nor the Operational Directives provided an adequate mechanism for dealing with the transfer </w:t>
      </w:r>
      <w:r w:rsidR="00F104A7">
        <w:t>in that specific case</w:t>
      </w:r>
      <w:r w:rsidRPr="009D3CAB">
        <w:t>.</w:t>
      </w:r>
    </w:p>
    <w:p w14:paraId="1F0583DF" w14:textId="7611CB70" w:rsidR="00F104A7" w:rsidRDefault="00444C88" w:rsidP="00BE6737">
      <w:pPr>
        <w:pStyle w:val="COMPara"/>
        <w:spacing w:before="120" w:after="360"/>
        <w:ind w:left="567" w:hanging="567"/>
        <w:jc w:val="both"/>
      </w:pPr>
      <w:r>
        <w:t xml:space="preserve">At </w:t>
      </w:r>
      <w:r w:rsidR="00A2282A">
        <w:t>this</w:t>
      </w:r>
      <w:r>
        <w:t xml:space="preserve"> session</w:t>
      </w:r>
      <w:r w:rsidR="00A2282A">
        <w:t>,</w:t>
      </w:r>
      <w:r>
        <w:t xml:space="preserve"> the Committee is to examine the case of the Aalst Carnival (Belgium) to </w:t>
      </w:r>
      <w:r w:rsidR="004E3C0E">
        <w:t>ascertain</w:t>
      </w:r>
      <w:r>
        <w:t xml:space="preserve"> whether this element which was inscribed in 2010 still satisfies </w:t>
      </w:r>
      <w:r w:rsidR="000E7362">
        <w:t xml:space="preserve">the </w:t>
      </w:r>
      <w:r>
        <w:t xml:space="preserve">criteria for inscription on the Representative List. While being attentive to the outcome of this deliberation, the global reflection at hand </w:t>
      </w:r>
      <w:r w:rsidR="00F104A7">
        <w:t xml:space="preserve">will need to </w:t>
      </w:r>
      <w:r>
        <w:t>address larger questions on how best to monitor the status of elements</w:t>
      </w:r>
      <w:r w:rsidR="00F104A7">
        <w:t xml:space="preserve"> already inscribed on the lists.</w:t>
      </w:r>
    </w:p>
    <w:p w14:paraId="4BC79697" w14:textId="019AC935" w:rsidR="009D3CAB" w:rsidRPr="009D3CAB" w:rsidRDefault="005378C9" w:rsidP="008D73B8">
      <w:pPr>
        <w:pStyle w:val="COMPara"/>
        <w:keepNex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709"/>
        <w:jc w:val="both"/>
      </w:pPr>
      <w:r w:rsidRPr="009D3CAB">
        <w:t>D</w:t>
      </w:r>
      <w:r w:rsidR="00750FAA" w:rsidRPr="009D3CAB">
        <w:t>.</w:t>
      </w:r>
      <w:r w:rsidR="00750FAA" w:rsidRPr="009D3CAB">
        <w:tab/>
      </w:r>
      <w:r w:rsidR="00AA7B07" w:rsidRPr="009D3CAB">
        <w:t>Methodology for the evaluation and examination of nominations</w:t>
      </w:r>
    </w:p>
    <w:p w14:paraId="361CF33D" w14:textId="5D408D91" w:rsidR="008C04B9" w:rsidRPr="004A190D" w:rsidRDefault="00AA7B07" w:rsidP="004A190D">
      <w:pPr>
        <w:pStyle w:val="Marge"/>
        <w:numPr>
          <w:ilvl w:val="0"/>
          <w:numId w:val="2"/>
        </w:numPr>
        <w:snapToGrid/>
        <w:spacing w:before="120" w:after="120"/>
        <w:ind w:left="562" w:hanging="562"/>
        <w:rPr>
          <w:lang w:val="en-US"/>
        </w:rPr>
      </w:pPr>
      <w:r w:rsidRPr="004A190D">
        <w:rPr>
          <w:b/>
          <w:lang w:val="en-US"/>
        </w:rPr>
        <w:t>Inscription based only on information presented</w:t>
      </w:r>
      <w:r w:rsidRPr="004A190D">
        <w:rPr>
          <w:lang w:val="en-US"/>
        </w:rPr>
        <w:t xml:space="preserve">: </w:t>
      </w:r>
      <w:r w:rsidR="00CB67D6" w:rsidRPr="004A190D">
        <w:rPr>
          <w:lang w:val="en-US"/>
        </w:rPr>
        <w:t>T</w:t>
      </w:r>
      <w:r w:rsidRPr="004A190D">
        <w:rPr>
          <w:lang w:val="en-US"/>
        </w:rPr>
        <w:t xml:space="preserve">he evaluation bodies </w:t>
      </w:r>
      <w:r w:rsidR="00FA7E5E" w:rsidRPr="004A190D">
        <w:rPr>
          <w:lang w:val="en-US"/>
        </w:rPr>
        <w:t xml:space="preserve">have </w:t>
      </w:r>
      <w:r w:rsidR="00CB67D6" w:rsidRPr="004A190D">
        <w:rPr>
          <w:lang w:val="en-US"/>
        </w:rPr>
        <w:t>been</w:t>
      </w:r>
      <w:r w:rsidRPr="004A190D">
        <w:rPr>
          <w:lang w:val="en-US"/>
        </w:rPr>
        <w:t xml:space="preserve"> </w:t>
      </w:r>
      <w:r w:rsidR="00CB67D6" w:rsidRPr="004A190D">
        <w:rPr>
          <w:lang w:val="en-US"/>
        </w:rPr>
        <w:t>adhering</w:t>
      </w:r>
      <w:r w:rsidRPr="004A190D">
        <w:rPr>
          <w:lang w:val="en-US"/>
        </w:rPr>
        <w:t xml:space="preserve"> to the principle of </w:t>
      </w:r>
      <w:r w:rsidR="000F7F86" w:rsidRPr="004A190D">
        <w:rPr>
          <w:lang w:val="en-US"/>
        </w:rPr>
        <w:t xml:space="preserve">basing </w:t>
      </w:r>
      <w:r w:rsidRPr="004A190D">
        <w:rPr>
          <w:lang w:val="en-US"/>
        </w:rPr>
        <w:t>their recommendations only on the adequacy of the information presented in the nomination files</w:t>
      </w:r>
      <w:r w:rsidR="00FA7E5E" w:rsidRPr="004A190D">
        <w:rPr>
          <w:lang w:val="en-US"/>
        </w:rPr>
        <w:t xml:space="preserve"> themselves</w:t>
      </w:r>
      <w:r w:rsidRPr="0096272B">
        <w:rPr>
          <w:rStyle w:val="Appelnotedebasdep"/>
        </w:rPr>
        <w:footnoteReference w:id="28"/>
      </w:r>
      <w:r w:rsidRPr="004A190D">
        <w:rPr>
          <w:lang w:val="en-US"/>
        </w:rPr>
        <w:t xml:space="preserve">. </w:t>
      </w:r>
      <w:r w:rsidR="00CB67D6" w:rsidRPr="004A190D">
        <w:rPr>
          <w:lang w:val="en-US"/>
        </w:rPr>
        <w:t>T</w:t>
      </w:r>
      <w:r w:rsidRPr="004A190D">
        <w:rPr>
          <w:lang w:val="en-US"/>
        </w:rPr>
        <w:t xml:space="preserve">he Committee </w:t>
      </w:r>
      <w:r w:rsidR="00CB67D6" w:rsidRPr="004A190D">
        <w:rPr>
          <w:lang w:val="en-US"/>
        </w:rPr>
        <w:t>in turn have repeatedly declared</w:t>
      </w:r>
      <w:r w:rsidRPr="004A190D">
        <w:rPr>
          <w:lang w:val="en-US"/>
        </w:rPr>
        <w:t xml:space="preserve"> that </w:t>
      </w:r>
      <w:r w:rsidR="00A2282A">
        <w:rPr>
          <w:lang w:val="en-US"/>
        </w:rPr>
        <w:t>it examines</w:t>
      </w:r>
      <w:r w:rsidRPr="004A190D">
        <w:rPr>
          <w:lang w:val="en-US"/>
        </w:rPr>
        <w:t xml:space="preserve"> files not elements</w:t>
      </w:r>
      <w:r>
        <w:rPr>
          <w:rStyle w:val="Appelnotedebasdep"/>
        </w:rPr>
        <w:footnoteReference w:id="29"/>
      </w:r>
      <w:r w:rsidRPr="004A190D">
        <w:rPr>
          <w:lang w:val="en-US"/>
        </w:rPr>
        <w:t xml:space="preserve">. </w:t>
      </w:r>
      <w:r w:rsidR="00CB67D6" w:rsidRPr="004A190D">
        <w:rPr>
          <w:lang w:val="en-US"/>
        </w:rPr>
        <w:t>T</w:t>
      </w:r>
      <w:r w:rsidRPr="004A190D">
        <w:rPr>
          <w:lang w:val="en-US"/>
        </w:rPr>
        <w:t xml:space="preserve">his principle </w:t>
      </w:r>
      <w:r w:rsidR="00CB67D6" w:rsidRPr="004A190D">
        <w:rPr>
          <w:lang w:val="en-US"/>
        </w:rPr>
        <w:t xml:space="preserve">also </w:t>
      </w:r>
      <w:r w:rsidRPr="004A190D">
        <w:rPr>
          <w:lang w:val="en-US"/>
        </w:rPr>
        <w:t xml:space="preserve">means that the Evaluation Body does not take into account important information that may be </w:t>
      </w:r>
      <w:r w:rsidRPr="004A190D">
        <w:rPr>
          <w:lang w:val="en-GB"/>
        </w:rPr>
        <w:t>publicly</w:t>
      </w:r>
      <w:r w:rsidRPr="004A190D">
        <w:rPr>
          <w:lang w:val="en-US"/>
        </w:rPr>
        <w:t xml:space="preserve"> available on nominated elements at the time of the evaluation. </w:t>
      </w:r>
      <w:r w:rsidR="00FA7E5E" w:rsidRPr="004A190D">
        <w:rPr>
          <w:lang w:val="en-US"/>
        </w:rPr>
        <w:t xml:space="preserve">However, a </w:t>
      </w:r>
      <w:r w:rsidRPr="004A190D">
        <w:rPr>
          <w:lang w:val="en-US"/>
        </w:rPr>
        <w:t xml:space="preserve">number of issues </w:t>
      </w:r>
      <w:r w:rsidR="00CB67D6" w:rsidRPr="004A190D">
        <w:rPr>
          <w:lang w:val="en-US"/>
        </w:rPr>
        <w:t>brought to the attention of</w:t>
      </w:r>
      <w:r w:rsidRPr="004A190D">
        <w:rPr>
          <w:lang w:val="en-US"/>
        </w:rPr>
        <w:t xml:space="preserve"> the current </w:t>
      </w:r>
      <w:r w:rsidR="00794CB1" w:rsidRPr="004A190D">
        <w:rPr>
          <w:lang w:val="en-US"/>
        </w:rPr>
        <w:t xml:space="preserve">as well as past </w:t>
      </w:r>
      <w:r w:rsidRPr="004A190D">
        <w:rPr>
          <w:lang w:val="en-US"/>
        </w:rPr>
        <w:t>session</w:t>
      </w:r>
      <w:r w:rsidR="00794CB1" w:rsidRPr="004A190D">
        <w:rPr>
          <w:lang w:val="en-US"/>
        </w:rPr>
        <w:t>s</w:t>
      </w:r>
      <w:r w:rsidRPr="004A190D">
        <w:rPr>
          <w:lang w:val="en-US"/>
        </w:rPr>
        <w:t xml:space="preserve"> of the Committee </w:t>
      </w:r>
      <w:r w:rsidR="00FA7E5E" w:rsidRPr="004A190D">
        <w:rPr>
          <w:lang w:val="en-US"/>
        </w:rPr>
        <w:t>regarding</w:t>
      </w:r>
      <w:r w:rsidRPr="004A190D">
        <w:rPr>
          <w:lang w:val="en-US"/>
        </w:rPr>
        <w:t xml:space="preserve"> elements already </w:t>
      </w:r>
      <w:r w:rsidRPr="004A190D">
        <w:rPr>
          <w:snapToGrid/>
          <w:lang w:val="en-US"/>
        </w:rPr>
        <w:t>inscribed on the Lists of the Convention</w:t>
      </w:r>
      <w:r w:rsidR="00FA7E5E" w:rsidRPr="004A190D">
        <w:rPr>
          <w:snapToGrid/>
          <w:lang w:val="en-US"/>
        </w:rPr>
        <w:t xml:space="preserve"> </w:t>
      </w:r>
      <w:r w:rsidRPr="004A190D">
        <w:rPr>
          <w:lang w:val="en-US"/>
        </w:rPr>
        <w:t xml:space="preserve">bring to light possible shortcomings with this principle. Specifically, they demonstrate that such public information may </w:t>
      </w:r>
      <w:r w:rsidR="00FA7E5E" w:rsidRPr="004A190D">
        <w:rPr>
          <w:lang w:val="en-US"/>
        </w:rPr>
        <w:t xml:space="preserve">shed light on </w:t>
      </w:r>
      <w:r w:rsidRPr="004A190D">
        <w:rPr>
          <w:lang w:val="en-US"/>
        </w:rPr>
        <w:t xml:space="preserve">the suitability of an element </w:t>
      </w:r>
      <w:r w:rsidR="00FA7E5E" w:rsidRPr="004A190D">
        <w:rPr>
          <w:lang w:val="en-US"/>
        </w:rPr>
        <w:t xml:space="preserve">as </w:t>
      </w:r>
      <w:r w:rsidRPr="004A190D">
        <w:rPr>
          <w:lang w:val="en-US"/>
        </w:rPr>
        <w:t xml:space="preserve">part of the UNESCO listing mechanisms. For example, it is unclear whether some of the issues concerning inscribed elements reflect a changing or </w:t>
      </w:r>
      <w:r w:rsidRPr="004A190D">
        <w:rPr>
          <w:lang w:val="en-US"/>
        </w:rPr>
        <w:lastRenderedPageBreak/>
        <w:t>evolving status of those elements or rather information about the element that may have been publicly available at the time of the evaluation.</w:t>
      </w:r>
    </w:p>
    <w:p w14:paraId="75EFB641" w14:textId="5F53817B" w:rsidR="002D772D" w:rsidRDefault="002D772D" w:rsidP="002D772D">
      <w:pPr>
        <w:pStyle w:val="Marge"/>
        <w:numPr>
          <w:ilvl w:val="0"/>
          <w:numId w:val="2"/>
        </w:numPr>
        <w:snapToGrid/>
        <w:spacing w:after="120"/>
        <w:ind w:left="567" w:hanging="567"/>
        <w:rPr>
          <w:lang w:val="en-US"/>
        </w:rPr>
      </w:pPr>
      <w:r w:rsidRPr="00517142">
        <w:rPr>
          <w:lang w:val="en-US"/>
        </w:rPr>
        <w:t xml:space="preserve">The reflection process should ultimately aim to help communities to better safeguard </w:t>
      </w:r>
      <w:r w:rsidRPr="00517142">
        <w:rPr>
          <w:lang w:val="en-GB"/>
        </w:rPr>
        <w:t>their</w:t>
      </w:r>
      <w:r w:rsidRPr="00517142">
        <w:rPr>
          <w:lang w:val="en-US"/>
        </w:rPr>
        <w:t xml:space="preserve"> living heritage. For the time being, the inscription process tends to privilege those communities living in States with the required technocratic capacities to </w:t>
      </w:r>
      <w:r w:rsidR="00A2282A">
        <w:rPr>
          <w:lang w:val="en-US"/>
        </w:rPr>
        <w:t>prepare</w:t>
      </w:r>
      <w:r w:rsidRPr="00517142">
        <w:rPr>
          <w:lang w:val="en-US"/>
        </w:rPr>
        <w:t xml:space="preserve"> good files, somewhat irrespective of the breadth and range of intangible cultural heritage present in a specific territory or within a specific community. In order to support those States with less administrative experience and expertise, the capacity-building approach should continue to be promoted. At the same time, the reformed system would need to be able to recognize and take into account the broader safeguarding intentions of submitting States and communities, so that the files be assessed beyond their merits as a mere drafting exercise.</w:t>
      </w:r>
    </w:p>
    <w:p w14:paraId="055D4B55" w14:textId="24C6274C" w:rsidR="004A50A1" w:rsidRDefault="002F3148" w:rsidP="004A7593">
      <w:pPr>
        <w:pStyle w:val="Titre4"/>
        <w:spacing w:before="240"/>
        <w:ind w:hanging="578"/>
      </w:pPr>
      <w:r w:rsidRPr="004A7593">
        <w:t xml:space="preserve">Early </w:t>
      </w:r>
      <w:r w:rsidR="00FA7E5E">
        <w:t>h</w:t>
      </w:r>
      <w:r>
        <w:t>arvest package</w:t>
      </w:r>
    </w:p>
    <w:p w14:paraId="1762043D" w14:textId="4D3E8975" w:rsidR="004A50A1" w:rsidRPr="004A7593" w:rsidRDefault="004A50A1" w:rsidP="008D73B8">
      <w:pPr>
        <w:pStyle w:val="COMPara"/>
        <w:keepNext/>
        <w:numPr>
          <w:ilvl w:val="0"/>
          <w:numId w:val="0"/>
        </w:numPr>
        <w:ind w:left="567"/>
        <w:jc w:val="both"/>
        <w:rPr>
          <w:u w:val="single"/>
        </w:rPr>
      </w:pPr>
      <w:r w:rsidRPr="004A7593">
        <w:rPr>
          <w:u w:val="single"/>
        </w:rPr>
        <w:t>Upstream dialogue process</w:t>
      </w:r>
    </w:p>
    <w:p w14:paraId="642040E2" w14:textId="7E71EA45" w:rsidR="00480EFB" w:rsidRDefault="00480EFB" w:rsidP="008D73B8">
      <w:pPr>
        <w:pStyle w:val="COMPara"/>
        <w:keepNext/>
        <w:ind w:left="567" w:hanging="567"/>
        <w:jc w:val="both"/>
      </w:pPr>
      <w:r>
        <w:t>At its eleventh session in 2016, the Committee recogni</w:t>
      </w:r>
      <w:r w:rsidR="00BD4417">
        <w:t>z</w:t>
      </w:r>
      <w:r>
        <w:t xml:space="preserve">ed the need to include an additional step in the nomination cycle to allow </w:t>
      </w:r>
      <w:r w:rsidR="00BD4417">
        <w:t xml:space="preserve">for </w:t>
      </w:r>
      <w:r>
        <w:t xml:space="preserve">a dialogue between the Evaluation Body and the </w:t>
      </w:r>
      <w:r w:rsidR="00BD4417">
        <w:t xml:space="preserve">submitting </w:t>
      </w:r>
      <w:r>
        <w:t>State</w:t>
      </w:r>
      <w:r w:rsidR="001B16C6">
        <w:t>(s)</w:t>
      </w:r>
      <w:r>
        <w:t>.</w:t>
      </w:r>
      <w:r w:rsidRPr="00480EFB">
        <w:t xml:space="preserve"> </w:t>
      </w:r>
      <w:r>
        <w:t xml:space="preserve">In particular, </w:t>
      </w:r>
      <w:r w:rsidR="00F6387C">
        <w:t xml:space="preserve">the Committee wished to make a distinction between files recommended for referral by the Evaluation Body due to minor technical aspects and files recommended for referral </w:t>
      </w:r>
      <w:r w:rsidR="00CA2B8E">
        <w:t>based on</w:t>
      </w:r>
      <w:r w:rsidR="00BD4417">
        <w:t xml:space="preserve"> </w:t>
      </w:r>
      <w:r w:rsidR="00F6387C">
        <w:t xml:space="preserve">more fundamental issues. </w:t>
      </w:r>
      <w:r w:rsidR="001B16C6">
        <w:t>Consequently, t</w:t>
      </w:r>
      <w:r>
        <w:t xml:space="preserve">he Committee decided to establish </w:t>
      </w:r>
      <w:r w:rsidRPr="004F795E">
        <w:rPr>
          <w:rFonts w:eastAsia="Arial"/>
        </w:rPr>
        <w:t>an informal ad hoc working group in order to examine</w:t>
      </w:r>
      <w:r w:rsidR="00BD4417">
        <w:rPr>
          <w:rFonts w:eastAsia="Arial"/>
        </w:rPr>
        <w:t>,</w:t>
      </w:r>
      <w:r w:rsidRPr="004F795E">
        <w:rPr>
          <w:rFonts w:eastAsia="Arial"/>
        </w:rPr>
        <w:t xml:space="preserve"> </w:t>
      </w:r>
      <w:r w:rsidRPr="004F795E">
        <w:rPr>
          <w:rFonts w:eastAsia="Arial"/>
          <w:i/>
        </w:rPr>
        <w:t>inter alia</w:t>
      </w:r>
      <w:r w:rsidR="00BD4417">
        <w:rPr>
          <w:rFonts w:eastAsia="Arial"/>
          <w:iCs/>
        </w:rPr>
        <w:t>,</w:t>
      </w:r>
      <w:r w:rsidRPr="004F795E">
        <w:rPr>
          <w:rFonts w:eastAsia="Arial"/>
        </w:rPr>
        <w:t xml:space="preserve"> issues related to the dialogue between the Evaluation Body and submitting States and </w:t>
      </w:r>
      <w:r>
        <w:t>requested that the Secret</w:t>
      </w:r>
      <w:r w:rsidR="00BA59A4">
        <w:t>ariat propose a procedure in this</w:t>
      </w:r>
      <w:r>
        <w:t xml:space="preserve"> regard</w:t>
      </w:r>
      <w:r w:rsidR="00B82B45">
        <w:rPr>
          <w:rStyle w:val="Appelnotedebasdep"/>
        </w:rPr>
        <w:footnoteReference w:id="30"/>
      </w:r>
      <w:r>
        <w:t>.</w:t>
      </w:r>
      <w:r w:rsidRPr="00480EFB">
        <w:t xml:space="preserve"> </w:t>
      </w:r>
      <w:r>
        <w:t xml:space="preserve">This </w:t>
      </w:r>
      <w:r w:rsidR="00F6387C">
        <w:t xml:space="preserve">step was made </w:t>
      </w:r>
      <w:r>
        <w:t>against the backdrop of an unprecedented</w:t>
      </w:r>
      <w:r w:rsidR="004F795E">
        <w:t>ly</w:t>
      </w:r>
      <w:r>
        <w:t xml:space="preserve"> high number of decisions taken</w:t>
      </w:r>
      <w:r w:rsidR="00B82B45">
        <w:t xml:space="preserve"> that year</w:t>
      </w:r>
      <w:r>
        <w:t xml:space="preserve"> by the Committee on nominations, proposals and requests </w:t>
      </w:r>
      <w:r w:rsidR="00B82B45">
        <w:t xml:space="preserve">that </w:t>
      </w:r>
      <w:r>
        <w:t>reversed the recommendations of the Evaluation Body.</w:t>
      </w:r>
      <w:r w:rsidR="00B82B45">
        <w:t xml:space="preserve"> </w:t>
      </w:r>
      <w:r w:rsidR="00F6387C">
        <w:t>In other words, the intention</w:t>
      </w:r>
      <w:r w:rsidR="00BD4417">
        <w:t xml:space="preserve"> behind</w:t>
      </w:r>
      <w:r w:rsidR="00F6387C">
        <w:t xml:space="preserve"> the dialogue </w:t>
      </w:r>
      <w:r w:rsidR="00BD4417">
        <w:t xml:space="preserve">process </w:t>
      </w:r>
      <w:r w:rsidR="00F6387C">
        <w:t xml:space="preserve">is to </w:t>
      </w:r>
      <w:r w:rsidR="00BD4417">
        <w:t xml:space="preserve">provide </w:t>
      </w:r>
      <w:r w:rsidR="00B82B45">
        <w:t xml:space="preserve">States Parties whose files would have been referred </w:t>
      </w:r>
      <w:r w:rsidR="00BD4417">
        <w:t xml:space="preserve">due to </w:t>
      </w:r>
      <w:r w:rsidR="00B82B45">
        <w:t>minor technical aspects</w:t>
      </w:r>
      <w:r w:rsidR="00BD4417">
        <w:t xml:space="preserve"> with</w:t>
      </w:r>
      <w:r w:rsidR="00B82B45">
        <w:t xml:space="preserve"> an opportunity to address these issues during the nomination cycle rather</w:t>
      </w:r>
      <w:r w:rsidR="003205D1">
        <w:t xml:space="preserve"> than </w:t>
      </w:r>
      <w:r w:rsidR="00CA2B8E">
        <w:t>hav</w:t>
      </w:r>
      <w:r w:rsidR="0002508A">
        <w:t>ing</w:t>
      </w:r>
      <w:r w:rsidR="00CA2B8E">
        <w:t xml:space="preserve"> </w:t>
      </w:r>
      <w:r w:rsidR="003205D1">
        <w:t xml:space="preserve">to wait </w:t>
      </w:r>
      <w:r w:rsidR="00BD4417">
        <w:t xml:space="preserve">an </w:t>
      </w:r>
      <w:r w:rsidR="00F6387C">
        <w:t>additional</w:t>
      </w:r>
      <w:r w:rsidR="003205D1">
        <w:t xml:space="preserve"> two years before the Committee </w:t>
      </w:r>
      <w:r w:rsidR="00BD4417">
        <w:t xml:space="preserve">can </w:t>
      </w:r>
      <w:r w:rsidR="003205D1">
        <w:t>examine their file again.</w:t>
      </w:r>
    </w:p>
    <w:p w14:paraId="272D5492" w14:textId="73354C14" w:rsidR="00F25FD3" w:rsidRPr="008D73B8" w:rsidRDefault="001B16C6" w:rsidP="004A190D">
      <w:pPr>
        <w:pStyle w:val="COMPara"/>
        <w:ind w:left="567" w:hanging="567"/>
        <w:jc w:val="both"/>
      </w:pPr>
      <w:r w:rsidRPr="002E4ABB">
        <w:rPr>
          <w:rFonts w:eastAsia="SimSun"/>
        </w:rPr>
        <w:t>The position of the Committee at its</w:t>
      </w:r>
      <w:r w:rsidR="000D797A" w:rsidRPr="002E4ABB">
        <w:rPr>
          <w:rFonts w:eastAsia="SimSun"/>
        </w:rPr>
        <w:t xml:space="preserve"> twelfth session in 2017</w:t>
      </w:r>
      <w:r w:rsidRPr="00FA01B7">
        <w:rPr>
          <w:rFonts w:eastAsia="SimSun"/>
        </w:rPr>
        <w:t xml:space="preserve"> was to </w:t>
      </w:r>
      <w:r w:rsidR="00BD4417">
        <w:rPr>
          <w:rFonts w:eastAsia="SimSun"/>
        </w:rPr>
        <w:t>allow</w:t>
      </w:r>
      <w:r w:rsidR="00BD4417" w:rsidRPr="00FA01B7">
        <w:rPr>
          <w:rFonts w:eastAsia="SimSun"/>
        </w:rPr>
        <w:t xml:space="preserve"> </w:t>
      </w:r>
      <w:r w:rsidRPr="00FA01B7">
        <w:rPr>
          <w:rFonts w:eastAsia="SimSun"/>
        </w:rPr>
        <w:t>more time for a number of adjustments introduced in the evaluation process to take effect (notably on nomination forms), before considering the establishment of a formal ‘dialogue’</w:t>
      </w:r>
      <w:r w:rsidR="000D797A" w:rsidRPr="00FA01B7">
        <w:rPr>
          <w:rFonts w:eastAsia="SimSun"/>
        </w:rPr>
        <w:t xml:space="preserve"> process</w:t>
      </w:r>
      <w:r w:rsidR="000D797A">
        <w:t>.</w:t>
      </w:r>
      <w:r w:rsidR="00A735DF">
        <w:t xml:space="preserve"> </w:t>
      </w:r>
      <w:r w:rsidR="00F25FD3" w:rsidRPr="008D73B8">
        <w:t xml:space="preserve">On the same occasion, </w:t>
      </w:r>
      <w:r w:rsidR="00CC036F" w:rsidRPr="008D73B8">
        <w:t xml:space="preserve">the Committee decided to continue the informal ad hoc working group until 2018 making it open to all States Parties. </w:t>
      </w:r>
      <w:r w:rsidR="00F25FD3" w:rsidRPr="008D73B8">
        <w:t xml:space="preserve">The group was asked to, </w:t>
      </w:r>
      <w:r w:rsidR="00F25FD3" w:rsidRPr="008D73B8">
        <w:rPr>
          <w:i/>
        </w:rPr>
        <w:t>inter alia,</w:t>
      </w:r>
      <w:r w:rsidR="00F25FD3" w:rsidRPr="008D73B8">
        <w:t xml:space="preserve"> ‘further reflect on an appropriate ‘dialogue’ mechanism, in consultation with the Evaluation Body, taking into account the respective resolutions by the next General Assembly’</w:t>
      </w:r>
      <w:r w:rsidR="00F25FD3" w:rsidRPr="008D73B8">
        <w:rPr>
          <w:rStyle w:val="Appelnotedebasdep"/>
        </w:rPr>
        <w:footnoteReference w:id="31"/>
      </w:r>
      <w:r w:rsidR="00F25FD3" w:rsidRPr="008D73B8">
        <w:t>.</w:t>
      </w:r>
    </w:p>
    <w:p w14:paraId="2851B636" w14:textId="64D4EFCD" w:rsidR="00E601ED" w:rsidRPr="008D73B8" w:rsidRDefault="00F91457" w:rsidP="004A190D">
      <w:pPr>
        <w:pStyle w:val="COMPara"/>
        <w:ind w:left="567" w:hanging="567"/>
        <w:jc w:val="both"/>
      </w:pPr>
      <w:r w:rsidRPr="00D96924">
        <w:t xml:space="preserve">The urge to </w:t>
      </w:r>
      <w:r w:rsidRPr="00D96924">
        <w:rPr>
          <w:rFonts w:eastAsia="SimSun"/>
        </w:rPr>
        <w:t>see</w:t>
      </w:r>
      <w:r w:rsidRPr="00D96924">
        <w:t xml:space="preserve"> improvements </w:t>
      </w:r>
      <w:r w:rsidR="00BD4417" w:rsidRPr="00D96924">
        <w:t xml:space="preserve">in </w:t>
      </w:r>
      <w:r w:rsidRPr="00D96924">
        <w:t>the inscription procedure heightened at the thirteenth session in 2018</w:t>
      </w:r>
      <w:r w:rsidR="005A7A44" w:rsidRPr="00D96924">
        <w:t>, following</w:t>
      </w:r>
      <w:r w:rsidRPr="00D96924">
        <w:t xml:space="preserve"> </w:t>
      </w:r>
      <w:r w:rsidRPr="00D96924">
        <w:rPr>
          <w:rFonts w:eastAsia="SimSun"/>
        </w:rPr>
        <w:t>the</w:t>
      </w:r>
      <w:r w:rsidRPr="00D96924">
        <w:t xml:space="preserve"> deliberations on </w:t>
      </w:r>
      <w:r w:rsidR="00BD4417" w:rsidRPr="00D96924">
        <w:t xml:space="preserve">a </w:t>
      </w:r>
      <w:r w:rsidRPr="00D96924">
        <w:t>certain number of nominations at that session</w:t>
      </w:r>
      <w:r w:rsidR="00FA01B7" w:rsidRPr="00D96924">
        <w:t>.</w:t>
      </w:r>
      <w:r w:rsidR="002E4ABB" w:rsidRPr="00D96924">
        <w:t xml:space="preserve"> In particular,</w:t>
      </w:r>
      <w:r w:rsidR="001121F5" w:rsidRPr="00D96924">
        <w:t xml:space="preserve"> the Committee requested </w:t>
      </w:r>
      <w:r w:rsidR="00BD4417" w:rsidRPr="00D96924">
        <w:t xml:space="preserve">that the </w:t>
      </w:r>
      <w:r w:rsidR="001121F5" w:rsidRPr="00D96924">
        <w:t xml:space="preserve">Secretariat transmit any questions of the Evaluation Body on files submitted for the 2019 cycle to </w:t>
      </w:r>
      <w:r w:rsidR="00BD4417" w:rsidRPr="00D96924">
        <w:t xml:space="preserve">the </w:t>
      </w:r>
      <w:r w:rsidR="001121F5" w:rsidRPr="00D96924">
        <w:t xml:space="preserve">States Parties concerned after the second meeting of the Evaluation Body in 2019. At the same time, the Committee invited </w:t>
      </w:r>
      <w:r w:rsidR="00BD4417" w:rsidRPr="00D96924">
        <w:t xml:space="preserve">the </w:t>
      </w:r>
      <w:r w:rsidR="001121F5" w:rsidRPr="00D96924">
        <w:t>States Parties concerned to submit clarifications to the Evaluation Body before the third meeting of the Evaluation Body in 2019.</w:t>
      </w:r>
      <w:r w:rsidR="00F25FD3" w:rsidRPr="00D96924">
        <w:t xml:space="preserve"> </w:t>
      </w:r>
      <w:r w:rsidR="00F25FD3" w:rsidRPr="008D73B8">
        <w:t>The</w:t>
      </w:r>
      <w:r w:rsidR="00D525F8">
        <w:t xml:space="preserve"> </w:t>
      </w:r>
      <w:r w:rsidR="00F25FD3" w:rsidRPr="008D73B8">
        <w:t xml:space="preserve">mandate of </w:t>
      </w:r>
      <w:r w:rsidR="00F1511D">
        <w:t xml:space="preserve">the </w:t>
      </w:r>
      <w:r w:rsidR="00F25FD3" w:rsidRPr="008D73B8">
        <w:t>informal open-ended ad hoc working</w:t>
      </w:r>
      <w:r w:rsidR="00F1511D">
        <w:t xml:space="preserve"> group</w:t>
      </w:r>
      <w:r w:rsidR="00F25FD3" w:rsidRPr="008D73B8">
        <w:t xml:space="preserve"> was extended again</w:t>
      </w:r>
      <w:r w:rsidR="00E601ED" w:rsidRPr="008D73B8">
        <w:t>,</w:t>
      </w:r>
      <w:r w:rsidR="00F25FD3" w:rsidRPr="008D73B8">
        <w:t xml:space="preserve"> until 2019 to</w:t>
      </w:r>
      <w:r w:rsidR="00E601ED" w:rsidRPr="008D73B8">
        <w:t xml:space="preserve"> also</w:t>
      </w:r>
      <w:r w:rsidR="00F25FD3" w:rsidRPr="008D73B8">
        <w:t xml:space="preserve"> </w:t>
      </w:r>
      <w:r w:rsidR="00E601ED" w:rsidRPr="008D73B8">
        <w:t>‘</w:t>
      </w:r>
      <w:r w:rsidR="00F25FD3" w:rsidRPr="008D73B8">
        <w:t>exchange with the Secretariat and the Evaluation Body on the implementation of the experimental dialogue mechanism</w:t>
      </w:r>
      <w:r w:rsidR="00E601ED" w:rsidRPr="008D73B8">
        <w:t>’</w:t>
      </w:r>
      <w:r w:rsidR="004025A8">
        <w:rPr>
          <w:rStyle w:val="Appelnotedebasdep"/>
        </w:rPr>
        <w:footnoteReference w:id="32"/>
      </w:r>
      <w:r w:rsidR="00E601ED" w:rsidRPr="008D73B8">
        <w:t>.</w:t>
      </w:r>
    </w:p>
    <w:p w14:paraId="493C143E" w14:textId="53EFE3EB" w:rsidR="008B15E2" w:rsidRDefault="001121F5">
      <w:pPr>
        <w:pStyle w:val="COMPara"/>
        <w:ind w:left="567" w:hanging="567"/>
        <w:jc w:val="both"/>
      </w:pPr>
      <w:r w:rsidRPr="000D7867">
        <w:t>Accordingly</w:t>
      </w:r>
      <w:r w:rsidR="000D7867" w:rsidRPr="00E601ED">
        <w:rPr>
          <w:rStyle w:val="Lienhypertexte"/>
          <w:color w:val="auto"/>
          <w:u w:val="none"/>
        </w:rPr>
        <w:t>,</w:t>
      </w:r>
      <w:r w:rsidR="003205D1" w:rsidRPr="000D7867">
        <w:t xml:space="preserve"> </w:t>
      </w:r>
      <w:r w:rsidR="003205D1">
        <w:t>the provisional upstream dialogue procedure was introduced in the 2019 cycle</w:t>
      </w:r>
      <w:r>
        <w:t xml:space="preserve">. </w:t>
      </w:r>
      <w:r w:rsidR="007771C3">
        <w:t xml:space="preserve">A specific provisional arrangement was necessary to respect the calendar of evaluation specified in paragraph 55 of the Operational </w:t>
      </w:r>
      <w:r w:rsidR="007771C3" w:rsidRPr="000D7867">
        <w:t xml:space="preserve">Directives. </w:t>
      </w:r>
      <w:r>
        <w:t xml:space="preserve">It </w:t>
      </w:r>
      <w:r w:rsidR="00BD4417">
        <w:t xml:space="preserve">should </w:t>
      </w:r>
      <w:r>
        <w:t xml:space="preserve">be noted that the opinion of the </w:t>
      </w:r>
      <w:r w:rsidR="005753AD">
        <w:t xml:space="preserve">2019 </w:t>
      </w:r>
      <w:r>
        <w:t xml:space="preserve">Evaluation Body on </w:t>
      </w:r>
      <w:r w:rsidR="00BD4417">
        <w:t xml:space="preserve">the </w:t>
      </w:r>
      <w:r>
        <w:t xml:space="preserve">dialogue cases </w:t>
      </w:r>
      <w:r w:rsidR="00BD4417">
        <w:t xml:space="preserve">is </w:t>
      </w:r>
      <w:r>
        <w:t>be</w:t>
      </w:r>
      <w:r w:rsidR="000106DB">
        <w:t>ing</w:t>
      </w:r>
      <w:r>
        <w:t xml:space="preserve"> published as an information document, separately from</w:t>
      </w:r>
      <w:r w:rsidR="000106DB">
        <w:t xml:space="preserve"> the recommendations on individual nominations, again to </w:t>
      </w:r>
      <w:r w:rsidR="00BD4417">
        <w:t xml:space="preserve">remain </w:t>
      </w:r>
      <w:r w:rsidR="000106DB">
        <w:t xml:space="preserve">in conformity </w:t>
      </w:r>
      <w:r w:rsidR="000106DB">
        <w:lastRenderedPageBreak/>
        <w:t>with paragraph 55 of the Operational Directives.</w:t>
      </w:r>
      <w:r w:rsidR="003205D1">
        <w:t xml:space="preserve"> </w:t>
      </w:r>
      <w:r w:rsidR="005753AD">
        <w:t>For more details, t</w:t>
      </w:r>
      <w:r w:rsidR="00FA01B7">
        <w:t xml:space="preserve">he report of the Evaluation Body presented to the present session of the Committee indicates </w:t>
      </w:r>
      <w:r w:rsidR="003205D1">
        <w:t>the procedure, results and the conclusions of the Body</w:t>
      </w:r>
      <w:r w:rsidR="007E0B6B">
        <w:rPr>
          <w:rStyle w:val="Appelnotedebasdep"/>
        </w:rPr>
        <w:footnoteReference w:id="33"/>
      </w:r>
      <w:r w:rsidR="003205D1">
        <w:t>.</w:t>
      </w:r>
      <w:r w:rsidR="006E3817">
        <w:t xml:space="preserve"> </w:t>
      </w:r>
      <w:r w:rsidR="005753AD">
        <w:t>T</w:t>
      </w:r>
      <w:r w:rsidR="008B15E2">
        <w:t>he Evaluation Body remarked that the process made it more confident in is decisions.</w:t>
      </w:r>
      <w:r w:rsidR="003205D1">
        <w:t xml:space="preserve"> </w:t>
      </w:r>
      <w:r w:rsidR="008B15E2">
        <w:t>This</w:t>
      </w:r>
      <w:r w:rsidR="00BD4417">
        <w:t>,</w:t>
      </w:r>
      <w:r w:rsidR="008B15E2">
        <w:t xml:space="preserve"> in turn</w:t>
      </w:r>
      <w:r w:rsidR="00BD4417">
        <w:t>,</w:t>
      </w:r>
      <w:r w:rsidR="008B15E2">
        <w:t xml:space="preserve"> should assure </w:t>
      </w:r>
      <w:r w:rsidR="003205D1">
        <w:t>the Committee</w:t>
      </w:r>
      <w:r w:rsidR="001C6244">
        <w:t xml:space="preserve"> </w:t>
      </w:r>
      <w:r w:rsidR="008B15E2">
        <w:t xml:space="preserve">that on </w:t>
      </w:r>
      <w:r w:rsidR="00BD4417">
        <w:t xml:space="preserve">the </w:t>
      </w:r>
      <w:r w:rsidR="008B15E2">
        <w:t xml:space="preserve">one hand nominations that benefitted from the dialogue process did not need to wait </w:t>
      </w:r>
      <w:r w:rsidR="00BD4417">
        <w:t xml:space="preserve">an </w:t>
      </w:r>
      <w:r w:rsidR="008B15E2">
        <w:t xml:space="preserve">additional two years </w:t>
      </w:r>
      <w:r w:rsidR="00BD4417">
        <w:t>to be</w:t>
      </w:r>
      <w:r w:rsidR="008B15E2">
        <w:t xml:space="preserve"> re-</w:t>
      </w:r>
      <w:r w:rsidR="00BD4417">
        <w:t>examined</w:t>
      </w:r>
      <w:r w:rsidR="008B15E2">
        <w:t xml:space="preserve">, and on the other hand </w:t>
      </w:r>
      <w:r w:rsidR="00E779DF">
        <w:t xml:space="preserve">that recommendations for referral were not made based on </w:t>
      </w:r>
      <w:r w:rsidR="003205D1">
        <w:t>minor reasons.</w:t>
      </w:r>
    </w:p>
    <w:p w14:paraId="213E3E4F" w14:textId="5499FCB5" w:rsidR="00F56760" w:rsidRDefault="00F56760" w:rsidP="004A7593">
      <w:pPr>
        <w:pStyle w:val="COMPara"/>
        <w:ind w:left="567" w:hanging="567"/>
        <w:jc w:val="both"/>
      </w:pPr>
      <w:r>
        <w:t xml:space="preserve">Based on this year’s experience </w:t>
      </w:r>
      <w:r w:rsidR="00BD4417">
        <w:t>with</w:t>
      </w:r>
      <w:r>
        <w:t xml:space="preserve"> the upstream dialogue</w:t>
      </w:r>
      <w:r w:rsidR="00ED7DA9">
        <w:t xml:space="preserve"> process</w:t>
      </w:r>
      <w:r w:rsidR="00423D47">
        <w:t xml:space="preserve">, the Committee may wish to follow the </w:t>
      </w:r>
      <w:r w:rsidR="004222C5">
        <w:t>suggestion</w:t>
      </w:r>
      <w:r w:rsidR="00423D47">
        <w:t xml:space="preserve"> of the Evaluation Body and </w:t>
      </w:r>
      <w:r w:rsidR="00ED7DA9">
        <w:t xml:space="preserve">endorse </w:t>
      </w:r>
      <w:r w:rsidR="008B15E2">
        <w:t xml:space="preserve">a set of </w:t>
      </w:r>
      <w:r w:rsidR="00423D47" w:rsidRPr="00CC423D">
        <w:t xml:space="preserve">amendments to </w:t>
      </w:r>
      <w:r w:rsidR="008B15E2">
        <w:rPr>
          <w:rFonts w:eastAsia="SimSun"/>
        </w:rPr>
        <w:t>Chapter I.15 of the Operational Directive</w:t>
      </w:r>
      <w:r w:rsidR="00BD4417">
        <w:rPr>
          <w:rFonts w:eastAsia="SimSun"/>
        </w:rPr>
        <w:t>s</w:t>
      </w:r>
      <w:r w:rsidR="008B15E2">
        <w:rPr>
          <w:rFonts w:eastAsia="SimSun"/>
        </w:rPr>
        <w:t xml:space="preserve">, as provided </w:t>
      </w:r>
      <w:r w:rsidR="008B15E2" w:rsidRPr="004025A8">
        <w:rPr>
          <w:rFonts w:eastAsia="SimSun"/>
        </w:rPr>
        <w:t xml:space="preserve">in </w:t>
      </w:r>
      <w:r w:rsidR="008B15E2" w:rsidRPr="00AD64FE">
        <w:rPr>
          <w:rFonts w:eastAsia="SimSun"/>
        </w:rPr>
        <w:t xml:space="preserve">Annex </w:t>
      </w:r>
      <w:r w:rsidR="002D772D" w:rsidRPr="00AD64FE">
        <w:rPr>
          <w:rFonts w:eastAsia="SimSun"/>
        </w:rPr>
        <w:t>III</w:t>
      </w:r>
      <w:r w:rsidR="008B15E2" w:rsidRPr="004025A8">
        <w:rPr>
          <w:rFonts w:eastAsia="SimSun"/>
        </w:rPr>
        <w:t xml:space="preserve"> to</w:t>
      </w:r>
      <w:r w:rsidR="008B15E2">
        <w:rPr>
          <w:rFonts w:eastAsia="SimSun"/>
        </w:rPr>
        <w:t xml:space="preserve"> the present document. The rational</w:t>
      </w:r>
      <w:r w:rsidR="00BD4417">
        <w:rPr>
          <w:rFonts w:eastAsia="SimSun"/>
        </w:rPr>
        <w:t>e</w:t>
      </w:r>
      <w:r w:rsidR="008B15E2">
        <w:rPr>
          <w:rFonts w:eastAsia="SimSun"/>
        </w:rPr>
        <w:t xml:space="preserve"> is</w:t>
      </w:r>
      <w:r w:rsidR="008B15E2">
        <w:t xml:space="preserve"> </w:t>
      </w:r>
      <w:r w:rsidR="00423D47">
        <w:t>to</w:t>
      </w:r>
      <w:r w:rsidR="004222C5">
        <w:t xml:space="preserve"> create an intermediary step in the evaluation cycle </w:t>
      </w:r>
      <w:r w:rsidR="007D1FF7">
        <w:t xml:space="preserve">to </w:t>
      </w:r>
      <w:r w:rsidR="00423D47">
        <w:t>allow the</w:t>
      </w:r>
      <w:r w:rsidR="00423D47" w:rsidRPr="00CC423D">
        <w:t xml:space="preserve"> Body to </w:t>
      </w:r>
      <w:r w:rsidR="00B14A3C">
        <w:t xml:space="preserve">finalize </w:t>
      </w:r>
      <w:r w:rsidR="00423D47" w:rsidRPr="00CC423D">
        <w:t xml:space="preserve">its recommendations for files concerned by the dialogue process during the </w:t>
      </w:r>
      <w:r w:rsidR="00B14A3C">
        <w:t>Body’s third</w:t>
      </w:r>
      <w:r w:rsidR="00423D47" w:rsidRPr="00CC423D">
        <w:t xml:space="preserve"> </w:t>
      </w:r>
      <w:r w:rsidR="004222C5">
        <w:t xml:space="preserve">and last </w:t>
      </w:r>
      <w:r w:rsidR="00423D47" w:rsidRPr="00CC423D">
        <w:t>meeting.</w:t>
      </w:r>
    </w:p>
    <w:p w14:paraId="69D7F8A7" w14:textId="07371A07" w:rsidR="007C5042" w:rsidRPr="00133897" w:rsidRDefault="00133897" w:rsidP="004A7593">
      <w:pPr>
        <w:pStyle w:val="COMPara"/>
        <w:ind w:left="567" w:hanging="567"/>
        <w:jc w:val="both"/>
        <w:rPr>
          <w:rFonts w:eastAsia="SimSun"/>
        </w:rPr>
      </w:pPr>
      <w:r>
        <w:t xml:space="preserve">For the evaluation of </w:t>
      </w:r>
      <w:r w:rsidR="00423D47" w:rsidRPr="00CC423D">
        <w:t xml:space="preserve">files not concerned by </w:t>
      </w:r>
      <w:r w:rsidR="00BA59A4">
        <w:t xml:space="preserve">the </w:t>
      </w:r>
      <w:r w:rsidR="00423D47" w:rsidRPr="00CC423D">
        <w:t>dialogue</w:t>
      </w:r>
      <w:r>
        <w:t xml:space="preserve"> process</w:t>
      </w:r>
      <w:r w:rsidR="00423D47" w:rsidRPr="00CC423D">
        <w:t xml:space="preserve">, however, the Evaluation Body should continue to follow the existing evaluation timetable set out in the </w:t>
      </w:r>
      <w:r w:rsidR="006919E6">
        <w:t xml:space="preserve">current version of the </w:t>
      </w:r>
      <w:r w:rsidR="00423D47" w:rsidRPr="00CC423D">
        <w:t xml:space="preserve">Operational Directives and should finalize its evaluation during </w:t>
      </w:r>
      <w:r w:rsidR="002376C6">
        <w:t>its second</w:t>
      </w:r>
      <w:r w:rsidR="00423D47" w:rsidRPr="00CC423D">
        <w:t xml:space="preserve"> meeting</w:t>
      </w:r>
      <w:r w:rsidR="00BD4417">
        <w:t>,</w:t>
      </w:r>
      <w:r w:rsidR="00423D47" w:rsidRPr="00CC423D">
        <w:t xml:space="preserve"> held between April and June.</w:t>
      </w:r>
      <w:r>
        <w:t xml:space="preserve"> This distinction is important – if the dialogue process has to be applied to all files </w:t>
      </w:r>
      <w:r w:rsidR="00E779DF">
        <w:t>for which a recommendation for referral is considered</w:t>
      </w:r>
      <w:r w:rsidR="00F60550">
        <w:t>,</w:t>
      </w:r>
      <w:r>
        <w:t xml:space="preserve"> </w:t>
      </w:r>
      <w:r w:rsidR="00423D47" w:rsidRPr="00CC423D">
        <w:t xml:space="preserve">there is a </w:t>
      </w:r>
      <w:r>
        <w:t xml:space="preserve">real </w:t>
      </w:r>
      <w:r w:rsidR="00423D47" w:rsidRPr="00CC423D">
        <w:t xml:space="preserve">risk that the </w:t>
      </w:r>
      <w:r w:rsidR="00B14A3C">
        <w:t xml:space="preserve">Evaluation Body will be unable to complete its </w:t>
      </w:r>
      <w:r w:rsidR="00423D47" w:rsidRPr="00CC423D">
        <w:t xml:space="preserve">evaluation by the September meeting. </w:t>
      </w:r>
      <w:r>
        <w:t xml:space="preserve">What is at stake is the </w:t>
      </w:r>
      <w:r w:rsidR="00956787">
        <w:t xml:space="preserve">capacity of the </w:t>
      </w:r>
      <w:r>
        <w:t>Evaluation Body</w:t>
      </w:r>
      <w:r w:rsidR="00956787">
        <w:t xml:space="preserve"> to fulfil its mandate</w:t>
      </w:r>
      <w:r w:rsidR="00F60550">
        <w:t>,</w:t>
      </w:r>
      <w:r>
        <w:t xml:space="preserve"> since </w:t>
      </w:r>
      <w:r w:rsidR="00073DF8">
        <w:t>its members</w:t>
      </w:r>
      <w:r w:rsidR="00E908DA">
        <w:t xml:space="preserve"> </w:t>
      </w:r>
      <w:r w:rsidR="00C2122E">
        <w:t xml:space="preserve">make </w:t>
      </w:r>
      <w:r w:rsidR="00F60550">
        <w:t xml:space="preserve">their </w:t>
      </w:r>
      <w:r w:rsidR="006919E6">
        <w:t>recommendations</w:t>
      </w:r>
      <w:r w:rsidR="006919E6" w:rsidRPr="00B2293B">
        <w:t xml:space="preserve"> for </w:t>
      </w:r>
      <w:r w:rsidR="00F60550" w:rsidRPr="00B2293B">
        <w:t>e</w:t>
      </w:r>
      <w:r w:rsidR="00F60550">
        <w:t>ach</w:t>
      </w:r>
      <w:r w:rsidR="00F60550" w:rsidRPr="00B2293B">
        <w:t xml:space="preserve"> </w:t>
      </w:r>
      <w:r w:rsidR="006919E6" w:rsidRPr="00B2293B">
        <w:t>criterion of e</w:t>
      </w:r>
      <w:r w:rsidR="00F60550">
        <w:t>ach</w:t>
      </w:r>
      <w:r w:rsidR="006919E6" w:rsidRPr="00B2293B">
        <w:t xml:space="preserve"> file</w:t>
      </w:r>
      <w:r w:rsidR="006919E6">
        <w:t xml:space="preserve"> consensually</w:t>
      </w:r>
      <w:r w:rsidR="00F60550">
        <w:t>,</w:t>
      </w:r>
      <w:r w:rsidR="006919E6">
        <w:t xml:space="preserve"> through collegial discussions</w:t>
      </w:r>
      <w:r w:rsidR="00F60550">
        <w:t>,</w:t>
      </w:r>
      <w:r w:rsidR="006919E6">
        <w:t xml:space="preserve"> during its second meeting</w:t>
      </w:r>
      <w:r w:rsidR="00277A31">
        <w:t>.</w:t>
      </w:r>
      <w:r w:rsidR="00073DF8">
        <w:t xml:space="preserve"> </w:t>
      </w:r>
      <w:r w:rsidR="00277A31">
        <w:t>T</w:t>
      </w:r>
      <w:r w:rsidR="00073DF8">
        <w:t>he drafting of the report after the June meeting</w:t>
      </w:r>
      <w:r w:rsidR="00F60550">
        <w:t>,</w:t>
      </w:r>
      <w:r w:rsidR="00073DF8">
        <w:t xml:space="preserve"> </w:t>
      </w:r>
      <w:r w:rsidR="00F60550">
        <w:t xml:space="preserve">prior to its </w:t>
      </w:r>
      <w:r w:rsidR="00073DF8">
        <w:t>final adoption in September</w:t>
      </w:r>
      <w:r w:rsidR="00F60550">
        <w:t>,</w:t>
      </w:r>
      <w:r w:rsidR="00073DF8">
        <w:t xml:space="preserve"> also </w:t>
      </w:r>
      <w:r w:rsidR="00277A31">
        <w:t xml:space="preserve">requires </w:t>
      </w:r>
      <w:r w:rsidR="00C2122E">
        <w:t>the time of</w:t>
      </w:r>
      <w:r w:rsidR="009F17E4">
        <w:t xml:space="preserve"> the Chairperson, Vice-C</w:t>
      </w:r>
      <w:r w:rsidR="00073DF8">
        <w:t>hai</w:t>
      </w:r>
      <w:r w:rsidR="009F17E4">
        <w:t>r</w:t>
      </w:r>
      <w:r w:rsidR="00073DF8">
        <w:t>person and the Rapporteur of the Body</w:t>
      </w:r>
      <w:r w:rsidR="00277A31" w:rsidRPr="00277A31">
        <w:t xml:space="preserve"> </w:t>
      </w:r>
      <w:r w:rsidR="00277A31">
        <w:t xml:space="preserve">over </w:t>
      </w:r>
      <w:r w:rsidR="00D2626D">
        <w:t>a time frame of about</w:t>
      </w:r>
      <w:r w:rsidR="00277A31">
        <w:t xml:space="preserve"> </w:t>
      </w:r>
      <w:r w:rsidR="00D2626D">
        <w:t>t</w:t>
      </w:r>
      <w:r w:rsidR="00E779DF">
        <w:t>welve</w:t>
      </w:r>
      <w:r w:rsidR="00D2626D">
        <w:t xml:space="preserve"> weeks</w:t>
      </w:r>
      <w:r w:rsidR="00073DF8">
        <w:t>.</w:t>
      </w:r>
    </w:p>
    <w:p w14:paraId="021258C8" w14:textId="5F5D1067" w:rsidR="00F76FAC" w:rsidRPr="00456536" w:rsidRDefault="00F76FAC" w:rsidP="004A7593">
      <w:pPr>
        <w:pStyle w:val="Titre4"/>
        <w:keepLines w:val="0"/>
        <w:spacing w:before="240"/>
        <w:ind w:hanging="578"/>
      </w:pPr>
      <w:r>
        <w:t>Ways forward</w:t>
      </w:r>
    </w:p>
    <w:p w14:paraId="78FA3C24" w14:textId="67EE3DB5" w:rsidR="008E4C0C" w:rsidRPr="004A7593" w:rsidRDefault="00FD3E28" w:rsidP="004A7593">
      <w:pPr>
        <w:pStyle w:val="COMPara"/>
        <w:keepNext/>
        <w:ind w:left="567" w:hanging="567"/>
        <w:jc w:val="both"/>
        <w:rPr>
          <w:lang w:val="en-US"/>
        </w:rPr>
      </w:pPr>
      <w:r>
        <w:t xml:space="preserve">The overall </w:t>
      </w:r>
      <w:r w:rsidRPr="005311C7">
        <w:rPr>
          <w:lang w:val="en-US"/>
        </w:rPr>
        <w:t>reflection</w:t>
      </w:r>
      <w:r>
        <w:t xml:space="preserve"> </w:t>
      </w:r>
      <w:r w:rsidR="0005400D">
        <w:t xml:space="preserve">process </w:t>
      </w:r>
      <w:r>
        <w:t>will begin</w:t>
      </w:r>
      <w:r w:rsidR="007D1FF7">
        <w:t xml:space="preserve"> with a preliminary </w:t>
      </w:r>
      <w:r w:rsidR="008B6B5D">
        <w:t>meeting</w:t>
      </w:r>
      <w:r w:rsidR="00DD5B3A">
        <w:t xml:space="preserve"> (category VI)</w:t>
      </w:r>
      <w:r w:rsidR="008B6B5D">
        <w:t xml:space="preserve"> of </w:t>
      </w:r>
      <w:r w:rsidR="007D1FF7">
        <w:t>experts during the first semester of 2020</w:t>
      </w:r>
      <w:r w:rsidR="007C5042">
        <w:t xml:space="preserve"> at UNESCO Headquarters in Paris</w:t>
      </w:r>
      <w:r w:rsidR="007D1FF7">
        <w:t>.</w:t>
      </w:r>
      <w:r w:rsidR="00DD5B3A">
        <w:t xml:space="preserve"> </w:t>
      </w:r>
      <w:r w:rsidR="00456536">
        <w:t xml:space="preserve">In light of the </w:t>
      </w:r>
      <w:r w:rsidR="00781F62">
        <w:t>impact that the reflection will have on the future of the 2003 Convention</w:t>
      </w:r>
      <w:r w:rsidR="00553EBF">
        <w:t>,</w:t>
      </w:r>
      <w:r w:rsidR="00456536">
        <w:t xml:space="preserve"> the Secretariat </w:t>
      </w:r>
      <w:r w:rsidR="00781F62">
        <w:t xml:space="preserve">considers it crucial that the process be </w:t>
      </w:r>
      <w:r w:rsidR="00456536">
        <w:t>as inclusive as possible.</w:t>
      </w:r>
    </w:p>
    <w:p w14:paraId="7BA06C14" w14:textId="150E6559" w:rsidR="00456536" w:rsidRPr="0005400D" w:rsidRDefault="00781F62" w:rsidP="004A7593">
      <w:pPr>
        <w:pStyle w:val="COMPara"/>
        <w:keepNext/>
        <w:ind w:left="567" w:hanging="567"/>
        <w:jc w:val="both"/>
        <w:rPr>
          <w:lang w:val="en-US"/>
        </w:rPr>
      </w:pPr>
      <w:r>
        <w:t xml:space="preserve">In this sense, </w:t>
      </w:r>
      <w:r w:rsidR="007C5042">
        <w:t xml:space="preserve">on </w:t>
      </w:r>
      <w:r w:rsidR="00AC172C">
        <w:t>17</w:t>
      </w:r>
      <w:r w:rsidR="00A52EBC">
        <w:t> </w:t>
      </w:r>
      <w:r w:rsidR="007C5042">
        <w:t>October</w:t>
      </w:r>
      <w:r w:rsidR="00DD5B3A">
        <w:t xml:space="preserve"> 2019</w:t>
      </w:r>
      <w:r w:rsidR="00456536">
        <w:t xml:space="preserve"> </w:t>
      </w:r>
      <w:r w:rsidR="00F60550">
        <w:t>the Secretary</w:t>
      </w:r>
      <w:r w:rsidR="00C2122E">
        <w:t xml:space="preserve"> of the Convention</w:t>
      </w:r>
      <w:r w:rsidR="00F60550">
        <w:t xml:space="preserve"> sent </w:t>
      </w:r>
      <w:r w:rsidR="00456536">
        <w:t xml:space="preserve">a letter </w:t>
      </w:r>
      <w:r>
        <w:t xml:space="preserve">addressed </w:t>
      </w:r>
      <w:r w:rsidR="00456536">
        <w:t xml:space="preserve">to all States Parties inviting them to </w:t>
      </w:r>
      <w:r w:rsidR="00456536" w:rsidRPr="00BD0245">
        <w:rPr>
          <w:lang w:val="en-US"/>
        </w:rPr>
        <w:t>suggest</w:t>
      </w:r>
      <w:r w:rsidR="00DD5B3A">
        <w:rPr>
          <w:lang w:val="en-US"/>
        </w:rPr>
        <w:t>, before the deadline of 18 November 2019,</w:t>
      </w:r>
      <w:r w:rsidR="00456536" w:rsidRPr="00BD0245">
        <w:rPr>
          <w:lang w:val="en-US"/>
        </w:rPr>
        <w:t xml:space="preserve"> an expert in </w:t>
      </w:r>
      <w:r>
        <w:rPr>
          <w:lang w:val="en-US"/>
        </w:rPr>
        <w:t xml:space="preserve">the field of </w:t>
      </w:r>
      <w:r w:rsidR="00456536" w:rsidRPr="00BD0245">
        <w:rPr>
          <w:lang w:val="en-US"/>
        </w:rPr>
        <w:t xml:space="preserve">intangible cultural heritage who could take </w:t>
      </w:r>
      <w:r w:rsidR="00456536" w:rsidRPr="0005400D">
        <w:rPr>
          <w:lang w:val="en-US"/>
        </w:rPr>
        <w:t>part in this meeting</w:t>
      </w:r>
      <w:r>
        <w:rPr>
          <w:lang w:val="en-US"/>
        </w:rPr>
        <w:t>,</w:t>
      </w:r>
      <w:r w:rsidR="00456536" w:rsidRPr="0005400D">
        <w:rPr>
          <w:lang w:val="en-US"/>
        </w:rPr>
        <w:t xml:space="preserve"> while clarifying that the recommendation of an expert does not guarantee his or her participation in the meeting. Furthermore, the </w:t>
      </w:r>
      <w:r>
        <w:rPr>
          <w:lang w:val="en-US"/>
        </w:rPr>
        <w:t xml:space="preserve">2019 </w:t>
      </w:r>
      <w:r w:rsidR="00456536" w:rsidRPr="0005400D">
        <w:rPr>
          <w:lang w:val="en-US"/>
        </w:rPr>
        <w:t>Evaluation Body recommend</w:t>
      </w:r>
      <w:r w:rsidR="00C2122E">
        <w:rPr>
          <w:lang w:val="en-US"/>
        </w:rPr>
        <w:t>ed</w:t>
      </w:r>
      <w:r w:rsidR="00456536" w:rsidRPr="0005400D">
        <w:rPr>
          <w:lang w:val="en-US"/>
        </w:rPr>
        <w:t xml:space="preserve"> </w:t>
      </w:r>
      <w:r w:rsidR="00F60550">
        <w:rPr>
          <w:lang w:val="en-US"/>
        </w:rPr>
        <w:t>that</w:t>
      </w:r>
      <w:r w:rsidR="00F60550" w:rsidRPr="0005400D">
        <w:rPr>
          <w:lang w:val="en-US"/>
        </w:rPr>
        <w:t xml:space="preserve"> </w:t>
      </w:r>
      <w:r w:rsidR="00456536" w:rsidRPr="0005400D">
        <w:rPr>
          <w:lang w:val="en-US"/>
        </w:rPr>
        <w:t xml:space="preserve">the Committee encourage the participation of experts and </w:t>
      </w:r>
      <w:r w:rsidR="00BA724D">
        <w:rPr>
          <w:lang w:val="en-US"/>
        </w:rPr>
        <w:t>NGOs</w:t>
      </w:r>
      <w:r w:rsidR="00456536" w:rsidRPr="0005400D">
        <w:rPr>
          <w:lang w:val="en-US"/>
        </w:rPr>
        <w:t xml:space="preserve"> </w:t>
      </w:r>
      <w:r w:rsidR="00F60550">
        <w:rPr>
          <w:lang w:val="en-US"/>
        </w:rPr>
        <w:t>that have</w:t>
      </w:r>
      <w:r w:rsidR="00F60550" w:rsidRPr="0005400D">
        <w:rPr>
          <w:lang w:val="en-US"/>
        </w:rPr>
        <w:t xml:space="preserve"> </w:t>
      </w:r>
      <w:r w:rsidR="00456536" w:rsidRPr="0005400D">
        <w:rPr>
          <w:lang w:val="en-US"/>
        </w:rPr>
        <w:t>served on past and present evaluation bodies in this overall reflection on the listing mechanisms</w:t>
      </w:r>
      <w:r>
        <w:rPr>
          <w:rStyle w:val="Appelnotedebasdep"/>
          <w:lang w:val="en-US"/>
        </w:rPr>
        <w:footnoteReference w:id="34"/>
      </w:r>
      <w:r w:rsidR="00456536" w:rsidRPr="0005400D">
        <w:rPr>
          <w:lang w:val="en-US"/>
        </w:rPr>
        <w:t xml:space="preserve">. </w:t>
      </w:r>
      <w:r w:rsidR="008E4C0C">
        <w:rPr>
          <w:lang w:val="en-US"/>
        </w:rPr>
        <w:t>T</w:t>
      </w:r>
      <w:r w:rsidR="008E4C0C" w:rsidRPr="004A7593">
        <w:t>he experts will participate in a private capacity and not as representatives of any particular government or organization.</w:t>
      </w:r>
      <w:r w:rsidR="008E4C0C">
        <w:rPr>
          <w:rStyle w:val="Accentuation"/>
          <w:lang w:val="en-US"/>
        </w:rPr>
        <w:t xml:space="preserve"> </w:t>
      </w:r>
      <w:r w:rsidR="00DD5B3A">
        <w:rPr>
          <w:lang w:val="en-US"/>
        </w:rPr>
        <w:t xml:space="preserve">Some </w:t>
      </w:r>
      <w:r w:rsidR="00FA0D2F">
        <w:rPr>
          <w:lang w:val="en-US"/>
        </w:rPr>
        <w:t>thirty</w:t>
      </w:r>
      <w:r w:rsidR="00DD5B3A">
        <w:rPr>
          <w:lang w:val="en-US"/>
        </w:rPr>
        <w:t xml:space="preserve"> experts will be appointed by the Director-General of UNESCO, taking into account their profiles</w:t>
      </w:r>
      <w:r w:rsidR="00C2122E">
        <w:rPr>
          <w:lang w:val="en-US"/>
        </w:rPr>
        <w:t xml:space="preserve"> and</w:t>
      </w:r>
      <w:r w:rsidR="00DD5B3A">
        <w:rPr>
          <w:lang w:val="en-US"/>
        </w:rPr>
        <w:t xml:space="preserve"> experience</w:t>
      </w:r>
      <w:r w:rsidR="00C2122E">
        <w:rPr>
          <w:lang w:val="en-US"/>
        </w:rPr>
        <w:t xml:space="preserve"> as well as</w:t>
      </w:r>
      <w:r w:rsidR="00DD5B3A">
        <w:rPr>
          <w:lang w:val="en-US"/>
        </w:rPr>
        <w:t xml:space="preserve"> geographical balance and gender</w:t>
      </w:r>
      <w:r w:rsidR="00C2122E">
        <w:rPr>
          <w:lang w:val="en-US"/>
        </w:rPr>
        <w:t xml:space="preserve"> equality</w:t>
      </w:r>
      <w:r w:rsidR="00DD5B3A">
        <w:rPr>
          <w:lang w:val="en-US"/>
        </w:rPr>
        <w:t>.</w:t>
      </w:r>
    </w:p>
    <w:p w14:paraId="1D35B106" w14:textId="217F6238" w:rsidR="005311C7" w:rsidRPr="00456536" w:rsidRDefault="00FA0D2F" w:rsidP="00456536">
      <w:pPr>
        <w:pStyle w:val="COMPara"/>
        <w:ind w:left="567" w:hanging="567"/>
        <w:jc w:val="both"/>
      </w:pPr>
      <w:r>
        <w:rPr>
          <w:lang w:val="en-US"/>
        </w:rPr>
        <w:t xml:space="preserve">Prior to the meeting, the Secretariat will make available a set of working documents to provide further background </w:t>
      </w:r>
      <w:r w:rsidR="00F60550">
        <w:rPr>
          <w:lang w:val="en-US"/>
        </w:rPr>
        <w:t xml:space="preserve">information </w:t>
      </w:r>
      <w:r>
        <w:rPr>
          <w:lang w:val="en-US"/>
        </w:rPr>
        <w:t>and to guide the reflection</w:t>
      </w:r>
      <w:r w:rsidR="00F60550">
        <w:rPr>
          <w:lang w:val="en-US"/>
        </w:rPr>
        <w:t>s</w:t>
      </w:r>
      <w:r>
        <w:rPr>
          <w:lang w:val="en-US"/>
        </w:rPr>
        <w:t xml:space="preserve"> of the experts. </w:t>
      </w:r>
      <w:r w:rsidR="00456536">
        <w:rPr>
          <w:lang w:val="en-US"/>
        </w:rPr>
        <w:t>The conclusion</w:t>
      </w:r>
      <w:r w:rsidR="008B6B5D">
        <w:rPr>
          <w:lang w:val="en-US"/>
        </w:rPr>
        <w:t>s</w:t>
      </w:r>
      <w:r w:rsidR="00456536">
        <w:rPr>
          <w:lang w:val="en-US"/>
        </w:rPr>
        <w:t xml:space="preserve"> of the experts</w:t>
      </w:r>
      <w:r w:rsidR="008B6B5D">
        <w:rPr>
          <w:lang w:val="en-US"/>
        </w:rPr>
        <w:t>’ meeting</w:t>
      </w:r>
      <w:r w:rsidR="00F60550">
        <w:rPr>
          <w:lang w:val="en-US"/>
        </w:rPr>
        <w:t>,</w:t>
      </w:r>
      <w:r w:rsidR="00B72B73">
        <w:rPr>
          <w:lang w:val="en-US"/>
        </w:rPr>
        <w:t xml:space="preserve"> as well as the ‘early harvest package’</w:t>
      </w:r>
      <w:r w:rsidR="00F60550">
        <w:rPr>
          <w:lang w:val="en-US"/>
        </w:rPr>
        <w:t>,</w:t>
      </w:r>
      <w:r w:rsidR="00B72B73">
        <w:rPr>
          <w:lang w:val="en-US"/>
        </w:rPr>
        <w:t xml:space="preserve"> </w:t>
      </w:r>
      <w:r w:rsidR="00456536">
        <w:rPr>
          <w:lang w:val="en-US"/>
        </w:rPr>
        <w:t>will be presented to the eighth session of the General Assembly</w:t>
      </w:r>
      <w:r w:rsidR="00B72B73">
        <w:rPr>
          <w:lang w:val="en-US"/>
        </w:rPr>
        <w:t xml:space="preserve"> in June 2020</w:t>
      </w:r>
      <w:r w:rsidR="00456536">
        <w:rPr>
          <w:lang w:val="en-US"/>
        </w:rPr>
        <w:t xml:space="preserve"> </w:t>
      </w:r>
      <w:r>
        <w:rPr>
          <w:lang w:val="en-US"/>
        </w:rPr>
        <w:t xml:space="preserve">as well as to </w:t>
      </w:r>
      <w:r w:rsidR="00456536">
        <w:rPr>
          <w:lang w:val="en-US"/>
        </w:rPr>
        <w:t>the fifteenth session of the Committee</w:t>
      </w:r>
      <w:r w:rsidR="00B72B73">
        <w:rPr>
          <w:lang w:val="en-US"/>
        </w:rPr>
        <w:t xml:space="preserve"> in 2020</w:t>
      </w:r>
      <w:r w:rsidR="00456536">
        <w:rPr>
          <w:lang w:val="en-US"/>
        </w:rPr>
        <w:t>.</w:t>
      </w:r>
    </w:p>
    <w:p w14:paraId="261C7AC2" w14:textId="021BD2A7" w:rsidR="00D95C4C" w:rsidRPr="00EA528C" w:rsidRDefault="000B1C8F" w:rsidP="00132C2D">
      <w:pPr>
        <w:pStyle w:val="COMPara"/>
        <w:keepNext/>
        <w:ind w:left="567" w:hanging="567"/>
        <w:jc w:val="both"/>
      </w:pPr>
      <w:r w:rsidRPr="000B1C8F">
        <w:t xml:space="preserve">The Committee may wish </w:t>
      </w:r>
      <w:r>
        <w:t>to adopt the following decision</w:t>
      </w:r>
      <w:r w:rsidR="00D95C4C" w:rsidRPr="00EA528C">
        <w:t>:</w:t>
      </w:r>
    </w:p>
    <w:p w14:paraId="2D9E2D29" w14:textId="77777777" w:rsidR="00D95C4C" w:rsidRPr="00FD624F" w:rsidRDefault="004A34A0" w:rsidP="00A261F1">
      <w:pPr>
        <w:pStyle w:val="COMTitleDecision"/>
        <w:pageBreakBefore/>
        <w:rPr>
          <w:rFonts w:eastAsia="SimSun"/>
        </w:rPr>
      </w:pPr>
      <w:r>
        <w:lastRenderedPageBreak/>
        <w:t xml:space="preserve">DRAFT </w:t>
      </w:r>
      <w:r w:rsidR="00CB0542">
        <w:t>DECISION 1</w:t>
      </w:r>
      <w:r w:rsidR="00C5776D">
        <w:t>4</w:t>
      </w:r>
      <w:r w:rsidR="00EC6F8D">
        <w:t>.COM</w:t>
      </w:r>
      <w:r w:rsidR="00517FD8">
        <w:t xml:space="preserve"> </w:t>
      </w:r>
      <w:r w:rsidR="00E3718C">
        <w:t>14</w:t>
      </w:r>
    </w:p>
    <w:p w14:paraId="283738B7" w14:textId="77777777" w:rsidR="00D95C4C" w:rsidRPr="00285BB4" w:rsidRDefault="00285BB4" w:rsidP="00285BB4">
      <w:pPr>
        <w:pStyle w:val="COMPreambulaDecisions"/>
        <w:rPr>
          <w:rFonts w:eastAsia="SimSun"/>
        </w:rPr>
      </w:pPr>
      <w:r w:rsidRPr="00285BB4">
        <w:t>The Committee,</w:t>
      </w:r>
    </w:p>
    <w:p w14:paraId="69878E82" w14:textId="5394737E" w:rsidR="0057439C" w:rsidRPr="00345CB4" w:rsidRDefault="00D95C4C" w:rsidP="005606CD">
      <w:pPr>
        <w:pStyle w:val="COMParaDecision"/>
        <w:numPr>
          <w:ilvl w:val="0"/>
          <w:numId w:val="3"/>
        </w:numPr>
        <w:ind w:left="1134" w:hanging="567"/>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/1</w:t>
      </w:r>
      <w:r w:rsidR="00C5776D">
        <w:rPr>
          <w:u w:val="none"/>
        </w:rPr>
        <w:t>9</w:t>
      </w:r>
      <w:r w:rsidR="00337CEB">
        <w:rPr>
          <w:u w:val="none"/>
        </w:rPr>
        <w:t>/1</w:t>
      </w:r>
      <w:r w:rsidR="00C5776D">
        <w:rPr>
          <w:u w:val="none"/>
        </w:rPr>
        <w:t>4</w:t>
      </w:r>
      <w:r w:rsidR="00EC6F8D" w:rsidRPr="00F32C23">
        <w:rPr>
          <w:u w:val="none"/>
        </w:rPr>
        <w:t>.COM</w:t>
      </w:r>
      <w:r w:rsidR="004A34A0" w:rsidRPr="00F32C23">
        <w:rPr>
          <w:u w:val="none"/>
        </w:rPr>
        <w:t>/</w:t>
      </w:r>
      <w:r w:rsidR="00E3718C">
        <w:rPr>
          <w:u w:val="none"/>
        </w:rPr>
        <w:t>14</w:t>
      </w:r>
      <w:r w:rsidR="00F60550">
        <w:rPr>
          <w:u w:val="none"/>
        </w:rPr>
        <w:t>,</w:t>
      </w:r>
    </w:p>
    <w:p w14:paraId="1072FCC0" w14:textId="5C6824AF" w:rsidR="0057439C" w:rsidRPr="00345CB4" w:rsidRDefault="0057439C" w:rsidP="005606CD">
      <w:pPr>
        <w:pStyle w:val="COMParaDecision"/>
        <w:numPr>
          <w:ilvl w:val="0"/>
          <w:numId w:val="3"/>
        </w:numPr>
        <w:ind w:left="1134" w:hanging="567"/>
      </w:pPr>
      <w:r w:rsidRPr="00345CB4">
        <w:t>Recallin</w:t>
      </w:r>
      <w:r w:rsidR="00517FD8">
        <w:t>g</w:t>
      </w:r>
      <w:r w:rsidR="00517FD8" w:rsidRPr="00517FD8">
        <w:rPr>
          <w:u w:val="none"/>
        </w:rPr>
        <w:t xml:space="preserve"> </w:t>
      </w:r>
      <w:hyperlink r:id="rId15" w:history="1">
        <w:r w:rsidR="00C465BE" w:rsidRPr="00D362D6">
          <w:rPr>
            <w:rStyle w:val="Lienhypertexte"/>
            <w:lang w:val="en-US"/>
          </w:rPr>
          <w:t>Decision</w:t>
        </w:r>
        <w:r w:rsidR="00C465BE">
          <w:rPr>
            <w:rStyle w:val="Lienhypertexte"/>
            <w:lang w:val="en-US"/>
          </w:rPr>
          <w:t>s </w:t>
        </w:r>
        <w:r w:rsidR="00C465BE" w:rsidRPr="00D362D6">
          <w:rPr>
            <w:rStyle w:val="Lienhypertexte"/>
            <w:lang w:val="en-US"/>
          </w:rPr>
          <w:t>12.COM</w:t>
        </w:r>
        <w:r w:rsidR="00C465BE">
          <w:rPr>
            <w:rStyle w:val="Lienhypertexte"/>
            <w:lang w:val="en-US"/>
          </w:rPr>
          <w:t> </w:t>
        </w:r>
        <w:r w:rsidR="00C465BE" w:rsidRPr="00D362D6">
          <w:rPr>
            <w:rStyle w:val="Lienhypertexte"/>
            <w:lang w:val="en-US"/>
          </w:rPr>
          <w:t>14</w:t>
        </w:r>
      </w:hyperlink>
      <w:r w:rsidR="00C465BE" w:rsidRPr="00793747">
        <w:rPr>
          <w:u w:val="none"/>
          <w:lang w:val="en-US"/>
        </w:rPr>
        <w:t xml:space="preserve">, </w:t>
      </w:r>
      <w:hyperlink r:id="rId16" w:history="1">
        <w:r w:rsidR="00C465BE" w:rsidRPr="00BA72CC">
          <w:rPr>
            <w:rStyle w:val="Lienhypertexte"/>
            <w:lang w:val="en-US"/>
          </w:rPr>
          <w:t>13.COM 10</w:t>
        </w:r>
      </w:hyperlink>
      <w:r w:rsidR="00EA67C3">
        <w:rPr>
          <w:u w:val="none"/>
        </w:rPr>
        <w:t xml:space="preserve"> and</w:t>
      </w:r>
      <w:r w:rsidR="00C465BE" w:rsidRPr="00793747">
        <w:rPr>
          <w:u w:val="none"/>
        </w:rPr>
        <w:t xml:space="preserve"> </w:t>
      </w:r>
      <w:hyperlink r:id="rId17" w:history="1">
        <w:r w:rsidR="00C465BE" w:rsidRPr="00515ACB">
          <w:rPr>
            <w:rStyle w:val="Lienhypertexte"/>
            <w:lang w:val="en-US"/>
          </w:rPr>
          <w:t>13.COM 6</w:t>
        </w:r>
      </w:hyperlink>
      <w:r w:rsidR="00EA67C3" w:rsidRPr="00A9475B">
        <w:rPr>
          <w:rStyle w:val="Lienhypertexte"/>
          <w:color w:val="auto"/>
          <w:u w:val="none"/>
          <w:lang w:val="en-US"/>
        </w:rPr>
        <w:t>,</w:t>
      </w:r>
    </w:p>
    <w:p w14:paraId="26571E54" w14:textId="5B9C6B4E" w:rsidR="00D95C4C" w:rsidRPr="00345CB4" w:rsidRDefault="005606CD" w:rsidP="005606CD">
      <w:pPr>
        <w:pStyle w:val="COMParaDecision"/>
        <w:numPr>
          <w:ilvl w:val="0"/>
          <w:numId w:val="3"/>
        </w:numPr>
        <w:ind w:left="1134" w:hanging="567"/>
      </w:pPr>
      <w:r>
        <w:t>Further </w:t>
      </w:r>
      <w:r w:rsidR="00456536">
        <w:t>recalling</w:t>
      </w:r>
      <w:r>
        <w:rPr>
          <w:u w:val="none"/>
        </w:rPr>
        <w:t> </w:t>
      </w:r>
      <w:hyperlink r:id="rId18" w:history="1">
        <w:r w:rsidR="00793747" w:rsidRPr="00456536">
          <w:rPr>
            <w:rStyle w:val="Lienhypertexte"/>
          </w:rPr>
          <w:t>document</w:t>
        </w:r>
        <w:r w:rsidR="00EA67C3">
          <w:rPr>
            <w:rStyle w:val="Lienhypertexte"/>
          </w:rPr>
          <w:t>s</w:t>
        </w:r>
        <w:r w:rsidR="00793747" w:rsidRPr="00456536">
          <w:rPr>
            <w:rStyle w:val="Lienhypertexte"/>
          </w:rPr>
          <w:t> </w:t>
        </w:r>
        <w:r w:rsidR="00A83F82">
          <w:rPr>
            <w:rStyle w:val="Lienhypertexte"/>
          </w:rPr>
          <w:t>ITH/17/</w:t>
        </w:r>
        <w:r w:rsidR="00793747" w:rsidRPr="00456536">
          <w:rPr>
            <w:rStyle w:val="Lienhypertexte"/>
          </w:rPr>
          <w:t>12.COM</w:t>
        </w:r>
        <w:r w:rsidR="00A83F82">
          <w:rPr>
            <w:rStyle w:val="Lienhypertexte"/>
          </w:rPr>
          <w:t>/</w:t>
        </w:r>
        <w:r w:rsidR="00793747" w:rsidRPr="00456536">
          <w:rPr>
            <w:rStyle w:val="Lienhypertexte"/>
          </w:rPr>
          <w:t>14</w:t>
        </w:r>
      </w:hyperlink>
      <w:r>
        <w:rPr>
          <w:u w:val="none"/>
        </w:rPr>
        <w:t>, </w:t>
      </w:r>
      <w:hyperlink r:id="rId19" w:history="1">
        <w:r w:rsidR="00A83F82" w:rsidRPr="00A83F82">
          <w:rPr>
            <w:rStyle w:val="Lienhypertexte"/>
          </w:rPr>
          <w:t>LHE/19/</w:t>
        </w:r>
        <w:r w:rsidR="00456536" w:rsidRPr="00AD64FE">
          <w:rPr>
            <w:rStyle w:val="Lienhypertexte"/>
            <w:lang w:val="en-US"/>
          </w:rPr>
          <w:t>14.COM</w:t>
        </w:r>
        <w:r w:rsidR="00A83F82" w:rsidRPr="00A83F82">
          <w:rPr>
            <w:rStyle w:val="Lienhypertexte"/>
            <w:lang w:val="en-US"/>
          </w:rPr>
          <w:t>/</w:t>
        </w:r>
        <w:r w:rsidR="00456536" w:rsidRPr="00AD64FE">
          <w:rPr>
            <w:rStyle w:val="Lienhypertexte"/>
            <w:lang w:val="en-US"/>
          </w:rPr>
          <w:t>5.b</w:t>
        </w:r>
      </w:hyperlink>
      <w:r>
        <w:rPr>
          <w:rStyle w:val="hps"/>
          <w:u w:val="none"/>
          <w:lang w:val="en-US"/>
        </w:rPr>
        <w:t>,</w:t>
      </w:r>
      <w:hyperlink r:id="rId20" w:history="1">
        <w:r w:rsidR="00A83F82" w:rsidRPr="00A83F82">
          <w:rPr>
            <w:rStyle w:val="Lienhypertexte"/>
            <w:lang w:val="en-US"/>
          </w:rPr>
          <w:t>LHE/19/</w:t>
        </w:r>
        <w:r w:rsidR="00A83F82" w:rsidRPr="00A83F82">
          <w:rPr>
            <w:rStyle w:val="Lienhypertexte"/>
            <w:lang w:eastAsia="ja-JP"/>
          </w:rPr>
          <w:t>14.COM/</w:t>
        </w:r>
        <w:r w:rsidR="00793747" w:rsidRPr="00AD64FE">
          <w:rPr>
            <w:rStyle w:val="Lienhypertexte"/>
            <w:lang w:eastAsia="ja-JP"/>
          </w:rPr>
          <w:t>10</w:t>
        </w:r>
      </w:hyperlink>
      <w:r w:rsidR="00F60550" w:rsidRPr="00AC11F4">
        <w:rPr>
          <w:u w:val="none"/>
          <w:lang w:eastAsia="ja-JP"/>
        </w:rPr>
        <w:t xml:space="preserve"> and</w:t>
      </w:r>
      <w:r w:rsidR="00793747" w:rsidRPr="00AC11F4">
        <w:rPr>
          <w:u w:val="none"/>
          <w:lang w:eastAsia="ja-JP"/>
        </w:rPr>
        <w:t xml:space="preserve"> </w:t>
      </w:r>
      <w:hyperlink r:id="rId21" w:history="1">
        <w:r w:rsidR="00A83F82" w:rsidRPr="00A83F82">
          <w:rPr>
            <w:rStyle w:val="Lienhypertexte"/>
            <w:lang w:eastAsia="ja-JP"/>
          </w:rPr>
          <w:t>LHE/19/</w:t>
        </w:r>
        <w:r w:rsidR="00A83F82" w:rsidRPr="00A83F82">
          <w:rPr>
            <w:rStyle w:val="Lienhypertexte"/>
          </w:rPr>
          <w:t>14.COM/</w:t>
        </w:r>
        <w:r w:rsidR="00793747" w:rsidRPr="00AD64FE">
          <w:rPr>
            <w:rStyle w:val="Lienhypertexte"/>
          </w:rPr>
          <w:t>12</w:t>
        </w:r>
      </w:hyperlink>
      <w:r w:rsidR="00F60550" w:rsidRPr="00AD64FE">
        <w:rPr>
          <w:u w:val="none"/>
        </w:rPr>
        <w:t>,</w:t>
      </w:r>
    </w:p>
    <w:p w14:paraId="54FDDB74" w14:textId="1FA3571B" w:rsidR="00793747" w:rsidRPr="007D46D1" w:rsidRDefault="00793747" w:rsidP="005606CD">
      <w:pPr>
        <w:pStyle w:val="COMParaDecision"/>
        <w:numPr>
          <w:ilvl w:val="0"/>
          <w:numId w:val="3"/>
        </w:numPr>
        <w:ind w:left="1134" w:hanging="567"/>
      </w:pPr>
      <w:r w:rsidRPr="007D46D1">
        <w:t>Also recalling</w:t>
      </w:r>
      <w:r w:rsidRPr="00A9475B">
        <w:rPr>
          <w:u w:val="none"/>
        </w:rPr>
        <w:t> </w:t>
      </w:r>
      <w:r w:rsidR="00A03051" w:rsidRPr="00A9475B">
        <w:rPr>
          <w:u w:val="none"/>
        </w:rPr>
        <w:t>Chapter I.15</w:t>
      </w:r>
      <w:r w:rsidRPr="00A9475B">
        <w:rPr>
          <w:u w:val="none"/>
        </w:rPr>
        <w:t xml:space="preserve"> of the Operational Directives,</w:t>
      </w:r>
    </w:p>
    <w:p w14:paraId="64910D5F" w14:textId="22B15795" w:rsidR="00793747" w:rsidRPr="007D46D1" w:rsidRDefault="00793747" w:rsidP="005606CD">
      <w:pPr>
        <w:pStyle w:val="COMParaDecision"/>
        <w:numPr>
          <w:ilvl w:val="0"/>
          <w:numId w:val="3"/>
        </w:numPr>
        <w:ind w:left="1134" w:hanging="567"/>
      </w:pPr>
      <w:r w:rsidRPr="007D46D1">
        <w:t>Re</w:t>
      </w:r>
      <w:r w:rsidR="006208B8" w:rsidRPr="007D46D1">
        <w:t>affirms</w:t>
      </w:r>
      <w:r w:rsidRPr="007D46D1">
        <w:rPr>
          <w:u w:val="none"/>
        </w:rPr>
        <w:t xml:space="preserve"> the need for a</w:t>
      </w:r>
      <w:r w:rsidR="007569B3" w:rsidRPr="007D46D1">
        <w:rPr>
          <w:u w:val="none"/>
        </w:rPr>
        <w:t xml:space="preserve"> global</w:t>
      </w:r>
      <w:r w:rsidRPr="007D46D1">
        <w:rPr>
          <w:u w:val="none"/>
        </w:rPr>
        <w:t xml:space="preserve"> reflection on the listing mechanisms of the Convention;</w:t>
      </w:r>
    </w:p>
    <w:p w14:paraId="3E36C3FC" w14:textId="585175EF" w:rsidR="006208B8" w:rsidRPr="007D46D1" w:rsidRDefault="00B35040" w:rsidP="005606CD">
      <w:pPr>
        <w:pStyle w:val="COMParaDecision"/>
        <w:numPr>
          <w:ilvl w:val="0"/>
          <w:numId w:val="3"/>
        </w:numPr>
        <w:ind w:left="1134" w:hanging="567"/>
      </w:pPr>
      <w:r w:rsidRPr="007D46D1">
        <w:t xml:space="preserve">Renews </w:t>
      </w:r>
      <w:r w:rsidR="006208B8" w:rsidRPr="007D46D1">
        <w:t>its gratitude</w:t>
      </w:r>
      <w:r w:rsidR="006208B8" w:rsidRPr="007D46D1">
        <w:rPr>
          <w:u w:val="none"/>
        </w:rPr>
        <w:t xml:space="preserve"> to the government of Japan for its contribution to supporting the </w:t>
      </w:r>
      <w:r w:rsidR="007569B3" w:rsidRPr="007D46D1">
        <w:rPr>
          <w:u w:val="none"/>
        </w:rPr>
        <w:t>global</w:t>
      </w:r>
      <w:r w:rsidR="006208B8" w:rsidRPr="007D46D1">
        <w:rPr>
          <w:u w:val="none"/>
        </w:rPr>
        <w:t xml:space="preserve"> reflection on the listing mechanisms of the Convention;</w:t>
      </w:r>
    </w:p>
    <w:p w14:paraId="1F4E9D4E" w14:textId="4D7C9FA8" w:rsidR="006208B8" w:rsidRDefault="00BA27F6" w:rsidP="005606CD">
      <w:pPr>
        <w:pStyle w:val="COMParaDecision"/>
        <w:numPr>
          <w:ilvl w:val="0"/>
          <w:numId w:val="3"/>
        </w:numPr>
        <w:ind w:left="1134" w:hanging="567"/>
        <w:rPr>
          <w:u w:val="none"/>
        </w:rPr>
      </w:pPr>
      <w:r w:rsidRPr="007D46D1">
        <w:t>Takes note</w:t>
      </w:r>
      <w:r w:rsidRPr="004A190D">
        <w:rPr>
          <w:u w:val="none"/>
        </w:rPr>
        <w:t xml:space="preserve"> of</w:t>
      </w:r>
      <w:r w:rsidR="006208B8" w:rsidRPr="007D46D1">
        <w:rPr>
          <w:u w:val="none"/>
        </w:rPr>
        <w:t xml:space="preserve"> the provisional timeline for the reflection on the listing mechanisms of the 2003 Convention</w:t>
      </w:r>
      <w:r w:rsidR="00C2122E">
        <w:rPr>
          <w:u w:val="none"/>
        </w:rPr>
        <w:t>, as contained in Annex I to this document</w:t>
      </w:r>
      <w:r w:rsidR="006208B8" w:rsidRPr="007D46D1">
        <w:rPr>
          <w:u w:val="none"/>
        </w:rPr>
        <w:t>;</w:t>
      </w:r>
    </w:p>
    <w:p w14:paraId="4611692E" w14:textId="63148877" w:rsidR="006208B8" w:rsidRDefault="006208B8" w:rsidP="005606CD">
      <w:pPr>
        <w:pStyle w:val="COMParaDecision"/>
        <w:numPr>
          <w:ilvl w:val="0"/>
          <w:numId w:val="3"/>
        </w:numPr>
        <w:ind w:left="1134" w:hanging="567"/>
        <w:rPr>
          <w:u w:val="none"/>
        </w:rPr>
      </w:pPr>
      <w:r w:rsidRPr="007D46D1">
        <w:t>Requests</w:t>
      </w:r>
      <w:r w:rsidRPr="007D46D1">
        <w:rPr>
          <w:u w:val="none"/>
        </w:rPr>
        <w:t xml:space="preserve"> that the Secretariat </w:t>
      </w:r>
      <w:r w:rsidR="00B35040" w:rsidRPr="007D46D1">
        <w:rPr>
          <w:u w:val="none"/>
        </w:rPr>
        <w:t xml:space="preserve">report to </w:t>
      </w:r>
      <w:r w:rsidRPr="007D46D1">
        <w:rPr>
          <w:u w:val="none"/>
        </w:rPr>
        <w:t xml:space="preserve">the </w:t>
      </w:r>
      <w:r w:rsidR="00B35040" w:rsidRPr="007D46D1">
        <w:rPr>
          <w:u w:val="none"/>
        </w:rPr>
        <w:t xml:space="preserve">eighth session of the </w:t>
      </w:r>
      <w:r w:rsidR="000E62D3" w:rsidRPr="007D46D1">
        <w:rPr>
          <w:u w:val="none"/>
        </w:rPr>
        <w:t xml:space="preserve">General Assembly and </w:t>
      </w:r>
      <w:r w:rsidR="00B35040" w:rsidRPr="007D46D1">
        <w:rPr>
          <w:u w:val="none"/>
        </w:rPr>
        <w:t xml:space="preserve">the fifteenth session of the </w:t>
      </w:r>
      <w:r w:rsidRPr="007D46D1">
        <w:rPr>
          <w:u w:val="none"/>
        </w:rPr>
        <w:t>Committee on the results of the category VI preliminary experts</w:t>
      </w:r>
      <w:r w:rsidR="000E62D3" w:rsidRPr="007D46D1">
        <w:rPr>
          <w:u w:val="none"/>
        </w:rPr>
        <w:t>’</w:t>
      </w:r>
      <w:r w:rsidRPr="007D46D1">
        <w:rPr>
          <w:u w:val="none"/>
        </w:rPr>
        <w:t xml:space="preserve"> </w:t>
      </w:r>
      <w:r w:rsidRPr="00175108">
        <w:rPr>
          <w:u w:val="none"/>
        </w:rPr>
        <w:t xml:space="preserve">meeting </w:t>
      </w:r>
      <w:r w:rsidR="00175108" w:rsidRPr="004A7593">
        <w:rPr>
          <w:u w:val="none"/>
          <w:lang w:val="en-US"/>
        </w:rPr>
        <w:t xml:space="preserve">as well as the ‘early harvest package’ </w:t>
      </w:r>
      <w:r w:rsidRPr="000A243E">
        <w:rPr>
          <w:u w:val="none"/>
        </w:rPr>
        <w:t>to</w:t>
      </w:r>
      <w:r w:rsidRPr="007D46D1">
        <w:rPr>
          <w:u w:val="none"/>
        </w:rPr>
        <w:t xml:space="preserve"> be organized during the first semester of 2020</w:t>
      </w:r>
      <w:r w:rsidR="000E62D3" w:rsidRPr="007D46D1">
        <w:rPr>
          <w:u w:val="none"/>
        </w:rPr>
        <w:t>;</w:t>
      </w:r>
    </w:p>
    <w:p w14:paraId="76DD3B53" w14:textId="239BF6CB" w:rsidR="00BD3EE9" w:rsidRPr="008D73B8" w:rsidRDefault="00660636" w:rsidP="005606CD">
      <w:pPr>
        <w:pStyle w:val="COMParaDecision"/>
        <w:numPr>
          <w:ilvl w:val="0"/>
          <w:numId w:val="3"/>
        </w:numPr>
        <w:ind w:left="1134" w:hanging="567"/>
      </w:pPr>
      <w:r>
        <w:t>F</w:t>
      </w:r>
      <w:r w:rsidR="00BD3EE9" w:rsidRPr="008D73B8">
        <w:t>urther</w:t>
      </w:r>
      <w:r>
        <w:t xml:space="preserve"> takes</w:t>
      </w:r>
      <w:r w:rsidR="00BD3EE9" w:rsidRPr="008D73B8">
        <w:t xml:space="preserve"> note</w:t>
      </w:r>
      <w:r w:rsidR="00BD3EE9" w:rsidRPr="008D73B8">
        <w:rPr>
          <w:u w:val="none"/>
        </w:rPr>
        <w:t xml:space="preserve"> of the four cases</w:t>
      </w:r>
      <w:r w:rsidR="00892279" w:rsidRPr="008D73B8">
        <w:rPr>
          <w:u w:val="none"/>
        </w:rPr>
        <w:t>, as contained in Annex II to this document,</w:t>
      </w:r>
      <w:r w:rsidR="00BD3EE9" w:rsidRPr="008D73B8">
        <w:rPr>
          <w:u w:val="none"/>
        </w:rPr>
        <w:t xml:space="preserve"> that were subject of correspondence concerning already inscribed elements received by the Secretariat during the reporting period;</w:t>
      </w:r>
    </w:p>
    <w:p w14:paraId="25C42109" w14:textId="02745688" w:rsidR="008F6481" w:rsidRPr="008D73B8" w:rsidRDefault="008F6481" w:rsidP="005606CD">
      <w:pPr>
        <w:pStyle w:val="COMParaDecision"/>
        <w:numPr>
          <w:ilvl w:val="0"/>
          <w:numId w:val="3"/>
        </w:numPr>
        <w:ind w:left="1134" w:hanging="567"/>
      </w:pPr>
      <w:r w:rsidRPr="008D73B8">
        <w:t>Further requests</w:t>
      </w:r>
      <w:r w:rsidRPr="008D73B8">
        <w:rPr>
          <w:u w:val="none"/>
        </w:rPr>
        <w:t xml:space="preserve"> </w:t>
      </w:r>
      <w:r w:rsidR="00211AC9" w:rsidRPr="008D73B8">
        <w:rPr>
          <w:u w:val="none"/>
        </w:rPr>
        <w:t xml:space="preserve">that the Secretariat continue to bring to the attention of the Committee </w:t>
      </w:r>
      <w:r w:rsidRPr="008D73B8">
        <w:rPr>
          <w:u w:val="none"/>
        </w:rPr>
        <w:t>information received from third parties concerning already inscribed elements</w:t>
      </w:r>
      <w:r w:rsidR="00211AC9" w:rsidRPr="008D73B8">
        <w:rPr>
          <w:u w:val="none"/>
        </w:rPr>
        <w:t xml:space="preserve"> and to do so </w:t>
      </w:r>
      <w:r w:rsidR="00231A2E" w:rsidRPr="008D73B8">
        <w:rPr>
          <w:u w:val="none"/>
        </w:rPr>
        <w:t>in the form of a summary to be included in a working document regarding the follow-up of already inscribed elements</w:t>
      </w:r>
      <w:r w:rsidRPr="008D73B8">
        <w:rPr>
          <w:u w:val="none"/>
        </w:rPr>
        <w:t>;</w:t>
      </w:r>
    </w:p>
    <w:p w14:paraId="387BC31F" w14:textId="1E83997C" w:rsidR="000E62D3" w:rsidRPr="007D46D1" w:rsidRDefault="00BA27F6" w:rsidP="005606CD">
      <w:pPr>
        <w:pStyle w:val="COMParaDecision"/>
        <w:numPr>
          <w:ilvl w:val="0"/>
          <w:numId w:val="3"/>
        </w:numPr>
        <w:ind w:left="1134" w:hanging="567"/>
        <w:rPr>
          <w:u w:val="none"/>
        </w:rPr>
      </w:pPr>
      <w:r w:rsidRPr="007D46D1">
        <w:t>Acknowledge</w:t>
      </w:r>
      <w:r w:rsidR="00EA67C3">
        <w:t>s</w:t>
      </w:r>
      <w:r w:rsidR="000E62D3" w:rsidRPr="007D46D1">
        <w:rPr>
          <w:u w:val="none"/>
        </w:rPr>
        <w:t xml:space="preserve"> the </w:t>
      </w:r>
      <w:r w:rsidR="00B35040" w:rsidRPr="007D46D1">
        <w:rPr>
          <w:u w:val="none"/>
        </w:rPr>
        <w:t xml:space="preserve">positive experience </w:t>
      </w:r>
      <w:r w:rsidR="00F60550">
        <w:rPr>
          <w:u w:val="none"/>
        </w:rPr>
        <w:t>that</w:t>
      </w:r>
      <w:r w:rsidR="000E62D3" w:rsidRPr="007D46D1">
        <w:rPr>
          <w:u w:val="none"/>
        </w:rPr>
        <w:t xml:space="preserve"> the provisional</w:t>
      </w:r>
      <w:r w:rsidR="00F60550">
        <w:rPr>
          <w:u w:val="none"/>
        </w:rPr>
        <w:t xml:space="preserve"> upstream</w:t>
      </w:r>
      <w:r w:rsidR="000E62D3" w:rsidRPr="007D46D1">
        <w:rPr>
          <w:u w:val="none"/>
        </w:rPr>
        <w:t xml:space="preserve"> dialogue</w:t>
      </w:r>
      <w:r w:rsidRPr="007D46D1">
        <w:rPr>
          <w:u w:val="none"/>
        </w:rPr>
        <w:t xml:space="preserve"> process</w:t>
      </w:r>
      <w:r w:rsidR="000024CB" w:rsidRPr="007D46D1">
        <w:rPr>
          <w:u w:val="none"/>
        </w:rPr>
        <w:t xml:space="preserve"> </w:t>
      </w:r>
      <w:r w:rsidR="00C2122E">
        <w:rPr>
          <w:u w:val="none"/>
        </w:rPr>
        <w:t>undertaken during</w:t>
      </w:r>
      <w:r w:rsidR="000024CB" w:rsidRPr="007D46D1">
        <w:rPr>
          <w:u w:val="none"/>
        </w:rPr>
        <w:t xml:space="preserve"> the 2019 cycle</w:t>
      </w:r>
      <w:r w:rsidR="00F60550">
        <w:rPr>
          <w:u w:val="none"/>
        </w:rPr>
        <w:t xml:space="preserve"> has brought</w:t>
      </w:r>
      <w:r w:rsidR="000E62D3" w:rsidRPr="007D46D1">
        <w:rPr>
          <w:u w:val="none"/>
        </w:rPr>
        <w:t xml:space="preserve"> to the evaluation and inscription process;</w:t>
      </w:r>
    </w:p>
    <w:p w14:paraId="732DC1B5" w14:textId="5845C82F" w:rsidR="00D8250F" w:rsidRPr="004A190D" w:rsidRDefault="000E62D3" w:rsidP="005606CD">
      <w:pPr>
        <w:pStyle w:val="COMParaDecision"/>
        <w:numPr>
          <w:ilvl w:val="0"/>
          <w:numId w:val="3"/>
        </w:numPr>
        <w:ind w:left="1134" w:hanging="567"/>
      </w:pPr>
      <w:r w:rsidRPr="007D46D1">
        <w:t>Recommends</w:t>
      </w:r>
      <w:r w:rsidRPr="007D46D1">
        <w:rPr>
          <w:u w:val="none"/>
        </w:rPr>
        <w:t xml:space="preserve"> that the General Assembly revise the Operational Directives for the </w:t>
      </w:r>
      <w:r w:rsidRPr="00C303E6">
        <w:rPr>
          <w:u w:val="none"/>
        </w:rPr>
        <w:t xml:space="preserve">implementation of the Convention, </w:t>
      </w:r>
      <w:r w:rsidR="000E7362">
        <w:rPr>
          <w:u w:val="none"/>
        </w:rPr>
        <w:t xml:space="preserve">as </w:t>
      </w:r>
      <w:r w:rsidR="00C2122E">
        <w:rPr>
          <w:u w:val="none"/>
        </w:rPr>
        <w:t>contained in Annex III to this document</w:t>
      </w:r>
      <w:r w:rsidR="00C737AD">
        <w:rPr>
          <w:u w:val="none"/>
        </w:rPr>
        <w:t>.</w:t>
      </w:r>
    </w:p>
    <w:p w14:paraId="2E0FCDC6" w14:textId="4D35D35D" w:rsidR="000E62D3" w:rsidRPr="007C1558" w:rsidRDefault="0088565C" w:rsidP="004A7593">
      <w:pPr>
        <w:pStyle w:val="COMParaDecision"/>
        <w:ind w:left="1287" w:hanging="360"/>
        <w:sectPr w:rsidR="000E62D3" w:rsidRPr="007C1558"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pPr>
      <w:r w:rsidRPr="007C1558">
        <w:br w:type="page"/>
      </w:r>
    </w:p>
    <w:p w14:paraId="0E22343A" w14:textId="68852063" w:rsidR="00631837" w:rsidRDefault="00631837" w:rsidP="00631837">
      <w:pPr>
        <w:jc w:val="center"/>
        <w:rPr>
          <w:rFonts w:ascii="Arial" w:hAnsi="Arial" w:cs="Arial"/>
          <w:b/>
          <w:sz w:val="32"/>
          <w:szCs w:val="32"/>
          <w:lang w:val="en-GB"/>
        </w:rPr>
      </w:pPr>
      <w:r w:rsidRPr="006208B8">
        <w:rPr>
          <w:rFonts w:ascii="Arial" w:hAnsi="Arial" w:cs="Arial"/>
          <w:b/>
          <w:sz w:val="32"/>
          <w:szCs w:val="32"/>
          <w:u w:val="single"/>
          <w:lang w:val="en-GB"/>
        </w:rPr>
        <w:lastRenderedPageBreak/>
        <w:t>Annex I</w:t>
      </w:r>
      <w:r w:rsidRPr="006208B8">
        <w:rPr>
          <w:rFonts w:ascii="Arial" w:hAnsi="Arial" w:cs="Arial"/>
          <w:b/>
          <w:sz w:val="32"/>
          <w:szCs w:val="32"/>
          <w:lang w:val="en-GB"/>
        </w:rPr>
        <w:t>:</w:t>
      </w:r>
    </w:p>
    <w:p w14:paraId="513A43C0" w14:textId="77777777" w:rsidR="00631837" w:rsidRPr="009F61E2" w:rsidRDefault="00631837">
      <w:pPr>
        <w:jc w:val="center"/>
        <w:rPr>
          <w:rFonts w:ascii="Arial" w:hAnsi="Arial" w:cs="Arial"/>
          <w:b/>
          <w:u w:val="single"/>
          <w:lang w:val="en-GB"/>
        </w:rPr>
      </w:pPr>
      <w:r w:rsidRPr="009F61E2">
        <w:rPr>
          <w:rFonts w:ascii="Arial" w:eastAsiaTheme="majorEastAsia" w:hAnsi="Arial" w:cs="Arial"/>
          <w:iCs/>
          <w:lang w:val="en-US"/>
        </w:rPr>
        <w:t xml:space="preserve">Provisional timeline for the reflection on the listing mechanisms of </w:t>
      </w:r>
      <w:r>
        <w:rPr>
          <w:rFonts w:ascii="Arial" w:eastAsiaTheme="majorEastAsia" w:hAnsi="Arial" w:cs="Arial"/>
          <w:iCs/>
          <w:lang w:val="en-US"/>
        </w:rPr>
        <w:t>the 2003 Convention</w:t>
      </w:r>
    </w:p>
    <w:tbl>
      <w:tblPr>
        <w:tblStyle w:val="TableauGrille4-Accentuation1"/>
        <w:tblpPr w:leftFromText="141" w:rightFromText="141" w:vertAnchor="page" w:horzAnchor="margin" w:tblpY="2881"/>
        <w:tblW w:w="9351" w:type="dxa"/>
        <w:tblLook w:val="04A0" w:firstRow="1" w:lastRow="0" w:firstColumn="1" w:lastColumn="0" w:noHBand="0" w:noVBand="1"/>
      </w:tblPr>
      <w:tblGrid>
        <w:gridCol w:w="2405"/>
        <w:gridCol w:w="2977"/>
        <w:gridCol w:w="3969"/>
      </w:tblGrid>
      <w:tr w:rsidR="00631837" w:rsidRPr="00631837" w14:paraId="33640561" w14:textId="77777777" w:rsidTr="006E6962">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05" w:type="dxa"/>
          </w:tcPr>
          <w:p w14:paraId="4345FCCF" w14:textId="77777777" w:rsidR="00631837" w:rsidRPr="004A7593" w:rsidRDefault="00631837" w:rsidP="006E6962">
            <w:pPr>
              <w:jc w:val="center"/>
              <w:rPr>
                <w:rFonts w:ascii="Arial" w:hAnsi="Arial" w:cs="Arial"/>
                <w:sz w:val="22"/>
                <w:szCs w:val="22"/>
              </w:rPr>
            </w:pPr>
            <w:r w:rsidRPr="004A7593">
              <w:rPr>
                <w:rFonts w:ascii="Arial" w:hAnsi="Arial" w:cs="Arial"/>
                <w:sz w:val="22"/>
                <w:szCs w:val="22"/>
              </w:rPr>
              <w:t>YEAR</w:t>
            </w:r>
          </w:p>
        </w:tc>
        <w:tc>
          <w:tcPr>
            <w:tcW w:w="2977" w:type="dxa"/>
          </w:tcPr>
          <w:p w14:paraId="6F0065CA" w14:textId="77777777" w:rsidR="00631837" w:rsidRPr="004A7593" w:rsidRDefault="00631837" w:rsidP="006E696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MEETING</w:t>
            </w:r>
          </w:p>
        </w:tc>
        <w:tc>
          <w:tcPr>
            <w:tcW w:w="3969" w:type="dxa"/>
          </w:tcPr>
          <w:p w14:paraId="7D4DF95B" w14:textId="77777777" w:rsidR="00631837" w:rsidRPr="004A7593" w:rsidRDefault="00631837" w:rsidP="006E696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A7593">
              <w:rPr>
                <w:rFonts w:ascii="Arial" w:hAnsi="Arial" w:cs="Arial"/>
                <w:sz w:val="22"/>
                <w:szCs w:val="22"/>
              </w:rPr>
              <w:t>NOTE</w:t>
            </w:r>
          </w:p>
        </w:tc>
      </w:tr>
      <w:tr w:rsidR="00631837" w:rsidRPr="00631837" w14:paraId="49A761B0" w14:textId="77777777" w:rsidTr="006E6962">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F2F34AE"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December 2017</w:t>
            </w:r>
          </w:p>
        </w:tc>
        <w:tc>
          <w:tcPr>
            <w:tcW w:w="2977" w:type="dxa"/>
            <w:vAlign w:val="center"/>
          </w:tcPr>
          <w:p w14:paraId="7104B3E6"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12.COM</w:t>
            </w:r>
          </w:p>
        </w:tc>
        <w:tc>
          <w:tcPr>
            <w:tcW w:w="3969" w:type="dxa"/>
            <w:vAlign w:val="center"/>
          </w:tcPr>
          <w:p w14:paraId="5C7683B3"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Decision 12.COM 14</w:t>
            </w:r>
          </w:p>
        </w:tc>
      </w:tr>
      <w:tr w:rsidR="00631837" w:rsidRPr="00631837" w14:paraId="16FFDDCE" w14:textId="77777777" w:rsidTr="006E6962">
        <w:trPr>
          <w:trHeight w:val="137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55B79D9"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November - December 2018</w:t>
            </w:r>
          </w:p>
        </w:tc>
        <w:tc>
          <w:tcPr>
            <w:tcW w:w="2977" w:type="dxa"/>
            <w:vAlign w:val="center"/>
          </w:tcPr>
          <w:p w14:paraId="115E5CAA"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13.COM</w:t>
            </w:r>
          </w:p>
        </w:tc>
        <w:tc>
          <w:tcPr>
            <w:tcW w:w="3969" w:type="dxa"/>
            <w:vAlign w:val="center"/>
          </w:tcPr>
          <w:p w14:paraId="6C15AFA2"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Decision 13.COM 6</w:t>
            </w:r>
          </w:p>
        </w:tc>
      </w:tr>
      <w:tr w:rsidR="00631837" w:rsidRPr="000601DB" w14:paraId="3F6756C8" w14:textId="77777777" w:rsidTr="006E6962">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0ECD65D"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December 2019</w:t>
            </w:r>
          </w:p>
        </w:tc>
        <w:tc>
          <w:tcPr>
            <w:tcW w:w="2977" w:type="dxa"/>
            <w:vAlign w:val="center"/>
          </w:tcPr>
          <w:p w14:paraId="48E8A645"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14.COM</w:t>
            </w:r>
          </w:p>
        </w:tc>
        <w:tc>
          <w:tcPr>
            <w:tcW w:w="3969" w:type="dxa"/>
            <w:vAlign w:val="center"/>
          </w:tcPr>
          <w:p w14:paraId="203F81E8" w14:textId="17237D98"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 xml:space="preserve">Preliminary </w:t>
            </w:r>
            <w:r w:rsidR="00F60550">
              <w:rPr>
                <w:rFonts w:ascii="Arial" w:hAnsi="Arial" w:cs="Arial"/>
                <w:sz w:val="22"/>
                <w:szCs w:val="22"/>
                <w:lang w:val="en-US"/>
              </w:rPr>
              <w:t>i</w:t>
            </w:r>
            <w:r w:rsidRPr="004A7593">
              <w:rPr>
                <w:rFonts w:ascii="Arial" w:hAnsi="Arial" w:cs="Arial"/>
                <w:sz w:val="22"/>
                <w:szCs w:val="22"/>
                <w:lang w:val="en-US"/>
              </w:rPr>
              <w:t xml:space="preserve">ntergovernmental discussion and agreement on amendments to </w:t>
            </w:r>
            <w:r w:rsidR="00F60550">
              <w:rPr>
                <w:rFonts w:ascii="Arial" w:hAnsi="Arial" w:cs="Arial"/>
                <w:sz w:val="22"/>
                <w:szCs w:val="22"/>
                <w:lang w:val="en-US"/>
              </w:rPr>
              <w:t xml:space="preserve">the </w:t>
            </w:r>
            <w:r w:rsidRPr="004A7593">
              <w:rPr>
                <w:rFonts w:ascii="Arial" w:hAnsi="Arial" w:cs="Arial"/>
                <w:sz w:val="22"/>
                <w:szCs w:val="22"/>
                <w:lang w:val="en-US"/>
              </w:rPr>
              <w:t>O</w:t>
            </w:r>
            <w:r w:rsidR="00C2122E">
              <w:rPr>
                <w:rFonts w:ascii="Arial" w:hAnsi="Arial" w:cs="Arial"/>
                <w:sz w:val="22"/>
                <w:szCs w:val="22"/>
                <w:lang w:val="en-US"/>
              </w:rPr>
              <w:t xml:space="preserve">perational </w:t>
            </w:r>
            <w:r w:rsidRPr="004A7593">
              <w:rPr>
                <w:rFonts w:ascii="Arial" w:hAnsi="Arial" w:cs="Arial"/>
                <w:sz w:val="22"/>
                <w:szCs w:val="22"/>
                <w:lang w:val="en-US"/>
              </w:rPr>
              <w:t>D</w:t>
            </w:r>
            <w:r w:rsidR="00C2122E">
              <w:rPr>
                <w:rFonts w:ascii="Arial" w:hAnsi="Arial" w:cs="Arial"/>
                <w:sz w:val="22"/>
                <w:szCs w:val="22"/>
                <w:lang w:val="en-US"/>
              </w:rPr>
              <w:t>irective</w:t>
            </w:r>
            <w:r w:rsidRPr="004A7593">
              <w:rPr>
                <w:rFonts w:ascii="Arial" w:hAnsi="Arial" w:cs="Arial"/>
                <w:sz w:val="22"/>
                <w:szCs w:val="22"/>
                <w:lang w:val="en-US"/>
              </w:rPr>
              <w:t xml:space="preserve">s regarding the dialogue process (early harvest) </w:t>
            </w:r>
          </w:p>
        </w:tc>
      </w:tr>
      <w:tr w:rsidR="00631837" w:rsidRPr="00631837" w14:paraId="5301460B" w14:textId="77777777" w:rsidTr="006E6962">
        <w:trPr>
          <w:trHeight w:val="12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A7904A7"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March 2020</w:t>
            </w:r>
          </w:p>
        </w:tc>
        <w:tc>
          <w:tcPr>
            <w:tcW w:w="2977" w:type="dxa"/>
            <w:vAlign w:val="center"/>
          </w:tcPr>
          <w:p w14:paraId="0FB47E3F"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Meeting of experts UNESCO Headquarters</w:t>
            </w:r>
          </w:p>
        </w:tc>
        <w:tc>
          <w:tcPr>
            <w:tcW w:w="3969" w:type="dxa"/>
            <w:vAlign w:val="center"/>
          </w:tcPr>
          <w:p w14:paraId="1A5BE8DE"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 xml:space="preserve">Initiation of reflections </w:t>
            </w:r>
          </w:p>
        </w:tc>
      </w:tr>
      <w:tr w:rsidR="00631837" w:rsidRPr="000601DB" w14:paraId="04C8FF0D" w14:textId="77777777" w:rsidTr="006E6962">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2E8F314"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June 2020</w:t>
            </w:r>
          </w:p>
        </w:tc>
        <w:tc>
          <w:tcPr>
            <w:tcW w:w="2977" w:type="dxa"/>
            <w:vAlign w:val="center"/>
          </w:tcPr>
          <w:p w14:paraId="6DC2335C"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8.GA</w:t>
            </w:r>
          </w:p>
        </w:tc>
        <w:tc>
          <w:tcPr>
            <w:tcW w:w="3969" w:type="dxa"/>
            <w:vAlign w:val="center"/>
          </w:tcPr>
          <w:p w14:paraId="4E393C3E" w14:textId="4B829851"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 xml:space="preserve">Progress report, </w:t>
            </w:r>
            <w:r w:rsidR="00F60550">
              <w:rPr>
                <w:rFonts w:ascii="Arial" w:hAnsi="Arial" w:cs="Arial"/>
                <w:sz w:val="22"/>
                <w:szCs w:val="22"/>
                <w:lang w:val="en-US"/>
              </w:rPr>
              <w:t>i</w:t>
            </w:r>
            <w:r w:rsidRPr="004A7593">
              <w:rPr>
                <w:rFonts w:ascii="Arial" w:hAnsi="Arial" w:cs="Arial"/>
                <w:sz w:val="22"/>
                <w:szCs w:val="22"/>
                <w:lang w:val="en-US"/>
              </w:rPr>
              <w:t xml:space="preserve">ntergovernmental discussion and adoption of amendments to </w:t>
            </w:r>
            <w:r w:rsidR="00F60550">
              <w:rPr>
                <w:rFonts w:ascii="Arial" w:hAnsi="Arial" w:cs="Arial"/>
                <w:sz w:val="22"/>
                <w:szCs w:val="22"/>
                <w:lang w:val="en-US"/>
              </w:rPr>
              <w:t xml:space="preserve">the </w:t>
            </w:r>
            <w:r w:rsidRPr="004A7593">
              <w:rPr>
                <w:rFonts w:ascii="Arial" w:hAnsi="Arial" w:cs="Arial"/>
                <w:sz w:val="22"/>
                <w:szCs w:val="22"/>
                <w:lang w:val="en-US"/>
              </w:rPr>
              <w:t>O</w:t>
            </w:r>
            <w:r w:rsidR="00BF4BFD">
              <w:rPr>
                <w:rFonts w:ascii="Arial" w:hAnsi="Arial" w:cs="Arial"/>
                <w:sz w:val="22"/>
                <w:szCs w:val="22"/>
                <w:lang w:val="en-US"/>
              </w:rPr>
              <w:t xml:space="preserve">perational </w:t>
            </w:r>
            <w:r w:rsidR="00BF4BFD" w:rsidRPr="004A7593">
              <w:rPr>
                <w:rFonts w:ascii="Arial" w:hAnsi="Arial" w:cs="Arial"/>
                <w:sz w:val="22"/>
                <w:szCs w:val="22"/>
                <w:lang w:val="en-US"/>
              </w:rPr>
              <w:t>D</w:t>
            </w:r>
            <w:r w:rsidR="00BF4BFD">
              <w:rPr>
                <w:rFonts w:ascii="Arial" w:hAnsi="Arial" w:cs="Arial"/>
                <w:sz w:val="22"/>
                <w:szCs w:val="22"/>
                <w:lang w:val="en-US"/>
              </w:rPr>
              <w:t>irectives (ODs)</w:t>
            </w:r>
            <w:r w:rsidRPr="004A7593">
              <w:rPr>
                <w:rFonts w:ascii="Arial" w:hAnsi="Arial" w:cs="Arial"/>
                <w:sz w:val="22"/>
                <w:szCs w:val="22"/>
                <w:lang w:val="en-US"/>
              </w:rPr>
              <w:t xml:space="preserve"> regarding the dialogue process (early harvest)</w:t>
            </w:r>
          </w:p>
        </w:tc>
      </w:tr>
      <w:tr w:rsidR="00631837" w:rsidRPr="000601DB" w14:paraId="665AD9F2" w14:textId="77777777" w:rsidTr="006E6962">
        <w:trPr>
          <w:trHeight w:val="128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DED581C"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November - December 2020</w:t>
            </w:r>
          </w:p>
        </w:tc>
        <w:tc>
          <w:tcPr>
            <w:tcW w:w="2977" w:type="dxa"/>
            <w:vAlign w:val="center"/>
          </w:tcPr>
          <w:p w14:paraId="055A0178"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15.COM</w:t>
            </w:r>
          </w:p>
        </w:tc>
        <w:tc>
          <w:tcPr>
            <w:tcW w:w="3969" w:type="dxa"/>
            <w:vAlign w:val="center"/>
          </w:tcPr>
          <w:p w14:paraId="68F6FD28" w14:textId="7E25DCFE"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 xml:space="preserve">Progress report and </w:t>
            </w:r>
            <w:r w:rsidR="00F60550">
              <w:rPr>
                <w:rFonts w:ascii="Arial" w:hAnsi="Arial" w:cs="Arial"/>
                <w:sz w:val="22"/>
                <w:szCs w:val="22"/>
                <w:lang w:val="en-US"/>
              </w:rPr>
              <w:t>p</w:t>
            </w:r>
            <w:r w:rsidRPr="004A7593">
              <w:rPr>
                <w:rFonts w:ascii="Arial" w:hAnsi="Arial" w:cs="Arial"/>
                <w:sz w:val="22"/>
                <w:szCs w:val="22"/>
                <w:lang w:val="en-US"/>
              </w:rPr>
              <w:t>reliminary discussion on amendments to the ODs</w:t>
            </w:r>
          </w:p>
        </w:tc>
      </w:tr>
      <w:tr w:rsidR="00631837" w:rsidRPr="000601DB" w14:paraId="75AD5749" w14:textId="77777777" w:rsidTr="006E6962">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66800C4"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June 2021 (tbc)</w:t>
            </w:r>
          </w:p>
        </w:tc>
        <w:tc>
          <w:tcPr>
            <w:tcW w:w="2977" w:type="dxa"/>
            <w:vAlign w:val="center"/>
          </w:tcPr>
          <w:p w14:paraId="1EF22F9B"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Open-ended intergovernmental working group - UNESCO Headquarters</w:t>
            </w:r>
          </w:p>
        </w:tc>
        <w:tc>
          <w:tcPr>
            <w:tcW w:w="3969" w:type="dxa"/>
            <w:vAlign w:val="center"/>
          </w:tcPr>
          <w:p w14:paraId="4C18FCF6"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Intergovernmental discussion and further discussion on the draft amendments to the ODs</w:t>
            </w:r>
          </w:p>
        </w:tc>
      </w:tr>
      <w:tr w:rsidR="00631837" w:rsidRPr="000601DB" w14:paraId="2EE0CAA4" w14:textId="77777777" w:rsidTr="006E6962">
        <w:trPr>
          <w:trHeight w:val="137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5FA7745"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November - December 2021</w:t>
            </w:r>
          </w:p>
        </w:tc>
        <w:tc>
          <w:tcPr>
            <w:tcW w:w="2977" w:type="dxa"/>
            <w:vAlign w:val="center"/>
          </w:tcPr>
          <w:p w14:paraId="44BE4D56"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16.COM</w:t>
            </w:r>
          </w:p>
        </w:tc>
        <w:tc>
          <w:tcPr>
            <w:tcW w:w="3969" w:type="dxa"/>
            <w:vAlign w:val="center"/>
          </w:tcPr>
          <w:p w14:paraId="53A9A9B8" w14:textId="77777777" w:rsidR="00631837" w:rsidRPr="004A7593" w:rsidRDefault="00631837" w:rsidP="006E69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Agreement on the amendments to the ODs to be recommended to 9.GA</w:t>
            </w:r>
          </w:p>
        </w:tc>
      </w:tr>
      <w:tr w:rsidR="00631837" w:rsidRPr="000601DB" w14:paraId="608DDE6C" w14:textId="77777777" w:rsidTr="006E6962">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0CAC468" w14:textId="77777777" w:rsidR="00631837" w:rsidRPr="004A7593" w:rsidRDefault="00631837" w:rsidP="006E6962">
            <w:pPr>
              <w:jc w:val="center"/>
              <w:rPr>
                <w:rFonts w:ascii="Arial" w:hAnsi="Arial" w:cs="Arial"/>
                <w:sz w:val="22"/>
                <w:szCs w:val="22"/>
                <w:lang w:val="en-US"/>
              </w:rPr>
            </w:pPr>
            <w:r w:rsidRPr="004A7593">
              <w:rPr>
                <w:rFonts w:ascii="Arial" w:hAnsi="Arial" w:cs="Arial"/>
                <w:sz w:val="22"/>
                <w:szCs w:val="22"/>
                <w:lang w:val="en-US"/>
              </w:rPr>
              <w:t>June 2022</w:t>
            </w:r>
          </w:p>
        </w:tc>
        <w:tc>
          <w:tcPr>
            <w:tcW w:w="2977" w:type="dxa"/>
            <w:vAlign w:val="center"/>
          </w:tcPr>
          <w:p w14:paraId="7DDD808D"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9.GA</w:t>
            </w:r>
          </w:p>
        </w:tc>
        <w:tc>
          <w:tcPr>
            <w:tcW w:w="3969" w:type="dxa"/>
            <w:vAlign w:val="center"/>
          </w:tcPr>
          <w:p w14:paraId="359998F6" w14:textId="77777777" w:rsidR="00631837" w:rsidRPr="004A7593" w:rsidRDefault="00631837" w:rsidP="006E69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4A7593">
              <w:rPr>
                <w:rFonts w:ascii="Arial" w:hAnsi="Arial" w:cs="Arial"/>
                <w:sz w:val="22"/>
                <w:szCs w:val="22"/>
                <w:lang w:val="en-US"/>
              </w:rPr>
              <w:t>Adoption of the amendments to the ODs</w:t>
            </w:r>
          </w:p>
        </w:tc>
      </w:tr>
    </w:tbl>
    <w:p w14:paraId="3C6D2BEF" w14:textId="33676B8F" w:rsidR="00631837" w:rsidRDefault="00631837" w:rsidP="004A7593">
      <w:pPr>
        <w:pageBreakBefore/>
        <w:jc w:val="center"/>
        <w:rPr>
          <w:rFonts w:ascii="Arial" w:hAnsi="Arial" w:cs="Arial"/>
          <w:b/>
          <w:sz w:val="32"/>
          <w:szCs w:val="32"/>
          <w:lang w:val="en-GB"/>
        </w:rPr>
      </w:pPr>
      <w:r w:rsidRPr="006208B8">
        <w:rPr>
          <w:rFonts w:ascii="Arial" w:hAnsi="Arial" w:cs="Arial"/>
          <w:b/>
          <w:sz w:val="32"/>
          <w:szCs w:val="32"/>
          <w:u w:val="single"/>
          <w:lang w:val="en-GB"/>
        </w:rPr>
        <w:lastRenderedPageBreak/>
        <w:t>Annex I</w:t>
      </w:r>
      <w:r>
        <w:rPr>
          <w:rFonts w:ascii="Arial" w:hAnsi="Arial" w:cs="Arial"/>
          <w:b/>
          <w:sz w:val="32"/>
          <w:szCs w:val="32"/>
          <w:u w:val="single"/>
          <w:lang w:val="en-GB"/>
        </w:rPr>
        <w:t>I</w:t>
      </w:r>
      <w:r w:rsidRPr="006208B8">
        <w:rPr>
          <w:rFonts w:ascii="Arial" w:hAnsi="Arial" w:cs="Arial"/>
          <w:b/>
          <w:sz w:val="32"/>
          <w:szCs w:val="32"/>
          <w:lang w:val="en-GB"/>
        </w:rPr>
        <w:t>:</w:t>
      </w:r>
    </w:p>
    <w:p w14:paraId="52DFC5C2" w14:textId="26F15F04" w:rsidR="00631837" w:rsidRDefault="00631837" w:rsidP="004A7593">
      <w:pPr>
        <w:jc w:val="center"/>
        <w:rPr>
          <w:rFonts w:eastAsiaTheme="majorEastAsia"/>
          <w:iCs/>
          <w:lang w:val="en-US"/>
        </w:rPr>
      </w:pPr>
      <w:r w:rsidRPr="004A7593">
        <w:rPr>
          <w:rFonts w:ascii="Arial" w:eastAsiaTheme="majorEastAsia" w:hAnsi="Arial" w:cs="Arial"/>
          <w:iCs/>
          <w:lang w:val="en-US"/>
        </w:rPr>
        <w:t xml:space="preserve">Elements </w:t>
      </w:r>
      <w:r w:rsidR="005400D6">
        <w:rPr>
          <w:rFonts w:ascii="Arial" w:eastAsiaTheme="majorEastAsia" w:hAnsi="Arial" w:cs="Arial"/>
          <w:iCs/>
          <w:lang w:val="en-US"/>
        </w:rPr>
        <w:t>that</w:t>
      </w:r>
      <w:r>
        <w:rPr>
          <w:rFonts w:ascii="Arial" w:eastAsiaTheme="majorEastAsia" w:hAnsi="Arial" w:cs="Arial"/>
          <w:iCs/>
          <w:lang w:val="en-US"/>
        </w:rPr>
        <w:t xml:space="preserve"> </w:t>
      </w:r>
      <w:r w:rsidRPr="004A7593">
        <w:rPr>
          <w:rFonts w:ascii="Arial" w:eastAsiaTheme="majorEastAsia" w:hAnsi="Arial" w:cs="Arial"/>
          <w:iCs/>
          <w:lang w:val="en-US"/>
        </w:rPr>
        <w:t>were the subject of correspondence from the communities concerned or third parties</w:t>
      </w:r>
      <w:r w:rsidR="00231A2E">
        <w:rPr>
          <w:rFonts w:ascii="Arial" w:eastAsiaTheme="majorEastAsia" w:hAnsi="Arial" w:cs="Arial"/>
          <w:iCs/>
          <w:lang w:val="en-US"/>
        </w:rPr>
        <w:t xml:space="preserve"> (December 2018 – September 2019)</w:t>
      </w:r>
    </w:p>
    <w:p w14:paraId="39C9614D" w14:textId="77777777" w:rsidR="00631837" w:rsidRPr="004A7593" w:rsidRDefault="00631837" w:rsidP="004A7593">
      <w:pPr>
        <w:rPr>
          <w:rFonts w:eastAsiaTheme="majorEastAsia"/>
          <w:iCs/>
          <w:lang w:val="en-US"/>
        </w:rPr>
      </w:pPr>
    </w:p>
    <w:tbl>
      <w:tblPr>
        <w:tblStyle w:val="Grilledutableau"/>
        <w:tblW w:w="9072" w:type="dxa"/>
        <w:tblInd w:w="562" w:type="dxa"/>
        <w:tblLook w:val="04A0" w:firstRow="1" w:lastRow="0" w:firstColumn="1" w:lastColumn="0" w:noHBand="0" w:noVBand="1"/>
      </w:tblPr>
      <w:tblGrid>
        <w:gridCol w:w="2031"/>
        <w:gridCol w:w="1366"/>
        <w:gridCol w:w="3021"/>
        <w:gridCol w:w="2654"/>
      </w:tblGrid>
      <w:tr w:rsidR="00631837" w:rsidRPr="000601DB" w14:paraId="437C6266" w14:textId="77777777" w:rsidTr="0096272B">
        <w:trPr>
          <w:cantSplit/>
        </w:trPr>
        <w:tc>
          <w:tcPr>
            <w:tcW w:w="2031" w:type="dxa"/>
            <w:shd w:val="clear" w:color="auto" w:fill="D9D9D9" w:themeFill="background1" w:themeFillShade="D9"/>
            <w:vAlign w:val="center"/>
          </w:tcPr>
          <w:p w14:paraId="35493E34" w14:textId="77777777" w:rsidR="00631837" w:rsidRDefault="00631837" w:rsidP="006E6962">
            <w:pPr>
              <w:jc w:val="center"/>
              <w:rPr>
                <w:rFonts w:ascii="Arial" w:hAnsi="Arial" w:cs="Arial"/>
                <w:b/>
                <w:sz w:val="22"/>
                <w:szCs w:val="22"/>
                <w:lang w:val="en-GB"/>
              </w:rPr>
            </w:pPr>
            <w:r w:rsidRPr="00E83246">
              <w:rPr>
                <w:rFonts w:ascii="Arial" w:hAnsi="Arial" w:cs="Arial"/>
                <w:b/>
                <w:sz w:val="22"/>
                <w:szCs w:val="22"/>
                <w:lang w:val="en-GB"/>
              </w:rPr>
              <w:t>Element</w:t>
            </w:r>
            <w:r>
              <w:rPr>
                <w:rFonts w:ascii="Arial" w:hAnsi="Arial" w:cs="Arial"/>
                <w:b/>
                <w:sz w:val="22"/>
                <w:szCs w:val="22"/>
                <w:lang w:val="en-GB"/>
              </w:rPr>
              <w:t xml:space="preserve"> </w:t>
            </w:r>
          </w:p>
          <w:p w14:paraId="55E42F00" w14:textId="77777777" w:rsidR="00631837" w:rsidRPr="00E83246" w:rsidRDefault="00631837" w:rsidP="006E6962">
            <w:pPr>
              <w:jc w:val="center"/>
              <w:rPr>
                <w:rFonts w:ascii="Arial" w:hAnsi="Arial" w:cs="Arial"/>
                <w:b/>
                <w:sz w:val="22"/>
                <w:szCs w:val="22"/>
                <w:lang w:val="en-GB"/>
              </w:rPr>
            </w:pPr>
            <w:r>
              <w:rPr>
                <w:rFonts w:ascii="Arial" w:hAnsi="Arial" w:cs="Arial"/>
                <w:b/>
                <w:sz w:val="22"/>
                <w:szCs w:val="22"/>
                <w:lang w:val="en-GB"/>
              </w:rPr>
              <w:t>(List and year of inscription)</w:t>
            </w:r>
          </w:p>
        </w:tc>
        <w:tc>
          <w:tcPr>
            <w:tcW w:w="1366" w:type="dxa"/>
            <w:shd w:val="clear" w:color="auto" w:fill="D9D9D9" w:themeFill="background1" w:themeFillShade="D9"/>
            <w:vAlign w:val="center"/>
          </w:tcPr>
          <w:p w14:paraId="2DEBF23C" w14:textId="77777777" w:rsidR="00631837" w:rsidRPr="00744D9A" w:rsidRDefault="00631837" w:rsidP="006E6962">
            <w:pPr>
              <w:jc w:val="center"/>
              <w:rPr>
                <w:rFonts w:ascii="Arial" w:hAnsi="Arial" w:cs="Arial"/>
                <w:b/>
                <w:sz w:val="22"/>
                <w:szCs w:val="22"/>
                <w:lang w:val="en-GB"/>
              </w:rPr>
            </w:pPr>
            <w:r w:rsidRPr="00E83246">
              <w:rPr>
                <w:rFonts w:ascii="Arial" w:hAnsi="Arial" w:cs="Arial"/>
                <w:b/>
                <w:sz w:val="22"/>
                <w:szCs w:val="22"/>
                <w:lang w:val="en-GB"/>
              </w:rPr>
              <w:t>State</w:t>
            </w:r>
            <w:r>
              <w:rPr>
                <w:rFonts w:ascii="Arial" w:hAnsi="Arial" w:cs="Arial"/>
                <w:b/>
                <w:sz w:val="22"/>
                <w:szCs w:val="22"/>
                <w:lang w:val="en-GB"/>
              </w:rPr>
              <w:t>(s)</w:t>
            </w:r>
            <w:r w:rsidRPr="00E83246">
              <w:rPr>
                <w:rFonts w:ascii="Arial" w:hAnsi="Arial" w:cs="Arial"/>
                <w:b/>
                <w:sz w:val="22"/>
                <w:szCs w:val="22"/>
                <w:lang w:val="en-GB"/>
              </w:rPr>
              <w:t xml:space="preserve"> Party(ies)</w:t>
            </w:r>
          </w:p>
        </w:tc>
        <w:tc>
          <w:tcPr>
            <w:tcW w:w="3021" w:type="dxa"/>
            <w:shd w:val="clear" w:color="auto" w:fill="D9D9D9" w:themeFill="background1" w:themeFillShade="D9"/>
            <w:vAlign w:val="center"/>
          </w:tcPr>
          <w:p w14:paraId="4FB8BC77" w14:textId="77777777" w:rsidR="00631837" w:rsidRPr="00744D9A" w:rsidRDefault="00631837" w:rsidP="006E6962">
            <w:pPr>
              <w:jc w:val="center"/>
              <w:rPr>
                <w:rFonts w:ascii="Arial" w:hAnsi="Arial" w:cs="Arial"/>
                <w:b/>
                <w:sz w:val="22"/>
                <w:szCs w:val="22"/>
                <w:lang w:val="en-GB"/>
              </w:rPr>
            </w:pPr>
            <w:r w:rsidRPr="00744D9A">
              <w:rPr>
                <w:rFonts w:ascii="Arial" w:hAnsi="Arial" w:cs="Arial"/>
                <w:b/>
                <w:sz w:val="22"/>
                <w:szCs w:val="22"/>
                <w:lang w:val="en-GB"/>
              </w:rPr>
              <w:t>Nature of issues raised</w:t>
            </w:r>
          </w:p>
        </w:tc>
        <w:tc>
          <w:tcPr>
            <w:tcW w:w="2654" w:type="dxa"/>
            <w:shd w:val="clear" w:color="auto" w:fill="D9D9D9" w:themeFill="background1" w:themeFillShade="D9"/>
            <w:vAlign w:val="center"/>
          </w:tcPr>
          <w:p w14:paraId="7D2304CF" w14:textId="77777777" w:rsidR="00631837" w:rsidRPr="00744D9A" w:rsidRDefault="00631837" w:rsidP="006E6962">
            <w:pPr>
              <w:jc w:val="center"/>
              <w:rPr>
                <w:rFonts w:ascii="Arial" w:hAnsi="Arial" w:cs="Arial"/>
                <w:b/>
                <w:sz w:val="22"/>
                <w:szCs w:val="22"/>
                <w:lang w:val="en-GB"/>
              </w:rPr>
            </w:pPr>
            <w:r>
              <w:rPr>
                <w:rFonts w:ascii="Arial" w:hAnsi="Arial" w:cs="Arial"/>
                <w:b/>
                <w:sz w:val="22"/>
                <w:szCs w:val="22"/>
                <w:lang w:val="en-GB"/>
              </w:rPr>
              <w:t>Number and type of correspondences received</w:t>
            </w:r>
          </w:p>
        </w:tc>
      </w:tr>
      <w:tr w:rsidR="00631837" w:rsidRPr="0040556A" w14:paraId="723F23E2" w14:textId="77777777" w:rsidTr="0096272B">
        <w:trPr>
          <w:cantSplit/>
        </w:trPr>
        <w:tc>
          <w:tcPr>
            <w:tcW w:w="2031" w:type="dxa"/>
          </w:tcPr>
          <w:p w14:paraId="15D7BDCC" w14:textId="77777777" w:rsidR="00631837" w:rsidRPr="00744D9A"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Aalst carnival</w:t>
            </w:r>
            <w:r>
              <w:rPr>
                <w:rFonts w:ascii="Arial" w:hAnsi="Arial" w:cs="Arial"/>
                <w:sz w:val="22"/>
                <w:szCs w:val="22"/>
                <w:lang w:val="en-GB"/>
              </w:rPr>
              <w:t xml:space="preserve"> (</w:t>
            </w:r>
            <w:r w:rsidRPr="00E83246">
              <w:rPr>
                <w:rFonts w:ascii="Arial" w:hAnsi="Arial" w:cs="Arial"/>
                <w:sz w:val="22"/>
                <w:szCs w:val="22"/>
                <w:lang w:val="en-GB"/>
              </w:rPr>
              <w:t>Representative List</w:t>
            </w:r>
            <w:r>
              <w:rPr>
                <w:rFonts w:ascii="Arial" w:hAnsi="Arial" w:cs="Arial"/>
                <w:sz w:val="22"/>
                <w:szCs w:val="22"/>
                <w:lang w:val="en-GB"/>
              </w:rPr>
              <w:t xml:space="preserve">, </w:t>
            </w:r>
            <w:r w:rsidRPr="00E83246">
              <w:rPr>
                <w:rFonts w:ascii="Arial" w:hAnsi="Arial" w:cs="Arial"/>
                <w:sz w:val="22"/>
                <w:szCs w:val="22"/>
                <w:lang w:val="en-GB"/>
              </w:rPr>
              <w:t>2010)</w:t>
            </w:r>
          </w:p>
        </w:tc>
        <w:tc>
          <w:tcPr>
            <w:tcW w:w="1366" w:type="dxa"/>
          </w:tcPr>
          <w:p w14:paraId="1098ED51" w14:textId="77777777" w:rsidR="00631837" w:rsidRPr="00744D9A" w:rsidRDefault="00631837" w:rsidP="006E6962">
            <w:pPr>
              <w:spacing w:after="120"/>
              <w:contextualSpacing/>
              <w:rPr>
                <w:rFonts w:ascii="Arial" w:hAnsi="Arial" w:cs="Arial"/>
                <w:sz w:val="22"/>
                <w:szCs w:val="22"/>
                <w:lang w:val="en-GB"/>
              </w:rPr>
            </w:pPr>
            <w:r w:rsidRPr="00E83246">
              <w:rPr>
                <w:rFonts w:ascii="Arial" w:hAnsi="Arial" w:cs="Arial"/>
                <w:sz w:val="22"/>
                <w:szCs w:val="22"/>
                <w:lang w:val="en-GB"/>
              </w:rPr>
              <w:t>Belgium</w:t>
            </w:r>
          </w:p>
        </w:tc>
        <w:tc>
          <w:tcPr>
            <w:tcW w:w="3021" w:type="dxa"/>
          </w:tcPr>
          <w:p w14:paraId="55D4E45D" w14:textId="77777777" w:rsidR="00631837" w:rsidRPr="00E83246"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I</w:t>
            </w:r>
            <w:r w:rsidRPr="00E83246">
              <w:rPr>
                <w:rFonts w:ascii="Arial" w:hAnsi="Arial" w:cs="Arial"/>
                <w:sz w:val="22"/>
                <w:szCs w:val="22"/>
                <w:lang w:val="en-GB"/>
              </w:rPr>
              <w:t>ssues linked to the requirements of mutual respect among communities (racism, xenophobia, discrimination)</w:t>
            </w:r>
          </w:p>
        </w:tc>
        <w:tc>
          <w:tcPr>
            <w:tcW w:w="2654" w:type="dxa"/>
          </w:tcPr>
          <w:p w14:paraId="63499681" w14:textId="4EC5E97A" w:rsidR="00631837" w:rsidRDefault="00F60550"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21</w:t>
            </w:r>
            <w:r w:rsidR="00631837" w:rsidRPr="00FC29EB">
              <w:rPr>
                <w:rFonts w:ascii="Arial" w:hAnsi="Arial" w:cs="Arial"/>
                <w:sz w:val="22"/>
                <w:szCs w:val="22"/>
                <w:lang w:val="en-GB"/>
              </w:rPr>
              <w:t xml:space="preserve"> letters/emails an</w:t>
            </w:r>
            <w:r w:rsidR="00631837">
              <w:rPr>
                <w:rFonts w:ascii="Arial" w:hAnsi="Arial" w:cs="Arial"/>
                <w:sz w:val="22"/>
                <w:szCs w:val="22"/>
                <w:lang w:val="en-GB"/>
              </w:rPr>
              <w:t>d</w:t>
            </w:r>
            <w:r w:rsidR="00631837" w:rsidRPr="00FC29EB">
              <w:rPr>
                <w:rFonts w:ascii="Arial" w:hAnsi="Arial" w:cs="Arial"/>
                <w:sz w:val="22"/>
                <w:szCs w:val="22"/>
                <w:lang w:val="en-GB"/>
              </w:rPr>
              <w:t xml:space="preserve"> </w:t>
            </w:r>
            <w:r w:rsidR="00631837">
              <w:rPr>
                <w:rFonts w:ascii="Arial" w:hAnsi="Arial" w:cs="Arial"/>
                <w:sz w:val="22"/>
                <w:szCs w:val="22"/>
                <w:lang w:val="en-GB"/>
              </w:rPr>
              <w:t xml:space="preserve">an </w:t>
            </w:r>
            <w:r w:rsidR="00631837" w:rsidRPr="00FC29EB">
              <w:rPr>
                <w:rFonts w:ascii="Arial" w:hAnsi="Arial" w:cs="Arial"/>
                <w:sz w:val="22"/>
                <w:szCs w:val="22"/>
                <w:lang w:val="en-GB"/>
              </w:rPr>
              <w:t>online</w:t>
            </w:r>
            <w:r w:rsidR="00631837">
              <w:rPr>
                <w:rFonts w:ascii="Arial" w:hAnsi="Arial" w:cs="Arial"/>
                <w:sz w:val="22"/>
                <w:szCs w:val="22"/>
                <w:lang w:val="en-GB"/>
              </w:rPr>
              <w:t xml:space="preserve"> petition with 19,000 signatures (civil society, individuals (within and outside the community)</w:t>
            </w:r>
            <w:r>
              <w:rPr>
                <w:rFonts w:ascii="Arial" w:hAnsi="Arial" w:cs="Arial"/>
                <w:sz w:val="22"/>
                <w:szCs w:val="22"/>
                <w:lang w:val="en-GB"/>
              </w:rPr>
              <w:t>)</w:t>
            </w:r>
          </w:p>
          <w:p w14:paraId="191FC116" w14:textId="77777777" w:rsidR="00631837" w:rsidRPr="00FC29EB" w:rsidRDefault="00631837"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Multiple m</w:t>
            </w:r>
            <w:r w:rsidRPr="00FC29EB">
              <w:rPr>
                <w:rFonts w:ascii="Arial" w:hAnsi="Arial" w:cs="Arial"/>
                <w:sz w:val="22"/>
                <w:szCs w:val="22"/>
                <w:lang w:val="en-GB"/>
              </w:rPr>
              <w:t>edia reports</w:t>
            </w:r>
          </w:p>
        </w:tc>
      </w:tr>
      <w:tr w:rsidR="00631837" w:rsidRPr="0040556A" w14:paraId="7CFD84E9" w14:textId="77777777" w:rsidTr="0096272B">
        <w:trPr>
          <w:cantSplit/>
        </w:trPr>
        <w:tc>
          <w:tcPr>
            <w:tcW w:w="2031" w:type="dxa"/>
          </w:tcPr>
          <w:p w14:paraId="7B508C76" w14:textId="77777777" w:rsidR="00631837" w:rsidRPr="00744D9A"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Processional giants and dragons in Belgium and France</w:t>
            </w:r>
            <w:r>
              <w:rPr>
                <w:rFonts w:ascii="Arial" w:hAnsi="Arial" w:cs="Arial"/>
                <w:sz w:val="22"/>
                <w:szCs w:val="22"/>
                <w:lang w:val="en-GB"/>
              </w:rPr>
              <w:t xml:space="preserve"> (</w:t>
            </w:r>
            <w:r w:rsidRPr="00E83246">
              <w:rPr>
                <w:rFonts w:ascii="Arial" w:hAnsi="Arial" w:cs="Arial"/>
                <w:sz w:val="22"/>
                <w:szCs w:val="22"/>
                <w:lang w:val="en-GB"/>
              </w:rPr>
              <w:t>Representative List</w:t>
            </w:r>
            <w:r>
              <w:rPr>
                <w:rFonts w:ascii="Arial" w:hAnsi="Arial" w:cs="Arial"/>
                <w:sz w:val="22"/>
                <w:szCs w:val="22"/>
                <w:lang w:val="en-GB"/>
              </w:rPr>
              <w:t>, 2008</w:t>
            </w:r>
            <w:r w:rsidRPr="00E83246">
              <w:rPr>
                <w:rFonts w:ascii="Arial" w:hAnsi="Arial" w:cs="Arial"/>
                <w:sz w:val="22"/>
                <w:szCs w:val="22"/>
                <w:lang w:val="en-GB"/>
              </w:rPr>
              <w:t>)</w:t>
            </w:r>
          </w:p>
        </w:tc>
        <w:tc>
          <w:tcPr>
            <w:tcW w:w="1366" w:type="dxa"/>
          </w:tcPr>
          <w:p w14:paraId="5C297257" w14:textId="77777777" w:rsidR="00631837" w:rsidRDefault="00631837" w:rsidP="006E6962">
            <w:pPr>
              <w:spacing w:after="120"/>
              <w:contextualSpacing/>
              <w:rPr>
                <w:rFonts w:ascii="Arial" w:hAnsi="Arial" w:cs="Arial"/>
                <w:sz w:val="22"/>
                <w:szCs w:val="22"/>
                <w:lang w:val="en-GB"/>
              </w:rPr>
            </w:pPr>
            <w:r w:rsidRPr="00E83246">
              <w:rPr>
                <w:rFonts w:ascii="Arial" w:hAnsi="Arial" w:cs="Arial"/>
                <w:sz w:val="22"/>
                <w:szCs w:val="22"/>
                <w:lang w:val="en-GB"/>
              </w:rPr>
              <w:t>Belgium and France</w:t>
            </w:r>
          </w:p>
          <w:p w14:paraId="3D146DF7" w14:textId="0AB1CFEE" w:rsidR="00631837" w:rsidRPr="00744D9A" w:rsidRDefault="00631837" w:rsidP="006E6962">
            <w:pPr>
              <w:spacing w:after="120"/>
              <w:contextualSpacing/>
              <w:rPr>
                <w:rFonts w:ascii="Arial" w:hAnsi="Arial" w:cs="Arial"/>
                <w:sz w:val="22"/>
                <w:szCs w:val="22"/>
                <w:lang w:val="en-GB"/>
              </w:rPr>
            </w:pPr>
            <w:r>
              <w:rPr>
                <w:rFonts w:ascii="Arial" w:hAnsi="Arial" w:cs="Arial"/>
                <w:sz w:val="22"/>
                <w:szCs w:val="22"/>
                <w:lang w:val="en-GB"/>
              </w:rPr>
              <w:t>(complaint concerned</w:t>
            </w:r>
            <w:r w:rsidR="006C40CA">
              <w:rPr>
                <w:rFonts w:ascii="Arial" w:hAnsi="Arial" w:cs="Arial"/>
                <w:sz w:val="22"/>
                <w:szCs w:val="22"/>
                <w:lang w:val="en-GB"/>
              </w:rPr>
              <w:t xml:space="preserve"> </w:t>
            </w:r>
            <w:r>
              <w:rPr>
                <w:rFonts w:ascii="Arial" w:hAnsi="Arial" w:cs="Arial"/>
                <w:sz w:val="22"/>
                <w:szCs w:val="22"/>
                <w:lang w:val="en-GB"/>
              </w:rPr>
              <w:t>a</w:t>
            </w:r>
            <w:r w:rsidR="00F60550">
              <w:rPr>
                <w:rFonts w:ascii="Arial" w:hAnsi="Arial" w:cs="Arial"/>
                <w:sz w:val="22"/>
                <w:szCs w:val="22"/>
                <w:lang w:val="en-GB"/>
              </w:rPr>
              <w:t xml:space="preserve"> </w:t>
            </w:r>
            <w:r>
              <w:rPr>
                <w:rFonts w:ascii="Arial" w:hAnsi="Arial" w:cs="Arial"/>
                <w:sz w:val="22"/>
                <w:szCs w:val="22"/>
                <w:lang w:val="en-GB"/>
              </w:rPr>
              <w:t>procession in Belgium</w:t>
            </w:r>
            <w:r w:rsidR="00F60550">
              <w:rPr>
                <w:rFonts w:ascii="Arial" w:hAnsi="Arial" w:cs="Arial"/>
                <w:sz w:val="22"/>
                <w:szCs w:val="22"/>
                <w:lang w:val="en-GB"/>
              </w:rPr>
              <w:t xml:space="preserve"> only</w:t>
            </w:r>
            <w:r>
              <w:rPr>
                <w:rFonts w:ascii="Arial" w:hAnsi="Arial" w:cs="Arial"/>
                <w:sz w:val="22"/>
                <w:szCs w:val="22"/>
                <w:lang w:val="en-GB"/>
              </w:rPr>
              <w:t>)</w:t>
            </w:r>
          </w:p>
        </w:tc>
        <w:tc>
          <w:tcPr>
            <w:tcW w:w="3021" w:type="dxa"/>
          </w:tcPr>
          <w:p w14:paraId="53CB67F5" w14:textId="77777777" w:rsidR="00631837" w:rsidRPr="00744D9A"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I</w:t>
            </w:r>
            <w:r w:rsidRPr="00E83246">
              <w:rPr>
                <w:rFonts w:ascii="Arial" w:hAnsi="Arial" w:cs="Arial"/>
                <w:sz w:val="22"/>
                <w:szCs w:val="22"/>
                <w:lang w:val="en-GB"/>
              </w:rPr>
              <w:t>ssues linked to the requirements of mutual respect among communities (racism, xenophobia, discrimination)</w:t>
            </w:r>
          </w:p>
        </w:tc>
        <w:tc>
          <w:tcPr>
            <w:tcW w:w="2654" w:type="dxa"/>
          </w:tcPr>
          <w:p w14:paraId="3D6009EE" w14:textId="77777777" w:rsidR="00631837" w:rsidRDefault="00631837"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One letter (c</w:t>
            </w:r>
            <w:r w:rsidRPr="00744D9A">
              <w:rPr>
                <w:rFonts w:ascii="Arial" w:hAnsi="Arial" w:cs="Arial"/>
                <w:sz w:val="22"/>
                <w:szCs w:val="22"/>
                <w:lang w:val="en-GB"/>
              </w:rPr>
              <w:t>ivil society</w:t>
            </w:r>
            <w:r>
              <w:rPr>
                <w:rFonts w:ascii="Arial" w:hAnsi="Arial" w:cs="Arial"/>
                <w:sz w:val="22"/>
                <w:szCs w:val="22"/>
                <w:lang w:val="en-GB"/>
              </w:rPr>
              <w:t>)</w:t>
            </w:r>
          </w:p>
          <w:p w14:paraId="2869C6D4" w14:textId="77777777" w:rsidR="00631837" w:rsidRPr="00744D9A" w:rsidRDefault="00631837"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Multiple m</w:t>
            </w:r>
            <w:r w:rsidRPr="00744D9A">
              <w:rPr>
                <w:rFonts w:ascii="Arial" w:hAnsi="Arial" w:cs="Arial"/>
                <w:sz w:val="22"/>
                <w:szCs w:val="22"/>
                <w:lang w:val="en-GB"/>
              </w:rPr>
              <w:t>edia reports</w:t>
            </w:r>
          </w:p>
        </w:tc>
      </w:tr>
      <w:tr w:rsidR="00631837" w:rsidRPr="0040556A" w14:paraId="1E372943" w14:textId="77777777" w:rsidTr="0096272B">
        <w:trPr>
          <w:cantSplit/>
        </w:trPr>
        <w:tc>
          <w:tcPr>
            <w:tcW w:w="2031" w:type="dxa"/>
            <w:shd w:val="clear" w:color="auto" w:fill="auto"/>
          </w:tcPr>
          <w:p w14:paraId="24E0CCF1" w14:textId="77777777" w:rsidR="00631837" w:rsidRPr="00744D9A"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Singing to the accompaniment of the Gusle</w:t>
            </w:r>
            <w:r>
              <w:rPr>
                <w:rFonts w:ascii="Arial" w:hAnsi="Arial" w:cs="Arial"/>
                <w:sz w:val="22"/>
                <w:szCs w:val="22"/>
                <w:lang w:val="en-GB"/>
              </w:rPr>
              <w:t xml:space="preserve"> (</w:t>
            </w:r>
            <w:r w:rsidRPr="00E83246">
              <w:rPr>
                <w:rFonts w:ascii="Arial" w:hAnsi="Arial" w:cs="Arial"/>
                <w:sz w:val="22"/>
                <w:szCs w:val="22"/>
                <w:lang w:val="en-GB"/>
              </w:rPr>
              <w:t>Representative List</w:t>
            </w:r>
            <w:r>
              <w:rPr>
                <w:rFonts w:ascii="Arial" w:hAnsi="Arial" w:cs="Arial"/>
                <w:sz w:val="22"/>
                <w:szCs w:val="22"/>
                <w:lang w:val="en-GB"/>
              </w:rPr>
              <w:t xml:space="preserve">, </w:t>
            </w:r>
            <w:r w:rsidRPr="00E83246">
              <w:rPr>
                <w:rFonts w:ascii="Arial" w:hAnsi="Arial" w:cs="Arial"/>
                <w:sz w:val="22"/>
                <w:szCs w:val="22"/>
                <w:lang w:val="en-GB"/>
              </w:rPr>
              <w:t>201</w:t>
            </w:r>
            <w:r>
              <w:rPr>
                <w:rFonts w:ascii="Arial" w:hAnsi="Arial" w:cs="Arial"/>
                <w:sz w:val="22"/>
                <w:szCs w:val="22"/>
                <w:lang w:val="en-GB"/>
              </w:rPr>
              <w:t>8</w:t>
            </w:r>
            <w:r w:rsidRPr="00E83246">
              <w:rPr>
                <w:rFonts w:ascii="Arial" w:hAnsi="Arial" w:cs="Arial"/>
                <w:sz w:val="22"/>
                <w:szCs w:val="22"/>
                <w:lang w:val="en-GB"/>
              </w:rPr>
              <w:t>)</w:t>
            </w:r>
          </w:p>
        </w:tc>
        <w:tc>
          <w:tcPr>
            <w:tcW w:w="1366" w:type="dxa"/>
          </w:tcPr>
          <w:p w14:paraId="5F22FB69" w14:textId="77777777" w:rsidR="00631837" w:rsidRPr="00E83246" w:rsidRDefault="00631837" w:rsidP="006E6962">
            <w:pPr>
              <w:spacing w:after="120"/>
              <w:contextualSpacing/>
              <w:rPr>
                <w:rFonts w:ascii="Arial" w:hAnsi="Arial" w:cs="Arial"/>
                <w:sz w:val="22"/>
                <w:szCs w:val="22"/>
                <w:lang w:val="en-GB"/>
              </w:rPr>
            </w:pPr>
            <w:r w:rsidRPr="00E83246">
              <w:rPr>
                <w:rFonts w:ascii="Arial" w:hAnsi="Arial" w:cs="Arial"/>
                <w:sz w:val="22"/>
                <w:szCs w:val="22"/>
                <w:lang w:val="en-GB"/>
              </w:rPr>
              <w:t>Serbia</w:t>
            </w:r>
          </w:p>
        </w:tc>
        <w:tc>
          <w:tcPr>
            <w:tcW w:w="3021" w:type="dxa"/>
          </w:tcPr>
          <w:p w14:paraId="5C13DE62" w14:textId="77777777" w:rsidR="00631837" w:rsidRPr="00E83246" w:rsidRDefault="00631837" w:rsidP="006E6962">
            <w:pPr>
              <w:spacing w:after="120"/>
              <w:contextualSpacing/>
              <w:rPr>
                <w:rFonts w:ascii="Arial" w:hAnsi="Arial" w:cs="Arial"/>
                <w:sz w:val="22"/>
                <w:szCs w:val="22"/>
                <w:lang w:val="en-GB"/>
              </w:rPr>
            </w:pPr>
            <w:r w:rsidRPr="00E83246">
              <w:rPr>
                <w:rFonts w:ascii="Arial" w:hAnsi="Arial" w:cs="Arial"/>
                <w:sz w:val="22"/>
                <w:szCs w:val="22"/>
                <w:lang w:val="en-GB"/>
              </w:rPr>
              <w:t>Concerns regarding ownership of a</w:t>
            </w:r>
            <w:r>
              <w:rPr>
                <w:rFonts w:ascii="Arial" w:hAnsi="Arial" w:cs="Arial"/>
                <w:sz w:val="22"/>
                <w:szCs w:val="22"/>
                <w:lang w:val="en-GB"/>
              </w:rPr>
              <w:t xml:space="preserve">n element due to the practice of a similar performing art in another country </w:t>
            </w:r>
          </w:p>
        </w:tc>
        <w:tc>
          <w:tcPr>
            <w:tcW w:w="2654" w:type="dxa"/>
          </w:tcPr>
          <w:p w14:paraId="01473D62" w14:textId="77777777" w:rsidR="00631837" w:rsidRPr="00E83246" w:rsidRDefault="00631837"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O</w:t>
            </w:r>
            <w:r w:rsidRPr="00E83246">
              <w:rPr>
                <w:rFonts w:ascii="Arial" w:hAnsi="Arial" w:cs="Arial"/>
                <w:sz w:val="22"/>
                <w:szCs w:val="22"/>
                <w:lang w:val="en-GB"/>
              </w:rPr>
              <w:t>ne letter</w:t>
            </w:r>
            <w:r>
              <w:rPr>
                <w:rFonts w:ascii="Arial" w:hAnsi="Arial" w:cs="Arial"/>
                <w:sz w:val="22"/>
                <w:szCs w:val="22"/>
                <w:lang w:val="en-GB"/>
              </w:rPr>
              <w:t xml:space="preserve"> (academia</w:t>
            </w:r>
            <w:r w:rsidRPr="00E83246">
              <w:rPr>
                <w:rFonts w:ascii="Arial" w:hAnsi="Arial" w:cs="Arial"/>
                <w:sz w:val="22"/>
                <w:szCs w:val="22"/>
                <w:lang w:val="en-GB"/>
              </w:rPr>
              <w:t>)</w:t>
            </w:r>
          </w:p>
          <w:p w14:paraId="250A7BAC" w14:textId="77777777" w:rsidR="00631837" w:rsidRPr="00E83246" w:rsidRDefault="00631837" w:rsidP="006E6962">
            <w:pPr>
              <w:spacing w:after="120"/>
              <w:contextualSpacing/>
              <w:rPr>
                <w:rFonts w:ascii="Arial" w:hAnsi="Arial" w:cs="Arial"/>
                <w:sz w:val="22"/>
                <w:szCs w:val="22"/>
                <w:lang w:val="en-GB"/>
              </w:rPr>
            </w:pPr>
          </w:p>
        </w:tc>
      </w:tr>
      <w:tr w:rsidR="00631837" w:rsidRPr="000601DB" w14:paraId="57990F12" w14:textId="77777777" w:rsidTr="0096272B">
        <w:trPr>
          <w:cantSplit/>
        </w:trPr>
        <w:tc>
          <w:tcPr>
            <w:tcW w:w="2031" w:type="dxa"/>
            <w:shd w:val="clear" w:color="auto" w:fill="auto"/>
          </w:tcPr>
          <w:p w14:paraId="4536C206" w14:textId="77777777" w:rsidR="00631837"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Valencia Fallas Festivity</w:t>
            </w:r>
          </w:p>
          <w:p w14:paraId="60BE37BB" w14:textId="77777777" w:rsidR="00631837" w:rsidRPr="00744D9A" w:rsidRDefault="00631837" w:rsidP="006E6962">
            <w:pPr>
              <w:spacing w:after="120"/>
              <w:contextualSpacing/>
              <w:rPr>
                <w:rFonts w:ascii="Arial" w:hAnsi="Arial" w:cs="Arial"/>
                <w:sz w:val="22"/>
                <w:szCs w:val="22"/>
                <w:lang w:val="en-GB"/>
              </w:rPr>
            </w:pPr>
            <w:r>
              <w:rPr>
                <w:rFonts w:ascii="Arial" w:hAnsi="Arial" w:cs="Arial"/>
                <w:sz w:val="22"/>
                <w:szCs w:val="22"/>
                <w:lang w:val="en-GB"/>
              </w:rPr>
              <w:t>(</w:t>
            </w:r>
            <w:r w:rsidRPr="00E83246">
              <w:rPr>
                <w:rFonts w:ascii="Arial" w:hAnsi="Arial" w:cs="Arial"/>
                <w:sz w:val="22"/>
                <w:szCs w:val="22"/>
                <w:lang w:val="en-GB"/>
              </w:rPr>
              <w:t>Representative List</w:t>
            </w:r>
            <w:r>
              <w:rPr>
                <w:rFonts w:ascii="Arial" w:hAnsi="Arial" w:cs="Arial"/>
                <w:sz w:val="22"/>
                <w:szCs w:val="22"/>
                <w:lang w:val="en-GB"/>
              </w:rPr>
              <w:t>, 2016</w:t>
            </w:r>
            <w:r w:rsidRPr="00E83246">
              <w:rPr>
                <w:rFonts w:ascii="Arial" w:hAnsi="Arial" w:cs="Arial"/>
                <w:sz w:val="22"/>
                <w:szCs w:val="22"/>
                <w:lang w:val="en-GB"/>
              </w:rPr>
              <w:t>)</w:t>
            </w:r>
          </w:p>
        </w:tc>
        <w:tc>
          <w:tcPr>
            <w:tcW w:w="1366" w:type="dxa"/>
          </w:tcPr>
          <w:p w14:paraId="7C6CF777" w14:textId="77777777" w:rsidR="00631837" w:rsidRPr="00744D9A" w:rsidRDefault="00631837" w:rsidP="006E6962">
            <w:pPr>
              <w:spacing w:after="120"/>
              <w:contextualSpacing/>
              <w:rPr>
                <w:rFonts w:ascii="Arial" w:hAnsi="Arial" w:cs="Arial"/>
                <w:sz w:val="22"/>
                <w:szCs w:val="22"/>
                <w:lang w:val="en-GB"/>
              </w:rPr>
            </w:pPr>
            <w:r w:rsidRPr="00E83246">
              <w:rPr>
                <w:rFonts w:ascii="Arial" w:hAnsi="Arial" w:cs="Arial"/>
                <w:sz w:val="22"/>
                <w:szCs w:val="22"/>
                <w:lang w:val="en-GB"/>
              </w:rPr>
              <w:t>Spain</w:t>
            </w:r>
          </w:p>
        </w:tc>
        <w:tc>
          <w:tcPr>
            <w:tcW w:w="3021" w:type="dxa"/>
          </w:tcPr>
          <w:p w14:paraId="7B5E9E11" w14:textId="1E657BAE" w:rsidR="00631837" w:rsidRPr="00744D9A" w:rsidRDefault="00631837" w:rsidP="006E6962">
            <w:pPr>
              <w:spacing w:after="120"/>
              <w:contextualSpacing/>
              <w:rPr>
                <w:rFonts w:ascii="Arial" w:hAnsi="Arial" w:cs="Arial"/>
                <w:sz w:val="22"/>
                <w:szCs w:val="22"/>
                <w:lang w:val="en-GB"/>
              </w:rPr>
            </w:pPr>
            <w:r w:rsidRPr="00744D9A">
              <w:rPr>
                <w:rFonts w:ascii="Arial" w:hAnsi="Arial" w:cs="Arial"/>
                <w:sz w:val="22"/>
                <w:szCs w:val="22"/>
                <w:lang w:val="en-GB"/>
              </w:rPr>
              <w:t>E</w:t>
            </w:r>
            <w:r w:rsidRPr="00E83246">
              <w:rPr>
                <w:rFonts w:ascii="Arial" w:hAnsi="Arial" w:cs="Arial"/>
                <w:sz w:val="22"/>
                <w:szCs w:val="22"/>
                <w:lang w:val="en-GB"/>
              </w:rPr>
              <w:t>nvironmental concerns</w:t>
            </w:r>
            <w:r>
              <w:rPr>
                <w:rFonts w:ascii="Arial" w:hAnsi="Arial" w:cs="Arial"/>
                <w:sz w:val="22"/>
                <w:szCs w:val="22"/>
                <w:lang w:val="en-GB"/>
              </w:rPr>
              <w:t xml:space="preserve"> </w:t>
            </w:r>
            <w:r w:rsidR="00F60550">
              <w:rPr>
                <w:rFonts w:ascii="Arial" w:hAnsi="Arial" w:cs="Arial"/>
                <w:sz w:val="22"/>
                <w:szCs w:val="22"/>
                <w:lang w:val="en-GB"/>
              </w:rPr>
              <w:t>related to</w:t>
            </w:r>
            <w:r>
              <w:rPr>
                <w:rFonts w:ascii="Arial" w:hAnsi="Arial" w:cs="Arial"/>
                <w:sz w:val="22"/>
                <w:szCs w:val="22"/>
                <w:lang w:val="en-GB"/>
              </w:rPr>
              <w:t xml:space="preserve"> the burning of large amounts of polystyrene and polyurethane foams</w:t>
            </w:r>
          </w:p>
        </w:tc>
        <w:tc>
          <w:tcPr>
            <w:tcW w:w="2654" w:type="dxa"/>
          </w:tcPr>
          <w:p w14:paraId="77E2EC88" w14:textId="77777777" w:rsidR="00631837" w:rsidRPr="00744D9A" w:rsidRDefault="00631837" w:rsidP="00631837">
            <w:pPr>
              <w:pStyle w:val="Paragraphedeliste"/>
              <w:numPr>
                <w:ilvl w:val="0"/>
                <w:numId w:val="52"/>
              </w:numPr>
              <w:spacing w:after="120"/>
              <w:ind w:left="316"/>
              <w:rPr>
                <w:rFonts w:ascii="Arial" w:hAnsi="Arial" w:cs="Arial"/>
                <w:sz w:val="22"/>
                <w:szCs w:val="22"/>
                <w:lang w:val="en-GB"/>
              </w:rPr>
            </w:pPr>
            <w:r>
              <w:rPr>
                <w:rFonts w:ascii="Arial" w:hAnsi="Arial" w:cs="Arial"/>
                <w:sz w:val="22"/>
                <w:szCs w:val="22"/>
                <w:lang w:val="en-GB"/>
              </w:rPr>
              <w:t>Three emails (i</w:t>
            </w:r>
            <w:r w:rsidRPr="00744D9A">
              <w:rPr>
                <w:rFonts w:ascii="Arial" w:hAnsi="Arial" w:cs="Arial"/>
                <w:sz w:val="22"/>
                <w:szCs w:val="22"/>
                <w:lang w:val="en-GB"/>
              </w:rPr>
              <w:t>ndividuals outside of the community)</w:t>
            </w:r>
          </w:p>
        </w:tc>
      </w:tr>
    </w:tbl>
    <w:p w14:paraId="38459B6A" w14:textId="798C5DF6" w:rsidR="00A715E5" w:rsidRDefault="00A715E5">
      <w:pPr>
        <w:pStyle w:val="COMParaDecision"/>
        <w:spacing w:after="360"/>
        <w:jc w:val="center"/>
        <w:rPr>
          <w:b/>
          <w:sz w:val="24"/>
        </w:rPr>
      </w:pPr>
    </w:p>
    <w:p w14:paraId="3B2F2B04" w14:textId="77777777" w:rsidR="00231A2E" w:rsidRDefault="00A715E5">
      <w:pPr>
        <w:rPr>
          <w:b/>
          <w:lang w:val="en-GB"/>
        </w:rPr>
        <w:sectPr w:rsidR="00231A2E" w:rsidSect="00231A2E">
          <w:headerReference w:type="first" r:id="rId25"/>
          <w:pgSz w:w="11906" w:h="16838" w:code="9"/>
          <w:pgMar w:top="1418" w:right="1134" w:bottom="1134" w:left="1134" w:header="397" w:footer="284" w:gutter="0"/>
          <w:cols w:space="708"/>
          <w:titlePg/>
          <w:docGrid w:linePitch="360"/>
        </w:sectPr>
      </w:pPr>
      <w:r w:rsidRPr="004A190D">
        <w:rPr>
          <w:b/>
          <w:lang w:val="en-GB"/>
        </w:rPr>
        <w:br w:type="page"/>
      </w:r>
    </w:p>
    <w:p w14:paraId="15B110CC" w14:textId="43379253" w:rsidR="00A715E5" w:rsidRDefault="00A715E5">
      <w:pPr>
        <w:pStyle w:val="COMParaDecision"/>
        <w:spacing w:after="360"/>
        <w:jc w:val="center"/>
        <w:rPr>
          <w:b/>
          <w:sz w:val="24"/>
        </w:rPr>
      </w:pPr>
    </w:p>
    <w:p w14:paraId="74693FE3" w14:textId="043B70CA" w:rsidR="00631837" w:rsidRDefault="00631837" w:rsidP="004A7593">
      <w:pPr>
        <w:pStyle w:val="COMParaDecision"/>
        <w:spacing w:after="0"/>
        <w:jc w:val="center"/>
        <w:rPr>
          <w:rFonts w:eastAsia="Times New Roman"/>
          <w:b/>
          <w:sz w:val="32"/>
          <w:szCs w:val="32"/>
        </w:rPr>
      </w:pPr>
      <w:r w:rsidRPr="006208B8">
        <w:rPr>
          <w:b/>
          <w:sz w:val="32"/>
          <w:szCs w:val="32"/>
        </w:rPr>
        <w:t>Annex I</w:t>
      </w:r>
      <w:r w:rsidR="002D772D">
        <w:rPr>
          <w:rFonts w:eastAsia="Times New Roman"/>
          <w:b/>
          <w:sz w:val="32"/>
          <w:szCs w:val="32"/>
        </w:rPr>
        <w:t>II</w:t>
      </w:r>
    </w:p>
    <w:p w14:paraId="7F47E864" w14:textId="4DC4E9D1" w:rsidR="00631837" w:rsidRDefault="00631837" w:rsidP="004A7593">
      <w:pPr>
        <w:jc w:val="center"/>
        <w:rPr>
          <w:rFonts w:ascii="Arial" w:eastAsiaTheme="majorEastAsia" w:hAnsi="Arial" w:cs="Arial"/>
          <w:iCs/>
          <w:lang w:val="en-US"/>
        </w:rPr>
      </w:pPr>
      <w:r w:rsidRPr="004A7593">
        <w:rPr>
          <w:rFonts w:ascii="Arial" w:eastAsiaTheme="majorEastAsia" w:hAnsi="Arial" w:cs="Arial"/>
          <w:iCs/>
          <w:lang w:val="en-US"/>
        </w:rPr>
        <w:t xml:space="preserve">Proposed </w:t>
      </w:r>
      <w:r w:rsidR="005400D6" w:rsidRPr="005400D6">
        <w:rPr>
          <w:rFonts w:ascii="Arial" w:eastAsiaTheme="majorEastAsia" w:hAnsi="Arial" w:cs="Arial"/>
          <w:iCs/>
          <w:lang w:val="en-US"/>
        </w:rPr>
        <w:t>amendments</w:t>
      </w:r>
      <w:r w:rsidRPr="004A7593">
        <w:rPr>
          <w:rFonts w:ascii="Arial" w:eastAsiaTheme="majorEastAsia" w:hAnsi="Arial" w:cs="Arial"/>
          <w:iCs/>
          <w:lang w:val="en-US"/>
        </w:rPr>
        <w:t xml:space="preserve"> to the Operational Directives</w:t>
      </w:r>
    </w:p>
    <w:p w14:paraId="21718AC1" w14:textId="77777777" w:rsidR="000E62D3" w:rsidRDefault="000E62D3">
      <w:pPr>
        <w:rPr>
          <w:rFonts w:ascii="Arial" w:eastAsia="SimSun" w:hAnsi="Arial" w:cs="Arial"/>
          <w:sz w:val="22"/>
          <w:szCs w:val="22"/>
          <w:u w:val="single"/>
          <w:lang w:val="en-GB"/>
        </w:rPr>
      </w:pPr>
    </w:p>
    <w:tbl>
      <w:tblPr>
        <w:tblStyle w:val="Grilledutablea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D34EC5" w:rsidRPr="00554E8A" w14:paraId="7DE4CB8F" w14:textId="77777777" w:rsidTr="00D34EC5">
        <w:tc>
          <w:tcPr>
            <w:tcW w:w="222" w:type="pct"/>
            <w:shd w:val="clear" w:color="auto" w:fill="BFBFBF" w:themeFill="background1" w:themeFillShade="BF"/>
          </w:tcPr>
          <w:p w14:paraId="175086B8" w14:textId="77777777" w:rsidR="00D34EC5" w:rsidRPr="00554E8A" w:rsidRDefault="00D34EC5" w:rsidP="00D34EC5">
            <w:pPr>
              <w:pStyle w:val="COMParaDecision"/>
              <w:spacing w:before="120"/>
              <w:jc w:val="right"/>
              <w:rPr>
                <w:b/>
                <w:u w:val="none"/>
              </w:rPr>
            </w:pPr>
          </w:p>
        </w:tc>
        <w:tc>
          <w:tcPr>
            <w:tcW w:w="2303" w:type="pct"/>
            <w:gridSpan w:val="2"/>
            <w:shd w:val="clear" w:color="auto" w:fill="BFBFBF" w:themeFill="background1" w:themeFillShade="BF"/>
          </w:tcPr>
          <w:p w14:paraId="074CFE10" w14:textId="10A458E6" w:rsidR="00D34EC5" w:rsidRPr="00554E8A" w:rsidRDefault="00D34EC5" w:rsidP="00D34EC5">
            <w:pPr>
              <w:pStyle w:val="COMParaDecision"/>
              <w:spacing w:before="120"/>
              <w:jc w:val="left"/>
              <w:rPr>
                <w:b/>
                <w:u w:val="none"/>
              </w:rPr>
            </w:pPr>
            <w:r>
              <w:rPr>
                <w:b/>
              </w:rPr>
              <w:t>Operational Directives</w:t>
            </w:r>
          </w:p>
        </w:tc>
        <w:tc>
          <w:tcPr>
            <w:tcW w:w="209" w:type="pct"/>
            <w:shd w:val="clear" w:color="auto" w:fill="BFBFBF" w:themeFill="background1" w:themeFillShade="BF"/>
          </w:tcPr>
          <w:p w14:paraId="2FBB6EA6" w14:textId="77777777" w:rsidR="00D34EC5" w:rsidRPr="00554E8A" w:rsidRDefault="00D34EC5" w:rsidP="00D34EC5">
            <w:pPr>
              <w:pStyle w:val="COMParaDecision"/>
              <w:spacing w:before="120"/>
              <w:jc w:val="right"/>
              <w:rPr>
                <w:b/>
                <w:u w:val="none"/>
              </w:rPr>
            </w:pPr>
          </w:p>
        </w:tc>
        <w:tc>
          <w:tcPr>
            <w:tcW w:w="2266" w:type="pct"/>
            <w:gridSpan w:val="2"/>
            <w:shd w:val="clear" w:color="auto" w:fill="BFBFBF" w:themeFill="background1" w:themeFillShade="BF"/>
          </w:tcPr>
          <w:p w14:paraId="4490B10B" w14:textId="0BF322F6" w:rsidR="00D34EC5" w:rsidRPr="00554E8A" w:rsidRDefault="00D34EC5" w:rsidP="00D34EC5">
            <w:pPr>
              <w:pStyle w:val="COMParaDecision"/>
              <w:spacing w:before="120"/>
              <w:jc w:val="left"/>
              <w:rPr>
                <w:b/>
                <w:u w:val="none"/>
              </w:rPr>
            </w:pPr>
            <w:r w:rsidRPr="00757B3D">
              <w:rPr>
                <w:b/>
              </w:rPr>
              <w:t>Proposed amendments</w:t>
            </w:r>
          </w:p>
        </w:tc>
      </w:tr>
      <w:tr w:rsidR="00D34EC5" w:rsidRPr="00554E8A" w14:paraId="72D264FF" w14:textId="77777777" w:rsidTr="00D34EC5">
        <w:tc>
          <w:tcPr>
            <w:tcW w:w="222" w:type="pct"/>
          </w:tcPr>
          <w:p w14:paraId="603F720A" w14:textId="77777777" w:rsidR="00D34EC5" w:rsidRPr="00554E8A" w:rsidRDefault="00D34EC5" w:rsidP="00D34EC5">
            <w:pPr>
              <w:pStyle w:val="COMParaDecision"/>
              <w:spacing w:before="120"/>
              <w:jc w:val="right"/>
              <w:rPr>
                <w:b/>
                <w:u w:val="none"/>
              </w:rPr>
            </w:pPr>
            <w:r w:rsidRPr="00554E8A">
              <w:rPr>
                <w:b/>
                <w:u w:val="none"/>
              </w:rPr>
              <w:t>I.15</w:t>
            </w:r>
          </w:p>
        </w:tc>
        <w:tc>
          <w:tcPr>
            <w:tcW w:w="2303" w:type="pct"/>
            <w:gridSpan w:val="2"/>
          </w:tcPr>
          <w:p w14:paraId="7D06E124" w14:textId="77777777" w:rsidR="00D34EC5" w:rsidRPr="00554E8A" w:rsidRDefault="00D34EC5" w:rsidP="00D34EC5">
            <w:pPr>
              <w:pStyle w:val="COMParaDecision"/>
              <w:spacing w:before="120"/>
              <w:jc w:val="left"/>
              <w:rPr>
                <w:b/>
                <w:u w:val="none"/>
              </w:rPr>
            </w:pPr>
            <w:r w:rsidRPr="00554E8A">
              <w:rPr>
                <w:b/>
                <w:u w:val="none"/>
              </w:rPr>
              <w:t>Timetable – Overview of procedures</w:t>
            </w:r>
          </w:p>
        </w:tc>
        <w:tc>
          <w:tcPr>
            <w:tcW w:w="209" w:type="pct"/>
          </w:tcPr>
          <w:p w14:paraId="0BF8176B" w14:textId="77777777" w:rsidR="00D34EC5" w:rsidRPr="00554E8A" w:rsidRDefault="00D34EC5" w:rsidP="00D34EC5">
            <w:pPr>
              <w:pStyle w:val="COMParaDecision"/>
              <w:spacing w:before="120"/>
              <w:jc w:val="right"/>
              <w:rPr>
                <w:b/>
                <w:u w:val="none"/>
              </w:rPr>
            </w:pPr>
            <w:r w:rsidRPr="00554E8A">
              <w:rPr>
                <w:b/>
                <w:u w:val="none"/>
              </w:rPr>
              <w:t>I.15</w:t>
            </w:r>
          </w:p>
        </w:tc>
        <w:tc>
          <w:tcPr>
            <w:tcW w:w="2266" w:type="pct"/>
            <w:gridSpan w:val="2"/>
          </w:tcPr>
          <w:p w14:paraId="47A728BB" w14:textId="09537D73" w:rsidR="00D34EC5" w:rsidRPr="00554E8A" w:rsidRDefault="00A03051" w:rsidP="00D34EC5">
            <w:pPr>
              <w:pStyle w:val="COMParaDecision"/>
              <w:spacing w:before="120"/>
              <w:jc w:val="left"/>
              <w:rPr>
                <w:b/>
              </w:rPr>
            </w:pPr>
            <w:r>
              <w:rPr>
                <w:u w:val="none"/>
              </w:rPr>
              <w:t>[No change.]</w:t>
            </w:r>
          </w:p>
        </w:tc>
      </w:tr>
      <w:tr w:rsidR="00D34EC5" w:rsidRPr="00C97D62" w14:paraId="3B5B0F66" w14:textId="77777777" w:rsidTr="00D34EC5">
        <w:tc>
          <w:tcPr>
            <w:tcW w:w="222" w:type="pct"/>
          </w:tcPr>
          <w:p w14:paraId="0C798D64" w14:textId="77777777" w:rsidR="00D34EC5" w:rsidRDefault="00D34EC5" w:rsidP="00D34EC5">
            <w:pPr>
              <w:pStyle w:val="COMParaDecision"/>
              <w:spacing w:before="120"/>
              <w:jc w:val="right"/>
              <w:rPr>
                <w:u w:val="none"/>
              </w:rPr>
            </w:pPr>
          </w:p>
        </w:tc>
        <w:tc>
          <w:tcPr>
            <w:tcW w:w="697" w:type="pct"/>
          </w:tcPr>
          <w:p w14:paraId="2E31E775" w14:textId="77777777" w:rsidR="00D34EC5" w:rsidRDefault="00D34EC5" w:rsidP="00D34EC5">
            <w:pPr>
              <w:pStyle w:val="COMParaDecision"/>
              <w:spacing w:before="120"/>
              <w:jc w:val="right"/>
              <w:rPr>
                <w:u w:val="none"/>
              </w:rPr>
            </w:pPr>
          </w:p>
        </w:tc>
        <w:tc>
          <w:tcPr>
            <w:tcW w:w="1606" w:type="pct"/>
          </w:tcPr>
          <w:p w14:paraId="4B893AD6" w14:textId="77777777" w:rsidR="00D34EC5" w:rsidRDefault="00D34EC5" w:rsidP="00D34EC5">
            <w:pPr>
              <w:pStyle w:val="COMParaDecision"/>
              <w:spacing w:before="120"/>
              <w:jc w:val="left"/>
              <w:rPr>
                <w:u w:val="none"/>
              </w:rPr>
            </w:pPr>
          </w:p>
        </w:tc>
        <w:tc>
          <w:tcPr>
            <w:tcW w:w="209" w:type="pct"/>
          </w:tcPr>
          <w:p w14:paraId="6AA2FA95" w14:textId="77777777" w:rsidR="00D34EC5" w:rsidRDefault="00D34EC5" w:rsidP="00D34EC5">
            <w:pPr>
              <w:pStyle w:val="COMParaDecision"/>
              <w:spacing w:before="120"/>
              <w:jc w:val="right"/>
              <w:rPr>
                <w:u w:val="none"/>
              </w:rPr>
            </w:pPr>
            <w:r>
              <w:rPr>
                <w:u w:val="none"/>
              </w:rPr>
              <w:t>54.</w:t>
            </w:r>
          </w:p>
        </w:tc>
        <w:tc>
          <w:tcPr>
            <w:tcW w:w="740" w:type="pct"/>
          </w:tcPr>
          <w:p w14:paraId="097413FA" w14:textId="77777777" w:rsidR="00D34EC5" w:rsidRPr="00474AAE" w:rsidRDefault="00D34EC5" w:rsidP="00D34EC5">
            <w:pPr>
              <w:pStyle w:val="COMParaDecision"/>
              <w:spacing w:before="120"/>
              <w:jc w:val="left"/>
              <w:rPr>
                <w:u w:val="none"/>
              </w:rPr>
            </w:pPr>
            <w:r>
              <w:rPr>
                <w:u w:val="none"/>
              </w:rPr>
              <w:t>[No change.]</w:t>
            </w:r>
          </w:p>
        </w:tc>
        <w:tc>
          <w:tcPr>
            <w:tcW w:w="1526" w:type="pct"/>
          </w:tcPr>
          <w:p w14:paraId="452F1C3C" w14:textId="77777777" w:rsidR="00D34EC5" w:rsidRPr="00C97D62" w:rsidRDefault="00D34EC5" w:rsidP="00D34EC5">
            <w:pPr>
              <w:pStyle w:val="COMParaDecision"/>
              <w:spacing w:before="120"/>
              <w:jc w:val="left"/>
              <w:rPr>
                <w:u w:val="none"/>
              </w:rPr>
            </w:pPr>
          </w:p>
        </w:tc>
      </w:tr>
      <w:tr w:rsidR="00D34EC5" w:rsidRPr="00C97D62" w14:paraId="43A3D3B4" w14:textId="77777777" w:rsidTr="00D34EC5">
        <w:tc>
          <w:tcPr>
            <w:tcW w:w="222" w:type="pct"/>
          </w:tcPr>
          <w:p w14:paraId="2F6AA195" w14:textId="77777777" w:rsidR="00D34EC5" w:rsidRPr="0009414C" w:rsidRDefault="00D34EC5" w:rsidP="00D34EC5">
            <w:pPr>
              <w:pStyle w:val="COMParaDecision"/>
              <w:spacing w:before="120"/>
              <w:jc w:val="right"/>
              <w:rPr>
                <w:u w:val="none"/>
              </w:rPr>
            </w:pPr>
            <w:r>
              <w:rPr>
                <w:u w:val="none"/>
              </w:rPr>
              <w:t>55.</w:t>
            </w:r>
          </w:p>
        </w:tc>
        <w:tc>
          <w:tcPr>
            <w:tcW w:w="697" w:type="pct"/>
          </w:tcPr>
          <w:p w14:paraId="28C5AFB1" w14:textId="77777777" w:rsidR="00D34EC5" w:rsidRPr="0009414C" w:rsidRDefault="00D34EC5" w:rsidP="00D34EC5">
            <w:pPr>
              <w:pStyle w:val="COMParaDecision"/>
              <w:spacing w:before="120"/>
              <w:jc w:val="right"/>
              <w:rPr>
                <w:u w:val="none"/>
              </w:rPr>
            </w:pPr>
            <w:r>
              <w:rPr>
                <w:u w:val="none"/>
              </w:rPr>
              <w:t>Phase 2:</w:t>
            </w:r>
          </w:p>
        </w:tc>
        <w:tc>
          <w:tcPr>
            <w:tcW w:w="1606" w:type="pct"/>
          </w:tcPr>
          <w:p w14:paraId="42F1D59E" w14:textId="77777777" w:rsidR="00D34EC5" w:rsidRPr="0009414C" w:rsidRDefault="00D34EC5" w:rsidP="00D34EC5">
            <w:pPr>
              <w:pStyle w:val="COMParaDecision"/>
              <w:spacing w:before="120"/>
              <w:jc w:val="left"/>
              <w:rPr>
                <w:u w:val="none"/>
              </w:rPr>
            </w:pPr>
            <w:r>
              <w:rPr>
                <w:u w:val="none"/>
              </w:rPr>
              <w:t>Evaluation</w:t>
            </w:r>
          </w:p>
        </w:tc>
        <w:tc>
          <w:tcPr>
            <w:tcW w:w="209" w:type="pct"/>
          </w:tcPr>
          <w:p w14:paraId="529CF0B4" w14:textId="77777777" w:rsidR="00D34EC5" w:rsidRPr="00474AAE" w:rsidRDefault="00D34EC5" w:rsidP="00D34EC5">
            <w:pPr>
              <w:pStyle w:val="COMParaDecision"/>
              <w:spacing w:before="120"/>
              <w:jc w:val="right"/>
              <w:rPr>
                <w:u w:val="none"/>
              </w:rPr>
            </w:pPr>
            <w:r>
              <w:rPr>
                <w:u w:val="none"/>
              </w:rPr>
              <w:t>55.</w:t>
            </w:r>
          </w:p>
        </w:tc>
        <w:tc>
          <w:tcPr>
            <w:tcW w:w="740" w:type="pct"/>
          </w:tcPr>
          <w:p w14:paraId="69CB0F37" w14:textId="77777777" w:rsidR="00D34EC5" w:rsidRPr="00474AAE" w:rsidRDefault="00D34EC5" w:rsidP="00D34EC5">
            <w:pPr>
              <w:pStyle w:val="COMParaDecision"/>
              <w:spacing w:before="120"/>
              <w:jc w:val="right"/>
              <w:rPr>
                <w:u w:val="none"/>
              </w:rPr>
            </w:pPr>
            <w:r w:rsidRPr="00474AAE">
              <w:rPr>
                <w:u w:val="none"/>
              </w:rPr>
              <w:t>Phase 2:</w:t>
            </w:r>
          </w:p>
        </w:tc>
        <w:tc>
          <w:tcPr>
            <w:tcW w:w="1526" w:type="pct"/>
          </w:tcPr>
          <w:p w14:paraId="2E13AB6A" w14:textId="1A18F231" w:rsidR="00D34EC5" w:rsidRPr="00C97D62" w:rsidRDefault="00D34EC5" w:rsidP="00D34EC5">
            <w:pPr>
              <w:pStyle w:val="COMParaDecision"/>
              <w:spacing w:before="120"/>
              <w:jc w:val="left"/>
              <w:rPr>
                <w:u w:val="none"/>
              </w:rPr>
            </w:pPr>
            <w:r w:rsidRPr="00C97D62">
              <w:rPr>
                <w:u w:val="none"/>
              </w:rPr>
              <w:t>Evaluation</w:t>
            </w:r>
          </w:p>
        </w:tc>
      </w:tr>
      <w:tr w:rsidR="00D34EC5" w:rsidRPr="000601DB" w14:paraId="79AC922A" w14:textId="77777777" w:rsidTr="00D34EC5">
        <w:tc>
          <w:tcPr>
            <w:tcW w:w="222" w:type="pct"/>
          </w:tcPr>
          <w:p w14:paraId="557E82ED" w14:textId="77777777" w:rsidR="00D34EC5" w:rsidRDefault="00D34EC5" w:rsidP="00D34EC5">
            <w:pPr>
              <w:pStyle w:val="COMParaDecision"/>
              <w:spacing w:before="120"/>
              <w:jc w:val="right"/>
              <w:rPr>
                <w:u w:val="none"/>
              </w:rPr>
            </w:pPr>
          </w:p>
        </w:tc>
        <w:tc>
          <w:tcPr>
            <w:tcW w:w="697" w:type="pct"/>
          </w:tcPr>
          <w:p w14:paraId="71718ECC" w14:textId="77777777" w:rsidR="00D34EC5" w:rsidRDefault="00D34EC5" w:rsidP="00D34EC5">
            <w:pPr>
              <w:pStyle w:val="COMParaDecision"/>
              <w:spacing w:before="120"/>
              <w:jc w:val="right"/>
              <w:rPr>
                <w:u w:val="none"/>
              </w:rPr>
            </w:pPr>
            <w:r>
              <w:rPr>
                <w:u w:val="none"/>
              </w:rPr>
              <w:t>December Year 1</w:t>
            </w:r>
            <w:r>
              <w:rPr>
                <w:u w:val="none"/>
              </w:rPr>
              <w:br/>
              <w:t>to May Year</w:t>
            </w:r>
            <w:r>
              <w:rPr>
                <w:u w:val="none"/>
                <w:lang w:val="en-US"/>
              </w:rPr>
              <w:t> </w:t>
            </w:r>
            <w:r>
              <w:rPr>
                <w:u w:val="none"/>
              </w:rPr>
              <w:t>2</w:t>
            </w:r>
          </w:p>
        </w:tc>
        <w:tc>
          <w:tcPr>
            <w:tcW w:w="1606" w:type="pct"/>
          </w:tcPr>
          <w:p w14:paraId="2C800AA4" w14:textId="77777777" w:rsidR="00D34EC5" w:rsidRDefault="00D34EC5" w:rsidP="00D34EC5">
            <w:pPr>
              <w:pStyle w:val="COMParaDecision"/>
              <w:spacing w:before="120"/>
              <w:jc w:val="left"/>
              <w:rPr>
                <w:u w:val="none"/>
              </w:rPr>
            </w:pPr>
            <w:r>
              <w:rPr>
                <w:u w:val="none"/>
              </w:rPr>
              <w:t>Evaluation of the files by the Evaluation Body.</w:t>
            </w:r>
          </w:p>
        </w:tc>
        <w:tc>
          <w:tcPr>
            <w:tcW w:w="209" w:type="pct"/>
          </w:tcPr>
          <w:p w14:paraId="47250A06" w14:textId="77777777" w:rsidR="00D34EC5" w:rsidRDefault="00D34EC5" w:rsidP="00D34EC5">
            <w:pPr>
              <w:pStyle w:val="COMParaDecision"/>
              <w:spacing w:before="120"/>
              <w:jc w:val="right"/>
              <w:rPr>
                <w:u w:val="none"/>
              </w:rPr>
            </w:pPr>
          </w:p>
        </w:tc>
        <w:tc>
          <w:tcPr>
            <w:tcW w:w="740" w:type="pct"/>
          </w:tcPr>
          <w:p w14:paraId="72FE56DA" w14:textId="0C0CECFB" w:rsidR="00D34EC5" w:rsidRPr="00450A45" w:rsidRDefault="00D34EC5" w:rsidP="00D34EC5">
            <w:pPr>
              <w:pStyle w:val="COMParaDecision"/>
              <w:spacing w:before="120"/>
              <w:jc w:val="right"/>
              <w:rPr>
                <w:u w:val="none"/>
                <w:lang w:val="en-US"/>
              </w:rPr>
            </w:pPr>
            <w:r w:rsidRPr="006D677A">
              <w:rPr>
                <w:u w:val="none"/>
              </w:rPr>
              <w:t>December</w:t>
            </w:r>
            <w:r>
              <w:rPr>
                <w:u w:val="none"/>
              </w:rPr>
              <w:t xml:space="preserve"> Year 1</w:t>
            </w:r>
            <w:r>
              <w:rPr>
                <w:u w:val="none"/>
                <w:lang w:val="en-US"/>
              </w:rPr>
              <w:br/>
              <w:t xml:space="preserve">to </w:t>
            </w:r>
            <w:r w:rsidRPr="00FD40EA">
              <w:rPr>
                <w:u w:val="none"/>
                <w:lang w:val="en-US"/>
              </w:rPr>
              <w:t>May</w:t>
            </w:r>
            <w:r>
              <w:rPr>
                <w:u w:val="none"/>
                <w:lang w:val="en-US"/>
              </w:rPr>
              <w:t xml:space="preserve"> </w:t>
            </w:r>
            <w:r w:rsidRPr="00F12738">
              <w:rPr>
                <w:u w:val="none"/>
                <w:lang w:val="en-US"/>
              </w:rPr>
              <w:t>Year</w:t>
            </w:r>
            <w:r>
              <w:rPr>
                <w:u w:val="none"/>
                <w:lang w:val="en-US"/>
              </w:rPr>
              <w:t> 2</w:t>
            </w:r>
          </w:p>
        </w:tc>
        <w:tc>
          <w:tcPr>
            <w:tcW w:w="1526" w:type="pct"/>
          </w:tcPr>
          <w:p w14:paraId="2256DEC3" w14:textId="77777777" w:rsidR="00D34EC5" w:rsidRPr="00607D97" w:rsidRDefault="00D34EC5" w:rsidP="00D34EC5">
            <w:pPr>
              <w:pStyle w:val="COMParaDecision"/>
              <w:spacing w:before="120"/>
              <w:jc w:val="left"/>
              <w:rPr>
                <w:u w:val="none"/>
                <w:lang w:val="en-US"/>
              </w:rPr>
            </w:pPr>
            <w:r w:rsidRPr="00A27AF9">
              <w:rPr>
                <w:b/>
                <w:lang w:val="en-US"/>
              </w:rPr>
              <w:t xml:space="preserve">Individual </w:t>
            </w:r>
            <w:r>
              <w:rPr>
                <w:u w:val="none"/>
                <w:lang w:val="en-US"/>
              </w:rPr>
              <w:t>e</w:t>
            </w:r>
            <w:r w:rsidRPr="00607D97">
              <w:rPr>
                <w:u w:val="none"/>
                <w:lang w:val="en-US"/>
              </w:rPr>
              <w:t>valuation of the files by the Evaluation Body</w:t>
            </w:r>
            <w:r>
              <w:rPr>
                <w:u w:val="none"/>
                <w:lang w:val="en-US"/>
              </w:rPr>
              <w:t xml:space="preserve"> </w:t>
            </w:r>
            <w:r w:rsidRPr="00F12738">
              <w:rPr>
                <w:b/>
                <w:lang w:val="en-US"/>
              </w:rPr>
              <w:t>members</w:t>
            </w:r>
            <w:r>
              <w:rPr>
                <w:u w:val="none"/>
                <w:lang w:val="en-US"/>
              </w:rPr>
              <w:t>.</w:t>
            </w:r>
          </w:p>
        </w:tc>
      </w:tr>
      <w:tr w:rsidR="00D34EC5" w:rsidRPr="000601DB" w14:paraId="2840AA93" w14:textId="77777777" w:rsidTr="00D34EC5">
        <w:tc>
          <w:tcPr>
            <w:tcW w:w="222" w:type="pct"/>
          </w:tcPr>
          <w:p w14:paraId="6C703F5B" w14:textId="77777777" w:rsidR="00D34EC5" w:rsidRDefault="00D34EC5" w:rsidP="00D34EC5">
            <w:pPr>
              <w:pStyle w:val="COMParaDecision"/>
              <w:spacing w:before="120"/>
              <w:jc w:val="right"/>
              <w:rPr>
                <w:u w:val="none"/>
              </w:rPr>
            </w:pPr>
          </w:p>
        </w:tc>
        <w:tc>
          <w:tcPr>
            <w:tcW w:w="697" w:type="pct"/>
          </w:tcPr>
          <w:p w14:paraId="293B67B1" w14:textId="77777777" w:rsidR="00D34EC5" w:rsidRDefault="00D34EC5" w:rsidP="00D34EC5">
            <w:pPr>
              <w:pStyle w:val="COMParaDecision"/>
              <w:spacing w:before="120"/>
              <w:jc w:val="right"/>
              <w:rPr>
                <w:u w:val="none"/>
              </w:rPr>
            </w:pPr>
            <w:r>
              <w:rPr>
                <w:u w:val="none"/>
              </w:rPr>
              <w:t>April – June</w:t>
            </w:r>
            <w:r>
              <w:rPr>
                <w:u w:val="none"/>
              </w:rPr>
              <w:br/>
              <w:t>Year 2</w:t>
            </w:r>
          </w:p>
        </w:tc>
        <w:tc>
          <w:tcPr>
            <w:tcW w:w="1606" w:type="pct"/>
          </w:tcPr>
          <w:p w14:paraId="6705BED9" w14:textId="77777777" w:rsidR="00D34EC5" w:rsidRDefault="00D34EC5" w:rsidP="00D34EC5">
            <w:pPr>
              <w:pStyle w:val="COMParaDecision"/>
              <w:spacing w:before="120"/>
              <w:jc w:val="left"/>
              <w:rPr>
                <w:u w:val="none"/>
              </w:rPr>
            </w:pPr>
            <w:r>
              <w:rPr>
                <w:u w:val="none"/>
              </w:rPr>
              <w:t>Meeting for final evaluation by the Evaluation Body.</w:t>
            </w:r>
          </w:p>
        </w:tc>
        <w:tc>
          <w:tcPr>
            <w:tcW w:w="209" w:type="pct"/>
          </w:tcPr>
          <w:p w14:paraId="62778AF5" w14:textId="77777777" w:rsidR="00D34EC5" w:rsidRDefault="00D34EC5" w:rsidP="00D34EC5">
            <w:pPr>
              <w:pStyle w:val="COMParaDecision"/>
              <w:spacing w:before="120"/>
              <w:jc w:val="right"/>
              <w:rPr>
                <w:u w:val="none"/>
              </w:rPr>
            </w:pPr>
          </w:p>
        </w:tc>
        <w:tc>
          <w:tcPr>
            <w:tcW w:w="740" w:type="pct"/>
          </w:tcPr>
          <w:p w14:paraId="1F1ACA13" w14:textId="12E9D475" w:rsidR="00D34EC5" w:rsidRDefault="00D34EC5" w:rsidP="00D34EC5">
            <w:pPr>
              <w:pStyle w:val="COMParaDecision"/>
              <w:spacing w:before="120"/>
              <w:jc w:val="right"/>
              <w:rPr>
                <w:u w:val="none"/>
              </w:rPr>
            </w:pPr>
            <w:r w:rsidRPr="00FD40EA">
              <w:rPr>
                <w:u w:val="none"/>
              </w:rPr>
              <w:t>June</w:t>
            </w:r>
            <w:r>
              <w:rPr>
                <w:u w:val="none"/>
              </w:rPr>
              <w:br/>
              <w:t>Year 2</w:t>
            </w:r>
          </w:p>
        </w:tc>
        <w:tc>
          <w:tcPr>
            <w:tcW w:w="1526" w:type="pct"/>
          </w:tcPr>
          <w:p w14:paraId="3D9EB59B" w14:textId="77777777" w:rsidR="00D34EC5" w:rsidRDefault="00D34EC5" w:rsidP="00A9475B">
            <w:pPr>
              <w:pStyle w:val="COMParaDecision"/>
              <w:spacing w:before="120"/>
              <w:jc w:val="left"/>
              <w:rPr>
                <w:b/>
              </w:rPr>
            </w:pPr>
            <w:r w:rsidRPr="00FD40EA">
              <w:rPr>
                <w:u w:val="none"/>
              </w:rPr>
              <w:t>Meeting</w:t>
            </w:r>
            <w:r w:rsidRPr="00FD40EA">
              <w:rPr>
                <w:b/>
                <w:u w:val="none"/>
              </w:rPr>
              <w:t xml:space="preserve"> </w:t>
            </w:r>
            <w:r w:rsidRPr="00FD40EA">
              <w:rPr>
                <w:strike/>
                <w:u w:val="none"/>
              </w:rPr>
              <w:t>for final evaluation by the Evaluation Body</w:t>
            </w:r>
            <w:r>
              <w:rPr>
                <w:b/>
                <w:u w:val="none"/>
              </w:rPr>
              <w:t xml:space="preserve"> </w:t>
            </w:r>
            <w:r>
              <w:rPr>
                <w:b/>
              </w:rPr>
              <w:t xml:space="preserve">at which the Evaluation Body </w:t>
            </w:r>
            <w:r w:rsidRPr="00FD40EA">
              <w:rPr>
                <w:b/>
              </w:rPr>
              <w:t xml:space="preserve">collectively </w:t>
            </w:r>
            <w:r w:rsidR="00A04E41" w:rsidRPr="00FD40EA">
              <w:rPr>
                <w:b/>
              </w:rPr>
              <w:t>finalizes its evaluation of the files</w:t>
            </w:r>
            <w:r w:rsidR="00A04E41">
              <w:rPr>
                <w:b/>
              </w:rPr>
              <w:t xml:space="preserve"> and </w:t>
            </w:r>
            <w:r w:rsidRPr="00FD40EA">
              <w:rPr>
                <w:b/>
              </w:rPr>
              <w:t>decid</w:t>
            </w:r>
            <w:r>
              <w:rPr>
                <w:b/>
              </w:rPr>
              <w:t>es</w:t>
            </w:r>
            <w:r w:rsidRPr="00FD40EA">
              <w:rPr>
                <w:b/>
              </w:rPr>
              <w:t xml:space="preserve"> which files will be included in the dialogue process</w:t>
            </w:r>
            <w:r w:rsidR="00A04E41">
              <w:rPr>
                <w:b/>
              </w:rPr>
              <w:t>. Only the evaluation of those files included in the dialogue process</w:t>
            </w:r>
            <w:r w:rsidRPr="00FD40EA">
              <w:rPr>
                <w:b/>
              </w:rPr>
              <w:t xml:space="preserve"> </w:t>
            </w:r>
            <w:r w:rsidR="00A04E41">
              <w:rPr>
                <w:b/>
              </w:rPr>
              <w:t xml:space="preserve">will </w:t>
            </w:r>
            <w:r w:rsidR="00A9475B">
              <w:rPr>
                <w:b/>
              </w:rPr>
              <w:t xml:space="preserve">still be </w:t>
            </w:r>
            <w:r w:rsidR="00A04E41">
              <w:rPr>
                <w:b/>
              </w:rPr>
              <w:t>pending until the final meeting of the Evaluation Body.</w:t>
            </w:r>
          </w:p>
          <w:p w14:paraId="61C6F20C" w14:textId="23FE3CE5" w:rsidR="0032107E" w:rsidRPr="00A715E5" w:rsidRDefault="00A715E5">
            <w:pPr>
              <w:pStyle w:val="COMParaDecision"/>
              <w:spacing w:before="120"/>
              <w:jc w:val="left"/>
              <w:rPr>
                <w:b/>
                <w:u w:val="none"/>
              </w:rPr>
            </w:pPr>
            <w:r w:rsidRPr="004A190D">
              <w:rPr>
                <w:rFonts w:eastAsia="Times New Roman"/>
                <w:b/>
                <w:lang w:val="en-US"/>
              </w:rPr>
              <w:t xml:space="preserve">The dialogue process </w:t>
            </w:r>
            <w:r w:rsidR="000D302E">
              <w:rPr>
                <w:rFonts w:eastAsia="Times New Roman"/>
                <w:b/>
                <w:lang w:val="en-US"/>
              </w:rPr>
              <w:t>is initiated when the Evaluation Body considers that a short question and answer process with the submitting State(s), conducted in writing through the Secretariat, could influence the result of its evaluation.</w:t>
            </w:r>
          </w:p>
        </w:tc>
      </w:tr>
      <w:tr w:rsidR="00D34EC5" w:rsidRPr="000601DB" w14:paraId="0DCF4344" w14:textId="77777777" w:rsidTr="00D34EC5">
        <w:tc>
          <w:tcPr>
            <w:tcW w:w="222" w:type="pct"/>
          </w:tcPr>
          <w:p w14:paraId="53DC98AD" w14:textId="77777777" w:rsidR="00D34EC5" w:rsidRDefault="00D34EC5" w:rsidP="00D34EC5">
            <w:pPr>
              <w:pStyle w:val="COMParaDecision"/>
              <w:spacing w:before="120"/>
              <w:jc w:val="right"/>
              <w:rPr>
                <w:u w:val="none"/>
              </w:rPr>
            </w:pPr>
          </w:p>
        </w:tc>
        <w:tc>
          <w:tcPr>
            <w:tcW w:w="697" w:type="pct"/>
          </w:tcPr>
          <w:p w14:paraId="50DA056E" w14:textId="77777777" w:rsidR="00D34EC5" w:rsidRDefault="00D34EC5" w:rsidP="00D34EC5">
            <w:pPr>
              <w:pStyle w:val="COMParaDecision"/>
              <w:spacing w:before="120"/>
              <w:jc w:val="right"/>
              <w:rPr>
                <w:u w:val="none"/>
              </w:rPr>
            </w:pPr>
          </w:p>
        </w:tc>
        <w:tc>
          <w:tcPr>
            <w:tcW w:w="1606" w:type="pct"/>
          </w:tcPr>
          <w:p w14:paraId="570F2BF8" w14:textId="77777777" w:rsidR="00D34EC5" w:rsidRDefault="00D34EC5" w:rsidP="00D34EC5">
            <w:pPr>
              <w:pStyle w:val="COMParaDecision"/>
              <w:spacing w:before="120"/>
              <w:jc w:val="left"/>
              <w:rPr>
                <w:u w:val="none"/>
              </w:rPr>
            </w:pPr>
          </w:p>
        </w:tc>
        <w:tc>
          <w:tcPr>
            <w:tcW w:w="209" w:type="pct"/>
          </w:tcPr>
          <w:p w14:paraId="7C16AF38" w14:textId="77777777" w:rsidR="00D34EC5" w:rsidRDefault="00D34EC5" w:rsidP="00D34EC5">
            <w:pPr>
              <w:pStyle w:val="COMParaDecision"/>
              <w:spacing w:before="120"/>
              <w:jc w:val="right"/>
              <w:rPr>
                <w:u w:val="none"/>
              </w:rPr>
            </w:pPr>
          </w:p>
        </w:tc>
        <w:tc>
          <w:tcPr>
            <w:tcW w:w="740" w:type="pct"/>
          </w:tcPr>
          <w:p w14:paraId="0D4CE74A" w14:textId="4466B7E6" w:rsidR="00D34EC5" w:rsidRPr="00F37497" w:rsidRDefault="00D34EC5" w:rsidP="00D34EC5">
            <w:pPr>
              <w:pStyle w:val="COMParaDecision"/>
              <w:spacing w:before="120"/>
              <w:jc w:val="right"/>
              <w:rPr>
                <w:b/>
              </w:rPr>
            </w:pPr>
            <w:r>
              <w:rPr>
                <w:b/>
              </w:rPr>
              <w:t>Two weeks after the June meeting</w:t>
            </w:r>
            <w:r w:rsidRPr="00F37497">
              <w:rPr>
                <w:b/>
              </w:rPr>
              <w:t xml:space="preserve"> </w:t>
            </w:r>
            <w:r w:rsidRPr="00F37497">
              <w:rPr>
                <w:b/>
              </w:rPr>
              <w:br/>
              <w:t>Year 2</w:t>
            </w:r>
          </w:p>
        </w:tc>
        <w:tc>
          <w:tcPr>
            <w:tcW w:w="1526" w:type="pct"/>
          </w:tcPr>
          <w:p w14:paraId="5A51C3BE" w14:textId="6CD46348" w:rsidR="00D34EC5" w:rsidRPr="00F37497" w:rsidRDefault="00D34EC5" w:rsidP="00A04E41">
            <w:pPr>
              <w:pStyle w:val="COMParaDecision"/>
              <w:spacing w:before="120"/>
              <w:jc w:val="left"/>
              <w:rPr>
                <w:b/>
              </w:rPr>
            </w:pPr>
            <w:r>
              <w:rPr>
                <w:b/>
              </w:rPr>
              <w:t>Deadline by which the</w:t>
            </w:r>
            <w:r w:rsidRPr="00400108">
              <w:rPr>
                <w:b/>
              </w:rPr>
              <w:t xml:space="preserve"> </w:t>
            </w:r>
            <w:r>
              <w:rPr>
                <w:b/>
              </w:rPr>
              <w:t>Evaluation Body</w:t>
            </w:r>
            <w:r w:rsidRPr="00400108">
              <w:rPr>
                <w:b/>
              </w:rPr>
              <w:t xml:space="preserve"> </w:t>
            </w:r>
            <w:r w:rsidR="00A04E41">
              <w:rPr>
                <w:b/>
              </w:rPr>
              <w:t xml:space="preserve">shall transmit, </w:t>
            </w:r>
            <w:r>
              <w:rPr>
                <w:b/>
              </w:rPr>
              <w:t>through the Secretariat,</w:t>
            </w:r>
            <w:r w:rsidRPr="00400108">
              <w:rPr>
                <w:b/>
              </w:rPr>
              <w:t xml:space="preserve"> </w:t>
            </w:r>
            <w:r>
              <w:rPr>
                <w:b/>
              </w:rPr>
              <w:t xml:space="preserve">its questions </w:t>
            </w:r>
            <w:r w:rsidRPr="00400108">
              <w:rPr>
                <w:b/>
              </w:rPr>
              <w:t xml:space="preserve">to </w:t>
            </w:r>
            <w:r>
              <w:rPr>
                <w:b/>
              </w:rPr>
              <w:t xml:space="preserve">the </w:t>
            </w:r>
            <w:r w:rsidRPr="00400108">
              <w:rPr>
                <w:b/>
              </w:rPr>
              <w:t>States Parties</w:t>
            </w:r>
            <w:r>
              <w:rPr>
                <w:b/>
              </w:rPr>
              <w:t xml:space="preserve"> concerned by the dialogue process</w:t>
            </w:r>
            <w:r w:rsidRPr="00400108">
              <w:rPr>
                <w:b/>
              </w:rPr>
              <w:t>, in one of the two working languages of the Convention.</w:t>
            </w:r>
          </w:p>
        </w:tc>
      </w:tr>
      <w:tr w:rsidR="00D34EC5" w:rsidRPr="000601DB" w14:paraId="231BCC78" w14:textId="77777777" w:rsidTr="00D34EC5">
        <w:tc>
          <w:tcPr>
            <w:tcW w:w="222" w:type="pct"/>
          </w:tcPr>
          <w:p w14:paraId="6354491D" w14:textId="77777777" w:rsidR="00D34EC5" w:rsidRDefault="00D34EC5" w:rsidP="00D34EC5">
            <w:pPr>
              <w:pStyle w:val="COMParaDecision"/>
              <w:spacing w:before="120"/>
              <w:jc w:val="right"/>
              <w:rPr>
                <w:u w:val="none"/>
              </w:rPr>
            </w:pPr>
          </w:p>
        </w:tc>
        <w:tc>
          <w:tcPr>
            <w:tcW w:w="697" w:type="pct"/>
          </w:tcPr>
          <w:p w14:paraId="3385CD54" w14:textId="77777777" w:rsidR="00D34EC5" w:rsidRDefault="00D34EC5" w:rsidP="00D34EC5">
            <w:pPr>
              <w:pStyle w:val="COMParaDecision"/>
              <w:spacing w:before="120"/>
              <w:jc w:val="right"/>
              <w:rPr>
                <w:u w:val="none"/>
              </w:rPr>
            </w:pPr>
          </w:p>
        </w:tc>
        <w:tc>
          <w:tcPr>
            <w:tcW w:w="1606" w:type="pct"/>
          </w:tcPr>
          <w:p w14:paraId="2F22E9A8" w14:textId="77777777" w:rsidR="00D34EC5" w:rsidRDefault="00D34EC5" w:rsidP="00D34EC5">
            <w:pPr>
              <w:pStyle w:val="COMParaDecision"/>
              <w:spacing w:before="120"/>
              <w:jc w:val="left"/>
              <w:rPr>
                <w:u w:val="none"/>
              </w:rPr>
            </w:pPr>
          </w:p>
        </w:tc>
        <w:tc>
          <w:tcPr>
            <w:tcW w:w="209" w:type="pct"/>
          </w:tcPr>
          <w:p w14:paraId="696A9936" w14:textId="77777777" w:rsidR="00D34EC5" w:rsidRDefault="00D34EC5" w:rsidP="00D34EC5">
            <w:pPr>
              <w:pStyle w:val="COMParaDecision"/>
              <w:spacing w:before="120"/>
              <w:jc w:val="right"/>
              <w:rPr>
                <w:u w:val="none"/>
              </w:rPr>
            </w:pPr>
          </w:p>
        </w:tc>
        <w:tc>
          <w:tcPr>
            <w:tcW w:w="740" w:type="pct"/>
          </w:tcPr>
          <w:p w14:paraId="39849BE3" w14:textId="4F5093CB" w:rsidR="00D34EC5" w:rsidRPr="00F37497" w:rsidRDefault="00D34EC5" w:rsidP="00D34EC5">
            <w:pPr>
              <w:pStyle w:val="COMParaDecision"/>
              <w:spacing w:before="120"/>
              <w:rPr>
                <w:b/>
              </w:rPr>
            </w:pPr>
          </w:p>
        </w:tc>
        <w:tc>
          <w:tcPr>
            <w:tcW w:w="1526" w:type="pct"/>
          </w:tcPr>
          <w:p w14:paraId="2F5D2331" w14:textId="15D2B432" w:rsidR="00D34EC5" w:rsidRPr="00F37497" w:rsidRDefault="00D34EC5" w:rsidP="00D34EC5">
            <w:pPr>
              <w:pStyle w:val="COMParaDecision"/>
              <w:spacing w:before="120"/>
              <w:jc w:val="left"/>
              <w:rPr>
                <w:b/>
                <w:lang w:val="en-US"/>
              </w:rPr>
            </w:pPr>
            <w:r>
              <w:rPr>
                <w:b/>
                <w:lang w:val="en-US"/>
              </w:rPr>
              <w:t>States Parties shall respond to the requests of the Evaluation Body, through the Secretariat, within four weeks following the receipt of the letter,</w:t>
            </w:r>
            <w:r>
              <w:rPr>
                <w:b/>
              </w:rPr>
              <w:t xml:space="preserve"> in</w:t>
            </w:r>
            <w:r w:rsidRPr="00400108">
              <w:rPr>
                <w:b/>
              </w:rPr>
              <w:t xml:space="preserve"> the two work</w:t>
            </w:r>
            <w:r>
              <w:rPr>
                <w:b/>
              </w:rPr>
              <w:t>ing languages of the Convention</w:t>
            </w:r>
            <w:r>
              <w:rPr>
                <w:b/>
                <w:lang w:val="en-US"/>
              </w:rPr>
              <w:t>.</w:t>
            </w:r>
          </w:p>
        </w:tc>
      </w:tr>
      <w:tr w:rsidR="00D34EC5" w:rsidRPr="000601DB" w14:paraId="359FBB24" w14:textId="77777777" w:rsidTr="00D34EC5">
        <w:tc>
          <w:tcPr>
            <w:tcW w:w="222" w:type="pct"/>
          </w:tcPr>
          <w:p w14:paraId="7C7FDDE0" w14:textId="77777777" w:rsidR="00D34EC5" w:rsidRDefault="00D34EC5" w:rsidP="00D34EC5">
            <w:pPr>
              <w:pStyle w:val="COMParaDecision"/>
              <w:spacing w:before="120"/>
              <w:jc w:val="right"/>
              <w:rPr>
                <w:u w:val="none"/>
              </w:rPr>
            </w:pPr>
          </w:p>
        </w:tc>
        <w:tc>
          <w:tcPr>
            <w:tcW w:w="697" w:type="pct"/>
          </w:tcPr>
          <w:p w14:paraId="506FC2C0" w14:textId="77777777" w:rsidR="00D34EC5" w:rsidRDefault="00D34EC5" w:rsidP="00D34EC5">
            <w:pPr>
              <w:pStyle w:val="COMParaDecision"/>
              <w:spacing w:before="120"/>
              <w:jc w:val="right"/>
              <w:rPr>
                <w:u w:val="none"/>
              </w:rPr>
            </w:pPr>
          </w:p>
        </w:tc>
        <w:tc>
          <w:tcPr>
            <w:tcW w:w="1606" w:type="pct"/>
          </w:tcPr>
          <w:p w14:paraId="6A8F1AA3" w14:textId="77777777" w:rsidR="00D34EC5" w:rsidRDefault="00D34EC5" w:rsidP="00D34EC5">
            <w:pPr>
              <w:pStyle w:val="COMParaDecision"/>
              <w:spacing w:before="120"/>
              <w:jc w:val="left"/>
              <w:rPr>
                <w:u w:val="none"/>
              </w:rPr>
            </w:pPr>
          </w:p>
        </w:tc>
        <w:tc>
          <w:tcPr>
            <w:tcW w:w="209" w:type="pct"/>
          </w:tcPr>
          <w:p w14:paraId="0EFDC5B8" w14:textId="77777777" w:rsidR="00D34EC5" w:rsidRDefault="00D34EC5" w:rsidP="00D34EC5">
            <w:pPr>
              <w:pStyle w:val="COMParaDecision"/>
              <w:spacing w:before="120"/>
              <w:jc w:val="right"/>
              <w:rPr>
                <w:u w:val="none"/>
              </w:rPr>
            </w:pPr>
          </w:p>
        </w:tc>
        <w:tc>
          <w:tcPr>
            <w:tcW w:w="740" w:type="pct"/>
          </w:tcPr>
          <w:p w14:paraId="3896E9E7" w14:textId="77777777" w:rsidR="00D34EC5" w:rsidRDefault="00D34EC5" w:rsidP="00D34EC5">
            <w:pPr>
              <w:pStyle w:val="COMParaDecision"/>
              <w:spacing w:before="120"/>
              <w:jc w:val="right"/>
              <w:rPr>
                <w:b/>
              </w:rPr>
            </w:pPr>
            <w:r>
              <w:rPr>
                <w:b/>
              </w:rPr>
              <w:t>Latest by September Year 2</w:t>
            </w:r>
          </w:p>
        </w:tc>
        <w:tc>
          <w:tcPr>
            <w:tcW w:w="1526" w:type="pct"/>
          </w:tcPr>
          <w:p w14:paraId="10981664" w14:textId="771E9C99" w:rsidR="00D34EC5" w:rsidRDefault="0032107E" w:rsidP="00A9475B">
            <w:pPr>
              <w:pStyle w:val="COMParaDecision"/>
              <w:spacing w:before="120"/>
              <w:jc w:val="left"/>
              <w:rPr>
                <w:b/>
                <w:lang w:val="en-US"/>
              </w:rPr>
            </w:pPr>
            <w:r w:rsidRPr="0032107E">
              <w:rPr>
                <w:b/>
                <w:lang w:val="en-US"/>
              </w:rPr>
              <w:t>Meeting at which the Evaluation Body finalizes its evaluation of the files concerned by the dialogue process and its report on the evaluation of all files</w:t>
            </w:r>
            <w:r>
              <w:rPr>
                <w:b/>
                <w:lang w:val="en-US"/>
              </w:rPr>
              <w:t>.</w:t>
            </w:r>
          </w:p>
        </w:tc>
      </w:tr>
      <w:tr w:rsidR="00D34EC5" w:rsidRPr="000601DB" w14:paraId="1C923D9F" w14:textId="77777777" w:rsidTr="00D34EC5">
        <w:tc>
          <w:tcPr>
            <w:tcW w:w="222" w:type="pct"/>
          </w:tcPr>
          <w:p w14:paraId="4BDB327D" w14:textId="77777777" w:rsidR="00D34EC5" w:rsidRDefault="00D34EC5" w:rsidP="00D34EC5">
            <w:pPr>
              <w:pStyle w:val="COMParaDecision"/>
              <w:spacing w:before="120"/>
              <w:jc w:val="right"/>
              <w:rPr>
                <w:u w:val="none"/>
              </w:rPr>
            </w:pPr>
          </w:p>
        </w:tc>
        <w:tc>
          <w:tcPr>
            <w:tcW w:w="697" w:type="pct"/>
          </w:tcPr>
          <w:p w14:paraId="332CBA28" w14:textId="77777777" w:rsidR="00D34EC5" w:rsidRDefault="00D34EC5" w:rsidP="00D34EC5">
            <w:pPr>
              <w:pStyle w:val="COMParaDecision"/>
              <w:spacing w:before="120"/>
              <w:jc w:val="right"/>
              <w:rPr>
                <w:u w:val="none"/>
              </w:rPr>
            </w:pPr>
            <w:r>
              <w:rPr>
                <w:u w:val="none"/>
              </w:rPr>
              <w:t>Four weeks prior to the session of the Committee</w:t>
            </w:r>
          </w:p>
        </w:tc>
        <w:tc>
          <w:tcPr>
            <w:tcW w:w="1606" w:type="pct"/>
          </w:tcPr>
          <w:p w14:paraId="55EE54B7" w14:textId="0CED95C6" w:rsidR="00D34EC5" w:rsidRDefault="00D34EC5" w:rsidP="00D34EC5">
            <w:pPr>
              <w:pStyle w:val="COMParaDecision"/>
              <w:spacing w:before="120"/>
              <w:jc w:val="left"/>
              <w:rPr>
                <w:u w:val="none"/>
              </w:rPr>
            </w:pPr>
            <w:r>
              <w:rPr>
                <w:u w:val="none"/>
              </w:rPr>
              <w:t>The Secretariat transmits the evaluation reports to the members of the Committee and makes them available online for consultation.</w:t>
            </w:r>
          </w:p>
        </w:tc>
        <w:tc>
          <w:tcPr>
            <w:tcW w:w="209" w:type="pct"/>
          </w:tcPr>
          <w:p w14:paraId="3334D58F" w14:textId="77777777" w:rsidR="00D34EC5" w:rsidRDefault="00D34EC5" w:rsidP="00D34EC5">
            <w:pPr>
              <w:pStyle w:val="COMParaDecision"/>
              <w:spacing w:before="120"/>
              <w:jc w:val="right"/>
              <w:rPr>
                <w:u w:val="none"/>
              </w:rPr>
            </w:pPr>
          </w:p>
        </w:tc>
        <w:tc>
          <w:tcPr>
            <w:tcW w:w="740" w:type="pct"/>
          </w:tcPr>
          <w:p w14:paraId="0CF1AA11" w14:textId="77777777" w:rsidR="00D34EC5" w:rsidRDefault="00D34EC5" w:rsidP="00D34EC5">
            <w:pPr>
              <w:pStyle w:val="COMParaDecision"/>
              <w:spacing w:before="120"/>
              <w:jc w:val="right"/>
              <w:rPr>
                <w:u w:val="none"/>
              </w:rPr>
            </w:pPr>
            <w:r>
              <w:rPr>
                <w:u w:val="none"/>
              </w:rPr>
              <w:t>Four weeks prior to the session of the Committee</w:t>
            </w:r>
          </w:p>
        </w:tc>
        <w:tc>
          <w:tcPr>
            <w:tcW w:w="1526" w:type="pct"/>
          </w:tcPr>
          <w:p w14:paraId="2E15FCDC" w14:textId="77777777" w:rsidR="00D34EC5" w:rsidRDefault="00D34EC5" w:rsidP="00D34EC5">
            <w:pPr>
              <w:pStyle w:val="COMParaDecision"/>
              <w:spacing w:before="120"/>
              <w:jc w:val="left"/>
              <w:rPr>
                <w:u w:val="none"/>
              </w:rPr>
            </w:pPr>
            <w:r>
              <w:rPr>
                <w:u w:val="none"/>
              </w:rPr>
              <w:t>The Secretariat transmits the evaluation reports to the members of the Committee and makes them available online for consultation.</w:t>
            </w:r>
          </w:p>
        </w:tc>
      </w:tr>
      <w:tr w:rsidR="00D34EC5" w:rsidRPr="0009414C" w14:paraId="301C4364" w14:textId="77777777" w:rsidTr="00D34EC5">
        <w:tc>
          <w:tcPr>
            <w:tcW w:w="222" w:type="pct"/>
          </w:tcPr>
          <w:p w14:paraId="3152AAFE" w14:textId="77777777" w:rsidR="00D34EC5" w:rsidRDefault="00D34EC5" w:rsidP="00D34EC5">
            <w:pPr>
              <w:pStyle w:val="COMParaDecision"/>
              <w:spacing w:before="120"/>
              <w:jc w:val="right"/>
              <w:rPr>
                <w:u w:val="none"/>
              </w:rPr>
            </w:pPr>
            <w:r>
              <w:rPr>
                <w:u w:val="none"/>
              </w:rPr>
              <w:t>56.</w:t>
            </w:r>
          </w:p>
        </w:tc>
        <w:tc>
          <w:tcPr>
            <w:tcW w:w="697" w:type="pct"/>
          </w:tcPr>
          <w:p w14:paraId="4B76AEE2" w14:textId="77777777" w:rsidR="00D34EC5" w:rsidRDefault="00D34EC5" w:rsidP="00D34EC5">
            <w:pPr>
              <w:pStyle w:val="COMParaDecision"/>
              <w:spacing w:before="120"/>
              <w:jc w:val="right"/>
              <w:rPr>
                <w:u w:val="none"/>
              </w:rPr>
            </w:pPr>
            <w:r>
              <w:rPr>
                <w:u w:val="none"/>
              </w:rPr>
              <w:t>Phase 3:</w:t>
            </w:r>
          </w:p>
        </w:tc>
        <w:tc>
          <w:tcPr>
            <w:tcW w:w="1606" w:type="pct"/>
          </w:tcPr>
          <w:p w14:paraId="2320016D" w14:textId="77777777" w:rsidR="00D34EC5" w:rsidRDefault="00D34EC5" w:rsidP="00D34EC5">
            <w:pPr>
              <w:pStyle w:val="COMParaDecision"/>
              <w:spacing w:before="120"/>
              <w:jc w:val="left"/>
              <w:rPr>
                <w:u w:val="none"/>
              </w:rPr>
            </w:pPr>
            <w:r>
              <w:rPr>
                <w:u w:val="none"/>
              </w:rPr>
              <w:t>Examination</w:t>
            </w:r>
          </w:p>
        </w:tc>
        <w:tc>
          <w:tcPr>
            <w:tcW w:w="209" w:type="pct"/>
          </w:tcPr>
          <w:p w14:paraId="1DE3669A" w14:textId="77777777" w:rsidR="00D34EC5" w:rsidRDefault="00D34EC5" w:rsidP="00D34EC5">
            <w:pPr>
              <w:pStyle w:val="COMParaDecision"/>
              <w:spacing w:before="120"/>
              <w:jc w:val="right"/>
              <w:rPr>
                <w:u w:val="none"/>
              </w:rPr>
            </w:pPr>
            <w:r>
              <w:rPr>
                <w:u w:val="none"/>
              </w:rPr>
              <w:t>56.</w:t>
            </w:r>
          </w:p>
        </w:tc>
        <w:tc>
          <w:tcPr>
            <w:tcW w:w="740" w:type="pct"/>
          </w:tcPr>
          <w:p w14:paraId="37E3D7AB" w14:textId="77777777" w:rsidR="00D34EC5" w:rsidRPr="00474AAE" w:rsidRDefault="00D34EC5" w:rsidP="00D34EC5">
            <w:pPr>
              <w:pStyle w:val="COMParaDecision"/>
              <w:spacing w:before="120"/>
              <w:jc w:val="left"/>
              <w:rPr>
                <w:u w:val="none"/>
              </w:rPr>
            </w:pPr>
            <w:r>
              <w:rPr>
                <w:u w:val="none"/>
              </w:rPr>
              <w:t>[No change.]</w:t>
            </w:r>
          </w:p>
        </w:tc>
        <w:tc>
          <w:tcPr>
            <w:tcW w:w="1526" w:type="pct"/>
          </w:tcPr>
          <w:p w14:paraId="3AD59E07" w14:textId="77777777" w:rsidR="00D34EC5" w:rsidRPr="0009414C" w:rsidRDefault="00D34EC5" w:rsidP="00D34EC5">
            <w:pPr>
              <w:pStyle w:val="COMParaDecision"/>
              <w:spacing w:before="120"/>
              <w:jc w:val="left"/>
            </w:pPr>
          </w:p>
        </w:tc>
      </w:tr>
    </w:tbl>
    <w:p w14:paraId="405F1F53" w14:textId="18BCA0A9" w:rsidR="000E62D3" w:rsidRPr="00107008" w:rsidRDefault="000E62D3" w:rsidP="00BE484F">
      <w:pPr>
        <w:rPr>
          <w:rFonts w:ascii="Arial" w:hAnsi="Arial" w:cs="Arial"/>
          <w:lang w:val="en-GB"/>
        </w:rPr>
      </w:pPr>
      <w:bookmarkStart w:id="0" w:name="_GoBack"/>
      <w:bookmarkEnd w:id="0"/>
    </w:p>
    <w:sectPr w:rsidR="000E62D3" w:rsidRPr="00107008" w:rsidSect="00231A2E">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F7553" w14:textId="77777777" w:rsidR="00FD7442" w:rsidRDefault="00FD7442" w:rsidP="00655736">
      <w:r>
        <w:separator/>
      </w:r>
    </w:p>
  </w:endnote>
  <w:endnote w:type="continuationSeparator" w:id="0">
    <w:p w14:paraId="65C498D6" w14:textId="77777777" w:rsidR="00FD7442" w:rsidRDefault="00FD74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4F57" w14:textId="77777777" w:rsidR="00FD7442" w:rsidRDefault="00FD7442" w:rsidP="00655736">
      <w:r>
        <w:separator/>
      </w:r>
    </w:p>
  </w:footnote>
  <w:footnote w:type="continuationSeparator" w:id="0">
    <w:p w14:paraId="6F55A52C" w14:textId="77777777" w:rsidR="00FD7442" w:rsidRDefault="00FD7442" w:rsidP="00655736">
      <w:r>
        <w:continuationSeparator/>
      </w:r>
    </w:p>
  </w:footnote>
  <w:footnote w:id="1">
    <w:p w14:paraId="54A2148A" w14:textId="6AE09A64" w:rsidR="00FD7442" w:rsidRPr="00AD64FE" w:rsidRDefault="00FD7442" w:rsidP="00171A45">
      <w:pPr>
        <w:pStyle w:val="Notedebasdepage"/>
        <w:tabs>
          <w:tab w:val="left" w:pos="567"/>
        </w:tabs>
        <w:ind w:left="567" w:hanging="567"/>
        <w:jc w:val="both"/>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r w:rsidRPr="00AD64FE">
        <w:rPr>
          <w:rFonts w:ascii="Arial" w:hAnsi="Arial" w:cs="Arial"/>
          <w:sz w:val="18"/>
          <w:szCs w:val="18"/>
          <w:lang w:val="en-GB"/>
        </w:rPr>
        <w:t>At its third session in 2008, the Committee decided to incorporate into the Representative List the ninety elements proclaimed ‘Masterpieces of the Oral and Intangible Heritage of Humanity’ before the entry into force of the Convention (</w:t>
      </w:r>
      <w:hyperlink r:id="rId1" w:history="1">
        <w:r w:rsidRPr="00AD64FE">
          <w:rPr>
            <w:rStyle w:val="Lienhypertexte"/>
            <w:rFonts w:ascii="Arial" w:hAnsi="Arial" w:cs="Arial"/>
            <w:sz w:val="18"/>
            <w:szCs w:val="18"/>
            <w:lang w:val="en-GB"/>
          </w:rPr>
          <w:t>Decision</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3.COM</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1</w:t>
        </w:r>
      </w:hyperlink>
      <w:r w:rsidRPr="00AD64FE">
        <w:rPr>
          <w:rFonts w:ascii="Arial" w:hAnsi="Arial" w:cs="Arial"/>
          <w:sz w:val="18"/>
          <w:szCs w:val="18"/>
          <w:lang w:val="en-GB"/>
        </w:rPr>
        <w:t>).</w:t>
      </w:r>
    </w:p>
  </w:footnote>
  <w:footnote w:id="2">
    <w:p w14:paraId="7960E2CE" w14:textId="3C9DB261" w:rsidR="00FD7442" w:rsidRPr="00AD64FE" w:rsidRDefault="00FD7442" w:rsidP="00171A45">
      <w:pPr>
        <w:pStyle w:val="Notedebasdepage"/>
        <w:tabs>
          <w:tab w:val="left" w:pos="567"/>
        </w:tabs>
        <w:ind w:left="567" w:hanging="567"/>
        <w:jc w:val="both"/>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Pr>
          <w:rFonts w:ascii="Arial" w:hAnsi="Arial" w:cs="Arial"/>
          <w:sz w:val="18"/>
          <w:szCs w:val="18"/>
          <w:lang w:val="en-GB"/>
        </w:rPr>
        <w:tab/>
      </w:r>
      <w:r w:rsidRPr="00AD64FE">
        <w:rPr>
          <w:rFonts w:ascii="Arial" w:hAnsi="Arial" w:cs="Arial"/>
          <w:sz w:val="18"/>
          <w:szCs w:val="18"/>
          <w:lang w:val="en-GB"/>
        </w:rPr>
        <w:t>As mentioned in the opening remarks of the Director-General of UNESCO on the occasion of the first intergovernmental experts’ meeting on the drafting of the Convention.</w:t>
      </w:r>
    </w:p>
  </w:footnote>
  <w:footnote w:id="3">
    <w:p w14:paraId="19B28A89" w14:textId="4F670B9A" w:rsidR="00FD7442" w:rsidRPr="00AD64FE" w:rsidRDefault="00FD7442" w:rsidP="003C67A9">
      <w:pPr>
        <w:tabs>
          <w:tab w:val="left" w:pos="567"/>
        </w:tabs>
        <w:rPr>
          <w:rFonts w:ascii="Arial" w:hAnsi="Arial" w:cs="Arial"/>
          <w:b/>
          <w:bCs/>
          <w:sz w:val="18"/>
          <w:szCs w:val="18"/>
          <w:lang w:val="en-GB"/>
        </w:rPr>
      </w:pPr>
      <w:r w:rsidRPr="00AD64FE">
        <w:rPr>
          <w:rFonts w:ascii="Arial" w:hAnsi="Arial" w:cs="Arial"/>
          <w:sz w:val="18"/>
          <w:szCs w:val="18"/>
          <w:vertAlign w:val="superscript"/>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65413E">
        <w:rPr>
          <w:rFonts w:ascii="Arial" w:hAnsi="Arial" w:cs="Arial"/>
          <w:sz w:val="18"/>
          <w:szCs w:val="18"/>
          <w:lang w:val="en-GB"/>
        </w:rPr>
        <w:tab/>
      </w:r>
      <w:r w:rsidRPr="00AD64FE">
        <w:rPr>
          <w:rFonts w:ascii="Arial" w:hAnsi="Arial" w:cs="Arial"/>
          <w:sz w:val="18"/>
          <w:szCs w:val="18"/>
          <w:lang w:val="en-GB"/>
        </w:rPr>
        <w:t xml:space="preserve">Documents </w:t>
      </w:r>
      <w:hyperlink r:id="rId2" w:history="1">
        <w:r w:rsidRPr="00AD64FE">
          <w:rPr>
            <w:rStyle w:val="Lienhypertexte"/>
            <w:rFonts w:ascii="Arial" w:hAnsi="Arial" w:cs="Arial"/>
            <w:sz w:val="18"/>
            <w:szCs w:val="18"/>
            <w:lang w:val="en-GB"/>
          </w:rPr>
          <w:t>ITH/07/2.COM/CONF.208/3</w:t>
        </w:r>
      </w:hyperlink>
      <w:r w:rsidRPr="00AD64FE">
        <w:rPr>
          <w:rFonts w:ascii="Arial" w:hAnsi="Arial" w:cs="Arial"/>
          <w:sz w:val="18"/>
          <w:szCs w:val="18"/>
          <w:lang w:val="en-GB"/>
        </w:rPr>
        <w:t xml:space="preserve"> and </w:t>
      </w:r>
      <w:hyperlink r:id="rId3" w:history="1">
        <w:r w:rsidRPr="00AD64FE">
          <w:rPr>
            <w:rStyle w:val="Lienhypertexte"/>
            <w:rFonts w:ascii="Arial" w:hAnsi="Arial" w:cs="Arial"/>
            <w:sz w:val="18"/>
            <w:szCs w:val="18"/>
            <w:lang w:val="en-GB"/>
          </w:rPr>
          <w:t>ITH/07/1.EXT.COM/CONF.207/12</w:t>
        </w:r>
      </w:hyperlink>
    </w:p>
  </w:footnote>
  <w:footnote w:id="4">
    <w:p w14:paraId="245DBF43" w14:textId="0AF8E185"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65413E">
        <w:rPr>
          <w:rFonts w:ascii="Arial" w:hAnsi="Arial" w:cs="Arial"/>
          <w:sz w:val="18"/>
          <w:szCs w:val="18"/>
          <w:lang w:val="en-GB"/>
        </w:rPr>
        <w:tab/>
      </w:r>
      <w:hyperlink r:id="rId4" w:history="1">
        <w:r w:rsidRPr="00AD64FE">
          <w:rPr>
            <w:rStyle w:val="Lienhypertexte"/>
            <w:rFonts w:ascii="Arial" w:hAnsi="Arial" w:cs="Arial"/>
            <w:sz w:val="18"/>
            <w:szCs w:val="18"/>
            <w:lang w:val="en-GB"/>
          </w:rPr>
          <w:t>Resolution</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2.GA</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5</w:t>
        </w:r>
      </w:hyperlink>
    </w:p>
  </w:footnote>
  <w:footnote w:id="5">
    <w:p w14:paraId="4DB3CE1A" w14:textId="11FAEF9F"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 xml:space="preserve">. </w:t>
      </w:r>
      <w:r w:rsidRPr="0065413E">
        <w:rPr>
          <w:rFonts w:ascii="Arial" w:hAnsi="Arial" w:cs="Arial"/>
          <w:sz w:val="18"/>
          <w:szCs w:val="18"/>
          <w:vertAlign w:val="superscript"/>
          <w:lang w:val="en-GB"/>
        </w:rPr>
        <w:tab/>
      </w:r>
      <w:r w:rsidRPr="00AD64FE">
        <w:rPr>
          <w:rFonts w:ascii="Arial" w:hAnsi="Arial" w:cs="Arial"/>
          <w:sz w:val="18"/>
          <w:szCs w:val="18"/>
          <w:lang w:val="en-GB"/>
        </w:rPr>
        <w:t>Committee sessions:</w:t>
      </w:r>
    </w:p>
    <w:p w14:paraId="51DD6FA4" w14:textId="3B810BEC"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First session of the Committee (November 2006, Algiers, Algeria)</w:t>
      </w:r>
    </w:p>
    <w:p w14:paraId="7ED00BE8" w14:textId="2E8DD394"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First extraordinary session of Committee (May 2007, Chengdu, China)</w:t>
      </w:r>
    </w:p>
    <w:p w14:paraId="512F2AA8" w14:textId="252110A2"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Second session of the Committee (September 2007, Tokyo, Japan)</w:t>
      </w:r>
    </w:p>
  </w:footnote>
  <w:footnote w:id="6">
    <w:p w14:paraId="622F29E0" w14:textId="79BCB722"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65413E">
        <w:rPr>
          <w:rFonts w:ascii="Arial" w:hAnsi="Arial" w:cs="Arial"/>
          <w:sz w:val="18"/>
          <w:szCs w:val="18"/>
          <w:lang w:val="en-GB"/>
        </w:rPr>
        <w:tab/>
      </w:r>
      <w:r w:rsidRPr="00AD64FE">
        <w:rPr>
          <w:rFonts w:ascii="Arial" w:hAnsi="Arial" w:cs="Arial"/>
          <w:sz w:val="18"/>
          <w:szCs w:val="18"/>
          <w:lang w:val="en-GB"/>
        </w:rPr>
        <w:t>Experts’ meetings:</w:t>
      </w:r>
    </w:p>
    <w:p w14:paraId="50DA090C" w14:textId="177F10E0"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Selection Criteria and Procedures for Inscription of Intangible Cultural Heritage Elements, (December 2005, UNESCO Headquarters, Paris)</w:t>
      </w:r>
      <w:r w:rsidR="00171A45">
        <w:rPr>
          <w:rFonts w:ascii="Arial" w:hAnsi="Arial" w:cs="Arial"/>
          <w:sz w:val="18"/>
          <w:szCs w:val="18"/>
          <w:lang w:val="en-GB"/>
        </w:rPr>
        <w:t>.</w:t>
      </w:r>
    </w:p>
    <w:p w14:paraId="0C48ED52" w14:textId="1C46B8EC"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Community Involvement in Safeguarding Intangible Cultural Heritage (March 2006, Tokyo, Japan)</w:t>
      </w:r>
      <w:r w:rsidR="00171A45">
        <w:rPr>
          <w:rFonts w:ascii="Arial" w:hAnsi="Arial" w:cs="Arial"/>
          <w:sz w:val="18"/>
          <w:szCs w:val="18"/>
          <w:lang w:val="en-GB"/>
        </w:rPr>
        <w:t>.</w:t>
      </w:r>
    </w:p>
    <w:p w14:paraId="21B3E141" w14:textId="2A2FD2CB" w:rsidR="00FD7442" w:rsidRPr="00AD64FE" w:rsidRDefault="00FD7442" w:rsidP="003C67A9">
      <w:pPr>
        <w:pStyle w:val="Notedebasdepage"/>
        <w:numPr>
          <w:ilvl w:val="0"/>
          <w:numId w:val="7"/>
        </w:numPr>
        <w:ind w:left="709" w:hanging="142"/>
        <w:rPr>
          <w:rFonts w:ascii="Arial" w:hAnsi="Arial" w:cs="Arial"/>
          <w:sz w:val="18"/>
          <w:szCs w:val="18"/>
          <w:lang w:val="en-GB"/>
        </w:rPr>
      </w:pPr>
      <w:r w:rsidRPr="00AD64FE">
        <w:rPr>
          <w:rFonts w:ascii="Arial" w:hAnsi="Arial" w:cs="Arial"/>
          <w:sz w:val="18"/>
          <w:szCs w:val="18"/>
          <w:lang w:val="en-GB"/>
        </w:rPr>
        <w:t>The Lists Established in the 2003 Convention for the Safeguarding of the Intangible Cultural Heritage (April 2007, New Delhi, India)</w:t>
      </w:r>
      <w:r w:rsidR="00171A45">
        <w:rPr>
          <w:rFonts w:ascii="Arial" w:hAnsi="Arial" w:cs="Arial"/>
          <w:sz w:val="18"/>
          <w:szCs w:val="18"/>
          <w:lang w:val="en-GB"/>
        </w:rPr>
        <w:t>.</w:t>
      </w:r>
    </w:p>
  </w:footnote>
  <w:footnote w:id="7">
    <w:p w14:paraId="7FD84C10" w14:textId="0E83FE13" w:rsidR="00FD7442" w:rsidRPr="00AD64FE" w:rsidRDefault="00FD7442" w:rsidP="00AD64FE">
      <w:pPr>
        <w:pStyle w:val="Notedebasdepage"/>
        <w:tabs>
          <w:tab w:val="left" w:pos="567"/>
        </w:tabs>
        <w:ind w:left="567" w:hanging="567"/>
        <w:rPr>
          <w:rFonts w:ascii="Arial" w:hAnsi="Arial" w:cs="Arial"/>
          <w:sz w:val="18"/>
          <w:szCs w:val="18"/>
          <w:lang w:val="en-GB"/>
        </w:rPr>
      </w:pPr>
      <w:r w:rsidRPr="00AD64FE">
        <w:rPr>
          <w:rStyle w:val="Appelnotedebasdep"/>
          <w:rFonts w:ascii="Arial" w:hAnsi="Arial" w:cs="Arial"/>
          <w:sz w:val="18"/>
          <w:szCs w:val="18"/>
          <w:lang w:val="en-GB"/>
        </w:rPr>
        <w:footnoteRef/>
      </w:r>
      <w:r w:rsidRPr="00AD64FE">
        <w:rPr>
          <w:rStyle w:val="Lienhypertexte"/>
          <w:rFonts w:ascii="Arial" w:hAnsi="Arial" w:cs="Arial"/>
          <w:sz w:val="18"/>
          <w:szCs w:val="18"/>
          <w:u w:val="none"/>
          <w:vertAlign w:val="superscript"/>
          <w:lang w:val="en-GB"/>
        </w:rPr>
        <w:t>.</w:t>
      </w:r>
      <w:r w:rsidRPr="00AD64FE">
        <w:rPr>
          <w:rStyle w:val="Lienhypertexte"/>
          <w:rFonts w:ascii="Arial" w:hAnsi="Arial" w:cs="Arial"/>
          <w:sz w:val="18"/>
          <w:szCs w:val="18"/>
          <w:u w:val="none"/>
          <w:lang w:val="en-GB"/>
        </w:rPr>
        <w:t xml:space="preserve"> </w:t>
      </w:r>
      <w:r w:rsidRPr="0065413E">
        <w:rPr>
          <w:rStyle w:val="Lienhypertexte"/>
          <w:rFonts w:ascii="Arial" w:hAnsi="Arial" w:cs="Arial"/>
          <w:sz w:val="18"/>
          <w:szCs w:val="18"/>
          <w:u w:val="none"/>
          <w:lang w:val="en-GB"/>
        </w:rPr>
        <w:tab/>
      </w:r>
      <w:hyperlink r:id="rId5" w:history="1">
        <w:r w:rsidRPr="00AD64FE">
          <w:rPr>
            <w:rStyle w:val="Lienhypertexte"/>
            <w:rFonts w:ascii="Arial" w:hAnsi="Arial" w:cs="Arial"/>
            <w:sz w:val="18"/>
            <w:szCs w:val="18"/>
            <w:lang w:val="en-GB"/>
          </w:rPr>
          <w:t>Summary Report of the meeting ‘The Lists Established in the 2003 Convention for the Safeguarding of the Intangible Cultural Heritage’ (April 2007 New Delhi, India)</w:t>
        </w:r>
      </w:hyperlink>
      <w:r w:rsidRPr="00AD64FE">
        <w:rPr>
          <w:rFonts w:ascii="Arial" w:hAnsi="Arial" w:cs="Arial"/>
          <w:sz w:val="18"/>
          <w:szCs w:val="18"/>
          <w:lang w:val="en-GB"/>
        </w:rPr>
        <w:t xml:space="preserve"> </w:t>
      </w:r>
    </w:p>
  </w:footnote>
  <w:footnote w:id="8">
    <w:p w14:paraId="39E5157A" w14:textId="119EC3A1"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65413E">
        <w:rPr>
          <w:rFonts w:ascii="Arial" w:hAnsi="Arial" w:cs="Arial"/>
          <w:sz w:val="18"/>
          <w:szCs w:val="18"/>
          <w:lang w:val="en-GB"/>
        </w:rPr>
        <w:tab/>
      </w:r>
      <w:hyperlink r:id="rId6" w:history="1">
        <w:r w:rsidRPr="00AD64FE">
          <w:rPr>
            <w:rStyle w:val="Lienhypertexte"/>
            <w:rFonts w:ascii="Arial" w:hAnsi="Arial" w:cs="Arial"/>
            <w:sz w:val="18"/>
            <w:szCs w:val="18"/>
            <w:lang w:val="en-GB"/>
          </w:rPr>
          <w:t>Resolution</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3.GA</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5</w:t>
        </w:r>
      </w:hyperlink>
    </w:p>
  </w:footnote>
  <w:footnote w:id="9">
    <w:p w14:paraId="3AE5F977" w14:textId="5777F7A7"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Pr>
          <w:rFonts w:ascii="Arial" w:hAnsi="Arial" w:cs="Arial"/>
          <w:sz w:val="18"/>
          <w:szCs w:val="18"/>
          <w:lang w:val="en-GB"/>
        </w:rPr>
        <w:tab/>
      </w:r>
      <w:hyperlink r:id="rId7" w:history="1">
        <w:r w:rsidRPr="00AD64FE">
          <w:rPr>
            <w:rStyle w:val="Lienhypertexte"/>
            <w:rFonts w:ascii="Arial" w:hAnsi="Arial" w:cs="Arial"/>
            <w:sz w:val="18"/>
            <w:szCs w:val="18"/>
            <w:lang w:val="en-GB"/>
          </w:rPr>
          <w:t>Resolution</w:t>
        </w:r>
        <w:r w:rsidR="00586BBF">
          <w:rPr>
            <w:rStyle w:val="Lienhypertexte"/>
            <w:rFonts w:ascii="Arial" w:hAnsi="Arial" w:cs="Arial"/>
            <w:sz w:val="18"/>
            <w:szCs w:val="18"/>
            <w:lang w:val="en-GB"/>
          </w:rPr>
          <w:t> </w:t>
        </w:r>
        <w:r w:rsidRPr="00AD64FE">
          <w:rPr>
            <w:rStyle w:val="Lienhypertexte"/>
            <w:rFonts w:ascii="Arial" w:hAnsi="Arial" w:cs="Arial"/>
            <w:sz w:val="18"/>
            <w:szCs w:val="18"/>
            <w:lang w:val="en-GB"/>
          </w:rPr>
          <w:t>5.GA 5.1</w:t>
        </w:r>
      </w:hyperlink>
    </w:p>
  </w:footnote>
  <w:footnote w:id="10">
    <w:p w14:paraId="5805C7B0" w14:textId="100FD5BC" w:rsidR="00FD7442" w:rsidRPr="00AD64FE" w:rsidRDefault="00FD7442" w:rsidP="00D87B8B">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AD64FE">
        <w:rPr>
          <w:rFonts w:ascii="Arial" w:hAnsi="Arial" w:cs="Arial"/>
          <w:sz w:val="18"/>
          <w:szCs w:val="18"/>
          <w:lang w:val="en-GB"/>
        </w:rPr>
        <w:tab/>
        <w:t xml:space="preserve">Documents </w:t>
      </w:r>
      <w:hyperlink r:id="rId8" w:history="1">
        <w:r w:rsidRPr="00AD64FE">
          <w:rPr>
            <w:rStyle w:val="Lienhypertexte"/>
            <w:rFonts w:ascii="Arial" w:hAnsi="Arial" w:cs="Arial"/>
            <w:sz w:val="18"/>
            <w:szCs w:val="18"/>
            <w:lang w:val="en-GB"/>
          </w:rPr>
          <w:t>ITH/15/10.COM/10</w:t>
        </w:r>
      </w:hyperlink>
      <w:r w:rsidRPr="00AD64FE">
        <w:rPr>
          <w:rFonts w:ascii="Arial" w:hAnsi="Arial" w:cs="Arial"/>
          <w:sz w:val="18"/>
          <w:szCs w:val="18"/>
          <w:lang w:val="en-GB"/>
        </w:rPr>
        <w:t xml:space="preserve"> and </w:t>
      </w:r>
      <w:hyperlink r:id="rId9" w:history="1">
        <w:r w:rsidRPr="00AD64FE">
          <w:rPr>
            <w:rStyle w:val="Lienhypertexte"/>
            <w:rFonts w:ascii="Arial" w:hAnsi="Arial" w:cs="Arial"/>
            <w:sz w:val="18"/>
            <w:szCs w:val="18"/>
            <w:lang w:val="en-GB"/>
          </w:rPr>
          <w:t>ITH/18/13.COM/10</w:t>
        </w:r>
      </w:hyperlink>
    </w:p>
  </w:footnote>
  <w:footnote w:id="11">
    <w:p w14:paraId="27929FE0" w14:textId="04D90078" w:rsidR="00FD7442" w:rsidRPr="00AD64FE" w:rsidRDefault="00FD7442" w:rsidP="00AD64FE">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vertAlign w:val="superscript"/>
          <w:lang w:val="en-GB"/>
        </w:rPr>
        <w:tab/>
      </w:r>
      <w:hyperlink r:id="rId10" w:history="1">
        <w:r w:rsidRPr="00AD64FE">
          <w:rPr>
            <w:rStyle w:val="Lienhypertexte"/>
            <w:rFonts w:ascii="Arial" w:hAnsi="Arial" w:cs="Arial"/>
            <w:sz w:val="18"/>
            <w:szCs w:val="18"/>
            <w:lang w:val="en-GB"/>
          </w:rPr>
          <w:t>Document IOS/EVS/PI/129</w:t>
        </w:r>
      </w:hyperlink>
    </w:p>
  </w:footnote>
  <w:footnote w:id="12">
    <w:p w14:paraId="351D72F5" w14:textId="13F3AB7A" w:rsidR="00FD7442" w:rsidRPr="00AD64FE" w:rsidRDefault="00FD7442" w:rsidP="00AD64FE">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ab/>
        <w:t xml:space="preserve">Documents </w:t>
      </w:r>
      <w:hyperlink r:id="rId11" w:history="1">
        <w:r w:rsidRPr="00AD64FE">
          <w:rPr>
            <w:rStyle w:val="Lienhypertexte"/>
            <w:rFonts w:ascii="Arial" w:hAnsi="Arial" w:cs="Arial"/>
            <w:sz w:val="18"/>
            <w:szCs w:val="18"/>
            <w:lang w:val="en-GB"/>
          </w:rPr>
          <w:t>ITH/14/9.COM/4</w:t>
        </w:r>
      </w:hyperlink>
      <w:r w:rsidRPr="00AD64FE">
        <w:rPr>
          <w:rFonts w:ascii="Arial" w:hAnsi="Arial" w:cs="Arial"/>
          <w:sz w:val="18"/>
          <w:szCs w:val="18"/>
          <w:lang w:val="en-GB"/>
        </w:rPr>
        <w:t xml:space="preserve"> and</w:t>
      </w:r>
      <w:hyperlink r:id="rId12" w:history="1">
        <w:r w:rsidRPr="00AD64FE">
          <w:rPr>
            <w:rStyle w:val="Lienhypertexte"/>
            <w:rFonts w:ascii="Arial" w:hAnsi="Arial" w:cs="Arial"/>
            <w:sz w:val="18"/>
            <w:szCs w:val="18"/>
            <w:u w:val="none"/>
            <w:lang w:val="en-GB"/>
          </w:rPr>
          <w:t xml:space="preserve"> </w:t>
        </w:r>
        <w:r w:rsidRPr="00AD64FE">
          <w:rPr>
            <w:rStyle w:val="Lienhypertexte"/>
            <w:rFonts w:ascii="Arial" w:hAnsi="Arial" w:cs="Arial"/>
            <w:sz w:val="18"/>
            <w:szCs w:val="18"/>
            <w:lang w:val="en-GB"/>
          </w:rPr>
          <w:t>ITH/15/10.COM/4</w:t>
        </w:r>
      </w:hyperlink>
    </w:p>
  </w:footnote>
  <w:footnote w:id="13">
    <w:p w14:paraId="1A120947" w14:textId="37A8E328" w:rsidR="00FD7442" w:rsidRPr="00AD64FE" w:rsidRDefault="00FD7442" w:rsidP="00D87B8B">
      <w:pPr>
        <w:pStyle w:val="Notedebasdepage"/>
        <w:tabs>
          <w:tab w:val="left" w:pos="567"/>
        </w:tabs>
        <w:ind w:left="567" w:hanging="567"/>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ab/>
      </w:r>
      <w:hyperlink r:id="rId13" w:history="1">
        <w:r w:rsidRPr="00AD64FE">
          <w:rPr>
            <w:rStyle w:val="Lienhypertexte"/>
            <w:rFonts w:ascii="Arial" w:hAnsi="Arial" w:cs="Arial"/>
            <w:sz w:val="18"/>
            <w:szCs w:val="18"/>
            <w:lang w:val="en-US"/>
          </w:rPr>
          <w:t>Summary Report of the meeting ‘Criteria for inscription on the Lists established by the 2003 Convention’</w:t>
        </w:r>
        <w:r w:rsidRPr="00AD64FE">
          <w:rPr>
            <w:rStyle w:val="Lienhypertexte"/>
            <w:rFonts w:ascii="Arial" w:hAnsi="Arial" w:cs="Arial"/>
            <w:sz w:val="18"/>
            <w:szCs w:val="18"/>
            <w:lang w:val="en-GB"/>
          </w:rPr>
          <w:t xml:space="preserve"> (Paris, 2005)</w:t>
        </w:r>
      </w:hyperlink>
      <w:r w:rsidRPr="00AD64FE">
        <w:rPr>
          <w:rFonts w:ascii="Arial" w:hAnsi="Arial" w:cs="Arial"/>
          <w:sz w:val="18"/>
          <w:szCs w:val="18"/>
          <w:lang w:val="en-GB"/>
        </w:rPr>
        <w:t xml:space="preserve"> and </w:t>
      </w:r>
      <w:hyperlink r:id="rId14" w:history="1">
        <w:r w:rsidRPr="00AD64FE">
          <w:rPr>
            <w:rStyle w:val="Lienhypertexte"/>
            <w:rFonts w:ascii="Arial" w:hAnsi="Arial" w:cs="Arial"/>
            <w:sz w:val="18"/>
            <w:szCs w:val="18"/>
            <w:lang w:val="en-GB"/>
          </w:rPr>
          <w:t>Summary Report of the meeting ‘The Lists Established in the 2003 Convention for the Safeguarding of the Intangible Cultural Heritage’ (April 2007 New Delhi, India)</w:t>
        </w:r>
      </w:hyperlink>
    </w:p>
  </w:footnote>
  <w:footnote w:id="14">
    <w:p w14:paraId="21CFD56E" w14:textId="4A13BA5D"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Pr>
          <w:rFonts w:ascii="Arial" w:hAnsi="Arial" w:cs="Arial"/>
          <w:sz w:val="18"/>
          <w:szCs w:val="18"/>
          <w:lang w:val="en-GB"/>
        </w:rPr>
        <w:tab/>
      </w:r>
      <w:r w:rsidRPr="00AD64FE">
        <w:rPr>
          <w:rFonts w:ascii="Arial" w:hAnsi="Arial" w:cs="Arial"/>
          <w:sz w:val="18"/>
          <w:szCs w:val="18"/>
          <w:lang w:val="en-GB"/>
        </w:rPr>
        <w:t xml:space="preserve">Decisions </w:t>
      </w:r>
      <w:hyperlink r:id="rId15" w:history="1">
        <w:r w:rsidRPr="00AD64FE">
          <w:rPr>
            <w:rStyle w:val="Lienhypertexte"/>
            <w:rFonts w:ascii="Arial" w:hAnsi="Arial" w:cs="Arial"/>
            <w:sz w:val="18"/>
            <w:szCs w:val="18"/>
            <w:lang w:val="en-US"/>
          </w:rPr>
          <w:t>13.COM 10.b.4</w:t>
        </w:r>
      </w:hyperlink>
      <w:r w:rsidRPr="00AD64FE">
        <w:rPr>
          <w:rFonts w:ascii="Arial" w:hAnsi="Arial" w:cs="Arial"/>
          <w:sz w:val="18"/>
          <w:szCs w:val="18"/>
          <w:lang w:val="en-GB"/>
        </w:rPr>
        <w:t xml:space="preserve">; </w:t>
      </w:r>
      <w:hyperlink r:id="rId16" w:history="1">
        <w:r w:rsidRPr="00AD64FE">
          <w:rPr>
            <w:rStyle w:val="Lienhypertexte"/>
            <w:rFonts w:ascii="Arial" w:hAnsi="Arial" w:cs="Arial"/>
            <w:sz w:val="18"/>
            <w:szCs w:val="18"/>
            <w:lang w:val="en-US"/>
          </w:rPr>
          <w:t>12.COM 11</w:t>
        </w:r>
      </w:hyperlink>
      <w:r w:rsidRPr="00AD64FE">
        <w:rPr>
          <w:rFonts w:ascii="Arial" w:hAnsi="Arial" w:cs="Arial"/>
          <w:sz w:val="18"/>
          <w:szCs w:val="18"/>
          <w:lang w:val="en-GB"/>
        </w:rPr>
        <w:t xml:space="preserve">, </w:t>
      </w:r>
      <w:hyperlink r:id="rId17" w:history="1">
        <w:r w:rsidRPr="00AD64FE">
          <w:rPr>
            <w:rStyle w:val="Lienhypertexte"/>
            <w:rFonts w:ascii="Arial" w:hAnsi="Arial" w:cs="Arial"/>
            <w:sz w:val="18"/>
            <w:szCs w:val="18"/>
            <w:lang w:val="en-US"/>
          </w:rPr>
          <w:t>9.COM 10</w:t>
        </w:r>
      </w:hyperlink>
      <w:r w:rsidRPr="00AD64FE">
        <w:rPr>
          <w:rFonts w:ascii="Arial" w:hAnsi="Arial" w:cs="Arial"/>
          <w:sz w:val="18"/>
          <w:szCs w:val="18"/>
          <w:lang w:val="en-GB"/>
        </w:rPr>
        <w:t xml:space="preserve">, </w:t>
      </w:r>
      <w:hyperlink r:id="rId18" w:history="1">
        <w:r w:rsidRPr="00AD64FE">
          <w:rPr>
            <w:rStyle w:val="Lienhypertexte"/>
            <w:rFonts w:ascii="Arial" w:hAnsi="Arial" w:cs="Arial"/>
            <w:sz w:val="18"/>
            <w:szCs w:val="18"/>
            <w:lang w:val="en-US"/>
          </w:rPr>
          <w:t>9.COM 10.3</w:t>
        </w:r>
      </w:hyperlink>
      <w:r w:rsidRPr="00AD64FE">
        <w:rPr>
          <w:rFonts w:ascii="Arial" w:hAnsi="Arial" w:cs="Arial"/>
          <w:sz w:val="18"/>
          <w:szCs w:val="18"/>
          <w:lang w:val="en-GB"/>
        </w:rPr>
        <w:t xml:space="preserve">, </w:t>
      </w:r>
      <w:hyperlink r:id="rId19" w:history="1">
        <w:r w:rsidRPr="00AD64FE">
          <w:rPr>
            <w:rStyle w:val="Lienhypertexte"/>
            <w:rFonts w:ascii="Arial" w:hAnsi="Arial" w:cs="Arial"/>
            <w:sz w:val="18"/>
            <w:szCs w:val="18"/>
            <w:lang w:val="en-US"/>
          </w:rPr>
          <w:t>9.COM 10.6</w:t>
        </w:r>
      </w:hyperlink>
      <w:r w:rsidRPr="00AD64FE">
        <w:rPr>
          <w:rFonts w:ascii="Arial" w:hAnsi="Arial" w:cs="Arial"/>
          <w:sz w:val="18"/>
          <w:szCs w:val="18"/>
          <w:lang w:val="en-GB"/>
        </w:rPr>
        <w:t xml:space="preserve"> and </w:t>
      </w:r>
      <w:hyperlink r:id="rId20" w:history="1">
        <w:r w:rsidRPr="00AD64FE">
          <w:rPr>
            <w:rStyle w:val="Lienhypertexte"/>
            <w:rFonts w:ascii="Arial" w:hAnsi="Arial" w:cs="Arial"/>
            <w:sz w:val="18"/>
            <w:szCs w:val="18"/>
            <w:lang w:val="en-US"/>
          </w:rPr>
          <w:t>9.COM 10.34</w:t>
        </w:r>
      </w:hyperlink>
    </w:p>
  </w:footnote>
  <w:footnote w:id="15">
    <w:p w14:paraId="021FF555" w14:textId="699E6FBA"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AD64FE">
        <w:rPr>
          <w:rFonts w:ascii="Arial" w:hAnsi="Arial" w:cs="Arial"/>
          <w:sz w:val="18"/>
          <w:szCs w:val="18"/>
          <w:lang w:val="en-GB"/>
        </w:rPr>
        <w:tab/>
      </w:r>
      <w:r w:rsidRPr="00AD64FE">
        <w:rPr>
          <w:rStyle w:val="hps"/>
          <w:rFonts w:ascii="Arial" w:hAnsi="Arial" w:cs="Arial"/>
          <w:sz w:val="18"/>
          <w:szCs w:val="18"/>
          <w:lang w:val="en-US"/>
        </w:rPr>
        <w:t xml:space="preserve">Decisions </w:t>
      </w:r>
      <w:hyperlink r:id="rId21" w:history="1">
        <w:r w:rsidRPr="00AD64FE">
          <w:rPr>
            <w:rStyle w:val="Lienhypertexte"/>
            <w:rFonts w:ascii="Arial" w:hAnsi="Arial" w:cs="Arial"/>
            <w:sz w:val="18"/>
            <w:szCs w:val="18"/>
            <w:lang w:val="en-US"/>
          </w:rPr>
          <w:t>8.COM 5.c.1</w:t>
        </w:r>
      </w:hyperlink>
      <w:r w:rsidRPr="00AD64FE">
        <w:rPr>
          <w:rStyle w:val="hps"/>
          <w:rFonts w:ascii="Arial" w:hAnsi="Arial" w:cs="Arial"/>
          <w:sz w:val="18"/>
          <w:szCs w:val="18"/>
          <w:lang w:val="en-US"/>
        </w:rPr>
        <w:t xml:space="preserve"> and </w:t>
      </w:r>
      <w:hyperlink r:id="rId22" w:history="1">
        <w:r w:rsidRPr="00AD64FE">
          <w:rPr>
            <w:rStyle w:val="Lienhypertexte"/>
            <w:rFonts w:ascii="Arial" w:hAnsi="Arial" w:cs="Arial"/>
            <w:sz w:val="18"/>
            <w:szCs w:val="18"/>
            <w:lang w:val="en-US"/>
          </w:rPr>
          <w:t>10.COM 10</w:t>
        </w:r>
      </w:hyperlink>
      <w:r w:rsidRPr="00AD64FE">
        <w:rPr>
          <w:rStyle w:val="hps"/>
          <w:rFonts w:ascii="Arial" w:hAnsi="Arial" w:cs="Arial"/>
          <w:sz w:val="18"/>
          <w:szCs w:val="18"/>
          <w:lang w:val="en-US"/>
        </w:rPr>
        <w:t xml:space="preserve"> (paragraph 10)</w:t>
      </w:r>
    </w:p>
  </w:footnote>
  <w:footnote w:id="16">
    <w:p w14:paraId="149FE493" w14:textId="33A37142"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sidRPr="00AD64FE">
        <w:rPr>
          <w:rFonts w:ascii="Arial" w:hAnsi="Arial" w:cs="Arial"/>
          <w:sz w:val="18"/>
          <w:szCs w:val="18"/>
          <w:lang w:val="en-US"/>
        </w:rPr>
        <w:tab/>
      </w:r>
      <w:hyperlink r:id="rId23" w:history="1">
        <w:r w:rsidRPr="00AD64FE">
          <w:rPr>
            <w:rStyle w:val="Lienhypertexte"/>
            <w:rFonts w:ascii="Arial" w:hAnsi="Arial" w:cs="Arial"/>
            <w:sz w:val="18"/>
            <w:szCs w:val="18"/>
            <w:lang w:val="en-GB"/>
          </w:rPr>
          <w:t>Document LHE/19/14.COM/5.b</w:t>
        </w:r>
      </w:hyperlink>
    </w:p>
  </w:footnote>
  <w:footnote w:id="17">
    <w:p w14:paraId="74CC9DD0" w14:textId="51D37EEC" w:rsidR="00FD7442" w:rsidRPr="00AD64FE" w:rsidRDefault="00FD7442" w:rsidP="00AD64FE">
      <w:pPr>
        <w:tabs>
          <w:tab w:val="left" w:pos="567"/>
        </w:tabs>
        <w:ind w:left="567" w:hanging="567"/>
        <w:rPr>
          <w:rFonts w:ascii="Arial" w:hAnsi="Arial" w:cs="Arial"/>
          <w:b/>
          <w:bCs/>
          <w:color w:val="414042"/>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sidRPr="00AD64FE">
        <w:rPr>
          <w:rFonts w:ascii="Arial" w:hAnsi="Arial" w:cs="Arial"/>
          <w:sz w:val="18"/>
          <w:szCs w:val="18"/>
          <w:lang w:val="en-US"/>
        </w:rPr>
        <w:tab/>
        <w:t xml:space="preserve">Documents </w:t>
      </w:r>
      <w:hyperlink r:id="rId24" w:history="1">
        <w:r w:rsidRPr="00AD64FE">
          <w:rPr>
            <w:rStyle w:val="Lienhypertexte"/>
            <w:rFonts w:ascii="Arial" w:hAnsi="Arial" w:cs="Arial"/>
            <w:sz w:val="18"/>
            <w:szCs w:val="18"/>
            <w:lang w:val="en-US"/>
          </w:rPr>
          <w:t>ITH/15/10.COM/10</w:t>
        </w:r>
      </w:hyperlink>
      <w:r w:rsidRPr="00AD64FE">
        <w:rPr>
          <w:rStyle w:val="lev"/>
          <w:rFonts w:ascii="Arial" w:hAnsi="Arial" w:cs="Arial"/>
          <w:b w:val="0"/>
          <w:color w:val="414042"/>
          <w:sz w:val="18"/>
          <w:szCs w:val="18"/>
          <w:lang w:val="en-US"/>
        </w:rPr>
        <w:t xml:space="preserve">, </w:t>
      </w:r>
      <w:hyperlink r:id="rId25" w:history="1">
        <w:r w:rsidRPr="00AD64FE">
          <w:rPr>
            <w:rStyle w:val="Lienhypertexte"/>
            <w:rFonts w:ascii="Arial" w:hAnsi="Arial" w:cs="Arial"/>
            <w:sz w:val="18"/>
            <w:szCs w:val="18"/>
            <w:lang w:val="en-US"/>
          </w:rPr>
          <w:t>ITH/16/11.COM/10</w:t>
        </w:r>
      </w:hyperlink>
      <w:r w:rsidRPr="00AD64FE">
        <w:rPr>
          <w:rFonts w:ascii="Arial" w:hAnsi="Arial" w:cs="Arial"/>
          <w:bCs/>
          <w:color w:val="414042"/>
          <w:sz w:val="18"/>
          <w:szCs w:val="18"/>
          <w:lang w:val="en-US"/>
        </w:rPr>
        <w:t xml:space="preserve">, </w:t>
      </w:r>
      <w:hyperlink r:id="rId26" w:history="1">
        <w:r w:rsidRPr="00AD64FE">
          <w:rPr>
            <w:rStyle w:val="Lienhypertexte"/>
            <w:rFonts w:ascii="Arial" w:hAnsi="Arial" w:cs="Arial"/>
            <w:bCs/>
            <w:sz w:val="18"/>
            <w:szCs w:val="18"/>
            <w:lang w:val="en-US"/>
          </w:rPr>
          <w:t>ITH/17/12.COM/11</w:t>
        </w:r>
      </w:hyperlink>
      <w:r w:rsidRPr="00AD64FE">
        <w:rPr>
          <w:rFonts w:ascii="Arial" w:hAnsi="Arial" w:cs="Arial"/>
          <w:bCs/>
          <w:color w:val="414042"/>
          <w:sz w:val="18"/>
          <w:szCs w:val="18"/>
          <w:lang w:val="en-US"/>
        </w:rPr>
        <w:t xml:space="preserve">, </w:t>
      </w:r>
      <w:hyperlink r:id="rId27" w:history="1">
        <w:r w:rsidRPr="00AD64FE">
          <w:rPr>
            <w:rStyle w:val="Lienhypertexte"/>
            <w:rFonts w:ascii="Arial" w:hAnsi="Arial" w:cs="Arial"/>
            <w:bCs/>
            <w:sz w:val="18"/>
            <w:szCs w:val="18"/>
            <w:lang w:val="en-US"/>
          </w:rPr>
          <w:t>ITH/18/13.COM/10</w:t>
        </w:r>
      </w:hyperlink>
      <w:r w:rsidRPr="00AD64FE">
        <w:rPr>
          <w:rFonts w:ascii="Arial" w:hAnsi="Arial" w:cs="Arial"/>
          <w:bCs/>
          <w:color w:val="414042"/>
          <w:sz w:val="18"/>
          <w:szCs w:val="18"/>
          <w:lang w:val="en-US"/>
        </w:rPr>
        <w:t xml:space="preserve">, </w:t>
      </w:r>
      <w:hyperlink r:id="rId28" w:history="1">
        <w:r w:rsidRPr="00AD64FE">
          <w:rPr>
            <w:rStyle w:val="Lienhypertexte"/>
            <w:rFonts w:ascii="Arial" w:hAnsi="Arial" w:cs="Arial"/>
            <w:bCs/>
            <w:sz w:val="18"/>
            <w:szCs w:val="18"/>
            <w:lang w:val="en-US"/>
          </w:rPr>
          <w:t>ITH/15/10.COM/4</w:t>
        </w:r>
      </w:hyperlink>
      <w:r w:rsidRPr="00AD64FE">
        <w:rPr>
          <w:rFonts w:ascii="Arial" w:hAnsi="Arial" w:cs="Arial"/>
          <w:sz w:val="18"/>
          <w:szCs w:val="18"/>
          <w:lang w:val="en-GB"/>
        </w:rPr>
        <w:t xml:space="preserve">, </w:t>
      </w:r>
      <w:hyperlink r:id="rId29" w:history="1">
        <w:r w:rsidRPr="00AD64FE">
          <w:rPr>
            <w:rStyle w:val="Lienhypertexte"/>
            <w:rFonts w:ascii="Arial" w:hAnsi="Arial" w:cs="Arial"/>
            <w:sz w:val="18"/>
            <w:szCs w:val="18"/>
            <w:lang w:val="en-GB"/>
          </w:rPr>
          <w:t>ITH/16/11.COM/4</w:t>
        </w:r>
      </w:hyperlink>
      <w:r w:rsidRPr="00AD64FE">
        <w:rPr>
          <w:rStyle w:val="lev"/>
          <w:rFonts w:ascii="Arial" w:hAnsi="Arial" w:cs="Arial"/>
          <w:b w:val="0"/>
          <w:color w:val="414042"/>
          <w:sz w:val="18"/>
          <w:szCs w:val="18"/>
          <w:lang w:val="en-US"/>
        </w:rPr>
        <w:t xml:space="preserve">, </w:t>
      </w:r>
      <w:hyperlink r:id="rId30" w:history="1">
        <w:r w:rsidRPr="00AD64FE">
          <w:rPr>
            <w:rStyle w:val="Lienhypertexte"/>
            <w:rFonts w:ascii="Arial" w:hAnsi="Arial" w:cs="Arial"/>
            <w:sz w:val="18"/>
            <w:szCs w:val="18"/>
            <w:lang w:val="en-US"/>
          </w:rPr>
          <w:t>ITH/17/12.COM/4</w:t>
        </w:r>
      </w:hyperlink>
      <w:r w:rsidRPr="00AD64FE">
        <w:rPr>
          <w:rStyle w:val="lev"/>
          <w:rFonts w:ascii="Arial" w:hAnsi="Arial" w:cs="Arial"/>
          <w:b w:val="0"/>
          <w:color w:val="414042"/>
          <w:sz w:val="18"/>
          <w:szCs w:val="18"/>
          <w:lang w:val="en-US"/>
        </w:rPr>
        <w:t xml:space="preserve"> and </w:t>
      </w:r>
      <w:hyperlink r:id="rId31" w:history="1">
        <w:r w:rsidRPr="00AD64FE">
          <w:rPr>
            <w:rStyle w:val="Lienhypertexte"/>
            <w:rFonts w:ascii="Arial" w:hAnsi="Arial" w:cs="Arial"/>
            <w:sz w:val="18"/>
            <w:szCs w:val="18"/>
            <w:lang w:val="en-US"/>
          </w:rPr>
          <w:t>ITH/18/13.COM/4</w:t>
        </w:r>
      </w:hyperlink>
    </w:p>
  </w:footnote>
  <w:footnote w:id="18">
    <w:p w14:paraId="68CF312B" w14:textId="0CCFF4F1"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AD64FE">
        <w:rPr>
          <w:rFonts w:ascii="Arial" w:hAnsi="Arial" w:cs="Arial"/>
          <w:sz w:val="18"/>
          <w:szCs w:val="18"/>
          <w:lang w:val="en-GB"/>
        </w:rPr>
        <w:tab/>
        <w:t xml:space="preserve">Documents </w:t>
      </w:r>
      <w:hyperlink r:id="rId32" w:history="1">
        <w:r w:rsidRPr="00AD64FE">
          <w:rPr>
            <w:rStyle w:val="Lienhypertexte"/>
            <w:rFonts w:ascii="Arial" w:hAnsi="Arial" w:cs="Arial"/>
            <w:sz w:val="18"/>
            <w:szCs w:val="18"/>
            <w:lang w:val="en-GB"/>
          </w:rPr>
          <w:t>ITH/18/13.COM/10</w:t>
        </w:r>
      </w:hyperlink>
      <w:r w:rsidRPr="00AD64FE">
        <w:rPr>
          <w:rFonts w:ascii="Arial" w:hAnsi="Arial" w:cs="Arial"/>
          <w:sz w:val="18"/>
          <w:szCs w:val="18"/>
          <w:lang w:val="en-GB"/>
        </w:rPr>
        <w:t xml:space="preserve"> and </w:t>
      </w:r>
      <w:hyperlink r:id="rId33" w:history="1">
        <w:r w:rsidRPr="00AD64FE">
          <w:rPr>
            <w:rStyle w:val="Lienhypertexte"/>
            <w:rFonts w:ascii="Arial" w:hAnsi="Arial" w:cs="Arial"/>
            <w:sz w:val="18"/>
            <w:szCs w:val="18"/>
            <w:lang w:val="en-US"/>
          </w:rPr>
          <w:t>LHE/19/14.COM/10</w:t>
        </w:r>
      </w:hyperlink>
    </w:p>
  </w:footnote>
  <w:footnote w:id="19">
    <w:p w14:paraId="6F9E1B28" w14:textId="7B87147C"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vertAlign w:val="superscript"/>
          <w:lang w:val="en-GB"/>
        </w:rPr>
        <w:tab/>
      </w:r>
      <w:hyperlink r:id="rId34" w:history="1">
        <w:r w:rsidRPr="00AD64FE">
          <w:rPr>
            <w:rStyle w:val="Lienhypertexte"/>
            <w:rFonts w:ascii="Arial" w:hAnsi="Arial" w:cs="Arial"/>
            <w:sz w:val="18"/>
            <w:szCs w:val="18"/>
            <w:lang w:val="en-GB"/>
          </w:rPr>
          <w:t>Document ITH/10/5.COM/CONF.202/10 Part I</w:t>
        </w:r>
      </w:hyperlink>
    </w:p>
  </w:footnote>
  <w:footnote w:id="20">
    <w:p w14:paraId="7277FDAA" w14:textId="6D504C8B" w:rsidR="00FD7442" w:rsidRPr="00AD64FE" w:rsidRDefault="00FD7442" w:rsidP="00AD64FE">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AD64FE">
        <w:rPr>
          <w:rFonts w:ascii="Arial" w:hAnsi="Arial" w:cs="Arial"/>
          <w:sz w:val="18"/>
          <w:szCs w:val="18"/>
          <w:lang w:val="en-GB"/>
        </w:rPr>
        <w:tab/>
        <w:t xml:space="preserve">Documents </w:t>
      </w:r>
      <w:hyperlink r:id="rId35" w:history="1">
        <w:r w:rsidRPr="00AD64FE">
          <w:rPr>
            <w:rStyle w:val="Lienhypertexte"/>
            <w:rFonts w:ascii="Arial" w:hAnsi="Arial" w:cs="Arial"/>
            <w:sz w:val="18"/>
            <w:szCs w:val="18"/>
            <w:lang w:val="en-US"/>
          </w:rPr>
          <w:t>ITH/14/9.COM/10</w:t>
        </w:r>
      </w:hyperlink>
      <w:r w:rsidRPr="00AD64FE">
        <w:rPr>
          <w:rFonts w:ascii="Arial" w:hAnsi="Arial" w:cs="Arial"/>
          <w:sz w:val="18"/>
          <w:szCs w:val="18"/>
          <w:lang w:val="en-GB"/>
        </w:rPr>
        <w:t xml:space="preserve">, </w:t>
      </w:r>
      <w:hyperlink r:id="rId36" w:history="1">
        <w:r w:rsidRPr="00AD64FE">
          <w:rPr>
            <w:rStyle w:val="Lienhypertexte"/>
            <w:rFonts w:ascii="Arial" w:hAnsi="Arial" w:cs="Arial"/>
            <w:sz w:val="18"/>
            <w:szCs w:val="18"/>
            <w:lang w:val="en-GB"/>
          </w:rPr>
          <w:t>ITH/15/10.COM/10</w:t>
        </w:r>
      </w:hyperlink>
      <w:r w:rsidRPr="00AD64FE">
        <w:rPr>
          <w:rFonts w:ascii="Arial" w:hAnsi="Arial" w:cs="Arial"/>
          <w:sz w:val="18"/>
          <w:szCs w:val="18"/>
          <w:lang w:val="en-GB"/>
        </w:rPr>
        <w:t xml:space="preserve">, </w:t>
      </w:r>
      <w:hyperlink r:id="rId37" w:history="1">
        <w:r w:rsidRPr="00AD64FE">
          <w:rPr>
            <w:rStyle w:val="Lienhypertexte"/>
            <w:rFonts w:ascii="Arial" w:hAnsi="Arial" w:cs="Arial"/>
            <w:sz w:val="18"/>
            <w:szCs w:val="18"/>
            <w:lang w:val="en-US"/>
          </w:rPr>
          <w:t>ITH/16/11.COM/10</w:t>
        </w:r>
      </w:hyperlink>
      <w:r w:rsidRPr="00AD64FE">
        <w:rPr>
          <w:rFonts w:ascii="Arial" w:hAnsi="Arial" w:cs="Arial"/>
          <w:sz w:val="18"/>
          <w:szCs w:val="18"/>
          <w:lang w:val="en-GB"/>
        </w:rPr>
        <w:t xml:space="preserve">, </w:t>
      </w:r>
      <w:hyperlink r:id="rId38" w:history="1">
        <w:r w:rsidRPr="00AD64FE">
          <w:rPr>
            <w:rStyle w:val="Lienhypertexte"/>
            <w:rFonts w:ascii="Arial" w:hAnsi="Arial" w:cs="Arial"/>
            <w:sz w:val="18"/>
            <w:szCs w:val="18"/>
            <w:lang w:val="en-US"/>
          </w:rPr>
          <w:t>ITH/17/12.COM/11</w:t>
        </w:r>
      </w:hyperlink>
      <w:r w:rsidRPr="00AD64FE">
        <w:rPr>
          <w:rFonts w:ascii="Arial" w:hAnsi="Arial" w:cs="Arial"/>
          <w:sz w:val="18"/>
          <w:szCs w:val="18"/>
          <w:lang w:val="en-GB"/>
        </w:rPr>
        <w:t xml:space="preserve">, </w:t>
      </w:r>
      <w:hyperlink r:id="rId39" w:history="1">
        <w:r w:rsidRPr="00AD64FE">
          <w:rPr>
            <w:rStyle w:val="Lienhypertexte"/>
            <w:rFonts w:ascii="Arial" w:hAnsi="Arial" w:cs="Arial"/>
            <w:sz w:val="18"/>
            <w:szCs w:val="18"/>
            <w:lang w:val="en-US"/>
          </w:rPr>
          <w:t>ITH/18/13.COM/10</w:t>
        </w:r>
      </w:hyperlink>
    </w:p>
  </w:footnote>
  <w:footnote w:id="21">
    <w:p w14:paraId="078BEA54" w14:textId="6D5B7598"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hyperlink r:id="rId40" w:history="1">
        <w:r w:rsidRPr="00AD64FE">
          <w:rPr>
            <w:rStyle w:val="Lienhypertexte"/>
            <w:rFonts w:ascii="Arial" w:hAnsi="Arial" w:cs="Arial"/>
            <w:sz w:val="18"/>
            <w:szCs w:val="18"/>
            <w:lang w:val="en-US"/>
          </w:rPr>
          <w:t>Document ITH/18/13.COM/10</w:t>
        </w:r>
      </w:hyperlink>
    </w:p>
  </w:footnote>
  <w:footnote w:id="22">
    <w:p w14:paraId="1F84B3E3" w14:textId="49BBAD01"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hyperlink r:id="rId41" w:history="1">
        <w:r w:rsidRPr="00AD64FE">
          <w:rPr>
            <w:rStyle w:val="Lienhypertexte"/>
            <w:rFonts w:ascii="Arial" w:hAnsi="Arial" w:cs="Arial"/>
            <w:sz w:val="18"/>
            <w:szCs w:val="18"/>
            <w:lang w:val="en-US"/>
          </w:rPr>
          <w:t>Resolution 3.GA 5</w:t>
        </w:r>
      </w:hyperlink>
      <w:r w:rsidRPr="00AD64FE">
        <w:rPr>
          <w:rFonts w:ascii="Arial" w:hAnsi="Arial" w:cs="Arial"/>
          <w:sz w:val="18"/>
          <w:szCs w:val="18"/>
          <w:lang w:val="en-US"/>
        </w:rPr>
        <w:t xml:space="preserve"> (paragraph 6)</w:t>
      </w:r>
    </w:p>
  </w:footnote>
  <w:footnote w:id="23">
    <w:p w14:paraId="40F5C3BC" w14:textId="5C5B86AA"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hyperlink r:id="rId42" w:history="1">
        <w:r w:rsidRPr="00AD64FE">
          <w:rPr>
            <w:rStyle w:val="Lienhypertexte"/>
            <w:rFonts w:ascii="Arial" w:hAnsi="Arial" w:cs="Arial"/>
            <w:sz w:val="18"/>
            <w:szCs w:val="18"/>
            <w:lang w:val="en-US"/>
          </w:rPr>
          <w:t>Document ITH/11/6.COM/CONF.206/16</w:t>
        </w:r>
      </w:hyperlink>
    </w:p>
  </w:footnote>
  <w:footnote w:id="24">
    <w:p w14:paraId="2F62ECF2" w14:textId="2433E304"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Pr>
          <w:rFonts w:ascii="Arial" w:hAnsi="Arial" w:cs="Arial"/>
          <w:sz w:val="18"/>
          <w:szCs w:val="18"/>
          <w:lang w:val="en-GB"/>
        </w:rPr>
        <w:tab/>
      </w:r>
      <w:r w:rsidRPr="00AD64FE">
        <w:rPr>
          <w:rFonts w:ascii="Arial" w:eastAsia="SimSun" w:hAnsi="Arial" w:cs="Arial"/>
          <w:sz w:val="18"/>
          <w:szCs w:val="18"/>
          <w:lang w:val="en-GB" w:eastAsia="ja-JP"/>
        </w:rPr>
        <w:t>Documents </w:t>
      </w:r>
      <w:hyperlink r:id="rId43" w:history="1">
        <w:r w:rsidRPr="00AD64FE">
          <w:rPr>
            <w:rStyle w:val="Lienhypertexte"/>
            <w:rFonts w:ascii="Arial" w:eastAsia="SimSun" w:hAnsi="Arial" w:cs="Arial"/>
            <w:sz w:val="18"/>
            <w:szCs w:val="18"/>
            <w:lang w:val="en-GB" w:eastAsia="ja-JP"/>
          </w:rPr>
          <w:t>ITH/10/5.COM/CONF.202/10 Part I</w:t>
        </w:r>
      </w:hyperlink>
      <w:r w:rsidRPr="00AD64FE">
        <w:rPr>
          <w:rFonts w:ascii="Arial" w:eastAsia="SimSun" w:hAnsi="Arial" w:cs="Arial"/>
          <w:sz w:val="18"/>
          <w:szCs w:val="18"/>
          <w:lang w:val="en-GB" w:eastAsia="ja-JP"/>
        </w:rPr>
        <w:t xml:space="preserve">, </w:t>
      </w:r>
      <w:hyperlink r:id="rId44" w:history="1">
        <w:r w:rsidRPr="00AD64FE">
          <w:rPr>
            <w:rStyle w:val="Lienhypertexte"/>
            <w:rFonts w:ascii="Arial" w:eastAsia="SimSun" w:hAnsi="Arial" w:cs="Arial"/>
            <w:sz w:val="18"/>
            <w:szCs w:val="18"/>
            <w:lang w:val="en-GB" w:eastAsia="ja-JP"/>
          </w:rPr>
          <w:t>ITH/11/6.COM/CONF.206/16</w:t>
        </w:r>
      </w:hyperlink>
      <w:r w:rsidRPr="00AD64FE">
        <w:rPr>
          <w:rFonts w:ascii="Arial" w:eastAsia="SimSun" w:hAnsi="Arial" w:cs="Arial"/>
          <w:sz w:val="18"/>
          <w:szCs w:val="18"/>
          <w:lang w:val="en-GB" w:eastAsia="ja-JP"/>
        </w:rPr>
        <w:t xml:space="preserve"> and </w:t>
      </w:r>
      <w:hyperlink r:id="rId45" w:history="1">
        <w:r w:rsidR="00856E81">
          <w:rPr>
            <w:rStyle w:val="Lienhypertexte"/>
            <w:rFonts w:ascii="Arial" w:hAnsi="Arial" w:cs="Arial"/>
            <w:sz w:val="18"/>
            <w:szCs w:val="18"/>
            <w:lang w:val="en-GB"/>
          </w:rPr>
          <w:t>Decision </w:t>
        </w:r>
        <w:r w:rsidRPr="00AD64FE">
          <w:rPr>
            <w:rStyle w:val="Lienhypertexte"/>
            <w:rFonts w:ascii="Arial" w:hAnsi="Arial" w:cs="Arial"/>
            <w:sz w:val="18"/>
            <w:szCs w:val="18"/>
            <w:lang w:val="en-GB"/>
          </w:rPr>
          <w:t>5.COM 10.1</w:t>
        </w:r>
      </w:hyperlink>
    </w:p>
  </w:footnote>
  <w:footnote w:id="25">
    <w:p w14:paraId="6CF63890" w14:textId="3F861A5C" w:rsidR="00FD7442" w:rsidRPr="00AD64FE" w:rsidRDefault="00FD7442" w:rsidP="003C67A9">
      <w:pPr>
        <w:pStyle w:val="Notedebasdepage"/>
        <w:tabs>
          <w:tab w:val="left" w:pos="567"/>
        </w:tabs>
        <w:rPr>
          <w:rFonts w:ascii="Arial" w:hAnsi="Arial" w:cs="Arial"/>
          <w:sz w:val="18"/>
          <w:szCs w:val="18"/>
          <w:highlight w:val="yellow"/>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Pr>
          <w:rFonts w:ascii="Arial" w:hAnsi="Arial" w:cs="Arial"/>
          <w:sz w:val="18"/>
          <w:szCs w:val="18"/>
          <w:lang w:val="en-GB"/>
        </w:rPr>
        <w:tab/>
      </w:r>
      <w:hyperlink r:id="rId46" w:history="1">
        <w:r w:rsidRPr="00AD64FE">
          <w:rPr>
            <w:rStyle w:val="Lienhypertexte"/>
            <w:rFonts w:ascii="Arial" w:hAnsi="Arial" w:cs="Arial"/>
            <w:sz w:val="18"/>
            <w:szCs w:val="18"/>
            <w:lang w:val="en-GB"/>
          </w:rPr>
          <w:t>Decision 13.COM 9</w:t>
        </w:r>
      </w:hyperlink>
    </w:p>
  </w:footnote>
  <w:footnote w:id="26">
    <w:p w14:paraId="46310042" w14:textId="34CE5DD8" w:rsidR="00FD7442" w:rsidRPr="006A5D62" w:rsidRDefault="00FD7442" w:rsidP="003C67A9">
      <w:pPr>
        <w:pStyle w:val="Notedebasdepage"/>
        <w:tabs>
          <w:tab w:val="left" w:pos="567"/>
        </w:tabs>
        <w:ind w:left="567" w:hanging="567"/>
        <w:rPr>
          <w:rFonts w:ascii="Arial" w:hAnsi="Arial" w:cs="Arial"/>
          <w:sz w:val="18"/>
          <w:szCs w:val="18"/>
          <w:lang w:val="en-GB"/>
        </w:rPr>
      </w:pPr>
      <w:r w:rsidRPr="00F1511D">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sidRPr="00AD64FE">
        <w:rPr>
          <w:rFonts w:ascii="Arial" w:hAnsi="Arial" w:cs="Arial"/>
          <w:sz w:val="18"/>
          <w:szCs w:val="18"/>
          <w:lang w:val="en-US"/>
        </w:rPr>
        <w:tab/>
      </w:r>
      <w:hyperlink r:id="rId47" w:history="1">
        <w:r w:rsidRPr="006A5D62">
          <w:rPr>
            <w:rStyle w:val="Lienhypertexte"/>
            <w:rFonts w:ascii="Arial" w:hAnsi="Arial" w:cs="Arial"/>
            <w:sz w:val="18"/>
            <w:szCs w:val="18"/>
            <w:lang w:val="en-GB"/>
          </w:rPr>
          <w:t>https://whc.unesco.org/en/reactive-monitoring/</w:t>
        </w:r>
      </w:hyperlink>
    </w:p>
  </w:footnote>
  <w:footnote w:id="27">
    <w:p w14:paraId="221B0D70" w14:textId="0829E072" w:rsidR="00FD7442" w:rsidRPr="00AD64FE" w:rsidRDefault="00FD7442" w:rsidP="003C67A9">
      <w:pPr>
        <w:pStyle w:val="Notedebasdepage"/>
        <w:tabs>
          <w:tab w:val="left" w:pos="567"/>
        </w:tabs>
        <w:rPr>
          <w:rFonts w:ascii="Arial" w:hAnsi="Arial" w:cs="Arial"/>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hyperlink r:id="rId48" w:history="1">
        <w:r w:rsidRPr="00AD64FE">
          <w:rPr>
            <w:rStyle w:val="Lienhypertexte"/>
            <w:rFonts w:ascii="Arial" w:hAnsi="Arial" w:cs="Arial"/>
            <w:sz w:val="18"/>
            <w:szCs w:val="18"/>
            <w:lang w:val="en-US"/>
          </w:rPr>
          <w:t>Document ITH/17/12.COM/14</w:t>
        </w:r>
      </w:hyperlink>
    </w:p>
  </w:footnote>
  <w:footnote w:id="28">
    <w:p w14:paraId="23E01135" w14:textId="68847F92" w:rsidR="00FD7442" w:rsidRPr="00AD64FE" w:rsidRDefault="00FD7442" w:rsidP="003C67A9">
      <w:pPr>
        <w:tabs>
          <w:tab w:val="left" w:pos="567"/>
        </w:tabs>
        <w:rPr>
          <w:rFonts w:ascii="Arial" w:eastAsia="Calibri" w:hAnsi="Arial" w:cs="Arial"/>
          <w:sz w:val="18"/>
          <w:szCs w:val="18"/>
          <w:lang w:val="en-US" w:eastAsia="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r w:rsidRPr="00AD64FE">
        <w:rPr>
          <w:rFonts w:ascii="Arial" w:hAnsi="Arial" w:cs="Arial"/>
          <w:sz w:val="18"/>
          <w:szCs w:val="18"/>
          <w:lang w:val="en-US"/>
        </w:rPr>
        <w:t xml:space="preserve">Documents </w:t>
      </w:r>
      <w:hyperlink r:id="rId49" w:history="1">
        <w:r w:rsidRPr="00AD64FE">
          <w:rPr>
            <w:rStyle w:val="Lienhypertexte"/>
            <w:rFonts w:ascii="Arial" w:hAnsi="Arial" w:cs="Arial"/>
            <w:sz w:val="18"/>
            <w:szCs w:val="18"/>
            <w:lang w:val="en-US"/>
          </w:rPr>
          <w:t>ITH/15/10.COM/10</w:t>
        </w:r>
      </w:hyperlink>
      <w:r w:rsidRPr="00AD64FE">
        <w:rPr>
          <w:rFonts w:ascii="Arial" w:eastAsia="Calibri" w:hAnsi="Arial" w:cs="Arial"/>
          <w:sz w:val="18"/>
          <w:szCs w:val="18"/>
          <w:lang w:val="en-US" w:eastAsia="en-US"/>
        </w:rPr>
        <w:t xml:space="preserve">, </w:t>
      </w:r>
      <w:hyperlink r:id="rId50" w:history="1">
        <w:r w:rsidRPr="00AD64FE">
          <w:rPr>
            <w:rStyle w:val="Lienhypertexte"/>
            <w:rFonts w:ascii="Arial" w:eastAsia="Calibri" w:hAnsi="Arial" w:cs="Arial"/>
            <w:sz w:val="18"/>
            <w:szCs w:val="18"/>
            <w:lang w:val="en-US" w:eastAsia="en-US"/>
          </w:rPr>
          <w:t>ITH/16/11.COM/10</w:t>
        </w:r>
      </w:hyperlink>
      <w:r w:rsidRPr="00AD64FE">
        <w:rPr>
          <w:rFonts w:ascii="Arial" w:eastAsia="Calibri" w:hAnsi="Arial" w:cs="Arial"/>
          <w:sz w:val="18"/>
          <w:szCs w:val="18"/>
          <w:lang w:val="en-US" w:eastAsia="en-US"/>
        </w:rPr>
        <w:t xml:space="preserve">, </w:t>
      </w:r>
      <w:hyperlink r:id="rId51" w:history="1">
        <w:r w:rsidRPr="00AD64FE">
          <w:rPr>
            <w:rStyle w:val="Lienhypertexte"/>
            <w:rFonts w:ascii="Arial" w:eastAsia="Calibri" w:hAnsi="Arial" w:cs="Arial"/>
            <w:sz w:val="18"/>
            <w:szCs w:val="18"/>
            <w:lang w:val="en-US" w:eastAsia="en-US"/>
          </w:rPr>
          <w:t>ITH/17/12.COM/11</w:t>
        </w:r>
      </w:hyperlink>
      <w:r w:rsidRPr="00AD64FE">
        <w:rPr>
          <w:rFonts w:ascii="Arial" w:eastAsia="Calibri" w:hAnsi="Arial" w:cs="Arial"/>
          <w:sz w:val="18"/>
          <w:szCs w:val="18"/>
          <w:lang w:val="en-US" w:eastAsia="en-US"/>
        </w:rPr>
        <w:t xml:space="preserve"> and </w:t>
      </w:r>
      <w:hyperlink r:id="rId52" w:history="1">
        <w:r w:rsidRPr="00AD64FE">
          <w:rPr>
            <w:rStyle w:val="Lienhypertexte"/>
            <w:rFonts w:ascii="Arial" w:eastAsia="Calibri" w:hAnsi="Arial" w:cs="Arial"/>
            <w:sz w:val="18"/>
            <w:szCs w:val="18"/>
            <w:lang w:val="en-US" w:eastAsia="en-US"/>
          </w:rPr>
          <w:t>ITH/18/13.COM/10</w:t>
        </w:r>
      </w:hyperlink>
    </w:p>
  </w:footnote>
  <w:footnote w:id="29">
    <w:p w14:paraId="6600D6F9" w14:textId="14D03F31" w:rsidR="00FD7442" w:rsidRPr="00AD64FE" w:rsidRDefault="00FD7442" w:rsidP="003C67A9">
      <w:pPr>
        <w:tabs>
          <w:tab w:val="left" w:pos="567"/>
        </w:tabs>
        <w:rPr>
          <w:rFonts w:ascii="Arial" w:hAnsi="Arial" w:cs="Arial"/>
          <w:bCs/>
          <w:color w:val="414042"/>
          <w:sz w:val="18"/>
          <w:szCs w:val="18"/>
          <w:lang w:val="en-US"/>
        </w:rPr>
      </w:pPr>
      <w:r w:rsidRPr="00AD64FE">
        <w:rPr>
          <w:rStyle w:val="Appelnotedebasdep"/>
          <w:rFonts w:ascii="Arial" w:hAnsi="Arial" w:cs="Arial"/>
          <w:sz w:val="18"/>
          <w:szCs w:val="18"/>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Pr>
          <w:rFonts w:ascii="Arial" w:hAnsi="Arial" w:cs="Arial"/>
          <w:sz w:val="18"/>
          <w:szCs w:val="18"/>
          <w:lang w:val="en-US"/>
        </w:rPr>
        <w:tab/>
      </w:r>
      <w:r w:rsidRPr="00AD64FE">
        <w:rPr>
          <w:rFonts w:ascii="Arial" w:hAnsi="Arial" w:cs="Arial"/>
          <w:sz w:val="18"/>
          <w:szCs w:val="18"/>
          <w:lang w:val="en-US"/>
        </w:rPr>
        <w:t xml:space="preserve">Documents </w:t>
      </w:r>
      <w:hyperlink r:id="rId53" w:history="1">
        <w:r w:rsidRPr="00AD64FE">
          <w:rPr>
            <w:rStyle w:val="Lienhypertexte"/>
            <w:rFonts w:ascii="Arial" w:hAnsi="Arial" w:cs="Arial"/>
            <w:sz w:val="18"/>
            <w:szCs w:val="18"/>
            <w:lang w:val="en-US"/>
          </w:rPr>
          <w:t>ITH/15/10.COM/4</w:t>
        </w:r>
      </w:hyperlink>
      <w:r w:rsidRPr="00AD64FE">
        <w:rPr>
          <w:rFonts w:ascii="Arial" w:hAnsi="Arial" w:cs="Arial"/>
          <w:bCs/>
          <w:color w:val="414042"/>
          <w:sz w:val="18"/>
          <w:szCs w:val="18"/>
          <w:lang w:val="en-US"/>
        </w:rPr>
        <w:t xml:space="preserve">, </w:t>
      </w:r>
      <w:hyperlink r:id="rId54" w:history="1">
        <w:r w:rsidRPr="00AD64FE">
          <w:rPr>
            <w:rStyle w:val="Lienhypertexte"/>
            <w:rFonts w:ascii="Arial" w:hAnsi="Arial" w:cs="Arial"/>
            <w:bCs/>
            <w:sz w:val="18"/>
            <w:szCs w:val="18"/>
            <w:lang w:val="en-US"/>
          </w:rPr>
          <w:t>ITH/16/11.COM/4</w:t>
        </w:r>
      </w:hyperlink>
      <w:r w:rsidRPr="00AD64FE">
        <w:rPr>
          <w:rStyle w:val="lev"/>
          <w:rFonts w:ascii="Arial" w:hAnsi="Arial" w:cs="Arial"/>
          <w:b w:val="0"/>
          <w:color w:val="414042"/>
          <w:sz w:val="18"/>
          <w:szCs w:val="18"/>
          <w:lang w:val="en-US"/>
        </w:rPr>
        <w:t xml:space="preserve">, </w:t>
      </w:r>
      <w:hyperlink r:id="rId55" w:history="1">
        <w:r w:rsidRPr="00AD64FE">
          <w:rPr>
            <w:rStyle w:val="Lienhypertexte"/>
            <w:rFonts w:ascii="Arial" w:hAnsi="Arial" w:cs="Arial"/>
            <w:sz w:val="18"/>
            <w:szCs w:val="18"/>
            <w:lang w:val="en-US"/>
          </w:rPr>
          <w:t>ITH/17/12.COM/4</w:t>
        </w:r>
      </w:hyperlink>
      <w:r w:rsidRPr="00AD64FE">
        <w:rPr>
          <w:rStyle w:val="lev"/>
          <w:rFonts w:ascii="Arial" w:hAnsi="Arial" w:cs="Arial"/>
          <w:b w:val="0"/>
          <w:color w:val="414042"/>
          <w:sz w:val="18"/>
          <w:szCs w:val="18"/>
          <w:lang w:val="en-US"/>
        </w:rPr>
        <w:t xml:space="preserve"> and </w:t>
      </w:r>
      <w:hyperlink r:id="rId56" w:history="1">
        <w:r w:rsidRPr="00AD64FE">
          <w:rPr>
            <w:rStyle w:val="Lienhypertexte"/>
            <w:rFonts w:ascii="Arial" w:hAnsi="Arial" w:cs="Arial"/>
            <w:sz w:val="18"/>
            <w:szCs w:val="18"/>
            <w:lang w:val="en-US"/>
          </w:rPr>
          <w:t>ITH/18/13.COM/4</w:t>
        </w:r>
      </w:hyperlink>
    </w:p>
  </w:footnote>
  <w:footnote w:id="30">
    <w:p w14:paraId="3E0139DE" w14:textId="64945BE5"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US"/>
        </w:rPr>
        <w:t>.</w:t>
      </w:r>
      <w:r w:rsidRPr="00AD64FE">
        <w:rPr>
          <w:rFonts w:ascii="Arial" w:hAnsi="Arial" w:cs="Arial"/>
          <w:sz w:val="18"/>
          <w:szCs w:val="18"/>
          <w:lang w:val="en-US"/>
        </w:rPr>
        <w:t xml:space="preserve"> </w:t>
      </w:r>
      <w:r w:rsidRPr="00AD64FE">
        <w:rPr>
          <w:rFonts w:ascii="Arial" w:hAnsi="Arial" w:cs="Arial"/>
          <w:sz w:val="18"/>
          <w:szCs w:val="18"/>
          <w:lang w:val="en-US"/>
        </w:rPr>
        <w:tab/>
      </w:r>
      <w:hyperlink r:id="rId57" w:history="1">
        <w:r w:rsidRPr="00AD64FE">
          <w:rPr>
            <w:rStyle w:val="Lienhypertexte"/>
            <w:rFonts w:ascii="Arial" w:hAnsi="Arial" w:cs="Arial"/>
            <w:sz w:val="18"/>
            <w:szCs w:val="18"/>
            <w:lang w:val="en-GB"/>
          </w:rPr>
          <w:t>Decision 11.COM 10</w:t>
        </w:r>
      </w:hyperlink>
    </w:p>
  </w:footnote>
  <w:footnote w:id="31">
    <w:p w14:paraId="1F5AD1C7" w14:textId="4516B80A" w:rsidR="00FD7442" w:rsidRPr="00AD64FE" w:rsidRDefault="00FD7442" w:rsidP="003C67A9">
      <w:pPr>
        <w:pStyle w:val="Notedebasdepage"/>
        <w:tabs>
          <w:tab w:val="left" w:pos="567"/>
        </w:tabs>
        <w:rPr>
          <w:rFonts w:ascii="Arial" w:hAnsi="Arial" w:cs="Arial"/>
          <w:sz w:val="18"/>
          <w:szCs w:val="18"/>
          <w:lang w:val="en-GB"/>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lang w:val="en-GB"/>
        </w:rPr>
        <w:t>.</w:t>
      </w:r>
      <w:r w:rsidRPr="00AD64FE">
        <w:rPr>
          <w:rFonts w:ascii="Arial" w:hAnsi="Arial" w:cs="Arial"/>
          <w:sz w:val="18"/>
          <w:szCs w:val="18"/>
          <w:lang w:val="en-GB"/>
        </w:rPr>
        <w:t xml:space="preserve"> </w:t>
      </w:r>
      <w:r w:rsidRPr="00AD64FE">
        <w:rPr>
          <w:rFonts w:ascii="Arial" w:hAnsi="Arial" w:cs="Arial"/>
          <w:sz w:val="18"/>
          <w:szCs w:val="18"/>
          <w:lang w:val="en-GB"/>
        </w:rPr>
        <w:tab/>
      </w:r>
      <w:hyperlink r:id="rId58" w:history="1">
        <w:r w:rsidRPr="00AD64FE">
          <w:rPr>
            <w:rStyle w:val="Lienhypertexte"/>
            <w:rFonts w:ascii="Arial" w:hAnsi="Arial" w:cs="Arial"/>
            <w:sz w:val="18"/>
            <w:szCs w:val="18"/>
            <w:lang w:val="en-GB"/>
          </w:rPr>
          <w:t>Decision 12.COM 13</w:t>
        </w:r>
      </w:hyperlink>
    </w:p>
  </w:footnote>
  <w:footnote w:id="32">
    <w:p w14:paraId="436DBE33" w14:textId="088AECD3" w:rsidR="00FD7442" w:rsidRPr="00AD64FE" w:rsidRDefault="00FD7442" w:rsidP="0032070E">
      <w:pPr>
        <w:pStyle w:val="Notedebasdepage"/>
        <w:tabs>
          <w:tab w:val="left" w:pos="567"/>
        </w:tabs>
        <w:rPr>
          <w:lang w:val="en-US"/>
        </w:rPr>
      </w:pPr>
      <w:r w:rsidRPr="0032070E">
        <w:rPr>
          <w:rStyle w:val="Appelnotedebasdep"/>
        </w:rPr>
        <w:footnoteRef/>
      </w:r>
      <w:r w:rsidRPr="00AD64FE">
        <w:rPr>
          <w:vertAlign w:val="superscript"/>
          <w:lang w:val="en-US"/>
        </w:rPr>
        <w:t>.</w:t>
      </w:r>
      <w:r w:rsidRPr="00AD64FE">
        <w:rPr>
          <w:lang w:val="en-US"/>
        </w:rPr>
        <w:t xml:space="preserve"> </w:t>
      </w:r>
      <w:r>
        <w:rPr>
          <w:lang w:val="en-US"/>
        </w:rPr>
        <w:tab/>
      </w:r>
      <w:hyperlink r:id="rId59" w:history="1">
        <w:r w:rsidRPr="00AD64FE">
          <w:rPr>
            <w:rStyle w:val="Lienhypertexte"/>
            <w:rFonts w:ascii="Arial" w:hAnsi="Arial" w:cs="Arial"/>
            <w:sz w:val="18"/>
            <w:szCs w:val="18"/>
            <w:lang w:val="en-US"/>
          </w:rPr>
          <w:t>Decision 13.COM 16</w:t>
        </w:r>
      </w:hyperlink>
    </w:p>
  </w:footnote>
  <w:footnote w:id="33">
    <w:p w14:paraId="45C03E66" w14:textId="1414FC5E" w:rsidR="00FD7442" w:rsidRPr="0043383E" w:rsidRDefault="00FD7442" w:rsidP="003C67A9">
      <w:pPr>
        <w:pStyle w:val="Notedebasdepage"/>
        <w:tabs>
          <w:tab w:val="left" w:pos="567"/>
        </w:tabs>
        <w:rPr>
          <w:rFonts w:ascii="Arial" w:hAnsi="Arial" w:cs="Arial"/>
          <w:sz w:val="18"/>
          <w:szCs w:val="18"/>
        </w:rPr>
      </w:pPr>
      <w:r w:rsidRPr="00AD64FE">
        <w:rPr>
          <w:rStyle w:val="Appelnotedebasdep"/>
          <w:rFonts w:ascii="Arial" w:hAnsi="Arial" w:cs="Arial"/>
          <w:sz w:val="18"/>
          <w:szCs w:val="18"/>
          <w:lang w:val="en-GB"/>
        </w:rPr>
        <w:footnoteRef/>
      </w:r>
      <w:r w:rsidRPr="00AD64FE">
        <w:rPr>
          <w:rFonts w:ascii="Arial" w:hAnsi="Arial" w:cs="Arial"/>
          <w:sz w:val="18"/>
          <w:szCs w:val="18"/>
          <w:vertAlign w:val="superscript"/>
        </w:rPr>
        <w:t>.</w:t>
      </w:r>
      <w:r w:rsidRPr="00AD64FE">
        <w:rPr>
          <w:rFonts w:ascii="Arial" w:hAnsi="Arial" w:cs="Arial"/>
          <w:sz w:val="18"/>
          <w:szCs w:val="18"/>
        </w:rPr>
        <w:t xml:space="preserve"> </w:t>
      </w:r>
      <w:r w:rsidRPr="009A7098">
        <w:rPr>
          <w:rFonts w:ascii="Arial" w:hAnsi="Arial" w:cs="Arial"/>
          <w:sz w:val="18"/>
          <w:szCs w:val="18"/>
        </w:rPr>
        <w:tab/>
      </w:r>
      <w:hyperlink r:id="rId60" w:history="1">
        <w:r w:rsidRPr="0043383E">
          <w:rPr>
            <w:rStyle w:val="Lienhypertexte"/>
            <w:rFonts w:ascii="Arial" w:hAnsi="Arial" w:cs="Arial"/>
            <w:sz w:val="18"/>
            <w:szCs w:val="18"/>
          </w:rPr>
          <w:t>Document LHE/19/14.COM/10</w:t>
        </w:r>
      </w:hyperlink>
    </w:p>
  </w:footnote>
  <w:footnote w:id="34">
    <w:p w14:paraId="1B55F4A4" w14:textId="0E1E0BD0" w:rsidR="00FD7442" w:rsidRPr="00AD64FE" w:rsidRDefault="00FD7442" w:rsidP="003C67A9">
      <w:pPr>
        <w:pStyle w:val="Notedebasdepage"/>
        <w:tabs>
          <w:tab w:val="left" w:pos="567"/>
        </w:tabs>
        <w:rPr>
          <w:rFonts w:ascii="Arial" w:hAnsi="Arial" w:cs="Arial"/>
          <w:sz w:val="18"/>
          <w:szCs w:val="18"/>
        </w:rPr>
      </w:pPr>
      <w:r w:rsidRPr="0043383E">
        <w:rPr>
          <w:rStyle w:val="Appelnotedebasdep"/>
          <w:rFonts w:ascii="Arial" w:hAnsi="Arial" w:cs="Arial"/>
          <w:sz w:val="18"/>
          <w:szCs w:val="18"/>
        </w:rPr>
        <w:footnoteRef/>
      </w:r>
      <w:r w:rsidRPr="0043383E">
        <w:rPr>
          <w:rFonts w:ascii="Arial" w:hAnsi="Arial" w:cs="Arial"/>
          <w:sz w:val="18"/>
          <w:szCs w:val="18"/>
          <w:vertAlign w:val="superscript"/>
        </w:rPr>
        <w:t>.</w:t>
      </w:r>
      <w:r w:rsidRPr="0043383E">
        <w:rPr>
          <w:rFonts w:ascii="Arial" w:hAnsi="Arial" w:cs="Arial"/>
          <w:sz w:val="18"/>
          <w:szCs w:val="18"/>
        </w:rPr>
        <w:t xml:space="preserve"> </w:t>
      </w:r>
      <w:r w:rsidRPr="0043383E">
        <w:rPr>
          <w:rFonts w:ascii="Arial" w:hAnsi="Arial" w:cs="Arial"/>
          <w:sz w:val="18"/>
          <w:szCs w:val="18"/>
        </w:rPr>
        <w:tab/>
      </w:r>
      <w:hyperlink r:id="rId61" w:history="1">
        <w:r w:rsidRPr="0043383E">
          <w:rPr>
            <w:rStyle w:val="Lienhypertexte"/>
            <w:rFonts w:ascii="Arial" w:hAnsi="Arial" w:cs="Arial"/>
            <w:sz w:val="18"/>
            <w:szCs w:val="18"/>
          </w:rPr>
          <w:t>Document LHE/19/14.COM/19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0820" w14:textId="0FA27876" w:rsidR="00FD7442" w:rsidRPr="00C23A97" w:rsidRDefault="00FD7442" w:rsidP="00C5776D">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107008">
      <w:rPr>
        <w:rStyle w:val="Numrodepage"/>
        <w:rFonts w:ascii="Arial" w:hAnsi="Arial" w:cs="Arial"/>
        <w:noProof/>
        <w:sz w:val="20"/>
        <w:szCs w:val="20"/>
        <w:lang w:val="en-GB"/>
      </w:rPr>
      <w:t>12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6BCD" w14:textId="4AF89D91" w:rsidR="00FD7442" w:rsidRPr="0063300C" w:rsidRDefault="00FD7442" w:rsidP="00C5776D">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14</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107008">
      <w:rPr>
        <w:rStyle w:val="Numrodepage"/>
        <w:rFonts w:ascii="Arial" w:hAnsi="Arial" w:cs="Arial"/>
        <w:noProof/>
        <w:sz w:val="20"/>
        <w:szCs w:val="20"/>
        <w:lang w:val="en-GB"/>
      </w:rPr>
      <w:t>9</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2445" w14:textId="77777777" w:rsidR="00FD7442" w:rsidRPr="00E95AE2" w:rsidRDefault="00FD7442">
    <w:pPr>
      <w:pStyle w:val="En-tte"/>
      <w:rPr>
        <w:sz w:val="22"/>
        <w:szCs w:val="22"/>
        <w:lang w:val="en-GB"/>
      </w:rPr>
    </w:pPr>
    <w:r>
      <w:rPr>
        <w:noProof/>
        <w:lang w:eastAsia="ja-JP"/>
      </w:rPr>
      <w:drawing>
        <wp:anchor distT="0" distB="0" distL="114300" distR="114300" simplePos="0" relativeHeight="251657728" behindDoc="0" locked="0" layoutInCell="1" allowOverlap="1" wp14:anchorId="2AF6DA0C" wp14:editId="5B17C19B">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947E6" w14:textId="77777777" w:rsidR="00FD7442" w:rsidRPr="00F30DC6" w:rsidRDefault="00FD7442" w:rsidP="00C5776D">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7A3844C7" w14:textId="77777777" w:rsidR="00FD7442" w:rsidRPr="009D5428" w:rsidRDefault="00FD7442"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14</w:t>
    </w:r>
  </w:p>
  <w:p w14:paraId="5BB37ACE" w14:textId="54FA254D" w:rsidR="00FD7442" w:rsidRPr="00337CEB" w:rsidRDefault="00FD7442"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Paris</w:t>
    </w:r>
    <w:r w:rsidRPr="00401DF7">
      <w:rPr>
        <w:rFonts w:ascii="Arial" w:hAnsi="Arial" w:cs="Arial"/>
        <w:b/>
        <w:sz w:val="22"/>
        <w:szCs w:val="22"/>
        <w:lang w:val="en-GB"/>
      </w:rPr>
      <w:t xml:space="preserve">, </w:t>
    </w:r>
    <w:r w:rsidR="00401DF7">
      <w:rPr>
        <w:rFonts w:ascii="Arial" w:hAnsi="Arial" w:cs="Arial"/>
        <w:b/>
        <w:sz w:val="22"/>
        <w:szCs w:val="22"/>
        <w:lang w:val="en-GB"/>
      </w:rPr>
      <w:t>8</w:t>
    </w:r>
    <w:r w:rsidRPr="00401DF7">
      <w:rPr>
        <w:rFonts w:ascii="Arial" w:hAnsi="Arial" w:cs="Arial"/>
        <w:b/>
        <w:sz w:val="22"/>
        <w:szCs w:val="22"/>
        <w:lang w:val="en-GB"/>
      </w:rPr>
      <w:t xml:space="preserve"> </w:t>
    </w:r>
    <w:r w:rsidR="00401DF7">
      <w:rPr>
        <w:rFonts w:ascii="Arial" w:hAnsi="Arial" w:cs="Arial"/>
        <w:b/>
        <w:sz w:val="22"/>
        <w:szCs w:val="22"/>
        <w:lang w:val="en-GB"/>
      </w:rPr>
      <w:t xml:space="preserve">November </w:t>
    </w:r>
    <w:r w:rsidRPr="00401DF7">
      <w:rPr>
        <w:rFonts w:ascii="Arial" w:hAnsi="Arial" w:cs="Arial"/>
        <w:b/>
        <w:sz w:val="22"/>
        <w:szCs w:val="22"/>
        <w:lang w:val="en-GB"/>
      </w:rPr>
      <w:t>201</w:t>
    </w:r>
    <w:r w:rsidRPr="00401DF7">
      <w:rPr>
        <w:rFonts w:ascii="Arial" w:eastAsiaTheme="minorEastAsia" w:hAnsi="Arial" w:cs="Arial"/>
        <w:b/>
        <w:sz w:val="22"/>
        <w:szCs w:val="22"/>
        <w:lang w:val="en-GB" w:eastAsia="ko-KR"/>
      </w:rPr>
      <w:t>9</w:t>
    </w:r>
  </w:p>
  <w:p w14:paraId="0F7B1C10" w14:textId="77777777" w:rsidR="00FD7442" w:rsidRPr="00F32C23" w:rsidRDefault="00FD7442"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0F04285" w14:textId="77777777" w:rsidR="00FD7442" w:rsidRPr="00E95AE2" w:rsidRDefault="00FD7442">
    <w:pPr>
      <w:pStyle w:val="En-tte"/>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9EDF" w14:textId="7EF1F0AE" w:rsidR="00FD7442" w:rsidRPr="00E95AE2" w:rsidRDefault="00FD7442" w:rsidP="000E62D3">
    <w:pPr>
      <w:pStyle w:val="En-tte"/>
      <w:jc w:val="right"/>
      <w:rPr>
        <w:sz w:val="22"/>
        <w:szCs w:val="22"/>
        <w:lang w:val="en-GB"/>
      </w:rPr>
    </w:pPr>
  </w:p>
  <w:p w14:paraId="4FDD62D8" w14:textId="39A9AA33" w:rsidR="00FD7442" w:rsidRPr="00C23A97" w:rsidRDefault="00FD7442" w:rsidP="000E62D3">
    <w:pPr>
      <w:pStyle w:val="En-tte"/>
      <w:jc w:val="right"/>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107008">
      <w:rPr>
        <w:rStyle w:val="Numrodepage"/>
        <w:rFonts w:ascii="Arial" w:hAnsi="Arial" w:cs="Arial"/>
        <w:noProof/>
        <w:sz w:val="20"/>
        <w:szCs w:val="20"/>
        <w:lang w:val="en-GB"/>
      </w:rPr>
      <w:t>13</w:t>
    </w:r>
    <w:r w:rsidRPr="00C23A97">
      <w:rPr>
        <w:rStyle w:val="Numrodepage"/>
        <w:rFonts w:ascii="Arial" w:hAnsi="Arial" w:cs="Arial"/>
        <w:sz w:val="20"/>
        <w:szCs w:val="20"/>
        <w:lang w:val="en-GB"/>
      </w:rPr>
      <w:fldChar w:fldCharType="end"/>
    </w:r>
  </w:p>
  <w:p w14:paraId="2174791B" w14:textId="77777777" w:rsidR="00FD7442" w:rsidRPr="00E95AE2" w:rsidRDefault="00FD7442">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2D75349"/>
    <w:multiLevelType w:val="hybridMultilevel"/>
    <w:tmpl w:val="B5505D72"/>
    <w:lvl w:ilvl="0" w:tplc="E09EB8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2DF05A1"/>
    <w:multiLevelType w:val="hybridMultilevel"/>
    <w:tmpl w:val="817A9F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8" w15:restartNumberingAfterBreak="0">
    <w:nsid w:val="2D4A25E2"/>
    <w:multiLevelType w:val="hybridMultilevel"/>
    <w:tmpl w:val="EDD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lvlText w:val="%1."/>
      <w:lvlJc w:val="left"/>
      <w:pPr>
        <w:ind w:left="3763"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10"/>
  </w:num>
  <w:num w:numId="3">
    <w:abstractNumId w:val="11"/>
  </w:num>
  <w:num w:numId="4">
    <w:abstractNumId w:val="12"/>
  </w:num>
  <w:num w:numId="5">
    <w:abstractNumId w:val="14"/>
  </w:num>
  <w:num w:numId="6">
    <w:abstractNumId w:val="0"/>
  </w:num>
  <w:num w:numId="7">
    <w:abstractNumId w:val="8"/>
  </w:num>
  <w:num w:numId="8">
    <w:abstractNumId w:val="10"/>
  </w:num>
  <w:num w:numId="9">
    <w:abstractNumId w:val="10"/>
  </w:num>
  <w:num w:numId="10">
    <w:abstractNumId w:val="10"/>
  </w:num>
  <w:num w:numId="11">
    <w:abstractNumId w:val="10"/>
  </w:num>
  <w:num w:numId="12">
    <w:abstractNumId w:val="2"/>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3"/>
  </w:num>
  <w:num w:numId="20">
    <w:abstractNumId w:val="10"/>
  </w:num>
  <w:num w:numId="21">
    <w:abstractNumId w:val="10"/>
  </w:num>
  <w:num w:numId="22">
    <w:abstractNumId w:val="10"/>
  </w:num>
  <w:num w:numId="23">
    <w:abstractNumId w:val="10"/>
  </w:num>
  <w:num w:numId="24">
    <w:abstractNumId w:val="12"/>
  </w:num>
  <w:num w:numId="25">
    <w:abstractNumId w:val="10"/>
  </w:num>
  <w:num w:numId="26">
    <w:abstractNumId w:val="12"/>
  </w:num>
  <w:num w:numId="27">
    <w:abstractNumId w:val="12"/>
  </w:num>
  <w:num w:numId="28">
    <w:abstractNumId w:val="12"/>
  </w:num>
  <w:num w:numId="29">
    <w:abstractNumId w:val="12"/>
  </w:num>
  <w:num w:numId="30">
    <w:abstractNumId w:val="10"/>
  </w:num>
  <w:num w:numId="31">
    <w:abstractNumId w:val="10"/>
  </w:num>
  <w:num w:numId="32">
    <w:abstractNumId w:val="10"/>
  </w:num>
  <w:num w:numId="33">
    <w:abstractNumId w:val="4"/>
  </w:num>
  <w:num w:numId="34">
    <w:abstractNumId w:val="10"/>
  </w:num>
  <w:num w:numId="35">
    <w:abstractNumId w:val="10"/>
  </w:num>
  <w:num w:numId="36">
    <w:abstractNumId w:val="10"/>
  </w:num>
  <w:num w:numId="37">
    <w:abstractNumId w:val="10"/>
  </w:num>
  <w:num w:numId="38">
    <w:abstractNumId w:val="10"/>
  </w:num>
  <w:num w:numId="39">
    <w:abstractNumId w:val="9"/>
  </w:num>
  <w:num w:numId="40">
    <w:abstractNumId w:val="5"/>
  </w:num>
  <w:num w:numId="41">
    <w:abstractNumId w:val="10"/>
  </w:num>
  <w:num w:numId="42">
    <w:abstractNumId w:val="10"/>
  </w:num>
  <w:num w:numId="43">
    <w:abstractNumId w:val="10"/>
  </w:num>
  <w:num w:numId="44">
    <w:abstractNumId w:val="10"/>
  </w:num>
  <w:num w:numId="45">
    <w:abstractNumId w:val="10"/>
  </w:num>
  <w:num w:numId="46">
    <w:abstractNumId w:val="12"/>
  </w:num>
  <w:num w:numId="47">
    <w:abstractNumId w:val="10"/>
  </w:num>
  <w:num w:numId="48">
    <w:abstractNumId w:val="10"/>
  </w:num>
  <w:num w:numId="49">
    <w:abstractNumId w:val="10"/>
  </w:num>
  <w:num w:numId="50">
    <w:abstractNumId w:val="10"/>
  </w:num>
  <w:num w:numId="51">
    <w:abstractNumId w:val="10"/>
  </w:num>
  <w:num w:numId="52">
    <w:abstractNumId w:val="13"/>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6"/>
  </w:num>
  <w:num w:numId="60">
    <w:abstractNumId w:val="10"/>
  </w:num>
  <w:num w:numId="61">
    <w:abstractNumId w:val="7"/>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4CB"/>
    <w:rsid w:val="000048ED"/>
    <w:rsid w:val="00004ED6"/>
    <w:rsid w:val="0000770E"/>
    <w:rsid w:val="000106DB"/>
    <w:rsid w:val="000110F1"/>
    <w:rsid w:val="000119FD"/>
    <w:rsid w:val="00015780"/>
    <w:rsid w:val="00023003"/>
    <w:rsid w:val="0002336B"/>
    <w:rsid w:val="0002508A"/>
    <w:rsid w:val="000256AE"/>
    <w:rsid w:val="00025D3F"/>
    <w:rsid w:val="000266B0"/>
    <w:rsid w:val="00030881"/>
    <w:rsid w:val="00040F2E"/>
    <w:rsid w:val="00041A66"/>
    <w:rsid w:val="00042D88"/>
    <w:rsid w:val="0004343D"/>
    <w:rsid w:val="00044D04"/>
    <w:rsid w:val="0005176E"/>
    <w:rsid w:val="0005400D"/>
    <w:rsid w:val="000562A2"/>
    <w:rsid w:val="00056D12"/>
    <w:rsid w:val="000601DB"/>
    <w:rsid w:val="0006276C"/>
    <w:rsid w:val="000644A7"/>
    <w:rsid w:val="00065959"/>
    <w:rsid w:val="00067C5A"/>
    <w:rsid w:val="00067F46"/>
    <w:rsid w:val="00072359"/>
    <w:rsid w:val="00073DF8"/>
    <w:rsid w:val="000765F7"/>
    <w:rsid w:val="00077AB7"/>
    <w:rsid w:val="00081017"/>
    <w:rsid w:val="0008170C"/>
    <w:rsid w:val="000819EF"/>
    <w:rsid w:val="00081CD8"/>
    <w:rsid w:val="000825CF"/>
    <w:rsid w:val="00087870"/>
    <w:rsid w:val="00087BAE"/>
    <w:rsid w:val="00093BDE"/>
    <w:rsid w:val="00093D91"/>
    <w:rsid w:val="000A243E"/>
    <w:rsid w:val="000A4203"/>
    <w:rsid w:val="000A4D1E"/>
    <w:rsid w:val="000A7F0E"/>
    <w:rsid w:val="000B1C8F"/>
    <w:rsid w:val="000B7AE7"/>
    <w:rsid w:val="000C0D61"/>
    <w:rsid w:val="000C2A0F"/>
    <w:rsid w:val="000C2B5E"/>
    <w:rsid w:val="000C2C76"/>
    <w:rsid w:val="000C7430"/>
    <w:rsid w:val="000C76C2"/>
    <w:rsid w:val="000C7F14"/>
    <w:rsid w:val="000D1D84"/>
    <w:rsid w:val="000D2E25"/>
    <w:rsid w:val="000D302E"/>
    <w:rsid w:val="000D4485"/>
    <w:rsid w:val="000D7867"/>
    <w:rsid w:val="000D797A"/>
    <w:rsid w:val="000E1B23"/>
    <w:rsid w:val="000E1F3F"/>
    <w:rsid w:val="000E2FCD"/>
    <w:rsid w:val="000E44DD"/>
    <w:rsid w:val="000E62D3"/>
    <w:rsid w:val="000E67AA"/>
    <w:rsid w:val="000E7362"/>
    <w:rsid w:val="000F21AC"/>
    <w:rsid w:val="000F3102"/>
    <w:rsid w:val="000F3A3F"/>
    <w:rsid w:val="000F7F86"/>
    <w:rsid w:val="00102557"/>
    <w:rsid w:val="001033CB"/>
    <w:rsid w:val="001061F9"/>
    <w:rsid w:val="00106CEB"/>
    <w:rsid w:val="00107008"/>
    <w:rsid w:val="00107D4A"/>
    <w:rsid w:val="001121F5"/>
    <w:rsid w:val="00112CA6"/>
    <w:rsid w:val="0011312E"/>
    <w:rsid w:val="00117258"/>
    <w:rsid w:val="001212FE"/>
    <w:rsid w:val="00125634"/>
    <w:rsid w:val="00130C85"/>
    <w:rsid w:val="00132C2D"/>
    <w:rsid w:val="00132D16"/>
    <w:rsid w:val="00133897"/>
    <w:rsid w:val="00133CE3"/>
    <w:rsid w:val="0014086A"/>
    <w:rsid w:val="00143EBD"/>
    <w:rsid w:val="001450D7"/>
    <w:rsid w:val="00145FBC"/>
    <w:rsid w:val="001475AE"/>
    <w:rsid w:val="0015101C"/>
    <w:rsid w:val="00155BBC"/>
    <w:rsid w:val="00157FE5"/>
    <w:rsid w:val="00160046"/>
    <w:rsid w:val="00160AFD"/>
    <w:rsid w:val="0016196D"/>
    <w:rsid w:val="001648C3"/>
    <w:rsid w:val="00164D56"/>
    <w:rsid w:val="00167B10"/>
    <w:rsid w:val="001715EC"/>
    <w:rsid w:val="00171A45"/>
    <w:rsid w:val="0017402F"/>
    <w:rsid w:val="00175108"/>
    <w:rsid w:val="00181F71"/>
    <w:rsid w:val="001853DA"/>
    <w:rsid w:val="001909F0"/>
    <w:rsid w:val="00190CDE"/>
    <w:rsid w:val="001938B4"/>
    <w:rsid w:val="001956CF"/>
    <w:rsid w:val="001956EB"/>
    <w:rsid w:val="00196C1B"/>
    <w:rsid w:val="00196C8E"/>
    <w:rsid w:val="00196ECD"/>
    <w:rsid w:val="001A071A"/>
    <w:rsid w:val="001A1AA5"/>
    <w:rsid w:val="001A1C6F"/>
    <w:rsid w:val="001A5247"/>
    <w:rsid w:val="001B0F73"/>
    <w:rsid w:val="001B16C6"/>
    <w:rsid w:val="001B230A"/>
    <w:rsid w:val="001B2BE0"/>
    <w:rsid w:val="001B3FF5"/>
    <w:rsid w:val="001B7185"/>
    <w:rsid w:val="001C2DB7"/>
    <w:rsid w:val="001C3F03"/>
    <w:rsid w:val="001C42A2"/>
    <w:rsid w:val="001C55AE"/>
    <w:rsid w:val="001C55D4"/>
    <w:rsid w:val="001C567F"/>
    <w:rsid w:val="001C5FAC"/>
    <w:rsid w:val="001C6244"/>
    <w:rsid w:val="001D14FE"/>
    <w:rsid w:val="001D5C04"/>
    <w:rsid w:val="001E16DF"/>
    <w:rsid w:val="001E1FBA"/>
    <w:rsid w:val="001E38D7"/>
    <w:rsid w:val="001E3937"/>
    <w:rsid w:val="001E3C25"/>
    <w:rsid w:val="001E4272"/>
    <w:rsid w:val="001E58FB"/>
    <w:rsid w:val="001E5EC5"/>
    <w:rsid w:val="001F26CF"/>
    <w:rsid w:val="001F319E"/>
    <w:rsid w:val="001F4104"/>
    <w:rsid w:val="001F46C2"/>
    <w:rsid w:val="001F6AD0"/>
    <w:rsid w:val="00201471"/>
    <w:rsid w:val="00202C6E"/>
    <w:rsid w:val="002107ED"/>
    <w:rsid w:val="00210E9E"/>
    <w:rsid w:val="00211AC9"/>
    <w:rsid w:val="00211BAD"/>
    <w:rsid w:val="00213E64"/>
    <w:rsid w:val="00221096"/>
    <w:rsid w:val="00222573"/>
    <w:rsid w:val="00222A2D"/>
    <w:rsid w:val="00223029"/>
    <w:rsid w:val="00225860"/>
    <w:rsid w:val="00227268"/>
    <w:rsid w:val="00231A2E"/>
    <w:rsid w:val="00234745"/>
    <w:rsid w:val="0023511B"/>
    <w:rsid w:val="002351A6"/>
    <w:rsid w:val="00236BA5"/>
    <w:rsid w:val="002374D2"/>
    <w:rsid w:val="002376C6"/>
    <w:rsid w:val="002407AF"/>
    <w:rsid w:val="00241749"/>
    <w:rsid w:val="002430F4"/>
    <w:rsid w:val="0025207F"/>
    <w:rsid w:val="00255B0F"/>
    <w:rsid w:val="00260513"/>
    <w:rsid w:val="00260720"/>
    <w:rsid w:val="00260DE1"/>
    <w:rsid w:val="00266055"/>
    <w:rsid w:val="00266EDF"/>
    <w:rsid w:val="00267AE2"/>
    <w:rsid w:val="00267B79"/>
    <w:rsid w:val="0027466B"/>
    <w:rsid w:val="00277A31"/>
    <w:rsid w:val="002838A5"/>
    <w:rsid w:val="00283CEC"/>
    <w:rsid w:val="00285974"/>
    <w:rsid w:val="00285BB4"/>
    <w:rsid w:val="002912C0"/>
    <w:rsid w:val="00291F65"/>
    <w:rsid w:val="00297CFC"/>
    <w:rsid w:val="002A1313"/>
    <w:rsid w:val="002A20CB"/>
    <w:rsid w:val="002A3B8F"/>
    <w:rsid w:val="002A5F4D"/>
    <w:rsid w:val="002B4F9C"/>
    <w:rsid w:val="002B5813"/>
    <w:rsid w:val="002C09E3"/>
    <w:rsid w:val="002C0A66"/>
    <w:rsid w:val="002C3D79"/>
    <w:rsid w:val="002C7E8C"/>
    <w:rsid w:val="002D3367"/>
    <w:rsid w:val="002D4312"/>
    <w:rsid w:val="002D772D"/>
    <w:rsid w:val="002E00CB"/>
    <w:rsid w:val="002E24E1"/>
    <w:rsid w:val="002E26E8"/>
    <w:rsid w:val="002E2CEE"/>
    <w:rsid w:val="002E4ABB"/>
    <w:rsid w:val="002E4DCA"/>
    <w:rsid w:val="002F2344"/>
    <w:rsid w:val="002F3148"/>
    <w:rsid w:val="002F5FD4"/>
    <w:rsid w:val="002F7B6C"/>
    <w:rsid w:val="0030472A"/>
    <w:rsid w:val="00304B15"/>
    <w:rsid w:val="00307082"/>
    <w:rsid w:val="00310776"/>
    <w:rsid w:val="00311BEA"/>
    <w:rsid w:val="0031726D"/>
    <w:rsid w:val="003205D1"/>
    <w:rsid w:val="0032070E"/>
    <w:rsid w:val="003208CE"/>
    <w:rsid w:val="0032107E"/>
    <w:rsid w:val="003212CD"/>
    <w:rsid w:val="0032253F"/>
    <w:rsid w:val="003239FC"/>
    <w:rsid w:val="003319CD"/>
    <w:rsid w:val="0033256D"/>
    <w:rsid w:val="00337CEB"/>
    <w:rsid w:val="00341621"/>
    <w:rsid w:val="00344B58"/>
    <w:rsid w:val="00344F00"/>
    <w:rsid w:val="0034539A"/>
    <w:rsid w:val="003457C6"/>
    <w:rsid w:val="00345CB4"/>
    <w:rsid w:val="00350F5F"/>
    <w:rsid w:val="003523F6"/>
    <w:rsid w:val="00352C41"/>
    <w:rsid w:val="00353F3D"/>
    <w:rsid w:val="00354104"/>
    <w:rsid w:val="00360471"/>
    <w:rsid w:val="00360F80"/>
    <w:rsid w:val="00361331"/>
    <w:rsid w:val="003618B5"/>
    <w:rsid w:val="003631AB"/>
    <w:rsid w:val="003648A5"/>
    <w:rsid w:val="003676AC"/>
    <w:rsid w:val="003733E3"/>
    <w:rsid w:val="00375D42"/>
    <w:rsid w:val="00376D0F"/>
    <w:rsid w:val="00376EEC"/>
    <w:rsid w:val="003776FD"/>
    <w:rsid w:val="00380C6D"/>
    <w:rsid w:val="0038368E"/>
    <w:rsid w:val="00384175"/>
    <w:rsid w:val="0038671C"/>
    <w:rsid w:val="00386CF6"/>
    <w:rsid w:val="00390688"/>
    <w:rsid w:val="00391D1D"/>
    <w:rsid w:val="00391E79"/>
    <w:rsid w:val="003935AE"/>
    <w:rsid w:val="003A1049"/>
    <w:rsid w:val="003A12F3"/>
    <w:rsid w:val="003A1F3F"/>
    <w:rsid w:val="003A3FEF"/>
    <w:rsid w:val="003A7661"/>
    <w:rsid w:val="003A7903"/>
    <w:rsid w:val="003B1736"/>
    <w:rsid w:val="003B20C8"/>
    <w:rsid w:val="003B7BF0"/>
    <w:rsid w:val="003C2087"/>
    <w:rsid w:val="003C27B0"/>
    <w:rsid w:val="003C3F8A"/>
    <w:rsid w:val="003C4C01"/>
    <w:rsid w:val="003C649C"/>
    <w:rsid w:val="003C67A9"/>
    <w:rsid w:val="003D069C"/>
    <w:rsid w:val="003D14BD"/>
    <w:rsid w:val="003D7646"/>
    <w:rsid w:val="003E00A5"/>
    <w:rsid w:val="003E50E8"/>
    <w:rsid w:val="003E6FF6"/>
    <w:rsid w:val="003F113A"/>
    <w:rsid w:val="003F16B3"/>
    <w:rsid w:val="003F230A"/>
    <w:rsid w:val="003F3E63"/>
    <w:rsid w:val="003F5344"/>
    <w:rsid w:val="003F6DE9"/>
    <w:rsid w:val="003F75BB"/>
    <w:rsid w:val="00401366"/>
    <w:rsid w:val="00401519"/>
    <w:rsid w:val="00401DF7"/>
    <w:rsid w:val="004025A8"/>
    <w:rsid w:val="00403E56"/>
    <w:rsid w:val="00405AFC"/>
    <w:rsid w:val="00407480"/>
    <w:rsid w:val="004105C0"/>
    <w:rsid w:val="00410840"/>
    <w:rsid w:val="00414090"/>
    <w:rsid w:val="00414643"/>
    <w:rsid w:val="00415BA6"/>
    <w:rsid w:val="00422154"/>
    <w:rsid w:val="004222C5"/>
    <w:rsid w:val="00423D47"/>
    <w:rsid w:val="004309A6"/>
    <w:rsid w:val="0043383E"/>
    <w:rsid w:val="004358F1"/>
    <w:rsid w:val="004421E5"/>
    <w:rsid w:val="00444C88"/>
    <w:rsid w:val="00444D8D"/>
    <w:rsid w:val="004459A6"/>
    <w:rsid w:val="00447837"/>
    <w:rsid w:val="00447CB0"/>
    <w:rsid w:val="00447ED9"/>
    <w:rsid w:val="00452284"/>
    <w:rsid w:val="0045615D"/>
    <w:rsid w:val="00456536"/>
    <w:rsid w:val="00457C8E"/>
    <w:rsid w:val="0046187D"/>
    <w:rsid w:val="00464584"/>
    <w:rsid w:val="0046544A"/>
    <w:rsid w:val="004740AA"/>
    <w:rsid w:val="00477571"/>
    <w:rsid w:val="00480EFB"/>
    <w:rsid w:val="00485242"/>
    <w:rsid w:val="004856CA"/>
    <w:rsid w:val="00486D9E"/>
    <w:rsid w:val="00487E67"/>
    <w:rsid w:val="00491DF5"/>
    <w:rsid w:val="00492DE1"/>
    <w:rsid w:val="00496ECA"/>
    <w:rsid w:val="0049705E"/>
    <w:rsid w:val="004A05B9"/>
    <w:rsid w:val="004A190D"/>
    <w:rsid w:val="004A1982"/>
    <w:rsid w:val="004A220F"/>
    <w:rsid w:val="004A2875"/>
    <w:rsid w:val="004A34A0"/>
    <w:rsid w:val="004A50A1"/>
    <w:rsid w:val="004A5FCD"/>
    <w:rsid w:val="004A7593"/>
    <w:rsid w:val="004B33FE"/>
    <w:rsid w:val="004B4541"/>
    <w:rsid w:val="004D00B0"/>
    <w:rsid w:val="004D1217"/>
    <w:rsid w:val="004D6FAE"/>
    <w:rsid w:val="004E0665"/>
    <w:rsid w:val="004E3246"/>
    <w:rsid w:val="004E3C0E"/>
    <w:rsid w:val="004E45AB"/>
    <w:rsid w:val="004E51D9"/>
    <w:rsid w:val="004F795E"/>
    <w:rsid w:val="005008A8"/>
    <w:rsid w:val="0050097A"/>
    <w:rsid w:val="00502F7A"/>
    <w:rsid w:val="00513035"/>
    <w:rsid w:val="00513136"/>
    <w:rsid w:val="00515ACB"/>
    <w:rsid w:val="00517FD8"/>
    <w:rsid w:val="00525F19"/>
    <w:rsid w:val="00526B7B"/>
    <w:rsid w:val="005308CE"/>
    <w:rsid w:val="005311C7"/>
    <w:rsid w:val="0053318C"/>
    <w:rsid w:val="00537381"/>
    <w:rsid w:val="005378C9"/>
    <w:rsid w:val="00537B7B"/>
    <w:rsid w:val="005400D6"/>
    <w:rsid w:val="005402FE"/>
    <w:rsid w:val="005454CC"/>
    <w:rsid w:val="0054563A"/>
    <w:rsid w:val="00546783"/>
    <w:rsid w:val="00550E4D"/>
    <w:rsid w:val="005513FD"/>
    <w:rsid w:val="00553C3D"/>
    <w:rsid w:val="00553EBF"/>
    <w:rsid w:val="005552D7"/>
    <w:rsid w:val="00556BE1"/>
    <w:rsid w:val="005606CD"/>
    <w:rsid w:val="00564680"/>
    <w:rsid w:val="00566906"/>
    <w:rsid w:val="005677C4"/>
    <w:rsid w:val="0057439C"/>
    <w:rsid w:val="005747B0"/>
    <w:rsid w:val="005753AD"/>
    <w:rsid w:val="00580495"/>
    <w:rsid w:val="005808BF"/>
    <w:rsid w:val="00580A60"/>
    <w:rsid w:val="005828A5"/>
    <w:rsid w:val="00586BBF"/>
    <w:rsid w:val="005871B4"/>
    <w:rsid w:val="005A114B"/>
    <w:rsid w:val="005A2734"/>
    <w:rsid w:val="005A4187"/>
    <w:rsid w:val="005A4E08"/>
    <w:rsid w:val="005A619C"/>
    <w:rsid w:val="005A6F30"/>
    <w:rsid w:val="005A7A44"/>
    <w:rsid w:val="005B0127"/>
    <w:rsid w:val="005B18C0"/>
    <w:rsid w:val="005B1A82"/>
    <w:rsid w:val="005B2839"/>
    <w:rsid w:val="005B7775"/>
    <w:rsid w:val="005B7A35"/>
    <w:rsid w:val="005C1514"/>
    <w:rsid w:val="005C2433"/>
    <w:rsid w:val="005C257C"/>
    <w:rsid w:val="005C3779"/>
    <w:rsid w:val="005C4B73"/>
    <w:rsid w:val="005C4EFC"/>
    <w:rsid w:val="005C5B7F"/>
    <w:rsid w:val="005D2FA6"/>
    <w:rsid w:val="005D32A1"/>
    <w:rsid w:val="005E1372"/>
    <w:rsid w:val="005E1D2B"/>
    <w:rsid w:val="005E4F3B"/>
    <w:rsid w:val="005E5453"/>
    <w:rsid w:val="005E6055"/>
    <w:rsid w:val="005E7074"/>
    <w:rsid w:val="005F23EB"/>
    <w:rsid w:val="005F2BAF"/>
    <w:rsid w:val="005F757E"/>
    <w:rsid w:val="0060053E"/>
    <w:rsid w:val="00600D93"/>
    <w:rsid w:val="00601BD0"/>
    <w:rsid w:val="00603A61"/>
    <w:rsid w:val="00603CCE"/>
    <w:rsid w:val="00604C4A"/>
    <w:rsid w:val="00605544"/>
    <w:rsid w:val="00605E74"/>
    <w:rsid w:val="00606C08"/>
    <w:rsid w:val="00607AAB"/>
    <w:rsid w:val="00607C65"/>
    <w:rsid w:val="00616C3A"/>
    <w:rsid w:val="00617486"/>
    <w:rsid w:val="006208B8"/>
    <w:rsid w:val="00621254"/>
    <w:rsid w:val="00623EE3"/>
    <w:rsid w:val="006243B4"/>
    <w:rsid w:val="00624E46"/>
    <w:rsid w:val="00631837"/>
    <w:rsid w:val="0063300C"/>
    <w:rsid w:val="00640C0B"/>
    <w:rsid w:val="00644BD3"/>
    <w:rsid w:val="0064545C"/>
    <w:rsid w:val="00650C8E"/>
    <w:rsid w:val="00651A5B"/>
    <w:rsid w:val="0065413E"/>
    <w:rsid w:val="00655736"/>
    <w:rsid w:val="006603A1"/>
    <w:rsid w:val="00660636"/>
    <w:rsid w:val="00662F2F"/>
    <w:rsid w:val="00663B8D"/>
    <w:rsid w:val="00664FB2"/>
    <w:rsid w:val="0067015A"/>
    <w:rsid w:val="006833ED"/>
    <w:rsid w:val="00683A5D"/>
    <w:rsid w:val="00687F66"/>
    <w:rsid w:val="006919E6"/>
    <w:rsid w:val="00695F51"/>
    <w:rsid w:val="00696C8D"/>
    <w:rsid w:val="006A0793"/>
    <w:rsid w:val="006A2AC2"/>
    <w:rsid w:val="006A3617"/>
    <w:rsid w:val="006A4155"/>
    <w:rsid w:val="006A5D3C"/>
    <w:rsid w:val="006A5D62"/>
    <w:rsid w:val="006A5E45"/>
    <w:rsid w:val="006A5F78"/>
    <w:rsid w:val="006A7EC8"/>
    <w:rsid w:val="006B2BBC"/>
    <w:rsid w:val="006C40CA"/>
    <w:rsid w:val="006C66E2"/>
    <w:rsid w:val="006D1F74"/>
    <w:rsid w:val="006D2977"/>
    <w:rsid w:val="006D3CA3"/>
    <w:rsid w:val="006D4676"/>
    <w:rsid w:val="006E34F6"/>
    <w:rsid w:val="006E3817"/>
    <w:rsid w:val="006E46E4"/>
    <w:rsid w:val="006E5592"/>
    <w:rsid w:val="006E6962"/>
    <w:rsid w:val="00704EF9"/>
    <w:rsid w:val="007056BC"/>
    <w:rsid w:val="00706476"/>
    <w:rsid w:val="00706DFA"/>
    <w:rsid w:val="00707E53"/>
    <w:rsid w:val="007129DC"/>
    <w:rsid w:val="00713A4F"/>
    <w:rsid w:val="00717DA5"/>
    <w:rsid w:val="007218DF"/>
    <w:rsid w:val="007250CB"/>
    <w:rsid w:val="00726855"/>
    <w:rsid w:val="00730FA6"/>
    <w:rsid w:val="0073323C"/>
    <w:rsid w:val="00733980"/>
    <w:rsid w:val="00734FDD"/>
    <w:rsid w:val="0073564A"/>
    <w:rsid w:val="00740B29"/>
    <w:rsid w:val="00744484"/>
    <w:rsid w:val="00744CD0"/>
    <w:rsid w:val="007473FF"/>
    <w:rsid w:val="007474DD"/>
    <w:rsid w:val="00747566"/>
    <w:rsid w:val="00747B6C"/>
    <w:rsid w:val="00750FAA"/>
    <w:rsid w:val="007539E1"/>
    <w:rsid w:val="00754D63"/>
    <w:rsid w:val="007569B3"/>
    <w:rsid w:val="00757D9F"/>
    <w:rsid w:val="00760406"/>
    <w:rsid w:val="00761D13"/>
    <w:rsid w:val="00761E46"/>
    <w:rsid w:val="00763AD3"/>
    <w:rsid w:val="00765F26"/>
    <w:rsid w:val="00770793"/>
    <w:rsid w:val="0077124A"/>
    <w:rsid w:val="00773188"/>
    <w:rsid w:val="00774A31"/>
    <w:rsid w:val="007755CE"/>
    <w:rsid w:val="00775FC1"/>
    <w:rsid w:val="007771C3"/>
    <w:rsid w:val="00781610"/>
    <w:rsid w:val="00781F62"/>
    <w:rsid w:val="00783728"/>
    <w:rsid w:val="00783782"/>
    <w:rsid w:val="00784B8C"/>
    <w:rsid w:val="00784C6C"/>
    <w:rsid w:val="007879E1"/>
    <w:rsid w:val="00791D9E"/>
    <w:rsid w:val="00793747"/>
    <w:rsid w:val="00794CB1"/>
    <w:rsid w:val="00796528"/>
    <w:rsid w:val="00796ED6"/>
    <w:rsid w:val="007A0AD3"/>
    <w:rsid w:val="007A0C1B"/>
    <w:rsid w:val="007B23FE"/>
    <w:rsid w:val="007B5FC3"/>
    <w:rsid w:val="007C1558"/>
    <w:rsid w:val="007C4528"/>
    <w:rsid w:val="007C5042"/>
    <w:rsid w:val="007D1FF7"/>
    <w:rsid w:val="007D2EA0"/>
    <w:rsid w:val="007D46D1"/>
    <w:rsid w:val="007D4973"/>
    <w:rsid w:val="007D4F2D"/>
    <w:rsid w:val="007E0B6B"/>
    <w:rsid w:val="007E1BF0"/>
    <w:rsid w:val="007E2798"/>
    <w:rsid w:val="007E3221"/>
    <w:rsid w:val="007E68F2"/>
    <w:rsid w:val="007F0B44"/>
    <w:rsid w:val="007F0FE9"/>
    <w:rsid w:val="007F2294"/>
    <w:rsid w:val="007F22F6"/>
    <w:rsid w:val="007F2C77"/>
    <w:rsid w:val="00800F6C"/>
    <w:rsid w:val="00802A5F"/>
    <w:rsid w:val="00803553"/>
    <w:rsid w:val="00803836"/>
    <w:rsid w:val="00806073"/>
    <w:rsid w:val="00806E74"/>
    <w:rsid w:val="00807BEC"/>
    <w:rsid w:val="00813998"/>
    <w:rsid w:val="0081644F"/>
    <w:rsid w:val="008179AA"/>
    <w:rsid w:val="00820266"/>
    <w:rsid w:val="008203D0"/>
    <w:rsid w:val="008228EF"/>
    <w:rsid w:val="008232AB"/>
    <w:rsid w:val="00823A11"/>
    <w:rsid w:val="008268D2"/>
    <w:rsid w:val="008321B4"/>
    <w:rsid w:val="008322E2"/>
    <w:rsid w:val="00832BCD"/>
    <w:rsid w:val="00836CCB"/>
    <w:rsid w:val="00841190"/>
    <w:rsid w:val="00842E40"/>
    <w:rsid w:val="00844A0F"/>
    <w:rsid w:val="008474A7"/>
    <w:rsid w:val="0085405E"/>
    <w:rsid w:val="0085414A"/>
    <w:rsid w:val="00855691"/>
    <w:rsid w:val="00856246"/>
    <w:rsid w:val="00856E81"/>
    <w:rsid w:val="00857EB9"/>
    <w:rsid w:val="0086269D"/>
    <w:rsid w:val="0086430E"/>
    <w:rsid w:val="0086543A"/>
    <w:rsid w:val="00867BB1"/>
    <w:rsid w:val="008724E5"/>
    <w:rsid w:val="00873D27"/>
    <w:rsid w:val="00875597"/>
    <w:rsid w:val="00881986"/>
    <w:rsid w:val="0088454A"/>
    <w:rsid w:val="00884A9D"/>
    <w:rsid w:val="00884C8D"/>
    <w:rsid w:val="0088512B"/>
    <w:rsid w:val="0088565C"/>
    <w:rsid w:val="00890171"/>
    <w:rsid w:val="00891EF2"/>
    <w:rsid w:val="00892279"/>
    <w:rsid w:val="008936B8"/>
    <w:rsid w:val="008A2B2D"/>
    <w:rsid w:val="008A4C8B"/>
    <w:rsid w:val="008A4E1E"/>
    <w:rsid w:val="008A6216"/>
    <w:rsid w:val="008B15E2"/>
    <w:rsid w:val="008B1D85"/>
    <w:rsid w:val="008B4614"/>
    <w:rsid w:val="008B6B5D"/>
    <w:rsid w:val="008C04B9"/>
    <w:rsid w:val="008C296C"/>
    <w:rsid w:val="008C32AA"/>
    <w:rsid w:val="008C695C"/>
    <w:rsid w:val="008D13EC"/>
    <w:rsid w:val="008D17CB"/>
    <w:rsid w:val="008D2B41"/>
    <w:rsid w:val="008D4305"/>
    <w:rsid w:val="008D73B8"/>
    <w:rsid w:val="008E093B"/>
    <w:rsid w:val="008E1A85"/>
    <w:rsid w:val="008E4C0C"/>
    <w:rsid w:val="008E6826"/>
    <w:rsid w:val="008E7838"/>
    <w:rsid w:val="008E7D5E"/>
    <w:rsid w:val="008F1D76"/>
    <w:rsid w:val="008F5FE8"/>
    <w:rsid w:val="008F6481"/>
    <w:rsid w:val="008F687B"/>
    <w:rsid w:val="00904E8A"/>
    <w:rsid w:val="00906D21"/>
    <w:rsid w:val="00907339"/>
    <w:rsid w:val="00907C60"/>
    <w:rsid w:val="00910792"/>
    <w:rsid w:val="009113E4"/>
    <w:rsid w:val="00911B58"/>
    <w:rsid w:val="00912AE9"/>
    <w:rsid w:val="00914533"/>
    <w:rsid w:val="00914AE2"/>
    <w:rsid w:val="00915D2E"/>
    <w:rsid w:val="009163A7"/>
    <w:rsid w:val="0092453E"/>
    <w:rsid w:val="00925BDC"/>
    <w:rsid w:val="00926962"/>
    <w:rsid w:val="009273F3"/>
    <w:rsid w:val="00927977"/>
    <w:rsid w:val="0093031D"/>
    <w:rsid w:val="00930CE2"/>
    <w:rsid w:val="00935246"/>
    <w:rsid w:val="009442D9"/>
    <w:rsid w:val="00946D0B"/>
    <w:rsid w:val="009514AC"/>
    <w:rsid w:val="009525DF"/>
    <w:rsid w:val="009540A4"/>
    <w:rsid w:val="00955877"/>
    <w:rsid w:val="00956787"/>
    <w:rsid w:val="0096272B"/>
    <w:rsid w:val="00964133"/>
    <w:rsid w:val="00964296"/>
    <w:rsid w:val="00965D8D"/>
    <w:rsid w:val="009701E2"/>
    <w:rsid w:val="00976BF3"/>
    <w:rsid w:val="00977DB4"/>
    <w:rsid w:val="009A043E"/>
    <w:rsid w:val="009A0EED"/>
    <w:rsid w:val="009A18CD"/>
    <w:rsid w:val="009A2BD3"/>
    <w:rsid w:val="009A463D"/>
    <w:rsid w:val="009A701A"/>
    <w:rsid w:val="009A7098"/>
    <w:rsid w:val="009A747A"/>
    <w:rsid w:val="009A7AFC"/>
    <w:rsid w:val="009B2F9E"/>
    <w:rsid w:val="009B4EC2"/>
    <w:rsid w:val="009C2792"/>
    <w:rsid w:val="009C397C"/>
    <w:rsid w:val="009D156F"/>
    <w:rsid w:val="009D2A6F"/>
    <w:rsid w:val="009D3CAB"/>
    <w:rsid w:val="009D5428"/>
    <w:rsid w:val="009E1288"/>
    <w:rsid w:val="009E4F36"/>
    <w:rsid w:val="009E564C"/>
    <w:rsid w:val="009E6B0B"/>
    <w:rsid w:val="009F0B40"/>
    <w:rsid w:val="009F17E4"/>
    <w:rsid w:val="009F61E2"/>
    <w:rsid w:val="00A00CC6"/>
    <w:rsid w:val="00A03051"/>
    <w:rsid w:val="00A04E41"/>
    <w:rsid w:val="00A108A4"/>
    <w:rsid w:val="00A12558"/>
    <w:rsid w:val="00A13903"/>
    <w:rsid w:val="00A2282A"/>
    <w:rsid w:val="00A261F1"/>
    <w:rsid w:val="00A3352C"/>
    <w:rsid w:val="00A33E48"/>
    <w:rsid w:val="00A34ED5"/>
    <w:rsid w:val="00A35019"/>
    <w:rsid w:val="00A37AE9"/>
    <w:rsid w:val="00A37B92"/>
    <w:rsid w:val="00A433AA"/>
    <w:rsid w:val="00A45D20"/>
    <w:rsid w:val="00A45DBF"/>
    <w:rsid w:val="00A47080"/>
    <w:rsid w:val="00A5024C"/>
    <w:rsid w:val="00A51D86"/>
    <w:rsid w:val="00A52EBC"/>
    <w:rsid w:val="00A579AA"/>
    <w:rsid w:val="00A61A7C"/>
    <w:rsid w:val="00A61BDC"/>
    <w:rsid w:val="00A715E5"/>
    <w:rsid w:val="00A72432"/>
    <w:rsid w:val="00A732AF"/>
    <w:rsid w:val="00A735DF"/>
    <w:rsid w:val="00A755A2"/>
    <w:rsid w:val="00A80C88"/>
    <w:rsid w:val="00A828D9"/>
    <w:rsid w:val="00A83F82"/>
    <w:rsid w:val="00A9475B"/>
    <w:rsid w:val="00A95842"/>
    <w:rsid w:val="00AA2EB1"/>
    <w:rsid w:val="00AA6660"/>
    <w:rsid w:val="00AA6EC0"/>
    <w:rsid w:val="00AA7B07"/>
    <w:rsid w:val="00AB1AFD"/>
    <w:rsid w:val="00AB2C36"/>
    <w:rsid w:val="00AB6DDE"/>
    <w:rsid w:val="00AB70B6"/>
    <w:rsid w:val="00AC0ECF"/>
    <w:rsid w:val="00AC11F4"/>
    <w:rsid w:val="00AC172C"/>
    <w:rsid w:val="00AC5F5D"/>
    <w:rsid w:val="00AC632D"/>
    <w:rsid w:val="00AD1A86"/>
    <w:rsid w:val="00AD2A67"/>
    <w:rsid w:val="00AD64FE"/>
    <w:rsid w:val="00AE103E"/>
    <w:rsid w:val="00AE16D3"/>
    <w:rsid w:val="00AE27F7"/>
    <w:rsid w:val="00AE59DC"/>
    <w:rsid w:val="00AF0A07"/>
    <w:rsid w:val="00AF36ED"/>
    <w:rsid w:val="00AF4AEC"/>
    <w:rsid w:val="00AF625E"/>
    <w:rsid w:val="00AF6925"/>
    <w:rsid w:val="00AF7970"/>
    <w:rsid w:val="00B00F3D"/>
    <w:rsid w:val="00B03A30"/>
    <w:rsid w:val="00B03D41"/>
    <w:rsid w:val="00B0430D"/>
    <w:rsid w:val="00B04D9F"/>
    <w:rsid w:val="00B0602A"/>
    <w:rsid w:val="00B139BE"/>
    <w:rsid w:val="00B14A3C"/>
    <w:rsid w:val="00B2293B"/>
    <w:rsid w:val="00B243AB"/>
    <w:rsid w:val="00B3113F"/>
    <w:rsid w:val="00B346E7"/>
    <w:rsid w:val="00B34B68"/>
    <w:rsid w:val="00B34BF2"/>
    <w:rsid w:val="00B35040"/>
    <w:rsid w:val="00B4268D"/>
    <w:rsid w:val="00B43602"/>
    <w:rsid w:val="00B45476"/>
    <w:rsid w:val="00B6013B"/>
    <w:rsid w:val="00B6077E"/>
    <w:rsid w:val="00B608A9"/>
    <w:rsid w:val="00B71D71"/>
    <w:rsid w:val="00B72B73"/>
    <w:rsid w:val="00B72C38"/>
    <w:rsid w:val="00B76C1E"/>
    <w:rsid w:val="00B81209"/>
    <w:rsid w:val="00B82B45"/>
    <w:rsid w:val="00B83346"/>
    <w:rsid w:val="00B85E5E"/>
    <w:rsid w:val="00B87608"/>
    <w:rsid w:val="00B92269"/>
    <w:rsid w:val="00B92B1E"/>
    <w:rsid w:val="00B962D2"/>
    <w:rsid w:val="00BA241A"/>
    <w:rsid w:val="00BA27F6"/>
    <w:rsid w:val="00BA2BB1"/>
    <w:rsid w:val="00BA59A4"/>
    <w:rsid w:val="00BA724D"/>
    <w:rsid w:val="00BA72CC"/>
    <w:rsid w:val="00BB0490"/>
    <w:rsid w:val="00BB04AF"/>
    <w:rsid w:val="00BB1977"/>
    <w:rsid w:val="00BB2BB8"/>
    <w:rsid w:val="00BB40F1"/>
    <w:rsid w:val="00BB41CD"/>
    <w:rsid w:val="00BB6B62"/>
    <w:rsid w:val="00BD0245"/>
    <w:rsid w:val="00BD1894"/>
    <w:rsid w:val="00BD289E"/>
    <w:rsid w:val="00BD3EE9"/>
    <w:rsid w:val="00BD4417"/>
    <w:rsid w:val="00BD52C9"/>
    <w:rsid w:val="00BD5F05"/>
    <w:rsid w:val="00BE050B"/>
    <w:rsid w:val="00BE22A4"/>
    <w:rsid w:val="00BE2A4D"/>
    <w:rsid w:val="00BE484F"/>
    <w:rsid w:val="00BE6354"/>
    <w:rsid w:val="00BE6737"/>
    <w:rsid w:val="00BF011A"/>
    <w:rsid w:val="00BF0B8E"/>
    <w:rsid w:val="00BF4BFD"/>
    <w:rsid w:val="00BF6BA2"/>
    <w:rsid w:val="00BF72A7"/>
    <w:rsid w:val="00C006BC"/>
    <w:rsid w:val="00C02D09"/>
    <w:rsid w:val="00C03514"/>
    <w:rsid w:val="00C053F9"/>
    <w:rsid w:val="00C138D1"/>
    <w:rsid w:val="00C159B8"/>
    <w:rsid w:val="00C17295"/>
    <w:rsid w:val="00C2122E"/>
    <w:rsid w:val="00C23A97"/>
    <w:rsid w:val="00C303E6"/>
    <w:rsid w:val="00C31098"/>
    <w:rsid w:val="00C33E4B"/>
    <w:rsid w:val="00C347ED"/>
    <w:rsid w:val="00C42A31"/>
    <w:rsid w:val="00C43AE9"/>
    <w:rsid w:val="00C464F8"/>
    <w:rsid w:val="00C465BE"/>
    <w:rsid w:val="00C50DA5"/>
    <w:rsid w:val="00C52056"/>
    <w:rsid w:val="00C52300"/>
    <w:rsid w:val="00C5776D"/>
    <w:rsid w:val="00C57F0B"/>
    <w:rsid w:val="00C57FBE"/>
    <w:rsid w:val="00C622C6"/>
    <w:rsid w:val="00C64017"/>
    <w:rsid w:val="00C64855"/>
    <w:rsid w:val="00C70EA7"/>
    <w:rsid w:val="00C71401"/>
    <w:rsid w:val="00C737AD"/>
    <w:rsid w:val="00C7433F"/>
    <w:rsid w:val="00C7516E"/>
    <w:rsid w:val="00C75770"/>
    <w:rsid w:val="00C8135C"/>
    <w:rsid w:val="00C819E0"/>
    <w:rsid w:val="00C97326"/>
    <w:rsid w:val="00CA0962"/>
    <w:rsid w:val="00CA2B8E"/>
    <w:rsid w:val="00CA3571"/>
    <w:rsid w:val="00CA437B"/>
    <w:rsid w:val="00CA4EE3"/>
    <w:rsid w:val="00CA56BB"/>
    <w:rsid w:val="00CB0542"/>
    <w:rsid w:val="00CB0D33"/>
    <w:rsid w:val="00CB67D6"/>
    <w:rsid w:val="00CC036F"/>
    <w:rsid w:val="00CC1FF5"/>
    <w:rsid w:val="00CC2406"/>
    <w:rsid w:val="00CC375D"/>
    <w:rsid w:val="00CD06E9"/>
    <w:rsid w:val="00CD36A4"/>
    <w:rsid w:val="00CD38E7"/>
    <w:rsid w:val="00CD46DF"/>
    <w:rsid w:val="00CE20B2"/>
    <w:rsid w:val="00CE2FE8"/>
    <w:rsid w:val="00CE47AA"/>
    <w:rsid w:val="00CE678D"/>
    <w:rsid w:val="00CF4EC9"/>
    <w:rsid w:val="00D00B2B"/>
    <w:rsid w:val="00D010B6"/>
    <w:rsid w:val="00D02E48"/>
    <w:rsid w:val="00D069F4"/>
    <w:rsid w:val="00D2102D"/>
    <w:rsid w:val="00D21C98"/>
    <w:rsid w:val="00D2460A"/>
    <w:rsid w:val="00D24855"/>
    <w:rsid w:val="00D24877"/>
    <w:rsid w:val="00D2626D"/>
    <w:rsid w:val="00D27CC0"/>
    <w:rsid w:val="00D34EC5"/>
    <w:rsid w:val="00D362D6"/>
    <w:rsid w:val="00D41608"/>
    <w:rsid w:val="00D43D24"/>
    <w:rsid w:val="00D458C5"/>
    <w:rsid w:val="00D525F8"/>
    <w:rsid w:val="00D52601"/>
    <w:rsid w:val="00D55DFB"/>
    <w:rsid w:val="00D63BF9"/>
    <w:rsid w:val="00D66975"/>
    <w:rsid w:val="00D70A16"/>
    <w:rsid w:val="00D74E7E"/>
    <w:rsid w:val="00D80C30"/>
    <w:rsid w:val="00D8250F"/>
    <w:rsid w:val="00D84252"/>
    <w:rsid w:val="00D844B8"/>
    <w:rsid w:val="00D87957"/>
    <w:rsid w:val="00D87B8B"/>
    <w:rsid w:val="00D91753"/>
    <w:rsid w:val="00D93955"/>
    <w:rsid w:val="00D958BD"/>
    <w:rsid w:val="00D95C4C"/>
    <w:rsid w:val="00D96924"/>
    <w:rsid w:val="00DA3378"/>
    <w:rsid w:val="00DA36ED"/>
    <w:rsid w:val="00DA722F"/>
    <w:rsid w:val="00DB04A0"/>
    <w:rsid w:val="00DB2DC2"/>
    <w:rsid w:val="00DB3A58"/>
    <w:rsid w:val="00DB6520"/>
    <w:rsid w:val="00DC04F9"/>
    <w:rsid w:val="00DC5686"/>
    <w:rsid w:val="00DC69D2"/>
    <w:rsid w:val="00DD3890"/>
    <w:rsid w:val="00DD5B3A"/>
    <w:rsid w:val="00DD61AF"/>
    <w:rsid w:val="00DE026D"/>
    <w:rsid w:val="00DE176F"/>
    <w:rsid w:val="00DE21C6"/>
    <w:rsid w:val="00DE34F1"/>
    <w:rsid w:val="00DE6160"/>
    <w:rsid w:val="00DF4942"/>
    <w:rsid w:val="00DF6918"/>
    <w:rsid w:val="00DF72BB"/>
    <w:rsid w:val="00E12B03"/>
    <w:rsid w:val="00E244E1"/>
    <w:rsid w:val="00E253B9"/>
    <w:rsid w:val="00E25B81"/>
    <w:rsid w:val="00E27E72"/>
    <w:rsid w:val="00E302A7"/>
    <w:rsid w:val="00E31CC3"/>
    <w:rsid w:val="00E321F0"/>
    <w:rsid w:val="00E32286"/>
    <w:rsid w:val="00E32F0B"/>
    <w:rsid w:val="00E3366B"/>
    <w:rsid w:val="00E33B26"/>
    <w:rsid w:val="00E34148"/>
    <w:rsid w:val="00E3718C"/>
    <w:rsid w:val="00E3733E"/>
    <w:rsid w:val="00E41261"/>
    <w:rsid w:val="00E4150C"/>
    <w:rsid w:val="00E43630"/>
    <w:rsid w:val="00E4625D"/>
    <w:rsid w:val="00E5048D"/>
    <w:rsid w:val="00E5057A"/>
    <w:rsid w:val="00E54A0D"/>
    <w:rsid w:val="00E567CA"/>
    <w:rsid w:val="00E601ED"/>
    <w:rsid w:val="00E605FF"/>
    <w:rsid w:val="00E6178B"/>
    <w:rsid w:val="00E61D50"/>
    <w:rsid w:val="00E627B1"/>
    <w:rsid w:val="00E66F14"/>
    <w:rsid w:val="00E678EC"/>
    <w:rsid w:val="00E70169"/>
    <w:rsid w:val="00E72107"/>
    <w:rsid w:val="00E77137"/>
    <w:rsid w:val="00E779DF"/>
    <w:rsid w:val="00E815EF"/>
    <w:rsid w:val="00E829BA"/>
    <w:rsid w:val="00E83E26"/>
    <w:rsid w:val="00E908DA"/>
    <w:rsid w:val="00E9376C"/>
    <w:rsid w:val="00E95AE2"/>
    <w:rsid w:val="00EA191A"/>
    <w:rsid w:val="00EA335E"/>
    <w:rsid w:val="00EA528C"/>
    <w:rsid w:val="00EA580C"/>
    <w:rsid w:val="00EA5FAF"/>
    <w:rsid w:val="00EA6165"/>
    <w:rsid w:val="00EA67C3"/>
    <w:rsid w:val="00EB0B84"/>
    <w:rsid w:val="00EB32FB"/>
    <w:rsid w:val="00EB34F0"/>
    <w:rsid w:val="00EB38ED"/>
    <w:rsid w:val="00EB5E8A"/>
    <w:rsid w:val="00EC0C76"/>
    <w:rsid w:val="00EC2146"/>
    <w:rsid w:val="00EC6553"/>
    <w:rsid w:val="00EC6F8D"/>
    <w:rsid w:val="00EC7E11"/>
    <w:rsid w:val="00ED4D4F"/>
    <w:rsid w:val="00ED7DA9"/>
    <w:rsid w:val="00EE4641"/>
    <w:rsid w:val="00EE49F4"/>
    <w:rsid w:val="00EE7919"/>
    <w:rsid w:val="00EF0731"/>
    <w:rsid w:val="00EF07BD"/>
    <w:rsid w:val="00EF0D3D"/>
    <w:rsid w:val="00EF1331"/>
    <w:rsid w:val="00EF1D02"/>
    <w:rsid w:val="00EF34E2"/>
    <w:rsid w:val="00EF4620"/>
    <w:rsid w:val="00F01427"/>
    <w:rsid w:val="00F01E97"/>
    <w:rsid w:val="00F05278"/>
    <w:rsid w:val="00F104A7"/>
    <w:rsid w:val="00F1511D"/>
    <w:rsid w:val="00F161CC"/>
    <w:rsid w:val="00F25FD3"/>
    <w:rsid w:val="00F26BA0"/>
    <w:rsid w:val="00F30DC6"/>
    <w:rsid w:val="00F31912"/>
    <w:rsid w:val="00F31ABE"/>
    <w:rsid w:val="00F32C23"/>
    <w:rsid w:val="00F378D7"/>
    <w:rsid w:val="00F40ED0"/>
    <w:rsid w:val="00F476A0"/>
    <w:rsid w:val="00F53DE9"/>
    <w:rsid w:val="00F56354"/>
    <w:rsid w:val="00F56760"/>
    <w:rsid w:val="00F56D85"/>
    <w:rsid w:val="00F576CB"/>
    <w:rsid w:val="00F57A14"/>
    <w:rsid w:val="00F60550"/>
    <w:rsid w:val="00F6387C"/>
    <w:rsid w:val="00F64DCD"/>
    <w:rsid w:val="00F65F3C"/>
    <w:rsid w:val="00F67B06"/>
    <w:rsid w:val="00F7035D"/>
    <w:rsid w:val="00F71A02"/>
    <w:rsid w:val="00F763B6"/>
    <w:rsid w:val="00F76FAC"/>
    <w:rsid w:val="00F7705E"/>
    <w:rsid w:val="00F77DF8"/>
    <w:rsid w:val="00F8122A"/>
    <w:rsid w:val="00F85D28"/>
    <w:rsid w:val="00F91457"/>
    <w:rsid w:val="00F94A55"/>
    <w:rsid w:val="00F961FA"/>
    <w:rsid w:val="00FA01B7"/>
    <w:rsid w:val="00FA0D2F"/>
    <w:rsid w:val="00FA0D63"/>
    <w:rsid w:val="00FA3165"/>
    <w:rsid w:val="00FA3AB4"/>
    <w:rsid w:val="00FA4CBE"/>
    <w:rsid w:val="00FA7E5E"/>
    <w:rsid w:val="00FB41AC"/>
    <w:rsid w:val="00FB551F"/>
    <w:rsid w:val="00FB67D1"/>
    <w:rsid w:val="00FC3465"/>
    <w:rsid w:val="00FD1226"/>
    <w:rsid w:val="00FD2ACF"/>
    <w:rsid w:val="00FD2EE1"/>
    <w:rsid w:val="00FD3E28"/>
    <w:rsid w:val="00FD40EA"/>
    <w:rsid w:val="00FD7442"/>
    <w:rsid w:val="00FE316F"/>
    <w:rsid w:val="00FE6252"/>
    <w:rsid w:val="00FE6D9C"/>
    <w:rsid w:val="00FE7A6B"/>
    <w:rsid w:val="00FF1B44"/>
    <w:rsid w:val="00FF4830"/>
    <w:rsid w:val="00FF4E2A"/>
    <w:rsid w:val="00FF6D6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34A3DEB"/>
  <w15:docId w15:val="{706CBC62-4C26-4962-B848-9D3E55CB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customStyle="1" w:styleId="Paragraph">
    <w:name w:val="Paragraph"/>
    <w:basedOn w:val="Marge"/>
    <w:link w:val="ParagraphChar"/>
    <w:qFormat/>
    <w:rsid w:val="00DB6520"/>
    <w:pPr>
      <w:numPr>
        <w:numId w:val="6"/>
      </w:numPr>
    </w:pPr>
    <w:rPr>
      <w:rFonts w:cs="Arial"/>
      <w:szCs w:val="22"/>
      <w:lang w:val="en-GB"/>
    </w:rPr>
  </w:style>
  <w:style w:type="character" w:customStyle="1" w:styleId="ParagraphChar">
    <w:name w:val="Paragraph Char"/>
    <w:link w:val="Paragraph"/>
    <w:rsid w:val="00DB6520"/>
    <w:rPr>
      <w:rFonts w:ascii="Arial" w:eastAsia="Times New Roman" w:hAnsi="Arial" w:cs="Arial"/>
      <w:snapToGrid w:val="0"/>
      <w:sz w:val="22"/>
      <w:szCs w:val="22"/>
      <w:lang w:val="en-GB" w:eastAsia="en-US"/>
    </w:rPr>
  </w:style>
  <w:style w:type="character" w:styleId="Marquedecommentaire">
    <w:name w:val="annotation reference"/>
    <w:basedOn w:val="Policepardfaut"/>
    <w:uiPriority w:val="99"/>
    <w:semiHidden/>
    <w:unhideWhenUsed/>
    <w:rsid w:val="00806073"/>
    <w:rPr>
      <w:sz w:val="16"/>
      <w:szCs w:val="16"/>
    </w:rPr>
  </w:style>
  <w:style w:type="paragraph" w:styleId="Commentaire">
    <w:name w:val="annotation text"/>
    <w:basedOn w:val="Normal"/>
    <w:link w:val="CommentaireCar"/>
    <w:uiPriority w:val="99"/>
    <w:semiHidden/>
    <w:unhideWhenUsed/>
    <w:rsid w:val="00806073"/>
    <w:rPr>
      <w:sz w:val="20"/>
      <w:szCs w:val="20"/>
    </w:rPr>
  </w:style>
  <w:style w:type="character" w:customStyle="1" w:styleId="CommentaireCar">
    <w:name w:val="Commentaire Car"/>
    <w:basedOn w:val="Policepardfaut"/>
    <w:link w:val="Commentaire"/>
    <w:uiPriority w:val="99"/>
    <w:semiHidden/>
    <w:rsid w:val="0080607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06073"/>
    <w:rPr>
      <w:b/>
      <w:bCs/>
    </w:rPr>
  </w:style>
  <w:style w:type="character" w:customStyle="1" w:styleId="ObjetducommentaireCar">
    <w:name w:val="Objet du commentaire Car"/>
    <w:basedOn w:val="CommentaireCar"/>
    <w:link w:val="Objetducommentaire"/>
    <w:uiPriority w:val="99"/>
    <w:semiHidden/>
    <w:rsid w:val="00806073"/>
    <w:rPr>
      <w:rFonts w:ascii="Times New Roman" w:eastAsia="Times New Roman" w:hAnsi="Times New Roman"/>
      <w:b/>
      <w:bCs/>
    </w:rPr>
  </w:style>
  <w:style w:type="character" w:styleId="Lienhypertexte">
    <w:name w:val="Hyperlink"/>
    <w:basedOn w:val="Policepardfaut"/>
    <w:uiPriority w:val="99"/>
    <w:unhideWhenUsed/>
    <w:rsid w:val="005D2FA6"/>
    <w:rPr>
      <w:color w:val="0000FF" w:themeColor="hyperlink"/>
      <w:u w:val="single"/>
    </w:rPr>
  </w:style>
  <w:style w:type="paragraph" w:customStyle="1" w:styleId="Default">
    <w:name w:val="Default"/>
    <w:rsid w:val="007E68F2"/>
    <w:pPr>
      <w:widowControl w:val="0"/>
      <w:autoSpaceDE w:val="0"/>
      <w:autoSpaceDN w:val="0"/>
      <w:adjustRightInd w:val="0"/>
    </w:pPr>
    <w:rPr>
      <w:rFonts w:ascii="Myriad Pro" w:eastAsia="Times New Roman" w:hAnsi="Myriad Pro" w:cs="Myriad Pro"/>
      <w:color w:val="000000"/>
      <w:sz w:val="24"/>
      <w:szCs w:val="24"/>
      <w:lang w:val="en-US" w:eastAsia="en-US"/>
    </w:rPr>
  </w:style>
  <w:style w:type="paragraph" w:styleId="Notedefin">
    <w:name w:val="endnote text"/>
    <w:basedOn w:val="Normal"/>
    <w:link w:val="NotedefinCar"/>
    <w:uiPriority w:val="99"/>
    <w:semiHidden/>
    <w:unhideWhenUsed/>
    <w:rsid w:val="00486D9E"/>
    <w:rPr>
      <w:sz w:val="20"/>
      <w:szCs w:val="20"/>
    </w:rPr>
  </w:style>
  <w:style w:type="character" w:customStyle="1" w:styleId="NotedefinCar">
    <w:name w:val="Note de fin Car"/>
    <w:basedOn w:val="Policepardfaut"/>
    <w:link w:val="Notedefin"/>
    <w:uiPriority w:val="99"/>
    <w:semiHidden/>
    <w:rsid w:val="00486D9E"/>
    <w:rPr>
      <w:rFonts w:ascii="Times New Roman" w:eastAsia="Times New Roman" w:hAnsi="Times New Roman"/>
    </w:rPr>
  </w:style>
  <w:style w:type="character" w:styleId="Appeldenotedefin">
    <w:name w:val="endnote reference"/>
    <w:basedOn w:val="Policepardfaut"/>
    <w:uiPriority w:val="99"/>
    <w:semiHidden/>
    <w:unhideWhenUsed/>
    <w:rsid w:val="00486D9E"/>
    <w:rPr>
      <w:vertAlign w:val="superscript"/>
    </w:rPr>
  </w:style>
  <w:style w:type="paragraph" w:styleId="Notedebasdepage">
    <w:name w:val="footnote text"/>
    <w:basedOn w:val="Normal"/>
    <w:link w:val="NotedebasdepageCar"/>
    <w:uiPriority w:val="99"/>
    <w:semiHidden/>
    <w:unhideWhenUsed/>
    <w:rsid w:val="00486D9E"/>
    <w:rPr>
      <w:sz w:val="20"/>
      <w:szCs w:val="20"/>
    </w:rPr>
  </w:style>
  <w:style w:type="character" w:customStyle="1" w:styleId="NotedebasdepageCar">
    <w:name w:val="Note de bas de page Car"/>
    <w:basedOn w:val="Policepardfaut"/>
    <w:link w:val="Notedebasdepage"/>
    <w:uiPriority w:val="99"/>
    <w:semiHidden/>
    <w:rsid w:val="00486D9E"/>
    <w:rPr>
      <w:rFonts w:ascii="Times New Roman" w:eastAsia="Times New Roman" w:hAnsi="Times New Roman"/>
    </w:rPr>
  </w:style>
  <w:style w:type="character" w:styleId="Appelnotedebasdep">
    <w:name w:val="footnote reference"/>
    <w:basedOn w:val="Policepardfaut"/>
    <w:uiPriority w:val="99"/>
    <w:semiHidden/>
    <w:unhideWhenUsed/>
    <w:rsid w:val="00486D9E"/>
    <w:rPr>
      <w:vertAlign w:val="superscript"/>
    </w:rPr>
  </w:style>
  <w:style w:type="character" w:styleId="Lienhypertextesuivivisit">
    <w:name w:val="FollowedHyperlink"/>
    <w:basedOn w:val="Policepardfaut"/>
    <w:uiPriority w:val="99"/>
    <w:semiHidden/>
    <w:unhideWhenUsed/>
    <w:rsid w:val="000D2E25"/>
    <w:rPr>
      <w:color w:val="800080" w:themeColor="followedHyperlink"/>
      <w:u w:val="single"/>
    </w:rPr>
  </w:style>
  <w:style w:type="character" w:customStyle="1" w:styleId="MargeChar">
    <w:name w:val="Marge Char"/>
    <w:link w:val="Marge"/>
    <w:rsid w:val="003A3FEF"/>
    <w:rPr>
      <w:rFonts w:ascii="Arial" w:eastAsia="Times New Roman" w:hAnsi="Arial"/>
      <w:snapToGrid w:val="0"/>
      <w:sz w:val="22"/>
      <w:szCs w:val="24"/>
      <w:lang w:eastAsia="en-US"/>
    </w:rPr>
  </w:style>
  <w:style w:type="character" w:customStyle="1" w:styleId="hps">
    <w:name w:val="hps"/>
    <w:rsid w:val="00353F3D"/>
  </w:style>
  <w:style w:type="table" w:styleId="TableauGrille4-Accentuation1">
    <w:name w:val="Grid Table 4 Accent 1"/>
    <w:basedOn w:val="TableauNormal"/>
    <w:uiPriority w:val="49"/>
    <w:rsid w:val="0088565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ccentuation">
    <w:name w:val="Emphasis"/>
    <w:uiPriority w:val="20"/>
    <w:qFormat/>
    <w:rsid w:val="008E4C0C"/>
    <w:rPr>
      <w:b/>
      <w:bCs/>
      <w:i w:val="0"/>
      <w:iCs w:val="0"/>
    </w:rPr>
  </w:style>
  <w:style w:type="paragraph" w:styleId="Rvision">
    <w:name w:val="Revision"/>
    <w:hidden/>
    <w:uiPriority w:val="99"/>
    <w:semiHidden/>
    <w:rsid w:val="009514AC"/>
    <w:rPr>
      <w:rFonts w:ascii="Times New Roman" w:eastAsia="Times New Roman" w:hAnsi="Times New Roman"/>
      <w:sz w:val="24"/>
      <w:szCs w:val="24"/>
    </w:rPr>
  </w:style>
  <w:style w:type="character" w:styleId="lev">
    <w:name w:val="Strong"/>
    <w:basedOn w:val="Policepardfaut"/>
    <w:uiPriority w:val="22"/>
    <w:qFormat/>
    <w:rsid w:val="006E6962"/>
    <w:rPr>
      <w:b/>
      <w:bCs/>
    </w:rPr>
  </w:style>
  <w:style w:type="paragraph" w:customStyle="1" w:styleId="OGParagraphLevel1Numbered">
    <w:name w:val="OG Paragraph Level 1 Numbered"/>
    <w:basedOn w:val="Normal"/>
    <w:uiPriority w:val="1"/>
    <w:qFormat/>
    <w:rsid w:val="006C66E2"/>
    <w:pPr>
      <w:keepLines/>
      <w:numPr>
        <w:numId w:val="61"/>
      </w:numPr>
      <w:suppressAutoHyphens/>
      <w:spacing w:after="200"/>
      <w:jc w:val="both"/>
    </w:pPr>
    <w:rPr>
      <w:rFonts w:eastAsiaTheme="minorEastAsia" w:cstheme="minorBidi"/>
      <w:spacing w:val="-4"/>
      <w:sz w:val="22"/>
      <w:szCs w:val="22"/>
      <w:lang w:val="en-US"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398">
      <w:bodyDiv w:val="1"/>
      <w:marLeft w:val="0"/>
      <w:marRight w:val="0"/>
      <w:marTop w:val="0"/>
      <w:marBottom w:val="0"/>
      <w:divBdr>
        <w:top w:val="none" w:sz="0" w:space="0" w:color="auto"/>
        <w:left w:val="none" w:sz="0" w:space="0" w:color="auto"/>
        <w:bottom w:val="none" w:sz="0" w:space="0" w:color="auto"/>
        <w:right w:val="none" w:sz="0" w:space="0" w:color="auto"/>
      </w:divBdr>
    </w:div>
    <w:div w:id="7327744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6" TargetMode="External"/><Relationship Id="rId13" Type="http://schemas.openxmlformats.org/officeDocument/2006/relationships/hyperlink" Target="https://ich.unesco.org/doc/src/LHE-19-14.COM-5.b-EN.docx" TargetMode="External"/><Relationship Id="rId18" Type="http://schemas.openxmlformats.org/officeDocument/2006/relationships/hyperlink" Target="https://ich.unesco.org/doc/src/ITH-17-12.COM-14-E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doc/src/LHE-19-14.COM-12-EN.docx" TargetMode="External"/><Relationship Id="rId7" Type="http://schemas.openxmlformats.org/officeDocument/2006/relationships/endnotes" Target="endnotes.xml"/><Relationship Id="rId12" Type="http://schemas.openxmlformats.org/officeDocument/2006/relationships/hyperlink" Target="https://ich.unesco.org/en/Decisions/13.COM/10" TargetMode="External"/><Relationship Id="rId17" Type="http://schemas.openxmlformats.org/officeDocument/2006/relationships/hyperlink" Target="https://ich.unesco.org/en/Decisions/13.COM/6"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13.COM/10" TargetMode="External"/><Relationship Id="rId20" Type="http://schemas.openxmlformats.org/officeDocument/2006/relationships/hyperlink" Target="https://ich.unesco.org/doc/src/LHE-19-14.COM-10-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2.COM/14" TargetMode="External"/><Relationship Id="rId23" Type="http://schemas.openxmlformats.org/officeDocument/2006/relationships/header" Target="header2.xml"/><Relationship Id="rId10" Type="http://schemas.openxmlformats.org/officeDocument/2006/relationships/hyperlink" Target="https://ich.unesco.org/en/Decisions/12.COM/14" TargetMode="External"/><Relationship Id="rId19" Type="http://schemas.openxmlformats.org/officeDocument/2006/relationships/hyperlink" Target="https://ich.unesco.org/doc/src/LHE-19-14.COM-5.b-EN.docx"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Decisions/7.COM/15"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ich.unesco.org/doc/src/00035-EN.pdf" TargetMode="External"/><Relationship Id="rId18" Type="http://schemas.openxmlformats.org/officeDocument/2006/relationships/hyperlink" Target="https://ich.unesco.org/en/Decisions/9.COM/10.3" TargetMode="External"/><Relationship Id="rId26" Type="http://schemas.openxmlformats.org/officeDocument/2006/relationships/hyperlink" Target="https://ich.unesco.org/doc/src/ITH-17-12.COM-11-EN.docx" TargetMode="External"/><Relationship Id="rId39" Type="http://schemas.openxmlformats.org/officeDocument/2006/relationships/hyperlink" Target="https://ich.unesco.org/doc/src/ITH-18-13.COM-10-EN.docx" TargetMode="External"/><Relationship Id="rId21" Type="http://schemas.openxmlformats.org/officeDocument/2006/relationships/hyperlink" Target="https://ich.unesco.org/en/Decisions/8.COM/5.c.1" TargetMode="External"/><Relationship Id="rId34" Type="http://schemas.openxmlformats.org/officeDocument/2006/relationships/hyperlink" Target="https://unesdoc.unesco.org/ark:/48223/pf0000235270/PDF/235270eng.pdf.multi" TargetMode="External"/><Relationship Id="rId42" Type="http://schemas.openxmlformats.org/officeDocument/2006/relationships/hyperlink" Target="https://ich.unesco.org/doc/src/ITH-11-6.COM-CONF.206-16-EN.doc" TargetMode="External"/><Relationship Id="rId47" Type="http://schemas.openxmlformats.org/officeDocument/2006/relationships/hyperlink" Target="https://whc.unesco.org/en/reactive-monitoring/" TargetMode="External"/><Relationship Id="rId50" Type="http://schemas.openxmlformats.org/officeDocument/2006/relationships/hyperlink" Target="https://ich.unesco.org/doc/src/ITH-16-11.COM-10-EN.docx" TargetMode="External"/><Relationship Id="rId55" Type="http://schemas.openxmlformats.org/officeDocument/2006/relationships/hyperlink" Target="https://ich.unesco.org/doc/src/ITH-17-12.COM-4-EN.docx" TargetMode="External"/><Relationship Id="rId7" Type="http://schemas.openxmlformats.org/officeDocument/2006/relationships/hyperlink" Target="https://ich.unesco.org/en/Resolutions/5.GA/5.1" TargetMode="External"/><Relationship Id="rId2" Type="http://schemas.openxmlformats.org/officeDocument/2006/relationships/hyperlink" Target="https://unesdoc.unesco.org/ark:/48223/pf0000234414/PDF/234414eng.pdf.multi" TargetMode="External"/><Relationship Id="rId16" Type="http://schemas.openxmlformats.org/officeDocument/2006/relationships/hyperlink" Target="https://ich.unesco.org/en/Decisions/12.COM/11" TargetMode="External"/><Relationship Id="rId20" Type="http://schemas.openxmlformats.org/officeDocument/2006/relationships/hyperlink" Target="https://ich.unesco.org/en/Decisions/9.COM/10.34" TargetMode="External"/><Relationship Id="rId29" Type="http://schemas.openxmlformats.org/officeDocument/2006/relationships/hyperlink" Target="https://ich.unesco.org/doc/src/ITH-16-11.COM-4-EN.docx" TargetMode="External"/><Relationship Id="rId41" Type="http://schemas.openxmlformats.org/officeDocument/2006/relationships/hyperlink" Target="https://ich.unesco.org/en/Resolutions/3.GA/5" TargetMode="External"/><Relationship Id="rId54" Type="http://schemas.openxmlformats.org/officeDocument/2006/relationships/hyperlink" Target="https://ich.unesco.org/doc/src/ITH-16-11.COM-4-EN.docx" TargetMode="External"/><Relationship Id="rId1" Type="http://schemas.openxmlformats.org/officeDocument/2006/relationships/hyperlink" Target="https://ich.unesco.org/en/decisions/3.COM/1" TargetMode="External"/><Relationship Id="rId6" Type="http://schemas.openxmlformats.org/officeDocument/2006/relationships/hyperlink" Target="https://ich.unesco.org/en/Resolutions/3.GA/5" TargetMode="External"/><Relationship Id="rId11" Type="http://schemas.openxmlformats.org/officeDocument/2006/relationships/hyperlink" Target="https://ich.unesco.org/doc/src/ITH-14-9.COM-4_Rev.-EN.doc" TargetMode="External"/><Relationship Id="rId24" Type="http://schemas.openxmlformats.org/officeDocument/2006/relationships/hyperlink" Target="https://ich.unesco.org/doc/src/ITH-15-10.COM-10_EN.doc" TargetMode="External"/><Relationship Id="rId32" Type="http://schemas.openxmlformats.org/officeDocument/2006/relationships/hyperlink" Target="https://ich.unesco.org/doc/src/ITH-18-13.COM-10-EN.docx" TargetMode="External"/><Relationship Id="rId37" Type="http://schemas.openxmlformats.org/officeDocument/2006/relationships/hyperlink" Target="https://ich.unesco.org/doc/src/ITH-16-11.COM-10-EN.docx" TargetMode="External"/><Relationship Id="rId40" Type="http://schemas.openxmlformats.org/officeDocument/2006/relationships/hyperlink" Target="https://ich.unesco.org/doc/src/ITH-18-13.COM-10-EN.docx" TargetMode="External"/><Relationship Id="rId45" Type="http://schemas.openxmlformats.org/officeDocument/2006/relationships/hyperlink" Target="http://www.unesco.org/culture/ich/doc/src/ITH-10-5.COM-CONF.202-Decisions-EN.doc" TargetMode="External"/><Relationship Id="rId53" Type="http://schemas.openxmlformats.org/officeDocument/2006/relationships/hyperlink" Target="https://ich.unesco.org/doc/src/ITH-15-10.COM-4_EN.docx" TargetMode="External"/><Relationship Id="rId58" Type="http://schemas.openxmlformats.org/officeDocument/2006/relationships/hyperlink" Target="https://ich.unesco.org/en/Decisions/12.COM/13" TargetMode="External"/><Relationship Id="rId5" Type="http://schemas.openxmlformats.org/officeDocument/2006/relationships/hyperlink" Target="https://ich.unesco.org/doc/src/00186-EN.pdf" TargetMode="External"/><Relationship Id="rId15" Type="http://schemas.openxmlformats.org/officeDocument/2006/relationships/hyperlink" Target="https://ich.unesco.org/en/Decisions/13.COM/10.b.4" TargetMode="External"/><Relationship Id="rId23" Type="http://schemas.openxmlformats.org/officeDocument/2006/relationships/hyperlink" Target="https://ich.unesco.org/doc/src/LHE-19-14.COM-5.b-EN.docx" TargetMode="External"/><Relationship Id="rId28" Type="http://schemas.openxmlformats.org/officeDocument/2006/relationships/hyperlink" Target="https://ich.unesco.org/doc/src/ITH-15-10.COM-4_EN.docx" TargetMode="External"/><Relationship Id="rId36" Type="http://schemas.openxmlformats.org/officeDocument/2006/relationships/hyperlink" Target="https://ich.unesco.org/doc/src/ITH-15-10.COM-10_EN.doc" TargetMode="External"/><Relationship Id="rId49" Type="http://schemas.openxmlformats.org/officeDocument/2006/relationships/hyperlink" Target="https://ich.unesco.org/doc/src/ITH-15-10.COM-10_EN.doc" TargetMode="External"/><Relationship Id="rId57" Type="http://schemas.openxmlformats.org/officeDocument/2006/relationships/hyperlink" Target="https://ich.unesco.org/en/D%C3%A9cisions/11.COM/10" TargetMode="External"/><Relationship Id="rId61" Type="http://schemas.openxmlformats.org/officeDocument/2006/relationships/hyperlink" Target="https://ich.unesco.org/doc/src/LHE-19-14.COM-19-EN.docx" TargetMode="External"/><Relationship Id="rId10" Type="http://schemas.openxmlformats.org/officeDocument/2006/relationships/hyperlink" Target="https://unesdoc.unesco.org/ark:/48223/pf0000223095/PDF/223095eng.pdf.multi" TargetMode="External"/><Relationship Id="rId19" Type="http://schemas.openxmlformats.org/officeDocument/2006/relationships/hyperlink" Target="https://ich.unesco.org/en/Decisions/9.COM/10.6" TargetMode="External"/><Relationship Id="rId31" Type="http://schemas.openxmlformats.org/officeDocument/2006/relationships/hyperlink" Target="https://ich.unesco.org/doc/src/ITH-18-13.COM-4-EN.docx" TargetMode="External"/><Relationship Id="rId44" Type="http://schemas.openxmlformats.org/officeDocument/2006/relationships/hyperlink" Target="https://unesdoc.unesco.org/ark:/48223/pf0000242915/PDF/242915eng.pdf.multi" TargetMode="External"/><Relationship Id="rId52" Type="http://schemas.openxmlformats.org/officeDocument/2006/relationships/hyperlink" Target="https://ich.unesco.org/doc/src/ITH-18-13.COM-10-EN.docx" TargetMode="External"/><Relationship Id="rId60" Type="http://schemas.openxmlformats.org/officeDocument/2006/relationships/hyperlink" Target="https://ich.unesco.org/doc/src/LHE-19-14.COM-10-EN.docx" TargetMode="External"/><Relationship Id="rId4" Type="http://schemas.openxmlformats.org/officeDocument/2006/relationships/hyperlink" Target="https://ich.unesco.org/en/Resolutions/2.GA/5" TargetMode="External"/><Relationship Id="rId9" Type="http://schemas.openxmlformats.org/officeDocument/2006/relationships/hyperlink" Target="https://ich.unesco.org/doc/src/ITH-18-13.COM-10-EN.docx" TargetMode="External"/><Relationship Id="rId14" Type="http://schemas.openxmlformats.org/officeDocument/2006/relationships/hyperlink" Target="https://ich.unesco.org/doc/src/00186-EN.pdf" TargetMode="External"/><Relationship Id="rId22" Type="http://schemas.openxmlformats.org/officeDocument/2006/relationships/hyperlink" Target="https://ich.unesco.org/en/Decisions/10.COM/10" TargetMode="External"/><Relationship Id="rId27" Type="http://schemas.openxmlformats.org/officeDocument/2006/relationships/hyperlink" Target="https://ich.unesco.org/doc/src/ITH-18-13.COM-10-EN.docx" TargetMode="External"/><Relationship Id="rId30" Type="http://schemas.openxmlformats.org/officeDocument/2006/relationships/hyperlink" Target="https://ich.unesco.org/doc/src/ITH-17-12.COM-4-EN.docx" TargetMode="External"/><Relationship Id="rId35" Type="http://schemas.openxmlformats.org/officeDocument/2006/relationships/hyperlink" Target="https://ich.unesco.org/doc/src/ITH-14-9.COM-10+Add.3-EN.doc" TargetMode="External"/><Relationship Id="rId43" Type="http://schemas.openxmlformats.org/officeDocument/2006/relationships/hyperlink" Target="https://unesdoc.unesco.org/ark:/48223/pf0000235270/PDF/235270eng.pdf.multi.page=1&amp;zoom=auto,-16,842" TargetMode="External"/><Relationship Id="rId48" Type="http://schemas.openxmlformats.org/officeDocument/2006/relationships/hyperlink" Target="https://ich.unesco.org/doc/src/ITH-17-12.COM-14-EN.docx" TargetMode="External"/><Relationship Id="rId56" Type="http://schemas.openxmlformats.org/officeDocument/2006/relationships/hyperlink" Target="https://ich.unesco.org/doc/src/ITH-18-13.COM-4-EN.docx" TargetMode="External"/><Relationship Id="rId8" Type="http://schemas.openxmlformats.org/officeDocument/2006/relationships/hyperlink" Target="https://ich.unesco.org/doc/src/ITH-15-10.COM-10_EN.doc" TargetMode="External"/><Relationship Id="rId51" Type="http://schemas.openxmlformats.org/officeDocument/2006/relationships/hyperlink" Target="https://ich.unesco.org/doc/src/ITH-17-12.COM-11-EN.docx" TargetMode="External"/><Relationship Id="rId3" Type="http://schemas.openxmlformats.org/officeDocument/2006/relationships/hyperlink" Target="https://unesdoc.unesco.org/ark:/48223/pf0000177690/PDF/177690eng.pdf.multi" TargetMode="External"/><Relationship Id="rId12" Type="http://schemas.openxmlformats.org/officeDocument/2006/relationships/hyperlink" Target="https://ich.unesco.org/doc/src/ITH-15-10.COM-4_EN.docx" TargetMode="External"/><Relationship Id="rId17" Type="http://schemas.openxmlformats.org/officeDocument/2006/relationships/hyperlink" Target="https://ich.unesco.org/en/Decisions/9.COM/10" TargetMode="External"/><Relationship Id="rId25" Type="http://schemas.openxmlformats.org/officeDocument/2006/relationships/hyperlink" Target="https://ich.unesco.org/doc/src/ITH-16-11.COM-10-EN.docx" TargetMode="External"/><Relationship Id="rId33" Type="http://schemas.openxmlformats.org/officeDocument/2006/relationships/hyperlink" Target="https://ich.unesco.org/doc/src/LHE-19-14.COM-10-EN.docx" TargetMode="External"/><Relationship Id="rId38" Type="http://schemas.openxmlformats.org/officeDocument/2006/relationships/hyperlink" Target="https://ich.unesco.org/doc/src/ITH-17-12.COM-11-EN.docx" TargetMode="External"/><Relationship Id="rId46" Type="http://schemas.openxmlformats.org/officeDocument/2006/relationships/hyperlink" Target="https://ich.unesco.org/en/Decisions/13.COM/9" TargetMode="External"/><Relationship Id="rId59" Type="http://schemas.openxmlformats.org/officeDocument/2006/relationships/hyperlink" Target="https://ich.unesco.org/en/Decisions/13.COM/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B3F9-9026-45B4-9F76-44617AC9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5880</Words>
  <Characters>32345</Characters>
  <Application>Microsoft Office Word</Application>
  <DocSecurity>0</DocSecurity>
  <Lines>269</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14</cp:revision>
  <cp:lastPrinted>2019-11-05T16:59:00Z</cp:lastPrinted>
  <dcterms:created xsi:type="dcterms:W3CDTF">2019-11-08T17:50:00Z</dcterms:created>
  <dcterms:modified xsi:type="dcterms:W3CDTF">2019-11-08T20:09:00Z</dcterms:modified>
</cp:coreProperties>
</file>