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2547B" w14:textId="77777777" w:rsidR="00EC6F8D" w:rsidRPr="008D75D5" w:rsidRDefault="00EC6F8D" w:rsidP="00EC6F8D">
      <w:pPr>
        <w:spacing w:before="1440"/>
        <w:jc w:val="center"/>
        <w:rPr>
          <w:rFonts w:ascii="Arial" w:hAnsi="Arial" w:cs="Arial"/>
          <w:b/>
          <w:sz w:val="22"/>
          <w:szCs w:val="22"/>
        </w:rPr>
      </w:pPr>
      <w:bookmarkStart w:id="0" w:name="_GoBack"/>
      <w:bookmarkEnd w:id="0"/>
      <w:r w:rsidRPr="008D75D5">
        <w:rPr>
          <w:rFonts w:ascii="Arial" w:hAnsi="Arial"/>
          <w:b/>
          <w:sz w:val="22"/>
        </w:rPr>
        <w:t xml:space="preserve">CONVENTION POUR LA SAUVEGARDE DU </w:t>
      </w:r>
      <w:r w:rsidRPr="008D75D5">
        <w:rPr>
          <w:rFonts w:ascii="Arial" w:hAnsi="Arial" w:cs="Arial"/>
          <w:b/>
          <w:sz w:val="22"/>
          <w:szCs w:val="22"/>
        </w:rPr>
        <w:br/>
      </w:r>
      <w:r w:rsidRPr="008D75D5">
        <w:rPr>
          <w:rFonts w:ascii="Arial" w:hAnsi="Arial"/>
          <w:b/>
          <w:sz w:val="22"/>
        </w:rPr>
        <w:t>PATRIMOINE CULTUREL IMMATÉRIEL</w:t>
      </w:r>
    </w:p>
    <w:p w14:paraId="04AFC688" w14:textId="14802A06" w:rsidR="00EC6F8D" w:rsidRPr="008D75D5" w:rsidRDefault="00EC6F8D" w:rsidP="00B22CC3">
      <w:pPr>
        <w:spacing w:before="1200"/>
        <w:jc w:val="center"/>
        <w:rPr>
          <w:rFonts w:ascii="Arial" w:hAnsi="Arial" w:cs="Arial"/>
          <w:b/>
          <w:sz w:val="22"/>
          <w:szCs w:val="22"/>
        </w:rPr>
      </w:pPr>
      <w:r w:rsidRPr="008D75D5">
        <w:rPr>
          <w:rFonts w:ascii="Arial" w:hAnsi="Arial"/>
          <w:b/>
          <w:sz w:val="22"/>
        </w:rPr>
        <w:t>COMITÉ INTERGOUVERNEMENTAL DE</w:t>
      </w:r>
      <w:r w:rsidR="00B22CC3" w:rsidRPr="00B22CC3">
        <w:rPr>
          <w:rFonts w:ascii="Arial" w:hAnsi="Arial"/>
          <w:b/>
          <w:sz w:val="22"/>
        </w:rPr>
        <w:t xml:space="preserve"> </w:t>
      </w:r>
      <w:r w:rsidR="00B22CC3" w:rsidRPr="008D75D5">
        <w:rPr>
          <w:rFonts w:ascii="Arial" w:hAnsi="Arial"/>
          <w:b/>
          <w:sz w:val="22"/>
        </w:rPr>
        <w:t>SAUVEGARDE</w:t>
      </w:r>
      <w:r w:rsidRPr="008D75D5">
        <w:rPr>
          <w:rFonts w:ascii="Arial" w:hAnsi="Arial" w:cs="Arial"/>
          <w:b/>
          <w:sz w:val="22"/>
          <w:szCs w:val="22"/>
        </w:rPr>
        <w:br/>
      </w:r>
      <w:r w:rsidRPr="008D75D5">
        <w:rPr>
          <w:rFonts w:ascii="Arial" w:hAnsi="Arial"/>
          <w:b/>
          <w:sz w:val="22"/>
        </w:rPr>
        <w:t>DU PATRIMOINE CULTUREL IMMATÉRIEL</w:t>
      </w:r>
    </w:p>
    <w:p w14:paraId="66600CB2" w14:textId="77777777" w:rsidR="00EC6F8D" w:rsidRPr="008D75D5" w:rsidRDefault="00C7433F" w:rsidP="001D14FE">
      <w:pPr>
        <w:spacing w:before="840"/>
        <w:jc w:val="center"/>
        <w:rPr>
          <w:rFonts w:ascii="Arial" w:hAnsi="Arial" w:cs="Arial"/>
          <w:b/>
          <w:sz w:val="22"/>
          <w:szCs w:val="22"/>
        </w:rPr>
      </w:pPr>
      <w:r w:rsidRPr="008D75D5">
        <w:rPr>
          <w:rFonts w:ascii="Arial" w:eastAsiaTheme="minorEastAsia" w:hAnsi="Arial" w:hint="eastAsia"/>
          <w:b/>
          <w:sz w:val="22"/>
        </w:rPr>
        <w:t>T</w:t>
      </w:r>
      <w:r w:rsidRPr="008D75D5">
        <w:rPr>
          <w:rFonts w:ascii="Arial" w:eastAsiaTheme="minorEastAsia" w:hAnsi="Arial"/>
          <w:b/>
          <w:sz w:val="22"/>
        </w:rPr>
        <w:t>reizième session</w:t>
      </w:r>
    </w:p>
    <w:p w14:paraId="0DD3F8D6" w14:textId="27581A2A" w:rsidR="009D5428" w:rsidRPr="008D75D5" w:rsidRDefault="0074448D" w:rsidP="001D14FE">
      <w:pPr>
        <w:jc w:val="center"/>
        <w:rPr>
          <w:rFonts w:ascii="Arial" w:eastAsiaTheme="minorEastAsia" w:hAnsi="Arial" w:cs="Arial"/>
          <w:b/>
          <w:sz w:val="22"/>
          <w:szCs w:val="22"/>
        </w:rPr>
      </w:pPr>
      <w:r w:rsidRPr="008D75D5">
        <w:rPr>
          <w:rFonts w:ascii="Arial" w:eastAsiaTheme="minorEastAsia" w:hAnsi="Arial"/>
          <w:b/>
          <w:sz w:val="22"/>
        </w:rPr>
        <w:t>Port</w:t>
      </w:r>
      <w:r>
        <w:rPr>
          <w:rFonts w:ascii="Arial" w:eastAsiaTheme="minorEastAsia" w:hAnsi="Arial"/>
          <w:b/>
          <w:sz w:val="22"/>
        </w:rPr>
        <w:t>-</w:t>
      </w:r>
      <w:r w:rsidR="001D14FE" w:rsidRPr="008D75D5">
        <w:rPr>
          <w:rFonts w:ascii="Arial" w:eastAsiaTheme="minorEastAsia" w:hAnsi="Arial"/>
          <w:b/>
          <w:sz w:val="22"/>
        </w:rPr>
        <w:t>Louis, République de Maurice</w:t>
      </w:r>
    </w:p>
    <w:p w14:paraId="17FDDA00" w14:textId="704675BC" w:rsidR="00EC6F8D" w:rsidRPr="008D75D5" w:rsidRDefault="001D14FE" w:rsidP="004C2B44">
      <w:pPr>
        <w:jc w:val="center"/>
        <w:rPr>
          <w:rFonts w:ascii="Arial" w:eastAsiaTheme="minorEastAsia" w:hAnsi="Arial" w:cs="Arial"/>
          <w:b/>
          <w:sz w:val="22"/>
          <w:szCs w:val="22"/>
        </w:rPr>
      </w:pPr>
      <w:r w:rsidRPr="008D75D5">
        <w:rPr>
          <w:rFonts w:ascii="Arial" w:eastAsiaTheme="minorEastAsia" w:hAnsi="Arial"/>
          <w:b/>
          <w:sz w:val="22"/>
        </w:rPr>
        <w:t xml:space="preserve">26 novembre </w:t>
      </w:r>
      <w:r w:rsidR="004C2B44">
        <w:rPr>
          <w:rFonts w:ascii="Arial" w:eastAsiaTheme="minorEastAsia" w:hAnsi="Arial"/>
          <w:b/>
          <w:sz w:val="22"/>
        </w:rPr>
        <w:t>–</w:t>
      </w:r>
      <w:r w:rsidRPr="008D75D5">
        <w:rPr>
          <w:rFonts w:ascii="Arial" w:eastAsiaTheme="minorEastAsia" w:hAnsi="Arial"/>
          <w:b/>
          <w:sz w:val="22"/>
        </w:rPr>
        <w:t xml:space="preserve"> 1</w:t>
      </w:r>
      <w:r w:rsidR="004C2B44" w:rsidRPr="004C2B44">
        <w:rPr>
          <w:rFonts w:ascii="Arial" w:eastAsiaTheme="minorEastAsia" w:hAnsi="Arial"/>
          <w:b/>
          <w:sz w:val="22"/>
          <w:vertAlign w:val="superscript"/>
        </w:rPr>
        <w:t>er</w:t>
      </w:r>
      <w:r w:rsidR="004C2B44">
        <w:rPr>
          <w:rFonts w:ascii="Arial" w:eastAsiaTheme="minorEastAsia" w:hAnsi="Arial"/>
          <w:b/>
          <w:sz w:val="22"/>
        </w:rPr>
        <w:t xml:space="preserve"> </w:t>
      </w:r>
      <w:r w:rsidRPr="008D75D5">
        <w:rPr>
          <w:rFonts w:ascii="Arial" w:eastAsiaTheme="minorEastAsia" w:hAnsi="Arial"/>
          <w:b/>
          <w:sz w:val="22"/>
        </w:rPr>
        <w:t>décembre 2018</w:t>
      </w:r>
    </w:p>
    <w:p w14:paraId="00A0E495" w14:textId="3CBC4D3B" w:rsidR="00EC6F8D" w:rsidRPr="008D75D5" w:rsidRDefault="00EC6F8D" w:rsidP="00EC6F8D">
      <w:pPr>
        <w:pStyle w:val="Sansinterligne2"/>
        <w:spacing w:before="1200"/>
        <w:jc w:val="center"/>
        <w:rPr>
          <w:rFonts w:ascii="Arial" w:hAnsi="Arial" w:cs="Arial"/>
          <w:b/>
          <w:sz w:val="22"/>
          <w:szCs w:val="22"/>
        </w:rPr>
      </w:pPr>
      <w:r w:rsidRPr="008D75D5">
        <w:rPr>
          <w:rFonts w:ascii="Arial" w:hAnsi="Arial"/>
          <w:b/>
          <w:sz w:val="22"/>
          <w:u w:val="single"/>
        </w:rPr>
        <w:t>Point 10.a de l</w:t>
      </w:r>
      <w:r w:rsidR="00A512DB">
        <w:rPr>
          <w:rFonts w:ascii="Arial" w:hAnsi="Arial"/>
          <w:b/>
          <w:sz w:val="22"/>
          <w:u w:val="single"/>
        </w:rPr>
        <w:t>’</w:t>
      </w:r>
      <w:r w:rsidRPr="008D75D5">
        <w:rPr>
          <w:rFonts w:ascii="Arial" w:hAnsi="Arial"/>
          <w:b/>
          <w:sz w:val="22"/>
          <w:u w:val="single"/>
        </w:rPr>
        <w:t>ordre du jour provisoire</w:t>
      </w:r>
      <w:r w:rsidRPr="00652BA9">
        <w:rPr>
          <w:rFonts w:ascii="Arial" w:hAnsi="Arial"/>
          <w:b/>
          <w:sz w:val="22"/>
        </w:rPr>
        <w:t> </w:t>
      </w:r>
      <w:r w:rsidRPr="008D75D5">
        <w:rPr>
          <w:rFonts w:ascii="Arial" w:hAnsi="Arial"/>
          <w:b/>
          <w:sz w:val="22"/>
        </w:rPr>
        <w:t>:</w:t>
      </w:r>
    </w:p>
    <w:p w14:paraId="3792CD65" w14:textId="189D4869" w:rsidR="00343006" w:rsidRPr="008D75D5" w:rsidRDefault="00343006" w:rsidP="00343006">
      <w:pPr>
        <w:pStyle w:val="Sansinterligne2"/>
        <w:spacing w:after="1200"/>
        <w:contextualSpacing/>
        <w:jc w:val="center"/>
        <w:rPr>
          <w:rFonts w:ascii="Arial" w:hAnsi="Arial" w:cs="Arial"/>
          <w:b/>
          <w:sz w:val="22"/>
          <w:szCs w:val="22"/>
        </w:rPr>
      </w:pPr>
      <w:r w:rsidRPr="008D75D5">
        <w:rPr>
          <w:rFonts w:ascii="Arial" w:hAnsi="Arial"/>
          <w:b/>
          <w:sz w:val="22"/>
        </w:rPr>
        <w:t xml:space="preserve">Examen des candidatures </w:t>
      </w:r>
      <w:r w:rsidR="0074448D">
        <w:rPr>
          <w:rFonts w:ascii="Arial" w:hAnsi="Arial"/>
          <w:b/>
          <w:sz w:val="22"/>
        </w:rPr>
        <w:t xml:space="preserve">pour </w:t>
      </w:r>
      <w:r w:rsidRPr="008D75D5">
        <w:rPr>
          <w:rFonts w:ascii="Arial" w:hAnsi="Arial"/>
          <w:b/>
          <w:sz w:val="22"/>
        </w:rPr>
        <w:t xml:space="preserve">inscription sur la </w:t>
      </w:r>
    </w:p>
    <w:p w14:paraId="376DCC8B" w14:textId="489FDA9E" w:rsidR="00EC6F8D" w:rsidRPr="008D75D5" w:rsidRDefault="00343006" w:rsidP="00EC6F8D">
      <w:pPr>
        <w:pStyle w:val="Sansinterligne2"/>
        <w:spacing w:after="1200"/>
        <w:jc w:val="center"/>
        <w:rPr>
          <w:rFonts w:ascii="Arial" w:hAnsi="Arial" w:cs="Arial"/>
          <w:b/>
          <w:sz w:val="22"/>
          <w:szCs w:val="22"/>
        </w:rPr>
      </w:pPr>
      <w:r w:rsidRPr="008D75D5">
        <w:rPr>
          <w:rFonts w:ascii="Arial" w:hAnsi="Arial"/>
          <w:b/>
          <w:sz w:val="22"/>
        </w:rPr>
        <w:t>Liste du patrimoine culturel immatériel nécessitant une sauvegarde urgente</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8D75D5" w14:paraId="110C2559" w14:textId="77777777" w:rsidTr="00EC6F8D">
        <w:trPr>
          <w:jc w:val="center"/>
        </w:trPr>
        <w:tc>
          <w:tcPr>
            <w:tcW w:w="5670" w:type="dxa"/>
            <w:vAlign w:val="center"/>
          </w:tcPr>
          <w:p w14:paraId="0A4CD4FB" w14:textId="77777777" w:rsidR="00EC6F8D" w:rsidRPr="008D75D5" w:rsidRDefault="00EC6F8D" w:rsidP="00CA56BB">
            <w:pPr>
              <w:pStyle w:val="Sansinterligne1"/>
              <w:spacing w:before="200" w:after="200"/>
              <w:jc w:val="center"/>
              <w:rPr>
                <w:rFonts w:ascii="Arial" w:hAnsi="Arial" w:cs="Arial"/>
                <w:b/>
                <w:sz w:val="22"/>
                <w:szCs w:val="22"/>
              </w:rPr>
            </w:pPr>
            <w:r w:rsidRPr="008D75D5">
              <w:rPr>
                <w:rFonts w:ascii="Arial" w:hAnsi="Arial"/>
                <w:b/>
                <w:sz w:val="22"/>
              </w:rPr>
              <w:t>Résumé</w:t>
            </w:r>
          </w:p>
          <w:p w14:paraId="40935004" w14:textId="34E34ECB" w:rsidR="003950DF" w:rsidRPr="008D75D5" w:rsidRDefault="003950DF" w:rsidP="003950DF">
            <w:pPr>
              <w:pStyle w:val="Sansinterligne2"/>
              <w:spacing w:before="200" w:after="200"/>
              <w:jc w:val="both"/>
              <w:rPr>
                <w:rFonts w:ascii="Arial" w:hAnsi="Arial" w:cs="Arial"/>
                <w:sz w:val="22"/>
                <w:szCs w:val="22"/>
              </w:rPr>
            </w:pPr>
            <w:r w:rsidRPr="008D75D5">
              <w:rPr>
                <w:rFonts w:ascii="Arial" w:hAnsi="Arial"/>
                <w:sz w:val="22"/>
              </w:rPr>
              <w:t xml:space="preserve">Le présent document </w:t>
            </w:r>
            <w:r w:rsidR="007A5C94">
              <w:rPr>
                <w:rFonts w:ascii="Arial" w:hAnsi="Arial"/>
                <w:sz w:val="22"/>
              </w:rPr>
              <w:t>comprend</w:t>
            </w:r>
            <w:r w:rsidR="007A5C94" w:rsidRPr="008D75D5">
              <w:rPr>
                <w:rFonts w:ascii="Arial" w:hAnsi="Arial"/>
                <w:sz w:val="22"/>
              </w:rPr>
              <w:t xml:space="preserve"> </w:t>
            </w:r>
            <w:r w:rsidRPr="008D75D5">
              <w:rPr>
                <w:rFonts w:ascii="Arial" w:hAnsi="Arial"/>
                <w:sz w:val="22"/>
              </w:rPr>
              <w:t>les recommandations de l</w:t>
            </w:r>
            <w:r w:rsidR="00A512DB">
              <w:rPr>
                <w:rFonts w:ascii="Arial" w:hAnsi="Arial"/>
                <w:sz w:val="22"/>
              </w:rPr>
              <w:t>’</w:t>
            </w:r>
            <w:r w:rsidRPr="008D75D5">
              <w:rPr>
                <w:rFonts w:ascii="Arial" w:hAnsi="Arial"/>
                <w:sz w:val="22"/>
              </w:rPr>
              <w:t>Organe d</w:t>
            </w:r>
            <w:r w:rsidR="00A512DB">
              <w:rPr>
                <w:rFonts w:ascii="Arial" w:hAnsi="Arial"/>
                <w:sz w:val="22"/>
              </w:rPr>
              <w:t>’</w:t>
            </w:r>
            <w:r w:rsidRPr="008D75D5">
              <w:rPr>
                <w:rFonts w:ascii="Arial" w:hAnsi="Arial"/>
                <w:sz w:val="22"/>
              </w:rPr>
              <w:t xml:space="preserve">évaluation concernant les candidatures </w:t>
            </w:r>
            <w:r w:rsidR="0074448D">
              <w:rPr>
                <w:rFonts w:ascii="Arial" w:hAnsi="Arial"/>
                <w:sz w:val="22"/>
              </w:rPr>
              <w:t>à</w:t>
            </w:r>
            <w:r w:rsidRPr="008D75D5">
              <w:rPr>
                <w:rFonts w:ascii="Arial" w:hAnsi="Arial"/>
                <w:sz w:val="22"/>
              </w:rPr>
              <w:t xml:space="preserve"> la Liste du patrimoine culturel immatériel nécessitant une sauvegarde urgente (</w:t>
            </w:r>
            <w:r w:rsidR="007A5C94">
              <w:rPr>
                <w:rFonts w:ascii="Arial" w:hAnsi="Arial"/>
                <w:sz w:val="22"/>
              </w:rPr>
              <w:t>p</w:t>
            </w:r>
            <w:r w:rsidRPr="008D75D5">
              <w:rPr>
                <w:rFonts w:ascii="Arial" w:hAnsi="Arial"/>
                <w:sz w:val="22"/>
              </w:rPr>
              <w:t xml:space="preserve">artie A) et une série de projets de décision </w:t>
            </w:r>
            <w:r w:rsidR="0074448D">
              <w:rPr>
                <w:rFonts w:ascii="Arial" w:hAnsi="Arial"/>
                <w:sz w:val="22"/>
              </w:rPr>
              <w:t>pour considération</w:t>
            </w:r>
            <w:r w:rsidRPr="008D75D5">
              <w:rPr>
                <w:rFonts w:ascii="Arial" w:hAnsi="Arial"/>
                <w:sz w:val="22"/>
              </w:rPr>
              <w:t xml:space="preserve"> par le Comité (</w:t>
            </w:r>
            <w:r w:rsidR="007A5C94">
              <w:rPr>
                <w:rFonts w:ascii="Arial" w:hAnsi="Arial"/>
                <w:sz w:val="22"/>
              </w:rPr>
              <w:t>p</w:t>
            </w:r>
            <w:r w:rsidRPr="008D75D5">
              <w:rPr>
                <w:rFonts w:ascii="Arial" w:hAnsi="Arial"/>
                <w:sz w:val="22"/>
              </w:rPr>
              <w:t xml:space="preserve">artie B). Un aperçu des dossiers de 2018 et </w:t>
            </w:r>
            <w:r w:rsidR="0074448D">
              <w:rPr>
                <w:rFonts w:ascii="Arial" w:hAnsi="Arial"/>
                <w:sz w:val="22"/>
              </w:rPr>
              <w:t>l</w:t>
            </w:r>
            <w:r w:rsidRPr="008D75D5">
              <w:rPr>
                <w:rFonts w:ascii="Arial" w:hAnsi="Arial"/>
                <w:sz w:val="22"/>
              </w:rPr>
              <w:t>es méthodes de travail de l</w:t>
            </w:r>
            <w:r w:rsidR="00A512DB">
              <w:rPr>
                <w:rFonts w:ascii="Arial" w:hAnsi="Arial"/>
                <w:sz w:val="22"/>
              </w:rPr>
              <w:t>’</w:t>
            </w:r>
            <w:r w:rsidRPr="008D75D5">
              <w:rPr>
                <w:rFonts w:ascii="Arial" w:hAnsi="Arial"/>
                <w:sz w:val="22"/>
              </w:rPr>
              <w:t>Organe d</w:t>
            </w:r>
            <w:r w:rsidR="00A512DB">
              <w:rPr>
                <w:rFonts w:ascii="Arial" w:hAnsi="Arial"/>
                <w:sz w:val="22"/>
              </w:rPr>
              <w:t>’</w:t>
            </w:r>
            <w:r w:rsidRPr="008D75D5">
              <w:rPr>
                <w:rFonts w:ascii="Arial" w:hAnsi="Arial"/>
                <w:sz w:val="22"/>
              </w:rPr>
              <w:t xml:space="preserve">évaluation </w:t>
            </w:r>
            <w:r w:rsidR="0074448D">
              <w:rPr>
                <w:rFonts w:ascii="Arial" w:hAnsi="Arial"/>
                <w:sz w:val="22"/>
              </w:rPr>
              <w:t>sont présentés</w:t>
            </w:r>
            <w:r w:rsidRPr="008D75D5">
              <w:rPr>
                <w:rFonts w:ascii="Arial" w:hAnsi="Arial"/>
                <w:sz w:val="22"/>
              </w:rPr>
              <w:t xml:space="preserve"> dans le document </w:t>
            </w:r>
            <w:hyperlink r:id="rId8" w:history="1">
              <w:r w:rsidRPr="005D1550">
                <w:rPr>
                  <w:rStyle w:val="Hyperlink"/>
                  <w:rFonts w:ascii="Arial" w:hAnsi="Arial"/>
                  <w:sz w:val="22"/>
                </w:rPr>
                <w:t>ITH/1</w:t>
              </w:r>
              <w:r w:rsidR="0074448D" w:rsidRPr="005D1550">
                <w:rPr>
                  <w:rStyle w:val="Hyperlink"/>
                  <w:rFonts w:ascii="Arial" w:hAnsi="Arial"/>
                  <w:sz w:val="22"/>
                </w:rPr>
                <w:t>8</w:t>
              </w:r>
              <w:r w:rsidRPr="005D1550">
                <w:rPr>
                  <w:rStyle w:val="Hyperlink"/>
                  <w:rFonts w:ascii="Arial" w:hAnsi="Arial"/>
                  <w:sz w:val="22"/>
                </w:rPr>
                <w:t>/13.COM/10</w:t>
              </w:r>
            </w:hyperlink>
            <w:r w:rsidRPr="008D75D5">
              <w:rPr>
                <w:rFonts w:ascii="Arial" w:hAnsi="Arial"/>
                <w:sz w:val="22"/>
              </w:rPr>
              <w:t>.</w:t>
            </w:r>
          </w:p>
          <w:p w14:paraId="6E717115" w14:textId="36840508" w:rsidR="00EC6F8D" w:rsidRPr="008D75D5" w:rsidRDefault="00EC6F8D" w:rsidP="003950DF">
            <w:pPr>
              <w:pStyle w:val="Sansinterligne2"/>
              <w:spacing w:before="200" w:after="200"/>
              <w:jc w:val="both"/>
              <w:rPr>
                <w:rFonts w:ascii="Arial" w:hAnsi="Arial" w:cs="Arial"/>
                <w:b/>
                <w:sz w:val="22"/>
                <w:szCs w:val="22"/>
              </w:rPr>
            </w:pPr>
            <w:r w:rsidRPr="008D75D5">
              <w:rPr>
                <w:rFonts w:ascii="Arial" w:hAnsi="Arial"/>
                <w:b/>
                <w:sz w:val="22"/>
              </w:rPr>
              <w:t>Décision requise </w:t>
            </w:r>
            <w:r w:rsidRPr="0029421F">
              <w:rPr>
                <w:rFonts w:ascii="Arial" w:hAnsi="Arial"/>
                <w:bCs/>
                <w:sz w:val="22"/>
              </w:rPr>
              <w:t xml:space="preserve">: </w:t>
            </w:r>
            <w:r w:rsidRPr="008D75D5">
              <w:rPr>
                <w:rFonts w:ascii="Arial" w:hAnsi="Arial"/>
                <w:sz w:val="22"/>
              </w:rPr>
              <w:t>paragraphe 3</w:t>
            </w:r>
          </w:p>
        </w:tc>
      </w:tr>
    </w:tbl>
    <w:p w14:paraId="238100C3" w14:textId="5AC5555F" w:rsidR="003F4BCF" w:rsidRPr="008D75D5" w:rsidRDefault="00655736" w:rsidP="001A5DA6">
      <w:pPr>
        <w:pStyle w:val="NoSpacing1"/>
        <w:keepNext/>
        <w:numPr>
          <w:ilvl w:val="0"/>
          <w:numId w:val="5"/>
        </w:numPr>
        <w:tabs>
          <w:tab w:val="left" w:pos="567"/>
        </w:tabs>
        <w:spacing w:after="240"/>
        <w:ind w:hanging="930"/>
        <w:jc w:val="both"/>
        <w:rPr>
          <w:rFonts w:ascii="Arial" w:hAnsi="Arial" w:cs="Arial"/>
          <w:b/>
        </w:rPr>
      </w:pPr>
      <w:r w:rsidRPr="008D75D5">
        <w:br w:type="page"/>
      </w:r>
      <w:r w:rsidRPr="008D75D5">
        <w:rPr>
          <w:rFonts w:ascii="Arial" w:hAnsi="Arial"/>
          <w:b/>
        </w:rPr>
        <w:lastRenderedPageBreak/>
        <w:t>Recommandations</w:t>
      </w:r>
    </w:p>
    <w:p w14:paraId="2707008C" w14:textId="537ECA78" w:rsidR="003F4BCF" w:rsidRPr="008D75D5" w:rsidRDefault="003F4BCF" w:rsidP="00792FE5">
      <w:pPr>
        <w:pStyle w:val="ListParagraph"/>
        <w:numPr>
          <w:ilvl w:val="0"/>
          <w:numId w:val="7"/>
        </w:numPr>
        <w:spacing w:before="240" w:after="240"/>
        <w:ind w:left="567" w:hanging="567"/>
        <w:jc w:val="both"/>
        <w:rPr>
          <w:rFonts w:ascii="Arial" w:hAnsi="Arial" w:cs="Arial"/>
          <w:snapToGrid w:val="0"/>
          <w:sz w:val="22"/>
          <w:szCs w:val="22"/>
        </w:rPr>
      </w:pPr>
      <w:bookmarkStart w:id="1" w:name="Recommends_that_the_committee_approve"/>
      <w:bookmarkStart w:id="2" w:name="Recommends_that_the_committee_refer"/>
      <w:bookmarkStart w:id="3" w:name="Recommend_to_inscribe"/>
      <w:bookmarkEnd w:id="1"/>
      <w:bookmarkEnd w:id="2"/>
      <w:bookmarkEnd w:id="3"/>
      <w:r w:rsidRPr="008D75D5">
        <w:rPr>
          <w:rFonts w:ascii="Arial" w:hAnsi="Arial"/>
          <w:snapToGrid w:val="0"/>
          <w:sz w:val="22"/>
        </w:rPr>
        <w:t>L</w:t>
      </w:r>
      <w:r w:rsidR="00A512DB">
        <w:rPr>
          <w:rFonts w:ascii="Arial" w:hAnsi="Arial"/>
          <w:snapToGrid w:val="0"/>
          <w:sz w:val="22"/>
        </w:rPr>
        <w:t>’</w:t>
      </w:r>
      <w:r w:rsidRPr="008D75D5">
        <w:rPr>
          <w:rFonts w:ascii="Arial" w:hAnsi="Arial"/>
          <w:snapToGrid w:val="0"/>
          <w:sz w:val="22"/>
        </w:rPr>
        <w:t>Organe d</w:t>
      </w:r>
      <w:r w:rsidR="00A512DB">
        <w:rPr>
          <w:rFonts w:ascii="Arial" w:hAnsi="Arial"/>
          <w:snapToGrid w:val="0"/>
          <w:sz w:val="22"/>
        </w:rPr>
        <w:t>’</w:t>
      </w:r>
      <w:r w:rsidRPr="008D75D5">
        <w:rPr>
          <w:rFonts w:ascii="Arial" w:hAnsi="Arial"/>
          <w:snapToGrid w:val="0"/>
          <w:sz w:val="22"/>
        </w:rPr>
        <w:t xml:space="preserve">évaluation recommande </w:t>
      </w:r>
      <w:r w:rsidR="001C1E1B">
        <w:rPr>
          <w:rFonts w:ascii="Arial" w:hAnsi="Arial"/>
          <w:snapToGrid w:val="0"/>
          <w:sz w:val="22"/>
        </w:rPr>
        <w:t>au</w:t>
      </w:r>
      <w:r w:rsidRPr="008D75D5">
        <w:rPr>
          <w:rFonts w:ascii="Arial" w:hAnsi="Arial"/>
          <w:snapToGrid w:val="0"/>
          <w:sz w:val="22"/>
        </w:rPr>
        <w:t xml:space="preserve"> Comité </w:t>
      </w:r>
      <w:r w:rsidR="001C1E1B">
        <w:rPr>
          <w:rFonts w:ascii="Arial" w:hAnsi="Arial"/>
          <w:snapToGrid w:val="0"/>
          <w:sz w:val="22"/>
        </w:rPr>
        <w:t>d’</w:t>
      </w:r>
      <w:r w:rsidRPr="008D75D5">
        <w:rPr>
          <w:rFonts w:ascii="Arial" w:hAnsi="Arial"/>
          <w:snapToGrid w:val="0"/>
          <w:sz w:val="22"/>
        </w:rPr>
        <w:t>inscri</w:t>
      </w:r>
      <w:r w:rsidR="001C1E1B">
        <w:rPr>
          <w:rFonts w:ascii="Arial" w:hAnsi="Arial"/>
          <w:snapToGrid w:val="0"/>
          <w:sz w:val="22"/>
        </w:rPr>
        <w:t>r</w:t>
      </w:r>
      <w:r w:rsidRPr="008D75D5">
        <w:rPr>
          <w:rFonts w:ascii="Arial" w:hAnsi="Arial"/>
          <w:snapToGrid w:val="0"/>
          <w:sz w:val="22"/>
        </w:rPr>
        <w:t xml:space="preserve">e les éléments suivants </w:t>
      </w:r>
      <w:r w:rsidR="001C1E1B">
        <w:rPr>
          <w:rFonts w:ascii="Arial" w:hAnsi="Arial"/>
          <w:snapToGrid w:val="0"/>
          <w:sz w:val="22"/>
        </w:rPr>
        <w:t>sur</w:t>
      </w:r>
      <w:r w:rsidRPr="008D75D5">
        <w:rPr>
          <w:rFonts w:ascii="Arial" w:hAnsi="Arial"/>
          <w:snapToGrid w:val="0"/>
          <w:sz w:val="22"/>
        </w:rPr>
        <w:t xml:space="preserve"> la Liste du patrimoine culturel immatériel nécessitant une sauvegarde urgente :</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0A0" w:firstRow="1" w:lastRow="0" w:firstColumn="1" w:lastColumn="0" w:noHBand="0" w:noVBand="0"/>
      </w:tblPr>
      <w:tblGrid>
        <w:gridCol w:w="1692"/>
        <w:gridCol w:w="1863"/>
        <w:gridCol w:w="4595"/>
        <w:gridCol w:w="922"/>
      </w:tblGrid>
      <w:tr w:rsidR="00B22CC3" w:rsidRPr="008D75D5" w14:paraId="2038C8BC" w14:textId="77777777" w:rsidTr="00A64FAE">
        <w:trPr>
          <w:cantSplit/>
          <w:tblHeader/>
        </w:trPr>
        <w:tc>
          <w:tcPr>
            <w:tcW w:w="1692" w:type="dxa"/>
            <w:tcBorders>
              <w:right w:val="nil"/>
            </w:tcBorders>
            <w:shd w:val="clear" w:color="auto" w:fill="BFBFBF"/>
            <w:vAlign w:val="center"/>
          </w:tcPr>
          <w:p w14:paraId="52ACCE2E" w14:textId="77777777" w:rsidR="003F4BCF" w:rsidRPr="008D75D5" w:rsidRDefault="003F4BCF" w:rsidP="003F4BCF">
            <w:pPr>
              <w:keepNext/>
              <w:spacing w:before="120" w:after="120"/>
              <w:jc w:val="center"/>
              <w:rPr>
                <w:rFonts w:ascii="Arial" w:hAnsi="Arial" w:cs="Arial"/>
                <w:sz w:val="22"/>
                <w:szCs w:val="22"/>
              </w:rPr>
            </w:pPr>
            <w:r w:rsidRPr="008D75D5">
              <w:rPr>
                <w:rFonts w:ascii="Arial" w:hAnsi="Arial"/>
                <w:b/>
                <w:sz w:val="22"/>
              </w:rPr>
              <w:t xml:space="preserve">Projet </w:t>
            </w:r>
            <w:r w:rsidRPr="008D75D5">
              <w:rPr>
                <w:rFonts w:ascii="Arial" w:hAnsi="Arial" w:cs="Arial"/>
                <w:b/>
                <w:bCs/>
                <w:sz w:val="22"/>
                <w:szCs w:val="22"/>
              </w:rPr>
              <w:br/>
            </w:r>
            <w:r w:rsidRPr="008D75D5">
              <w:rPr>
                <w:rFonts w:ascii="Arial" w:hAnsi="Arial"/>
                <w:b/>
                <w:sz w:val="22"/>
              </w:rPr>
              <w:t>de décision</w:t>
            </w:r>
          </w:p>
        </w:tc>
        <w:tc>
          <w:tcPr>
            <w:tcW w:w="1863" w:type="dxa"/>
            <w:tcBorders>
              <w:left w:val="nil"/>
              <w:right w:val="nil"/>
            </w:tcBorders>
            <w:shd w:val="clear" w:color="auto" w:fill="BFBFBF"/>
            <w:vAlign w:val="center"/>
          </w:tcPr>
          <w:p w14:paraId="4A6E93F3" w14:textId="77777777" w:rsidR="003F4BCF" w:rsidRPr="008D75D5" w:rsidRDefault="003F4BCF" w:rsidP="003F4BCF">
            <w:pPr>
              <w:keepNext/>
              <w:spacing w:before="120" w:after="120"/>
              <w:jc w:val="center"/>
              <w:rPr>
                <w:rFonts w:ascii="Arial" w:hAnsi="Arial" w:cs="Arial"/>
                <w:sz w:val="22"/>
                <w:szCs w:val="22"/>
              </w:rPr>
            </w:pPr>
            <w:r w:rsidRPr="008D75D5">
              <w:rPr>
                <w:rFonts w:ascii="Arial" w:hAnsi="Arial"/>
                <w:b/>
                <w:sz w:val="22"/>
              </w:rPr>
              <w:t>État soumissionnaire</w:t>
            </w:r>
          </w:p>
        </w:tc>
        <w:tc>
          <w:tcPr>
            <w:tcW w:w="4595" w:type="dxa"/>
            <w:tcBorders>
              <w:left w:val="nil"/>
              <w:right w:val="nil"/>
            </w:tcBorders>
            <w:shd w:val="clear" w:color="auto" w:fill="BFBFBF"/>
            <w:vAlign w:val="center"/>
          </w:tcPr>
          <w:p w14:paraId="0F2EB7EF" w14:textId="77777777" w:rsidR="003F4BCF" w:rsidRPr="008D75D5" w:rsidRDefault="003F4BCF" w:rsidP="003F4BCF">
            <w:pPr>
              <w:keepNext/>
              <w:spacing w:before="120" w:after="120"/>
              <w:jc w:val="center"/>
              <w:rPr>
                <w:rFonts w:ascii="Arial" w:hAnsi="Arial" w:cs="Arial"/>
                <w:sz w:val="22"/>
                <w:szCs w:val="22"/>
              </w:rPr>
            </w:pPr>
            <w:r w:rsidRPr="008D75D5">
              <w:rPr>
                <w:rFonts w:ascii="Arial" w:hAnsi="Arial"/>
                <w:b/>
                <w:sz w:val="22"/>
              </w:rPr>
              <w:t>Candidature</w:t>
            </w:r>
          </w:p>
        </w:tc>
        <w:tc>
          <w:tcPr>
            <w:tcW w:w="922" w:type="dxa"/>
            <w:tcBorders>
              <w:left w:val="nil"/>
            </w:tcBorders>
            <w:shd w:val="clear" w:color="auto" w:fill="BFBFBF"/>
            <w:vAlign w:val="center"/>
          </w:tcPr>
          <w:p w14:paraId="0E52F975" w14:textId="422A4BF7" w:rsidR="003F4BCF" w:rsidRPr="008D75D5" w:rsidRDefault="003F4BCF">
            <w:pPr>
              <w:keepNext/>
              <w:spacing w:before="120" w:after="120"/>
              <w:jc w:val="center"/>
              <w:rPr>
                <w:rFonts w:ascii="Arial" w:hAnsi="Arial" w:cs="Arial"/>
                <w:sz w:val="22"/>
                <w:szCs w:val="22"/>
              </w:rPr>
            </w:pPr>
            <w:r w:rsidRPr="008D75D5">
              <w:rPr>
                <w:rFonts w:ascii="Arial" w:hAnsi="Arial"/>
                <w:b/>
                <w:sz w:val="22"/>
              </w:rPr>
              <w:t>Dossier n°</w:t>
            </w:r>
          </w:p>
        </w:tc>
      </w:tr>
      <w:tr w:rsidR="00B22CC3" w:rsidRPr="008D75D5" w14:paraId="000DDAAB" w14:textId="77777777" w:rsidTr="00A64FAE">
        <w:trPr>
          <w:cantSplit/>
        </w:trPr>
        <w:tc>
          <w:tcPr>
            <w:tcW w:w="1692" w:type="dxa"/>
            <w:tcBorders>
              <w:right w:val="nil"/>
            </w:tcBorders>
          </w:tcPr>
          <w:p w14:paraId="3D7995DC" w14:textId="43E9744E" w:rsidR="003F4BCF" w:rsidRPr="008D75D5" w:rsidRDefault="00C51AF6" w:rsidP="003F4BCF">
            <w:pPr>
              <w:keepNext/>
              <w:spacing w:before="120" w:after="120"/>
              <w:jc w:val="center"/>
              <w:rPr>
                <w:rFonts w:ascii="Arial" w:hAnsi="Arial"/>
                <w:sz w:val="22"/>
                <w:szCs w:val="22"/>
              </w:rPr>
            </w:pPr>
            <w:hyperlink w:anchor="Decision_10a2" w:history="1">
              <w:r w:rsidR="003B2323" w:rsidRPr="008D75D5">
                <w:rPr>
                  <w:rStyle w:val="Hyperlink"/>
                  <w:rFonts w:ascii="Arial" w:hAnsi="Arial"/>
                  <w:sz w:val="22"/>
                </w:rPr>
                <w:t>13.COM 10.a.2</w:t>
              </w:r>
            </w:hyperlink>
          </w:p>
        </w:tc>
        <w:tc>
          <w:tcPr>
            <w:tcW w:w="1863" w:type="dxa"/>
            <w:tcBorders>
              <w:left w:val="nil"/>
              <w:right w:val="nil"/>
            </w:tcBorders>
          </w:tcPr>
          <w:p w14:paraId="7C76F049" w14:textId="77777777" w:rsidR="003F4BCF" w:rsidRPr="008D75D5" w:rsidRDefault="003F4BCF" w:rsidP="003F4BCF">
            <w:pPr>
              <w:keepNext/>
              <w:spacing w:before="120" w:after="120"/>
              <w:jc w:val="center"/>
              <w:rPr>
                <w:rFonts w:ascii="Arial" w:hAnsi="Arial" w:cs="Arial"/>
                <w:sz w:val="22"/>
                <w:szCs w:val="22"/>
              </w:rPr>
            </w:pPr>
            <w:r w:rsidRPr="008D75D5">
              <w:rPr>
                <w:rFonts w:ascii="Arial" w:hAnsi="Arial"/>
                <w:sz w:val="22"/>
              </w:rPr>
              <w:t>Azerbaïdjan</w:t>
            </w:r>
          </w:p>
        </w:tc>
        <w:tc>
          <w:tcPr>
            <w:tcW w:w="4595" w:type="dxa"/>
            <w:tcBorders>
              <w:left w:val="nil"/>
              <w:right w:val="nil"/>
            </w:tcBorders>
          </w:tcPr>
          <w:p w14:paraId="79ED18C7" w14:textId="46A29C4C" w:rsidR="003F4BCF" w:rsidRPr="008D75D5" w:rsidRDefault="007A78BB">
            <w:pPr>
              <w:keepNext/>
              <w:spacing w:before="120" w:after="120"/>
              <w:rPr>
                <w:rFonts w:ascii="Arial" w:hAnsi="Arial" w:cs="Arial"/>
                <w:sz w:val="22"/>
                <w:szCs w:val="22"/>
              </w:rPr>
            </w:pPr>
            <w:r>
              <w:rPr>
                <w:rFonts w:ascii="Arial" w:hAnsi="Arial"/>
                <w:sz w:val="22"/>
              </w:rPr>
              <w:t xml:space="preserve">Le </w:t>
            </w:r>
            <w:proofErr w:type="spellStart"/>
            <w:r>
              <w:rPr>
                <w:rFonts w:ascii="Arial" w:hAnsi="Arial"/>
                <w:sz w:val="22"/>
              </w:rPr>
              <w:t>y</w:t>
            </w:r>
            <w:r w:rsidR="003F4BCF" w:rsidRPr="008D75D5">
              <w:rPr>
                <w:rFonts w:ascii="Arial" w:hAnsi="Arial"/>
                <w:sz w:val="22"/>
              </w:rPr>
              <w:t>alli</w:t>
            </w:r>
            <w:proofErr w:type="spellEnd"/>
            <w:r w:rsidR="003F4BCF" w:rsidRPr="008D75D5">
              <w:rPr>
                <w:rFonts w:ascii="Arial" w:hAnsi="Arial"/>
                <w:sz w:val="22"/>
              </w:rPr>
              <w:t xml:space="preserve"> (</w:t>
            </w:r>
            <w:proofErr w:type="spellStart"/>
            <w:r>
              <w:rPr>
                <w:rFonts w:ascii="Arial" w:hAnsi="Arial"/>
                <w:sz w:val="22"/>
              </w:rPr>
              <w:t>k</w:t>
            </w:r>
            <w:r w:rsidR="003F4BCF" w:rsidRPr="008D75D5">
              <w:rPr>
                <w:rFonts w:ascii="Arial" w:hAnsi="Arial"/>
                <w:sz w:val="22"/>
              </w:rPr>
              <w:t>ochari</w:t>
            </w:r>
            <w:proofErr w:type="spellEnd"/>
            <w:r w:rsidR="003F4BCF" w:rsidRPr="008D75D5">
              <w:rPr>
                <w:rFonts w:ascii="Arial" w:hAnsi="Arial"/>
                <w:sz w:val="22"/>
              </w:rPr>
              <w:t xml:space="preserve">, </w:t>
            </w:r>
            <w:proofErr w:type="spellStart"/>
            <w:r>
              <w:rPr>
                <w:rFonts w:ascii="Arial" w:hAnsi="Arial"/>
                <w:sz w:val="22"/>
              </w:rPr>
              <w:t>t</w:t>
            </w:r>
            <w:r w:rsidR="003F4BCF" w:rsidRPr="008D75D5">
              <w:rPr>
                <w:rFonts w:ascii="Arial" w:hAnsi="Arial"/>
                <w:sz w:val="22"/>
              </w:rPr>
              <w:t>enzere</w:t>
            </w:r>
            <w:proofErr w:type="spellEnd"/>
            <w:r w:rsidR="003F4BCF" w:rsidRPr="008D75D5">
              <w:rPr>
                <w:rFonts w:ascii="Arial" w:hAnsi="Arial"/>
                <w:sz w:val="22"/>
              </w:rPr>
              <w:t>), danses collectives traditionnelles d</w:t>
            </w:r>
            <w:r>
              <w:rPr>
                <w:rFonts w:ascii="Arial" w:hAnsi="Arial"/>
                <w:sz w:val="22"/>
              </w:rPr>
              <w:t>u</w:t>
            </w:r>
            <w:r w:rsidR="003F4BCF" w:rsidRPr="008D75D5">
              <w:rPr>
                <w:rFonts w:ascii="Arial" w:hAnsi="Arial"/>
                <w:sz w:val="22"/>
              </w:rPr>
              <w:t xml:space="preserve"> Nakhitchevan</w:t>
            </w:r>
          </w:p>
        </w:tc>
        <w:tc>
          <w:tcPr>
            <w:tcW w:w="922" w:type="dxa"/>
            <w:tcBorders>
              <w:left w:val="nil"/>
            </w:tcBorders>
          </w:tcPr>
          <w:p w14:paraId="17DC78AA" w14:textId="729BB8E4" w:rsidR="003F4BCF" w:rsidRPr="008D75D5" w:rsidRDefault="00C51AF6" w:rsidP="003F4BCF">
            <w:pPr>
              <w:keepNext/>
              <w:spacing w:before="120" w:after="120"/>
              <w:jc w:val="center"/>
              <w:rPr>
                <w:rFonts w:ascii="Arial" w:hAnsi="Arial"/>
                <w:sz w:val="22"/>
                <w:szCs w:val="22"/>
              </w:rPr>
            </w:pPr>
            <w:hyperlink r:id="rId9" w:anchor="10.a.2">
              <w:r w:rsidR="003B2323" w:rsidRPr="008D75D5">
                <w:rPr>
                  <w:rFonts w:ascii="Arial" w:hAnsi="Arial"/>
                  <w:color w:val="0000FF"/>
                  <w:sz w:val="22"/>
                  <w:u w:val="single"/>
                </w:rPr>
                <w:t>01190</w:t>
              </w:r>
            </w:hyperlink>
          </w:p>
        </w:tc>
      </w:tr>
      <w:tr w:rsidR="00B22CC3" w:rsidRPr="008D75D5" w14:paraId="1A09A4E6" w14:textId="77777777" w:rsidTr="00A64FAE">
        <w:trPr>
          <w:cantSplit/>
        </w:trPr>
        <w:tc>
          <w:tcPr>
            <w:tcW w:w="1692" w:type="dxa"/>
            <w:tcBorders>
              <w:right w:val="nil"/>
            </w:tcBorders>
          </w:tcPr>
          <w:p w14:paraId="2E8A7B7C" w14:textId="27CE871D" w:rsidR="003F4BCF" w:rsidRPr="008D75D5" w:rsidRDefault="00C51AF6" w:rsidP="003F4BCF">
            <w:pPr>
              <w:keepNext/>
              <w:spacing w:before="120" w:after="120"/>
              <w:jc w:val="center"/>
              <w:rPr>
                <w:rFonts w:ascii="Arial" w:hAnsi="Arial" w:cs="Arial"/>
                <w:bCs/>
                <w:sz w:val="22"/>
                <w:szCs w:val="22"/>
              </w:rPr>
            </w:pPr>
            <w:hyperlink w:anchor="Decision_10a4" w:history="1">
              <w:r w:rsidR="003B2323" w:rsidRPr="008D75D5">
                <w:rPr>
                  <w:rFonts w:ascii="Arial" w:hAnsi="Arial"/>
                  <w:color w:val="0000FF"/>
                  <w:sz w:val="22"/>
                  <w:u w:val="single"/>
                </w:rPr>
                <w:t>13.COM 10.a.4</w:t>
              </w:r>
            </w:hyperlink>
          </w:p>
        </w:tc>
        <w:tc>
          <w:tcPr>
            <w:tcW w:w="1863" w:type="dxa"/>
            <w:tcBorders>
              <w:left w:val="nil"/>
              <w:right w:val="nil"/>
            </w:tcBorders>
          </w:tcPr>
          <w:p w14:paraId="11B001B8" w14:textId="77777777" w:rsidR="003F4BCF" w:rsidRPr="008D75D5" w:rsidRDefault="003F4BCF" w:rsidP="003F4BCF">
            <w:pPr>
              <w:keepNext/>
              <w:spacing w:before="120" w:after="120"/>
              <w:jc w:val="center"/>
              <w:rPr>
                <w:rFonts w:ascii="Arial" w:hAnsi="Arial" w:cs="Arial"/>
                <w:sz w:val="22"/>
                <w:szCs w:val="22"/>
              </w:rPr>
            </w:pPr>
            <w:r w:rsidRPr="008D75D5">
              <w:rPr>
                <w:rFonts w:ascii="Arial" w:hAnsi="Arial"/>
                <w:sz w:val="22"/>
              </w:rPr>
              <w:t>Égypte</w:t>
            </w:r>
          </w:p>
        </w:tc>
        <w:tc>
          <w:tcPr>
            <w:tcW w:w="4595" w:type="dxa"/>
            <w:tcBorders>
              <w:left w:val="nil"/>
              <w:right w:val="nil"/>
            </w:tcBorders>
          </w:tcPr>
          <w:p w14:paraId="283E9D67" w14:textId="5B11020E" w:rsidR="003F4BCF" w:rsidRPr="008D75D5" w:rsidRDefault="007A78BB">
            <w:pPr>
              <w:keepNext/>
              <w:spacing w:before="120" w:after="120"/>
              <w:rPr>
                <w:rFonts w:ascii="Arial" w:hAnsi="Arial" w:cs="Arial"/>
                <w:sz w:val="22"/>
                <w:szCs w:val="22"/>
              </w:rPr>
            </w:pPr>
            <w:r>
              <w:rPr>
                <w:rFonts w:ascii="Arial" w:hAnsi="Arial"/>
                <w:sz w:val="22"/>
              </w:rPr>
              <w:t>Les m</w:t>
            </w:r>
            <w:r w:rsidR="003F4BCF" w:rsidRPr="008D75D5">
              <w:rPr>
                <w:rFonts w:ascii="Arial" w:hAnsi="Arial"/>
                <w:sz w:val="22"/>
              </w:rPr>
              <w:t>arionnettes à gaine traditionnelles</w:t>
            </w:r>
          </w:p>
        </w:tc>
        <w:tc>
          <w:tcPr>
            <w:tcW w:w="922" w:type="dxa"/>
            <w:tcBorders>
              <w:left w:val="nil"/>
            </w:tcBorders>
          </w:tcPr>
          <w:p w14:paraId="05293CAE" w14:textId="3688BD69" w:rsidR="003F4BCF" w:rsidRPr="008D75D5" w:rsidRDefault="00C51AF6" w:rsidP="003F4BCF">
            <w:pPr>
              <w:keepNext/>
              <w:spacing w:before="120" w:after="120"/>
              <w:jc w:val="center"/>
              <w:rPr>
                <w:rFonts w:ascii="Arial" w:hAnsi="Arial" w:cs="Arial"/>
                <w:sz w:val="22"/>
                <w:szCs w:val="22"/>
              </w:rPr>
            </w:pPr>
            <w:hyperlink r:id="rId10" w:anchor="10.a.4">
              <w:r w:rsidR="003B2323" w:rsidRPr="008D75D5">
                <w:rPr>
                  <w:rStyle w:val="Hyperlink"/>
                  <w:rFonts w:ascii="Arial" w:hAnsi="Arial"/>
                  <w:sz w:val="22"/>
                </w:rPr>
                <w:t>01376</w:t>
              </w:r>
            </w:hyperlink>
          </w:p>
        </w:tc>
      </w:tr>
      <w:tr w:rsidR="00B22CC3" w:rsidRPr="008D75D5" w14:paraId="1CA38436" w14:textId="77777777" w:rsidTr="00A64FAE">
        <w:trPr>
          <w:cantSplit/>
        </w:trPr>
        <w:tc>
          <w:tcPr>
            <w:tcW w:w="1692" w:type="dxa"/>
            <w:tcBorders>
              <w:right w:val="nil"/>
            </w:tcBorders>
          </w:tcPr>
          <w:p w14:paraId="7F07BC2E" w14:textId="42C58DCF" w:rsidR="003F4BCF" w:rsidRPr="008D75D5" w:rsidRDefault="00C51AF6" w:rsidP="003F4BCF">
            <w:pPr>
              <w:keepNext/>
              <w:spacing w:before="120" w:after="120"/>
              <w:jc w:val="center"/>
              <w:rPr>
                <w:rFonts w:ascii="Arial" w:hAnsi="Arial" w:cs="Arial"/>
                <w:bCs/>
                <w:sz w:val="22"/>
                <w:szCs w:val="22"/>
              </w:rPr>
            </w:pPr>
            <w:hyperlink w:anchor="Decision_10a5" w:history="1">
              <w:r w:rsidR="003B2323" w:rsidRPr="008D75D5">
                <w:rPr>
                  <w:rFonts w:ascii="Arial" w:hAnsi="Arial"/>
                  <w:color w:val="0000FF"/>
                  <w:sz w:val="22"/>
                  <w:u w:val="single"/>
                </w:rPr>
                <w:t>13.COM 10.a.5</w:t>
              </w:r>
            </w:hyperlink>
          </w:p>
        </w:tc>
        <w:tc>
          <w:tcPr>
            <w:tcW w:w="1863" w:type="dxa"/>
            <w:tcBorders>
              <w:left w:val="nil"/>
              <w:right w:val="nil"/>
            </w:tcBorders>
          </w:tcPr>
          <w:p w14:paraId="66CB2C7E" w14:textId="77777777" w:rsidR="003F4BCF" w:rsidRPr="008D75D5" w:rsidRDefault="003F4BCF" w:rsidP="003F4BCF">
            <w:pPr>
              <w:keepNext/>
              <w:spacing w:before="120" w:after="120"/>
              <w:jc w:val="center"/>
              <w:rPr>
                <w:rFonts w:ascii="Arial" w:hAnsi="Arial" w:cs="Arial"/>
                <w:sz w:val="22"/>
                <w:szCs w:val="22"/>
              </w:rPr>
            </w:pPr>
            <w:r w:rsidRPr="008D75D5">
              <w:rPr>
                <w:rFonts w:ascii="Arial" w:hAnsi="Arial"/>
                <w:sz w:val="22"/>
              </w:rPr>
              <w:t>Kenya</w:t>
            </w:r>
          </w:p>
        </w:tc>
        <w:tc>
          <w:tcPr>
            <w:tcW w:w="4595" w:type="dxa"/>
            <w:tcBorders>
              <w:left w:val="nil"/>
              <w:right w:val="nil"/>
            </w:tcBorders>
          </w:tcPr>
          <w:p w14:paraId="1B76BA50" w14:textId="3ECE88F5" w:rsidR="003F4BCF" w:rsidRPr="008D75D5" w:rsidRDefault="007A78BB" w:rsidP="003F4BCF">
            <w:pPr>
              <w:keepNext/>
              <w:spacing w:before="120" w:after="120"/>
              <w:rPr>
                <w:rFonts w:ascii="Arial" w:hAnsi="Arial" w:cs="Arial"/>
                <w:sz w:val="22"/>
                <w:szCs w:val="22"/>
              </w:rPr>
            </w:pPr>
            <w:r>
              <w:rPr>
                <w:rFonts w:ascii="Arial" w:hAnsi="Arial"/>
                <w:sz w:val="22"/>
              </w:rPr>
              <w:t>L’</w:t>
            </w:r>
            <w:proofErr w:type="spellStart"/>
            <w:r w:rsidR="00774C5C" w:rsidRPr="008D75D5">
              <w:rPr>
                <w:rFonts w:ascii="Arial" w:hAnsi="Arial"/>
                <w:sz w:val="22"/>
              </w:rPr>
              <w:t>Enkipaata</w:t>
            </w:r>
            <w:proofErr w:type="spellEnd"/>
            <w:r w:rsidR="00774C5C" w:rsidRPr="008D75D5">
              <w:rPr>
                <w:rFonts w:ascii="Arial" w:hAnsi="Arial"/>
                <w:sz w:val="22"/>
              </w:rPr>
              <w:t xml:space="preserve">, </w:t>
            </w:r>
            <w:r>
              <w:rPr>
                <w:rFonts w:ascii="Arial" w:hAnsi="Arial"/>
                <w:sz w:val="22"/>
              </w:rPr>
              <w:t>l’</w:t>
            </w:r>
            <w:proofErr w:type="spellStart"/>
            <w:r w:rsidR="003F4BCF" w:rsidRPr="008D75D5">
              <w:rPr>
                <w:rFonts w:ascii="Arial" w:hAnsi="Arial"/>
                <w:sz w:val="22"/>
              </w:rPr>
              <w:t>Eunoto</w:t>
            </w:r>
            <w:proofErr w:type="spellEnd"/>
            <w:r w:rsidR="003F4BCF" w:rsidRPr="008D75D5">
              <w:rPr>
                <w:rFonts w:ascii="Arial" w:hAnsi="Arial"/>
                <w:sz w:val="22"/>
              </w:rPr>
              <w:t xml:space="preserve"> et </w:t>
            </w:r>
            <w:r>
              <w:rPr>
                <w:rFonts w:ascii="Arial" w:hAnsi="Arial"/>
                <w:sz w:val="22"/>
              </w:rPr>
              <w:t>l’</w:t>
            </w:r>
            <w:proofErr w:type="spellStart"/>
            <w:r w:rsidR="003F4BCF" w:rsidRPr="008D75D5">
              <w:rPr>
                <w:rFonts w:ascii="Arial" w:hAnsi="Arial"/>
                <w:sz w:val="22"/>
              </w:rPr>
              <w:t>Olng</w:t>
            </w:r>
            <w:r w:rsidR="00A512DB">
              <w:rPr>
                <w:rFonts w:ascii="Arial" w:hAnsi="Arial"/>
                <w:sz w:val="22"/>
              </w:rPr>
              <w:t>’</w:t>
            </w:r>
            <w:r w:rsidR="003F4BCF" w:rsidRPr="008D75D5">
              <w:rPr>
                <w:rFonts w:ascii="Arial" w:hAnsi="Arial"/>
                <w:sz w:val="22"/>
              </w:rPr>
              <w:t>esherr</w:t>
            </w:r>
            <w:proofErr w:type="spellEnd"/>
            <w:r w:rsidR="003F4BCF" w:rsidRPr="008D75D5">
              <w:rPr>
                <w:rFonts w:ascii="Arial" w:hAnsi="Arial"/>
                <w:sz w:val="22"/>
              </w:rPr>
              <w:t>, trois rites de passage masculins de la communauté masaï</w:t>
            </w:r>
          </w:p>
        </w:tc>
        <w:tc>
          <w:tcPr>
            <w:tcW w:w="922" w:type="dxa"/>
            <w:tcBorders>
              <w:left w:val="nil"/>
            </w:tcBorders>
          </w:tcPr>
          <w:p w14:paraId="34D64F0D" w14:textId="36D73552" w:rsidR="003F4BCF" w:rsidRPr="008D75D5" w:rsidRDefault="00C51AF6" w:rsidP="003F4BCF">
            <w:pPr>
              <w:keepNext/>
              <w:spacing w:before="120" w:after="120"/>
              <w:jc w:val="center"/>
              <w:rPr>
                <w:rFonts w:ascii="Arial" w:hAnsi="Arial" w:cs="Arial"/>
                <w:sz w:val="22"/>
                <w:szCs w:val="22"/>
              </w:rPr>
            </w:pPr>
            <w:hyperlink r:id="rId11" w:anchor="10.a.5">
              <w:r w:rsidR="003B2323" w:rsidRPr="008D75D5">
                <w:rPr>
                  <w:rFonts w:ascii="Arial" w:hAnsi="Arial"/>
                  <w:color w:val="0000FF"/>
                  <w:sz w:val="22"/>
                  <w:u w:val="single"/>
                </w:rPr>
                <w:t>01390</w:t>
              </w:r>
            </w:hyperlink>
          </w:p>
        </w:tc>
      </w:tr>
      <w:tr w:rsidR="00B22CC3" w:rsidRPr="008D75D5" w14:paraId="3F0B0184" w14:textId="77777777" w:rsidTr="00A64FAE">
        <w:trPr>
          <w:cantSplit/>
        </w:trPr>
        <w:tc>
          <w:tcPr>
            <w:tcW w:w="1692" w:type="dxa"/>
            <w:tcBorders>
              <w:right w:val="nil"/>
            </w:tcBorders>
          </w:tcPr>
          <w:p w14:paraId="4813C0F7" w14:textId="72A1B16F" w:rsidR="003F4BCF" w:rsidRPr="008D75D5" w:rsidRDefault="00C51AF6" w:rsidP="003F4BCF">
            <w:pPr>
              <w:spacing w:before="120" w:after="120"/>
              <w:jc w:val="center"/>
              <w:rPr>
                <w:rFonts w:ascii="Arial" w:hAnsi="Arial" w:cs="Arial"/>
                <w:bCs/>
                <w:sz w:val="22"/>
                <w:szCs w:val="22"/>
              </w:rPr>
            </w:pPr>
            <w:hyperlink w:anchor="Decision_10a6" w:history="1">
              <w:r w:rsidR="003B2323" w:rsidRPr="008D75D5">
                <w:rPr>
                  <w:rFonts w:ascii="Arial" w:hAnsi="Arial"/>
                  <w:color w:val="0000FF"/>
                  <w:sz w:val="22"/>
                  <w:u w:val="single"/>
                </w:rPr>
                <w:t>13.COM 10.a.6</w:t>
              </w:r>
            </w:hyperlink>
          </w:p>
        </w:tc>
        <w:tc>
          <w:tcPr>
            <w:tcW w:w="1863" w:type="dxa"/>
            <w:tcBorders>
              <w:left w:val="nil"/>
              <w:right w:val="nil"/>
            </w:tcBorders>
          </w:tcPr>
          <w:p w14:paraId="38DEAA29" w14:textId="77777777" w:rsidR="003F4BCF" w:rsidRPr="008D75D5" w:rsidRDefault="003F4BCF" w:rsidP="003F4BCF">
            <w:pPr>
              <w:spacing w:before="120" w:after="120"/>
              <w:jc w:val="center"/>
              <w:rPr>
                <w:rFonts w:ascii="Arial" w:hAnsi="Arial" w:cs="Arial"/>
                <w:sz w:val="22"/>
                <w:szCs w:val="22"/>
              </w:rPr>
            </w:pPr>
            <w:r w:rsidRPr="008D75D5">
              <w:rPr>
                <w:rFonts w:ascii="Arial" w:hAnsi="Arial"/>
                <w:sz w:val="22"/>
              </w:rPr>
              <w:t>Pakistan</w:t>
            </w:r>
          </w:p>
        </w:tc>
        <w:tc>
          <w:tcPr>
            <w:tcW w:w="4595" w:type="dxa"/>
            <w:tcBorders>
              <w:left w:val="nil"/>
              <w:right w:val="nil"/>
            </w:tcBorders>
          </w:tcPr>
          <w:p w14:paraId="5132A5FC" w14:textId="5734C800" w:rsidR="003F4BCF" w:rsidRPr="008D75D5" w:rsidRDefault="007A78BB" w:rsidP="003F4BCF">
            <w:pPr>
              <w:spacing w:before="120" w:after="120"/>
              <w:rPr>
                <w:rFonts w:ascii="Arial" w:hAnsi="Arial" w:cs="Arial"/>
                <w:sz w:val="22"/>
                <w:szCs w:val="22"/>
              </w:rPr>
            </w:pPr>
            <w:r>
              <w:rPr>
                <w:rFonts w:ascii="Arial" w:hAnsi="Arial"/>
                <w:sz w:val="22"/>
              </w:rPr>
              <w:t xml:space="preserve">Le </w:t>
            </w:r>
            <w:r w:rsidR="003F4BCF" w:rsidRPr="008D75D5">
              <w:rPr>
                <w:rFonts w:ascii="Arial" w:hAnsi="Arial"/>
                <w:sz w:val="22"/>
              </w:rPr>
              <w:t xml:space="preserve">Suri </w:t>
            </w:r>
            <w:proofErr w:type="spellStart"/>
            <w:r w:rsidR="003F4BCF" w:rsidRPr="008D75D5">
              <w:rPr>
                <w:rFonts w:ascii="Arial" w:hAnsi="Arial"/>
                <w:sz w:val="22"/>
              </w:rPr>
              <w:t>Jagek</w:t>
            </w:r>
            <w:proofErr w:type="spellEnd"/>
            <w:r w:rsidR="003F4BCF" w:rsidRPr="008D75D5">
              <w:rPr>
                <w:rFonts w:ascii="Arial" w:hAnsi="Arial"/>
                <w:sz w:val="22"/>
              </w:rPr>
              <w:t xml:space="preserve"> (observation du soleil), pratique météorologique et astronomique traditionnelle fondée sur l</w:t>
            </w:r>
            <w:r w:rsidR="00A512DB">
              <w:rPr>
                <w:rFonts w:ascii="Arial" w:hAnsi="Arial"/>
                <w:sz w:val="22"/>
              </w:rPr>
              <w:t>’</w:t>
            </w:r>
            <w:r w:rsidR="003F4BCF" w:rsidRPr="008D75D5">
              <w:rPr>
                <w:rFonts w:ascii="Arial" w:hAnsi="Arial"/>
                <w:sz w:val="22"/>
              </w:rPr>
              <w:t>observation du soleil, de la lune et des étoiles par rapport à la topographie locale</w:t>
            </w:r>
          </w:p>
        </w:tc>
        <w:tc>
          <w:tcPr>
            <w:tcW w:w="922" w:type="dxa"/>
            <w:tcBorders>
              <w:left w:val="nil"/>
            </w:tcBorders>
          </w:tcPr>
          <w:p w14:paraId="1F168C24" w14:textId="79254BE6" w:rsidR="003F4BCF" w:rsidRPr="008D75D5" w:rsidRDefault="00C51AF6" w:rsidP="003F4BCF">
            <w:pPr>
              <w:keepNext/>
              <w:spacing w:before="120" w:after="120"/>
              <w:jc w:val="center"/>
              <w:rPr>
                <w:rFonts w:ascii="Arial" w:hAnsi="Arial" w:cs="Arial"/>
                <w:sz w:val="22"/>
                <w:szCs w:val="22"/>
              </w:rPr>
            </w:pPr>
            <w:hyperlink r:id="rId12" w:anchor="10.a.6">
              <w:r w:rsidR="003B2323" w:rsidRPr="008D75D5">
                <w:rPr>
                  <w:rFonts w:ascii="Arial" w:hAnsi="Arial"/>
                  <w:color w:val="0000FF"/>
                  <w:sz w:val="22"/>
                  <w:u w:val="single"/>
                </w:rPr>
                <w:t>01381</w:t>
              </w:r>
            </w:hyperlink>
          </w:p>
        </w:tc>
      </w:tr>
      <w:tr w:rsidR="00B22CC3" w:rsidRPr="008D75D5" w14:paraId="79B7DB47" w14:textId="77777777" w:rsidTr="00A64FAE">
        <w:trPr>
          <w:cantSplit/>
        </w:trPr>
        <w:tc>
          <w:tcPr>
            <w:tcW w:w="1692" w:type="dxa"/>
            <w:tcBorders>
              <w:right w:val="nil"/>
            </w:tcBorders>
          </w:tcPr>
          <w:p w14:paraId="244606E3" w14:textId="473A7745" w:rsidR="003F4BCF" w:rsidRPr="008D75D5" w:rsidRDefault="00C51AF6" w:rsidP="003F4BCF">
            <w:pPr>
              <w:spacing w:before="120" w:after="120"/>
              <w:jc w:val="center"/>
              <w:rPr>
                <w:rFonts w:ascii="Arial" w:hAnsi="Arial" w:cs="Arial"/>
                <w:bCs/>
                <w:color w:val="0000FF"/>
                <w:sz w:val="22"/>
                <w:szCs w:val="22"/>
                <w:u w:val="single"/>
              </w:rPr>
            </w:pPr>
            <w:hyperlink w:anchor="Decision_10a7" w:history="1">
              <w:r w:rsidR="003B2323" w:rsidRPr="008D75D5">
                <w:rPr>
                  <w:rStyle w:val="Hyperlink"/>
                  <w:rFonts w:ascii="Arial" w:hAnsi="Arial"/>
                  <w:sz w:val="22"/>
                </w:rPr>
                <w:t>13.COM 10.a.7</w:t>
              </w:r>
            </w:hyperlink>
          </w:p>
        </w:tc>
        <w:tc>
          <w:tcPr>
            <w:tcW w:w="1863" w:type="dxa"/>
            <w:tcBorders>
              <w:left w:val="nil"/>
              <w:right w:val="nil"/>
            </w:tcBorders>
          </w:tcPr>
          <w:p w14:paraId="2D82F574" w14:textId="77777777" w:rsidR="003F4BCF" w:rsidRPr="008D75D5" w:rsidRDefault="003F4BCF" w:rsidP="003F4BCF">
            <w:pPr>
              <w:spacing w:before="120" w:after="120"/>
              <w:jc w:val="center"/>
              <w:rPr>
                <w:rFonts w:ascii="Arial" w:hAnsi="Arial" w:cs="Arial"/>
                <w:sz w:val="22"/>
                <w:szCs w:val="22"/>
              </w:rPr>
            </w:pPr>
            <w:r w:rsidRPr="008D75D5">
              <w:rPr>
                <w:rFonts w:ascii="Arial" w:hAnsi="Arial"/>
                <w:sz w:val="22"/>
              </w:rPr>
              <w:t>République arabe syrienne</w:t>
            </w:r>
          </w:p>
        </w:tc>
        <w:tc>
          <w:tcPr>
            <w:tcW w:w="4595" w:type="dxa"/>
            <w:tcBorders>
              <w:left w:val="nil"/>
              <w:right w:val="nil"/>
            </w:tcBorders>
          </w:tcPr>
          <w:p w14:paraId="140F2575" w14:textId="26DDB0D7" w:rsidR="003F4BCF" w:rsidRPr="008D75D5" w:rsidRDefault="007A78BB">
            <w:pPr>
              <w:spacing w:before="120" w:after="120"/>
              <w:rPr>
                <w:rFonts w:ascii="Arial" w:hAnsi="Arial" w:cs="Arial"/>
                <w:sz w:val="22"/>
                <w:szCs w:val="22"/>
              </w:rPr>
            </w:pPr>
            <w:r>
              <w:rPr>
                <w:rFonts w:ascii="Arial" w:hAnsi="Arial"/>
                <w:sz w:val="22"/>
              </w:rPr>
              <w:t>Le t</w:t>
            </w:r>
            <w:r w:rsidR="003F4BCF" w:rsidRPr="008D75D5">
              <w:rPr>
                <w:rFonts w:ascii="Arial" w:hAnsi="Arial"/>
                <w:sz w:val="22"/>
              </w:rPr>
              <w:t>héâtre d</w:t>
            </w:r>
            <w:r w:rsidR="00A512DB">
              <w:rPr>
                <w:rFonts w:ascii="Arial" w:hAnsi="Arial"/>
                <w:sz w:val="22"/>
              </w:rPr>
              <w:t>’</w:t>
            </w:r>
            <w:r w:rsidR="003F4BCF" w:rsidRPr="008D75D5">
              <w:rPr>
                <w:rFonts w:ascii="Arial" w:hAnsi="Arial"/>
                <w:sz w:val="22"/>
              </w:rPr>
              <w:t>ombres</w:t>
            </w:r>
          </w:p>
        </w:tc>
        <w:tc>
          <w:tcPr>
            <w:tcW w:w="922" w:type="dxa"/>
            <w:tcBorders>
              <w:left w:val="nil"/>
            </w:tcBorders>
          </w:tcPr>
          <w:p w14:paraId="241CA377" w14:textId="21D5EC5E" w:rsidR="003F4BCF" w:rsidRPr="008D75D5" w:rsidRDefault="00C51AF6" w:rsidP="003F4BCF">
            <w:pPr>
              <w:keepNext/>
              <w:spacing w:before="120" w:after="120"/>
              <w:jc w:val="center"/>
              <w:rPr>
                <w:rFonts w:ascii="Arial" w:hAnsi="Arial" w:cs="Arial"/>
                <w:color w:val="0000FF"/>
                <w:sz w:val="22"/>
                <w:szCs w:val="22"/>
                <w:u w:val="single"/>
              </w:rPr>
            </w:pPr>
            <w:hyperlink r:id="rId13" w:anchor="10.a.7">
              <w:r w:rsidR="003B2323" w:rsidRPr="008D75D5">
                <w:rPr>
                  <w:rStyle w:val="Hyperlink"/>
                  <w:rFonts w:ascii="Arial" w:hAnsi="Arial"/>
                  <w:sz w:val="22"/>
                </w:rPr>
                <w:t>01368</w:t>
              </w:r>
            </w:hyperlink>
          </w:p>
        </w:tc>
      </w:tr>
    </w:tbl>
    <w:p w14:paraId="1D6424D6" w14:textId="27984EBA" w:rsidR="003F4BCF" w:rsidRPr="008D75D5" w:rsidRDefault="003F4BCF" w:rsidP="00792FE5">
      <w:pPr>
        <w:pStyle w:val="ListParagraph"/>
        <w:numPr>
          <w:ilvl w:val="0"/>
          <w:numId w:val="7"/>
        </w:numPr>
        <w:spacing w:before="240" w:after="240"/>
        <w:ind w:left="567" w:hanging="567"/>
        <w:jc w:val="both"/>
        <w:rPr>
          <w:rFonts w:ascii="Arial" w:hAnsi="Arial" w:cs="Arial"/>
          <w:snapToGrid w:val="0"/>
          <w:sz w:val="22"/>
          <w:szCs w:val="22"/>
        </w:rPr>
      </w:pPr>
      <w:bookmarkStart w:id="4" w:name="Recommend_to_refer"/>
      <w:bookmarkEnd w:id="4"/>
      <w:r w:rsidRPr="008D75D5">
        <w:rPr>
          <w:rFonts w:ascii="Arial" w:hAnsi="Arial"/>
          <w:snapToGrid w:val="0"/>
          <w:sz w:val="22"/>
        </w:rPr>
        <w:t>L</w:t>
      </w:r>
      <w:r w:rsidR="00A512DB">
        <w:rPr>
          <w:rFonts w:ascii="Arial" w:hAnsi="Arial"/>
          <w:snapToGrid w:val="0"/>
          <w:sz w:val="22"/>
        </w:rPr>
        <w:t>’</w:t>
      </w:r>
      <w:r w:rsidRPr="008D75D5">
        <w:rPr>
          <w:rFonts w:ascii="Arial" w:hAnsi="Arial"/>
          <w:snapToGrid w:val="0"/>
          <w:sz w:val="22"/>
        </w:rPr>
        <w:t>Organe d</w:t>
      </w:r>
      <w:r w:rsidR="00A512DB">
        <w:rPr>
          <w:rFonts w:ascii="Arial" w:hAnsi="Arial"/>
          <w:snapToGrid w:val="0"/>
          <w:sz w:val="22"/>
        </w:rPr>
        <w:t>’</w:t>
      </w:r>
      <w:r w:rsidRPr="008D75D5">
        <w:rPr>
          <w:rFonts w:ascii="Arial" w:hAnsi="Arial"/>
          <w:snapToGrid w:val="0"/>
          <w:sz w:val="22"/>
        </w:rPr>
        <w:t xml:space="preserve">évaluation recommande au Comité de </w:t>
      </w:r>
      <w:r w:rsidR="00502B7E">
        <w:rPr>
          <w:rFonts w:ascii="Arial" w:hAnsi="Arial"/>
          <w:snapToGrid w:val="0"/>
          <w:sz w:val="22"/>
        </w:rPr>
        <w:t>renvoyer</w:t>
      </w:r>
      <w:r w:rsidR="00502B7E" w:rsidRPr="008D75D5">
        <w:rPr>
          <w:rFonts w:ascii="Arial" w:hAnsi="Arial"/>
          <w:snapToGrid w:val="0"/>
          <w:sz w:val="22"/>
        </w:rPr>
        <w:t xml:space="preserve"> </w:t>
      </w:r>
      <w:r w:rsidRPr="008D75D5">
        <w:rPr>
          <w:rFonts w:ascii="Arial" w:hAnsi="Arial"/>
          <w:snapToGrid w:val="0"/>
          <w:sz w:val="22"/>
        </w:rPr>
        <w:t>les candidatures suivantes aux États soumissionnaires :</w:t>
      </w:r>
    </w:p>
    <w:tbl>
      <w:tblPr>
        <w:tblW w:w="9072" w:type="dxa"/>
        <w:tblInd w:w="567" w:type="dxa"/>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0A0" w:firstRow="1" w:lastRow="0" w:firstColumn="1" w:lastColumn="0" w:noHBand="0" w:noVBand="0"/>
      </w:tblPr>
      <w:tblGrid>
        <w:gridCol w:w="1685"/>
        <w:gridCol w:w="1863"/>
        <w:gridCol w:w="4568"/>
        <w:gridCol w:w="956"/>
      </w:tblGrid>
      <w:tr w:rsidR="003F4BCF" w:rsidRPr="008D75D5" w14:paraId="2AA6C401" w14:textId="77777777" w:rsidTr="00A64FAE">
        <w:trPr>
          <w:cantSplit/>
          <w:tblHeader/>
        </w:trPr>
        <w:tc>
          <w:tcPr>
            <w:tcW w:w="1685" w:type="dxa"/>
            <w:tcBorders>
              <w:right w:val="nil"/>
            </w:tcBorders>
            <w:shd w:val="clear" w:color="auto" w:fill="BFBFBF"/>
            <w:vAlign w:val="center"/>
          </w:tcPr>
          <w:p w14:paraId="25E5EAE7" w14:textId="77777777" w:rsidR="003F4BCF" w:rsidRPr="008D75D5" w:rsidRDefault="003F4BCF" w:rsidP="003F4BCF">
            <w:pPr>
              <w:keepNext/>
              <w:spacing w:before="120" w:after="120"/>
              <w:jc w:val="center"/>
              <w:rPr>
                <w:rFonts w:ascii="Arial" w:hAnsi="Arial" w:cs="Arial"/>
                <w:sz w:val="22"/>
                <w:szCs w:val="22"/>
              </w:rPr>
            </w:pPr>
            <w:r w:rsidRPr="008D75D5">
              <w:rPr>
                <w:rFonts w:ascii="Arial" w:hAnsi="Arial"/>
                <w:b/>
                <w:sz w:val="22"/>
              </w:rPr>
              <w:t xml:space="preserve">Projet </w:t>
            </w:r>
            <w:r w:rsidRPr="008D75D5">
              <w:rPr>
                <w:rFonts w:ascii="Arial" w:hAnsi="Arial" w:cs="Arial"/>
                <w:b/>
                <w:bCs/>
                <w:sz w:val="22"/>
                <w:szCs w:val="22"/>
              </w:rPr>
              <w:br/>
            </w:r>
            <w:r w:rsidRPr="008D75D5">
              <w:rPr>
                <w:rFonts w:ascii="Arial" w:hAnsi="Arial"/>
                <w:b/>
                <w:sz w:val="22"/>
              </w:rPr>
              <w:t>de décision</w:t>
            </w:r>
          </w:p>
        </w:tc>
        <w:tc>
          <w:tcPr>
            <w:tcW w:w="1863" w:type="dxa"/>
            <w:tcBorders>
              <w:left w:val="nil"/>
              <w:right w:val="nil"/>
            </w:tcBorders>
            <w:shd w:val="clear" w:color="auto" w:fill="BFBFBF"/>
            <w:vAlign w:val="center"/>
          </w:tcPr>
          <w:p w14:paraId="00716C80" w14:textId="77777777" w:rsidR="003F4BCF" w:rsidRPr="008D75D5" w:rsidRDefault="003F4BCF" w:rsidP="003F4BCF">
            <w:pPr>
              <w:keepNext/>
              <w:spacing w:before="120" w:after="120"/>
              <w:jc w:val="center"/>
              <w:rPr>
                <w:rFonts w:ascii="Arial" w:hAnsi="Arial" w:cs="Arial"/>
                <w:sz w:val="22"/>
                <w:szCs w:val="22"/>
              </w:rPr>
            </w:pPr>
            <w:r w:rsidRPr="008D75D5">
              <w:rPr>
                <w:rFonts w:ascii="Arial" w:hAnsi="Arial"/>
                <w:b/>
                <w:sz w:val="22"/>
              </w:rPr>
              <w:t>État soumissionnaire</w:t>
            </w:r>
          </w:p>
        </w:tc>
        <w:tc>
          <w:tcPr>
            <w:tcW w:w="4568" w:type="dxa"/>
            <w:tcBorders>
              <w:left w:val="nil"/>
              <w:right w:val="nil"/>
            </w:tcBorders>
            <w:shd w:val="clear" w:color="auto" w:fill="BFBFBF"/>
            <w:vAlign w:val="center"/>
          </w:tcPr>
          <w:p w14:paraId="1A5C100B" w14:textId="77777777" w:rsidR="003F4BCF" w:rsidRPr="008D75D5" w:rsidRDefault="003F4BCF" w:rsidP="003F4BCF">
            <w:pPr>
              <w:keepNext/>
              <w:spacing w:before="120" w:after="120"/>
              <w:jc w:val="center"/>
              <w:rPr>
                <w:rFonts w:ascii="Arial" w:hAnsi="Arial" w:cs="Arial"/>
                <w:sz w:val="22"/>
                <w:szCs w:val="22"/>
              </w:rPr>
            </w:pPr>
            <w:r w:rsidRPr="008D75D5">
              <w:rPr>
                <w:rFonts w:ascii="Arial" w:hAnsi="Arial"/>
                <w:b/>
                <w:sz w:val="22"/>
              </w:rPr>
              <w:t>Candidature</w:t>
            </w:r>
          </w:p>
        </w:tc>
        <w:tc>
          <w:tcPr>
            <w:tcW w:w="956" w:type="dxa"/>
            <w:tcBorders>
              <w:left w:val="nil"/>
            </w:tcBorders>
            <w:shd w:val="clear" w:color="auto" w:fill="BFBFBF"/>
            <w:vAlign w:val="center"/>
          </w:tcPr>
          <w:p w14:paraId="58E0298C" w14:textId="26D997D5" w:rsidR="003F4BCF" w:rsidRPr="008D75D5" w:rsidRDefault="003F4BCF">
            <w:pPr>
              <w:keepNext/>
              <w:spacing w:before="120" w:after="120"/>
              <w:jc w:val="center"/>
              <w:rPr>
                <w:rFonts w:ascii="Arial" w:hAnsi="Arial" w:cs="Arial"/>
                <w:sz w:val="22"/>
                <w:szCs w:val="22"/>
              </w:rPr>
            </w:pPr>
            <w:r w:rsidRPr="008D75D5">
              <w:rPr>
                <w:rFonts w:ascii="Arial" w:hAnsi="Arial"/>
                <w:b/>
                <w:sz w:val="22"/>
              </w:rPr>
              <w:t>Dossier n°</w:t>
            </w:r>
          </w:p>
        </w:tc>
      </w:tr>
      <w:tr w:rsidR="003F4BCF" w:rsidRPr="008D75D5" w14:paraId="5AFCAF0A" w14:textId="77777777" w:rsidTr="00A64FAE">
        <w:trPr>
          <w:cantSplit/>
          <w:trHeight w:val="409"/>
        </w:trPr>
        <w:tc>
          <w:tcPr>
            <w:tcW w:w="1685" w:type="dxa"/>
            <w:tcBorders>
              <w:right w:val="nil"/>
            </w:tcBorders>
          </w:tcPr>
          <w:p w14:paraId="5ABA17F4" w14:textId="626BF02E" w:rsidR="003F4BCF" w:rsidRPr="008D75D5" w:rsidRDefault="00C51AF6" w:rsidP="003F4BCF">
            <w:pPr>
              <w:keepNext/>
              <w:spacing w:before="120" w:after="120"/>
              <w:jc w:val="center"/>
              <w:rPr>
                <w:rFonts w:ascii="Arial" w:hAnsi="Arial" w:cs="Arial"/>
                <w:bCs/>
                <w:sz w:val="22"/>
                <w:szCs w:val="22"/>
              </w:rPr>
            </w:pPr>
            <w:hyperlink w:anchor="Decision_10a1" w:history="1">
              <w:r w:rsidR="003B2323" w:rsidRPr="008D75D5">
                <w:rPr>
                  <w:rStyle w:val="Hyperlink"/>
                  <w:rFonts w:ascii="Arial" w:hAnsi="Arial"/>
                  <w:sz w:val="22"/>
                </w:rPr>
                <w:t>13.COM 10.a.1</w:t>
              </w:r>
            </w:hyperlink>
          </w:p>
        </w:tc>
        <w:tc>
          <w:tcPr>
            <w:tcW w:w="1863" w:type="dxa"/>
            <w:tcBorders>
              <w:left w:val="nil"/>
              <w:right w:val="nil"/>
            </w:tcBorders>
          </w:tcPr>
          <w:p w14:paraId="3035D152" w14:textId="77777777" w:rsidR="003F4BCF" w:rsidRPr="008D75D5" w:rsidRDefault="003F4BCF" w:rsidP="003F4BCF">
            <w:pPr>
              <w:keepNext/>
              <w:spacing w:before="120" w:after="120"/>
              <w:jc w:val="center"/>
              <w:rPr>
                <w:rFonts w:ascii="Arial" w:hAnsi="Arial" w:cs="Arial"/>
                <w:sz w:val="22"/>
                <w:szCs w:val="22"/>
              </w:rPr>
            </w:pPr>
            <w:r w:rsidRPr="008D75D5">
              <w:rPr>
                <w:rFonts w:ascii="Arial" w:hAnsi="Arial"/>
                <w:sz w:val="22"/>
              </w:rPr>
              <w:t>Algérie</w:t>
            </w:r>
          </w:p>
        </w:tc>
        <w:tc>
          <w:tcPr>
            <w:tcW w:w="4568" w:type="dxa"/>
            <w:tcBorders>
              <w:left w:val="nil"/>
              <w:right w:val="nil"/>
            </w:tcBorders>
          </w:tcPr>
          <w:p w14:paraId="1BABFCED" w14:textId="04A29D60" w:rsidR="003F4BCF" w:rsidRPr="008D75D5" w:rsidRDefault="007A78BB" w:rsidP="003F4BCF">
            <w:pPr>
              <w:keepNext/>
              <w:spacing w:before="120" w:after="120"/>
              <w:rPr>
                <w:rFonts w:ascii="Arial" w:hAnsi="Arial" w:cs="Arial"/>
                <w:sz w:val="22"/>
                <w:szCs w:val="22"/>
              </w:rPr>
            </w:pPr>
            <w:r>
              <w:rPr>
                <w:rFonts w:ascii="Arial" w:hAnsi="Arial"/>
                <w:sz w:val="22"/>
              </w:rPr>
              <w:t>L</w:t>
            </w:r>
            <w:r w:rsidR="003F4BCF" w:rsidRPr="008D75D5">
              <w:rPr>
                <w:rFonts w:ascii="Arial" w:hAnsi="Arial"/>
                <w:sz w:val="22"/>
              </w:rPr>
              <w:t>es savoirs et savoir-faire des mesureurs d</w:t>
            </w:r>
            <w:r w:rsidR="00A512DB">
              <w:rPr>
                <w:rFonts w:ascii="Arial" w:hAnsi="Arial"/>
                <w:sz w:val="22"/>
              </w:rPr>
              <w:t>’</w:t>
            </w:r>
            <w:r w:rsidR="003F4BCF" w:rsidRPr="008D75D5">
              <w:rPr>
                <w:rFonts w:ascii="Arial" w:hAnsi="Arial"/>
                <w:sz w:val="22"/>
              </w:rPr>
              <w:t xml:space="preserve">eau des foggaras ou </w:t>
            </w:r>
            <w:proofErr w:type="spellStart"/>
            <w:r w:rsidR="003F4BCF" w:rsidRPr="008D75D5">
              <w:rPr>
                <w:rFonts w:ascii="Arial" w:hAnsi="Arial"/>
                <w:sz w:val="22"/>
              </w:rPr>
              <w:t>aiguadiers</w:t>
            </w:r>
            <w:proofErr w:type="spellEnd"/>
            <w:r w:rsidR="003F4BCF" w:rsidRPr="008D75D5">
              <w:rPr>
                <w:rFonts w:ascii="Arial" w:hAnsi="Arial"/>
                <w:sz w:val="22"/>
              </w:rPr>
              <w:t xml:space="preserve"> du Touat-Tidikelt</w:t>
            </w:r>
          </w:p>
        </w:tc>
        <w:tc>
          <w:tcPr>
            <w:tcW w:w="956" w:type="dxa"/>
            <w:tcBorders>
              <w:left w:val="nil"/>
            </w:tcBorders>
          </w:tcPr>
          <w:p w14:paraId="3012C42D" w14:textId="6D7C1AED" w:rsidR="003F4BCF" w:rsidRPr="008D75D5" w:rsidRDefault="00C51AF6" w:rsidP="003F4BCF">
            <w:pPr>
              <w:keepNext/>
              <w:spacing w:before="120" w:after="120"/>
              <w:jc w:val="center"/>
              <w:rPr>
                <w:rFonts w:ascii="Arial" w:hAnsi="Arial" w:cs="Arial"/>
                <w:sz w:val="22"/>
                <w:szCs w:val="22"/>
              </w:rPr>
            </w:pPr>
            <w:hyperlink r:id="rId14" w:anchor="10.a.1">
              <w:r w:rsidR="003B2323" w:rsidRPr="008D75D5">
                <w:rPr>
                  <w:rStyle w:val="Hyperlink"/>
                  <w:rFonts w:ascii="Arial" w:hAnsi="Arial"/>
                  <w:sz w:val="22"/>
                </w:rPr>
                <w:t>01274</w:t>
              </w:r>
            </w:hyperlink>
          </w:p>
        </w:tc>
      </w:tr>
      <w:tr w:rsidR="003F4BCF" w:rsidRPr="008D75D5" w14:paraId="349492D6" w14:textId="77777777" w:rsidTr="00A64FAE">
        <w:trPr>
          <w:cantSplit/>
          <w:trHeight w:val="409"/>
        </w:trPr>
        <w:tc>
          <w:tcPr>
            <w:tcW w:w="1685" w:type="dxa"/>
            <w:tcBorders>
              <w:right w:val="nil"/>
            </w:tcBorders>
          </w:tcPr>
          <w:p w14:paraId="2AD3F16B" w14:textId="6E0D7E41" w:rsidR="003F4BCF" w:rsidRPr="008D75D5" w:rsidRDefault="00C51AF6" w:rsidP="003F4BCF">
            <w:pPr>
              <w:keepNext/>
              <w:spacing w:before="120" w:after="120"/>
              <w:jc w:val="center"/>
              <w:rPr>
                <w:rFonts w:ascii="Arial" w:hAnsi="Arial" w:cs="Arial"/>
                <w:sz w:val="22"/>
                <w:szCs w:val="22"/>
              </w:rPr>
            </w:pPr>
            <w:hyperlink w:anchor="Decision_10a3" w:history="1">
              <w:r w:rsidR="003B2323" w:rsidRPr="008D75D5">
                <w:rPr>
                  <w:rFonts w:ascii="Arial" w:hAnsi="Arial"/>
                  <w:color w:val="0000FF"/>
                  <w:sz w:val="22"/>
                  <w:u w:val="single"/>
                </w:rPr>
                <w:t>13.COM.10.a.3</w:t>
              </w:r>
            </w:hyperlink>
          </w:p>
        </w:tc>
        <w:tc>
          <w:tcPr>
            <w:tcW w:w="1863" w:type="dxa"/>
            <w:tcBorders>
              <w:left w:val="nil"/>
              <w:right w:val="nil"/>
            </w:tcBorders>
          </w:tcPr>
          <w:p w14:paraId="1FE16718" w14:textId="77777777" w:rsidR="003F4BCF" w:rsidRPr="008D75D5" w:rsidRDefault="003F4BCF" w:rsidP="003F4BCF">
            <w:pPr>
              <w:keepNext/>
              <w:spacing w:before="120" w:after="120"/>
              <w:jc w:val="center"/>
              <w:rPr>
                <w:rFonts w:ascii="Arial" w:hAnsi="Arial" w:cs="Arial"/>
                <w:sz w:val="22"/>
                <w:szCs w:val="22"/>
              </w:rPr>
            </w:pPr>
            <w:r w:rsidRPr="008D75D5">
              <w:rPr>
                <w:rFonts w:ascii="Arial" w:hAnsi="Arial"/>
                <w:sz w:val="22"/>
              </w:rPr>
              <w:t>Cambodge</w:t>
            </w:r>
          </w:p>
        </w:tc>
        <w:tc>
          <w:tcPr>
            <w:tcW w:w="4568" w:type="dxa"/>
            <w:tcBorders>
              <w:left w:val="nil"/>
              <w:right w:val="nil"/>
            </w:tcBorders>
          </w:tcPr>
          <w:p w14:paraId="253CD9AA" w14:textId="2275C0EC" w:rsidR="003F4BCF" w:rsidRPr="00A512DB" w:rsidRDefault="007A78BB" w:rsidP="003F4BCF">
            <w:pPr>
              <w:keepNext/>
              <w:spacing w:before="120" w:after="120"/>
              <w:rPr>
                <w:rFonts w:ascii="Arial" w:hAnsi="Arial" w:cs="Arial"/>
                <w:sz w:val="22"/>
                <w:szCs w:val="22"/>
                <w:lang w:val="en-US"/>
              </w:rPr>
            </w:pPr>
            <w:r>
              <w:rPr>
                <w:rFonts w:ascii="Arial" w:hAnsi="Arial"/>
                <w:sz w:val="22"/>
                <w:lang w:val="en-US"/>
              </w:rPr>
              <w:t xml:space="preserve">Le </w:t>
            </w:r>
            <w:proofErr w:type="spellStart"/>
            <w:r w:rsidR="003F4BCF" w:rsidRPr="00A512DB">
              <w:rPr>
                <w:rFonts w:ascii="Arial" w:hAnsi="Arial"/>
                <w:sz w:val="22"/>
                <w:lang w:val="en-US"/>
              </w:rPr>
              <w:t>lkhon</w:t>
            </w:r>
            <w:proofErr w:type="spellEnd"/>
            <w:r w:rsidR="003F4BCF" w:rsidRPr="00A512DB">
              <w:rPr>
                <w:rFonts w:ascii="Arial" w:hAnsi="Arial"/>
                <w:sz w:val="22"/>
                <w:lang w:val="en-US"/>
              </w:rPr>
              <w:t xml:space="preserve"> </w:t>
            </w:r>
            <w:proofErr w:type="spellStart"/>
            <w:r w:rsidR="003F4BCF" w:rsidRPr="00A512DB">
              <w:rPr>
                <w:rFonts w:ascii="Arial" w:hAnsi="Arial"/>
                <w:sz w:val="22"/>
                <w:lang w:val="en-US"/>
              </w:rPr>
              <w:t>khol</w:t>
            </w:r>
            <w:proofErr w:type="spellEnd"/>
            <w:r w:rsidR="003F4BCF" w:rsidRPr="00A512DB">
              <w:rPr>
                <w:rFonts w:ascii="Arial" w:hAnsi="Arial"/>
                <w:sz w:val="22"/>
                <w:lang w:val="en-US"/>
              </w:rPr>
              <w:t xml:space="preserve"> de Wat </w:t>
            </w:r>
            <w:proofErr w:type="spellStart"/>
            <w:r w:rsidR="003F4BCF" w:rsidRPr="00A512DB">
              <w:rPr>
                <w:rFonts w:ascii="Arial" w:hAnsi="Arial"/>
                <w:sz w:val="22"/>
                <w:lang w:val="en-US"/>
              </w:rPr>
              <w:t>Svay</w:t>
            </w:r>
            <w:proofErr w:type="spellEnd"/>
            <w:r w:rsidR="003F4BCF" w:rsidRPr="00A512DB">
              <w:rPr>
                <w:rFonts w:ascii="Arial" w:hAnsi="Arial"/>
                <w:sz w:val="22"/>
                <w:lang w:val="en-US"/>
              </w:rPr>
              <w:t xml:space="preserve"> </w:t>
            </w:r>
            <w:proofErr w:type="spellStart"/>
            <w:r w:rsidR="003F4BCF" w:rsidRPr="00A512DB">
              <w:rPr>
                <w:rFonts w:ascii="Arial" w:hAnsi="Arial"/>
                <w:sz w:val="22"/>
                <w:lang w:val="en-US"/>
              </w:rPr>
              <w:t>Andet</w:t>
            </w:r>
            <w:proofErr w:type="spellEnd"/>
          </w:p>
        </w:tc>
        <w:tc>
          <w:tcPr>
            <w:tcW w:w="956" w:type="dxa"/>
            <w:tcBorders>
              <w:left w:val="nil"/>
            </w:tcBorders>
          </w:tcPr>
          <w:p w14:paraId="2A770F59" w14:textId="4D21F8FF" w:rsidR="003F4BCF" w:rsidRPr="008D75D5" w:rsidRDefault="00C51AF6" w:rsidP="003F4BCF">
            <w:pPr>
              <w:keepNext/>
              <w:spacing w:before="120" w:after="120"/>
              <w:jc w:val="center"/>
              <w:rPr>
                <w:rFonts w:ascii="Arial" w:hAnsi="Arial" w:cs="Arial"/>
                <w:sz w:val="22"/>
                <w:szCs w:val="22"/>
              </w:rPr>
            </w:pPr>
            <w:hyperlink r:id="rId15" w:anchor="10.a.3">
              <w:r w:rsidR="003B2323" w:rsidRPr="008D75D5">
                <w:rPr>
                  <w:rFonts w:ascii="Arial" w:hAnsi="Arial"/>
                  <w:color w:val="0000FF"/>
                  <w:sz w:val="22"/>
                  <w:u w:val="single"/>
                </w:rPr>
                <w:t>01374</w:t>
              </w:r>
            </w:hyperlink>
          </w:p>
        </w:tc>
      </w:tr>
    </w:tbl>
    <w:p w14:paraId="42D1FCD9" w14:textId="2B5A3511" w:rsidR="003F4BCF" w:rsidRPr="008D75D5" w:rsidRDefault="003F4BCF" w:rsidP="00B22CC3">
      <w:pPr>
        <w:keepNext/>
        <w:numPr>
          <w:ilvl w:val="0"/>
          <w:numId w:val="5"/>
        </w:numPr>
        <w:tabs>
          <w:tab w:val="left" w:pos="567"/>
        </w:tabs>
        <w:spacing w:before="360" w:after="240"/>
        <w:ind w:left="567" w:hanging="567"/>
        <w:jc w:val="both"/>
        <w:rPr>
          <w:rFonts w:ascii="Arial" w:eastAsia="SimSun" w:hAnsi="Arial" w:cs="Arial"/>
          <w:b/>
          <w:sz w:val="22"/>
          <w:szCs w:val="22"/>
        </w:rPr>
      </w:pPr>
      <w:r w:rsidRPr="008D75D5">
        <w:rPr>
          <w:rFonts w:ascii="Arial" w:hAnsi="Arial"/>
          <w:b/>
          <w:sz w:val="22"/>
        </w:rPr>
        <w:t>Projets de décision</w:t>
      </w:r>
    </w:p>
    <w:p w14:paraId="0CDDFA42" w14:textId="044F6C9A" w:rsidR="003F4BCF" w:rsidRPr="008D75D5" w:rsidRDefault="003F4BCF">
      <w:pPr>
        <w:pStyle w:val="ListParagraph"/>
        <w:numPr>
          <w:ilvl w:val="0"/>
          <w:numId w:val="7"/>
        </w:numPr>
        <w:spacing w:before="240" w:after="240"/>
        <w:ind w:left="567" w:hanging="567"/>
        <w:jc w:val="both"/>
        <w:rPr>
          <w:rFonts w:ascii="Arial" w:hAnsi="Arial" w:cs="Arial"/>
          <w:snapToGrid w:val="0"/>
          <w:sz w:val="22"/>
          <w:szCs w:val="22"/>
        </w:rPr>
      </w:pPr>
      <w:bookmarkStart w:id="5" w:name="_DRAFT_DECISION_10.COM"/>
      <w:bookmarkEnd w:id="5"/>
      <w:r w:rsidRPr="008D75D5">
        <w:rPr>
          <w:rFonts w:ascii="Arial" w:hAnsi="Arial"/>
          <w:snapToGrid w:val="0"/>
          <w:sz w:val="22"/>
        </w:rPr>
        <w:t>Le Comité souhaiter</w:t>
      </w:r>
      <w:r w:rsidR="0046602B">
        <w:rPr>
          <w:rFonts w:ascii="Arial" w:hAnsi="Arial"/>
          <w:snapToGrid w:val="0"/>
          <w:sz w:val="22"/>
        </w:rPr>
        <w:t>a peut-être</w:t>
      </w:r>
      <w:r w:rsidRPr="008D75D5">
        <w:rPr>
          <w:rFonts w:ascii="Arial" w:hAnsi="Arial"/>
          <w:snapToGrid w:val="0"/>
          <w:sz w:val="22"/>
        </w:rPr>
        <w:t xml:space="preserve"> adopter les décisions suivantes</w:t>
      </w:r>
      <w:r w:rsidR="00165C7A">
        <w:rPr>
          <w:rFonts w:ascii="Arial" w:hAnsi="Arial"/>
          <w:snapToGrid w:val="0"/>
          <w:sz w:val="22"/>
        </w:rPr>
        <w:t> </w:t>
      </w:r>
      <w:r w:rsidRPr="008D75D5">
        <w:rPr>
          <w:rFonts w:ascii="Arial" w:hAnsi="Arial"/>
          <w:snapToGrid w:val="0"/>
          <w:sz w:val="22"/>
        </w:rPr>
        <w:t>:</w:t>
      </w:r>
    </w:p>
    <w:p w14:paraId="3AD67F42" w14:textId="3A3092DE" w:rsidR="003F4BCF" w:rsidRPr="008D75D5" w:rsidRDefault="00C062CB" w:rsidP="00BC46E7">
      <w:pPr>
        <w:keepNext/>
        <w:keepLines/>
        <w:spacing w:before="360" w:after="120"/>
        <w:ind w:left="567"/>
        <w:outlineLvl w:val="0"/>
        <w:rPr>
          <w:rFonts w:ascii="Arial" w:eastAsia="SimSun" w:hAnsi="Arial" w:cs="Angsana New"/>
          <w:b/>
          <w:sz w:val="22"/>
          <w:szCs w:val="22"/>
        </w:rPr>
      </w:pPr>
      <w:bookmarkStart w:id="6" w:name="Decision_10a1"/>
      <w:bookmarkEnd w:id="6"/>
      <w:r w:rsidRPr="008D75D5">
        <w:rPr>
          <w:rFonts w:ascii="Arial" w:hAnsi="Arial"/>
          <w:b/>
          <w:sz w:val="22"/>
        </w:rPr>
        <w:t>PROJET DE DÉCISION 13.COM 10.a.1</w:t>
      </w:r>
      <w:r w:rsidRPr="008D75D5">
        <w:tab/>
      </w:r>
      <w:r w:rsidRPr="008D75D5">
        <w:rPr>
          <w:rFonts w:ascii="Arial" w:hAnsi="Arial" w:cs="Arial"/>
          <w:noProof/>
          <w:color w:val="0000FF"/>
          <w:sz w:val="22"/>
          <w:szCs w:val="22"/>
          <w:lang w:val="en-US" w:eastAsia="ko-KR" w:bidi="ar-SA"/>
        </w:rPr>
        <w:drawing>
          <wp:inline distT="0" distB="0" distL="0" distR="0" wp14:anchorId="70FB3D18" wp14:editId="68601FEE">
            <wp:extent cx="104775" cy="104775"/>
            <wp:effectExtent l="0" t="0" r="9525" b="9525"/>
            <wp:docPr id="2" name="Picture 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1DCD32E" w14:textId="210CE3F1" w:rsidR="003F4BCF" w:rsidRPr="008D75D5" w:rsidRDefault="00C062CB" w:rsidP="003F4BCF">
      <w:pPr>
        <w:keepNext/>
        <w:tabs>
          <w:tab w:val="left" w:pos="567"/>
          <w:tab w:val="left" w:pos="1134"/>
          <w:tab w:val="left" w:pos="1701"/>
          <w:tab w:val="left" w:pos="2268"/>
        </w:tabs>
        <w:spacing w:before="120" w:after="120"/>
        <w:ind w:left="567"/>
        <w:jc w:val="both"/>
        <w:rPr>
          <w:rFonts w:ascii="Arial" w:eastAsia="SimSun" w:hAnsi="Arial" w:cs="Arial"/>
          <w:sz w:val="22"/>
          <w:szCs w:val="22"/>
        </w:rPr>
      </w:pPr>
      <w:r w:rsidRPr="008D75D5">
        <w:rPr>
          <w:rFonts w:ascii="Arial" w:hAnsi="Arial"/>
          <w:sz w:val="22"/>
        </w:rPr>
        <w:t>Le Comité</w:t>
      </w:r>
    </w:p>
    <w:p w14:paraId="645C66E0" w14:textId="6CE28157" w:rsidR="00C062CB" w:rsidRPr="008D75D5" w:rsidRDefault="00C062CB" w:rsidP="0029421F">
      <w:pPr>
        <w:pStyle w:val="ListParagraph"/>
        <w:keepNext/>
        <w:keepLines/>
        <w:numPr>
          <w:ilvl w:val="0"/>
          <w:numId w:val="8"/>
        </w:numPr>
        <w:spacing w:before="120" w:after="120"/>
        <w:ind w:left="1134" w:hanging="567"/>
        <w:jc w:val="both"/>
        <w:outlineLvl w:val="1"/>
        <w:rPr>
          <w:rFonts w:ascii="Arial" w:eastAsia="SimSun" w:hAnsi="Arial" w:cs="Angsana New"/>
          <w:sz w:val="22"/>
          <w:szCs w:val="22"/>
        </w:rPr>
      </w:pPr>
      <w:r w:rsidRPr="008D75D5">
        <w:rPr>
          <w:rFonts w:ascii="Arial" w:hAnsi="Arial"/>
          <w:sz w:val="22"/>
          <w:u w:val="single"/>
        </w:rPr>
        <w:t>Prend note</w:t>
      </w:r>
      <w:r w:rsidRPr="008D75D5">
        <w:rPr>
          <w:rFonts w:ascii="Arial" w:hAnsi="Arial"/>
          <w:sz w:val="22"/>
        </w:rPr>
        <w:t xml:space="preserve"> que l</w:t>
      </w:r>
      <w:r w:rsidR="00A512DB">
        <w:rPr>
          <w:rFonts w:ascii="Arial" w:hAnsi="Arial"/>
          <w:sz w:val="22"/>
        </w:rPr>
        <w:t>’</w:t>
      </w:r>
      <w:r w:rsidRPr="008D75D5">
        <w:rPr>
          <w:rFonts w:ascii="Arial" w:hAnsi="Arial"/>
          <w:sz w:val="22"/>
        </w:rPr>
        <w:t xml:space="preserve">Algérie a proposé la candidature </w:t>
      </w:r>
      <w:r w:rsidRPr="008D75D5">
        <w:rPr>
          <w:rFonts w:ascii="Arial" w:hAnsi="Arial"/>
          <w:b/>
          <w:sz w:val="22"/>
        </w:rPr>
        <w:t>des savoirs et savoir-faire des mesureurs d</w:t>
      </w:r>
      <w:r w:rsidR="00A512DB">
        <w:rPr>
          <w:rFonts w:ascii="Arial" w:hAnsi="Arial"/>
          <w:b/>
          <w:sz w:val="22"/>
        </w:rPr>
        <w:t>’</w:t>
      </w:r>
      <w:r w:rsidRPr="008D75D5">
        <w:rPr>
          <w:rFonts w:ascii="Arial" w:hAnsi="Arial"/>
          <w:b/>
          <w:sz w:val="22"/>
        </w:rPr>
        <w:t xml:space="preserve">eau des foggaras ou </w:t>
      </w:r>
      <w:proofErr w:type="spellStart"/>
      <w:r w:rsidRPr="008D75D5">
        <w:rPr>
          <w:rFonts w:ascii="Arial" w:hAnsi="Arial"/>
          <w:b/>
          <w:sz w:val="22"/>
        </w:rPr>
        <w:t>aiguadiers</w:t>
      </w:r>
      <w:proofErr w:type="spellEnd"/>
      <w:r w:rsidRPr="008D75D5">
        <w:rPr>
          <w:rFonts w:ascii="Arial" w:hAnsi="Arial"/>
          <w:b/>
          <w:sz w:val="22"/>
        </w:rPr>
        <w:t xml:space="preserve"> du Touat-Tidikelt</w:t>
      </w:r>
      <w:r w:rsidRPr="008D75D5">
        <w:rPr>
          <w:rFonts w:ascii="Arial" w:hAnsi="Arial"/>
          <w:sz w:val="22"/>
        </w:rPr>
        <w:t xml:space="preserve"> (n° 01274) pour inscription sur la Liste du patrimoine culturel immatériel nécessitant une sauvegarde urgente :</w:t>
      </w:r>
    </w:p>
    <w:p w14:paraId="191B15E0" w14:textId="21E898E2" w:rsidR="003F4BCF" w:rsidRPr="00A512DB" w:rsidRDefault="00A512DB" w:rsidP="00A512DB">
      <w:pPr>
        <w:tabs>
          <w:tab w:val="left" w:pos="1134"/>
          <w:tab w:val="left" w:pos="1701"/>
          <w:tab w:val="left" w:pos="2268"/>
        </w:tabs>
        <w:spacing w:before="120" w:after="120"/>
        <w:ind w:left="1134"/>
        <w:jc w:val="both"/>
        <w:rPr>
          <w:rFonts w:ascii="Arial" w:hAnsi="Arial"/>
          <w:sz w:val="22"/>
        </w:rPr>
      </w:pPr>
      <w:r w:rsidRPr="00A512DB">
        <w:rPr>
          <w:rFonts w:ascii="Arial" w:hAnsi="Arial"/>
          <w:sz w:val="22"/>
        </w:rPr>
        <w:t xml:space="preserve">L’élément concerne le savoir et les </w:t>
      </w:r>
      <w:r w:rsidR="0046602B">
        <w:rPr>
          <w:rFonts w:ascii="Arial" w:hAnsi="Arial"/>
          <w:sz w:val="22"/>
        </w:rPr>
        <w:t>savoir-faire</w:t>
      </w:r>
      <w:r w:rsidRPr="00A512DB">
        <w:rPr>
          <w:rFonts w:ascii="Arial" w:hAnsi="Arial"/>
          <w:sz w:val="22"/>
        </w:rPr>
        <w:t xml:space="preserve"> des mesureurs d’eau des foggaras</w:t>
      </w:r>
      <w:r w:rsidR="0046602B">
        <w:rPr>
          <w:rFonts w:ascii="Arial" w:hAnsi="Arial"/>
          <w:sz w:val="22"/>
        </w:rPr>
        <w:t xml:space="preserve"> (système d’irrigation)</w:t>
      </w:r>
      <w:r w:rsidRPr="00A512DB">
        <w:rPr>
          <w:rFonts w:ascii="Arial" w:hAnsi="Arial"/>
          <w:sz w:val="22"/>
        </w:rPr>
        <w:t xml:space="preserve">, ou </w:t>
      </w:r>
      <w:proofErr w:type="spellStart"/>
      <w:r w:rsidRPr="00A512DB">
        <w:rPr>
          <w:rFonts w:ascii="Arial" w:hAnsi="Arial"/>
          <w:sz w:val="22"/>
        </w:rPr>
        <w:t>aiguadiers</w:t>
      </w:r>
      <w:proofErr w:type="spellEnd"/>
      <w:r w:rsidRPr="00A512DB">
        <w:rPr>
          <w:rFonts w:ascii="Arial" w:hAnsi="Arial"/>
          <w:sz w:val="22"/>
        </w:rPr>
        <w:t xml:space="preserve">, des communautés </w:t>
      </w:r>
      <w:proofErr w:type="spellStart"/>
      <w:r w:rsidRPr="00A512DB">
        <w:rPr>
          <w:rFonts w:ascii="Arial" w:hAnsi="Arial"/>
          <w:sz w:val="22"/>
        </w:rPr>
        <w:t>ksouriennes</w:t>
      </w:r>
      <w:proofErr w:type="spellEnd"/>
      <w:r w:rsidRPr="00A512DB">
        <w:rPr>
          <w:rFonts w:ascii="Arial" w:hAnsi="Arial"/>
          <w:sz w:val="22"/>
        </w:rPr>
        <w:t xml:space="preserve"> du Touat et du Tidikelt. Les mesureurs d’eau participent à différentes opérations qui vont du calcul des parts d’eau à la réparation des peignes de répartition des eaux et la conduite de l’eau </w:t>
      </w:r>
      <w:r w:rsidRPr="00A512DB">
        <w:rPr>
          <w:rFonts w:ascii="Arial" w:hAnsi="Arial"/>
          <w:sz w:val="22"/>
        </w:rPr>
        <w:lastRenderedPageBreak/>
        <w:t>dans les rigoles. Chaque foggara relie plusieurs catégories d’agents sociaux et de détenteurs de savoir</w:t>
      </w:r>
      <w:r w:rsidR="00040209">
        <w:rPr>
          <w:rFonts w:ascii="Arial" w:hAnsi="Arial"/>
          <w:sz w:val="22"/>
        </w:rPr>
        <w:t>s</w:t>
      </w:r>
      <w:r w:rsidRPr="00A512DB">
        <w:rPr>
          <w:rFonts w:ascii="Arial" w:hAnsi="Arial"/>
          <w:sz w:val="22"/>
        </w:rPr>
        <w:t xml:space="preserve"> dont les propriétaires, les travailleurs manuels, les comptables et les mesureurs d’eau. C’est le savoir de ces derniers qui semble menacé. Le mesureur d’eau est un personnage essentiel de la vie des ksour sahariens car il gère un domaine vital dont dépend la survie de tous. Il a un rôle à la fois intellectuel et manuel et peut être appelé à tout moment par la communauté. </w:t>
      </w:r>
      <w:r w:rsidR="004E4C49">
        <w:rPr>
          <w:rFonts w:ascii="Arial" w:hAnsi="Arial"/>
          <w:sz w:val="22"/>
        </w:rPr>
        <w:t>A</w:t>
      </w:r>
      <w:r w:rsidRPr="00A512DB">
        <w:rPr>
          <w:rFonts w:ascii="Arial" w:hAnsi="Arial"/>
          <w:sz w:val="22"/>
        </w:rPr>
        <w:t>ctuellement</w:t>
      </w:r>
      <w:r w:rsidR="004E4C49">
        <w:rPr>
          <w:rFonts w:ascii="Arial" w:hAnsi="Arial"/>
          <w:sz w:val="22"/>
        </w:rPr>
        <w:t>,</w:t>
      </w:r>
      <w:r w:rsidRPr="00A512DB">
        <w:rPr>
          <w:rFonts w:ascii="Arial" w:hAnsi="Arial"/>
          <w:sz w:val="22"/>
        </w:rPr>
        <w:t xml:space="preserve"> un manque de communication entre les jeunes et leurs ainés</w:t>
      </w:r>
      <w:r w:rsidR="004E4C49">
        <w:rPr>
          <w:rFonts w:ascii="Arial" w:hAnsi="Arial"/>
          <w:sz w:val="22"/>
        </w:rPr>
        <w:t xml:space="preserve"> est observé</w:t>
      </w:r>
      <w:r w:rsidRPr="00A512DB">
        <w:rPr>
          <w:rFonts w:ascii="Arial" w:hAnsi="Arial"/>
          <w:sz w:val="22"/>
        </w:rPr>
        <w:t>. En outre, plusieurs facteurs ont modifié le bon fonctionnement des foggaras, notamment des transformations initiées par le pouvoir central dans les rapports de propriété, les effets de l’urbanisation et de la modernisation et une absence de prise en considération des mesures à mettre en œuvre pour assurer la transmission du savoir. La disparition de l’activité des mesureurs d’eau est illustrée par leur âge avancé qui met en évidence une absence de renouvellement des praticiens.</w:t>
      </w:r>
    </w:p>
    <w:p w14:paraId="3F22E2C7" w14:textId="352A2659" w:rsidR="003F4BCF" w:rsidRPr="00A512DB" w:rsidRDefault="00C062CB" w:rsidP="0029421F">
      <w:pPr>
        <w:pStyle w:val="ListParagraph"/>
        <w:keepNext/>
        <w:keepLines/>
        <w:numPr>
          <w:ilvl w:val="0"/>
          <w:numId w:val="8"/>
        </w:numPr>
        <w:spacing w:before="120" w:after="120"/>
        <w:ind w:left="1134" w:hanging="567"/>
        <w:jc w:val="both"/>
        <w:outlineLvl w:val="1"/>
        <w:rPr>
          <w:rFonts w:ascii="Arial" w:eastAsia="SimSun" w:hAnsi="Arial" w:cs="Angsana New"/>
          <w:sz w:val="22"/>
          <w:szCs w:val="22"/>
        </w:rPr>
      </w:pPr>
      <w:r w:rsidRPr="008D75D5">
        <w:rPr>
          <w:rFonts w:ascii="Arial" w:hAnsi="Arial"/>
          <w:sz w:val="22"/>
          <w:u w:val="single"/>
        </w:rPr>
        <w:t>Décide</w:t>
      </w:r>
      <w:r w:rsidRPr="008D75D5">
        <w:rPr>
          <w:rFonts w:ascii="Arial" w:hAnsi="Arial"/>
          <w:sz w:val="22"/>
        </w:rPr>
        <w:t xml:space="preserve"> que, d</w:t>
      </w:r>
      <w:r w:rsidR="00A512DB">
        <w:rPr>
          <w:rFonts w:ascii="Arial" w:hAnsi="Arial"/>
          <w:sz w:val="22"/>
        </w:rPr>
        <w:t>’</w:t>
      </w:r>
      <w:r w:rsidRPr="008D75D5">
        <w:rPr>
          <w:rFonts w:ascii="Arial" w:hAnsi="Arial"/>
          <w:sz w:val="22"/>
        </w:rPr>
        <w:t>après l</w:t>
      </w:r>
      <w:r w:rsidR="00A512DB">
        <w:rPr>
          <w:rFonts w:ascii="Arial" w:hAnsi="Arial"/>
          <w:sz w:val="22"/>
        </w:rPr>
        <w:t>’</w:t>
      </w:r>
      <w:r w:rsidRPr="008D75D5">
        <w:rPr>
          <w:rFonts w:ascii="Arial" w:hAnsi="Arial"/>
          <w:sz w:val="22"/>
        </w:rPr>
        <w:t>information contenue dans le dossier, la candidature satisfait aux critères d</w:t>
      </w:r>
      <w:r w:rsidR="00A512DB">
        <w:rPr>
          <w:rFonts w:ascii="Arial" w:hAnsi="Arial"/>
          <w:sz w:val="22"/>
        </w:rPr>
        <w:t>’</w:t>
      </w:r>
      <w:r w:rsidRPr="008D75D5">
        <w:rPr>
          <w:rFonts w:ascii="Arial" w:hAnsi="Arial"/>
          <w:sz w:val="22"/>
        </w:rPr>
        <w:t>inscription sur la Liste du patrimoine culturel immatériel nécessitant une sauvegarde urgente comme suit :</w:t>
      </w:r>
    </w:p>
    <w:p w14:paraId="3862D32C" w14:textId="7605EFC9" w:rsidR="003F4BCF" w:rsidRPr="008D75D5" w:rsidRDefault="003F4BCF" w:rsidP="003F4BCF">
      <w:pPr>
        <w:tabs>
          <w:tab w:val="left" w:pos="567"/>
          <w:tab w:val="left" w:pos="1134"/>
          <w:tab w:val="left" w:pos="1701"/>
          <w:tab w:val="left" w:pos="2268"/>
        </w:tabs>
        <w:spacing w:before="120" w:after="120"/>
        <w:ind w:left="1701" w:hanging="567"/>
        <w:jc w:val="both"/>
        <w:rPr>
          <w:rFonts w:ascii="Arial" w:hAnsi="Arial" w:cs="Arial"/>
          <w:sz w:val="22"/>
          <w:szCs w:val="22"/>
        </w:rPr>
      </w:pPr>
      <w:r w:rsidRPr="008D75D5">
        <w:rPr>
          <w:rFonts w:ascii="Arial" w:hAnsi="Arial"/>
          <w:sz w:val="22"/>
        </w:rPr>
        <w:t>U.1 :</w:t>
      </w:r>
      <w:r w:rsidRPr="008D75D5">
        <w:tab/>
      </w:r>
      <w:r w:rsidRPr="008D75D5">
        <w:rPr>
          <w:rFonts w:ascii="Arial" w:hAnsi="Arial"/>
          <w:sz w:val="22"/>
        </w:rPr>
        <w:t>Cet élément est étroitement lié au mode de vie, à l</w:t>
      </w:r>
      <w:r w:rsidR="00A512DB">
        <w:rPr>
          <w:rFonts w:ascii="Arial" w:hAnsi="Arial"/>
          <w:sz w:val="22"/>
        </w:rPr>
        <w:t>’</w:t>
      </w:r>
      <w:r w:rsidRPr="008D75D5">
        <w:rPr>
          <w:rFonts w:ascii="Arial" w:hAnsi="Arial"/>
          <w:sz w:val="22"/>
        </w:rPr>
        <w:t>économie et à la survie dans la zone désertique d</w:t>
      </w:r>
      <w:r w:rsidR="00A512DB">
        <w:rPr>
          <w:rFonts w:ascii="Arial" w:hAnsi="Arial"/>
          <w:sz w:val="22"/>
        </w:rPr>
        <w:t>’</w:t>
      </w:r>
      <w:r w:rsidRPr="008D75D5">
        <w:rPr>
          <w:rFonts w:ascii="Arial" w:hAnsi="Arial"/>
          <w:sz w:val="22"/>
        </w:rPr>
        <w:t>Algérie. Les mesureurs d</w:t>
      </w:r>
      <w:r w:rsidR="00A512DB">
        <w:rPr>
          <w:rFonts w:ascii="Arial" w:hAnsi="Arial"/>
          <w:sz w:val="22"/>
        </w:rPr>
        <w:t>’</w:t>
      </w:r>
      <w:r w:rsidRPr="008D75D5">
        <w:rPr>
          <w:rFonts w:ascii="Arial" w:hAnsi="Arial"/>
          <w:sz w:val="22"/>
        </w:rPr>
        <w:t>eau sont très respectés, et malgré des changements radicaux qui menacent sérieusement leur activité, celle-ci fait toujours partie intégrante de la culture des foggaras. Outre leur rôle dans la distribution de l</w:t>
      </w:r>
      <w:r w:rsidR="00A512DB">
        <w:rPr>
          <w:rFonts w:ascii="Arial" w:hAnsi="Arial"/>
          <w:sz w:val="22"/>
        </w:rPr>
        <w:t>’</w:t>
      </w:r>
      <w:r w:rsidRPr="008D75D5">
        <w:rPr>
          <w:rFonts w:ascii="Arial" w:hAnsi="Arial"/>
          <w:sz w:val="22"/>
        </w:rPr>
        <w:t>eau, ils contribuent également à entretenir un équilibre social et moral, et à maintenir la paix et la justice.</w:t>
      </w:r>
    </w:p>
    <w:p w14:paraId="424C0185" w14:textId="5CCCF9CA" w:rsidR="003F4BCF" w:rsidRPr="008D75D5" w:rsidRDefault="003F4BCF" w:rsidP="003F4BCF">
      <w:pPr>
        <w:tabs>
          <w:tab w:val="left" w:pos="567"/>
          <w:tab w:val="left" w:pos="1134"/>
          <w:tab w:val="left" w:pos="1701"/>
          <w:tab w:val="left" w:pos="2268"/>
        </w:tabs>
        <w:spacing w:before="120" w:after="120"/>
        <w:ind w:left="1701" w:hanging="567"/>
        <w:jc w:val="both"/>
        <w:rPr>
          <w:rFonts w:ascii="Arial" w:hAnsi="Arial" w:cs="Arial"/>
          <w:sz w:val="22"/>
          <w:szCs w:val="22"/>
        </w:rPr>
      </w:pPr>
      <w:r w:rsidRPr="008D75D5">
        <w:rPr>
          <w:rFonts w:ascii="Arial" w:hAnsi="Arial"/>
          <w:sz w:val="22"/>
        </w:rPr>
        <w:t>U.2 :</w:t>
      </w:r>
      <w:r w:rsidRPr="008D75D5">
        <w:tab/>
      </w:r>
      <w:r w:rsidRPr="008D75D5">
        <w:rPr>
          <w:rFonts w:ascii="Arial" w:hAnsi="Arial"/>
          <w:sz w:val="22"/>
        </w:rPr>
        <w:t>Les savoirs et savoir-faire des mesureurs d</w:t>
      </w:r>
      <w:r w:rsidR="00A512DB">
        <w:rPr>
          <w:rFonts w:ascii="Arial" w:hAnsi="Arial"/>
          <w:sz w:val="22"/>
        </w:rPr>
        <w:t>’</w:t>
      </w:r>
      <w:r w:rsidRPr="008D75D5">
        <w:rPr>
          <w:rFonts w:ascii="Arial" w:hAnsi="Arial"/>
          <w:sz w:val="22"/>
        </w:rPr>
        <w:t>eau sont étroitement liés à l</w:t>
      </w:r>
      <w:r w:rsidR="00A512DB">
        <w:rPr>
          <w:rFonts w:ascii="Arial" w:hAnsi="Arial"/>
          <w:sz w:val="22"/>
        </w:rPr>
        <w:t>’</w:t>
      </w:r>
      <w:r w:rsidRPr="008D75D5">
        <w:rPr>
          <w:rFonts w:ascii="Arial" w:hAnsi="Arial"/>
          <w:sz w:val="22"/>
        </w:rPr>
        <w:t>ancien système juridique foncier local, qui a été affecté par les interventions état</w:t>
      </w:r>
      <w:r w:rsidR="00AC148B">
        <w:rPr>
          <w:rFonts w:ascii="Arial" w:hAnsi="Arial"/>
          <w:sz w:val="22"/>
        </w:rPr>
        <w:t>iques</w:t>
      </w:r>
      <w:r w:rsidRPr="008D75D5">
        <w:rPr>
          <w:rFonts w:ascii="Arial" w:hAnsi="Arial"/>
          <w:sz w:val="22"/>
        </w:rPr>
        <w:t xml:space="preserve"> dans l</w:t>
      </w:r>
      <w:r w:rsidR="00A512DB">
        <w:rPr>
          <w:rFonts w:ascii="Arial" w:hAnsi="Arial"/>
          <w:sz w:val="22"/>
        </w:rPr>
        <w:t>’</w:t>
      </w:r>
      <w:r w:rsidRPr="008D75D5">
        <w:rPr>
          <w:rFonts w:ascii="Arial" w:hAnsi="Arial"/>
          <w:sz w:val="22"/>
        </w:rPr>
        <w:t>agriculture oasienne et par la mise en place de méthodes d</w:t>
      </w:r>
      <w:r w:rsidR="00A512DB">
        <w:rPr>
          <w:rFonts w:ascii="Arial" w:hAnsi="Arial"/>
          <w:sz w:val="22"/>
        </w:rPr>
        <w:t>’</w:t>
      </w:r>
      <w:r w:rsidRPr="008D75D5">
        <w:rPr>
          <w:rFonts w:ascii="Arial" w:hAnsi="Arial"/>
          <w:sz w:val="22"/>
        </w:rPr>
        <w:t>extraction d</w:t>
      </w:r>
      <w:r w:rsidR="00A512DB">
        <w:rPr>
          <w:rFonts w:ascii="Arial" w:hAnsi="Arial"/>
          <w:sz w:val="22"/>
        </w:rPr>
        <w:t>’</w:t>
      </w:r>
      <w:r w:rsidRPr="008D75D5">
        <w:rPr>
          <w:rFonts w:ascii="Arial" w:hAnsi="Arial"/>
          <w:sz w:val="22"/>
        </w:rPr>
        <w:t>eau de haute technologie. En plus du transfert de responsabilité des propriétaires privés vers l</w:t>
      </w:r>
      <w:r w:rsidR="00A512DB">
        <w:rPr>
          <w:rFonts w:ascii="Arial" w:hAnsi="Arial"/>
          <w:sz w:val="22"/>
        </w:rPr>
        <w:t>’</w:t>
      </w:r>
      <w:r w:rsidRPr="008D75D5">
        <w:rPr>
          <w:rFonts w:ascii="Arial" w:hAnsi="Arial"/>
          <w:sz w:val="22"/>
        </w:rPr>
        <w:t>administration</w:t>
      </w:r>
      <w:r w:rsidR="009805B1">
        <w:rPr>
          <w:rFonts w:ascii="Arial" w:hAnsi="Arial"/>
          <w:sz w:val="22"/>
        </w:rPr>
        <w:t xml:space="preserve"> </w:t>
      </w:r>
      <w:r w:rsidRPr="008D75D5">
        <w:rPr>
          <w:rFonts w:ascii="Arial" w:hAnsi="Arial"/>
          <w:sz w:val="22"/>
        </w:rPr>
        <w:t>état</w:t>
      </w:r>
      <w:r w:rsidR="009805B1">
        <w:rPr>
          <w:rFonts w:ascii="Arial" w:hAnsi="Arial"/>
          <w:sz w:val="22"/>
        </w:rPr>
        <w:t>ique</w:t>
      </w:r>
      <w:r w:rsidRPr="008D75D5">
        <w:rPr>
          <w:rFonts w:ascii="Arial" w:hAnsi="Arial"/>
          <w:sz w:val="22"/>
        </w:rPr>
        <w:t>, ces changements ont entraîné une perte du savoir sur la méthode traditionnelle de distribution de l</w:t>
      </w:r>
      <w:r w:rsidR="00A512DB">
        <w:rPr>
          <w:rFonts w:ascii="Arial" w:hAnsi="Arial"/>
          <w:sz w:val="22"/>
        </w:rPr>
        <w:t>’</w:t>
      </w:r>
      <w:r w:rsidRPr="008D75D5">
        <w:rPr>
          <w:rFonts w:ascii="Arial" w:hAnsi="Arial"/>
          <w:sz w:val="22"/>
        </w:rPr>
        <w:t>eau. L</w:t>
      </w:r>
      <w:r w:rsidR="00A512DB">
        <w:rPr>
          <w:rFonts w:ascii="Arial" w:hAnsi="Arial"/>
          <w:sz w:val="22"/>
        </w:rPr>
        <w:t>’</w:t>
      </w:r>
      <w:r w:rsidRPr="008D75D5">
        <w:rPr>
          <w:rFonts w:ascii="Arial" w:hAnsi="Arial"/>
          <w:sz w:val="22"/>
        </w:rPr>
        <w:t>influence croissante de l</w:t>
      </w:r>
      <w:r w:rsidR="00A512DB">
        <w:rPr>
          <w:rFonts w:ascii="Arial" w:hAnsi="Arial"/>
          <w:sz w:val="22"/>
        </w:rPr>
        <w:t>’</w:t>
      </w:r>
      <w:proofErr w:type="spellStart"/>
      <w:r w:rsidRPr="008D75D5">
        <w:rPr>
          <w:rFonts w:ascii="Arial" w:hAnsi="Arial"/>
          <w:sz w:val="22"/>
        </w:rPr>
        <w:t>agrotechnologie</w:t>
      </w:r>
      <w:proofErr w:type="spellEnd"/>
      <w:r w:rsidRPr="008D75D5">
        <w:rPr>
          <w:rFonts w:ascii="Arial" w:hAnsi="Arial"/>
          <w:sz w:val="22"/>
        </w:rPr>
        <w:t xml:space="preserve"> moderne cause la baisse de la demande pour les services proposés par les mesureurs d</w:t>
      </w:r>
      <w:r w:rsidR="00A512DB">
        <w:rPr>
          <w:rFonts w:ascii="Arial" w:hAnsi="Arial"/>
          <w:sz w:val="22"/>
        </w:rPr>
        <w:t>’</w:t>
      </w:r>
      <w:r w:rsidRPr="008D75D5">
        <w:rPr>
          <w:rFonts w:ascii="Arial" w:hAnsi="Arial"/>
          <w:sz w:val="22"/>
        </w:rPr>
        <w:t>eau, et la transmission de ce savoir, jamais consigné par écrit, est gravement menacée.</w:t>
      </w:r>
    </w:p>
    <w:p w14:paraId="78E3308B" w14:textId="3E979951" w:rsidR="003F4BCF" w:rsidRPr="008D75D5" w:rsidRDefault="003F4BCF" w:rsidP="003F4BCF">
      <w:pPr>
        <w:tabs>
          <w:tab w:val="left" w:pos="567"/>
          <w:tab w:val="left" w:pos="1134"/>
          <w:tab w:val="left" w:pos="1701"/>
          <w:tab w:val="left" w:pos="2268"/>
        </w:tabs>
        <w:spacing w:before="120" w:after="120"/>
        <w:ind w:left="1701" w:hanging="567"/>
        <w:jc w:val="both"/>
        <w:rPr>
          <w:rFonts w:ascii="Arial" w:hAnsi="Arial" w:cs="Arial"/>
          <w:sz w:val="22"/>
          <w:szCs w:val="22"/>
        </w:rPr>
      </w:pPr>
      <w:r w:rsidRPr="008D75D5">
        <w:rPr>
          <w:rFonts w:ascii="Arial" w:hAnsi="Arial"/>
          <w:sz w:val="22"/>
        </w:rPr>
        <w:t>U.4 :</w:t>
      </w:r>
      <w:r w:rsidRPr="008D75D5">
        <w:tab/>
      </w:r>
      <w:r w:rsidRPr="008D75D5">
        <w:rPr>
          <w:rFonts w:ascii="Arial" w:hAnsi="Arial"/>
          <w:sz w:val="22"/>
        </w:rPr>
        <w:t>Représentants élus des communautés, membres d</w:t>
      </w:r>
      <w:r w:rsidR="00A512DB">
        <w:rPr>
          <w:rFonts w:ascii="Arial" w:hAnsi="Arial"/>
          <w:sz w:val="22"/>
        </w:rPr>
        <w:t>’</w:t>
      </w:r>
      <w:r w:rsidRPr="008D75D5">
        <w:rPr>
          <w:rFonts w:ascii="Arial" w:hAnsi="Arial"/>
          <w:sz w:val="22"/>
        </w:rPr>
        <w:t>une association de protection des foggaras, étudiants, détenteurs et praticiens du savoir, tous ont participé activement à la préparation de cette candidature, en collaboration avec les chercheurs du Centre national de recherches préhistoriques, anthropologiques et historiques, et les institutions de la section culture de la préfecture de l</w:t>
      </w:r>
      <w:r w:rsidR="00A512DB">
        <w:rPr>
          <w:rFonts w:ascii="Arial" w:hAnsi="Arial"/>
          <w:sz w:val="22"/>
        </w:rPr>
        <w:t>’</w:t>
      </w:r>
      <w:r w:rsidRPr="008D75D5">
        <w:rPr>
          <w:rFonts w:ascii="Arial" w:hAnsi="Arial"/>
          <w:sz w:val="22"/>
        </w:rPr>
        <w:t>Adrar.</w:t>
      </w:r>
    </w:p>
    <w:p w14:paraId="3ECA2D8C" w14:textId="0677C79E" w:rsidR="003F4BCF" w:rsidRPr="008D75D5" w:rsidRDefault="003F4BCF" w:rsidP="003F4BCF">
      <w:pPr>
        <w:tabs>
          <w:tab w:val="left" w:pos="567"/>
          <w:tab w:val="left" w:pos="1134"/>
          <w:tab w:val="left" w:pos="1701"/>
          <w:tab w:val="left" w:pos="2268"/>
        </w:tabs>
        <w:spacing w:before="120" w:after="120"/>
        <w:ind w:left="1701" w:hanging="567"/>
        <w:jc w:val="both"/>
        <w:rPr>
          <w:rFonts w:ascii="Arial" w:hAnsi="Arial" w:cs="Arial"/>
          <w:sz w:val="22"/>
          <w:szCs w:val="22"/>
        </w:rPr>
      </w:pPr>
      <w:r w:rsidRPr="008D75D5">
        <w:rPr>
          <w:rFonts w:ascii="Arial" w:hAnsi="Arial"/>
          <w:sz w:val="22"/>
        </w:rPr>
        <w:t>U.5 :</w:t>
      </w:r>
      <w:r w:rsidRPr="008D75D5">
        <w:tab/>
      </w:r>
      <w:r w:rsidRPr="008D75D5">
        <w:rPr>
          <w:rFonts w:ascii="Arial" w:hAnsi="Arial"/>
          <w:sz w:val="22"/>
        </w:rPr>
        <w:t xml:space="preserve">Cet élément fait partie de la </w:t>
      </w:r>
      <w:r w:rsidR="009805B1">
        <w:rPr>
          <w:rFonts w:ascii="Arial" w:hAnsi="Arial"/>
          <w:sz w:val="22"/>
        </w:rPr>
        <w:t>banque nationale</w:t>
      </w:r>
      <w:r w:rsidRPr="008D75D5">
        <w:rPr>
          <w:rFonts w:ascii="Arial" w:hAnsi="Arial"/>
          <w:sz w:val="22"/>
        </w:rPr>
        <w:t xml:space="preserve"> de données </w:t>
      </w:r>
      <w:r w:rsidR="009805B1">
        <w:rPr>
          <w:rFonts w:ascii="Arial" w:hAnsi="Arial"/>
          <w:sz w:val="22"/>
        </w:rPr>
        <w:t>du</w:t>
      </w:r>
      <w:r w:rsidRPr="008D75D5">
        <w:rPr>
          <w:rFonts w:ascii="Arial" w:hAnsi="Arial"/>
          <w:sz w:val="22"/>
        </w:rPr>
        <w:t xml:space="preserve"> </w:t>
      </w:r>
      <w:r w:rsidR="009805B1">
        <w:rPr>
          <w:rFonts w:ascii="Arial" w:hAnsi="Arial"/>
          <w:sz w:val="22"/>
        </w:rPr>
        <w:t>p</w:t>
      </w:r>
      <w:r w:rsidRPr="008D75D5">
        <w:rPr>
          <w:rFonts w:ascii="Arial" w:hAnsi="Arial"/>
          <w:sz w:val="22"/>
        </w:rPr>
        <w:t>atrimoine culturel immatériel depuis 2015, géré</w:t>
      </w:r>
      <w:r w:rsidR="009805B1">
        <w:rPr>
          <w:rFonts w:ascii="Arial" w:hAnsi="Arial"/>
          <w:sz w:val="22"/>
        </w:rPr>
        <w:t>e</w:t>
      </w:r>
      <w:r w:rsidRPr="008D75D5">
        <w:rPr>
          <w:rFonts w:ascii="Arial" w:hAnsi="Arial"/>
          <w:sz w:val="22"/>
        </w:rPr>
        <w:t xml:space="preserve"> par </w:t>
      </w:r>
      <w:r w:rsidR="009805B1">
        <w:rPr>
          <w:rFonts w:ascii="Arial" w:hAnsi="Arial"/>
          <w:sz w:val="22"/>
        </w:rPr>
        <w:t xml:space="preserve">le </w:t>
      </w:r>
      <w:r w:rsidRPr="008D75D5">
        <w:rPr>
          <w:rFonts w:ascii="Arial" w:hAnsi="Arial"/>
          <w:sz w:val="22"/>
        </w:rPr>
        <w:t>Centre national de recherches préhistoriques, anthropologiques et historiques. Plusieurs autres institutions étaient également impliquées dans l</w:t>
      </w:r>
      <w:r w:rsidR="00A512DB">
        <w:rPr>
          <w:rFonts w:ascii="Arial" w:hAnsi="Arial"/>
          <w:sz w:val="22"/>
        </w:rPr>
        <w:t>’</w:t>
      </w:r>
      <w:r w:rsidRPr="008D75D5">
        <w:rPr>
          <w:rFonts w:ascii="Arial" w:hAnsi="Arial"/>
          <w:sz w:val="22"/>
        </w:rPr>
        <w:t>identification de l</w:t>
      </w:r>
      <w:r w:rsidR="00A512DB">
        <w:rPr>
          <w:rFonts w:ascii="Arial" w:hAnsi="Arial"/>
          <w:sz w:val="22"/>
        </w:rPr>
        <w:t>’</w:t>
      </w:r>
      <w:r w:rsidRPr="008D75D5">
        <w:rPr>
          <w:rFonts w:ascii="Arial" w:hAnsi="Arial"/>
          <w:sz w:val="22"/>
        </w:rPr>
        <w:t>élément</w:t>
      </w:r>
      <w:r w:rsidR="00A427DD">
        <w:rPr>
          <w:rFonts w:ascii="Arial" w:hAnsi="Arial"/>
          <w:sz w:val="22"/>
        </w:rPr>
        <w:t>. L’information concernée</w:t>
      </w:r>
      <w:r w:rsidRPr="008D75D5">
        <w:rPr>
          <w:rFonts w:ascii="Arial" w:hAnsi="Arial"/>
          <w:sz w:val="22"/>
        </w:rPr>
        <w:t xml:space="preserve"> est mis</w:t>
      </w:r>
      <w:r w:rsidR="00A427DD">
        <w:rPr>
          <w:rFonts w:ascii="Arial" w:hAnsi="Arial"/>
          <w:sz w:val="22"/>
        </w:rPr>
        <w:t>e</w:t>
      </w:r>
      <w:r w:rsidRPr="008D75D5">
        <w:rPr>
          <w:rFonts w:ascii="Arial" w:hAnsi="Arial"/>
          <w:sz w:val="22"/>
        </w:rPr>
        <w:t xml:space="preserve"> à jour grâce à des </w:t>
      </w:r>
      <w:r w:rsidR="009805B1">
        <w:rPr>
          <w:rFonts w:ascii="Arial" w:hAnsi="Arial"/>
          <w:sz w:val="22"/>
        </w:rPr>
        <w:t>entretiens</w:t>
      </w:r>
      <w:r w:rsidRPr="008D75D5">
        <w:rPr>
          <w:rFonts w:ascii="Arial" w:hAnsi="Arial"/>
          <w:sz w:val="22"/>
        </w:rPr>
        <w:t>, des documents audiovisuels sur la transmission, et des rapports sur l</w:t>
      </w:r>
      <w:r w:rsidR="00A512DB">
        <w:rPr>
          <w:rFonts w:ascii="Arial" w:hAnsi="Arial"/>
          <w:sz w:val="22"/>
        </w:rPr>
        <w:t>’</w:t>
      </w:r>
      <w:r w:rsidRPr="008D75D5">
        <w:rPr>
          <w:rFonts w:ascii="Arial" w:hAnsi="Arial"/>
          <w:sz w:val="22"/>
        </w:rPr>
        <w:t>état actuel de l</w:t>
      </w:r>
      <w:r w:rsidR="00A512DB">
        <w:rPr>
          <w:rFonts w:ascii="Arial" w:hAnsi="Arial"/>
          <w:sz w:val="22"/>
        </w:rPr>
        <w:t>’</w:t>
      </w:r>
      <w:r w:rsidRPr="008D75D5">
        <w:rPr>
          <w:rFonts w:ascii="Arial" w:hAnsi="Arial"/>
          <w:sz w:val="22"/>
        </w:rPr>
        <w:t>élément.</w:t>
      </w:r>
    </w:p>
    <w:p w14:paraId="382C15ED" w14:textId="191557AB" w:rsidR="00C062CB" w:rsidRPr="008D75D5" w:rsidRDefault="00C062CB" w:rsidP="0029421F">
      <w:pPr>
        <w:pStyle w:val="ListParagraph"/>
        <w:keepNext/>
        <w:keepLines/>
        <w:numPr>
          <w:ilvl w:val="0"/>
          <w:numId w:val="8"/>
        </w:numPr>
        <w:spacing w:before="120" w:after="120"/>
        <w:ind w:left="1134" w:hanging="567"/>
        <w:jc w:val="both"/>
        <w:outlineLvl w:val="1"/>
        <w:rPr>
          <w:rFonts w:ascii="Arial" w:eastAsia="SimSun" w:hAnsi="Arial" w:cs="Angsana New"/>
          <w:sz w:val="22"/>
          <w:szCs w:val="22"/>
        </w:rPr>
      </w:pPr>
      <w:r w:rsidRPr="008D75D5">
        <w:rPr>
          <w:rFonts w:ascii="Arial" w:hAnsi="Arial"/>
          <w:sz w:val="22"/>
          <w:u w:val="single"/>
        </w:rPr>
        <w:t>Décide en outre</w:t>
      </w:r>
      <w:r w:rsidRPr="008D75D5">
        <w:rPr>
          <w:rFonts w:ascii="Arial" w:hAnsi="Arial"/>
          <w:sz w:val="22"/>
        </w:rPr>
        <w:t xml:space="preserve"> que l</w:t>
      </w:r>
      <w:r w:rsidR="00A512DB">
        <w:rPr>
          <w:rFonts w:ascii="Arial" w:hAnsi="Arial"/>
          <w:sz w:val="22"/>
        </w:rPr>
        <w:t>’</w:t>
      </w:r>
      <w:r w:rsidRPr="008D75D5">
        <w:rPr>
          <w:rFonts w:ascii="Arial" w:hAnsi="Arial"/>
          <w:sz w:val="22"/>
        </w:rPr>
        <w:t>information contenue dans le dossier de candidature n</w:t>
      </w:r>
      <w:r w:rsidR="00A512DB">
        <w:rPr>
          <w:rFonts w:ascii="Arial" w:hAnsi="Arial"/>
          <w:sz w:val="22"/>
        </w:rPr>
        <w:t>’</w:t>
      </w:r>
      <w:r w:rsidRPr="008D75D5">
        <w:rPr>
          <w:rFonts w:ascii="Arial" w:hAnsi="Arial"/>
          <w:sz w:val="22"/>
        </w:rPr>
        <w:t>est pas suffisante pour permettre au Comité de déterminer si le critère d</w:t>
      </w:r>
      <w:r w:rsidR="00A512DB">
        <w:rPr>
          <w:rFonts w:ascii="Arial" w:hAnsi="Arial"/>
          <w:sz w:val="22"/>
        </w:rPr>
        <w:t>’</w:t>
      </w:r>
      <w:r w:rsidRPr="008D75D5">
        <w:rPr>
          <w:rFonts w:ascii="Arial" w:hAnsi="Arial"/>
          <w:sz w:val="22"/>
        </w:rPr>
        <w:t>inscription sur la Liste du patrimoine culturel immatériel nécessitant une sauvegarde urgente suivant est satisfait :</w:t>
      </w:r>
    </w:p>
    <w:p w14:paraId="1CF193F2" w14:textId="4FB1D575" w:rsidR="003F4BCF" w:rsidRPr="008D75D5" w:rsidRDefault="003F4BCF" w:rsidP="003F4BCF">
      <w:pPr>
        <w:tabs>
          <w:tab w:val="left" w:pos="567"/>
          <w:tab w:val="left" w:pos="1134"/>
          <w:tab w:val="left" w:pos="1701"/>
          <w:tab w:val="left" w:pos="2268"/>
        </w:tabs>
        <w:spacing w:before="120" w:after="120"/>
        <w:ind w:left="1701" w:hanging="567"/>
        <w:jc w:val="both"/>
        <w:rPr>
          <w:rFonts w:ascii="Arial" w:hAnsi="Arial" w:cs="Arial"/>
          <w:sz w:val="22"/>
          <w:szCs w:val="22"/>
        </w:rPr>
      </w:pPr>
      <w:r w:rsidRPr="008D75D5">
        <w:rPr>
          <w:rFonts w:ascii="Arial" w:hAnsi="Arial"/>
          <w:sz w:val="22"/>
        </w:rPr>
        <w:t>U.3 :</w:t>
      </w:r>
      <w:r w:rsidRPr="008D75D5">
        <w:tab/>
      </w:r>
      <w:bookmarkStart w:id="7" w:name="_Hlk518301824"/>
      <w:r w:rsidRPr="008D75D5">
        <w:rPr>
          <w:rFonts w:ascii="Arial" w:hAnsi="Arial"/>
          <w:sz w:val="22"/>
        </w:rPr>
        <w:t>Les mesures de sauvegarde précédentes, mises en place principalement par des autorités publiques, étaient axées sur le développement</w:t>
      </w:r>
      <w:r w:rsidR="009805B1">
        <w:rPr>
          <w:rFonts w:ascii="Arial" w:hAnsi="Arial"/>
          <w:sz w:val="22"/>
        </w:rPr>
        <w:t xml:space="preserve"> d’infrastructures</w:t>
      </w:r>
      <w:r w:rsidRPr="008D75D5">
        <w:rPr>
          <w:rFonts w:ascii="Arial" w:hAnsi="Arial"/>
          <w:sz w:val="22"/>
        </w:rPr>
        <w:t xml:space="preserve"> et la réhabilitation des foggaras, en mettant l</w:t>
      </w:r>
      <w:r w:rsidR="00A512DB">
        <w:rPr>
          <w:rFonts w:ascii="Arial" w:hAnsi="Arial"/>
          <w:sz w:val="22"/>
        </w:rPr>
        <w:t>’</w:t>
      </w:r>
      <w:r w:rsidRPr="008D75D5">
        <w:rPr>
          <w:rFonts w:ascii="Arial" w:hAnsi="Arial"/>
          <w:sz w:val="22"/>
        </w:rPr>
        <w:t>accent sur les aspects physiques de l</w:t>
      </w:r>
      <w:r w:rsidR="00A512DB">
        <w:rPr>
          <w:rFonts w:ascii="Arial" w:hAnsi="Arial"/>
          <w:sz w:val="22"/>
        </w:rPr>
        <w:t>’</w:t>
      </w:r>
      <w:r w:rsidRPr="008D75D5">
        <w:rPr>
          <w:rFonts w:ascii="Arial" w:hAnsi="Arial"/>
          <w:sz w:val="22"/>
        </w:rPr>
        <w:t>élément. De plus, il est peu probable que les deux parties du plan de sauvegarde, à savoir documenter la pratique et former une nouvelle génération de mesureurs d</w:t>
      </w:r>
      <w:r w:rsidR="00A512DB">
        <w:rPr>
          <w:rFonts w:ascii="Arial" w:hAnsi="Arial"/>
          <w:sz w:val="22"/>
        </w:rPr>
        <w:t>’</w:t>
      </w:r>
      <w:r w:rsidRPr="008D75D5">
        <w:rPr>
          <w:rFonts w:ascii="Arial" w:hAnsi="Arial"/>
          <w:sz w:val="22"/>
        </w:rPr>
        <w:t>eau, assurent la viabilité de l</w:t>
      </w:r>
      <w:r w:rsidR="00A512DB">
        <w:rPr>
          <w:rFonts w:ascii="Arial" w:hAnsi="Arial"/>
          <w:sz w:val="22"/>
        </w:rPr>
        <w:t>’</w:t>
      </w:r>
      <w:r w:rsidRPr="008D75D5">
        <w:rPr>
          <w:rFonts w:ascii="Arial" w:hAnsi="Arial"/>
          <w:sz w:val="22"/>
        </w:rPr>
        <w:t>élément si la question du changement général de la gestion des ressources en eau et en terre n</w:t>
      </w:r>
      <w:r w:rsidR="00A512DB">
        <w:rPr>
          <w:rFonts w:ascii="Arial" w:hAnsi="Arial"/>
          <w:sz w:val="22"/>
        </w:rPr>
        <w:t>’</w:t>
      </w:r>
      <w:r w:rsidRPr="008D75D5">
        <w:rPr>
          <w:rFonts w:ascii="Arial" w:hAnsi="Arial"/>
          <w:sz w:val="22"/>
        </w:rPr>
        <w:t xml:space="preserve">est pas adressée. </w:t>
      </w:r>
      <w:r w:rsidRPr="00E95524">
        <w:rPr>
          <w:rFonts w:ascii="Arial" w:hAnsi="Arial"/>
          <w:sz w:val="22"/>
        </w:rPr>
        <w:t>À l</w:t>
      </w:r>
      <w:r w:rsidR="00A512DB" w:rsidRPr="00E95524">
        <w:rPr>
          <w:rFonts w:ascii="Arial" w:hAnsi="Arial"/>
          <w:sz w:val="22"/>
        </w:rPr>
        <w:t>’</w:t>
      </w:r>
      <w:r w:rsidRPr="00E95524">
        <w:rPr>
          <w:rFonts w:ascii="Arial" w:hAnsi="Arial"/>
          <w:sz w:val="22"/>
        </w:rPr>
        <w:t>exception des mesureurs d</w:t>
      </w:r>
      <w:r w:rsidR="00A512DB" w:rsidRPr="00E95524">
        <w:rPr>
          <w:rFonts w:ascii="Arial" w:hAnsi="Arial"/>
          <w:sz w:val="22"/>
        </w:rPr>
        <w:t>’</w:t>
      </w:r>
      <w:r w:rsidRPr="00E95524">
        <w:rPr>
          <w:rFonts w:ascii="Arial" w:hAnsi="Arial"/>
          <w:sz w:val="22"/>
        </w:rPr>
        <w:t xml:space="preserve">eau, la communauté locale ne semble pas impliquée dans la </w:t>
      </w:r>
      <w:r w:rsidRPr="00E95524">
        <w:rPr>
          <w:rFonts w:ascii="Arial" w:hAnsi="Arial"/>
          <w:sz w:val="22"/>
        </w:rPr>
        <w:lastRenderedPageBreak/>
        <w:t>sauvegarde de l</w:t>
      </w:r>
      <w:r w:rsidR="00A512DB" w:rsidRPr="00E95524">
        <w:rPr>
          <w:rFonts w:ascii="Arial" w:hAnsi="Arial"/>
          <w:sz w:val="22"/>
        </w:rPr>
        <w:t>’</w:t>
      </w:r>
      <w:r w:rsidRPr="00E95524">
        <w:rPr>
          <w:rFonts w:ascii="Arial" w:hAnsi="Arial"/>
          <w:sz w:val="22"/>
        </w:rPr>
        <w:t>élément en tant qu</w:t>
      </w:r>
      <w:r w:rsidR="00A512DB" w:rsidRPr="00E95524">
        <w:rPr>
          <w:rFonts w:ascii="Arial" w:hAnsi="Arial"/>
          <w:sz w:val="22"/>
        </w:rPr>
        <w:t>’</w:t>
      </w:r>
      <w:r w:rsidRPr="00E95524">
        <w:rPr>
          <w:rFonts w:ascii="Arial" w:hAnsi="Arial"/>
          <w:sz w:val="22"/>
        </w:rPr>
        <w:t>expression d</w:t>
      </w:r>
      <w:r w:rsidR="00A512DB" w:rsidRPr="00E95524">
        <w:rPr>
          <w:rFonts w:ascii="Arial" w:hAnsi="Arial"/>
          <w:sz w:val="22"/>
        </w:rPr>
        <w:t>’</w:t>
      </w:r>
      <w:r w:rsidRPr="00E95524">
        <w:rPr>
          <w:rFonts w:ascii="Arial" w:hAnsi="Arial"/>
          <w:sz w:val="22"/>
        </w:rPr>
        <w:t>un patrimoine vivant.</w:t>
      </w:r>
      <w:r w:rsidR="00164F21" w:rsidRPr="00E95524">
        <w:rPr>
          <w:rFonts w:ascii="Arial" w:hAnsi="Arial"/>
          <w:sz w:val="22"/>
        </w:rPr>
        <w:t xml:space="preserve"> Des </w:t>
      </w:r>
      <w:r w:rsidRPr="00E95524">
        <w:rPr>
          <w:rFonts w:ascii="Arial" w:hAnsi="Arial"/>
          <w:sz w:val="22"/>
        </w:rPr>
        <w:t>information</w:t>
      </w:r>
      <w:r w:rsidR="00164F21" w:rsidRPr="00E95524">
        <w:rPr>
          <w:rFonts w:ascii="Arial" w:hAnsi="Arial"/>
          <w:sz w:val="22"/>
        </w:rPr>
        <w:t>s supplémentaires sont également</w:t>
      </w:r>
      <w:r w:rsidRPr="00E95524">
        <w:rPr>
          <w:rFonts w:ascii="Arial" w:hAnsi="Arial"/>
          <w:sz w:val="22"/>
        </w:rPr>
        <w:t xml:space="preserve"> nécessaire</w:t>
      </w:r>
      <w:r w:rsidR="00164F21" w:rsidRPr="00E95524">
        <w:rPr>
          <w:rFonts w:ascii="Arial" w:hAnsi="Arial"/>
          <w:sz w:val="22"/>
        </w:rPr>
        <w:t>s</w:t>
      </w:r>
      <w:r w:rsidRPr="00E95524">
        <w:rPr>
          <w:rFonts w:ascii="Arial" w:hAnsi="Arial"/>
          <w:sz w:val="22"/>
        </w:rPr>
        <w:t xml:space="preserve"> </w:t>
      </w:r>
      <w:r w:rsidR="00164F21" w:rsidRPr="00E95524">
        <w:rPr>
          <w:rFonts w:ascii="Arial" w:hAnsi="Arial"/>
          <w:sz w:val="22"/>
        </w:rPr>
        <w:t>concernant :</w:t>
      </w:r>
      <w:r w:rsidRPr="00E95524">
        <w:rPr>
          <w:rFonts w:ascii="Arial" w:hAnsi="Arial"/>
          <w:sz w:val="22"/>
        </w:rPr>
        <w:t xml:space="preserve"> la façon dont</w:t>
      </w:r>
      <w:r w:rsidRPr="008D75D5">
        <w:rPr>
          <w:rFonts w:ascii="Arial" w:hAnsi="Arial"/>
          <w:sz w:val="22"/>
        </w:rPr>
        <w:t xml:space="preserve"> le savoir</w:t>
      </w:r>
      <w:r w:rsidR="00164F21">
        <w:rPr>
          <w:rFonts w:ascii="Arial" w:hAnsi="Arial"/>
          <w:sz w:val="22"/>
        </w:rPr>
        <w:t xml:space="preserve"> et les savoir-faire</w:t>
      </w:r>
      <w:r w:rsidRPr="008D75D5">
        <w:rPr>
          <w:rFonts w:ascii="Arial" w:hAnsi="Arial"/>
          <w:sz w:val="22"/>
        </w:rPr>
        <w:t xml:space="preserve"> nouvellement acquis </w:t>
      </w:r>
      <w:r w:rsidR="00164F21">
        <w:rPr>
          <w:rFonts w:ascii="Arial" w:hAnsi="Arial"/>
          <w:sz w:val="22"/>
        </w:rPr>
        <w:t>par l</w:t>
      </w:r>
      <w:r w:rsidRPr="008D75D5">
        <w:rPr>
          <w:rFonts w:ascii="Arial" w:hAnsi="Arial"/>
          <w:sz w:val="22"/>
        </w:rPr>
        <w:t>es praticiens formés seront utilisés</w:t>
      </w:r>
      <w:r w:rsidR="00164F21">
        <w:rPr>
          <w:rFonts w:ascii="Arial" w:hAnsi="Arial"/>
          <w:sz w:val="22"/>
        </w:rPr>
        <w:t> ;</w:t>
      </w:r>
      <w:r w:rsidRPr="008D75D5">
        <w:rPr>
          <w:rFonts w:ascii="Arial" w:hAnsi="Arial"/>
          <w:sz w:val="22"/>
        </w:rPr>
        <w:t xml:space="preserve"> la manière dont le système de savoir sera sauvegardé </w:t>
      </w:r>
      <w:r w:rsidR="00164F21">
        <w:rPr>
          <w:rFonts w:ascii="Arial" w:hAnsi="Arial"/>
          <w:sz w:val="22"/>
        </w:rPr>
        <w:t xml:space="preserve">dans son ensemble </w:t>
      </w:r>
      <w:r w:rsidRPr="008D75D5">
        <w:rPr>
          <w:rFonts w:ascii="Arial" w:hAnsi="Arial"/>
          <w:sz w:val="22"/>
        </w:rPr>
        <w:t>étant donné que le savoir-faire des mesureurs d</w:t>
      </w:r>
      <w:r w:rsidR="00A512DB">
        <w:rPr>
          <w:rFonts w:ascii="Arial" w:hAnsi="Arial"/>
          <w:sz w:val="22"/>
        </w:rPr>
        <w:t>’</w:t>
      </w:r>
      <w:r w:rsidRPr="008D75D5">
        <w:rPr>
          <w:rFonts w:ascii="Arial" w:hAnsi="Arial"/>
          <w:sz w:val="22"/>
        </w:rPr>
        <w:t>eau n</w:t>
      </w:r>
      <w:r w:rsidR="00A512DB">
        <w:rPr>
          <w:rFonts w:ascii="Arial" w:hAnsi="Arial"/>
          <w:sz w:val="22"/>
        </w:rPr>
        <w:t>’</w:t>
      </w:r>
      <w:r w:rsidRPr="008D75D5">
        <w:rPr>
          <w:rFonts w:ascii="Arial" w:hAnsi="Arial"/>
          <w:sz w:val="22"/>
        </w:rPr>
        <w:t>est pas indépendant du contexte social plus large de l</w:t>
      </w:r>
      <w:r w:rsidR="00A512DB">
        <w:rPr>
          <w:rFonts w:ascii="Arial" w:hAnsi="Arial"/>
          <w:sz w:val="22"/>
        </w:rPr>
        <w:t>’</w:t>
      </w:r>
      <w:r w:rsidRPr="008D75D5">
        <w:rPr>
          <w:rFonts w:ascii="Arial" w:hAnsi="Arial"/>
          <w:sz w:val="22"/>
        </w:rPr>
        <w:t>élément</w:t>
      </w:r>
      <w:r w:rsidR="00164F21">
        <w:rPr>
          <w:rFonts w:ascii="Arial" w:hAnsi="Arial"/>
          <w:sz w:val="22"/>
        </w:rPr>
        <w:t> ;</w:t>
      </w:r>
      <w:r w:rsidRPr="008D75D5">
        <w:rPr>
          <w:rFonts w:ascii="Arial" w:hAnsi="Arial"/>
          <w:sz w:val="22"/>
        </w:rPr>
        <w:t xml:space="preserve"> le financement du plan de sauvegarde</w:t>
      </w:r>
      <w:r w:rsidR="00164F21">
        <w:rPr>
          <w:rFonts w:ascii="Arial" w:hAnsi="Arial"/>
          <w:sz w:val="22"/>
        </w:rPr>
        <w:t> ;</w:t>
      </w:r>
      <w:r w:rsidRPr="008D75D5">
        <w:rPr>
          <w:rFonts w:ascii="Arial" w:hAnsi="Arial"/>
          <w:sz w:val="22"/>
        </w:rPr>
        <w:t xml:space="preserve"> l</w:t>
      </w:r>
      <w:r w:rsidR="00A512DB">
        <w:rPr>
          <w:rFonts w:ascii="Arial" w:hAnsi="Arial"/>
          <w:sz w:val="22"/>
        </w:rPr>
        <w:t>’</w:t>
      </w:r>
      <w:r w:rsidRPr="008D75D5">
        <w:rPr>
          <w:rFonts w:ascii="Arial" w:hAnsi="Arial"/>
          <w:sz w:val="22"/>
        </w:rPr>
        <w:t>engagement de l</w:t>
      </w:r>
      <w:r w:rsidR="00A512DB">
        <w:rPr>
          <w:rFonts w:ascii="Arial" w:hAnsi="Arial"/>
          <w:sz w:val="22"/>
        </w:rPr>
        <w:t>’</w:t>
      </w:r>
      <w:r w:rsidRPr="008D75D5">
        <w:rPr>
          <w:rFonts w:ascii="Arial" w:hAnsi="Arial"/>
          <w:sz w:val="22"/>
        </w:rPr>
        <w:t>État partie et les objectifs et conséquences attendus des mesures de sauvegardes proposées.</w:t>
      </w:r>
      <w:bookmarkEnd w:id="7"/>
    </w:p>
    <w:p w14:paraId="7AC5705F" w14:textId="20DC666E" w:rsidR="003F4BCF" w:rsidRPr="008D75D5" w:rsidRDefault="00876129" w:rsidP="0029421F">
      <w:pPr>
        <w:pStyle w:val="ListParagraph"/>
        <w:numPr>
          <w:ilvl w:val="0"/>
          <w:numId w:val="8"/>
        </w:numPr>
        <w:spacing w:before="120" w:after="120"/>
        <w:ind w:left="1134" w:hanging="567"/>
        <w:jc w:val="both"/>
        <w:outlineLvl w:val="1"/>
        <w:rPr>
          <w:rFonts w:ascii="Arial" w:eastAsia="SimSun" w:hAnsi="Arial" w:cs="Angsana New"/>
          <w:bCs/>
          <w:sz w:val="22"/>
          <w:szCs w:val="22"/>
        </w:rPr>
      </w:pPr>
      <w:r w:rsidRPr="008D75D5">
        <w:rPr>
          <w:rFonts w:ascii="Arial" w:hAnsi="Arial"/>
          <w:sz w:val="22"/>
          <w:u w:val="single"/>
        </w:rPr>
        <w:t>Décide de renvoyer</w:t>
      </w:r>
      <w:r w:rsidRPr="008D75D5">
        <w:rPr>
          <w:rFonts w:ascii="Arial" w:hAnsi="Arial"/>
          <w:sz w:val="22"/>
        </w:rPr>
        <w:t xml:space="preserve"> la candidature </w:t>
      </w:r>
      <w:r w:rsidRPr="008D75D5">
        <w:rPr>
          <w:rFonts w:ascii="Arial" w:hAnsi="Arial"/>
          <w:b/>
          <w:sz w:val="22"/>
        </w:rPr>
        <w:t>des</w:t>
      </w:r>
      <w:r w:rsidRPr="008D75D5">
        <w:rPr>
          <w:rFonts w:ascii="Arial" w:hAnsi="Arial"/>
          <w:sz w:val="22"/>
        </w:rPr>
        <w:t xml:space="preserve"> </w:t>
      </w:r>
      <w:r w:rsidRPr="008D75D5">
        <w:rPr>
          <w:rFonts w:ascii="Arial" w:hAnsi="Arial"/>
          <w:b/>
          <w:sz w:val="22"/>
        </w:rPr>
        <w:t>savoirs et savoir-faire des mesureurs d</w:t>
      </w:r>
      <w:r w:rsidR="00A512DB">
        <w:rPr>
          <w:rFonts w:ascii="Arial" w:hAnsi="Arial"/>
          <w:b/>
          <w:sz w:val="22"/>
        </w:rPr>
        <w:t>’</w:t>
      </w:r>
      <w:r w:rsidRPr="008D75D5">
        <w:rPr>
          <w:rFonts w:ascii="Arial" w:hAnsi="Arial"/>
          <w:b/>
          <w:sz w:val="22"/>
        </w:rPr>
        <w:t xml:space="preserve">eau des foggaras ou </w:t>
      </w:r>
      <w:proofErr w:type="spellStart"/>
      <w:r w:rsidRPr="008D75D5">
        <w:rPr>
          <w:rFonts w:ascii="Arial" w:hAnsi="Arial"/>
          <w:b/>
          <w:sz w:val="22"/>
        </w:rPr>
        <w:t>aiguadiers</w:t>
      </w:r>
      <w:proofErr w:type="spellEnd"/>
      <w:r w:rsidRPr="008D75D5">
        <w:rPr>
          <w:rFonts w:ascii="Arial" w:hAnsi="Arial"/>
          <w:b/>
          <w:sz w:val="22"/>
        </w:rPr>
        <w:t xml:space="preserve"> du Touat-Tidikelt</w:t>
      </w:r>
      <w:r w:rsidRPr="008D75D5">
        <w:rPr>
          <w:rFonts w:ascii="Arial" w:hAnsi="Arial"/>
          <w:sz w:val="22"/>
        </w:rPr>
        <w:t xml:space="preserve"> à l</w:t>
      </w:r>
      <w:r w:rsidR="00A512DB">
        <w:rPr>
          <w:rFonts w:ascii="Arial" w:hAnsi="Arial"/>
          <w:sz w:val="22"/>
        </w:rPr>
        <w:t>’</w:t>
      </w:r>
      <w:r w:rsidRPr="008D75D5">
        <w:rPr>
          <w:rFonts w:ascii="Arial" w:hAnsi="Arial"/>
          <w:sz w:val="22"/>
        </w:rPr>
        <w:t>État partie soumissionnaire et l</w:t>
      </w:r>
      <w:r w:rsidR="00A512DB">
        <w:rPr>
          <w:rFonts w:ascii="Arial" w:hAnsi="Arial"/>
          <w:sz w:val="22"/>
        </w:rPr>
        <w:t>’</w:t>
      </w:r>
      <w:r w:rsidRPr="008D75D5">
        <w:rPr>
          <w:rFonts w:ascii="Arial" w:hAnsi="Arial"/>
          <w:sz w:val="22"/>
          <w:u w:val="single"/>
        </w:rPr>
        <w:t>invite</w:t>
      </w:r>
      <w:r w:rsidRPr="008D75D5">
        <w:rPr>
          <w:rFonts w:ascii="Arial" w:hAnsi="Arial"/>
          <w:sz w:val="22"/>
        </w:rPr>
        <w:t xml:space="preserve"> à resoumettre la candidature au Comité pour examen au cours d</w:t>
      </w:r>
      <w:r w:rsidR="00A512DB">
        <w:rPr>
          <w:rFonts w:ascii="Arial" w:hAnsi="Arial"/>
          <w:sz w:val="22"/>
        </w:rPr>
        <w:t>’</w:t>
      </w:r>
      <w:r w:rsidRPr="008D75D5">
        <w:rPr>
          <w:rFonts w:ascii="Arial" w:hAnsi="Arial"/>
          <w:sz w:val="22"/>
        </w:rPr>
        <w:t>un cycle ultérieur</w:t>
      </w:r>
      <w:r w:rsidR="00164F21">
        <w:rPr>
          <w:rFonts w:ascii="Arial" w:hAnsi="Arial"/>
          <w:sz w:val="22"/>
        </w:rPr>
        <w:t> ;</w:t>
      </w:r>
    </w:p>
    <w:p w14:paraId="0374D4F7" w14:textId="0AFEEC3E" w:rsidR="003F4BCF" w:rsidRPr="00652BA9" w:rsidRDefault="003F4BCF" w:rsidP="0029421F">
      <w:pPr>
        <w:pStyle w:val="ListParagraph"/>
        <w:numPr>
          <w:ilvl w:val="0"/>
          <w:numId w:val="8"/>
        </w:numPr>
        <w:spacing w:before="120" w:after="120"/>
        <w:ind w:left="1134" w:hanging="567"/>
        <w:jc w:val="both"/>
        <w:outlineLvl w:val="1"/>
        <w:rPr>
          <w:rFonts w:ascii="Arial" w:eastAsia="SimSun" w:hAnsi="Arial" w:cs="Angsana New"/>
          <w:sz w:val="22"/>
          <w:szCs w:val="22"/>
        </w:rPr>
      </w:pPr>
      <w:r w:rsidRPr="008D75D5">
        <w:rPr>
          <w:rFonts w:ascii="Arial" w:hAnsi="Arial"/>
          <w:sz w:val="22"/>
          <w:u w:val="single"/>
        </w:rPr>
        <w:t>Félicite</w:t>
      </w:r>
      <w:r w:rsidRPr="008D75D5">
        <w:rPr>
          <w:rFonts w:ascii="Arial" w:hAnsi="Arial"/>
          <w:sz w:val="22"/>
        </w:rPr>
        <w:t xml:space="preserve"> l</w:t>
      </w:r>
      <w:r w:rsidR="00A512DB">
        <w:rPr>
          <w:rFonts w:ascii="Arial" w:hAnsi="Arial"/>
          <w:sz w:val="22"/>
        </w:rPr>
        <w:t>’</w:t>
      </w:r>
      <w:r w:rsidRPr="008D75D5">
        <w:rPr>
          <w:rFonts w:ascii="Arial" w:hAnsi="Arial"/>
          <w:sz w:val="22"/>
        </w:rPr>
        <w:t>État partie d</w:t>
      </w:r>
      <w:r w:rsidR="00A512DB">
        <w:rPr>
          <w:rFonts w:ascii="Arial" w:hAnsi="Arial"/>
          <w:sz w:val="22"/>
        </w:rPr>
        <w:t>’</w:t>
      </w:r>
      <w:r w:rsidRPr="008D75D5">
        <w:rPr>
          <w:rFonts w:ascii="Arial" w:hAnsi="Arial"/>
          <w:sz w:val="22"/>
        </w:rPr>
        <w:t>avoir reconnu le caractère vital du savoir traditionnel lié à la distribution d</w:t>
      </w:r>
      <w:r w:rsidR="00A512DB">
        <w:rPr>
          <w:rFonts w:ascii="Arial" w:hAnsi="Arial"/>
          <w:sz w:val="22"/>
        </w:rPr>
        <w:t>’</w:t>
      </w:r>
      <w:r w:rsidRPr="008D75D5">
        <w:rPr>
          <w:rFonts w:ascii="Arial" w:hAnsi="Arial"/>
          <w:sz w:val="22"/>
        </w:rPr>
        <w:t>eau dans des conditions climatiques difficiles et l</w:t>
      </w:r>
      <w:r w:rsidR="00A512DB">
        <w:rPr>
          <w:rFonts w:ascii="Arial" w:hAnsi="Arial"/>
          <w:sz w:val="22"/>
        </w:rPr>
        <w:t>’</w:t>
      </w:r>
      <w:r w:rsidRPr="008D75D5">
        <w:rPr>
          <w:rFonts w:ascii="Arial" w:hAnsi="Arial"/>
          <w:sz w:val="22"/>
          <w:u w:val="single"/>
        </w:rPr>
        <w:t>invite</w:t>
      </w:r>
      <w:r w:rsidR="000578C0">
        <w:rPr>
          <w:rFonts w:ascii="Arial" w:hAnsi="Arial"/>
          <w:sz w:val="22"/>
          <w:u w:val="single"/>
        </w:rPr>
        <w:t xml:space="preserve"> en outre</w:t>
      </w:r>
      <w:r w:rsidRPr="008D75D5">
        <w:rPr>
          <w:rFonts w:ascii="Arial" w:hAnsi="Arial"/>
          <w:sz w:val="22"/>
        </w:rPr>
        <w:t xml:space="preserve"> à considérer </w:t>
      </w:r>
      <w:r w:rsidR="000578C0">
        <w:rPr>
          <w:rFonts w:ascii="Arial" w:hAnsi="Arial"/>
          <w:sz w:val="22"/>
        </w:rPr>
        <w:t xml:space="preserve">dans la planification des mesures de sauvegarde, </w:t>
      </w:r>
      <w:r w:rsidRPr="008D75D5">
        <w:rPr>
          <w:rFonts w:ascii="Arial" w:hAnsi="Arial"/>
          <w:sz w:val="22"/>
        </w:rPr>
        <w:t>toute la complexité d</w:t>
      </w:r>
      <w:r w:rsidR="00164F21">
        <w:rPr>
          <w:rFonts w:ascii="Arial" w:hAnsi="Arial"/>
          <w:sz w:val="22"/>
        </w:rPr>
        <w:t>u</w:t>
      </w:r>
      <w:r w:rsidRPr="008D75D5">
        <w:rPr>
          <w:rFonts w:ascii="Arial" w:hAnsi="Arial"/>
          <w:sz w:val="22"/>
        </w:rPr>
        <w:t xml:space="preserve"> savoir et d</w:t>
      </w:r>
      <w:r w:rsidR="00164F21">
        <w:rPr>
          <w:rFonts w:ascii="Arial" w:hAnsi="Arial"/>
          <w:sz w:val="22"/>
        </w:rPr>
        <w:t>es</w:t>
      </w:r>
      <w:r w:rsidRPr="008D75D5">
        <w:rPr>
          <w:rFonts w:ascii="Arial" w:hAnsi="Arial"/>
          <w:sz w:val="22"/>
        </w:rPr>
        <w:t xml:space="preserve"> savoir-faire relatif</w:t>
      </w:r>
      <w:r w:rsidR="00164F21">
        <w:rPr>
          <w:rFonts w:ascii="Arial" w:hAnsi="Arial"/>
          <w:sz w:val="22"/>
        </w:rPr>
        <w:t>s</w:t>
      </w:r>
      <w:r w:rsidRPr="008D75D5">
        <w:rPr>
          <w:rFonts w:ascii="Arial" w:hAnsi="Arial"/>
          <w:sz w:val="22"/>
        </w:rPr>
        <w:t xml:space="preserve"> au système des foggaras et les conséquences des changements généraux en matière de gestion des ressources hydriques et terrestres dans les zones concernées</w:t>
      </w:r>
      <w:r w:rsidR="000578C0">
        <w:rPr>
          <w:rFonts w:ascii="Arial" w:hAnsi="Arial"/>
          <w:sz w:val="22"/>
        </w:rPr>
        <w:t> ;</w:t>
      </w:r>
    </w:p>
    <w:p w14:paraId="5CBCC43A" w14:textId="58E19795" w:rsidR="000578C0" w:rsidRPr="000C5900" w:rsidRDefault="000578C0" w:rsidP="0029421F">
      <w:pPr>
        <w:pStyle w:val="ListParagraph"/>
        <w:numPr>
          <w:ilvl w:val="0"/>
          <w:numId w:val="8"/>
        </w:numPr>
        <w:spacing w:before="120" w:after="120"/>
        <w:ind w:left="1134" w:hanging="567"/>
        <w:jc w:val="both"/>
        <w:outlineLvl w:val="1"/>
        <w:rPr>
          <w:rFonts w:ascii="Arial" w:eastAsia="SimSun" w:hAnsi="Arial" w:cs="Angsana New"/>
          <w:sz w:val="22"/>
          <w:szCs w:val="22"/>
        </w:rPr>
      </w:pPr>
      <w:r w:rsidRPr="000C5900">
        <w:rPr>
          <w:rFonts w:ascii="Arial" w:hAnsi="Arial"/>
          <w:sz w:val="22"/>
          <w:u w:val="single"/>
        </w:rPr>
        <w:t>Rappelle</w:t>
      </w:r>
      <w:r w:rsidRPr="000C5900">
        <w:rPr>
          <w:rFonts w:ascii="Arial" w:hAnsi="Arial"/>
          <w:sz w:val="22"/>
        </w:rPr>
        <w:t xml:space="preserve"> à l’</w:t>
      </w:r>
      <w:r w:rsidRPr="000C5900">
        <w:rPr>
          <w:rFonts w:ascii="Arial" w:eastAsia="SimSun" w:hAnsi="Arial" w:cs="Angsana New"/>
          <w:sz w:val="22"/>
          <w:szCs w:val="22"/>
        </w:rPr>
        <w:t>État partie que la mise à jour est un aspect important du processus d’élaboration des inventaires et l’</w:t>
      </w:r>
      <w:r w:rsidRPr="000C5900">
        <w:rPr>
          <w:rFonts w:ascii="Arial" w:eastAsia="SimSun" w:hAnsi="Arial" w:cs="Angsana New"/>
          <w:sz w:val="22"/>
          <w:szCs w:val="22"/>
          <w:u w:val="single"/>
        </w:rPr>
        <w:t xml:space="preserve">invite </w:t>
      </w:r>
      <w:r w:rsidR="00560E41" w:rsidRPr="000C5900">
        <w:rPr>
          <w:rFonts w:ascii="Arial" w:eastAsia="SimSun" w:hAnsi="Arial" w:cs="Angsana New"/>
          <w:sz w:val="22"/>
          <w:szCs w:val="22"/>
          <w:u w:val="single"/>
        </w:rPr>
        <w:t>également</w:t>
      </w:r>
      <w:r w:rsidRPr="000C5900">
        <w:rPr>
          <w:rFonts w:ascii="Arial" w:eastAsia="SimSun" w:hAnsi="Arial" w:cs="Angsana New"/>
          <w:sz w:val="22"/>
          <w:szCs w:val="22"/>
        </w:rPr>
        <w:t xml:space="preserve"> à inclure des informations détaillées dans son prochain rapport périodique sur la mise en œuvre de la Convention au niveau national, sur la manière dont </w:t>
      </w:r>
      <w:r w:rsidRPr="000C5900">
        <w:rPr>
          <w:rFonts w:ascii="Arial" w:hAnsi="Arial"/>
          <w:sz w:val="22"/>
        </w:rPr>
        <w:t>la banque nationale de données du patrimoine culturel immatériel a été élaborée et est régulièrement mise à jour avec la participation active des communautés, des groupes et des organisations non-gouvernementales, conformément à l’article 11(b) de la Convention.</w:t>
      </w:r>
    </w:p>
    <w:p w14:paraId="341AC34D" w14:textId="700CCA1B" w:rsidR="003F4BCF" w:rsidRPr="008D75D5" w:rsidRDefault="00876129" w:rsidP="00BC46E7">
      <w:pPr>
        <w:keepNext/>
        <w:keepLines/>
        <w:spacing w:before="360" w:after="120"/>
        <w:ind w:left="567"/>
        <w:outlineLvl w:val="0"/>
        <w:rPr>
          <w:rFonts w:ascii="Arial" w:eastAsia="SimSun" w:hAnsi="Arial" w:cs="Angsana New"/>
          <w:b/>
          <w:sz w:val="22"/>
          <w:szCs w:val="22"/>
        </w:rPr>
      </w:pPr>
      <w:bookmarkStart w:id="8" w:name="Decision_10a2"/>
      <w:bookmarkEnd w:id="8"/>
      <w:r w:rsidRPr="008D75D5">
        <w:rPr>
          <w:rFonts w:ascii="Arial" w:hAnsi="Arial"/>
          <w:b/>
          <w:sz w:val="22"/>
        </w:rPr>
        <w:t>PROJET DE DÉCISION 13.COM 10.a.2</w:t>
      </w:r>
      <w:r w:rsidRPr="008D75D5">
        <w:tab/>
      </w:r>
      <w:r w:rsidRPr="008D75D5">
        <w:rPr>
          <w:rFonts w:ascii="Arial" w:hAnsi="Arial" w:cs="Arial"/>
          <w:noProof/>
          <w:color w:val="0000FF"/>
          <w:sz w:val="22"/>
          <w:szCs w:val="22"/>
          <w:lang w:val="en-US" w:eastAsia="ko-KR" w:bidi="ar-SA"/>
        </w:rPr>
        <w:drawing>
          <wp:inline distT="0" distB="0" distL="0" distR="0" wp14:anchorId="48A231A8" wp14:editId="23EA5523">
            <wp:extent cx="104775" cy="104775"/>
            <wp:effectExtent l="0" t="0" r="9525" b="9525"/>
            <wp:docPr id="4" name="Picture 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1C323F6" w14:textId="670DC632" w:rsidR="003F4BCF" w:rsidRPr="008D75D5" w:rsidRDefault="00876129" w:rsidP="003F4BCF">
      <w:pPr>
        <w:keepNext/>
        <w:tabs>
          <w:tab w:val="left" w:pos="567"/>
          <w:tab w:val="left" w:pos="1134"/>
          <w:tab w:val="left" w:pos="1701"/>
          <w:tab w:val="left" w:pos="2268"/>
        </w:tabs>
        <w:spacing w:before="120" w:after="120"/>
        <w:ind w:left="567"/>
        <w:jc w:val="both"/>
        <w:rPr>
          <w:rFonts w:ascii="Arial" w:eastAsia="SimSun" w:hAnsi="Arial" w:cs="Arial"/>
          <w:sz w:val="22"/>
          <w:szCs w:val="22"/>
        </w:rPr>
      </w:pPr>
      <w:r w:rsidRPr="008D75D5">
        <w:rPr>
          <w:rFonts w:ascii="Arial" w:hAnsi="Arial"/>
          <w:sz w:val="22"/>
        </w:rPr>
        <w:t>Le Comité</w:t>
      </w:r>
    </w:p>
    <w:p w14:paraId="364756AE" w14:textId="0B0A63C3" w:rsidR="003F4BCF" w:rsidRPr="008D75D5" w:rsidRDefault="00876129" w:rsidP="0029421F">
      <w:pPr>
        <w:pStyle w:val="ListParagraph"/>
        <w:keepNext/>
        <w:numPr>
          <w:ilvl w:val="0"/>
          <w:numId w:val="10"/>
        </w:numPr>
        <w:spacing w:before="120" w:after="120"/>
        <w:ind w:left="1134" w:hanging="567"/>
        <w:jc w:val="both"/>
        <w:outlineLvl w:val="1"/>
        <w:rPr>
          <w:rFonts w:ascii="Arial" w:eastAsia="SimSun" w:hAnsi="Arial" w:cs="Angsana New"/>
          <w:sz w:val="22"/>
          <w:szCs w:val="22"/>
        </w:rPr>
      </w:pPr>
      <w:r w:rsidRPr="008D75D5">
        <w:rPr>
          <w:rFonts w:ascii="Arial" w:hAnsi="Arial"/>
          <w:sz w:val="22"/>
          <w:u w:val="single"/>
        </w:rPr>
        <w:t>Prend note</w:t>
      </w:r>
      <w:r w:rsidRPr="008D75D5">
        <w:rPr>
          <w:rFonts w:ascii="Arial" w:hAnsi="Arial"/>
          <w:sz w:val="22"/>
        </w:rPr>
        <w:t xml:space="preserve"> que l</w:t>
      </w:r>
      <w:r w:rsidR="00A512DB">
        <w:rPr>
          <w:rFonts w:ascii="Arial" w:hAnsi="Arial"/>
          <w:sz w:val="22"/>
        </w:rPr>
        <w:t>’</w:t>
      </w:r>
      <w:r w:rsidRPr="008D75D5">
        <w:rPr>
          <w:rFonts w:ascii="Arial" w:hAnsi="Arial"/>
          <w:sz w:val="22"/>
        </w:rPr>
        <w:t xml:space="preserve">Azerbaïdjan a proposé la candidature </w:t>
      </w:r>
      <w:r w:rsidR="004A6DFE" w:rsidRPr="00652BA9">
        <w:rPr>
          <w:rFonts w:ascii="Arial" w:hAnsi="Arial"/>
          <w:b/>
          <w:sz w:val="22"/>
        </w:rPr>
        <w:t>du</w:t>
      </w:r>
      <w:r w:rsidRPr="008D75D5">
        <w:rPr>
          <w:rFonts w:ascii="Arial" w:hAnsi="Arial"/>
          <w:b/>
          <w:sz w:val="22"/>
        </w:rPr>
        <w:t xml:space="preserve"> </w:t>
      </w:r>
      <w:proofErr w:type="spellStart"/>
      <w:r w:rsidRPr="008D75D5">
        <w:rPr>
          <w:rFonts w:ascii="Arial" w:hAnsi="Arial"/>
          <w:b/>
          <w:sz w:val="22"/>
        </w:rPr>
        <w:t>yalli</w:t>
      </w:r>
      <w:proofErr w:type="spellEnd"/>
      <w:r w:rsidRPr="008D75D5">
        <w:rPr>
          <w:rFonts w:ascii="Arial" w:hAnsi="Arial"/>
          <w:b/>
          <w:sz w:val="22"/>
        </w:rPr>
        <w:t xml:space="preserve"> (</w:t>
      </w:r>
      <w:proofErr w:type="spellStart"/>
      <w:r w:rsidRPr="008D75D5">
        <w:rPr>
          <w:rFonts w:ascii="Arial" w:hAnsi="Arial"/>
          <w:b/>
          <w:sz w:val="22"/>
        </w:rPr>
        <w:t>kochari</w:t>
      </w:r>
      <w:proofErr w:type="spellEnd"/>
      <w:r w:rsidRPr="008D75D5">
        <w:rPr>
          <w:rFonts w:ascii="Arial" w:hAnsi="Arial"/>
          <w:b/>
          <w:sz w:val="22"/>
        </w:rPr>
        <w:t xml:space="preserve">, </w:t>
      </w:r>
      <w:proofErr w:type="spellStart"/>
      <w:r w:rsidRPr="008D75D5">
        <w:rPr>
          <w:rFonts w:ascii="Arial" w:hAnsi="Arial"/>
          <w:b/>
          <w:sz w:val="22"/>
        </w:rPr>
        <w:t>tenzere</w:t>
      </w:r>
      <w:proofErr w:type="spellEnd"/>
      <w:r w:rsidRPr="008D75D5">
        <w:rPr>
          <w:rFonts w:ascii="Arial" w:hAnsi="Arial"/>
          <w:b/>
          <w:sz w:val="22"/>
        </w:rPr>
        <w:t>), danses collectives traditionnelles du Nakhitchevan</w:t>
      </w:r>
      <w:r w:rsidRPr="008D75D5">
        <w:rPr>
          <w:rFonts w:ascii="Arial" w:hAnsi="Arial"/>
          <w:sz w:val="22"/>
        </w:rPr>
        <w:t xml:space="preserve"> (n° 01190) pour inscription sur la Liste du patrimoine culturel immatériel nécessitant une sauvegarde urgente :</w:t>
      </w:r>
    </w:p>
    <w:p w14:paraId="69D52189" w14:textId="0E2AD7F1" w:rsidR="003F4BCF" w:rsidRPr="00A512DB" w:rsidRDefault="00A512DB">
      <w:pPr>
        <w:tabs>
          <w:tab w:val="left" w:pos="1134"/>
          <w:tab w:val="left" w:pos="1701"/>
          <w:tab w:val="left" w:pos="2268"/>
        </w:tabs>
        <w:spacing w:before="120" w:after="120"/>
        <w:ind w:left="1134"/>
        <w:jc w:val="both"/>
        <w:rPr>
          <w:rFonts w:ascii="Arial" w:hAnsi="Arial" w:cs="Arial"/>
          <w:sz w:val="22"/>
          <w:szCs w:val="22"/>
        </w:rPr>
      </w:pPr>
      <w:r w:rsidRPr="00A512DB">
        <w:rPr>
          <w:rFonts w:ascii="Arial" w:hAnsi="Arial"/>
          <w:sz w:val="22"/>
        </w:rPr>
        <w:t xml:space="preserve">Le </w:t>
      </w:r>
      <w:proofErr w:type="spellStart"/>
      <w:r w:rsidRPr="00A512DB">
        <w:rPr>
          <w:rFonts w:ascii="Arial" w:hAnsi="Arial"/>
          <w:sz w:val="22"/>
        </w:rPr>
        <w:t>yalli</w:t>
      </w:r>
      <w:proofErr w:type="spellEnd"/>
      <w:r w:rsidRPr="00A512DB">
        <w:rPr>
          <w:rFonts w:ascii="Arial" w:hAnsi="Arial"/>
          <w:sz w:val="22"/>
        </w:rPr>
        <w:t xml:space="preserve">, danses collectives traditionnelles du Nakhitchevan, est un </w:t>
      </w:r>
      <w:r w:rsidR="004A6DFE">
        <w:rPr>
          <w:rFonts w:ascii="Arial" w:hAnsi="Arial"/>
          <w:sz w:val="22"/>
        </w:rPr>
        <w:t>ensemble</w:t>
      </w:r>
      <w:r w:rsidR="004A6DFE" w:rsidRPr="00A512DB">
        <w:rPr>
          <w:rFonts w:ascii="Arial" w:hAnsi="Arial"/>
          <w:sz w:val="22"/>
        </w:rPr>
        <w:t xml:space="preserve"> </w:t>
      </w:r>
      <w:r w:rsidRPr="00A512DB">
        <w:rPr>
          <w:rFonts w:ascii="Arial" w:hAnsi="Arial"/>
          <w:sz w:val="22"/>
        </w:rPr>
        <w:t xml:space="preserve">de danses traditionnelles interprétées exclusivement lors de représentations collectives. Typiquement, le </w:t>
      </w:r>
      <w:proofErr w:type="spellStart"/>
      <w:r w:rsidRPr="00A512DB">
        <w:rPr>
          <w:rFonts w:ascii="Arial" w:hAnsi="Arial"/>
          <w:sz w:val="22"/>
        </w:rPr>
        <w:t>yalli</w:t>
      </w:r>
      <w:proofErr w:type="spellEnd"/>
      <w:r w:rsidRPr="00A512DB">
        <w:rPr>
          <w:rFonts w:ascii="Arial" w:hAnsi="Arial"/>
          <w:sz w:val="22"/>
        </w:rPr>
        <w:t xml:space="preserve"> est interprété en formant un cercle, une chaine ou une ligne, et intègre des éléments de jeux et de pantomime (imitations d’oiseaux ou d’</w:t>
      </w:r>
      <w:r w:rsidR="00A242C4">
        <w:rPr>
          <w:rFonts w:ascii="Arial" w:hAnsi="Arial"/>
          <w:sz w:val="22"/>
        </w:rPr>
        <w:t xml:space="preserve">autres </w:t>
      </w:r>
      <w:r w:rsidRPr="00A512DB">
        <w:rPr>
          <w:rFonts w:ascii="Arial" w:hAnsi="Arial"/>
          <w:sz w:val="22"/>
        </w:rPr>
        <w:t xml:space="preserve">animaux), des exercices physiques et des mouvements. La communauté des danses </w:t>
      </w:r>
      <w:proofErr w:type="spellStart"/>
      <w:r w:rsidRPr="00A512DB">
        <w:rPr>
          <w:rFonts w:ascii="Arial" w:hAnsi="Arial"/>
          <w:sz w:val="22"/>
        </w:rPr>
        <w:t>yalli</w:t>
      </w:r>
      <w:proofErr w:type="spellEnd"/>
      <w:r w:rsidRPr="00A512DB">
        <w:rPr>
          <w:rFonts w:ascii="Arial" w:hAnsi="Arial"/>
          <w:sz w:val="22"/>
        </w:rPr>
        <w:t xml:space="preserve"> est constituée de danseurs praticiens qui interprètent leurs chorégraphies spontanément ou selon un calendrier lors de différentes fêtes et célébrations.</w:t>
      </w:r>
      <w:r w:rsidR="00A242C4">
        <w:rPr>
          <w:rFonts w:ascii="Arial" w:hAnsi="Arial"/>
          <w:sz w:val="22"/>
        </w:rPr>
        <w:t xml:space="preserve"> Certaines variantes du </w:t>
      </w:r>
      <w:proofErr w:type="spellStart"/>
      <w:r w:rsidR="00A242C4">
        <w:rPr>
          <w:rFonts w:ascii="Arial" w:hAnsi="Arial"/>
          <w:sz w:val="22"/>
        </w:rPr>
        <w:t>yalli</w:t>
      </w:r>
      <w:proofErr w:type="spellEnd"/>
      <w:r w:rsidR="00A242C4">
        <w:rPr>
          <w:rFonts w:ascii="Arial" w:hAnsi="Arial"/>
          <w:sz w:val="22"/>
        </w:rPr>
        <w:t xml:space="preserve"> comprennent des passages chantés et sont pratiquées par les hommes et les femmes, tandis que d’autres sont pratiquées uniquement par des hommes et imitent des jeux pastoraux </w:t>
      </w:r>
      <w:r w:rsidR="00A242C4" w:rsidRPr="00A512DB">
        <w:rPr>
          <w:rFonts w:ascii="Arial" w:hAnsi="Arial"/>
          <w:sz w:val="22"/>
        </w:rPr>
        <w:t>et certains mouvements de combat des bêtes à corne</w:t>
      </w:r>
      <w:r w:rsidR="00A242C4">
        <w:rPr>
          <w:rFonts w:ascii="Arial" w:hAnsi="Arial"/>
          <w:sz w:val="22"/>
        </w:rPr>
        <w:t>.</w:t>
      </w:r>
      <w:r w:rsidRPr="00A512DB">
        <w:rPr>
          <w:rFonts w:ascii="Arial" w:hAnsi="Arial"/>
          <w:sz w:val="22"/>
        </w:rPr>
        <w:t xml:space="preserve"> Jusqu’à la moitié du XXe siècle, le </w:t>
      </w:r>
      <w:proofErr w:type="spellStart"/>
      <w:r w:rsidRPr="00A512DB">
        <w:rPr>
          <w:rFonts w:ascii="Arial" w:hAnsi="Arial"/>
          <w:sz w:val="22"/>
        </w:rPr>
        <w:t>yalli</w:t>
      </w:r>
      <w:proofErr w:type="spellEnd"/>
      <w:r w:rsidRPr="00A512DB">
        <w:rPr>
          <w:rFonts w:ascii="Arial" w:hAnsi="Arial"/>
          <w:sz w:val="22"/>
        </w:rPr>
        <w:t xml:space="preserve"> était couramment pratiqué. Toutefois, plusieurs facteurs ont eu des conséquences négatives sur la transmission de la pratique, notamment une perte progressive des fonctions sociales de certains types de </w:t>
      </w:r>
      <w:proofErr w:type="spellStart"/>
      <w:r w:rsidRPr="00A512DB">
        <w:rPr>
          <w:rFonts w:ascii="Arial" w:hAnsi="Arial"/>
          <w:sz w:val="22"/>
        </w:rPr>
        <w:t>yalli</w:t>
      </w:r>
      <w:proofErr w:type="spellEnd"/>
      <w:r w:rsidRPr="00A512DB">
        <w:rPr>
          <w:rFonts w:ascii="Arial" w:hAnsi="Arial"/>
          <w:sz w:val="22"/>
        </w:rPr>
        <w:t xml:space="preserve"> et une préférence donnée aux représentations sur scène ainsi que des facteurs externes tels que la migration des travailleurs et les crises économiques à la fin des années 1980 et au début des années 1990, une évolution de la transmission informelle vers des modes formels, et une simplification radicale des danses qui a débouché sur une perte de diversité.</w:t>
      </w:r>
    </w:p>
    <w:p w14:paraId="30746AD3" w14:textId="34F15C8C" w:rsidR="003F4BCF" w:rsidRPr="008D75D5" w:rsidRDefault="00876129" w:rsidP="0029421F">
      <w:pPr>
        <w:pStyle w:val="ListParagraph"/>
        <w:keepNext/>
        <w:keepLines/>
        <w:numPr>
          <w:ilvl w:val="0"/>
          <w:numId w:val="10"/>
        </w:numPr>
        <w:spacing w:before="120" w:after="120"/>
        <w:ind w:left="1134" w:hanging="567"/>
        <w:jc w:val="both"/>
        <w:outlineLvl w:val="1"/>
        <w:rPr>
          <w:rFonts w:ascii="Arial" w:eastAsia="SimSun" w:hAnsi="Arial" w:cs="Angsana New"/>
          <w:sz w:val="22"/>
          <w:szCs w:val="22"/>
        </w:rPr>
      </w:pPr>
      <w:r w:rsidRPr="008D75D5">
        <w:rPr>
          <w:rFonts w:ascii="Arial" w:hAnsi="Arial"/>
          <w:sz w:val="22"/>
          <w:u w:val="single"/>
        </w:rPr>
        <w:lastRenderedPageBreak/>
        <w:t>Décide</w:t>
      </w:r>
      <w:r w:rsidRPr="008D75D5">
        <w:rPr>
          <w:rFonts w:ascii="Arial" w:hAnsi="Arial"/>
          <w:sz w:val="22"/>
        </w:rPr>
        <w:t xml:space="preserve"> que, d</w:t>
      </w:r>
      <w:r w:rsidR="00A512DB">
        <w:rPr>
          <w:rFonts w:ascii="Arial" w:hAnsi="Arial"/>
          <w:sz w:val="22"/>
        </w:rPr>
        <w:t>’</w:t>
      </w:r>
      <w:r w:rsidRPr="008D75D5">
        <w:rPr>
          <w:rFonts w:ascii="Arial" w:hAnsi="Arial"/>
          <w:sz w:val="22"/>
        </w:rPr>
        <w:t>après l</w:t>
      </w:r>
      <w:r w:rsidR="00A512DB">
        <w:rPr>
          <w:rFonts w:ascii="Arial" w:hAnsi="Arial"/>
          <w:sz w:val="22"/>
        </w:rPr>
        <w:t>’</w:t>
      </w:r>
      <w:r w:rsidRPr="008D75D5">
        <w:rPr>
          <w:rFonts w:ascii="Arial" w:hAnsi="Arial"/>
          <w:sz w:val="22"/>
        </w:rPr>
        <w:t>information contenue dans le dossier, la candidature satisfait aux critères d</w:t>
      </w:r>
      <w:r w:rsidR="00A512DB">
        <w:rPr>
          <w:rFonts w:ascii="Arial" w:hAnsi="Arial"/>
          <w:sz w:val="22"/>
        </w:rPr>
        <w:t>’</w:t>
      </w:r>
      <w:r w:rsidRPr="008D75D5">
        <w:rPr>
          <w:rFonts w:ascii="Arial" w:hAnsi="Arial"/>
          <w:sz w:val="22"/>
        </w:rPr>
        <w:t>inscription sur la Liste du patrimoine culturel immatériel nécessitant une sauvegarde urgente comme suit :</w:t>
      </w:r>
    </w:p>
    <w:p w14:paraId="7D32E343" w14:textId="61812331" w:rsidR="003F4BCF" w:rsidRPr="008D75D5" w:rsidRDefault="003F4BCF" w:rsidP="003F4BCF">
      <w:pPr>
        <w:tabs>
          <w:tab w:val="left" w:pos="567"/>
          <w:tab w:val="left" w:pos="1134"/>
          <w:tab w:val="left" w:pos="1701"/>
          <w:tab w:val="left" w:pos="2268"/>
        </w:tabs>
        <w:spacing w:before="120" w:after="120"/>
        <w:ind w:left="1701" w:hanging="567"/>
        <w:jc w:val="both"/>
        <w:rPr>
          <w:rFonts w:ascii="Arial" w:hAnsi="Arial" w:cs="Arial"/>
          <w:sz w:val="22"/>
          <w:szCs w:val="22"/>
        </w:rPr>
      </w:pPr>
      <w:r w:rsidRPr="008D75D5">
        <w:rPr>
          <w:rFonts w:ascii="Arial" w:hAnsi="Arial"/>
          <w:sz w:val="22"/>
        </w:rPr>
        <w:t>U.1 :</w:t>
      </w:r>
      <w:r w:rsidRPr="008D75D5">
        <w:tab/>
      </w:r>
      <w:r w:rsidRPr="008D75D5">
        <w:rPr>
          <w:rFonts w:ascii="Arial" w:hAnsi="Arial"/>
          <w:sz w:val="22"/>
        </w:rPr>
        <w:t xml:space="preserve">Les danses </w:t>
      </w:r>
      <w:proofErr w:type="spellStart"/>
      <w:r w:rsidRPr="008D75D5">
        <w:rPr>
          <w:rFonts w:ascii="Arial" w:hAnsi="Arial"/>
          <w:sz w:val="22"/>
        </w:rPr>
        <w:t>yalli</w:t>
      </w:r>
      <w:proofErr w:type="spellEnd"/>
      <w:r w:rsidRPr="008D75D5">
        <w:rPr>
          <w:rFonts w:ascii="Arial" w:hAnsi="Arial"/>
          <w:sz w:val="22"/>
        </w:rPr>
        <w:t xml:space="preserve"> symbolisent l</w:t>
      </w:r>
      <w:r w:rsidR="00A512DB">
        <w:rPr>
          <w:rFonts w:ascii="Arial" w:hAnsi="Arial"/>
          <w:sz w:val="22"/>
        </w:rPr>
        <w:t>’</w:t>
      </w:r>
      <w:r w:rsidRPr="008D75D5">
        <w:rPr>
          <w:rFonts w:ascii="Arial" w:hAnsi="Arial"/>
          <w:sz w:val="22"/>
        </w:rPr>
        <w:t>énergie, la solidarité, le rythme de vie, et renforcent l</w:t>
      </w:r>
      <w:r w:rsidR="00A512DB">
        <w:rPr>
          <w:rFonts w:ascii="Arial" w:hAnsi="Arial"/>
          <w:sz w:val="22"/>
        </w:rPr>
        <w:t>’</w:t>
      </w:r>
      <w:r w:rsidRPr="008D75D5">
        <w:rPr>
          <w:rFonts w:ascii="Arial" w:hAnsi="Arial"/>
          <w:sz w:val="22"/>
        </w:rPr>
        <w:t xml:space="preserve">amitié et la cohésion sociale. Le </w:t>
      </w:r>
      <w:proofErr w:type="spellStart"/>
      <w:r w:rsidRPr="008D75D5">
        <w:rPr>
          <w:rFonts w:ascii="Arial" w:hAnsi="Arial"/>
          <w:sz w:val="22"/>
        </w:rPr>
        <w:t>kochari</w:t>
      </w:r>
      <w:proofErr w:type="spellEnd"/>
      <w:r w:rsidRPr="008D75D5">
        <w:rPr>
          <w:rFonts w:ascii="Arial" w:hAnsi="Arial"/>
          <w:sz w:val="22"/>
        </w:rPr>
        <w:t xml:space="preserve"> et le </w:t>
      </w:r>
      <w:proofErr w:type="spellStart"/>
      <w:r w:rsidRPr="008D75D5">
        <w:rPr>
          <w:rFonts w:ascii="Arial" w:hAnsi="Arial"/>
          <w:sz w:val="22"/>
        </w:rPr>
        <w:t>tenzere</w:t>
      </w:r>
      <w:proofErr w:type="spellEnd"/>
      <w:r w:rsidRPr="008D75D5">
        <w:rPr>
          <w:rFonts w:ascii="Arial" w:hAnsi="Arial"/>
          <w:sz w:val="22"/>
        </w:rPr>
        <w:t xml:space="preserve"> en sont les formes les plus largement pratiquées, et il semble que plus le lien des communautés avec ces danses est fort, plus importantes sont les chances que ces pratiques soient </w:t>
      </w:r>
      <w:r w:rsidR="00162BC9" w:rsidRPr="008D75D5">
        <w:rPr>
          <w:rFonts w:ascii="Arial" w:hAnsi="Arial"/>
          <w:sz w:val="22"/>
        </w:rPr>
        <w:t>re</w:t>
      </w:r>
      <w:r w:rsidR="00162BC9">
        <w:rPr>
          <w:rFonts w:ascii="Arial" w:hAnsi="Arial"/>
          <w:sz w:val="22"/>
        </w:rPr>
        <w:t>vital</w:t>
      </w:r>
      <w:r w:rsidR="00162BC9" w:rsidRPr="008D75D5">
        <w:rPr>
          <w:rFonts w:ascii="Arial" w:hAnsi="Arial"/>
          <w:sz w:val="22"/>
        </w:rPr>
        <w:t>isées</w:t>
      </w:r>
      <w:r w:rsidRPr="008D75D5">
        <w:rPr>
          <w:rFonts w:ascii="Arial" w:hAnsi="Arial"/>
          <w:sz w:val="22"/>
        </w:rPr>
        <w:t>. Ces danses se transmettent de façon informelle pendant les fêtes et célébrations, et de façon formelle grâce à des troupes de danse folkloriques et à l</w:t>
      </w:r>
      <w:r w:rsidR="00A512DB">
        <w:rPr>
          <w:rFonts w:ascii="Arial" w:hAnsi="Arial"/>
          <w:sz w:val="22"/>
        </w:rPr>
        <w:t>’</w:t>
      </w:r>
      <w:r w:rsidRPr="008D75D5">
        <w:rPr>
          <w:rFonts w:ascii="Arial" w:hAnsi="Arial"/>
          <w:sz w:val="22"/>
        </w:rPr>
        <w:t>éducation scolaire.</w:t>
      </w:r>
    </w:p>
    <w:p w14:paraId="24456D8A" w14:textId="63D9B84F" w:rsidR="003F4BCF" w:rsidRPr="008D75D5" w:rsidRDefault="003F4BCF" w:rsidP="003F4BCF">
      <w:pPr>
        <w:tabs>
          <w:tab w:val="left" w:pos="567"/>
          <w:tab w:val="left" w:pos="1134"/>
          <w:tab w:val="left" w:pos="1701"/>
          <w:tab w:val="left" w:pos="2268"/>
        </w:tabs>
        <w:spacing w:before="120" w:after="120"/>
        <w:ind w:left="1701" w:hanging="567"/>
        <w:jc w:val="both"/>
        <w:rPr>
          <w:rFonts w:ascii="Arial" w:hAnsi="Arial" w:cs="Arial"/>
          <w:sz w:val="22"/>
          <w:szCs w:val="22"/>
        </w:rPr>
      </w:pPr>
      <w:r w:rsidRPr="008D75D5">
        <w:rPr>
          <w:rFonts w:ascii="Arial" w:hAnsi="Arial"/>
          <w:sz w:val="22"/>
        </w:rPr>
        <w:t>U.2 :</w:t>
      </w:r>
      <w:r w:rsidRPr="008D75D5">
        <w:tab/>
      </w:r>
      <w:r w:rsidRPr="008D75D5">
        <w:rPr>
          <w:rFonts w:ascii="Arial" w:hAnsi="Arial"/>
          <w:sz w:val="22"/>
        </w:rPr>
        <w:t>La connaissance passive de l</w:t>
      </w:r>
      <w:r w:rsidR="00A512DB">
        <w:rPr>
          <w:rFonts w:ascii="Arial" w:hAnsi="Arial"/>
          <w:sz w:val="22"/>
        </w:rPr>
        <w:t>’</w:t>
      </w:r>
      <w:r w:rsidRPr="008D75D5">
        <w:rPr>
          <w:rFonts w:ascii="Arial" w:hAnsi="Arial"/>
          <w:sz w:val="22"/>
        </w:rPr>
        <w:t>élément dépasse largement la connaissance active</w:t>
      </w:r>
      <w:r w:rsidR="00162BC9">
        <w:rPr>
          <w:rFonts w:ascii="Arial" w:hAnsi="Arial"/>
          <w:sz w:val="22"/>
        </w:rPr>
        <w:t> ;</w:t>
      </w:r>
      <w:r w:rsidRPr="008D75D5">
        <w:rPr>
          <w:rFonts w:ascii="Arial" w:hAnsi="Arial"/>
          <w:sz w:val="22"/>
        </w:rPr>
        <w:t xml:space="preserve"> beaucoup de danses </w:t>
      </w:r>
      <w:proofErr w:type="spellStart"/>
      <w:r w:rsidRPr="008D75D5">
        <w:rPr>
          <w:rFonts w:ascii="Arial" w:hAnsi="Arial"/>
          <w:sz w:val="22"/>
        </w:rPr>
        <w:t>yalli</w:t>
      </w:r>
      <w:proofErr w:type="spellEnd"/>
      <w:r w:rsidRPr="008D75D5">
        <w:rPr>
          <w:rFonts w:ascii="Arial" w:hAnsi="Arial"/>
          <w:sz w:val="22"/>
        </w:rPr>
        <w:t xml:space="preserve"> n</w:t>
      </w:r>
      <w:r w:rsidR="00A512DB">
        <w:rPr>
          <w:rFonts w:ascii="Arial" w:hAnsi="Arial"/>
          <w:sz w:val="22"/>
        </w:rPr>
        <w:t>’</w:t>
      </w:r>
      <w:r w:rsidRPr="008D75D5">
        <w:rPr>
          <w:rFonts w:ascii="Arial" w:hAnsi="Arial"/>
          <w:sz w:val="22"/>
        </w:rPr>
        <w:t>existent plus que dans la mémoire des personnes âgées et dans des archives. Plusieurs facteurs défavorables ont considérablement affaibli la présence de l</w:t>
      </w:r>
      <w:r w:rsidR="00A512DB">
        <w:rPr>
          <w:rFonts w:ascii="Arial" w:hAnsi="Arial"/>
          <w:sz w:val="22"/>
        </w:rPr>
        <w:t>’</w:t>
      </w:r>
      <w:r w:rsidRPr="008D75D5">
        <w:rPr>
          <w:rFonts w:ascii="Arial" w:hAnsi="Arial"/>
          <w:sz w:val="22"/>
        </w:rPr>
        <w:t>élément pendant la deuxième partie du vingtième siècle, et sa pratique continue de décliner. Les principaux risques incluent une perte de variété, l</w:t>
      </w:r>
      <w:r w:rsidR="00A512DB">
        <w:rPr>
          <w:rFonts w:ascii="Arial" w:hAnsi="Arial"/>
          <w:sz w:val="22"/>
        </w:rPr>
        <w:t>’</w:t>
      </w:r>
      <w:r w:rsidRPr="008D75D5">
        <w:rPr>
          <w:rFonts w:ascii="Arial" w:hAnsi="Arial"/>
          <w:sz w:val="22"/>
        </w:rPr>
        <w:t>utilisation de formes homogénéisées et simplifié</w:t>
      </w:r>
      <w:r w:rsidR="00162BC9">
        <w:rPr>
          <w:rFonts w:ascii="Arial" w:hAnsi="Arial"/>
          <w:sz w:val="22"/>
        </w:rPr>
        <w:t>e</w:t>
      </w:r>
      <w:r w:rsidRPr="008D75D5">
        <w:rPr>
          <w:rFonts w:ascii="Arial" w:hAnsi="Arial"/>
          <w:sz w:val="22"/>
        </w:rPr>
        <w:t xml:space="preserve">s, la perte progressive des différents rôles </w:t>
      </w:r>
      <w:r w:rsidR="003128B6">
        <w:rPr>
          <w:rFonts w:ascii="Arial" w:hAnsi="Arial"/>
          <w:sz w:val="22"/>
        </w:rPr>
        <w:t>des</w:t>
      </w:r>
      <w:r w:rsidRPr="008D75D5">
        <w:rPr>
          <w:rFonts w:ascii="Arial" w:hAnsi="Arial"/>
          <w:sz w:val="22"/>
        </w:rPr>
        <w:t xml:space="preserve"> praticiens et </w:t>
      </w:r>
      <w:r w:rsidR="003128B6">
        <w:rPr>
          <w:rFonts w:ascii="Arial" w:hAnsi="Arial"/>
          <w:sz w:val="22"/>
        </w:rPr>
        <w:t>d</w:t>
      </w:r>
      <w:r w:rsidRPr="008D75D5">
        <w:rPr>
          <w:rFonts w:ascii="Arial" w:hAnsi="Arial"/>
          <w:sz w:val="22"/>
        </w:rPr>
        <w:t>es fonctions sociales des danses, la prédominance des prestations scéniques et la préférence de la nouvelle génération pour d</w:t>
      </w:r>
      <w:r w:rsidR="00A512DB">
        <w:rPr>
          <w:rFonts w:ascii="Arial" w:hAnsi="Arial"/>
          <w:sz w:val="22"/>
        </w:rPr>
        <w:t>’</w:t>
      </w:r>
      <w:r w:rsidRPr="008D75D5">
        <w:rPr>
          <w:rFonts w:ascii="Arial" w:hAnsi="Arial"/>
          <w:sz w:val="22"/>
        </w:rPr>
        <w:t>autres types de divertissement dans des contextes urbains.</w:t>
      </w:r>
    </w:p>
    <w:p w14:paraId="168805B3" w14:textId="61CF80FC" w:rsidR="003F4BCF" w:rsidRPr="008D75D5" w:rsidRDefault="003F4BCF" w:rsidP="003F4BCF">
      <w:pPr>
        <w:tabs>
          <w:tab w:val="left" w:pos="567"/>
          <w:tab w:val="left" w:pos="1134"/>
          <w:tab w:val="left" w:pos="1701"/>
          <w:tab w:val="left" w:pos="2268"/>
        </w:tabs>
        <w:spacing w:before="120" w:after="120"/>
        <w:ind w:left="1701" w:hanging="567"/>
        <w:jc w:val="both"/>
        <w:rPr>
          <w:rFonts w:ascii="Arial" w:hAnsi="Arial" w:cs="Arial"/>
          <w:sz w:val="22"/>
          <w:szCs w:val="22"/>
        </w:rPr>
      </w:pPr>
      <w:r w:rsidRPr="008D75D5">
        <w:rPr>
          <w:rFonts w:ascii="Arial" w:hAnsi="Arial"/>
          <w:sz w:val="22"/>
        </w:rPr>
        <w:t>U.3 :</w:t>
      </w:r>
      <w:r w:rsidRPr="008D75D5">
        <w:tab/>
      </w:r>
      <w:r w:rsidRPr="008D75D5">
        <w:rPr>
          <w:rFonts w:ascii="Arial" w:hAnsi="Arial"/>
          <w:sz w:val="22"/>
        </w:rPr>
        <w:t>Les mesures de sauvegarde</w:t>
      </w:r>
      <w:r w:rsidR="003128B6">
        <w:rPr>
          <w:rFonts w:ascii="Arial" w:hAnsi="Arial"/>
          <w:sz w:val="22"/>
        </w:rPr>
        <w:t xml:space="preserve"> passées</w:t>
      </w:r>
      <w:r w:rsidRPr="008D75D5">
        <w:rPr>
          <w:rFonts w:ascii="Arial" w:hAnsi="Arial"/>
          <w:sz w:val="22"/>
        </w:rPr>
        <w:t xml:space="preserve"> étaient principalement axées sur l</w:t>
      </w:r>
      <w:r w:rsidR="00A512DB">
        <w:rPr>
          <w:rFonts w:ascii="Arial" w:hAnsi="Arial"/>
          <w:sz w:val="22"/>
        </w:rPr>
        <w:t>’</w:t>
      </w:r>
      <w:r w:rsidRPr="008D75D5">
        <w:rPr>
          <w:rFonts w:ascii="Arial" w:hAnsi="Arial"/>
          <w:sz w:val="22"/>
        </w:rPr>
        <w:t>identification, la recherche et la documentation de l</w:t>
      </w:r>
      <w:r w:rsidR="00A512DB">
        <w:rPr>
          <w:rFonts w:ascii="Arial" w:hAnsi="Arial"/>
          <w:sz w:val="22"/>
        </w:rPr>
        <w:t>’</w:t>
      </w:r>
      <w:r w:rsidRPr="008D75D5">
        <w:rPr>
          <w:rFonts w:ascii="Arial" w:hAnsi="Arial"/>
          <w:sz w:val="22"/>
        </w:rPr>
        <w:t>élément, ainsi que sur le renforcement de sa pratique dans des groupes de danse folklorique, des écoles, des écoles de musiq</w:t>
      </w:r>
      <w:r w:rsidR="007D6F53">
        <w:rPr>
          <w:rFonts w:ascii="Arial" w:hAnsi="Arial"/>
          <w:sz w:val="22"/>
        </w:rPr>
        <w:t>ue</w:t>
      </w:r>
      <w:r w:rsidRPr="008D75D5">
        <w:rPr>
          <w:rFonts w:ascii="Arial" w:hAnsi="Arial"/>
          <w:sz w:val="22"/>
        </w:rPr>
        <w:t xml:space="preserve"> et des maisons de la culture, sans aucune approche systématique ni implication de la communauté. Très bien conçu, le </w:t>
      </w:r>
      <w:r w:rsidR="003128B6">
        <w:rPr>
          <w:rFonts w:ascii="Arial" w:hAnsi="Arial"/>
          <w:sz w:val="22"/>
        </w:rPr>
        <w:t>plan</w:t>
      </w:r>
      <w:r w:rsidR="003128B6" w:rsidRPr="008D75D5">
        <w:rPr>
          <w:rFonts w:ascii="Arial" w:hAnsi="Arial"/>
          <w:sz w:val="22"/>
        </w:rPr>
        <w:t xml:space="preserve"> </w:t>
      </w:r>
      <w:r w:rsidR="007D6F53">
        <w:rPr>
          <w:rFonts w:ascii="Arial" w:hAnsi="Arial"/>
          <w:sz w:val="22"/>
        </w:rPr>
        <w:t xml:space="preserve">de sauvegarde proposé </w:t>
      </w:r>
      <w:proofErr w:type="spellStart"/>
      <w:r w:rsidR="007D6F53">
        <w:rPr>
          <w:rFonts w:ascii="Arial" w:hAnsi="Arial"/>
          <w:sz w:val="22"/>
        </w:rPr>
        <w:t>a</w:t>
      </w:r>
      <w:proofErr w:type="spellEnd"/>
      <w:r w:rsidR="007D6F53">
        <w:rPr>
          <w:rFonts w:ascii="Arial" w:hAnsi="Arial"/>
          <w:sz w:val="22"/>
        </w:rPr>
        <w:t xml:space="preserve"> </w:t>
      </w:r>
      <w:r w:rsidRPr="008D75D5">
        <w:rPr>
          <w:rFonts w:ascii="Arial" w:hAnsi="Arial"/>
          <w:sz w:val="22"/>
        </w:rPr>
        <w:t xml:space="preserve">des objectifs clairs qui traduisent les besoins identifiés, un budget et un plan </w:t>
      </w:r>
      <w:r w:rsidR="003128B6">
        <w:rPr>
          <w:rFonts w:ascii="Arial" w:hAnsi="Arial"/>
          <w:sz w:val="22"/>
        </w:rPr>
        <w:t>dans</w:t>
      </w:r>
      <w:r w:rsidRPr="008D75D5">
        <w:rPr>
          <w:rFonts w:ascii="Arial" w:hAnsi="Arial"/>
          <w:sz w:val="22"/>
        </w:rPr>
        <w:t xml:space="preserve"> </w:t>
      </w:r>
      <w:r w:rsidR="003128B6">
        <w:rPr>
          <w:rFonts w:ascii="Arial" w:hAnsi="Arial"/>
          <w:sz w:val="22"/>
        </w:rPr>
        <w:t>lequel</w:t>
      </w:r>
      <w:r w:rsidRPr="008D75D5">
        <w:rPr>
          <w:rFonts w:ascii="Arial" w:hAnsi="Arial"/>
          <w:sz w:val="22"/>
        </w:rPr>
        <w:t xml:space="preserve"> le gouvernement central et le </w:t>
      </w:r>
      <w:r w:rsidR="003128B6">
        <w:rPr>
          <w:rFonts w:ascii="Arial" w:hAnsi="Arial"/>
          <w:sz w:val="22"/>
        </w:rPr>
        <w:t>M</w:t>
      </w:r>
      <w:r w:rsidRPr="008D75D5">
        <w:rPr>
          <w:rFonts w:ascii="Arial" w:hAnsi="Arial"/>
          <w:sz w:val="22"/>
        </w:rPr>
        <w:t xml:space="preserve">inistère de la culture et du tourisme </w:t>
      </w:r>
      <w:r w:rsidR="003128B6">
        <w:rPr>
          <w:rFonts w:ascii="Arial" w:hAnsi="Arial"/>
          <w:sz w:val="22"/>
        </w:rPr>
        <w:t xml:space="preserve">du </w:t>
      </w:r>
      <w:r w:rsidRPr="008D75D5">
        <w:rPr>
          <w:rFonts w:ascii="Arial" w:hAnsi="Arial"/>
          <w:sz w:val="22"/>
        </w:rPr>
        <w:t>Nakhitchevan attribue</w:t>
      </w:r>
      <w:r w:rsidR="003128B6">
        <w:rPr>
          <w:rFonts w:ascii="Arial" w:hAnsi="Arial"/>
          <w:sz w:val="22"/>
        </w:rPr>
        <w:t>nt</w:t>
      </w:r>
      <w:r w:rsidRPr="008D75D5">
        <w:rPr>
          <w:rFonts w:ascii="Arial" w:hAnsi="Arial"/>
          <w:sz w:val="22"/>
        </w:rPr>
        <w:t xml:space="preserve"> quinze employés à sa réalisation. Le but du projet est de créer des conditions favorables à la transmission des danses </w:t>
      </w:r>
      <w:proofErr w:type="spellStart"/>
      <w:r w:rsidRPr="008D75D5">
        <w:rPr>
          <w:rFonts w:ascii="Arial" w:hAnsi="Arial"/>
          <w:sz w:val="22"/>
        </w:rPr>
        <w:t>yalli</w:t>
      </w:r>
      <w:proofErr w:type="spellEnd"/>
      <w:r w:rsidRPr="008D75D5">
        <w:rPr>
          <w:rFonts w:ascii="Arial" w:hAnsi="Arial"/>
          <w:sz w:val="22"/>
        </w:rPr>
        <w:t>, d</w:t>
      </w:r>
      <w:r w:rsidR="003128B6">
        <w:rPr>
          <w:rFonts w:ascii="Arial" w:hAnsi="Arial"/>
          <w:sz w:val="22"/>
        </w:rPr>
        <w:t>e maintenir</w:t>
      </w:r>
      <w:r w:rsidRPr="008D75D5">
        <w:rPr>
          <w:rFonts w:ascii="Arial" w:hAnsi="Arial"/>
          <w:sz w:val="22"/>
        </w:rPr>
        <w:t xml:space="preserve"> leur pratique dans le futur et de co</w:t>
      </w:r>
      <w:r w:rsidR="007D6F53">
        <w:rPr>
          <w:rFonts w:ascii="Arial" w:hAnsi="Arial"/>
          <w:sz w:val="22"/>
        </w:rPr>
        <w:t>nstituer une association et un c</w:t>
      </w:r>
      <w:r w:rsidRPr="008D75D5">
        <w:rPr>
          <w:rFonts w:ascii="Arial" w:hAnsi="Arial"/>
          <w:sz w:val="22"/>
        </w:rPr>
        <w:t>entre d</w:t>
      </w:r>
      <w:r w:rsidR="00A512DB">
        <w:rPr>
          <w:rFonts w:ascii="Arial" w:hAnsi="Arial"/>
          <w:sz w:val="22"/>
        </w:rPr>
        <w:t>’</w:t>
      </w:r>
      <w:r w:rsidRPr="008D75D5">
        <w:rPr>
          <w:rFonts w:ascii="Arial" w:hAnsi="Arial"/>
          <w:sz w:val="22"/>
        </w:rPr>
        <w:t xml:space="preserve">information sur les danses </w:t>
      </w:r>
      <w:proofErr w:type="spellStart"/>
      <w:r w:rsidRPr="008D75D5">
        <w:rPr>
          <w:rFonts w:ascii="Arial" w:hAnsi="Arial"/>
          <w:sz w:val="22"/>
        </w:rPr>
        <w:t>yalli</w:t>
      </w:r>
      <w:proofErr w:type="spellEnd"/>
      <w:r w:rsidRPr="008D75D5">
        <w:rPr>
          <w:rFonts w:ascii="Arial" w:hAnsi="Arial"/>
          <w:sz w:val="22"/>
        </w:rPr>
        <w:t xml:space="preserve"> qui permettrait aux praticiens de partager leu</w:t>
      </w:r>
      <w:r w:rsidR="00A512DB">
        <w:rPr>
          <w:rFonts w:ascii="Arial" w:hAnsi="Arial"/>
          <w:sz w:val="22"/>
        </w:rPr>
        <w:t>rs expériences et leur réseau.</w:t>
      </w:r>
    </w:p>
    <w:p w14:paraId="7B4F7133" w14:textId="55AE85C3" w:rsidR="003F4BCF" w:rsidRPr="008D75D5" w:rsidRDefault="003F4BCF" w:rsidP="003F4BCF">
      <w:pPr>
        <w:tabs>
          <w:tab w:val="left" w:pos="567"/>
          <w:tab w:val="left" w:pos="1134"/>
          <w:tab w:val="left" w:pos="1701"/>
          <w:tab w:val="left" w:pos="2268"/>
        </w:tabs>
        <w:spacing w:before="120" w:after="120"/>
        <w:ind w:left="1701" w:hanging="567"/>
        <w:jc w:val="both"/>
        <w:rPr>
          <w:rFonts w:ascii="Arial" w:hAnsi="Arial" w:cs="Arial"/>
          <w:sz w:val="22"/>
          <w:szCs w:val="22"/>
        </w:rPr>
      </w:pPr>
      <w:r w:rsidRPr="008D75D5">
        <w:rPr>
          <w:rFonts w:ascii="Arial" w:hAnsi="Arial"/>
          <w:sz w:val="22"/>
        </w:rPr>
        <w:t>U.4 :</w:t>
      </w:r>
      <w:r w:rsidRPr="008D75D5">
        <w:tab/>
      </w:r>
      <w:r w:rsidRPr="008D75D5">
        <w:rPr>
          <w:rFonts w:ascii="Arial" w:hAnsi="Arial"/>
          <w:sz w:val="22"/>
        </w:rPr>
        <w:t xml:space="preserve">La candidature a été initiée par la troupe de danse </w:t>
      </w:r>
      <w:r w:rsidR="003128B6">
        <w:rPr>
          <w:rFonts w:ascii="Arial" w:hAnsi="Arial"/>
          <w:sz w:val="22"/>
        </w:rPr>
        <w:t>« </w:t>
      </w:r>
      <w:proofErr w:type="spellStart"/>
      <w:r w:rsidRPr="008D75D5">
        <w:rPr>
          <w:rFonts w:ascii="Arial" w:hAnsi="Arial"/>
          <w:sz w:val="22"/>
        </w:rPr>
        <w:t>Sharur</w:t>
      </w:r>
      <w:proofErr w:type="spellEnd"/>
      <w:r w:rsidRPr="008D75D5">
        <w:rPr>
          <w:rFonts w:ascii="Arial" w:hAnsi="Arial"/>
          <w:sz w:val="22"/>
        </w:rPr>
        <w:t xml:space="preserve"> Folk </w:t>
      </w:r>
      <w:proofErr w:type="spellStart"/>
      <w:r w:rsidRPr="008D75D5">
        <w:rPr>
          <w:rFonts w:ascii="Arial" w:hAnsi="Arial"/>
          <w:sz w:val="22"/>
        </w:rPr>
        <w:t>Yalli</w:t>
      </w:r>
      <w:proofErr w:type="spellEnd"/>
      <w:r w:rsidRPr="008D75D5">
        <w:rPr>
          <w:rFonts w:ascii="Arial" w:hAnsi="Arial"/>
          <w:sz w:val="22"/>
        </w:rPr>
        <w:t xml:space="preserve"> Dance Ensemble</w:t>
      </w:r>
      <w:r w:rsidR="003128B6">
        <w:rPr>
          <w:rFonts w:ascii="Arial" w:hAnsi="Arial"/>
          <w:sz w:val="22"/>
        </w:rPr>
        <w:t> »</w:t>
      </w:r>
      <w:r w:rsidRPr="008D75D5">
        <w:rPr>
          <w:rFonts w:ascii="Arial" w:hAnsi="Arial"/>
          <w:sz w:val="22"/>
        </w:rPr>
        <w:t xml:space="preserve">, représentant la communauté des danseurs de </w:t>
      </w:r>
      <w:proofErr w:type="spellStart"/>
      <w:r w:rsidRPr="008D75D5">
        <w:rPr>
          <w:rFonts w:ascii="Arial" w:hAnsi="Arial"/>
          <w:sz w:val="22"/>
        </w:rPr>
        <w:t>yalli</w:t>
      </w:r>
      <w:proofErr w:type="spellEnd"/>
      <w:r w:rsidRPr="008D75D5">
        <w:rPr>
          <w:rFonts w:ascii="Arial" w:hAnsi="Arial"/>
          <w:sz w:val="22"/>
        </w:rPr>
        <w:t xml:space="preserve">, qui </w:t>
      </w:r>
      <w:r w:rsidR="003128B6">
        <w:rPr>
          <w:rFonts w:ascii="Arial" w:hAnsi="Arial"/>
          <w:sz w:val="22"/>
        </w:rPr>
        <w:t>entretient</w:t>
      </w:r>
      <w:r w:rsidR="003128B6" w:rsidRPr="008D75D5">
        <w:rPr>
          <w:rFonts w:ascii="Arial" w:hAnsi="Arial"/>
          <w:sz w:val="22"/>
        </w:rPr>
        <w:t xml:space="preserve"> </w:t>
      </w:r>
      <w:r w:rsidRPr="008D75D5">
        <w:rPr>
          <w:rFonts w:ascii="Arial" w:hAnsi="Arial"/>
          <w:sz w:val="22"/>
        </w:rPr>
        <w:t>et transmet le savoir de cette danse aux générations plus jeunes. Des praticiens sélectionnés ont travaillé directement à la préparation du dossier de candidature, tandis que d</w:t>
      </w:r>
      <w:r w:rsidR="00A512DB">
        <w:rPr>
          <w:rFonts w:ascii="Arial" w:hAnsi="Arial"/>
          <w:sz w:val="22"/>
        </w:rPr>
        <w:t>’</w:t>
      </w:r>
      <w:r w:rsidRPr="008D75D5">
        <w:rPr>
          <w:rFonts w:ascii="Arial" w:hAnsi="Arial"/>
          <w:sz w:val="22"/>
        </w:rPr>
        <w:t xml:space="preserve">autres praticiens, communautés et parties prenantes étaient impliqués dans le </w:t>
      </w:r>
      <w:r w:rsidR="003128B6" w:rsidRPr="008D75D5">
        <w:rPr>
          <w:rFonts w:ascii="Arial" w:hAnsi="Arial"/>
          <w:sz w:val="22"/>
        </w:rPr>
        <w:t>proc</w:t>
      </w:r>
      <w:r w:rsidR="003128B6">
        <w:rPr>
          <w:rFonts w:ascii="Arial" w:hAnsi="Arial"/>
          <w:sz w:val="22"/>
        </w:rPr>
        <w:t>essus</w:t>
      </w:r>
      <w:r w:rsidR="003128B6" w:rsidRPr="008D75D5">
        <w:rPr>
          <w:rFonts w:ascii="Arial" w:hAnsi="Arial"/>
          <w:sz w:val="22"/>
        </w:rPr>
        <w:t xml:space="preserve"> </w:t>
      </w:r>
      <w:r w:rsidRPr="008D75D5">
        <w:rPr>
          <w:rFonts w:ascii="Arial" w:hAnsi="Arial"/>
          <w:sz w:val="22"/>
        </w:rPr>
        <w:t>via des consultations dans un groupe de travail. Les praticiens les plus actifs et d</w:t>
      </w:r>
      <w:r w:rsidR="00A512DB">
        <w:rPr>
          <w:rFonts w:ascii="Arial" w:hAnsi="Arial"/>
          <w:sz w:val="22"/>
        </w:rPr>
        <w:t>’</w:t>
      </w:r>
      <w:r w:rsidRPr="008D75D5">
        <w:rPr>
          <w:rFonts w:ascii="Arial" w:hAnsi="Arial"/>
          <w:sz w:val="22"/>
        </w:rPr>
        <w:t>autres parties prenantes ont fourni leur consentement</w:t>
      </w:r>
      <w:r w:rsidR="00A512DB">
        <w:rPr>
          <w:rFonts w:ascii="Arial" w:hAnsi="Arial"/>
          <w:sz w:val="22"/>
        </w:rPr>
        <w:t xml:space="preserve"> libre</w:t>
      </w:r>
      <w:r w:rsidR="003128B6">
        <w:rPr>
          <w:rFonts w:ascii="Arial" w:hAnsi="Arial"/>
          <w:sz w:val="22"/>
        </w:rPr>
        <w:t xml:space="preserve">, </w:t>
      </w:r>
      <w:r w:rsidR="00A512DB">
        <w:rPr>
          <w:rFonts w:ascii="Arial" w:hAnsi="Arial"/>
          <w:sz w:val="22"/>
        </w:rPr>
        <w:t>préalable</w:t>
      </w:r>
      <w:r w:rsidR="003128B6">
        <w:rPr>
          <w:rFonts w:ascii="Arial" w:hAnsi="Arial"/>
          <w:sz w:val="22"/>
        </w:rPr>
        <w:t xml:space="preserve"> et éclairé</w:t>
      </w:r>
      <w:r w:rsidR="00A512DB">
        <w:rPr>
          <w:rFonts w:ascii="Arial" w:hAnsi="Arial"/>
          <w:sz w:val="22"/>
        </w:rPr>
        <w:t>.</w:t>
      </w:r>
    </w:p>
    <w:p w14:paraId="07F6CC85" w14:textId="1D60AB46" w:rsidR="003F4BCF" w:rsidRPr="008D75D5" w:rsidRDefault="003F4BCF" w:rsidP="003F4BCF">
      <w:pPr>
        <w:tabs>
          <w:tab w:val="left" w:pos="567"/>
          <w:tab w:val="left" w:pos="1134"/>
          <w:tab w:val="left" w:pos="1701"/>
          <w:tab w:val="left" w:pos="2268"/>
        </w:tabs>
        <w:spacing w:before="120" w:after="120"/>
        <w:ind w:left="1701" w:hanging="567"/>
        <w:jc w:val="both"/>
        <w:rPr>
          <w:rFonts w:ascii="Arial" w:eastAsia="SimSun" w:hAnsi="Arial" w:cs="Arial"/>
          <w:sz w:val="22"/>
          <w:szCs w:val="22"/>
        </w:rPr>
      </w:pPr>
      <w:r w:rsidRPr="008D75D5">
        <w:rPr>
          <w:rFonts w:ascii="Arial" w:hAnsi="Arial"/>
          <w:sz w:val="22"/>
        </w:rPr>
        <w:t>U.5 :</w:t>
      </w:r>
      <w:r w:rsidRPr="008D75D5">
        <w:tab/>
      </w:r>
      <w:r w:rsidRPr="008D75D5">
        <w:rPr>
          <w:rFonts w:ascii="Arial" w:hAnsi="Arial"/>
          <w:sz w:val="22"/>
        </w:rPr>
        <w:t>L</w:t>
      </w:r>
      <w:r w:rsidR="00A512DB">
        <w:rPr>
          <w:rFonts w:ascii="Arial" w:hAnsi="Arial"/>
          <w:sz w:val="22"/>
        </w:rPr>
        <w:t>’</w:t>
      </w:r>
      <w:r w:rsidRPr="008D75D5">
        <w:rPr>
          <w:rFonts w:ascii="Arial" w:hAnsi="Arial"/>
          <w:sz w:val="22"/>
        </w:rPr>
        <w:t xml:space="preserve">élément est </w:t>
      </w:r>
      <w:r w:rsidR="003128B6" w:rsidRPr="008D75D5">
        <w:rPr>
          <w:rFonts w:ascii="Arial" w:hAnsi="Arial"/>
          <w:sz w:val="22"/>
        </w:rPr>
        <w:t>i</w:t>
      </w:r>
      <w:r w:rsidR="003128B6">
        <w:rPr>
          <w:rFonts w:ascii="Arial" w:hAnsi="Arial"/>
          <w:sz w:val="22"/>
        </w:rPr>
        <w:t>nclus dans le</w:t>
      </w:r>
      <w:r w:rsidR="0054670A">
        <w:rPr>
          <w:rFonts w:ascii="Arial" w:hAnsi="Arial"/>
          <w:sz w:val="22"/>
        </w:rPr>
        <w:t xml:space="preserve"> r</w:t>
      </w:r>
      <w:r w:rsidRPr="008D75D5">
        <w:rPr>
          <w:rFonts w:ascii="Arial" w:hAnsi="Arial"/>
          <w:sz w:val="22"/>
        </w:rPr>
        <w:t xml:space="preserve">egistre du patrimoine culturel immatériel de la </w:t>
      </w:r>
      <w:r w:rsidR="007D6F53">
        <w:rPr>
          <w:rFonts w:ascii="Arial" w:hAnsi="Arial"/>
          <w:sz w:val="22"/>
        </w:rPr>
        <w:t>R</w:t>
      </w:r>
      <w:r w:rsidRPr="008D75D5">
        <w:rPr>
          <w:rFonts w:ascii="Arial" w:hAnsi="Arial"/>
          <w:sz w:val="22"/>
        </w:rPr>
        <w:t>épublique d</w:t>
      </w:r>
      <w:r w:rsidR="00A512DB">
        <w:rPr>
          <w:rFonts w:ascii="Arial" w:hAnsi="Arial"/>
          <w:sz w:val="22"/>
        </w:rPr>
        <w:t>’</w:t>
      </w:r>
      <w:r w:rsidRPr="008D75D5">
        <w:rPr>
          <w:rFonts w:ascii="Arial" w:hAnsi="Arial"/>
          <w:sz w:val="22"/>
        </w:rPr>
        <w:t>Azerbaïdjan depuis 2010. L</w:t>
      </w:r>
      <w:r w:rsidR="00A512DB">
        <w:rPr>
          <w:rFonts w:ascii="Arial" w:hAnsi="Arial"/>
          <w:sz w:val="22"/>
        </w:rPr>
        <w:t>’</w:t>
      </w:r>
      <w:r w:rsidRPr="008D75D5">
        <w:rPr>
          <w:rFonts w:ascii="Arial" w:hAnsi="Arial"/>
          <w:sz w:val="22"/>
        </w:rPr>
        <w:t xml:space="preserve">inventaire est mis à jour au moyen de travail de terrain, mais également de </w:t>
      </w:r>
      <w:r w:rsidR="003128B6">
        <w:rPr>
          <w:rFonts w:ascii="Arial" w:hAnsi="Arial"/>
          <w:sz w:val="22"/>
        </w:rPr>
        <w:t>demandes</w:t>
      </w:r>
      <w:r w:rsidRPr="008D75D5">
        <w:rPr>
          <w:rFonts w:ascii="Arial" w:hAnsi="Arial"/>
          <w:sz w:val="22"/>
        </w:rPr>
        <w:t xml:space="preserve"> venant des communautés concernées. Les praticiens ainsi que plusieurs troupes de danse folklorique et écoles de musique locales ont contribué à l</w:t>
      </w:r>
      <w:r w:rsidR="00A512DB">
        <w:rPr>
          <w:rFonts w:ascii="Arial" w:hAnsi="Arial"/>
          <w:sz w:val="22"/>
        </w:rPr>
        <w:t>’</w:t>
      </w:r>
      <w:r w:rsidRPr="008D75D5">
        <w:rPr>
          <w:rFonts w:ascii="Arial" w:hAnsi="Arial"/>
          <w:sz w:val="22"/>
        </w:rPr>
        <w:t>identification et à l</w:t>
      </w:r>
      <w:r w:rsidR="00A512DB">
        <w:rPr>
          <w:rFonts w:ascii="Arial" w:hAnsi="Arial"/>
          <w:sz w:val="22"/>
        </w:rPr>
        <w:t>’</w:t>
      </w:r>
      <w:r w:rsidRPr="008D75D5">
        <w:rPr>
          <w:rFonts w:ascii="Arial" w:hAnsi="Arial"/>
          <w:sz w:val="22"/>
        </w:rPr>
        <w:t>inventaire de l</w:t>
      </w:r>
      <w:r w:rsidR="00A512DB">
        <w:rPr>
          <w:rFonts w:ascii="Arial" w:hAnsi="Arial"/>
          <w:sz w:val="22"/>
        </w:rPr>
        <w:t>’</w:t>
      </w:r>
      <w:r w:rsidRPr="008D75D5">
        <w:rPr>
          <w:rFonts w:ascii="Arial" w:hAnsi="Arial"/>
          <w:sz w:val="22"/>
        </w:rPr>
        <w:t xml:space="preserve">élément, et les membres de la troupe </w:t>
      </w:r>
      <w:proofErr w:type="spellStart"/>
      <w:r w:rsidRPr="008D75D5">
        <w:rPr>
          <w:rFonts w:ascii="Arial" w:hAnsi="Arial"/>
          <w:sz w:val="22"/>
        </w:rPr>
        <w:t>Sharur</w:t>
      </w:r>
      <w:proofErr w:type="spellEnd"/>
      <w:r w:rsidRPr="008D75D5">
        <w:rPr>
          <w:rFonts w:ascii="Arial" w:hAnsi="Arial"/>
          <w:sz w:val="22"/>
        </w:rPr>
        <w:t xml:space="preserve"> Folk </w:t>
      </w:r>
      <w:proofErr w:type="spellStart"/>
      <w:r w:rsidR="003128B6" w:rsidRPr="00652BA9">
        <w:rPr>
          <w:rFonts w:ascii="Arial" w:hAnsi="Arial" w:cs="Arial"/>
          <w:sz w:val="22"/>
          <w:szCs w:val="22"/>
        </w:rPr>
        <w:t>Yalli</w:t>
      </w:r>
      <w:proofErr w:type="spellEnd"/>
      <w:r w:rsidR="003128B6" w:rsidRPr="00652BA9">
        <w:rPr>
          <w:rFonts w:ascii="Arial" w:hAnsi="Arial" w:cs="Arial"/>
          <w:sz w:val="22"/>
          <w:szCs w:val="22"/>
        </w:rPr>
        <w:t xml:space="preserve"> Dance </w:t>
      </w:r>
      <w:r w:rsidRPr="008D75D5">
        <w:rPr>
          <w:rFonts w:ascii="Arial" w:hAnsi="Arial"/>
          <w:sz w:val="22"/>
        </w:rPr>
        <w:t>Ensemble ont joué un rôle essentiel dans la collecte d</w:t>
      </w:r>
      <w:r w:rsidR="00A512DB">
        <w:rPr>
          <w:rFonts w:ascii="Arial" w:hAnsi="Arial"/>
          <w:sz w:val="22"/>
        </w:rPr>
        <w:t>’</w:t>
      </w:r>
      <w:r w:rsidRPr="008D75D5">
        <w:rPr>
          <w:rFonts w:ascii="Arial" w:hAnsi="Arial"/>
          <w:sz w:val="22"/>
        </w:rPr>
        <w:t>in</w:t>
      </w:r>
      <w:r w:rsidR="00A512DB">
        <w:rPr>
          <w:rFonts w:ascii="Arial" w:hAnsi="Arial"/>
          <w:sz w:val="22"/>
        </w:rPr>
        <w:t xml:space="preserve">formations </w:t>
      </w:r>
      <w:r w:rsidR="003128B6">
        <w:rPr>
          <w:rFonts w:ascii="Arial" w:hAnsi="Arial"/>
          <w:sz w:val="22"/>
        </w:rPr>
        <w:t xml:space="preserve">au sein de </w:t>
      </w:r>
      <w:r w:rsidR="00A512DB">
        <w:rPr>
          <w:rFonts w:ascii="Arial" w:hAnsi="Arial"/>
          <w:sz w:val="22"/>
        </w:rPr>
        <w:t>la communauté.</w:t>
      </w:r>
    </w:p>
    <w:p w14:paraId="47F98138" w14:textId="50F89A50" w:rsidR="00876129" w:rsidRPr="008D75D5" w:rsidRDefault="00876129" w:rsidP="0029421F">
      <w:pPr>
        <w:pStyle w:val="ListParagraph"/>
        <w:numPr>
          <w:ilvl w:val="0"/>
          <w:numId w:val="10"/>
        </w:numPr>
        <w:spacing w:before="120" w:after="120"/>
        <w:ind w:left="1134" w:hanging="567"/>
        <w:jc w:val="both"/>
        <w:outlineLvl w:val="1"/>
        <w:rPr>
          <w:rFonts w:ascii="Arial" w:hAnsi="Arial"/>
          <w:bCs/>
          <w:sz w:val="22"/>
          <w:szCs w:val="22"/>
        </w:rPr>
      </w:pPr>
      <w:r w:rsidRPr="008D75D5">
        <w:rPr>
          <w:rFonts w:ascii="Arial" w:hAnsi="Arial"/>
          <w:sz w:val="22"/>
          <w:u w:val="single"/>
        </w:rPr>
        <w:t>Inscrit</w:t>
      </w:r>
      <w:r w:rsidRPr="0029421F">
        <w:rPr>
          <w:rFonts w:ascii="Arial" w:hAnsi="Arial"/>
          <w:bCs/>
          <w:sz w:val="22"/>
        </w:rPr>
        <w:t xml:space="preserve"> </w:t>
      </w:r>
      <w:r w:rsidRPr="008D75D5">
        <w:rPr>
          <w:rFonts w:ascii="Arial" w:hAnsi="Arial"/>
          <w:b/>
          <w:sz w:val="22"/>
        </w:rPr>
        <w:t xml:space="preserve">le </w:t>
      </w:r>
      <w:proofErr w:type="spellStart"/>
      <w:r w:rsidRPr="008D75D5">
        <w:rPr>
          <w:rFonts w:ascii="Arial" w:hAnsi="Arial"/>
          <w:b/>
          <w:sz w:val="22"/>
        </w:rPr>
        <w:t>yalli</w:t>
      </w:r>
      <w:proofErr w:type="spellEnd"/>
      <w:r w:rsidRPr="008D75D5">
        <w:rPr>
          <w:rFonts w:ascii="Arial" w:hAnsi="Arial"/>
          <w:b/>
          <w:sz w:val="22"/>
        </w:rPr>
        <w:t xml:space="preserve"> (</w:t>
      </w:r>
      <w:proofErr w:type="spellStart"/>
      <w:r w:rsidRPr="008D75D5">
        <w:rPr>
          <w:rFonts w:ascii="Arial" w:hAnsi="Arial"/>
          <w:b/>
          <w:sz w:val="22"/>
        </w:rPr>
        <w:t>kochari</w:t>
      </w:r>
      <w:proofErr w:type="spellEnd"/>
      <w:r w:rsidRPr="008D75D5">
        <w:rPr>
          <w:rFonts w:ascii="Arial" w:hAnsi="Arial"/>
          <w:b/>
          <w:sz w:val="22"/>
        </w:rPr>
        <w:t xml:space="preserve">, </w:t>
      </w:r>
      <w:proofErr w:type="spellStart"/>
      <w:r w:rsidRPr="008D75D5">
        <w:rPr>
          <w:rFonts w:ascii="Arial" w:hAnsi="Arial"/>
          <w:b/>
          <w:sz w:val="22"/>
        </w:rPr>
        <w:t>tenzere</w:t>
      </w:r>
      <w:proofErr w:type="spellEnd"/>
      <w:r w:rsidRPr="008D75D5">
        <w:rPr>
          <w:rFonts w:ascii="Arial" w:hAnsi="Arial"/>
          <w:b/>
          <w:sz w:val="22"/>
        </w:rPr>
        <w:t>), danses collectives traditionnelles du Nakhitchevan</w:t>
      </w:r>
      <w:r w:rsidRPr="008D75D5">
        <w:rPr>
          <w:rFonts w:ascii="Arial" w:hAnsi="Arial"/>
          <w:sz w:val="22"/>
        </w:rPr>
        <w:t xml:space="preserve"> sur la Liste du patrimoine culturel immatériel nécessitant une sauvegarde urgente</w:t>
      </w:r>
      <w:r w:rsidR="00162BC9">
        <w:rPr>
          <w:rFonts w:ascii="Arial" w:hAnsi="Arial"/>
          <w:sz w:val="22"/>
        </w:rPr>
        <w:t> ;</w:t>
      </w:r>
    </w:p>
    <w:p w14:paraId="49515EBB" w14:textId="0DF5C960" w:rsidR="003F4BCF" w:rsidRPr="008D75D5" w:rsidRDefault="003F4BCF" w:rsidP="0029421F">
      <w:pPr>
        <w:pStyle w:val="ListParagraph"/>
        <w:numPr>
          <w:ilvl w:val="0"/>
          <w:numId w:val="10"/>
        </w:numPr>
        <w:spacing w:before="120" w:after="120"/>
        <w:ind w:left="1134" w:hanging="567"/>
        <w:jc w:val="both"/>
        <w:outlineLvl w:val="1"/>
        <w:rPr>
          <w:rFonts w:ascii="Arial" w:eastAsia="SimSun" w:hAnsi="Arial" w:cs="Angsana New"/>
          <w:sz w:val="22"/>
          <w:szCs w:val="22"/>
        </w:rPr>
      </w:pPr>
      <w:r w:rsidRPr="008D75D5">
        <w:rPr>
          <w:rFonts w:ascii="Arial" w:hAnsi="Arial"/>
          <w:sz w:val="22"/>
          <w:u w:val="single"/>
        </w:rPr>
        <w:t>Rappelle</w:t>
      </w:r>
      <w:r w:rsidRPr="008D75D5">
        <w:rPr>
          <w:rFonts w:ascii="Arial" w:hAnsi="Arial"/>
          <w:sz w:val="22"/>
        </w:rPr>
        <w:t xml:space="preserve"> à l</w:t>
      </w:r>
      <w:r w:rsidR="00A512DB">
        <w:rPr>
          <w:rFonts w:ascii="Arial" w:hAnsi="Arial"/>
          <w:sz w:val="22"/>
        </w:rPr>
        <w:t>’</w:t>
      </w:r>
      <w:r w:rsidRPr="008D75D5">
        <w:rPr>
          <w:rFonts w:ascii="Arial" w:hAnsi="Arial"/>
          <w:sz w:val="22"/>
        </w:rPr>
        <w:t>État partie que le patrimoine culturel immatériel est intrinsèquement spontané et en constante évolution, et l</w:t>
      </w:r>
      <w:r w:rsidR="00A512DB">
        <w:rPr>
          <w:rFonts w:ascii="Arial" w:hAnsi="Arial"/>
          <w:sz w:val="22"/>
        </w:rPr>
        <w:t>’</w:t>
      </w:r>
      <w:r w:rsidRPr="008D75D5">
        <w:rPr>
          <w:rFonts w:ascii="Arial" w:hAnsi="Arial"/>
          <w:sz w:val="22"/>
          <w:u w:val="single"/>
        </w:rPr>
        <w:t>invite</w:t>
      </w:r>
      <w:r w:rsidRPr="008D75D5">
        <w:rPr>
          <w:rFonts w:ascii="Arial" w:hAnsi="Arial"/>
          <w:sz w:val="22"/>
        </w:rPr>
        <w:t xml:space="preserve"> à faire particulièrement attention à ce que la formation à grande échelle de nouveaux danseurs ne mène pas</w:t>
      </w:r>
      <w:r w:rsidR="003128B6">
        <w:rPr>
          <w:rFonts w:ascii="Arial" w:hAnsi="Arial"/>
          <w:sz w:val="22"/>
        </w:rPr>
        <w:t xml:space="preserve"> à</w:t>
      </w:r>
      <w:r w:rsidRPr="008D75D5">
        <w:rPr>
          <w:rFonts w:ascii="Arial" w:hAnsi="Arial"/>
          <w:sz w:val="22"/>
        </w:rPr>
        <w:t xml:space="preserve"> la standardisation </w:t>
      </w:r>
      <w:r w:rsidRPr="008D75D5">
        <w:rPr>
          <w:rFonts w:ascii="Arial" w:hAnsi="Arial"/>
          <w:sz w:val="22"/>
        </w:rPr>
        <w:lastRenderedPageBreak/>
        <w:t xml:space="preserve">ni à la </w:t>
      </w:r>
      <w:proofErr w:type="spellStart"/>
      <w:r w:rsidRPr="008D75D5">
        <w:rPr>
          <w:rFonts w:ascii="Arial" w:hAnsi="Arial"/>
          <w:sz w:val="22"/>
        </w:rPr>
        <w:t>décontextualisation</w:t>
      </w:r>
      <w:proofErr w:type="spellEnd"/>
      <w:r w:rsidRPr="008D75D5">
        <w:rPr>
          <w:rFonts w:ascii="Arial" w:hAnsi="Arial"/>
          <w:sz w:val="22"/>
        </w:rPr>
        <w:t xml:space="preserve"> des danses, à la création de nouveaux stéréotypes ou à l</w:t>
      </w:r>
      <w:r w:rsidR="00A512DB">
        <w:rPr>
          <w:rFonts w:ascii="Arial" w:hAnsi="Arial"/>
          <w:sz w:val="22"/>
        </w:rPr>
        <w:t>’</w:t>
      </w:r>
      <w:r w:rsidRPr="008D75D5">
        <w:rPr>
          <w:rFonts w:ascii="Arial" w:hAnsi="Arial"/>
          <w:sz w:val="22"/>
        </w:rPr>
        <w:t>affaiblissement supplémentaire de leurs formes les plus spontanées.</w:t>
      </w:r>
    </w:p>
    <w:p w14:paraId="50B69F78" w14:textId="322FF681" w:rsidR="003F4BCF" w:rsidRPr="008D75D5" w:rsidRDefault="00876129" w:rsidP="00BC46E7">
      <w:pPr>
        <w:keepNext/>
        <w:keepLines/>
        <w:spacing w:before="360" w:after="120"/>
        <w:ind w:left="567"/>
        <w:outlineLvl w:val="0"/>
        <w:rPr>
          <w:rFonts w:ascii="Arial" w:eastAsia="SimSun" w:hAnsi="Arial" w:cs="Angsana New"/>
          <w:b/>
          <w:sz w:val="22"/>
          <w:szCs w:val="22"/>
        </w:rPr>
      </w:pPr>
      <w:bookmarkStart w:id="9" w:name="Decision_10a3"/>
      <w:bookmarkEnd w:id="9"/>
      <w:r w:rsidRPr="008D75D5">
        <w:rPr>
          <w:rFonts w:ascii="Arial" w:hAnsi="Arial"/>
          <w:b/>
          <w:sz w:val="22"/>
        </w:rPr>
        <w:t>PROJET DE DÉCISION 13.COM 10.a.3</w:t>
      </w:r>
      <w:r w:rsidRPr="008D75D5">
        <w:tab/>
      </w:r>
      <w:r w:rsidRPr="008D75D5">
        <w:rPr>
          <w:rFonts w:ascii="Arial" w:hAnsi="Arial" w:cs="Arial"/>
          <w:noProof/>
          <w:color w:val="0000FF"/>
          <w:sz w:val="22"/>
          <w:szCs w:val="22"/>
          <w:lang w:val="en-US" w:eastAsia="ko-KR" w:bidi="ar-SA"/>
        </w:rPr>
        <w:drawing>
          <wp:inline distT="0" distB="0" distL="0" distR="0" wp14:anchorId="659B08B8" wp14:editId="07AA70C9">
            <wp:extent cx="104775" cy="104775"/>
            <wp:effectExtent l="0" t="0" r="9525" b="9525"/>
            <wp:docPr id="3" name="Picture 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910A88C" w14:textId="17284B35" w:rsidR="003F4BCF" w:rsidRPr="008D75D5" w:rsidRDefault="00876129" w:rsidP="003F4BCF">
      <w:pPr>
        <w:keepNext/>
        <w:tabs>
          <w:tab w:val="left" w:pos="567"/>
          <w:tab w:val="left" w:pos="1134"/>
          <w:tab w:val="left" w:pos="1701"/>
          <w:tab w:val="left" w:pos="2268"/>
        </w:tabs>
        <w:spacing w:before="120" w:after="120"/>
        <w:ind w:left="567"/>
        <w:jc w:val="both"/>
        <w:rPr>
          <w:rFonts w:ascii="Arial" w:eastAsia="SimSun" w:hAnsi="Arial" w:cs="Arial"/>
          <w:sz w:val="22"/>
          <w:szCs w:val="22"/>
        </w:rPr>
      </w:pPr>
      <w:r w:rsidRPr="008D75D5">
        <w:rPr>
          <w:rFonts w:ascii="Arial" w:hAnsi="Arial"/>
          <w:sz w:val="22"/>
        </w:rPr>
        <w:t>Le Comité</w:t>
      </w:r>
    </w:p>
    <w:p w14:paraId="5F1EB030" w14:textId="49CA63BA" w:rsidR="003F4BCF" w:rsidRPr="008D75D5" w:rsidRDefault="00876129" w:rsidP="0029421F">
      <w:pPr>
        <w:pStyle w:val="ListParagraph"/>
        <w:keepNext/>
        <w:keepLines/>
        <w:numPr>
          <w:ilvl w:val="0"/>
          <w:numId w:val="11"/>
        </w:numPr>
        <w:spacing w:before="120" w:after="120"/>
        <w:ind w:left="1134" w:hanging="567"/>
        <w:jc w:val="both"/>
        <w:outlineLvl w:val="1"/>
        <w:rPr>
          <w:rFonts w:ascii="Arial" w:eastAsia="SimSun" w:hAnsi="Arial" w:cs="Angsana New"/>
          <w:sz w:val="22"/>
          <w:szCs w:val="22"/>
        </w:rPr>
      </w:pPr>
      <w:r w:rsidRPr="008D75D5">
        <w:rPr>
          <w:rFonts w:ascii="Arial" w:hAnsi="Arial"/>
          <w:sz w:val="22"/>
          <w:u w:val="single"/>
        </w:rPr>
        <w:t>Prend note</w:t>
      </w:r>
      <w:r w:rsidRPr="008D75D5">
        <w:rPr>
          <w:rFonts w:ascii="Arial" w:hAnsi="Arial"/>
          <w:sz w:val="22"/>
        </w:rPr>
        <w:t xml:space="preserve"> que le Cambodge a proposé la candidature </w:t>
      </w:r>
      <w:r w:rsidRPr="008D75D5">
        <w:rPr>
          <w:rFonts w:ascii="Arial" w:hAnsi="Arial"/>
          <w:b/>
          <w:sz w:val="22"/>
        </w:rPr>
        <w:t xml:space="preserve">du </w:t>
      </w:r>
      <w:proofErr w:type="spellStart"/>
      <w:r w:rsidRPr="008D75D5">
        <w:rPr>
          <w:rFonts w:ascii="Arial" w:hAnsi="Arial"/>
          <w:b/>
          <w:sz w:val="22"/>
        </w:rPr>
        <w:t>lkhon</w:t>
      </w:r>
      <w:proofErr w:type="spellEnd"/>
      <w:r w:rsidRPr="008D75D5">
        <w:rPr>
          <w:rFonts w:ascii="Arial" w:hAnsi="Arial"/>
          <w:b/>
          <w:sz w:val="22"/>
        </w:rPr>
        <w:t xml:space="preserve"> </w:t>
      </w:r>
      <w:proofErr w:type="spellStart"/>
      <w:r w:rsidRPr="008D75D5">
        <w:rPr>
          <w:rFonts w:ascii="Arial" w:hAnsi="Arial"/>
          <w:b/>
          <w:sz w:val="22"/>
        </w:rPr>
        <w:t>khol</w:t>
      </w:r>
      <w:proofErr w:type="spellEnd"/>
      <w:r w:rsidRPr="008D75D5">
        <w:rPr>
          <w:rFonts w:ascii="Arial" w:hAnsi="Arial"/>
          <w:b/>
          <w:sz w:val="22"/>
        </w:rPr>
        <w:t xml:space="preserve"> de Wat </w:t>
      </w:r>
      <w:proofErr w:type="spellStart"/>
      <w:r w:rsidRPr="008D75D5">
        <w:rPr>
          <w:rFonts w:ascii="Arial" w:hAnsi="Arial"/>
          <w:b/>
          <w:sz w:val="22"/>
        </w:rPr>
        <w:t>Svay</w:t>
      </w:r>
      <w:proofErr w:type="spellEnd"/>
      <w:r w:rsidRPr="008D75D5">
        <w:rPr>
          <w:rFonts w:ascii="Arial" w:hAnsi="Arial"/>
          <w:b/>
          <w:sz w:val="22"/>
        </w:rPr>
        <w:t xml:space="preserve"> </w:t>
      </w:r>
      <w:proofErr w:type="spellStart"/>
      <w:r w:rsidRPr="008D75D5">
        <w:rPr>
          <w:rFonts w:ascii="Arial" w:hAnsi="Arial"/>
          <w:b/>
          <w:sz w:val="22"/>
        </w:rPr>
        <w:t>Andet</w:t>
      </w:r>
      <w:proofErr w:type="spellEnd"/>
      <w:r w:rsidRPr="008D75D5">
        <w:rPr>
          <w:rFonts w:ascii="Arial" w:hAnsi="Arial"/>
          <w:sz w:val="22"/>
        </w:rPr>
        <w:t xml:space="preserve"> (n° 01374) pour inscription sur la Liste du patrimoine culturel immatériel nécessitant une sauvegarde urgente :</w:t>
      </w:r>
    </w:p>
    <w:p w14:paraId="375A1D85" w14:textId="0732D3CA" w:rsidR="003F4BCF" w:rsidRPr="00A512DB" w:rsidRDefault="00A512DB" w:rsidP="00A512DB">
      <w:pPr>
        <w:tabs>
          <w:tab w:val="left" w:pos="1134"/>
          <w:tab w:val="left" w:pos="1701"/>
          <w:tab w:val="left" w:pos="2268"/>
        </w:tabs>
        <w:spacing w:before="120" w:after="120"/>
        <w:ind w:left="1134"/>
        <w:jc w:val="both"/>
        <w:rPr>
          <w:rFonts w:ascii="Arial" w:hAnsi="Arial" w:cs="Arial"/>
          <w:sz w:val="22"/>
          <w:szCs w:val="22"/>
        </w:rPr>
      </w:pPr>
      <w:r w:rsidRPr="00A512DB">
        <w:rPr>
          <w:rFonts w:ascii="Arial" w:hAnsi="Arial"/>
          <w:sz w:val="22"/>
        </w:rPr>
        <w:t xml:space="preserve">Le </w:t>
      </w:r>
      <w:proofErr w:type="spellStart"/>
      <w:r w:rsidRPr="00A512DB">
        <w:rPr>
          <w:rFonts w:ascii="Arial" w:hAnsi="Arial"/>
          <w:sz w:val="22"/>
        </w:rPr>
        <w:t>lkhon</w:t>
      </w:r>
      <w:proofErr w:type="spellEnd"/>
      <w:r w:rsidRPr="00A512DB">
        <w:rPr>
          <w:rFonts w:ascii="Arial" w:hAnsi="Arial"/>
          <w:sz w:val="22"/>
        </w:rPr>
        <w:t xml:space="preserve"> </w:t>
      </w:r>
      <w:proofErr w:type="spellStart"/>
      <w:r w:rsidRPr="00A512DB">
        <w:rPr>
          <w:rFonts w:ascii="Arial" w:hAnsi="Arial"/>
          <w:sz w:val="22"/>
        </w:rPr>
        <w:t>khol</w:t>
      </w:r>
      <w:proofErr w:type="spellEnd"/>
      <w:r w:rsidRPr="00A512DB">
        <w:rPr>
          <w:rFonts w:ascii="Arial" w:hAnsi="Arial"/>
          <w:sz w:val="22"/>
        </w:rPr>
        <w:t xml:space="preserve"> de Wat </w:t>
      </w:r>
      <w:proofErr w:type="spellStart"/>
      <w:r w:rsidRPr="00A512DB">
        <w:rPr>
          <w:rFonts w:ascii="Arial" w:hAnsi="Arial"/>
          <w:sz w:val="22"/>
        </w:rPr>
        <w:t>Svay</w:t>
      </w:r>
      <w:proofErr w:type="spellEnd"/>
      <w:r w:rsidRPr="00A512DB">
        <w:rPr>
          <w:rFonts w:ascii="Arial" w:hAnsi="Arial"/>
          <w:sz w:val="22"/>
        </w:rPr>
        <w:t xml:space="preserve"> </w:t>
      </w:r>
      <w:proofErr w:type="spellStart"/>
      <w:r w:rsidRPr="00A512DB">
        <w:rPr>
          <w:rFonts w:ascii="Arial" w:hAnsi="Arial"/>
          <w:sz w:val="22"/>
        </w:rPr>
        <w:t>Andet</w:t>
      </w:r>
      <w:proofErr w:type="spellEnd"/>
      <w:r w:rsidRPr="00A512DB">
        <w:rPr>
          <w:rFonts w:ascii="Arial" w:hAnsi="Arial"/>
          <w:sz w:val="22"/>
        </w:rPr>
        <w:t xml:space="preserve"> est pratiqué par une communauté vivant autour du monastère bouddhiste de </w:t>
      </w:r>
      <w:r w:rsidRPr="00A512DB">
        <w:rPr>
          <w:rFonts w:ascii="Arial" w:hAnsi="Arial"/>
          <w:i/>
          <w:sz w:val="22"/>
        </w:rPr>
        <w:t xml:space="preserve">Wat </w:t>
      </w:r>
      <w:proofErr w:type="spellStart"/>
      <w:r w:rsidRPr="00A512DB">
        <w:rPr>
          <w:rFonts w:ascii="Arial" w:hAnsi="Arial"/>
          <w:i/>
          <w:sz w:val="22"/>
        </w:rPr>
        <w:t>Svay</w:t>
      </w:r>
      <w:proofErr w:type="spellEnd"/>
      <w:r w:rsidRPr="00A512DB">
        <w:rPr>
          <w:rFonts w:ascii="Arial" w:hAnsi="Arial"/>
          <w:i/>
          <w:sz w:val="22"/>
        </w:rPr>
        <w:t xml:space="preserve"> </w:t>
      </w:r>
      <w:proofErr w:type="spellStart"/>
      <w:r w:rsidRPr="00A512DB">
        <w:rPr>
          <w:rFonts w:ascii="Arial" w:hAnsi="Arial"/>
          <w:i/>
          <w:sz w:val="22"/>
        </w:rPr>
        <w:t>Andet</w:t>
      </w:r>
      <w:proofErr w:type="spellEnd"/>
      <w:r w:rsidRPr="00A512DB">
        <w:rPr>
          <w:rFonts w:ascii="Arial" w:hAnsi="Arial"/>
          <w:sz w:val="22"/>
        </w:rPr>
        <w:t xml:space="preserve"> </w:t>
      </w:r>
      <w:r w:rsidR="00637084">
        <w:rPr>
          <w:rFonts w:ascii="Arial" w:hAnsi="Arial"/>
          <w:sz w:val="22"/>
        </w:rPr>
        <w:t>–</w:t>
      </w:r>
      <w:r w:rsidRPr="00A512DB">
        <w:rPr>
          <w:rFonts w:ascii="Arial" w:hAnsi="Arial"/>
          <w:sz w:val="22"/>
        </w:rPr>
        <w:t xml:space="preserve"> situé</w:t>
      </w:r>
      <w:r w:rsidR="00637084">
        <w:rPr>
          <w:rFonts w:ascii="Arial" w:hAnsi="Arial"/>
          <w:sz w:val="22"/>
        </w:rPr>
        <w:t xml:space="preserve"> </w:t>
      </w:r>
      <w:r w:rsidRPr="00A512DB">
        <w:rPr>
          <w:rFonts w:ascii="Arial" w:hAnsi="Arial"/>
          <w:sz w:val="22"/>
        </w:rPr>
        <w:t xml:space="preserve">à 10 km à l’est de Phnom Penh sur le Mékong – et est interprété par des hommes portant des masques, accompagnés d’un orchestre traditionnel et de récitations mélodieuses. Le but </w:t>
      </w:r>
      <w:r w:rsidR="00637084">
        <w:rPr>
          <w:rFonts w:ascii="Arial" w:hAnsi="Arial"/>
          <w:sz w:val="22"/>
        </w:rPr>
        <w:t xml:space="preserve">spécifique </w:t>
      </w:r>
      <w:r w:rsidRPr="00A512DB">
        <w:rPr>
          <w:rFonts w:ascii="Arial" w:hAnsi="Arial"/>
          <w:sz w:val="22"/>
        </w:rPr>
        <w:t xml:space="preserve">est d’attirer les bonnes grâces des </w:t>
      </w:r>
      <w:proofErr w:type="spellStart"/>
      <w:r w:rsidRPr="00A512DB">
        <w:rPr>
          <w:rFonts w:ascii="Arial" w:hAnsi="Arial"/>
          <w:sz w:val="22"/>
        </w:rPr>
        <w:t>Neak</w:t>
      </w:r>
      <w:proofErr w:type="spellEnd"/>
      <w:r w:rsidRPr="00A512DB">
        <w:rPr>
          <w:rFonts w:ascii="Arial" w:hAnsi="Arial"/>
          <w:sz w:val="22"/>
        </w:rPr>
        <w:t xml:space="preserve"> Ta (des esprits gardiens d’un lieu et de ses populations) qui protègent et apportent la prospérité à la communauté, ses terres et ses récoltes. Lorsque le </w:t>
      </w:r>
      <w:proofErr w:type="spellStart"/>
      <w:r w:rsidRPr="00A512DB">
        <w:rPr>
          <w:rFonts w:ascii="Arial" w:hAnsi="Arial"/>
          <w:sz w:val="22"/>
        </w:rPr>
        <w:t>lkhon</w:t>
      </w:r>
      <w:proofErr w:type="spellEnd"/>
      <w:r w:rsidRPr="00A512DB">
        <w:rPr>
          <w:rFonts w:ascii="Arial" w:hAnsi="Arial"/>
          <w:sz w:val="22"/>
        </w:rPr>
        <w:t xml:space="preserve"> </w:t>
      </w:r>
      <w:proofErr w:type="spellStart"/>
      <w:r w:rsidRPr="00A512DB">
        <w:rPr>
          <w:rFonts w:ascii="Arial" w:hAnsi="Arial"/>
          <w:sz w:val="22"/>
        </w:rPr>
        <w:t>khol</w:t>
      </w:r>
      <w:proofErr w:type="spellEnd"/>
      <w:r w:rsidRPr="00A512DB">
        <w:rPr>
          <w:rFonts w:ascii="Arial" w:hAnsi="Arial"/>
          <w:sz w:val="22"/>
        </w:rPr>
        <w:t xml:space="preserve"> est interprété, des mediums sont présents et facilitent l’interaction entre les </w:t>
      </w:r>
      <w:proofErr w:type="spellStart"/>
      <w:r w:rsidRPr="00A512DB">
        <w:rPr>
          <w:rFonts w:ascii="Arial" w:hAnsi="Arial"/>
          <w:sz w:val="22"/>
        </w:rPr>
        <w:t>Neak</w:t>
      </w:r>
      <w:proofErr w:type="spellEnd"/>
      <w:r w:rsidRPr="00A512DB">
        <w:rPr>
          <w:rFonts w:ascii="Arial" w:hAnsi="Arial"/>
          <w:sz w:val="22"/>
        </w:rPr>
        <w:t xml:space="preserve"> Ta, les interprètes et les villageois. Quand les esprits sont satisfaits de la représentation, ils bénissent les villageois, sinon, les danseurs s’interrompent, la musique se poursuit et le public se tait et écoute attentivement les esprits. Le </w:t>
      </w:r>
      <w:proofErr w:type="spellStart"/>
      <w:r w:rsidRPr="00A512DB">
        <w:rPr>
          <w:rFonts w:ascii="Arial" w:hAnsi="Arial"/>
          <w:sz w:val="22"/>
        </w:rPr>
        <w:t>lkhon</w:t>
      </w:r>
      <w:proofErr w:type="spellEnd"/>
      <w:r w:rsidRPr="00A512DB">
        <w:rPr>
          <w:rFonts w:ascii="Arial" w:hAnsi="Arial"/>
          <w:sz w:val="22"/>
        </w:rPr>
        <w:t xml:space="preserve"> </w:t>
      </w:r>
      <w:proofErr w:type="spellStart"/>
      <w:r w:rsidRPr="00A512DB">
        <w:rPr>
          <w:rFonts w:ascii="Arial" w:hAnsi="Arial"/>
          <w:sz w:val="22"/>
        </w:rPr>
        <w:t>khol</w:t>
      </w:r>
      <w:proofErr w:type="spellEnd"/>
      <w:r w:rsidRPr="00A512DB">
        <w:rPr>
          <w:rFonts w:ascii="Arial" w:hAnsi="Arial"/>
          <w:sz w:val="22"/>
        </w:rPr>
        <w:t xml:space="preserve"> est interprété à des fins rituelles, principalement en lien avec le cycle de la culture du riz et les besoins des communautés agricoles. La pratique est transmise </w:t>
      </w:r>
      <w:r w:rsidR="00A92133">
        <w:rPr>
          <w:rFonts w:ascii="Arial" w:hAnsi="Arial"/>
          <w:sz w:val="22"/>
        </w:rPr>
        <w:t>oralement</w:t>
      </w:r>
      <w:r w:rsidRPr="00A512DB">
        <w:rPr>
          <w:rFonts w:ascii="Arial" w:hAnsi="Arial"/>
          <w:sz w:val="22"/>
        </w:rPr>
        <w:t xml:space="preserve"> au sein de la communauté, et le moine supérieur et l’ancien directeur de l’école</w:t>
      </w:r>
      <w:r w:rsidR="003F154F">
        <w:rPr>
          <w:rFonts w:ascii="Arial" w:hAnsi="Arial"/>
          <w:sz w:val="22"/>
        </w:rPr>
        <w:t xml:space="preserve"> primaire</w:t>
      </w:r>
      <w:r w:rsidRPr="00A512DB">
        <w:rPr>
          <w:rFonts w:ascii="Arial" w:hAnsi="Arial"/>
          <w:sz w:val="22"/>
        </w:rPr>
        <w:t xml:space="preserve"> ont récemment mis en place des cours supplémentaires le week-end et ont commencé à transcrire des épisodes choisis. Toutefois, après des générations de transmission, plusieurs facteurs menacent désormais la viabilité de l’élément, notamment des facteurs environnementaux, des ressources insuffisantes, la migration économique de la communauté et une interruption de quatorze années dans la transmission, entre 1970 et 1984, en raison de la guerre et du régime des Khmers rouges.</w:t>
      </w:r>
    </w:p>
    <w:p w14:paraId="172B495E" w14:textId="5D7490F2" w:rsidR="003F4BCF" w:rsidRPr="008D75D5" w:rsidRDefault="00876129" w:rsidP="0029421F">
      <w:pPr>
        <w:pStyle w:val="ListParagraph"/>
        <w:keepNext/>
        <w:numPr>
          <w:ilvl w:val="0"/>
          <w:numId w:val="11"/>
        </w:numPr>
        <w:spacing w:before="120" w:after="120"/>
        <w:ind w:left="1134" w:hanging="567"/>
        <w:jc w:val="both"/>
        <w:outlineLvl w:val="1"/>
        <w:rPr>
          <w:rFonts w:ascii="Arial" w:eastAsia="SimSun" w:hAnsi="Arial" w:cs="Angsana New"/>
          <w:sz w:val="22"/>
          <w:szCs w:val="22"/>
        </w:rPr>
      </w:pPr>
      <w:r w:rsidRPr="008D75D5">
        <w:rPr>
          <w:rFonts w:ascii="Arial" w:hAnsi="Arial"/>
          <w:sz w:val="22"/>
          <w:u w:val="single"/>
        </w:rPr>
        <w:t>Décide</w:t>
      </w:r>
      <w:r w:rsidRPr="008D75D5">
        <w:rPr>
          <w:rFonts w:ascii="Arial" w:hAnsi="Arial"/>
          <w:sz w:val="22"/>
        </w:rPr>
        <w:t xml:space="preserve"> que, d</w:t>
      </w:r>
      <w:r w:rsidR="00A512DB">
        <w:rPr>
          <w:rFonts w:ascii="Arial" w:hAnsi="Arial"/>
          <w:sz w:val="22"/>
        </w:rPr>
        <w:t>’</w:t>
      </w:r>
      <w:r w:rsidRPr="008D75D5">
        <w:rPr>
          <w:rFonts w:ascii="Arial" w:hAnsi="Arial"/>
          <w:sz w:val="22"/>
        </w:rPr>
        <w:t>après l</w:t>
      </w:r>
      <w:r w:rsidR="00A512DB">
        <w:rPr>
          <w:rFonts w:ascii="Arial" w:hAnsi="Arial"/>
          <w:sz w:val="22"/>
        </w:rPr>
        <w:t>’</w:t>
      </w:r>
      <w:r w:rsidRPr="008D75D5">
        <w:rPr>
          <w:rFonts w:ascii="Arial" w:hAnsi="Arial"/>
          <w:sz w:val="22"/>
        </w:rPr>
        <w:t>information contenue dans le dossier, la candidature satisfait aux critères d</w:t>
      </w:r>
      <w:r w:rsidR="00A512DB">
        <w:rPr>
          <w:rFonts w:ascii="Arial" w:hAnsi="Arial"/>
          <w:sz w:val="22"/>
        </w:rPr>
        <w:t>’</w:t>
      </w:r>
      <w:r w:rsidRPr="008D75D5">
        <w:rPr>
          <w:rFonts w:ascii="Arial" w:hAnsi="Arial"/>
          <w:sz w:val="22"/>
        </w:rPr>
        <w:t>inscription sur la Liste du patrimoine culturel immatériel nécessitant une sauvegarde urgente comme suit :</w:t>
      </w:r>
    </w:p>
    <w:p w14:paraId="72AA4AA6" w14:textId="1FDBFFB0" w:rsidR="003F4BCF" w:rsidRPr="008D75D5" w:rsidRDefault="003F4BCF" w:rsidP="003F4BCF">
      <w:pPr>
        <w:tabs>
          <w:tab w:val="left" w:pos="567"/>
          <w:tab w:val="left" w:pos="1134"/>
          <w:tab w:val="left" w:pos="1701"/>
          <w:tab w:val="left" w:pos="2268"/>
        </w:tabs>
        <w:spacing w:before="120" w:after="120"/>
        <w:ind w:left="1701" w:hanging="567"/>
        <w:jc w:val="both"/>
        <w:rPr>
          <w:rFonts w:ascii="Arial" w:hAnsi="Arial" w:cs="Arial"/>
          <w:sz w:val="22"/>
          <w:szCs w:val="22"/>
        </w:rPr>
      </w:pPr>
      <w:r w:rsidRPr="008D75D5">
        <w:rPr>
          <w:rFonts w:ascii="Arial" w:hAnsi="Arial"/>
          <w:sz w:val="22"/>
        </w:rPr>
        <w:t>U.1 :</w:t>
      </w:r>
      <w:r w:rsidRPr="008D75D5">
        <w:tab/>
      </w:r>
      <w:r w:rsidRPr="008D75D5">
        <w:rPr>
          <w:rFonts w:ascii="Arial" w:hAnsi="Arial"/>
          <w:sz w:val="22"/>
        </w:rPr>
        <w:t xml:space="preserve">La pratique rituelle du </w:t>
      </w:r>
      <w:proofErr w:type="spellStart"/>
      <w:r w:rsidRPr="008D75D5">
        <w:rPr>
          <w:rFonts w:ascii="Arial" w:hAnsi="Arial"/>
          <w:sz w:val="22"/>
        </w:rPr>
        <w:t>lkhon</w:t>
      </w:r>
      <w:proofErr w:type="spellEnd"/>
      <w:r w:rsidRPr="008D75D5">
        <w:rPr>
          <w:rFonts w:ascii="Arial" w:hAnsi="Arial"/>
          <w:sz w:val="22"/>
        </w:rPr>
        <w:t xml:space="preserve"> </w:t>
      </w:r>
      <w:proofErr w:type="spellStart"/>
      <w:r w:rsidRPr="008D75D5">
        <w:rPr>
          <w:rFonts w:ascii="Arial" w:hAnsi="Arial"/>
          <w:sz w:val="22"/>
        </w:rPr>
        <w:t>khol</w:t>
      </w:r>
      <w:proofErr w:type="spellEnd"/>
      <w:r w:rsidRPr="008D75D5">
        <w:rPr>
          <w:rFonts w:ascii="Arial" w:hAnsi="Arial"/>
          <w:sz w:val="22"/>
        </w:rPr>
        <w:t xml:space="preserve"> de Wat </w:t>
      </w:r>
      <w:proofErr w:type="spellStart"/>
      <w:r w:rsidRPr="008D75D5">
        <w:rPr>
          <w:rFonts w:ascii="Arial" w:hAnsi="Arial"/>
          <w:sz w:val="22"/>
        </w:rPr>
        <w:t>Svay</w:t>
      </w:r>
      <w:proofErr w:type="spellEnd"/>
      <w:r w:rsidRPr="008D75D5">
        <w:rPr>
          <w:rFonts w:ascii="Arial" w:hAnsi="Arial"/>
          <w:sz w:val="22"/>
        </w:rPr>
        <w:t xml:space="preserve"> </w:t>
      </w:r>
      <w:proofErr w:type="spellStart"/>
      <w:r w:rsidRPr="008D75D5">
        <w:rPr>
          <w:rFonts w:ascii="Arial" w:hAnsi="Arial"/>
          <w:sz w:val="22"/>
        </w:rPr>
        <w:t>Andet</w:t>
      </w:r>
      <w:proofErr w:type="spellEnd"/>
      <w:r w:rsidRPr="008D75D5">
        <w:rPr>
          <w:rFonts w:ascii="Arial" w:hAnsi="Arial"/>
          <w:sz w:val="22"/>
        </w:rPr>
        <w:t xml:space="preserve"> unit la population </w:t>
      </w:r>
      <w:r w:rsidR="003F154F">
        <w:rPr>
          <w:rFonts w:ascii="Arial" w:hAnsi="Arial"/>
          <w:sz w:val="22"/>
        </w:rPr>
        <w:t xml:space="preserve">profane </w:t>
      </w:r>
      <w:r w:rsidRPr="008D75D5">
        <w:rPr>
          <w:rFonts w:ascii="Arial" w:hAnsi="Arial"/>
          <w:sz w:val="22"/>
        </w:rPr>
        <w:t xml:space="preserve">locale des villages de Ta </w:t>
      </w:r>
      <w:proofErr w:type="spellStart"/>
      <w:r w:rsidRPr="008D75D5">
        <w:rPr>
          <w:rFonts w:ascii="Arial" w:hAnsi="Arial"/>
          <w:sz w:val="22"/>
        </w:rPr>
        <w:t>Skor</w:t>
      </w:r>
      <w:proofErr w:type="spellEnd"/>
      <w:r w:rsidRPr="008D75D5">
        <w:rPr>
          <w:rFonts w:ascii="Arial" w:hAnsi="Arial"/>
          <w:sz w:val="22"/>
        </w:rPr>
        <w:t xml:space="preserve"> and </w:t>
      </w:r>
      <w:proofErr w:type="spellStart"/>
      <w:r w:rsidRPr="008D75D5">
        <w:rPr>
          <w:rFonts w:ascii="Arial" w:hAnsi="Arial"/>
          <w:sz w:val="22"/>
        </w:rPr>
        <w:t>Peam</w:t>
      </w:r>
      <w:proofErr w:type="spellEnd"/>
      <w:r w:rsidRPr="008D75D5">
        <w:rPr>
          <w:rFonts w:ascii="Arial" w:hAnsi="Arial"/>
          <w:sz w:val="22"/>
        </w:rPr>
        <w:t xml:space="preserve"> Ta </w:t>
      </w:r>
      <w:proofErr w:type="spellStart"/>
      <w:r w:rsidRPr="008D75D5">
        <w:rPr>
          <w:rFonts w:ascii="Arial" w:hAnsi="Arial"/>
          <w:sz w:val="22"/>
        </w:rPr>
        <w:t>Ek</w:t>
      </w:r>
      <w:proofErr w:type="spellEnd"/>
      <w:r w:rsidRPr="008D75D5">
        <w:rPr>
          <w:rFonts w:ascii="Arial" w:hAnsi="Arial"/>
          <w:sz w:val="22"/>
        </w:rPr>
        <w:t xml:space="preserve"> à la communauté monastique de Wat </w:t>
      </w:r>
      <w:proofErr w:type="spellStart"/>
      <w:r w:rsidRPr="008D75D5">
        <w:rPr>
          <w:rFonts w:ascii="Arial" w:hAnsi="Arial"/>
          <w:sz w:val="22"/>
        </w:rPr>
        <w:t>Svay</w:t>
      </w:r>
      <w:proofErr w:type="spellEnd"/>
      <w:r w:rsidRPr="008D75D5">
        <w:rPr>
          <w:rFonts w:ascii="Arial" w:hAnsi="Arial"/>
          <w:sz w:val="22"/>
        </w:rPr>
        <w:t xml:space="preserve"> </w:t>
      </w:r>
      <w:proofErr w:type="spellStart"/>
      <w:r w:rsidRPr="008D75D5">
        <w:rPr>
          <w:rFonts w:ascii="Arial" w:hAnsi="Arial"/>
          <w:sz w:val="22"/>
        </w:rPr>
        <w:t>Andet</w:t>
      </w:r>
      <w:proofErr w:type="spellEnd"/>
      <w:r w:rsidRPr="008D75D5">
        <w:rPr>
          <w:rFonts w:ascii="Arial" w:hAnsi="Arial"/>
          <w:sz w:val="22"/>
        </w:rPr>
        <w:t>, où elle revêt une signification spirituelle et une pertinence sociale profonde</w:t>
      </w:r>
      <w:r w:rsidR="001E1A0B">
        <w:rPr>
          <w:rFonts w:ascii="Arial" w:hAnsi="Arial"/>
          <w:sz w:val="22"/>
        </w:rPr>
        <w:t>s</w:t>
      </w:r>
      <w:r w:rsidRPr="008D75D5">
        <w:rPr>
          <w:rFonts w:ascii="Arial" w:hAnsi="Arial"/>
          <w:sz w:val="22"/>
        </w:rPr>
        <w:t xml:space="preserve">. Le </w:t>
      </w:r>
      <w:proofErr w:type="spellStart"/>
      <w:r w:rsidRPr="008D75D5">
        <w:rPr>
          <w:rFonts w:ascii="Arial" w:hAnsi="Arial"/>
          <w:sz w:val="22"/>
        </w:rPr>
        <w:t>lkhon</w:t>
      </w:r>
      <w:proofErr w:type="spellEnd"/>
      <w:r w:rsidRPr="008D75D5">
        <w:rPr>
          <w:rFonts w:ascii="Arial" w:hAnsi="Arial"/>
          <w:sz w:val="22"/>
        </w:rPr>
        <w:t xml:space="preserve"> </w:t>
      </w:r>
      <w:proofErr w:type="spellStart"/>
      <w:r w:rsidRPr="008D75D5">
        <w:rPr>
          <w:rFonts w:ascii="Arial" w:hAnsi="Arial"/>
          <w:sz w:val="22"/>
        </w:rPr>
        <w:t>khol</w:t>
      </w:r>
      <w:proofErr w:type="spellEnd"/>
      <w:r w:rsidRPr="008D75D5">
        <w:rPr>
          <w:rFonts w:ascii="Arial" w:hAnsi="Arial"/>
          <w:sz w:val="22"/>
        </w:rPr>
        <w:t xml:space="preserve"> de Wat </w:t>
      </w:r>
      <w:proofErr w:type="spellStart"/>
      <w:r w:rsidRPr="008D75D5">
        <w:rPr>
          <w:rFonts w:ascii="Arial" w:hAnsi="Arial"/>
          <w:sz w:val="22"/>
        </w:rPr>
        <w:t>Svay</w:t>
      </w:r>
      <w:proofErr w:type="spellEnd"/>
      <w:r w:rsidRPr="008D75D5">
        <w:rPr>
          <w:rFonts w:ascii="Arial" w:hAnsi="Arial"/>
          <w:sz w:val="22"/>
        </w:rPr>
        <w:t xml:space="preserve"> </w:t>
      </w:r>
      <w:proofErr w:type="spellStart"/>
      <w:r w:rsidRPr="008D75D5">
        <w:rPr>
          <w:rFonts w:ascii="Arial" w:hAnsi="Arial"/>
          <w:sz w:val="22"/>
        </w:rPr>
        <w:t>Andet</w:t>
      </w:r>
      <w:proofErr w:type="spellEnd"/>
      <w:r w:rsidRPr="008D75D5">
        <w:rPr>
          <w:rFonts w:ascii="Arial" w:hAnsi="Arial"/>
          <w:sz w:val="22"/>
        </w:rPr>
        <w:t xml:space="preserve"> est une prière pour le bonheur et la prospérité, et notamment pour la pluie et une bonne récolte. Elle est également considérée comme un outil puissant pour repousser les catastrophes et les maladies. Comme tous les membres de la communauté contribuent à la réussite de la performance, son existence est réellement collective. Traditionnellement, l</w:t>
      </w:r>
      <w:r w:rsidR="00A512DB">
        <w:rPr>
          <w:rFonts w:ascii="Arial" w:hAnsi="Arial"/>
          <w:sz w:val="22"/>
        </w:rPr>
        <w:t>’</w:t>
      </w:r>
      <w:r w:rsidRPr="008D75D5">
        <w:rPr>
          <w:rFonts w:ascii="Arial" w:hAnsi="Arial"/>
          <w:sz w:val="22"/>
        </w:rPr>
        <w:t>élément est transmis oralement, mais aujourd</w:t>
      </w:r>
      <w:r w:rsidR="00A512DB">
        <w:rPr>
          <w:rFonts w:ascii="Arial" w:hAnsi="Arial"/>
          <w:sz w:val="22"/>
        </w:rPr>
        <w:t>’</w:t>
      </w:r>
      <w:r w:rsidRPr="008D75D5">
        <w:rPr>
          <w:rFonts w:ascii="Arial" w:hAnsi="Arial"/>
          <w:sz w:val="22"/>
        </w:rPr>
        <w:t>hui, des cours supplémentaires qui ont lieu le week-end le renforce</w:t>
      </w:r>
      <w:r w:rsidR="00774C5C" w:rsidRPr="008D75D5">
        <w:rPr>
          <w:rFonts w:ascii="Arial" w:hAnsi="Arial"/>
          <w:sz w:val="22"/>
        </w:rPr>
        <w:t>nt</w:t>
      </w:r>
      <w:r w:rsidR="00A512DB">
        <w:rPr>
          <w:rFonts w:ascii="Arial" w:hAnsi="Arial"/>
          <w:sz w:val="22"/>
        </w:rPr>
        <w:t xml:space="preserve"> également.</w:t>
      </w:r>
    </w:p>
    <w:p w14:paraId="09FEC8A8" w14:textId="5CC36065" w:rsidR="003F4BCF" w:rsidRPr="008D75D5" w:rsidRDefault="003F4BCF" w:rsidP="003F4BCF">
      <w:pPr>
        <w:tabs>
          <w:tab w:val="left" w:pos="567"/>
          <w:tab w:val="left" w:pos="1134"/>
          <w:tab w:val="left" w:pos="1701"/>
          <w:tab w:val="left" w:pos="2268"/>
        </w:tabs>
        <w:spacing w:before="120" w:after="120"/>
        <w:ind w:left="1701" w:hanging="567"/>
        <w:jc w:val="both"/>
        <w:rPr>
          <w:rFonts w:ascii="Arial" w:hAnsi="Arial" w:cs="Arial"/>
          <w:sz w:val="22"/>
          <w:szCs w:val="22"/>
        </w:rPr>
      </w:pPr>
      <w:r w:rsidRPr="008D75D5">
        <w:rPr>
          <w:rFonts w:ascii="Arial" w:hAnsi="Arial"/>
          <w:sz w:val="22"/>
        </w:rPr>
        <w:t>U.2 :</w:t>
      </w:r>
      <w:r w:rsidRPr="008D75D5">
        <w:tab/>
      </w:r>
      <w:r w:rsidRPr="008D75D5">
        <w:rPr>
          <w:rFonts w:ascii="Arial" w:hAnsi="Arial"/>
          <w:sz w:val="22"/>
        </w:rPr>
        <w:t>La viabilité de l</w:t>
      </w:r>
      <w:r w:rsidR="00A512DB">
        <w:rPr>
          <w:rFonts w:ascii="Arial" w:hAnsi="Arial"/>
          <w:sz w:val="22"/>
        </w:rPr>
        <w:t>’</w:t>
      </w:r>
      <w:r w:rsidRPr="008D75D5">
        <w:rPr>
          <w:rFonts w:ascii="Arial" w:hAnsi="Arial"/>
          <w:sz w:val="22"/>
        </w:rPr>
        <w:t>élément a été sérieusement menacée sous le régime</w:t>
      </w:r>
      <w:r w:rsidR="001E1A0B">
        <w:rPr>
          <w:rFonts w:ascii="Arial" w:hAnsi="Arial"/>
          <w:sz w:val="22"/>
        </w:rPr>
        <w:t xml:space="preserve"> des</w:t>
      </w:r>
      <w:r w:rsidRPr="008D75D5">
        <w:rPr>
          <w:rFonts w:ascii="Arial" w:hAnsi="Arial"/>
          <w:sz w:val="22"/>
        </w:rPr>
        <w:t xml:space="preserve"> Khmer</w:t>
      </w:r>
      <w:r w:rsidR="001E1A0B">
        <w:rPr>
          <w:rFonts w:ascii="Arial" w:hAnsi="Arial"/>
          <w:sz w:val="22"/>
        </w:rPr>
        <w:t>s</w:t>
      </w:r>
      <w:r w:rsidRPr="008D75D5">
        <w:rPr>
          <w:rFonts w:ascii="Arial" w:hAnsi="Arial"/>
          <w:sz w:val="22"/>
        </w:rPr>
        <w:t xml:space="preserve"> Rouge</w:t>
      </w:r>
      <w:r w:rsidR="001E1A0B">
        <w:rPr>
          <w:rFonts w:ascii="Arial" w:hAnsi="Arial"/>
          <w:sz w:val="22"/>
        </w:rPr>
        <w:t>s</w:t>
      </w:r>
      <w:r w:rsidRPr="008D75D5">
        <w:rPr>
          <w:rFonts w:ascii="Arial" w:hAnsi="Arial"/>
          <w:sz w:val="22"/>
        </w:rPr>
        <w:t>. Les cinq derniers maître</w:t>
      </w:r>
      <w:r w:rsidR="00774C5C" w:rsidRPr="008D75D5">
        <w:rPr>
          <w:rFonts w:ascii="Arial" w:hAnsi="Arial"/>
          <w:sz w:val="22"/>
        </w:rPr>
        <w:t>s</w:t>
      </w:r>
      <w:r w:rsidRPr="008D75D5">
        <w:rPr>
          <w:rFonts w:ascii="Arial" w:hAnsi="Arial"/>
          <w:sz w:val="22"/>
        </w:rPr>
        <w:t xml:space="preserve"> du </w:t>
      </w:r>
      <w:proofErr w:type="spellStart"/>
      <w:r w:rsidR="00560E41">
        <w:rPr>
          <w:rFonts w:ascii="Arial" w:hAnsi="Arial"/>
          <w:sz w:val="22"/>
        </w:rPr>
        <w:t>l</w:t>
      </w:r>
      <w:r w:rsidR="003A1698">
        <w:rPr>
          <w:rFonts w:ascii="Arial" w:hAnsi="Arial"/>
          <w:sz w:val="22"/>
        </w:rPr>
        <w:t>khon</w:t>
      </w:r>
      <w:proofErr w:type="spellEnd"/>
      <w:r w:rsidR="003A1698">
        <w:rPr>
          <w:rFonts w:ascii="Arial" w:hAnsi="Arial"/>
          <w:sz w:val="22"/>
        </w:rPr>
        <w:t xml:space="preserve"> </w:t>
      </w:r>
      <w:proofErr w:type="spellStart"/>
      <w:r w:rsidR="003A1698">
        <w:rPr>
          <w:rFonts w:ascii="Arial" w:hAnsi="Arial"/>
          <w:sz w:val="22"/>
        </w:rPr>
        <w:t>k</w:t>
      </w:r>
      <w:r w:rsidRPr="008D75D5">
        <w:rPr>
          <w:rFonts w:ascii="Arial" w:hAnsi="Arial"/>
          <w:sz w:val="22"/>
        </w:rPr>
        <w:t>hol</w:t>
      </w:r>
      <w:proofErr w:type="spellEnd"/>
      <w:r w:rsidRPr="008D75D5">
        <w:rPr>
          <w:rFonts w:ascii="Arial" w:hAnsi="Arial"/>
          <w:sz w:val="22"/>
        </w:rPr>
        <w:t xml:space="preserve"> continuent à transmettre leur savoir</w:t>
      </w:r>
      <w:r w:rsidR="001E1A0B">
        <w:rPr>
          <w:rFonts w:ascii="Arial" w:hAnsi="Arial"/>
          <w:sz w:val="22"/>
        </w:rPr>
        <w:t> ;</w:t>
      </w:r>
      <w:r w:rsidRPr="008D75D5">
        <w:rPr>
          <w:rFonts w:ascii="Arial" w:hAnsi="Arial"/>
          <w:sz w:val="22"/>
        </w:rPr>
        <w:t xml:space="preserve"> </w:t>
      </w:r>
      <w:r w:rsidR="001E1A0B">
        <w:rPr>
          <w:rFonts w:ascii="Arial" w:hAnsi="Arial"/>
          <w:sz w:val="22"/>
        </w:rPr>
        <w:t>c</w:t>
      </w:r>
      <w:r w:rsidRPr="008D75D5">
        <w:rPr>
          <w:rFonts w:ascii="Arial" w:hAnsi="Arial"/>
          <w:sz w:val="22"/>
        </w:rPr>
        <w:t>ependant, la majorité d</w:t>
      </w:r>
      <w:r w:rsidR="00A512DB">
        <w:rPr>
          <w:rFonts w:ascii="Arial" w:hAnsi="Arial"/>
          <w:sz w:val="22"/>
        </w:rPr>
        <w:t>’</w:t>
      </w:r>
      <w:r w:rsidRPr="008D75D5">
        <w:rPr>
          <w:rFonts w:ascii="Arial" w:hAnsi="Arial"/>
          <w:sz w:val="22"/>
        </w:rPr>
        <w:t>entre eux sont âgés de plus de 70 ans, et certains sont gravement malades. De plus, comme chaque maître est spécialisé dans la pratique d</w:t>
      </w:r>
      <w:r w:rsidR="00A512DB">
        <w:rPr>
          <w:rFonts w:ascii="Arial" w:hAnsi="Arial"/>
          <w:sz w:val="22"/>
        </w:rPr>
        <w:t>’</w:t>
      </w:r>
      <w:r w:rsidRPr="008D75D5">
        <w:rPr>
          <w:rFonts w:ascii="Arial" w:hAnsi="Arial"/>
          <w:sz w:val="22"/>
        </w:rPr>
        <w:t>un style spécifique, la transmission d</w:t>
      </w:r>
      <w:r w:rsidR="00A512DB">
        <w:rPr>
          <w:rFonts w:ascii="Arial" w:hAnsi="Arial"/>
          <w:sz w:val="22"/>
        </w:rPr>
        <w:t>’</w:t>
      </w:r>
      <w:r w:rsidRPr="008D75D5">
        <w:rPr>
          <w:rFonts w:ascii="Arial" w:hAnsi="Arial"/>
          <w:sz w:val="22"/>
        </w:rPr>
        <w:t>autres rôles est très difficile. Beaucoup d</w:t>
      </w:r>
      <w:r w:rsidR="00A512DB">
        <w:rPr>
          <w:rFonts w:ascii="Arial" w:hAnsi="Arial"/>
          <w:sz w:val="22"/>
        </w:rPr>
        <w:t>’</w:t>
      </w:r>
      <w:r w:rsidRPr="008D75D5">
        <w:rPr>
          <w:rFonts w:ascii="Arial" w:hAnsi="Arial"/>
          <w:sz w:val="22"/>
        </w:rPr>
        <w:t>hommes d</w:t>
      </w:r>
      <w:r w:rsidR="00A512DB">
        <w:rPr>
          <w:rFonts w:ascii="Arial" w:hAnsi="Arial"/>
          <w:sz w:val="22"/>
        </w:rPr>
        <w:t>’</w:t>
      </w:r>
      <w:r w:rsidRPr="008D75D5">
        <w:rPr>
          <w:rFonts w:ascii="Arial" w:hAnsi="Arial"/>
          <w:sz w:val="22"/>
        </w:rPr>
        <w:t>âge productif ont quitté la communauté, qui est aujourd</w:t>
      </w:r>
      <w:r w:rsidR="00A512DB">
        <w:rPr>
          <w:rFonts w:ascii="Arial" w:hAnsi="Arial"/>
          <w:sz w:val="22"/>
        </w:rPr>
        <w:t>’</w:t>
      </w:r>
      <w:r w:rsidRPr="008D75D5">
        <w:rPr>
          <w:rFonts w:ascii="Arial" w:hAnsi="Arial"/>
          <w:sz w:val="22"/>
        </w:rPr>
        <w:t>hui principalement composée de jeunes enfants et de femmes âgé</w:t>
      </w:r>
      <w:r w:rsidR="001E1A0B">
        <w:rPr>
          <w:rFonts w:ascii="Arial" w:hAnsi="Arial"/>
          <w:sz w:val="22"/>
        </w:rPr>
        <w:t>e</w:t>
      </w:r>
      <w:r w:rsidRPr="008D75D5">
        <w:rPr>
          <w:rFonts w:ascii="Arial" w:hAnsi="Arial"/>
          <w:sz w:val="22"/>
        </w:rPr>
        <w:t>s. La situation socio-économique de la communauté impacte aussi directement la capacité des gens à consacrer du temps et des ressources à perpét</w:t>
      </w:r>
      <w:r w:rsidR="001E1A0B">
        <w:rPr>
          <w:rFonts w:ascii="Arial" w:hAnsi="Arial"/>
          <w:sz w:val="22"/>
        </w:rPr>
        <w:t>u</w:t>
      </w:r>
      <w:r w:rsidRPr="008D75D5">
        <w:rPr>
          <w:rFonts w:ascii="Arial" w:hAnsi="Arial"/>
          <w:sz w:val="22"/>
        </w:rPr>
        <w:t>er cette tradition. La communauté s</w:t>
      </w:r>
      <w:r w:rsidR="00A512DB">
        <w:rPr>
          <w:rFonts w:ascii="Arial" w:hAnsi="Arial"/>
          <w:sz w:val="22"/>
        </w:rPr>
        <w:t>’</w:t>
      </w:r>
      <w:r w:rsidRPr="008D75D5">
        <w:rPr>
          <w:rFonts w:ascii="Arial" w:hAnsi="Arial"/>
          <w:sz w:val="22"/>
        </w:rPr>
        <w:t>efforce de maintenir la fonction sociale du rituel, d</w:t>
      </w:r>
      <w:r w:rsidR="00A512DB">
        <w:rPr>
          <w:rFonts w:ascii="Arial" w:hAnsi="Arial"/>
          <w:sz w:val="22"/>
        </w:rPr>
        <w:t>’</w:t>
      </w:r>
      <w:r w:rsidRPr="008D75D5">
        <w:rPr>
          <w:rFonts w:ascii="Arial" w:hAnsi="Arial"/>
          <w:sz w:val="22"/>
        </w:rPr>
        <w:t>éviter sa commercialisation et sa pratique pour des profits économiques, ce qui rend difficile l</w:t>
      </w:r>
      <w:r w:rsidR="00A512DB">
        <w:rPr>
          <w:rFonts w:ascii="Arial" w:hAnsi="Arial"/>
          <w:sz w:val="22"/>
        </w:rPr>
        <w:t>’</w:t>
      </w:r>
      <w:r w:rsidRPr="008D75D5">
        <w:rPr>
          <w:rFonts w:ascii="Arial" w:hAnsi="Arial"/>
          <w:sz w:val="22"/>
        </w:rPr>
        <w:t>acquisition de nouveaux costumes</w:t>
      </w:r>
      <w:r w:rsidR="001E1A0B">
        <w:rPr>
          <w:rFonts w:ascii="Arial" w:hAnsi="Arial"/>
          <w:sz w:val="22"/>
        </w:rPr>
        <w:t>, de nouveaux</w:t>
      </w:r>
      <w:r w:rsidRPr="008D75D5">
        <w:rPr>
          <w:rFonts w:ascii="Arial" w:hAnsi="Arial"/>
          <w:sz w:val="22"/>
        </w:rPr>
        <w:t xml:space="preserve"> masques et d</w:t>
      </w:r>
      <w:r w:rsidR="00A512DB">
        <w:rPr>
          <w:rFonts w:ascii="Arial" w:hAnsi="Arial"/>
          <w:sz w:val="22"/>
        </w:rPr>
        <w:t>’</w:t>
      </w:r>
      <w:r w:rsidRPr="008D75D5">
        <w:rPr>
          <w:rFonts w:ascii="Arial" w:hAnsi="Arial"/>
          <w:sz w:val="22"/>
        </w:rPr>
        <w:t xml:space="preserve">un </w:t>
      </w:r>
      <w:r w:rsidR="00A512DB">
        <w:rPr>
          <w:rFonts w:ascii="Arial" w:hAnsi="Arial"/>
          <w:sz w:val="22"/>
        </w:rPr>
        <w:t>nouveau lieu de représentation.</w:t>
      </w:r>
    </w:p>
    <w:p w14:paraId="0E647C5F" w14:textId="0D5B4542" w:rsidR="003F4BCF" w:rsidRPr="008D75D5" w:rsidRDefault="003F4BCF" w:rsidP="003F4BCF">
      <w:pPr>
        <w:tabs>
          <w:tab w:val="left" w:pos="567"/>
          <w:tab w:val="left" w:pos="1134"/>
          <w:tab w:val="left" w:pos="1701"/>
          <w:tab w:val="left" w:pos="2268"/>
        </w:tabs>
        <w:spacing w:before="120" w:after="120"/>
        <w:ind w:left="1701" w:hanging="567"/>
        <w:jc w:val="both"/>
        <w:rPr>
          <w:rFonts w:ascii="Arial" w:hAnsi="Arial" w:cs="Arial"/>
          <w:sz w:val="22"/>
          <w:szCs w:val="22"/>
        </w:rPr>
      </w:pPr>
      <w:r w:rsidRPr="008D75D5">
        <w:rPr>
          <w:rFonts w:ascii="Arial" w:hAnsi="Arial"/>
          <w:sz w:val="22"/>
        </w:rPr>
        <w:lastRenderedPageBreak/>
        <w:t>U.4 :</w:t>
      </w:r>
      <w:r w:rsidRPr="008D75D5">
        <w:tab/>
      </w:r>
      <w:r w:rsidRPr="008D75D5">
        <w:rPr>
          <w:rFonts w:ascii="Arial" w:hAnsi="Arial"/>
          <w:sz w:val="22"/>
        </w:rPr>
        <w:t xml:space="preserve">Le Ministère de la culture et des </w:t>
      </w:r>
      <w:r w:rsidR="008D75D5" w:rsidRPr="008D75D5">
        <w:rPr>
          <w:rFonts w:ascii="Arial" w:hAnsi="Arial"/>
          <w:sz w:val="22"/>
        </w:rPr>
        <w:t>beaux-arts</w:t>
      </w:r>
      <w:r w:rsidRPr="008D75D5">
        <w:rPr>
          <w:rFonts w:ascii="Arial" w:hAnsi="Arial"/>
          <w:sz w:val="22"/>
        </w:rPr>
        <w:t xml:space="preserve"> a créé un groupe de travail pour coopérer avec la communauté locale pendant la préparation du dossier de candidature. Une équipe de recherche a entamé des consultations </w:t>
      </w:r>
      <w:r w:rsidR="00BF38CF">
        <w:rPr>
          <w:rFonts w:ascii="Arial" w:hAnsi="Arial"/>
          <w:sz w:val="22"/>
        </w:rPr>
        <w:t>étroites</w:t>
      </w:r>
      <w:r w:rsidR="00BF38CF" w:rsidRPr="008D75D5">
        <w:rPr>
          <w:rFonts w:ascii="Arial" w:hAnsi="Arial"/>
          <w:sz w:val="22"/>
        </w:rPr>
        <w:t xml:space="preserve"> </w:t>
      </w:r>
      <w:r w:rsidRPr="008D75D5">
        <w:rPr>
          <w:rFonts w:ascii="Arial" w:hAnsi="Arial"/>
          <w:sz w:val="22"/>
        </w:rPr>
        <w:t xml:space="preserve">et inclusives avec la communauté de Wat </w:t>
      </w:r>
      <w:proofErr w:type="spellStart"/>
      <w:r w:rsidRPr="008D75D5">
        <w:rPr>
          <w:rFonts w:ascii="Arial" w:hAnsi="Arial"/>
          <w:sz w:val="22"/>
        </w:rPr>
        <w:t>Svay</w:t>
      </w:r>
      <w:proofErr w:type="spellEnd"/>
      <w:r w:rsidRPr="008D75D5">
        <w:rPr>
          <w:rFonts w:ascii="Arial" w:hAnsi="Arial"/>
          <w:sz w:val="22"/>
        </w:rPr>
        <w:t xml:space="preserve"> </w:t>
      </w:r>
      <w:proofErr w:type="spellStart"/>
      <w:r w:rsidRPr="008D75D5">
        <w:rPr>
          <w:rFonts w:ascii="Arial" w:hAnsi="Arial"/>
          <w:sz w:val="22"/>
        </w:rPr>
        <w:t>Andet</w:t>
      </w:r>
      <w:proofErr w:type="spellEnd"/>
      <w:r w:rsidRPr="008D75D5">
        <w:rPr>
          <w:rFonts w:ascii="Arial" w:hAnsi="Arial"/>
          <w:sz w:val="22"/>
        </w:rPr>
        <w:t xml:space="preserve"> et les représentants du </w:t>
      </w:r>
      <w:proofErr w:type="spellStart"/>
      <w:r w:rsidR="00BF38CF">
        <w:rPr>
          <w:rFonts w:ascii="Arial" w:hAnsi="Arial"/>
          <w:sz w:val="22"/>
        </w:rPr>
        <w:t>l</w:t>
      </w:r>
      <w:r w:rsidR="003A1698">
        <w:rPr>
          <w:rFonts w:ascii="Arial" w:hAnsi="Arial"/>
          <w:sz w:val="22"/>
        </w:rPr>
        <w:t>khon</w:t>
      </w:r>
      <w:proofErr w:type="spellEnd"/>
      <w:r w:rsidR="003A1698">
        <w:rPr>
          <w:rFonts w:ascii="Arial" w:hAnsi="Arial"/>
          <w:sz w:val="22"/>
        </w:rPr>
        <w:t xml:space="preserve"> </w:t>
      </w:r>
      <w:proofErr w:type="spellStart"/>
      <w:r w:rsidR="003A1698">
        <w:rPr>
          <w:rFonts w:ascii="Arial" w:hAnsi="Arial"/>
          <w:sz w:val="22"/>
        </w:rPr>
        <w:t>k</w:t>
      </w:r>
      <w:r w:rsidRPr="008D75D5">
        <w:rPr>
          <w:rFonts w:ascii="Arial" w:hAnsi="Arial"/>
          <w:sz w:val="22"/>
        </w:rPr>
        <w:t>hol</w:t>
      </w:r>
      <w:proofErr w:type="spellEnd"/>
      <w:r w:rsidRPr="008D75D5">
        <w:rPr>
          <w:rFonts w:ascii="Arial" w:hAnsi="Arial"/>
          <w:sz w:val="22"/>
        </w:rPr>
        <w:t xml:space="preserve">. Des représentants de la communauté, des maîtres artistes choisis, le moine </w:t>
      </w:r>
      <w:r w:rsidR="00BF38CF">
        <w:rPr>
          <w:rFonts w:ascii="Arial" w:hAnsi="Arial"/>
          <w:sz w:val="22"/>
        </w:rPr>
        <w:t>supérieur</w:t>
      </w:r>
      <w:r w:rsidR="00BF38CF" w:rsidRPr="008D75D5">
        <w:rPr>
          <w:rFonts w:ascii="Arial" w:hAnsi="Arial"/>
          <w:sz w:val="22"/>
        </w:rPr>
        <w:t xml:space="preserve"> </w:t>
      </w:r>
      <w:r w:rsidRPr="008D75D5">
        <w:rPr>
          <w:rFonts w:ascii="Arial" w:hAnsi="Arial"/>
          <w:sz w:val="22"/>
        </w:rPr>
        <w:t xml:space="preserve">de Wat </w:t>
      </w:r>
      <w:proofErr w:type="spellStart"/>
      <w:r w:rsidRPr="008D75D5">
        <w:rPr>
          <w:rFonts w:ascii="Arial" w:hAnsi="Arial"/>
          <w:sz w:val="22"/>
        </w:rPr>
        <w:t>Svay</w:t>
      </w:r>
      <w:proofErr w:type="spellEnd"/>
      <w:r w:rsidRPr="008D75D5">
        <w:rPr>
          <w:rFonts w:ascii="Arial" w:hAnsi="Arial"/>
          <w:sz w:val="22"/>
        </w:rPr>
        <w:t xml:space="preserve"> </w:t>
      </w:r>
      <w:proofErr w:type="spellStart"/>
      <w:r w:rsidRPr="008D75D5">
        <w:rPr>
          <w:rFonts w:ascii="Arial" w:hAnsi="Arial"/>
          <w:sz w:val="22"/>
        </w:rPr>
        <w:t>Andet</w:t>
      </w:r>
      <w:proofErr w:type="spellEnd"/>
      <w:r w:rsidRPr="008D75D5">
        <w:rPr>
          <w:rFonts w:ascii="Arial" w:hAnsi="Arial"/>
          <w:sz w:val="22"/>
        </w:rPr>
        <w:t xml:space="preserve"> et le gestionnaire du </w:t>
      </w:r>
      <w:proofErr w:type="spellStart"/>
      <w:r w:rsidR="00560E41">
        <w:rPr>
          <w:rFonts w:ascii="Arial" w:hAnsi="Arial"/>
          <w:sz w:val="22"/>
        </w:rPr>
        <w:t>l</w:t>
      </w:r>
      <w:r w:rsidRPr="008D75D5">
        <w:rPr>
          <w:rFonts w:ascii="Arial" w:hAnsi="Arial"/>
          <w:sz w:val="22"/>
        </w:rPr>
        <w:t>khon</w:t>
      </w:r>
      <w:proofErr w:type="spellEnd"/>
      <w:r w:rsidRPr="008D75D5">
        <w:rPr>
          <w:rFonts w:ascii="Arial" w:hAnsi="Arial"/>
          <w:sz w:val="22"/>
        </w:rPr>
        <w:t xml:space="preserve"> </w:t>
      </w:r>
      <w:proofErr w:type="spellStart"/>
      <w:r w:rsidR="003A1698">
        <w:rPr>
          <w:rFonts w:ascii="Arial" w:hAnsi="Arial"/>
          <w:sz w:val="22"/>
        </w:rPr>
        <w:t>k</w:t>
      </w:r>
      <w:r w:rsidRPr="008D75D5">
        <w:rPr>
          <w:rFonts w:ascii="Arial" w:hAnsi="Arial"/>
          <w:sz w:val="22"/>
        </w:rPr>
        <w:t>hol</w:t>
      </w:r>
      <w:proofErr w:type="spellEnd"/>
      <w:r w:rsidRPr="008D75D5">
        <w:rPr>
          <w:rFonts w:ascii="Arial" w:hAnsi="Arial"/>
          <w:sz w:val="22"/>
        </w:rPr>
        <w:t xml:space="preserve"> de Wat </w:t>
      </w:r>
      <w:proofErr w:type="spellStart"/>
      <w:r w:rsidRPr="008D75D5">
        <w:rPr>
          <w:rFonts w:ascii="Arial" w:hAnsi="Arial"/>
          <w:sz w:val="22"/>
        </w:rPr>
        <w:t>Svay</w:t>
      </w:r>
      <w:proofErr w:type="spellEnd"/>
      <w:r w:rsidRPr="008D75D5">
        <w:rPr>
          <w:rFonts w:ascii="Arial" w:hAnsi="Arial"/>
          <w:sz w:val="22"/>
        </w:rPr>
        <w:t xml:space="preserve"> </w:t>
      </w:r>
      <w:proofErr w:type="spellStart"/>
      <w:r w:rsidRPr="008D75D5">
        <w:rPr>
          <w:rFonts w:ascii="Arial" w:hAnsi="Arial"/>
          <w:sz w:val="22"/>
        </w:rPr>
        <w:t>Andet</w:t>
      </w:r>
      <w:proofErr w:type="spellEnd"/>
      <w:r w:rsidRPr="008D75D5">
        <w:rPr>
          <w:rFonts w:ascii="Arial" w:hAnsi="Arial"/>
          <w:sz w:val="22"/>
        </w:rPr>
        <w:t xml:space="preserve"> ont tous donné leur c</w:t>
      </w:r>
      <w:r w:rsidR="00A512DB">
        <w:rPr>
          <w:rFonts w:ascii="Arial" w:hAnsi="Arial"/>
          <w:sz w:val="22"/>
        </w:rPr>
        <w:t>onsentement</w:t>
      </w:r>
      <w:r w:rsidR="00BF38CF">
        <w:rPr>
          <w:rFonts w:ascii="Arial" w:hAnsi="Arial"/>
          <w:sz w:val="22"/>
        </w:rPr>
        <w:t xml:space="preserve"> libre, préalable et</w:t>
      </w:r>
      <w:r w:rsidR="00A512DB">
        <w:rPr>
          <w:rFonts w:ascii="Arial" w:hAnsi="Arial"/>
          <w:sz w:val="22"/>
        </w:rPr>
        <w:t xml:space="preserve"> éclairé.</w:t>
      </w:r>
    </w:p>
    <w:p w14:paraId="400409D9" w14:textId="512B8A54" w:rsidR="003F4BCF" w:rsidRPr="008D75D5" w:rsidRDefault="003F4BCF" w:rsidP="003F4BCF">
      <w:pPr>
        <w:tabs>
          <w:tab w:val="left" w:pos="567"/>
          <w:tab w:val="left" w:pos="1134"/>
          <w:tab w:val="left" w:pos="1701"/>
          <w:tab w:val="left" w:pos="2268"/>
        </w:tabs>
        <w:spacing w:before="120" w:after="120"/>
        <w:ind w:left="1701" w:hanging="567"/>
        <w:jc w:val="both"/>
        <w:rPr>
          <w:rFonts w:ascii="Arial" w:hAnsi="Arial" w:cs="Arial"/>
          <w:sz w:val="22"/>
          <w:szCs w:val="22"/>
        </w:rPr>
      </w:pPr>
      <w:r w:rsidRPr="008D75D5">
        <w:rPr>
          <w:rFonts w:ascii="Arial" w:hAnsi="Arial"/>
          <w:sz w:val="22"/>
        </w:rPr>
        <w:t>U.5 :</w:t>
      </w:r>
      <w:r w:rsidRPr="008D75D5">
        <w:tab/>
      </w:r>
      <w:r w:rsidRPr="008D75D5">
        <w:rPr>
          <w:rFonts w:ascii="Arial" w:hAnsi="Arial"/>
          <w:sz w:val="22"/>
        </w:rPr>
        <w:t>L</w:t>
      </w:r>
      <w:r w:rsidR="00A512DB">
        <w:rPr>
          <w:rFonts w:ascii="Arial" w:hAnsi="Arial"/>
          <w:sz w:val="22"/>
        </w:rPr>
        <w:t>’</w:t>
      </w:r>
      <w:r w:rsidRPr="008D75D5">
        <w:rPr>
          <w:rFonts w:ascii="Arial" w:hAnsi="Arial"/>
          <w:sz w:val="22"/>
        </w:rPr>
        <w:t>élément est inclus dans l</w:t>
      </w:r>
      <w:r w:rsidR="00A512DB">
        <w:rPr>
          <w:rFonts w:ascii="Arial" w:hAnsi="Arial"/>
          <w:sz w:val="22"/>
        </w:rPr>
        <w:t>’</w:t>
      </w:r>
      <w:r w:rsidRPr="008D75D5">
        <w:rPr>
          <w:rFonts w:ascii="Arial" w:hAnsi="Arial"/>
          <w:sz w:val="22"/>
        </w:rPr>
        <w:t>inventaire du patrimoine culturel immatériel du Cambodge depuis 2004, et l</w:t>
      </w:r>
      <w:r w:rsidR="00A512DB">
        <w:rPr>
          <w:rFonts w:ascii="Arial" w:hAnsi="Arial"/>
          <w:sz w:val="22"/>
        </w:rPr>
        <w:t>’</w:t>
      </w:r>
      <w:r w:rsidRPr="008D75D5">
        <w:rPr>
          <w:rFonts w:ascii="Arial" w:hAnsi="Arial"/>
          <w:sz w:val="22"/>
        </w:rPr>
        <w:t>entrée a été mise à jour pour la dernière fois en 2016. L</w:t>
      </w:r>
      <w:r w:rsidR="00A512DB">
        <w:rPr>
          <w:rFonts w:ascii="Arial" w:hAnsi="Arial"/>
          <w:sz w:val="22"/>
        </w:rPr>
        <w:t>’</w:t>
      </w:r>
      <w:r w:rsidRPr="008D75D5">
        <w:rPr>
          <w:rFonts w:ascii="Arial" w:hAnsi="Arial"/>
          <w:sz w:val="22"/>
        </w:rPr>
        <w:t xml:space="preserve">inventaire est mis à jour régulièrement par la Direction générale des techniques des affaires culturelles du </w:t>
      </w:r>
      <w:r w:rsidR="00BF38CF">
        <w:rPr>
          <w:rFonts w:ascii="Arial" w:hAnsi="Arial"/>
          <w:sz w:val="22"/>
        </w:rPr>
        <w:t>M</w:t>
      </w:r>
      <w:r w:rsidRPr="008D75D5">
        <w:rPr>
          <w:rFonts w:ascii="Arial" w:hAnsi="Arial"/>
          <w:sz w:val="22"/>
        </w:rPr>
        <w:t xml:space="preserve">inistère de la </w:t>
      </w:r>
      <w:r w:rsidR="00BF38CF">
        <w:rPr>
          <w:rFonts w:ascii="Arial" w:hAnsi="Arial"/>
          <w:sz w:val="22"/>
        </w:rPr>
        <w:t>c</w:t>
      </w:r>
      <w:r w:rsidRPr="008D75D5">
        <w:rPr>
          <w:rFonts w:ascii="Arial" w:hAnsi="Arial"/>
          <w:sz w:val="22"/>
        </w:rPr>
        <w:t xml:space="preserve">ulture et des </w:t>
      </w:r>
      <w:r w:rsidR="008D75D5" w:rsidRPr="008D75D5">
        <w:rPr>
          <w:rFonts w:ascii="Arial" w:hAnsi="Arial"/>
          <w:sz w:val="22"/>
        </w:rPr>
        <w:t>beaux-arts</w:t>
      </w:r>
      <w:r w:rsidRPr="008D75D5">
        <w:rPr>
          <w:rFonts w:ascii="Arial" w:hAnsi="Arial"/>
          <w:sz w:val="22"/>
        </w:rPr>
        <w:t xml:space="preserve"> du Cambodge, sur la base des informations fournies par les représentants des </w:t>
      </w:r>
      <w:r w:rsidR="00BF38CF">
        <w:rPr>
          <w:rFonts w:ascii="Arial" w:hAnsi="Arial"/>
          <w:sz w:val="22"/>
        </w:rPr>
        <w:t>s</w:t>
      </w:r>
      <w:r w:rsidRPr="008D75D5">
        <w:rPr>
          <w:rFonts w:ascii="Arial" w:hAnsi="Arial"/>
          <w:sz w:val="22"/>
        </w:rPr>
        <w:t xml:space="preserve">ervices provinciaux pour la culture et les </w:t>
      </w:r>
      <w:r w:rsidR="008D75D5" w:rsidRPr="008D75D5">
        <w:rPr>
          <w:rFonts w:ascii="Arial" w:hAnsi="Arial"/>
          <w:sz w:val="22"/>
        </w:rPr>
        <w:t>beaux-arts</w:t>
      </w:r>
      <w:r w:rsidRPr="008D75D5">
        <w:rPr>
          <w:rFonts w:ascii="Arial" w:hAnsi="Arial"/>
          <w:sz w:val="22"/>
        </w:rPr>
        <w:t>, des communautés et des ONG. Les membres des communautés locales, y compris les moines, ont collaboré avec les chercheurs à l</w:t>
      </w:r>
      <w:r w:rsidR="00A512DB">
        <w:rPr>
          <w:rFonts w:ascii="Arial" w:hAnsi="Arial"/>
          <w:sz w:val="22"/>
        </w:rPr>
        <w:t>’</w:t>
      </w:r>
      <w:r w:rsidRPr="008D75D5">
        <w:rPr>
          <w:rFonts w:ascii="Arial" w:hAnsi="Arial"/>
          <w:sz w:val="22"/>
        </w:rPr>
        <w:t>identification et au processus d</w:t>
      </w:r>
      <w:r w:rsidR="00A512DB">
        <w:rPr>
          <w:rFonts w:ascii="Arial" w:hAnsi="Arial"/>
          <w:sz w:val="22"/>
        </w:rPr>
        <w:t>’</w:t>
      </w:r>
      <w:r w:rsidRPr="008D75D5">
        <w:rPr>
          <w:rFonts w:ascii="Arial" w:hAnsi="Arial"/>
          <w:sz w:val="22"/>
        </w:rPr>
        <w:t>i</w:t>
      </w:r>
      <w:r w:rsidR="00A512DB">
        <w:rPr>
          <w:rFonts w:ascii="Arial" w:hAnsi="Arial"/>
          <w:sz w:val="22"/>
        </w:rPr>
        <w:t>nventaire.</w:t>
      </w:r>
    </w:p>
    <w:p w14:paraId="75FAB2A7" w14:textId="08486148" w:rsidR="003F4BCF" w:rsidRPr="008D75D5" w:rsidRDefault="00876129" w:rsidP="0029421F">
      <w:pPr>
        <w:pStyle w:val="ListParagraph"/>
        <w:numPr>
          <w:ilvl w:val="0"/>
          <w:numId w:val="11"/>
        </w:numPr>
        <w:spacing w:before="120" w:after="120"/>
        <w:ind w:left="1134" w:hanging="567"/>
        <w:jc w:val="both"/>
        <w:outlineLvl w:val="1"/>
        <w:rPr>
          <w:rFonts w:ascii="Arial" w:eastAsia="SimSun" w:hAnsi="Arial" w:cs="Angsana New"/>
          <w:sz w:val="22"/>
          <w:szCs w:val="22"/>
        </w:rPr>
      </w:pPr>
      <w:r w:rsidRPr="008D75D5">
        <w:rPr>
          <w:rFonts w:ascii="Arial" w:hAnsi="Arial"/>
          <w:sz w:val="22"/>
          <w:u w:val="single"/>
        </w:rPr>
        <w:t>Décide en outre</w:t>
      </w:r>
      <w:r w:rsidRPr="008D75D5">
        <w:rPr>
          <w:rFonts w:ascii="Arial" w:hAnsi="Arial"/>
          <w:sz w:val="22"/>
        </w:rPr>
        <w:t xml:space="preserve"> que l</w:t>
      </w:r>
      <w:r w:rsidR="00A512DB">
        <w:rPr>
          <w:rFonts w:ascii="Arial" w:hAnsi="Arial"/>
          <w:sz w:val="22"/>
        </w:rPr>
        <w:t>’</w:t>
      </w:r>
      <w:r w:rsidRPr="008D75D5">
        <w:rPr>
          <w:rFonts w:ascii="Arial" w:hAnsi="Arial"/>
          <w:sz w:val="22"/>
        </w:rPr>
        <w:t>information contenue dans le dossier de candidature n</w:t>
      </w:r>
      <w:r w:rsidR="00A512DB">
        <w:rPr>
          <w:rFonts w:ascii="Arial" w:hAnsi="Arial"/>
          <w:sz w:val="22"/>
        </w:rPr>
        <w:t>’</w:t>
      </w:r>
      <w:r w:rsidRPr="008D75D5">
        <w:rPr>
          <w:rFonts w:ascii="Arial" w:hAnsi="Arial"/>
          <w:sz w:val="22"/>
        </w:rPr>
        <w:t>est pas suffisante pour permettre au Comité de déterminer si le critère d</w:t>
      </w:r>
      <w:r w:rsidR="00A512DB">
        <w:rPr>
          <w:rFonts w:ascii="Arial" w:hAnsi="Arial"/>
          <w:sz w:val="22"/>
        </w:rPr>
        <w:t>’</w:t>
      </w:r>
      <w:r w:rsidRPr="008D75D5">
        <w:rPr>
          <w:rFonts w:ascii="Arial" w:hAnsi="Arial"/>
          <w:sz w:val="22"/>
        </w:rPr>
        <w:t>inscription sur la Liste du patrimoine culturel immatériel nécessitant une sauvegarde urgente suivant est satisfait :</w:t>
      </w:r>
    </w:p>
    <w:p w14:paraId="2DA4B54B" w14:textId="013E652C" w:rsidR="003F4BCF" w:rsidRPr="008D75D5" w:rsidRDefault="003F4BCF" w:rsidP="003F4BCF">
      <w:pPr>
        <w:tabs>
          <w:tab w:val="left" w:pos="567"/>
          <w:tab w:val="left" w:pos="1134"/>
          <w:tab w:val="left" w:pos="1701"/>
          <w:tab w:val="left" w:pos="2268"/>
        </w:tabs>
        <w:spacing w:before="120" w:after="120"/>
        <w:ind w:left="1701" w:hanging="567"/>
        <w:jc w:val="both"/>
        <w:rPr>
          <w:rFonts w:ascii="Arial" w:hAnsi="Arial" w:cs="Arial"/>
          <w:bCs/>
          <w:sz w:val="22"/>
          <w:szCs w:val="22"/>
        </w:rPr>
      </w:pPr>
      <w:r w:rsidRPr="008D75D5">
        <w:rPr>
          <w:rFonts w:ascii="Arial" w:hAnsi="Arial"/>
          <w:sz w:val="22"/>
        </w:rPr>
        <w:t>U.3 :</w:t>
      </w:r>
      <w:r w:rsidRPr="008D75D5">
        <w:tab/>
      </w:r>
      <w:r w:rsidRPr="008D75D5">
        <w:rPr>
          <w:rFonts w:ascii="Arial" w:hAnsi="Arial"/>
          <w:sz w:val="22"/>
        </w:rPr>
        <w:t xml:space="preserve">Structuré de façon claire, le </w:t>
      </w:r>
      <w:r w:rsidR="00BF38CF">
        <w:rPr>
          <w:rFonts w:ascii="Arial" w:hAnsi="Arial"/>
          <w:sz w:val="22"/>
        </w:rPr>
        <w:t>plan</w:t>
      </w:r>
      <w:r w:rsidR="00BF38CF" w:rsidRPr="008D75D5">
        <w:rPr>
          <w:rFonts w:ascii="Arial" w:hAnsi="Arial"/>
          <w:sz w:val="22"/>
        </w:rPr>
        <w:t xml:space="preserve"> </w:t>
      </w:r>
      <w:r w:rsidRPr="008D75D5">
        <w:rPr>
          <w:rFonts w:ascii="Arial" w:hAnsi="Arial"/>
          <w:sz w:val="22"/>
        </w:rPr>
        <w:t>de sauvegarde est axé sur la participation des communautés, et les mesures de sauvegarde se concentrent sur l</w:t>
      </w:r>
      <w:r w:rsidR="00A512DB">
        <w:rPr>
          <w:rFonts w:ascii="Arial" w:hAnsi="Arial"/>
          <w:sz w:val="22"/>
        </w:rPr>
        <w:t>’</w:t>
      </w:r>
      <w:r w:rsidRPr="008D75D5">
        <w:rPr>
          <w:rFonts w:ascii="Arial" w:hAnsi="Arial"/>
          <w:sz w:val="22"/>
        </w:rPr>
        <w:t xml:space="preserve">augmentation des opportunités de </w:t>
      </w:r>
      <w:r w:rsidR="003A1698">
        <w:rPr>
          <w:rFonts w:ascii="Arial" w:hAnsi="Arial"/>
          <w:sz w:val="22"/>
        </w:rPr>
        <w:t>représentations</w:t>
      </w:r>
      <w:r w:rsidRPr="008D75D5">
        <w:rPr>
          <w:rFonts w:ascii="Arial" w:hAnsi="Arial"/>
          <w:sz w:val="22"/>
        </w:rPr>
        <w:t>, la sensibilisation du public, et surtout, sur l</w:t>
      </w:r>
      <w:r w:rsidR="00A512DB">
        <w:rPr>
          <w:rFonts w:ascii="Arial" w:hAnsi="Arial"/>
          <w:sz w:val="22"/>
        </w:rPr>
        <w:t>’</w:t>
      </w:r>
      <w:r w:rsidRPr="008D75D5">
        <w:rPr>
          <w:rFonts w:ascii="Arial" w:hAnsi="Arial"/>
          <w:sz w:val="22"/>
        </w:rPr>
        <w:t>intensification de la transmission et l</w:t>
      </w:r>
      <w:r w:rsidR="00A512DB">
        <w:rPr>
          <w:rFonts w:ascii="Arial" w:hAnsi="Arial"/>
          <w:sz w:val="22"/>
        </w:rPr>
        <w:t>’</w:t>
      </w:r>
      <w:r w:rsidRPr="008D75D5">
        <w:rPr>
          <w:rFonts w:ascii="Arial" w:hAnsi="Arial"/>
          <w:sz w:val="22"/>
        </w:rPr>
        <w:t xml:space="preserve">apport de la documentation de référence nécessaire. La communauté est prête à apprendre </w:t>
      </w:r>
      <w:r w:rsidR="00BF38CF">
        <w:rPr>
          <w:rFonts w:ascii="Arial" w:hAnsi="Arial"/>
          <w:sz w:val="22"/>
        </w:rPr>
        <w:t>d</w:t>
      </w:r>
      <w:r w:rsidRPr="008D75D5">
        <w:rPr>
          <w:rFonts w:ascii="Arial" w:hAnsi="Arial"/>
          <w:sz w:val="22"/>
        </w:rPr>
        <w:t xml:space="preserve">es bonnes pratiques de sauvegarde en </w:t>
      </w:r>
      <w:r w:rsidR="00BF38CF">
        <w:rPr>
          <w:rFonts w:ascii="Arial" w:hAnsi="Arial"/>
          <w:sz w:val="22"/>
        </w:rPr>
        <w:t>échangeant</w:t>
      </w:r>
      <w:r w:rsidRPr="008D75D5">
        <w:rPr>
          <w:rFonts w:ascii="Arial" w:hAnsi="Arial"/>
          <w:sz w:val="22"/>
        </w:rPr>
        <w:t xml:space="preserve"> avec d</w:t>
      </w:r>
      <w:r w:rsidR="00A512DB">
        <w:rPr>
          <w:rFonts w:ascii="Arial" w:hAnsi="Arial"/>
          <w:sz w:val="22"/>
        </w:rPr>
        <w:t>’</w:t>
      </w:r>
      <w:r w:rsidRPr="008D75D5">
        <w:rPr>
          <w:rFonts w:ascii="Arial" w:hAnsi="Arial"/>
          <w:sz w:val="22"/>
        </w:rPr>
        <w:t>autres communautés aux expériences similaires. La stratégie de sauvegarde durable présentée ne</w:t>
      </w:r>
      <w:r w:rsidR="00BF38CF">
        <w:rPr>
          <w:rFonts w:ascii="Arial" w:hAnsi="Arial"/>
          <w:sz w:val="22"/>
        </w:rPr>
        <w:t xml:space="preserve"> semble pas nécessiter</w:t>
      </w:r>
      <w:r w:rsidRPr="008D75D5">
        <w:rPr>
          <w:rFonts w:ascii="Arial" w:hAnsi="Arial"/>
          <w:sz w:val="22"/>
        </w:rPr>
        <w:t xml:space="preserve"> d</w:t>
      </w:r>
      <w:r w:rsidR="00A512DB">
        <w:rPr>
          <w:rFonts w:ascii="Arial" w:hAnsi="Arial"/>
          <w:sz w:val="22"/>
        </w:rPr>
        <w:t>’</w:t>
      </w:r>
      <w:r w:rsidRPr="008D75D5">
        <w:rPr>
          <w:rFonts w:ascii="Arial" w:hAnsi="Arial"/>
          <w:sz w:val="22"/>
        </w:rPr>
        <w:t>importants apports financiers, et ne dépend donc pas de ressources extérieures. Cependant, si les exigences financières sont présentées, il n</w:t>
      </w:r>
      <w:r w:rsidR="00A512DB">
        <w:rPr>
          <w:rFonts w:ascii="Arial" w:hAnsi="Arial"/>
          <w:sz w:val="22"/>
        </w:rPr>
        <w:t>’</w:t>
      </w:r>
      <w:r w:rsidRPr="008D75D5">
        <w:rPr>
          <w:rFonts w:ascii="Arial" w:hAnsi="Arial"/>
          <w:sz w:val="22"/>
        </w:rPr>
        <w:t>y a aucun budget clairement défini.</w:t>
      </w:r>
    </w:p>
    <w:p w14:paraId="77C01588" w14:textId="3D19F903" w:rsidR="00CF12CF" w:rsidRPr="008D75D5" w:rsidRDefault="00CF12CF" w:rsidP="0029421F">
      <w:pPr>
        <w:pStyle w:val="ListParagraph"/>
        <w:numPr>
          <w:ilvl w:val="0"/>
          <w:numId w:val="11"/>
        </w:numPr>
        <w:spacing w:before="120" w:after="120"/>
        <w:ind w:left="1134" w:hanging="567"/>
        <w:jc w:val="both"/>
        <w:outlineLvl w:val="1"/>
        <w:rPr>
          <w:rFonts w:ascii="Arial" w:eastAsia="SimSun" w:hAnsi="Arial" w:cs="Angsana New"/>
          <w:bCs/>
          <w:sz w:val="22"/>
          <w:szCs w:val="22"/>
        </w:rPr>
      </w:pPr>
      <w:r w:rsidRPr="008D75D5">
        <w:rPr>
          <w:rFonts w:ascii="Arial" w:hAnsi="Arial"/>
          <w:sz w:val="22"/>
          <w:u w:val="single"/>
        </w:rPr>
        <w:t>Décide de renvoyer</w:t>
      </w:r>
      <w:r w:rsidRPr="008D75D5">
        <w:rPr>
          <w:rFonts w:ascii="Arial" w:hAnsi="Arial"/>
          <w:sz w:val="22"/>
        </w:rPr>
        <w:t xml:space="preserve"> la candidature </w:t>
      </w:r>
      <w:r w:rsidRPr="008D75D5">
        <w:rPr>
          <w:rFonts w:ascii="Arial" w:hAnsi="Arial"/>
          <w:b/>
          <w:sz w:val="22"/>
        </w:rPr>
        <w:t>du</w:t>
      </w:r>
      <w:r w:rsidRPr="008D75D5">
        <w:rPr>
          <w:rFonts w:ascii="Arial" w:hAnsi="Arial"/>
          <w:sz w:val="22"/>
        </w:rPr>
        <w:t xml:space="preserve"> </w:t>
      </w:r>
      <w:proofErr w:type="spellStart"/>
      <w:r w:rsidRPr="008D75D5">
        <w:rPr>
          <w:rFonts w:ascii="Arial" w:hAnsi="Arial"/>
          <w:b/>
          <w:sz w:val="22"/>
        </w:rPr>
        <w:t>lkhon</w:t>
      </w:r>
      <w:proofErr w:type="spellEnd"/>
      <w:r w:rsidRPr="008D75D5">
        <w:rPr>
          <w:rFonts w:ascii="Arial" w:hAnsi="Arial"/>
          <w:b/>
          <w:sz w:val="22"/>
        </w:rPr>
        <w:t xml:space="preserve"> </w:t>
      </w:r>
      <w:proofErr w:type="spellStart"/>
      <w:r w:rsidRPr="008D75D5">
        <w:rPr>
          <w:rFonts w:ascii="Arial" w:hAnsi="Arial"/>
          <w:b/>
          <w:sz w:val="22"/>
        </w:rPr>
        <w:t>khol</w:t>
      </w:r>
      <w:proofErr w:type="spellEnd"/>
      <w:r w:rsidRPr="008D75D5">
        <w:rPr>
          <w:rFonts w:ascii="Arial" w:hAnsi="Arial"/>
          <w:b/>
          <w:sz w:val="22"/>
        </w:rPr>
        <w:t xml:space="preserve"> de Wat </w:t>
      </w:r>
      <w:proofErr w:type="spellStart"/>
      <w:r w:rsidRPr="008D75D5">
        <w:rPr>
          <w:rFonts w:ascii="Arial" w:hAnsi="Arial"/>
          <w:b/>
          <w:sz w:val="22"/>
        </w:rPr>
        <w:t>Svay</w:t>
      </w:r>
      <w:proofErr w:type="spellEnd"/>
      <w:r w:rsidRPr="008D75D5">
        <w:rPr>
          <w:rFonts w:ascii="Arial" w:hAnsi="Arial"/>
          <w:b/>
          <w:sz w:val="22"/>
        </w:rPr>
        <w:t xml:space="preserve"> </w:t>
      </w:r>
      <w:proofErr w:type="spellStart"/>
      <w:r w:rsidRPr="008D75D5">
        <w:rPr>
          <w:rFonts w:ascii="Arial" w:hAnsi="Arial"/>
          <w:b/>
          <w:sz w:val="22"/>
        </w:rPr>
        <w:t>Andet</w:t>
      </w:r>
      <w:proofErr w:type="spellEnd"/>
      <w:r w:rsidRPr="008D75D5">
        <w:rPr>
          <w:rFonts w:ascii="Arial" w:hAnsi="Arial"/>
          <w:b/>
          <w:sz w:val="22"/>
        </w:rPr>
        <w:t xml:space="preserve"> </w:t>
      </w:r>
      <w:r w:rsidRPr="008D75D5">
        <w:rPr>
          <w:rFonts w:ascii="Arial" w:hAnsi="Arial"/>
          <w:sz w:val="22"/>
        </w:rPr>
        <w:t>à l</w:t>
      </w:r>
      <w:r w:rsidR="00A512DB">
        <w:rPr>
          <w:rFonts w:ascii="Arial" w:hAnsi="Arial"/>
          <w:sz w:val="22"/>
        </w:rPr>
        <w:t>’</w:t>
      </w:r>
      <w:r w:rsidRPr="008D75D5">
        <w:rPr>
          <w:rFonts w:ascii="Arial" w:hAnsi="Arial"/>
          <w:sz w:val="22"/>
        </w:rPr>
        <w:t>État partie soumissionnaire et l</w:t>
      </w:r>
      <w:r w:rsidR="00A512DB">
        <w:rPr>
          <w:rFonts w:ascii="Arial" w:hAnsi="Arial"/>
          <w:sz w:val="22"/>
        </w:rPr>
        <w:t>’</w:t>
      </w:r>
      <w:r w:rsidRPr="008D75D5">
        <w:rPr>
          <w:rFonts w:ascii="Arial" w:hAnsi="Arial"/>
          <w:sz w:val="22"/>
          <w:u w:val="single"/>
        </w:rPr>
        <w:t>invite</w:t>
      </w:r>
      <w:r w:rsidRPr="008D75D5">
        <w:rPr>
          <w:rFonts w:ascii="Arial" w:hAnsi="Arial"/>
          <w:sz w:val="22"/>
        </w:rPr>
        <w:t xml:space="preserve"> à resoumettre la candidature au Comité pour examen au cours d</w:t>
      </w:r>
      <w:r w:rsidR="00A512DB">
        <w:rPr>
          <w:rFonts w:ascii="Arial" w:hAnsi="Arial"/>
          <w:sz w:val="22"/>
        </w:rPr>
        <w:t>’</w:t>
      </w:r>
      <w:r w:rsidRPr="008D75D5">
        <w:rPr>
          <w:rFonts w:ascii="Arial" w:hAnsi="Arial"/>
          <w:sz w:val="22"/>
        </w:rPr>
        <w:t>un cycle ultérieur</w:t>
      </w:r>
      <w:r w:rsidR="00560E41">
        <w:rPr>
          <w:rFonts w:ascii="Arial" w:hAnsi="Arial"/>
          <w:sz w:val="22"/>
        </w:rPr>
        <w:t> ;</w:t>
      </w:r>
    </w:p>
    <w:p w14:paraId="7E593640" w14:textId="493AAEEB" w:rsidR="003F4BCF" w:rsidRPr="000C5900" w:rsidRDefault="009A233D" w:rsidP="0029421F">
      <w:pPr>
        <w:pStyle w:val="ListParagraph"/>
        <w:numPr>
          <w:ilvl w:val="0"/>
          <w:numId w:val="11"/>
        </w:numPr>
        <w:spacing w:before="120" w:after="120"/>
        <w:ind w:left="1134" w:hanging="567"/>
        <w:jc w:val="both"/>
        <w:outlineLvl w:val="1"/>
        <w:rPr>
          <w:rFonts w:ascii="Arial" w:eastAsia="SimSun" w:hAnsi="Arial" w:cs="Angsana New"/>
          <w:sz w:val="22"/>
          <w:szCs w:val="22"/>
        </w:rPr>
      </w:pPr>
      <w:r w:rsidRPr="000C5900">
        <w:rPr>
          <w:rFonts w:ascii="Arial" w:hAnsi="Arial"/>
          <w:sz w:val="22"/>
          <w:u w:val="single"/>
        </w:rPr>
        <w:t>Reconnaît</w:t>
      </w:r>
      <w:r w:rsidRPr="000C5900">
        <w:rPr>
          <w:rFonts w:ascii="Arial" w:hAnsi="Arial"/>
          <w:sz w:val="22"/>
        </w:rPr>
        <w:t xml:space="preserve"> que le dossier présente un </w:t>
      </w:r>
      <w:r w:rsidR="00BF38CF" w:rsidRPr="000C5900">
        <w:rPr>
          <w:rFonts w:ascii="Arial" w:hAnsi="Arial"/>
          <w:sz w:val="22"/>
        </w:rPr>
        <w:t xml:space="preserve">plan </w:t>
      </w:r>
      <w:r w:rsidRPr="000C5900">
        <w:rPr>
          <w:rFonts w:ascii="Arial" w:hAnsi="Arial"/>
          <w:sz w:val="22"/>
        </w:rPr>
        <w:t xml:space="preserve">de sauvegarde bien conçu et centré sur la communauté, </w:t>
      </w:r>
      <w:r w:rsidRPr="000C5900">
        <w:rPr>
          <w:rFonts w:ascii="Arial" w:hAnsi="Arial"/>
          <w:sz w:val="22"/>
          <w:u w:val="single"/>
        </w:rPr>
        <w:t>regrette</w:t>
      </w:r>
      <w:r w:rsidRPr="000C5900">
        <w:rPr>
          <w:rFonts w:ascii="Arial" w:hAnsi="Arial"/>
          <w:sz w:val="22"/>
        </w:rPr>
        <w:t xml:space="preserve"> l</w:t>
      </w:r>
      <w:r w:rsidR="00A512DB" w:rsidRPr="000C5900">
        <w:rPr>
          <w:rFonts w:ascii="Arial" w:hAnsi="Arial"/>
          <w:sz w:val="22"/>
        </w:rPr>
        <w:t>’</w:t>
      </w:r>
      <w:r w:rsidRPr="000C5900">
        <w:rPr>
          <w:rFonts w:ascii="Arial" w:hAnsi="Arial"/>
          <w:sz w:val="22"/>
        </w:rPr>
        <w:t>absence d</w:t>
      </w:r>
      <w:r w:rsidR="00A512DB" w:rsidRPr="000C5900">
        <w:rPr>
          <w:rFonts w:ascii="Arial" w:hAnsi="Arial"/>
          <w:sz w:val="22"/>
        </w:rPr>
        <w:t>’</w:t>
      </w:r>
      <w:r w:rsidRPr="000C5900">
        <w:rPr>
          <w:rFonts w:ascii="Arial" w:hAnsi="Arial"/>
          <w:sz w:val="22"/>
        </w:rPr>
        <w:t xml:space="preserve">un budget soutenant sa mise en </w:t>
      </w:r>
      <w:r w:rsidR="00BF38CF" w:rsidRPr="000C5900">
        <w:rPr>
          <w:rFonts w:ascii="Arial" w:hAnsi="Arial"/>
          <w:sz w:val="22"/>
        </w:rPr>
        <w:t>œuvre</w:t>
      </w:r>
      <w:r w:rsidRPr="000C5900">
        <w:rPr>
          <w:rFonts w:ascii="Arial" w:hAnsi="Arial"/>
          <w:sz w:val="22"/>
        </w:rPr>
        <w:t xml:space="preserve">, et </w:t>
      </w:r>
      <w:r w:rsidRPr="000C5900">
        <w:rPr>
          <w:rFonts w:ascii="Arial" w:hAnsi="Arial"/>
          <w:sz w:val="22"/>
          <w:u w:val="single"/>
        </w:rPr>
        <w:t>invite en outre</w:t>
      </w:r>
      <w:r w:rsidRPr="000C5900">
        <w:rPr>
          <w:rFonts w:ascii="Arial" w:hAnsi="Arial"/>
          <w:sz w:val="22"/>
        </w:rPr>
        <w:t xml:space="preserve"> l</w:t>
      </w:r>
      <w:r w:rsidR="00A512DB" w:rsidRPr="000C5900">
        <w:rPr>
          <w:rFonts w:ascii="Arial" w:hAnsi="Arial"/>
          <w:sz w:val="22"/>
        </w:rPr>
        <w:t>’</w:t>
      </w:r>
      <w:r w:rsidRPr="000C5900">
        <w:rPr>
          <w:rFonts w:ascii="Arial" w:hAnsi="Arial"/>
          <w:sz w:val="22"/>
        </w:rPr>
        <w:t xml:space="preserve">État partie à </w:t>
      </w:r>
      <w:r w:rsidR="00BF38CF" w:rsidRPr="000C5900">
        <w:rPr>
          <w:rFonts w:ascii="Arial" w:hAnsi="Arial"/>
          <w:sz w:val="22"/>
        </w:rPr>
        <w:t>s’</w:t>
      </w:r>
      <w:r w:rsidRPr="000C5900">
        <w:rPr>
          <w:rFonts w:ascii="Arial" w:hAnsi="Arial"/>
          <w:sz w:val="22"/>
        </w:rPr>
        <w:t xml:space="preserve">assurer que des ressources financières appropriées y soient allouées </w:t>
      </w:r>
      <w:r w:rsidR="00BF38CF" w:rsidRPr="000C5900">
        <w:rPr>
          <w:rFonts w:ascii="Arial" w:hAnsi="Arial"/>
          <w:sz w:val="22"/>
        </w:rPr>
        <w:t>en vue</w:t>
      </w:r>
      <w:r w:rsidRPr="000C5900">
        <w:rPr>
          <w:rFonts w:ascii="Arial" w:hAnsi="Arial"/>
          <w:sz w:val="22"/>
        </w:rPr>
        <w:t xml:space="preserve"> de partager les dépenses entre le gouvernement et les communautés locales, comme </w:t>
      </w:r>
      <w:r w:rsidR="00BF38CF" w:rsidRPr="000C5900">
        <w:rPr>
          <w:rFonts w:ascii="Arial" w:hAnsi="Arial"/>
          <w:sz w:val="22"/>
        </w:rPr>
        <w:t xml:space="preserve">cela </w:t>
      </w:r>
      <w:r w:rsidRPr="000C5900">
        <w:rPr>
          <w:rFonts w:ascii="Arial" w:hAnsi="Arial"/>
          <w:sz w:val="22"/>
        </w:rPr>
        <w:t>était prévu</w:t>
      </w:r>
      <w:r w:rsidR="001B3C21" w:rsidRPr="000C5900">
        <w:rPr>
          <w:rFonts w:ascii="Arial" w:hAnsi="Arial"/>
          <w:sz w:val="22"/>
        </w:rPr>
        <w:t>.</w:t>
      </w:r>
    </w:p>
    <w:p w14:paraId="27FCB102" w14:textId="31AC2AE4" w:rsidR="003F4BCF" w:rsidRPr="008D75D5" w:rsidRDefault="00CF12CF" w:rsidP="00BC46E7">
      <w:pPr>
        <w:keepNext/>
        <w:keepLines/>
        <w:spacing w:before="360" w:after="120"/>
        <w:ind w:left="567"/>
        <w:outlineLvl w:val="0"/>
        <w:rPr>
          <w:rFonts w:ascii="Arial" w:eastAsia="SimSun" w:hAnsi="Arial" w:cs="Angsana New"/>
          <w:b/>
          <w:sz w:val="22"/>
          <w:szCs w:val="22"/>
        </w:rPr>
      </w:pPr>
      <w:bookmarkStart w:id="10" w:name="Decision_10a4"/>
      <w:bookmarkEnd w:id="10"/>
      <w:r w:rsidRPr="008D75D5">
        <w:rPr>
          <w:rFonts w:ascii="Arial" w:hAnsi="Arial"/>
          <w:b/>
          <w:sz w:val="22"/>
        </w:rPr>
        <w:t>PROJET DE DÉCISION 13.COM 10.a.4</w:t>
      </w:r>
      <w:r w:rsidRPr="008D75D5">
        <w:tab/>
      </w:r>
      <w:r w:rsidRPr="008D75D5">
        <w:rPr>
          <w:rFonts w:ascii="Arial" w:hAnsi="Arial" w:cs="Arial"/>
          <w:noProof/>
          <w:color w:val="0000FF"/>
          <w:sz w:val="22"/>
          <w:szCs w:val="22"/>
          <w:lang w:val="en-US" w:eastAsia="ko-KR" w:bidi="ar-SA"/>
        </w:rPr>
        <w:drawing>
          <wp:inline distT="0" distB="0" distL="0" distR="0" wp14:anchorId="13495462" wp14:editId="7F36F16A">
            <wp:extent cx="104775" cy="104775"/>
            <wp:effectExtent l="0" t="0" r="9525" b="9525"/>
            <wp:docPr id="5" name="Picture 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241F718B" w14:textId="3C8B9272" w:rsidR="003F4BCF" w:rsidRPr="008D75D5" w:rsidRDefault="00CF12CF" w:rsidP="003F4BCF">
      <w:pPr>
        <w:keepNext/>
        <w:tabs>
          <w:tab w:val="left" w:pos="567"/>
          <w:tab w:val="left" w:pos="1134"/>
          <w:tab w:val="left" w:pos="1701"/>
          <w:tab w:val="left" w:pos="2268"/>
        </w:tabs>
        <w:spacing w:before="120" w:after="120"/>
        <w:ind w:left="567"/>
        <w:jc w:val="both"/>
        <w:rPr>
          <w:rFonts w:ascii="Arial" w:eastAsia="SimSun" w:hAnsi="Arial" w:cs="Arial"/>
          <w:sz w:val="22"/>
          <w:szCs w:val="22"/>
        </w:rPr>
      </w:pPr>
      <w:r w:rsidRPr="008D75D5">
        <w:rPr>
          <w:rFonts w:ascii="Arial" w:hAnsi="Arial"/>
          <w:sz w:val="22"/>
        </w:rPr>
        <w:t>Le Comité</w:t>
      </w:r>
    </w:p>
    <w:p w14:paraId="6553B6D6" w14:textId="6306BB03" w:rsidR="003F4BCF" w:rsidRPr="008D75D5" w:rsidRDefault="00CF12CF" w:rsidP="0029421F">
      <w:pPr>
        <w:pStyle w:val="ListParagraph"/>
        <w:keepNext/>
        <w:numPr>
          <w:ilvl w:val="0"/>
          <w:numId w:val="12"/>
        </w:numPr>
        <w:spacing w:before="120" w:after="120"/>
        <w:ind w:left="1134" w:hanging="567"/>
        <w:jc w:val="both"/>
        <w:outlineLvl w:val="1"/>
        <w:rPr>
          <w:rFonts w:ascii="Arial" w:eastAsia="SimSun" w:hAnsi="Arial" w:cs="Angsana New"/>
          <w:sz w:val="22"/>
          <w:szCs w:val="22"/>
        </w:rPr>
      </w:pPr>
      <w:r w:rsidRPr="008D75D5">
        <w:rPr>
          <w:rFonts w:ascii="Arial" w:hAnsi="Arial"/>
          <w:sz w:val="22"/>
          <w:u w:val="single"/>
        </w:rPr>
        <w:t>Prend note</w:t>
      </w:r>
      <w:r w:rsidRPr="008D75D5">
        <w:rPr>
          <w:rFonts w:ascii="Arial" w:hAnsi="Arial"/>
          <w:sz w:val="22"/>
        </w:rPr>
        <w:t xml:space="preserve"> que l</w:t>
      </w:r>
      <w:r w:rsidR="00A512DB">
        <w:rPr>
          <w:rFonts w:ascii="Arial" w:hAnsi="Arial"/>
          <w:sz w:val="22"/>
        </w:rPr>
        <w:t>’</w:t>
      </w:r>
      <w:r w:rsidRPr="008D75D5">
        <w:rPr>
          <w:rFonts w:ascii="Arial" w:hAnsi="Arial"/>
          <w:sz w:val="22"/>
        </w:rPr>
        <w:t xml:space="preserve">Égypte a proposé la candidature </w:t>
      </w:r>
      <w:r w:rsidRPr="008D75D5">
        <w:rPr>
          <w:rFonts w:ascii="Arial" w:hAnsi="Arial"/>
          <w:b/>
          <w:sz w:val="22"/>
        </w:rPr>
        <w:t>des marionnettes à gaine traditionnelles</w:t>
      </w:r>
      <w:r w:rsidRPr="008D75D5">
        <w:rPr>
          <w:rFonts w:ascii="Arial" w:hAnsi="Arial"/>
          <w:sz w:val="22"/>
        </w:rPr>
        <w:t xml:space="preserve"> (n° 01376) pour inscription sur la Liste du patrimoine culturel immatériel nécessitant une sauvegarde urgente :</w:t>
      </w:r>
    </w:p>
    <w:p w14:paraId="579A2BAC" w14:textId="22C337DE" w:rsidR="003F4BCF" w:rsidRPr="00642CFB" w:rsidRDefault="00642CFB" w:rsidP="00642CFB">
      <w:pPr>
        <w:tabs>
          <w:tab w:val="left" w:pos="1134"/>
          <w:tab w:val="left" w:pos="1701"/>
          <w:tab w:val="left" w:pos="2268"/>
        </w:tabs>
        <w:spacing w:before="120" w:after="120"/>
        <w:ind w:left="1134"/>
        <w:jc w:val="both"/>
        <w:rPr>
          <w:rFonts w:ascii="Arial" w:hAnsi="Arial"/>
          <w:sz w:val="22"/>
        </w:rPr>
      </w:pPr>
      <w:r w:rsidRPr="00642CFB">
        <w:rPr>
          <w:rFonts w:ascii="Arial" w:hAnsi="Arial"/>
          <w:sz w:val="22"/>
        </w:rPr>
        <w:t>Al-</w:t>
      </w:r>
      <w:proofErr w:type="spellStart"/>
      <w:r w:rsidRPr="00642CFB">
        <w:rPr>
          <w:rFonts w:ascii="Arial" w:hAnsi="Arial"/>
          <w:sz w:val="22"/>
        </w:rPr>
        <w:t>Aragoz</w:t>
      </w:r>
      <w:proofErr w:type="spellEnd"/>
      <w:r w:rsidRPr="00642CFB">
        <w:rPr>
          <w:rFonts w:ascii="Arial" w:hAnsi="Arial"/>
          <w:sz w:val="22"/>
        </w:rPr>
        <w:t xml:space="preserve"> est une forme ancienne de théâtre égyptien qui utilise des marionnettes à gaine traditionnelles. Les représentations sont des événements très populaires au cours desquels les marionnettistes demeurent cachés dans une petite scène mobile tandis qu’un assistant interagit avec les marionnettes et le public. Al-</w:t>
      </w:r>
      <w:proofErr w:type="spellStart"/>
      <w:r w:rsidRPr="00642CFB">
        <w:rPr>
          <w:rFonts w:ascii="Arial" w:hAnsi="Arial"/>
          <w:sz w:val="22"/>
        </w:rPr>
        <w:t>Aragoz</w:t>
      </w:r>
      <w:proofErr w:type="spellEnd"/>
      <w:r w:rsidRPr="00642CFB">
        <w:rPr>
          <w:rFonts w:ascii="Arial" w:hAnsi="Arial"/>
          <w:sz w:val="22"/>
        </w:rPr>
        <w:t xml:space="preserve"> tire son nom de la marionnette principale dont la voix caractéristique est produite avec un instrument de distorsion vocale. Les interprètes et le public interagissent avec dynamisme tout au long du spectacle dont l’ambiance est enjouée et divertissante. Les praticiens doivent savoir manipuler et entretenir les marionnettes et avoir également des talents musicaux et d’improvisation. Les spectacles abordent un éventail de sujets en lien avec la vie </w:t>
      </w:r>
      <w:r w:rsidRPr="00642CFB">
        <w:rPr>
          <w:rFonts w:ascii="Arial" w:hAnsi="Arial"/>
          <w:sz w:val="22"/>
        </w:rPr>
        <w:lastRenderedPageBreak/>
        <w:t xml:space="preserve">quotidienne, le thème récurrent étant la lutte contre la corruption. L’art était autrefois interprété par des artistes itinérants qui se déplaçaient d’une fête populaire à une autre. Toutefois, quand le nombre de représentations a commencé à </w:t>
      </w:r>
      <w:r w:rsidR="00895932">
        <w:rPr>
          <w:rFonts w:ascii="Arial" w:hAnsi="Arial"/>
          <w:sz w:val="22"/>
        </w:rPr>
        <w:t>diminuer</w:t>
      </w:r>
      <w:r w:rsidRPr="00642CFB">
        <w:rPr>
          <w:rFonts w:ascii="Arial" w:hAnsi="Arial"/>
          <w:sz w:val="22"/>
        </w:rPr>
        <w:t>, les interprètes et leurs assistants se sont sédentarisés, principalement au Caire. La viabilité de la pratique est menacée par les évolutions des conditions sociales, politiques, juridiques et culturelles propres à son interprétation, telles que les lois relatives aux rassemblements publics, la montée du radicalisme religieux, un déclin général de l’intérêt pour cet art parmi les jeunes générations et l’âge avancé de ses praticiens actifs. Le nombre de praticiens encore vivants a diminué et de nombreuses histoires autrefois interprétées ont désormais disparu.</w:t>
      </w:r>
    </w:p>
    <w:p w14:paraId="0AFF295B" w14:textId="3F8A412E" w:rsidR="00CF12CF" w:rsidRPr="008D75D5" w:rsidRDefault="00CF12CF" w:rsidP="0029421F">
      <w:pPr>
        <w:pStyle w:val="ListParagraph"/>
        <w:keepLines/>
        <w:numPr>
          <w:ilvl w:val="0"/>
          <w:numId w:val="12"/>
        </w:numPr>
        <w:spacing w:before="120" w:after="120"/>
        <w:ind w:left="1134" w:hanging="567"/>
        <w:jc w:val="both"/>
        <w:outlineLvl w:val="1"/>
        <w:rPr>
          <w:rFonts w:ascii="Arial" w:eastAsia="SimSun" w:hAnsi="Arial" w:cs="Angsana New"/>
          <w:sz w:val="22"/>
          <w:szCs w:val="22"/>
        </w:rPr>
      </w:pPr>
      <w:r w:rsidRPr="008D75D5">
        <w:rPr>
          <w:rFonts w:ascii="Arial" w:hAnsi="Arial"/>
          <w:sz w:val="22"/>
          <w:u w:val="single"/>
        </w:rPr>
        <w:t>Décide</w:t>
      </w:r>
      <w:r w:rsidRPr="008D75D5">
        <w:rPr>
          <w:rFonts w:ascii="Arial" w:hAnsi="Arial"/>
          <w:sz w:val="22"/>
        </w:rPr>
        <w:t xml:space="preserve"> que, d</w:t>
      </w:r>
      <w:r w:rsidR="00A512DB">
        <w:rPr>
          <w:rFonts w:ascii="Arial" w:hAnsi="Arial"/>
          <w:sz w:val="22"/>
        </w:rPr>
        <w:t>’</w:t>
      </w:r>
      <w:r w:rsidRPr="008D75D5">
        <w:rPr>
          <w:rFonts w:ascii="Arial" w:hAnsi="Arial"/>
          <w:sz w:val="22"/>
        </w:rPr>
        <w:t>après l</w:t>
      </w:r>
      <w:r w:rsidR="00A512DB">
        <w:rPr>
          <w:rFonts w:ascii="Arial" w:hAnsi="Arial"/>
          <w:sz w:val="22"/>
        </w:rPr>
        <w:t>’</w:t>
      </w:r>
      <w:r w:rsidRPr="008D75D5">
        <w:rPr>
          <w:rFonts w:ascii="Arial" w:hAnsi="Arial"/>
          <w:sz w:val="22"/>
        </w:rPr>
        <w:t>information contenue dans le dossier, la candidature satisfait aux critères d</w:t>
      </w:r>
      <w:r w:rsidR="00A512DB">
        <w:rPr>
          <w:rFonts w:ascii="Arial" w:hAnsi="Arial"/>
          <w:sz w:val="22"/>
        </w:rPr>
        <w:t>’</w:t>
      </w:r>
      <w:r w:rsidRPr="008D75D5">
        <w:rPr>
          <w:rFonts w:ascii="Arial" w:hAnsi="Arial"/>
          <w:sz w:val="22"/>
        </w:rPr>
        <w:t>inscription sur la Liste du patrimoine culturel immatériel nécessitant une sauvegarde urgente comme suit :</w:t>
      </w:r>
    </w:p>
    <w:p w14:paraId="652A481D" w14:textId="16CF7947" w:rsidR="003F4BCF" w:rsidRPr="008D75D5" w:rsidRDefault="003F4BCF" w:rsidP="003F4BCF">
      <w:pPr>
        <w:tabs>
          <w:tab w:val="left" w:pos="567"/>
          <w:tab w:val="left" w:pos="1134"/>
          <w:tab w:val="left" w:pos="1701"/>
          <w:tab w:val="left" w:pos="2268"/>
        </w:tabs>
        <w:spacing w:before="120" w:after="120"/>
        <w:ind w:left="1701" w:hanging="567"/>
        <w:jc w:val="both"/>
        <w:rPr>
          <w:rFonts w:ascii="Arial" w:hAnsi="Arial" w:cs="Arial"/>
          <w:sz w:val="22"/>
          <w:szCs w:val="22"/>
        </w:rPr>
      </w:pPr>
      <w:r w:rsidRPr="008D75D5">
        <w:rPr>
          <w:rFonts w:ascii="Arial" w:hAnsi="Arial"/>
          <w:sz w:val="22"/>
        </w:rPr>
        <w:t>U.1 :</w:t>
      </w:r>
      <w:r w:rsidRPr="008D75D5">
        <w:tab/>
      </w:r>
      <w:r w:rsidRPr="008D75D5">
        <w:rPr>
          <w:rFonts w:ascii="Arial" w:hAnsi="Arial"/>
          <w:sz w:val="22"/>
        </w:rPr>
        <w:t xml:space="preserve">Les marionnettes traditionnelles </w:t>
      </w:r>
      <w:proofErr w:type="spellStart"/>
      <w:r w:rsidRPr="008D75D5">
        <w:rPr>
          <w:rFonts w:ascii="Arial" w:hAnsi="Arial"/>
          <w:sz w:val="22"/>
        </w:rPr>
        <w:t>Aragoz</w:t>
      </w:r>
      <w:proofErr w:type="spellEnd"/>
      <w:r w:rsidRPr="008D75D5">
        <w:rPr>
          <w:rFonts w:ascii="Arial" w:hAnsi="Arial"/>
          <w:sz w:val="22"/>
        </w:rPr>
        <w:t xml:space="preserve"> ont non seulement un rôle récréatif, principalement pour les enfants de différents milieux</w:t>
      </w:r>
      <w:r w:rsidR="00895932">
        <w:rPr>
          <w:rFonts w:ascii="Arial" w:hAnsi="Arial"/>
          <w:sz w:val="22"/>
        </w:rPr>
        <w:t xml:space="preserve"> sociaux</w:t>
      </w:r>
      <w:r w:rsidRPr="008D75D5">
        <w:rPr>
          <w:rFonts w:ascii="Arial" w:hAnsi="Arial"/>
          <w:sz w:val="22"/>
        </w:rPr>
        <w:t>, mais elles transmettent aussi des principes moraux, des normes sociales et des valeurs culturelles, traitent des relations familiales et communiquent des messages sur des comportements sociaux négatifs et d</w:t>
      </w:r>
      <w:r w:rsidR="00A512DB">
        <w:rPr>
          <w:rFonts w:ascii="Arial" w:hAnsi="Arial"/>
          <w:sz w:val="22"/>
        </w:rPr>
        <w:t>’</w:t>
      </w:r>
      <w:r w:rsidRPr="008D75D5">
        <w:rPr>
          <w:rFonts w:ascii="Arial" w:hAnsi="Arial"/>
          <w:sz w:val="22"/>
        </w:rPr>
        <w:t>autres problèmes actuels. Des connaissances et savoir-faire associés sont transmis oralement de maîtres à apprentis. Si la pratique de l</w:t>
      </w:r>
      <w:r w:rsidR="00A512DB">
        <w:rPr>
          <w:rFonts w:ascii="Arial" w:hAnsi="Arial"/>
          <w:sz w:val="22"/>
        </w:rPr>
        <w:t>’</w:t>
      </w:r>
      <w:proofErr w:type="spellStart"/>
      <w:r w:rsidRPr="008D75D5">
        <w:rPr>
          <w:rFonts w:ascii="Arial" w:hAnsi="Arial"/>
          <w:sz w:val="22"/>
        </w:rPr>
        <w:t>Aragoz</w:t>
      </w:r>
      <w:proofErr w:type="spellEnd"/>
      <w:r w:rsidRPr="008D75D5">
        <w:rPr>
          <w:rFonts w:ascii="Arial" w:hAnsi="Arial"/>
          <w:sz w:val="22"/>
        </w:rPr>
        <w:t xml:space="preserve"> est </w:t>
      </w:r>
      <w:proofErr w:type="gramStart"/>
      <w:r w:rsidRPr="008D75D5">
        <w:rPr>
          <w:rFonts w:ascii="Arial" w:hAnsi="Arial"/>
          <w:sz w:val="22"/>
        </w:rPr>
        <w:t>devenu</w:t>
      </w:r>
      <w:proofErr w:type="gramEnd"/>
      <w:r w:rsidRPr="008D75D5">
        <w:rPr>
          <w:rFonts w:ascii="Arial" w:hAnsi="Arial"/>
          <w:sz w:val="22"/>
        </w:rPr>
        <w:t xml:space="preserve"> assez rare, et qu</w:t>
      </w:r>
      <w:r w:rsidR="00A512DB">
        <w:rPr>
          <w:rFonts w:ascii="Arial" w:hAnsi="Arial"/>
          <w:sz w:val="22"/>
        </w:rPr>
        <w:t>’</w:t>
      </w:r>
      <w:r w:rsidRPr="008D75D5">
        <w:rPr>
          <w:rFonts w:ascii="Arial" w:hAnsi="Arial"/>
          <w:sz w:val="22"/>
        </w:rPr>
        <w:t>il est difficile pour ses derniers praticiens de trouver des apprentis, l</w:t>
      </w:r>
      <w:r w:rsidR="00A512DB">
        <w:rPr>
          <w:rFonts w:ascii="Arial" w:hAnsi="Arial"/>
          <w:sz w:val="22"/>
        </w:rPr>
        <w:t>’</w:t>
      </w:r>
      <w:r w:rsidRPr="008D75D5">
        <w:rPr>
          <w:rFonts w:ascii="Arial" w:hAnsi="Arial"/>
          <w:sz w:val="22"/>
        </w:rPr>
        <w:t>élément constitue tout de même une partie importante et contemporaine de l</w:t>
      </w:r>
      <w:r w:rsidR="00A512DB">
        <w:rPr>
          <w:rFonts w:ascii="Arial" w:hAnsi="Arial"/>
          <w:sz w:val="22"/>
        </w:rPr>
        <w:t>’</w:t>
      </w:r>
      <w:r w:rsidRPr="008D75D5">
        <w:rPr>
          <w:rFonts w:ascii="Arial" w:hAnsi="Arial"/>
          <w:sz w:val="22"/>
        </w:rPr>
        <w:t>ident</w:t>
      </w:r>
      <w:r w:rsidR="00642CFB">
        <w:rPr>
          <w:rFonts w:ascii="Arial" w:hAnsi="Arial"/>
          <w:sz w:val="22"/>
        </w:rPr>
        <w:t>ité des communautés concernées.</w:t>
      </w:r>
    </w:p>
    <w:p w14:paraId="221D5FC5" w14:textId="46D0F345" w:rsidR="003F4BCF" w:rsidRPr="008D75D5" w:rsidRDefault="003F4BCF" w:rsidP="003F4BCF">
      <w:pPr>
        <w:tabs>
          <w:tab w:val="left" w:pos="567"/>
          <w:tab w:val="left" w:pos="1134"/>
          <w:tab w:val="left" w:pos="1701"/>
          <w:tab w:val="left" w:pos="2268"/>
        </w:tabs>
        <w:spacing w:before="120" w:after="120"/>
        <w:ind w:left="1701" w:hanging="567"/>
        <w:jc w:val="both"/>
        <w:rPr>
          <w:rFonts w:ascii="Arial" w:hAnsi="Arial" w:cs="Arial"/>
          <w:sz w:val="22"/>
          <w:szCs w:val="22"/>
        </w:rPr>
      </w:pPr>
      <w:r w:rsidRPr="008D75D5">
        <w:rPr>
          <w:rFonts w:ascii="Arial" w:hAnsi="Arial"/>
          <w:sz w:val="22"/>
        </w:rPr>
        <w:t>U.2 :</w:t>
      </w:r>
      <w:r w:rsidRPr="008D75D5">
        <w:tab/>
      </w:r>
      <w:r w:rsidRPr="008D75D5">
        <w:rPr>
          <w:rFonts w:ascii="Arial" w:hAnsi="Arial"/>
          <w:sz w:val="22"/>
        </w:rPr>
        <w:t>Malgré les efforts des communautés, groupes et individus concernés, la viabilité de l</w:t>
      </w:r>
      <w:r w:rsidR="00A512DB">
        <w:rPr>
          <w:rFonts w:ascii="Arial" w:hAnsi="Arial"/>
          <w:sz w:val="22"/>
        </w:rPr>
        <w:t>’</w:t>
      </w:r>
      <w:r w:rsidRPr="008D75D5">
        <w:rPr>
          <w:rFonts w:ascii="Arial" w:hAnsi="Arial"/>
          <w:sz w:val="22"/>
        </w:rPr>
        <w:t>élément est menacée par l</w:t>
      </w:r>
      <w:r w:rsidR="00A512DB">
        <w:rPr>
          <w:rFonts w:ascii="Arial" w:hAnsi="Arial"/>
          <w:sz w:val="22"/>
        </w:rPr>
        <w:t>’</w:t>
      </w:r>
      <w:r w:rsidRPr="008D75D5">
        <w:rPr>
          <w:rFonts w:ascii="Arial" w:hAnsi="Arial"/>
          <w:sz w:val="22"/>
        </w:rPr>
        <w:t>évolution du contexte social, politique, juridique et culturel de sa mise en œuvre. Cela se traduit par exemple par des lois sur les rassemblements publics, par la montée du radicalisme religieux ou par un déclin général de l</w:t>
      </w:r>
      <w:r w:rsidR="00A512DB">
        <w:rPr>
          <w:rFonts w:ascii="Arial" w:hAnsi="Arial"/>
          <w:sz w:val="22"/>
        </w:rPr>
        <w:t>’</w:t>
      </w:r>
      <w:r w:rsidRPr="008D75D5">
        <w:rPr>
          <w:rFonts w:ascii="Arial" w:hAnsi="Arial"/>
          <w:sz w:val="22"/>
        </w:rPr>
        <w:t>intérêt des jeunes générations. La disparition des lieux de représentation traditionnels et des occasions de donner des spectacles de marionnettes s</w:t>
      </w:r>
      <w:r w:rsidR="00A512DB">
        <w:rPr>
          <w:rFonts w:ascii="Arial" w:hAnsi="Arial"/>
          <w:sz w:val="22"/>
        </w:rPr>
        <w:t>’</w:t>
      </w:r>
      <w:r w:rsidRPr="008D75D5">
        <w:rPr>
          <w:rFonts w:ascii="Arial" w:hAnsi="Arial"/>
          <w:sz w:val="22"/>
        </w:rPr>
        <w:t>accompagne d</w:t>
      </w:r>
      <w:r w:rsidR="00A512DB">
        <w:rPr>
          <w:rFonts w:ascii="Arial" w:hAnsi="Arial"/>
          <w:sz w:val="22"/>
        </w:rPr>
        <w:t>’</w:t>
      </w:r>
      <w:r w:rsidRPr="008D75D5">
        <w:rPr>
          <w:rFonts w:ascii="Arial" w:hAnsi="Arial"/>
          <w:sz w:val="22"/>
        </w:rPr>
        <w:t>une absence de documentation. Aujourd</w:t>
      </w:r>
      <w:r w:rsidR="00A512DB">
        <w:rPr>
          <w:rFonts w:ascii="Arial" w:hAnsi="Arial"/>
          <w:sz w:val="22"/>
        </w:rPr>
        <w:t>’</w:t>
      </w:r>
      <w:r w:rsidRPr="008D75D5">
        <w:rPr>
          <w:rFonts w:ascii="Arial" w:hAnsi="Arial"/>
          <w:sz w:val="22"/>
        </w:rPr>
        <w:t>hui, les représentations régulières sont limitées à la maison Al-</w:t>
      </w:r>
      <w:proofErr w:type="spellStart"/>
      <w:r w:rsidRPr="008D75D5">
        <w:rPr>
          <w:rFonts w:ascii="Arial" w:hAnsi="Arial"/>
          <w:sz w:val="22"/>
        </w:rPr>
        <w:t>Suhymi</w:t>
      </w:r>
      <w:proofErr w:type="spellEnd"/>
      <w:r w:rsidRPr="008D75D5">
        <w:rPr>
          <w:rFonts w:ascii="Arial" w:hAnsi="Arial"/>
          <w:sz w:val="22"/>
        </w:rPr>
        <w:t xml:space="preserve"> au Caire, et compte moins de </w:t>
      </w:r>
      <w:r w:rsidR="00BA419D">
        <w:rPr>
          <w:rFonts w:ascii="Arial" w:hAnsi="Arial"/>
          <w:sz w:val="22"/>
        </w:rPr>
        <w:t>dix</w:t>
      </w:r>
      <w:r w:rsidRPr="008D75D5">
        <w:rPr>
          <w:rFonts w:ascii="Arial" w:hAnsi="Arial"/>
          <w:sz w:val="22"/>
        </w:rPr>
        <w:t xml:space="preserve"> artistes actifs, la plupart âgés, et il n</w:t>
      </w:r>
      <w:r w:rsidR="00A512DB">
        <w:rPr>
          <w:rFonts w:ascii="Arial" w:hAnsi="Arial"/>
          <w:sz w:val="22"/>
        </w:rPr>
        <w:t>’</w:t>
      </w:r>
      <w:r w:rsidRPr="008D75D5">
        <w:rPr>
          <w:rFonts w:ascii="Arial" w:hAnsi="Arial"/>
          <w:sz w:val="22"/>
        </w:rPr>
        <w:t>existe pas de fabricants de marionnettes professionnels. À cause de l</w:t>
      </w:r>
      <w:r w:rsidR="00A512DB">
        <w:rPr>
          <w:rFonts w:ascii="Arial" w:hAnsi="Arial"/>
          <w:sz w:val="22"/>
        </w:rPr>
        <w:t>’</w:t>
      </w:r>
      <w:r w:rsidRPr="008D75D5">
        <w:rPr>
          <w:rFonts w:ascii="Arial" w:hAnsi="Arial"/>
          <w:sz w:val="22"/>
        </w:rPr>
        <w:t>âge et de la rareté de ses praticiens, l</w:t>
      </w:r>
      <w:r w:rsidR="00A512DB">
        <w:rPr>
          <w:rFonts w:ascii="Arial" w:hAnsi="Arial"/>
          <w:sz w:val="22"/>
        </w:rPr>
        <w:t>’</w:t>
      </w:r>
      <w:proofErr w:type="spellStart"/>
      <w:r w:rsidRPr="008D75D5">
        <w:rPr>
          <w:rFonts w:ascii="Arial" w:hAnsi="Arial"/>
          <w:sz w:val="22"/>
        </w:rPr>
        <w:t>Aragoz</w:t>
      </w:r>
      <w:proofErr w:type="spellEnd"/>
      <w:r w:rsidRPr="008D75D5">
        <w:rPr>
          <w:rFonts w:ascii="Arial" w:hAnsi="Arial"/>
          <w:sz w:val="22"/>
        </w:rPr>
        <w:t xml:space="preserve"> ne se développe pas en fonction des changements de la société moderne.</w:t>
      </w:r>
    </w:p>
    <w:p w14:paraId="5BEFDD3C" w14:textId="0F5CC9A1" w:rsidR="003F4BCF" w:rsidRPr="008D75D5" w:rsidRDefault="003F4BCF" w:rsidP="003F4BCF">
      <w:pPr>
        <w:tabs>
          <w:tab w:val="left" w:pos="567"/>
          <w:tab w:val="left" w:pos="1134"/>
          <w:tab w:val="left" w:pos="1701"/>
          <w:tab w:val="left" w:pos="2268"/>
        </w:tabs>
        <w:spacing w:before="120" w:after="120"/>
        <w:ind w:left="1701" w:hanging="567"/>
        <w:jc w:val="both"/>
        <w:rPr>
          <w:rFonts w:ascii="Arial" w:hAnsi="Arial" w:cs="Arial"/>
          <w:sz w:val="22"/>
          <w:szCs w:val="22"/>
        </w:rPr>
      </w:pPr>
      <w:r w:rsidRPr="008D75D5">
        <w:rPr>
          <w:rFonts w:ascii="Arial" w:hAnsi="Arial"/>
          <w:sz w:val="22"/>
        </w:rPr>
        <w:t>U.3 :</w:t>
      </w:r>
      <w:r w:rsidRPr="008D75D5">
        <w:tab/>
      </w:r>
      <w:r w:rsidRPr="008D75D5">
        <w:rPr>
          <w:rFonts w:ascii="Arial" w:hAnsi="Arial"/>
          <w:sz w:val="22"/>
        </w:rPr>
        <w:t>Ces dix dernières années, des mesures de sauvegarde de l</w:t>
      </w:r>
      <w:r w:rsidR="00A512DB">
        <w:rPr>
          <w:rFonts w:ascii="Arial" w:hAnsi="Arial"/>
          <w:sz w:val="22"/>
        </w:rPr>
        <w:t>’</w:t>
      </w:r>
      <w:r w:rsidRPr="008D75D5">
        <w:rPr>
          <w:rFonts w:ascii="Arial" w:hAnsi="Arial"/>
          <w:sz w:val="22"/>
        </w:rPr>
        <w:t xml:space="preserve">élément ont été prises, </w:t>
      </w:r>
      <w:r w:rsidR="00BA419D">
        <w:rPr>
          <w:rFonts w:ascii="Arial" w:hAnsi="Arial"/>
          <w:sz w:val="22"/>
        </w:rPr>
        <w:t>y compris son identification et</w:t>
      </w:r>
      <w:r w:rsidRPr="008D75D5">
        <w:rPr>
          <w:rFonts w:ascii="Arial" w:hAnsi="Arial"/>
          <w:sz w:val="22"/>
        </w:rPr>
        <w:t xml:space="preserve"> la description de son état actuel, de</w:t>
      </w:r>
      <w:r w:rsidR="00BA419D">
        <w:rPr>
          <w:rFonts w:ascii="Arial" w:hAnsi="Arial"/>
          <w:sz w:val="22"/>
        </w:rPr>
        <w:t>s</w:t>
      </w:r>
      <w:r w:rsidRPr="008D75D5">
        <w:rPr>
          <w:rFonts w:ascii="Arial" w:hAnsi="Arial"/>
          <w:sz w:val="22"/>
        </w:rPr>
        <w:t xml:space="preserve"> recherches scientifiques et de</w:t>
      </w:r>
      <w:r w:rsidR="00BA419D">
        <w:rPr>
          <w:rFonts w:ascii="Arial" w:hAnsi="Arial"/>
          <w:sz w:val="22"/>
        </w:rPr>
        <w:t>s</w:t>
      </w:r>
      <w:r w:rsidRPr="008D75D5">
        <w:rPr>
          <w:rFonts w:ascii="Arial" w:hAnsi="Arial"/>
          <w:sz w:val="22"/>
        </w:rPr>
        <w:t xml:space="preserve"> publications </w:t>
      </w:r>
      <w:r w:rsidR="00962580">
        <w:rPr>
          <w:rFonts w:ascii="Arial" w:hAnsi="Arial"/>
          <w:sz w:val="22"/>
        </w:rPr>
        <w:t>de</w:t>
      </w:r>
      <w:r w:rsidRPr="008D75D5">
        <w:rPr>
          <w:rFonts w:ascii="Arial" w:hAnsi="Arial"/>
          <w:sz w:val="22"/>
        </w:rPr>
        <w:t xml:space="preserve"> rapport</w:t>
      </w:r>
      <w:r w:rsidR="00962580">
        <w:rPr>
          <w:rFonts w:ascii="Arial" w:hAnsi="Arial"/>
          <w:sz w:val="22"/>
        </w:rPr>
        <w:t>s</w:t>
      </w:r>
      <w:r w:rsidRPr="008D75D5">
        <w:rPr>
          <w:rFonts w:ascii="Arial" w:hAnsi="Arial"/>
          <w:sz w:val="22"/>
        </w:rPr>
        <w:t>. La candidature présente une stratégie complexe pour restaurer l</w:t>
      </w:r>
      <w:r w:rsidR="00BA419D">
        <w:rPr>
          <w:rFonts w:ascii="Arial" w:hAnsi="Arial"/>
          <w:sz w:val="22"/>
        </w:rPr>
        <w:t xml:space="preserve">a </w:t>
      </w:r>
      <w:r w:rsidRPr="008D75D5">
        <w:rPr>
          <w:rFonts w:ascii="Arial" w:hAnsi="Arial"/>
          <w:sz w:val="22"/>
        </w:rPr>
        <w:t>viabilité</w:t>
      </w:r>
      <w:r w:rsidR="00BA419D">
        <w:rPr>
          <w:rFonts w:ascii="Arial" w:hAnsi="Arial"/>
          <w:sz w:val="22"/>
        </w:rPr>
        <w:t xml:space="preserve"> initiale</w:t>
      </w:r>
      <w:r w:rsidRPr="008D75D5">
        <w:rPr>
          <w:rFonts w:ascii="Arial" w:hAnsi="Arial"/>
          <w:sz w:val="22"/>
        </w:rPr>
        <w:t xml:space="preserve"> de l</w:t>
      </w:r>
      <w:r w:rsidR="00A512DB">
        <w:rPr>
          <w:rFonts w:ascii="Arial" w:hAnsi="Arial"/>
          <w:sz w:val="22"/>
        </w:rPr>
        <w:t>’</w:t>
      </w:r>
      <w:proofErr w:type="spellStart"/>
      <w:r w:rsidRPr="008D75D5">
        <w:rPr>
          <w:rFonts w:ascii="Arial" w:hAnsi="Arial"/>
          <w:sz w:val="22"/>
        </w:rPr>
        <w:t>Aragoz</w:t>
      </w:r>
      <w:proofErr w:type="spellEnd"/>
      <w:r w:rsidRPr="008D75D5">
        <w:rPr>
          <w:rFonts w:ascii="Arial" w:hAnsi="Arial"/>
          <w:sz w:val="22"/>
        </w:rPr>
        <w:t>, en se concentrant sur la formation d</w:t>
      </w:r>
      <w:r w:rsidR="00A512DB">
        <w:rPr>
          <w:rFonts w:ascii="Arial" w:hAnsi="Arial"/>
          <w:sz w:val="22"/>
        </w:rPr>
        <w:t>’</w:t>
      </w:r>
      <w:r w:rsidRPr="008D75D5">
        <w:rPr>
          <w:rFonts w:ascii="Arial" w:hAnsi="Arial"/>
          <w:sz w:val="22"/>
        </w:rPr>
        <w:t>une nouvelle génération d</w:t>
      </w:r>
      <w:r w:rsidR="00A512DB">
        <w:rPr>
          <w:rFonts w:ascii="Arial" w:hAnsi="Arial"/>
          <w:sz w:val="22"/>
        </w:rPr>
        <w:t>’</w:t>
      </w:r>
      <w:r w:rsidRPr="008D75D5">
        <w:rPr>
          <w:rFonts w:ascii="Arial" w:hAnsi="Arial"/>
          <w:sz w:val="22"/>
        </w:rPr>
        <w:t xml:space="preserve">interprètes, </w:t>
      </w:r>
      <w:r w:rsidR="00962580">
        <w:rPr>
          <w:rFonts w:ascii="Arial" w:hAnsi="Arial"/>
          <w:sz w:val="22"/>
        </w:rPr>
        <w:t xml:space="preserve">tout en </w:t>
      </w:r>
      <w:r w:rsidRPr="008D75D5">
        <w:rPr>
          <w:rFonts w:ascii="Arial" w:hAnsi="Arial"/>
          <w:sz w:val="22"/>
        </w:rPr>
        <w:t>les reli</w:t>
      </w:r>
      <w:r w:rsidR="00962580">
        <w:rPr>
          <w:rFonts w:ascii="Arial" w:hAnsi="Arial"/>
          <w:sz w:val="22"/>
        </w:rPr>
        <w:t>ant</w:t>
      </w:r>
      <w:r w:rsidRPr="008D75D5">
        <w:rPr>
          <w:rFonts w:ascii="Arial" w:hAnsi="Arial"/>
          <w:sz w:val="22"/>
        </w:rPr>
        <w:t xml:space="preserve"> au marché et </w:t>
      </w:r>
      <w:r w:rsidR="00962580">
        <w:rPr>
          <w:rFonts w:ascii="Arial" w:hAnsi="Arial"/>
          <w:sz w:val="22"/>
        </w:rPr>
        <w:t xml:space="preserve">en </w:t>
      </w:r>
      <w:r w:rsidRPr="008D75D5">
        <w:rPr>
          <w:rFonts w:ascii="Arial" w:hAnsi="Arial"/>
          <w:sz w:val="22"/>
        </w:rPr>
        <w:t>cré</w:t>
      </w:r>
      <w:r w:rsidR="00962580">
        <w:rPr>
          <w:rFonts w:ascii="Arial" w:hAnsi="Arial"/>
          <w:sz w:val="22"/>
        </w:rPr>
        <w:t>ant</w:t>
      </w:r>
      <w:r w:rsidRPr="008D75D5">
        <w:rPr>
          <w:rFonts w:ascii="Arial" w:hAnsi="Arial"/>
          <w:sz w:val="22"/>
        </w:rPr>
        <w:t xml:space="preserve"> de nouveaux lieux et de nouvelles opportunités de représentation. </w:t>
      </w:r>
      <w:r w:rsidR="00962580">
        <w:rPr>
          <w:rFonts w:ascii="Arial" w:hAnsi="Arial"/>
          <w:sz w:val="22"/>
        </w:rPr>
        <w:t>L’objectif du plan</w:t>
      </w:r>
      <w:r w:rsidRPr="008D75D5">
        <w:rPr>
          <w:rFonts w:ascii="Arial" w:hAnsi="Arial"/>
          <w:sz w:val="22"/>
        </w:rPr>
        <w:t xml:space="preserve"> de sauvegarde est de promouvoir et augmenter la visibilité de l</w:t>
      </w:r>
      <w:r w:rsidR="00A512DB">
        <w:rPr>
          <w:rFonts w:ascii="Arial" w:hAnsi="Arial"/>
          <w:sz w:val="22"/>
        </w:rPr>
        <w:t>’</w:t>
      </w:r>
      <w:proofErr w:type="spellStart"/>
      <w:r w:rsidRPr="008D75D5">
        <w:rPr>
          <w:rFonts w:ascii="Arial" w:hAnsi="Arial"/>
          <w:sz w:val="22"/>
        </w:rPr>
        <w:t>Aragoz</w:t>
      </w:r>
      <w:proofErr w:type="spellEnd"/>
      <w:r w:rsidRPr="008D75D5">
        <w:rPr>
          <w:rFonts w:ascii="Arial" w:hAnsi="Arial"/>
          <w:sz w:val="22"/>
        </w:rPr>
        <w:t>, ainsi que d</w:t>
      </w:r>
      <w:r w:rsidR="00A512DB">
        <w:rPr>
          <w:rFonts w:ascii="Arial" w:hAnsi="Arial"/>
          <w:sz w:val="22"/>
        </w:rPr>
        <w:t>’</w:t>
      </w:r>
      <w:r w:rsidRPr="008D75D5">
        <w:rPr>
          <w:rFonts w:ascii="Arial" w:hAnsi="Arial"/>
          <w:sz w:val="22"/>
        </w:rPr>
        <w:t>encourager le partage d</w:t>
      </w:r>
      <w:r w:rsidR="00962580">
        <w:rPr>
          <w:rFonts w:ascii="Arial" w:hAnsi="Arial"/>
          <w:sz w:val="22"/>
        </w:rPr>
        <w:t>’</w:t>
      </w:r>
      <w:r w:rsidRPr="008D75D5">
        <w:rPr>
          <w:rFonts w:ascii="Arial" w:hAnsi="Arial"/>
          <w:sz w:val="22"/>
        </w:rPr>
        <w:t>expériences</w:t>
      </w:r>
      <w:r w:rsidR="00642CFB">
        <w:rPr>
          <w:rFonts w:ascii="Arial" w:hAnsi="Arial"/>
          <w:sz w:val="22"/>
        </w:rPr>
        <w:t xml:space="preserve"> parmi les nouveaux praticiens.</w:t>
      </w:r>
    </w:p>
    <w:p w14:paraId="1C072A61" w14:textId="18C43B23" w:rsidR="003F4BCF" w:rsidRPr="008D75D5" w:rsidRDefault="003F4BCF" w:rsidP="003F4BCF">
      <w:pPr>
        <w:tabs>
          <w:tab w:val="left" w:pos="567"/>
          <w:tab w:val="left" w:pos="1134"/>
          <w:tab w:val="left" w:pos="1701"/>
          <w:tab w:val="left" w:pos="2268"/>
        </w:tabs>
        <w:spacing w:before="120" w:after="120"/>
        <w:ind w:left="1701" w:hanging="567"/>
        <w:jc w:val="both"/>
        <w:rPr>
          <w:rFonts w:ascii="Arial" w:hAnsi="Arial" w:cs="Arial"/>
          <w:sz w:val="22"/>
          <w:szCs w:val="22"/>
        </w:rPr>
      </w:pPr>
      <w:r w:rsidRPr="008D75D5">
        <w:rPr>
          <w:rFonts w:ascii="Arial" w:hAnsi="Arial"/>
          <w:sz w:val="22"/>
        </w:rPr>
        <w:t>U.4 :</w:t>
      </w:r>
      <w:r w:rsidRPr="008D75D5">
        <w:tab/>
      </w:r>
      <w:r w:rsidR="00962580">
        <w:rPr>
          <w:rFonts w:ascii="Arial" w:hAnsi="Arial"/>
          <w:sz w:val="22"/>
        </w:rPr>
        <w:t>Tout au long</w:t>
      </w:r>
      <w:r w:rsidR="00962580" w:rsidRPr="008D75D5">
        <w:rPr>
          <w:rFonts w:ascii="Arial" w:hAnsi="Arial"/>
          <w:sz w:val="22"/>
        </w:rPr>
        <w:t xml:space="preserve"> </w:t>
      </w:r>
      <w:r w:rsidR="0054670A">
        <w:rPr>
          <w:rFonts w:ascii="Arial" w:hAnsi="Arial"/>
          <w:sz w:val="22"/>
        </w:rPr>
        <w:t>d’</w:t>
      </w:r>
      <w:r w:rsidRPr="008D75D5">
        <w:rPr>
          <w:rFonts w:ascii="Arial" w:hAnsi="Arial"/>
          <w:sz w:val="22"/>
        </w:rPr>
        <w:t>une série de réunions et de sessions de formation, les praticiens de l</w:t>
      </w:r>
      <w:r w:rsidR="00A512DB">
        <w:rPr>
          <w:rFonts w:ascii="Arial" w:hAnsi="Arial"/>
          <w:sz w:val="22"/>
        </w:rPr>
        <w:t>’</w:t>
      </w:r>
      <w:proofErr w:type="spellStart"/>
      <w:r w:rsidRPr="008D75D5">
        <w:rPr>
          <w:rFonts w:ascii="Arial" w:hAnsi="Arial"/>
          <w:sz w:val="22"/>
        </w:rPr>
        <w:t>Aragoz</w:t>
      </w:r>
      <w:proofErr w:type="spellEnd"/>
      <w:r w:rsidRPr="008D75D5">
        <w:rPr>
          <w:rFonts w:ascii="Arial" w:hAnsi="Arial"/>
          <w:sz w:val="22"/>
        </w:rPr>
        <w:t xml:space="preserve"> ont appris les principes de la Convention et les conséquences d</w:t>
      </w:r>
      <w:r w:rsidR="00A512DB">
        <w:rPr>
          <w:rFonts w:ascii="Arial" w:hAnsi="Arial"/>
          <w:sz w:val="22"/>
        </w:rPr>
        <w:t>’</w:t>
      </w:r>
      <w:r w:rsidRPr="008D75D5">
        <w:rPr>
          <w:rFonts w:ascii="Arial" w:hAnsi="Arial"/>
          <w:sz w:val="22"/>
        </w:rPr>
        <w:t>une inscription potentielle. Ils ont participé à l</w:t>
      </w:r>
      <w:r w:rsidR="00A512DB">
        <w:rPr>
          <w:rFonts w:ascii="Arial" w:hAnsi="Arial"/>
          <w:sz w:val="22"/>
        </w:rPr>
        <w:t>’</w:t>
      </w:r>
      <w:r w:rsidRPr="008D75D5">
        <w:rPr>
          <w:rFonts w:ascii="Arial" w:hAnsi="Arial"/>
          <w:sz w:val="22"/>
        </w:rPr>
        <w:t>identification des obstacles au développement de l</w:t>
      </w:r>
      <w:r w:rsidR="00A512DB">
        <w:rPr>
          <w:rFonts w:ascii="Arial" w:hAnsi="Arial"/>
          <w:sz w:val="22"/>
        </w:rPr>
        <w:t>’</w:t>
      </w:r>
      <w:r w:rsidRPr="008D75D5">
        <w:rPr>
          <w:rFonts w:ascii="Arial" w:hAnsi="Arial"/>
          <w:sz w:val="22"/>
        </w:rPr>
        <w:t>art et des menaces à sa viabilité, et rendu une proposition de programme de formation. Plusieurs praticiens et trois ONG ont donné leur consentement libre</w:t>
      </w:r>
      <w:r w:rsidR="00962580">
        <w:rPr>
          <w:rFonts w:ascii="Arial" w:hAnsi="Arial"/>
          <w:sz w:val="22"/>
        </w:rPr>
        <w:t>, préalable</w:t>
      </w:r>
      <w:r w:rsidRPr="008D75D5">
        <w:rPr>
          <w:rFonts w:ascii="Arial" w:hAnsi="Arial"/>
          <w:sz w:val="22"/>
        </w:rPr>
        <w:t xml:space="preserve"> et éclairé à la candidature, et proposé leurs locaux pour la tenue de sessions de formation et de réunions.</w:t>
      </w:r>
    </w:p>
    <w:p w14:paraId="59F18E13" w14:textId="3268953D" w:rsidR="003F4BCF" w:rsidRPr="008D75D5" w:rsidRDefault="003F4BCF" w:rsidP="003F4BCF">
      <w:pPr>
        <w:tabs>
          <w:tab w:val="left" w:pos="567"/>
          <w:tab w:val="left" w:pos="1134"/>
          <w:tab w:val="left" w:pos="1701"/>
          <w:tab w:val="left" w:pos="2268"/>
        </w:tabs>
        <w:spacing w:before="120" w:after="120"/>
        <w:ind w:left="1701" w:hanging="567"/>
        <w:jc w:val="both"/>
        <w:rPr>
          <w:rFonts w:ascii="Arial" w:hAnsi="Arial" w:cs="Arial"/>
          <w:sz w:val="22"/>
          <w:szCs w:val="22"/>
        </w:rPr>
      </w:pPr>
      <w:r w:rsidRPr="008D75D5">
        <w:rPr>
          <w:rFonts w:ascii="Arial" w:hAnsi="Arial"/>
          <w:sz w:val="22"/>
        </w:rPr>
        <w:t>U.5 :</w:t>
      </w:r>
      <w:r w:rsidRPr="008D75D5">
        <w:tab/>
      </w:r>
      <w:r w:rsidRPr="008D75D5">
        <w:rPr>
          <w:rFonts w:ascii="Arial" w:hAnsi="Arial"/>
          <w:sz w:val="22"/>
        </w:rPr>
        <w:t>L</w:t>
      </w:r>
      <w:r w:rsidR="00A512DB">
        <w:rPr>
          <w:rFonts w:ascii="Arial" w:hAnsi="Arial"/>
          <w:sz w:val="22"/>
        </w:rPr>
        <w:t>’</w:t>
      </w:r>
      <w:r w:rsidRPr="008D75D5">
        <w:rPr>
          <w:rFonts w:ascii="Arial" w:hAnsi="Arial"/>
          <w:sz w:val="22"/>
        </w:rPr>
        <w:t>élément est inclus depuis 2012 et 2013 dans deux inventaires respectivement tenus par la Société égyptienne des traditions populaires et la Commission nationale égyptienne pour l</w:t>
      </w:r>
      <w:r w:rsidR="00A512DB">
        <w:rPr>
          <w:rFonts w:ascii="Arial" w:hAnsi="Arial"/>
          <w:sz w:val="22"/>
        </w:rPr>
        <w:t>’</w:t>
      </w:r>
      <w:r w:rsidRPr="008D75D5">
        <w:rPr>
          <w:rFonts w:ascii="Arial" w:hAnsi="Arial"/>
          <w:sz w:val="22"/>
        </w:rPr>
        <w:t>éducation, la culture et la science. L</w:t>
      </w:r>
      <w:r w:rsidR="00A512DB">
        <w:rPr>
          <w:rFonts w:ascii="Arial" w:hAnsi="Arial"/>
          <w:sz w:val="22"/>
        </w:rPr>
        <w:t>’</w:t>
      </w:r>
      <w:r w:rsidRPr="008D75D5">
        <w:rPr>
          <w:rFonts w:ascii="Arial" w:hAnsi="Arial"/>
          <w:sz w:val="22"/>
        </w:rPr>
        <w:t xml:space="preserve">élément a été </w:t>
      </w:r>
      <w:r w:rsidRPr="008D75D5">
        <w:rPr>
          <w:rFonts w:ascii="Arial" w:hAnsi="Arial"/>
          <w:sz w:val="22"/>
        </w:rPr>
        <w:lastRenderedPageBreak/>
        <w:t>identifié en partenariat avec les praticiens qui ont servi d</w:t>
      </w:r>
      <w:r w:rsidR="00A512DB">
        <w:rPr>
          <w:rFonts w:ascii="Arial" w:hAnsi="Arial"/>
          <w:sz w:val="22"/>
        </w:rPr>
        <w:t>’</w:t>
      </w:r>
      <w:r w:rsidRPr="008D75D5">
        <w:rPr>
          <w:rFonts w:ascii="Arial" w:hAnsi="Arial"/>
          <w:sz w:val="22"/>
        </w:rPr>
        <w:t xml:space="preserve">informateurs pendant que des recherches </w:t>
      </w:r>
      <w:r w:rsidR="00962580">
        <w:rPr>
          <w:rFonts w:ascii="Arial" w:hAnsi="Arial"/>
          <w:sz w:val="22"/>
        </w:rPr>
        <w:t>approfondies</w:t>
      </w:r>
      <w:r w:rsidR="00962580" w:rsidRPr="008D75D5">
        <w:rPr>
          <w:rFonts w:ascii="Arial" w:hAnsi="Arial"/>
          <w:sz w:val="22"/>
        </w:rPr>
        <w:t xml:space="preserve"> </w:t>
      </w:r>
      <w:r w:rsidRPr="008D75D5">
        <w:rPr>
          <w:rFonts w:ascii="Arial" w:hAnsi="Arial"/>
          <w:sz w:val="22"/>
        </w:rPr>
        <w:t>étaient menées. Des mises à jour sont apportées à chaque fois qu</w:t>
      </w:r>
      <w:r w:rsidR="00A512DB">
        <w:rPr>
          <w:rFonts w:ascii="Arial" w:hAnsi="Arial"/>
          <w:sz w:val="22"/>
        </w:rPr>
        <w:t>’</w:t>
      </w:r>
      <w:r w:rsidRPr="008D75D5">
        <w:rPr>
          <w:rFonts w:ascii="Arial" w:hAnsi="Arial"/>
          <w:sz w:val="22"/>
        </w:rPr>
        <w:t>une nouvelle information est disponible ou que des chercheurs rapportent des nouvelles découvertes sur le terrain.</w:t>
      </w:r>
    </w:p>
    <w:p w14:paraId="486E6277" w14:textId="71320239" w:rsidR="00CF12CF" w:rsidRPr="00642CFB" w:rsidRDefault="00CF12CF" w:rsidP="0029421F">
      <w:pPr>
        <w:pStyle w:val="ListParagraph"/>
        <w:numPr>
          <w:ilvl w:val="0"/>
          <w:numId w:val="12"/>
        </w:numPr>
        <w:spacing w:before="120" w:after="120"/>
        <w:ind w:left="1134" w:hanging="567"/>
        <w:jc w:val="both"/>
        <w:outlineLvl w:val="1"/>
        <w:rPr>
          <w:rFonts w:ascii="Arial" w:eastAsia="SimSun" w:hAnsi="Arial" w:cs="Angsana New"/>
          <w:sz w:val="22"/>
          <w:szCs w:val="22"/>
        </w:rPr>
      </w:pPr>
      <w:r w:rsidRPr="008D75D5">
        <w:rPr>
          <w:rFonts w:ascii="Arial" w:hAnsi="Arial"/>
          <w:sz w:val="22"/>
          <w:u w:val="single"/>
        </w:rPr>
        <w:t>Inscrit</w:t>
      </w:r>
      <w:r w:rsidRPr="008D75D5">
        <w:rPr>
          <w:rFonts w:ascii="Arial" w:hAnsi="Arial"/>
          <w:b/>
          <w:sz w:val="22"/>
        </w:rPr>
        <w:t xml:space="preserve"> les marionnettes à gaine traditionnelles </w:t>
      </w:r>
      <w:r w:rsidRPr="008D75D5">
        <w:rPr>
          <w:rFonts w:ascii="Arial" w:hAnsi="Arial"/>
          <w:sz w:val="22"/>
        </w:rPr>
        <w:t>sur la Liste du patrimoine culturel immatériel nécessitant une sauvegarde urgente</w:t>
      </w:r>
      <w:r w:rsidR="00895932">
        <w:rPr>
          <w:rFonts w:ascii="Arial" w:hAnsi="Arial"/>
          <w:sz w:val="22"/>
        </w:rPr>
        <w:t> ;</w:t>
      </w:r>
    </w:p>
    <w:p w14:paraId="2AE9F125" w14:textId="268C4656" w:rsidR="003F4BCF" w:rsidRPr="008D75D5" w:rsidRDefault="003F4BCF" w:rsidP="0029421F">
      <w:pPr>
        <w:pStyle w:val="ListParagraph"/>
        <w:numPr>
          <w:ilvl w:val="0"/>
          <w:numId w:val="12"/>
        </w:numPr>
        <w:spacing w:before="120" w:after="120"/>
        <w:ind w:left="1134" w:hanging="567"/>
        <w:jc w:val="both"/>
        <w:outlineLvl w:val="1"/>
        <w:rPr>
          <w:rFonts w:ascii="Arial" w:eastAsia="SimSun" w:hAnsi="Arial" w:cs="Angsana New"/>
          <w:sz w:val="22"/>
          <w:szCs w:val="22"/>
        </w:rPr>
      </w:pPr>
      <w:r w:rsidRPr="008D75D5">
        <w:rPr>
          <w:rFonts w:ascii="Arial" w:hAnsi="Arial"/>
          <w:sz w:val="22"/>
          <w:u w:val="single"/>
        </w:rPr>
        <w:t>Félicite</w:t>
      </w:r>
      <w:r w:rsidRPr="008D75D5">
        <w:rPr>
          <w:rFonts w:ascii="Arial" w:hAnsi="Arial"/>
          <w:sz w:val="22"/>
        </w:rPr>
        <w:t xml:space="preserve"> l</w:t>
      </w:r>
      <w:r w:rsidR="00A512DB">
        <w:rPr>
          <w:rFonts w:ascii="Arial" w:hAnsi="Arial"/>
          <w:sz w:val="22"/>
        </w:rPr>
        <w:t>’</w:t>
      </w:r>
      <w:r w:rsidRPr="008D75D5">
        <w:rPr>
          <w:rFonts w:ascii="Arial" w:hAnsi="Arial"/>
          <w:sz w:val="22"/>
        </w:rPr>
        <w:t>État partie pour la soumission d</w:t>
      </w:r>
      <w:r w:rsidR="00A512DB">
        <w:rPr>
          <w:rFonts w:ascii="Arial" w:hAnsi="Arial"/>
          <w:sz w:val="22"/>
        </w:rPr>
        <w:t>’</w:t>
      </w:r>
      <w:r w:rsidRPr="008D75D5">
        <w:rPr>
          <w:rFonts w:ascii="Arial" w:hAnsi="Arial"/>
          <w:sz w:val="22"/>
        </w:rPr>
        <w:t>un dossier amélioré suite à la décision du Comité de ne pas inscrire l</w:t>
      </w:r>
      <w:r w:rsidR="00A512DB">
        <w:rPr>
          <w:rFonts w:ascii="Arial" w:hAnsi="Arial"/>
          <w:sz w:val="22"/>
        </w:rPr>
        <w:t>’</w:t>
      </w:r>
      <w:r w:rsidRPr="008D75D5">
        <w:rPr>
          <w:rFonts w:ascii="Arial" w:hAnsi="Arial"/>
          <w:sz w:val="22"/>
        </w:rPr>
        <w:t>élément en 2015</w:t>
      </w:r>
      <w:r w:rsidR="00895932">
        <w:rPr>
          <w:rFonts w:ascii="Arial" w:hAnsi="Arial"/>
          <w:sz w:val="22"/>
        </w:rPr>
        <w:t> ;</w:t>
      </w:r>
    </w:p>
    <w:p w14:paraId="6BD4E6BD" w14:textId="2B93C97C" w:rsidR="003F4BCF" w:rsidRPr="008D75D5" w:rsidRDefault="003F4BCF" w:rsidP="0029421F">
      <w:pPr>
        <w:pStyle w:val="ListParagraph"/>
        <w:numPr>
          <w:ilvl w:val="0"/>
          <w:numId w:val="12"/>
        </w:numPr>
        <w:spacing w:before="120" w:after="120"/>
        <w:ind w:left="1134" w:hanging="567"/>
        <w:jc w:val="both"/>
        <w:outlineLvl w:val="1"/>
        <w:rPr>
          <w:rFonts w:ascii="Arial" w:eastAsia="SimSun" w:hAnsi="Arial" w:cs="Angsana New"/>
          <w:sz w:val="22"/>
          <w:szCs w:val="22"/>
        </w:rPr>
      </w:pPr>
      <w:r w:rsidRPr="008D75D5">
        <w:rPr>
          <w:rFonts w:ascii="Arial" w:hAnsi="Arial"/>
          <w:sz w:val="22"/>
          <w:u w:val="single"/>
        </w:rPr>
        <w:t>Invite</w:t>
      </w:r>
      <w:r w:rsidRPr="008D75D5">
        <w:rPr>
          <w:rFonts w:ascii="Arial" w:hAnsi="Arial"/>
          <w:sz w:val="22"/>
        </w:rPr>
        <w:t xml:space="preserve"> l</w:t>
      </w:r>
      <w:r w:rsidR="00A512DB">
        <w:rPr>
          <w:rFonts w:ascii="Arial" w:hAnsi="Arial"/>
          <w:sz w:val="22"/>
        </w:rPr>
        <w:t>’</w:t>
      </w:r>
      <w:r w:rsidRPr="008D75D5">
        <w:rPr>
          <w:rFonts w:ascii="Arial" w:hAnsi="Arial"/>
          <w:sz w:val="22"/>
        </w:rPr>
        <w:t>État partie</w:t>
      </w:r>
      <w:r w:rsidR="00820A2F">
        <w:rPr>
          <w:rFonts w:ascii="Arial" w:hAnsi="Arial"/>
          <w:sz w:val="22"/>
        </w:rPr>
        <w:t>, lorsqu’il fait référence au patrimoine culturel immatériel,</w:t>
      </w:r>
      <w:r w:rsidRPr="008D75D5">
        <w:rPr>
          <w:rFonts w:ascii="Arial" w:hAnsi="Arial"/>
          <w:sz w:val="22"/>
        </w:rPr>
        <w:t xml:space="preserve"> à éviter l</w:t>
      </w:r>
      <w:r w:rsidR="00A512DB">
        <w:rPr>
          <w:rFonts w:ascii="Arial" w:hAnsi="Arial"/>
          <w:sz w:val="22"/>
        </w:rPr>
        <w:t>’</w:t>
      </w:r>
      <w:r w:rsidRPr="008D75D5">
        <w:rPr>
          <w:rFonts w:ascii="Arial" w:hAnsi="Arial"/>
          <w:sz w:val="22"/>
        </w:rPr>
        <w:t>usage d</w:t>
      </w:r>
      <w:r w:rsidR="00A512DB">
        <w:rPr>
          <w:rFonts w:ascii="Arial" w:hAnsi="Arial"/>
          <w:sz w:val="22"/>
        </w:rPr>
        <w:t>’</w:t>
      </w:r>
      <w:r w:rsidRPr="008D75D5">
        <w:rPr>
          <w:rFonts w:ascii="Arial" w:hAnsi="Arial"/>
          <w:sz w:val="22"/>
        </w:rPr>
        <w:t>un vocab</w:t>
      </w:r>
      <w:r w:rsidR="00820A2F">
        <w:rPr>
          <w:rFonts w:ascii="Arial" w:hAnsi="Arial"/>
          <w:sz w:val="22"/>
        </w:rPr>
        <w:t>ulaire et de concepts inadaptés</w:t>
      </w:r>
      <w:r w:rsidRPr="008D75D5">
        <w:rPr>
          <w:rFonts w:ascii="Arial" w:hAnsi="Arial"/>
          <w:sz w:val="22"/>
        </w:rPr>
        <w:t xml:space="preserve">, </w:t>
      </w:r>
      <w:r w:rsidR="00820A2F">
        <w:rPr>
          <w:rFonts w:ascii="Arial" w:hAnsi="Arial"/>
          <w:sz w:val="22"/>
        </w:rPr>
        <w:t>tels que</w:t>
      </w:r>
      <w:r w:rsidR="00962580" w:rsidRPr="008D75D5">
        <w:rPr>
          <w:rFonts w:ascii="Arial" w:hAnsi="Arial"/>
          <w:sz w:val="22"/>
        </w:rPr>
        <w:t xml:space="preserve"> </w:t>
      </w:r>
      <w:r w:rsidRPr="008D75D5">
        <w:rPr>
          <w:rFonts w:ascii="Arial" w:hAnsi="Arial"/>
          <w:sz w:val="22"/>
        </w:rPr>
        <w:t xml:space="preserve">« dialecte unique », </w:t>
      </w:r>
      <w:r w:rsidR="001D4A3F">
        <w:rPr>
          <w:rFonts w:ascii="Arial" w:hAnsi="Arial"/>
          <w:sz w:val="22"/>
        </w:rPr>
        <w:t>qui sont</w:t>
      </w:r>
      <w:r w:rsidRPr="008D75D5">
        <w:rPr>
          <w:rFonts w:ascii="Arial" w:hAnsi="Arial"/>
          <w:sz w:val="22"/>
        </w:rPr>
        <w:t xml:space="preserve"> contraire</w:t>
      </w:r>
      <w:r w:rsidR="001D4A3F">
        <w:rPr>
          <w:rFonts w:ascii="Arial" w:hAnsi="Arial"/>
          <w:sz w:val="22"/>
        </w:rPr>
        <w:t>s</w:t>
      </w:r>
      <w:r w:rsidRPr="008D75D5">
        <w:rPr>
          <w:rFonts w:ascii="Arial" w:hAnsi="Arial"/>
          <w:sz w:val="22"/>
        </w:rPr>
        <w:t xml:space="preserve"> à la définition </w:t>
      </w:r>
      <w:r w:rsidR="001D4A3F">
        <w:rPr>
          <w:rFonts w:ascii="Arial" w:hAnsi="Arial"/>
          <w:sz w:val="22"/>
        </w:rPr>
        <w:t>du</w:t>
      </w:r>
      <w:r w:rsidR="001D4A3F" w:rsidRPr="008D75D5">
        <w:rPr>
          <w:rFonts w:ascii="Arial" w:hAnsi="Arial"/>
          <w:sz w:val="22"/>
        </w:rPr>
        <w:t xml:space="preserve"> </w:t>
      </w:r>
      <w:r w:rsidRPr="008D75D5">
        <w:rPr>
          <w:rFonts w:ascii="Arial" w:hAnsi="Arial"/>
          <w:sz w:val="22"/>
        </w:rPr>
        <w:t xml:space="preserve">patrimoine culturel immatériel </w:t>
      </w:r>
      <w:r w:rsidR="00820A2F">
        <w:rPr>
          <w:rFonts w:ascii="Arial" w:hAnsi="Arial"/>
          <w:sz w:val="22"/>
        </w:rPr>
        <w:t>de</w:t>
      </w:r>
      <w:r w:rsidRPr="008D75D5">
        <w:rPr>
          <w:rFonts w:ascii="Arial" w:hAnsi="Arial"/>
          <w:sz w:val="22"/>
        </w:rPr>
        <w:t xml:space="preserve"> l</w:t>
      </w:r>
      <w:r w:rsidR="00A512DB">
        <w:rPr>
          <w:rFonts w:ascii="Arial" w:hAnsi="Arial"/>
          <w:sz w:val="22"/>
        </w:rPr>
        <w:t>’</w:t>
      </w:r>
      <w:r w:rsidRPr="008D75D5">
        <w:rPr>
          <w:rFonts w:ascii="Arial" w:hAnsi="Arial"/>
          <w:sz w:val="22"/>
        </w:rPr>
        <w:t>article 2.1 de la Convention.</w:t>
      </w:r>
    </w:p>
    <w:p w14:paraId="61A4D9BE" w14:textId="0CE445C5" w:rsidR="003F4BCF" w:rsidRPr="008D75D5" w:rsidRDefault="00CF12CF" w:rsidP="00BC46E7">
      <w:pPr>
        <w:keepNext/>
        <w:keepLines/>
        <w:spacing w:before="360" w:after="120"/>
        <w:ind w:left="567"/>
        <w:outlineLvl w:val="0"/>
        <w:rPr>
          <w:rFonts w:ascii="Arial" w:eastAsia="SimSun" w:hAnsi="Arial" w:cs="Angsana New"/>
          <w:b/>
          <w:sz w:val="22"/>
          <w:szCs w:val="22"/>
        </w:rPr>
      </w:pPr>
      <w:bookmarkStart w:id="11" w:name="Decision_10a5"/>
      <w:bookmarkEnd w:id="11"/>
      <w:r w:rsidRPr="008D75D5">
        <w:rPr>
          <w:rFonts w:ascii="Arial" w:hAnsi="Arial"/>
          <w:b/>
          <w:sz w:val="22"/>
        </w:rPr>
        <w:t>PROJET DE DÉCISION 13.COM 10.a.5</w:t>
      </w:r>
      <w:r w:rsidRPr="008D75D5">
        <w:tab/>
      </w:r>
      <w:r w:rsidRPr="008D75D5">
        <w:rPr>
          <w:rFonts w:ascii="Arial" w:hAnsi="Arial" w:cs="Arial"/>
          <w:noProof/>
          <w:color w:val="0000FF"/>
          <w:sz w:val="22"/>
          <w:szCs w:val="22"/>
          <w:lang w:val="en-US" w:eastAsia="ko-KR" w:bidi="ar-SA"/>
        </w:rPr>
        <w:drawing>
          <wp:inline distT="0" distB="0" distL="0" distR="0" wp14:anchorId="11908C01" wp14:editId="7157CE30">
            <wp:extent cx="104775" cy="104775"/>
            <wp:effectExtent l="0" t="0" r="9525" b="9525"/>
            <wp:docPr id="6" name="Picture 6">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C423C3F" w14:textId="30286201" w:rsidR="003F4BCF" w:rsidRPr="008D75D5" w:rsidRDefault="00CF12CF" w:rsidP="003F4BCF">
      <w:pPr>
        <w:keepNext/>
        <w:tabs>
          <w:tab w:val="left" w:pos="567"/>
          <w:tab w:val="left" w:pos="1134"/>
          <w:tab w:val="left" w:pos="1701"/>
          <w:tab w:val="left" w:pos="2268"/>
        </w:tabs>
        <w:spacing w:before="120" w:after="120"/>
        <w:ind w:left="567"/>
        <w:jc w:val="both"/>
        <w:rPr>
          <w:rFonts w:ascii="Arial" w:eastAsia="SimSun" w:hAnsi="Arial" w:cs="Arial"/>
          <w:sz w:val="22"/>
          <w:szCs w:val="22"/>
        </w:rPr>
      </w:pPr>
      <w:r w:rsidRPr="008D75D5">
        <w:rPr>
          <w:rFonts w:ascii="Arial" w:hAnsi="Arial"/>
          <w:sz w:val="22"/>
        </w:rPr>
        <w:t>Le Comité</w:t>
      </w:r>
    </w:p>
    <w:p w14:paraId="21DEE69E" w14:textId="12FA6542" w:rsidR="00CF12CF" w:rsidRPr="008D75D5" w:rsidRDefault="00CF12CF" w:rsidP="0029421F">
      <w:pPr>
        <w:pStyle w:val="ListParagraph"/>
        <w:keepNext/>
        <w:numPr>
          <w:ilvl w:val="0"/>
          <w:numId w:val="9"/>
        </w:numPr>
        <w:spacing w:before="120" w:after="120"/>
        <w:ind w:left="1134" w:hanging="567"/>
        <w:jc w:val="both"/>
        <w:outlineLvl w:val="1"/>
        <w:rPr>
          <w:rFonts w:ascii="Arial" w:eastAsia="SimSun" w:hAnsi="Arial" w:cs="Angsana New"/>
          <w:sz w:val="22"/>
          <w:szCs w:val="22"/>
        </w:rPr>
      </w:pPr>
      <w:r w:rsidRPr="008D75D5">
        <w:rPr>
          <w:rFonts w:ascii="Arial" w:hAnsi="Arial"/>
          <w:sz w:val="22"/>
          <w:u w:val="single"/>
        </w:rPr>
        <w:t>Prend note</w:t>
      </w:r>
      <w:r w:rsidRPr="008D75D5">
        <w:rPr>
          <w:rFonts w:ascii="Arial" w:hAnsi="Arial"/>
          <w:sz w:val="22"/>
        </w:rPr>
        <w:t xml:space="preserve"> que le Kenya a proposé la candidature de </w:t>
      </w:r>
      <w:r w:rsidRPr="008D75D5">
        <w:rPr>
          <w:rFonts w:ascii="Arial" w:hAnsi="Arial"/>
          <w:b/>
          <w:sz w:val="22"/>
        </w:rPr>
        <w:t>l</w:t>
      </w:r>
      <w:r w:rsidR="00A512DB">
        <w:rPr>
          <w:rFonts w:ascii="Arial" w:hAnsi="Arial"/>
          <w:b/>
          <w:sz w:val="22"/>
        </w:rPr>
        <w:t>’</w:t>
      </w:r>
      <w:proofErr w:type="spellStart"/>
      <w:r w:rsidRPr="008D75D5">
        <w:rPr>
          <w:rFonts w:ascii="Arial" w:hAnsi="Arial"/>
          <w:b/>
          <w:sz w:val="22"/>
        </w:rPr>
        <w:t>Enkipaata</w:t>
      </w:r>
      <w:proofErr w:type="spellEnd"/>
      <w:r w:rsidRPr="008D75D5">
        <w:rPr>
          <w:rFonts w:ascii="Arial" w:hAnsi="Arial"/>
          <w:b/>
          <w:sz w:val="22"/>
        </w:rPr>
        <w:t>, l</w:t>
      </w:r>
      <w:r w:rsidR="00A512DB">
        <w:rPr>
          <w:rFonts w:ascii="Arial" w:hAnsi="Arial"/>
          <w:b/>
          <w:sz w:val="22"/>
        </w:rPr>
        <w:t>’</w:t>
      </w:r>
      <w:proofErr w:type="spellStart"/>
      <w:r w:rsidRPr="008D75D5">
        <w:rPr>
          <w:rFonts w:ascii="Arial" w:hAnsi="Arial"/>
          <w:b/>
          <w:sz w:val="22"/>
        </w:rPr>
        <w:t>Eunoto</w:t>
      </w:r>
      <w:proofErr w:type="spellEnd"/>
      <w:r w:rsidRPr="008D75D5">
        <w:rPr>
          <w:rFonts w:ascii="Arial" w:hAnsi="Arial"/>
          <w:b/>
          <w:sz w:val="22"/>
        </w:rPr>
        <w:t xml:space="preserve"> et l</w:t>
      </w:r>
      <w:r w:rsidR="00A512DB">
        <w:rPr>
          <w:rFonts w:ascii="Arial" w:hAnsi="Arial"/>
          <w:b/>
          <w:sz w:val="22"/>
        </w:rPr>
        <w:t>’</w:t>
      </w:r>
      <w:proofErr w:type="spellStart"/>
      <w:r w:rsidRPr="008D75D5">
        <w:rPr>
          <w:rFonts w:ascii="Arial" w:hAnsi="Arial"/>
          <w:b/>
          <w:sz w:val="22"/>
        </w:rPr>
        <w:t>Olng</w:t>
      </w:r>
      <w:r w:rsidR="00A512DB">
        <w:rPr>
          <w:rFonts w:ascii="Arial" w:hAnsi="Arial"/>
          <w:b/>
          <w:sz w:val="22"/>
        </w:rPr>
        <w:t>’</w:t>
      </w:r>
      <w:r w:rsidRPr="008D75D5">
        <w:rPr>
          <w:rFonts w:ascii="Arial" w:hAnsi="Arial"/>
          <w:b/>
          <w:sz w:val="22"/>
        </w:rPr>
        <w:t>esherr</w:t>
      </w:r>
      <w:proofErr w:type="spellEnd"/>
      <w:r w:rsidRPr="008D75D5">
        <w:rPr>
          <w:rFonts w:ascii="Arial" w:hAnsi="Arial"/>
          <w:b/>
          <w:sz w:val="22"/>
        </w:rPr>
        <w:t>, trois rites de passage masculins de la communauté masaï</w:t>
      </w:r>
      <w:r w:rsidRPr="008D75D5">
        <w:rPr>
          <w:rFonts w:ascii="Arial" w:hAnsi="Arial"/>
          <w:sz w:val="22"/>
        </w:rPr>
        <w:t xml:space="preserve"> (n° 01390) pour inscription sur la Liste du patrimoine culturel immatériel nécessitant une sauvegarde urgente :</w:t>
      </w:r>
    </w:p>
    <w:p w14:paraId="06E784A8" w14:textId="75107552" w:rsidR="003F4BCF" w:rsidRPr="00642CFB" w:rsidRDefault="00642CFB" w:rsidP="00642CFB">
      <w:pPr>
        <w:tabs>
          <w:tab w:val="left" w:pos="1134"/>
          <w:tab w:val="left" w:pos="1701"/>
          <w:tab w:val="left" w:pos="2268"/>
        </w:tabs>
        <w:spacing w:before="120" w:after="120"/>
        <w:ind w:left="1134"/>
        <w:jc w:val="both"/>
        <w:rPr>
          <w:rFonts w:ascii="Arial" w:hAnsi="Arial" w:cs="Arial"/>
          <w:sz w:val="22"/>
          <w:szCs w:val="22"/>
        </w:rPr>
      </w:pPr>
      <w:r w:rsidRPr="00642CFB">
        <w:rPr>
          <w:rFonts w:ascii="Arial" w:hAnsi="Arial"/>
          <w:sz w:val="22"/>
        </w:rPr>
        <w:t>L’</w:t>
      </w:r>
      <w:proofErr w:type="spellStart"/>
      <w:r w:rsidRPr="00642CFB">
        <w:rPr>
          <w:rFonts w:ascii="Arial" w:hAnsi="Arial"/>
          <w:sz w:val="22"/>
        </w:rPr>
        <w:t>Enkipaata</w:t>
      </w:r>
      <w:proofErr w:type="spellEnd"/>
      <w:r w:rsidRPr="00642CFB">
        <w:rPr>
          <w:rFonts w:ascii="Arial" w:hAnsi="Arial"/>
          <w:sz w:val="22"/>
        </w:rPr>
        <w:t>, l’</w:t>
      </w:r>
      <w:proofErr w:type="spellStart"/>
      <w:r w:rsidRPr="00642CFB">
        <w:rPr>
          <w:rFonts w:ascii="Arial" w:hAnsi="Arial"/>
          <w:sz w:val="22"/>
        </w:rPr>
        <w:t>Eunoto</w:t>
      </w:r>
      <w:proofErr w:type="spellEnd"/>
      <w:r w:rsidRPr="00642CFB">
        <w:rPr>
          <w:rFonts w:ascii="Arial" w:hAnsi="Arial"/>
          <w:sz w:val="22"/>
        </w:rPr>
        <w:t xml:space="preserve"> et l’</w:t>
      </w:r>
      <w:proofErr w:type="spellStart"/>
      <w:r w:rsidRPr="00642CFB">
        <w:rPr>
          <w:rFonts w:ascii="Arial" w:hAnsi="Arial"/>
          <w:sz w:val="22"/>
        </w:rPr>
        <w:t>Olng’esherr</w:t>
      </w:r>
      <w:proofErr w:type="spellEnd"/>
      <w:r w:rsidRPr="00642CFB">
        <w:rPr>
          <w:rFonts w:ascii="Arial" w:hAnsi="Arial"/>
          <w:sz w:val="22"/>
        </w:rPr>
        <w:t xml:space="preserve"> sont trois rites de passage masculins interdépendants de la communauté masaï : l’</w:t>
      </w:r>
      <w:proofErr w:type="spellStart"/>
      <w:r w:rsidRPr="00642CFB">
        <w:rPr>
          <w:rFonts w:ascii="Arial" w:hAnsi="Arial"/>
          <w:sz w:val="22"/>
        </w:rPr>
        <w:t>Enkipaata</w:t>
      </w:r>
      <w:proofErr w:type="spellEnd"/>
      <w:r w:rsidRPr="00642CFB">
        <w:rPr>
          <w:rFonts w:ascii="Arial" w:hAnsi="Arial"/>
          <w:sz w:val="22"/>
        </w:rPr>
        <w:t xml:space="preserve"> est la prépara</w:t>
      </w:r>
      <w:r w:rsidR="0054670A">
        <w:rPr>
          <w:rFonts w:ascii="Arial" w:hAnsi="Arial"/>
          <w:sz w:val="22"/>
        </w:rPr>
        <w:t>tion des garçons à l’initiation ;</w:t>
      </w:r>
      <w:r w:rsidRPr="00642CFB">
        <w:rPr>
          <w:rFonts w:ascii="Arial" w:hAnsi="Arial"/>
          <w:sz w:val="22"/>
        </w:rPr>
        <w:t xml:space="preserve"> l’</w:t>
      </w:r>
      <w:proofErr w:type="spellStart"/>
      <w:r w:rsidRPr="00642CFB">
        <w:rPr>
          <w:rFonts w:ascii="Arial" w:hAnsi="Arial"/>
          <w:sz w:val="22"/>
        </w:rPr>
        <w:t>Eunoto</w:t>
      </w:r>
      <w:proofErr w:type="spellEnd"/>
      <w:r w:rsidRPr="00642CFB">
        <w:rPr>
          <w:rFonts w:ascii="Arial" w:hAnsi="Arial"/>
          <w:sz w:val="22"/>
        </w:rPr>
        <w:t xml:space="preserve"> est le rasage des </w:t>
      </w:r>
      <w:proofErr w:type="spellStart"/>
      <w:r w:rsidRPr="00642CFB">
        <w:rPr>
          <w:rFonts w:ascii="Arial" w:hAnsi="Arial"/>
          <w:sz w:val="22"/>
        </w:rPr>
        <w:t>moranes</w:t>
      </w:r>
      <w:proofErr w:type="spellEnd"/>
      <w:r w:rsidRPr="00642CFB">
        <w:rPr>
          <w:rFonts w:ascii="Arial" w:hAnsi="Arial"/>
          <w:sz w:val="22"/>
        </w:rPr>
        <w:t xml:space="preserve"> (jeunes guerriers) qui ouvre la voie à l’âge adulte ; et l’</w:t>
      </w:r>
      <w:proofErr w:type="spellStart"/>
      <w:r w:rsidRPr="00642CFB">
        <w:rPr>
          <w:rFonts w:ascii="Arial" w:hAnsi="Arial"/>
          <w:sz w:val="22"/>
        </w:rPr>
        <w:t>Olng’esherr</w:t>
      </w:r>
      <w:proofErr w:type="spellEnd"/>
      <w:r w:rsidRPr="00642CFB">
        <w:rPr>
          <w:rFonts w:ascii="Arial" w:hAnsi="Arial"/>
          <w:sz w:val="22"/>
        </w:rPr>
        <w:t xml:space="preserve"> est la cérémonie de consommation de viande marquant la fin du </w:t>
      </w:r>
      <w:proofErr w:type="spellStart"/>
      <w:r w:rsidRPr="00642CFB">
        <w:rPr>
          <w:rFonts w:ascii="Arial" w:hAnsi="Arial"/>
          <w:sz w:val="22"/>
        </w:rPr>
        <w:t>moranisme</w:t>
      </w:r>
      <w:proofErr w:type="spellEnd"/>
      <w:r w:rsidRPr="00642CFB">
        <w:rPr>
          <w:rFonts w:ascii="Arial" w:hAnsi="Arial"/>
          <w:sz w:val="22"/>
        </w:rPr>
        <w:t xml:space="preserve"> et le début de l’âge adulte. Les rites de passage sont principalement pratiqués par de jeunes hommes de la communauté masaï âgés de quinze à trente ans mais les femmes accomplissent également certaines tâches. </w:t>
      </w:r>
      <w:r w:rsidR="001324E6">
        <w:rPr>
          <w:rFonts w:ascii="Arial" w:hAnsi="Arial"/>
          <w:sz w:val="22"/>
        </w:rPr>
        <w:t xml:space="preserve">En leur enseignant </w:t>
      </w:r>
      <w:r w:rsidR="00E95524">
        <w:rPr>
          <w:rFonts w:ascii="Arial" w:hAnsi="Arial"/>
          <w:sz w:val="22"/>
        </w:rPr>
        <w:t>leur rôle futur</w:t>
      </w:r>
      <w:r w:rsidR="001324E6">
        <w:rPr>
          <w:rFonts w:ascii="Arial" w:hAnsi="Arial"/>
          <w:sz w:val="22"/>
        </w:rPr>
        <w:t xml:space="preserve"> dans la société masaï, l</w:t>
      </w:r>
      <w:r w:rsidRPr="00642CFB">
        <w:rPr>
          <w:rFonts w:ascii="Arial" w:hAnsi="Arial"/>
          <w:sz w:val="22"/>
        </w:rPr>
        <w:t xml:space="preserve">e rite vise à faire passer les jeunes garçons aux stades de </w:t>
      </w:r>
      <w:proofErr w:type="spellStart"/>
      <w:r w:rsidRPr="00642CFB">
        <w:rPr>
          <w:rFonts w:ascii="Arial" w:hAnsi="Arial"/>
          <w:sz w:val="22"/>
        </w:rPr>
        <w:t>moranes</w:t>
      </w:r>
      <w:proofErr w:type="spellEnd"/>
      <w:r w:rsidRPr="00642CFB">
        <w:rPr>
          <w:rFonts w:ascii="Arial" w:hAnsi="Arial"/>
          <w:sz w:val="22"/>
        </w:rPr>
        <w:t xml:space="preserve"> puis de jeunes adultes et enfin d’ainés. Il aborde les questions de respect et de responsabilité, de sauvegarde de la lignée ainsi que de transfert des pouvoirs d’un groupe d’âge au suivant, en transmettant des savoirs autochtones concernant l’élevage, la gestion des conflits, les légendes, les traditions et les compétences</w:t>
      </w:r>
      <w:r w:rsidR="001324E6">
        <w:rPr>
          <w:rFonts w:ascii="Arial" w:hAnsi="Arial"/>
          <w:sz w:val="22"/>
        </w:rPr>
        <w:t xml:space="preserve"> de vie</w:t>
      </w:r>
      <w:r w:rsidRPr="00642CFB">
        <w:rPr>
          <w:rFonts w:ascii="Arial" w:hAnsi="Arial"/>
          <w:sz w:val="22"/>
        </w:rPr>
        <w:t xml:space="preserve"> essentielles. Toutefois, </w:t>
      </w:r>
      <w:r w:rsidR="001324E6" w:rsidRPr="00642CFB">
        <w:rPr>
          <w:rFonts w:ascii="Arial" w:hAnsi="Arial"/>
          <w:sz w:val="22"/>
        </w:rPr>
        <w:t xml:space="preserve">bien que les rites attirent encore des foules assez considérables, </w:t>
      </w:r>
      <w:r w:rsidR="003A280D">
        <w:rPr>
          <w:rFonts w:ascii="Arial" w:hAnsi="Arial"/>
          <w:sz w:val="22"/>
        </w:rPr>
        <w:t>la pratique est en déclin rapide en raison de l’émergence rapide de l’agriculture en tant que source principale de revenus, de réformes du système foncier et de l’impact du changement climatique sur la survie du bétail.</w:t>
      </w:r>
    </w:p>
    <w:p w14:paraId="27BF659C" w14:textId="452FB905" w:rsidR="00CF12CF" w:rsidRPr="008D75D5" w:rsidRDefault="00CF12CF" w:rsidP="0029421F">
      <w:pPr>
        <w:pStyle w:val="ListParagraph"/>
        <w:keepNext/>
        <w:numPr>
          <w:ilvl w:val="0"/>
          <w:numId w:val="9"/>
        </w:numPr>
        <w:spacing w:before="120" w:after="120"/>
        <w:ind w:left="1134" w:hanging="567"/>
        <w:jc w:val="both"/>
        <w:outlineLvl w:val="1"/>
        <w:rPr>
          <w:rFonts w:ascii="Arial" w:eastAsia="SimSun" w:hAnsi="Arial" w:cs="Angsana New"/>
          <w:sz w:val="22"/>
          <w:szCs w:val="22"/>
        </w:rPr>
      </w:pPr>
      <w:r w:rsidRPr="008D75D5">
        <w:rPr>
          <w:rFonts w:ascii="Arial" w:hAnsi="Arial"/>
          <w:sz w:val="22"/>
          <w:u w:val="single"/>
        </w:rPr>
        <w:t>Décide</w:t>
      </w:r>
      <w:r w:rsidRPr="008D75D5">
        <w:rPr>
          <w:rFonts w:ascii="Arial" w:hAnsi="Arial"/>
          <w:sz w:val="22"/>
        </w:rPr>
        <w:t xml:space="preserve"> que, d</w:t>
      </w:r>
      <w:r w:rsidR="00A512DB">
        <w:rPr>
          <w:rFonts w:ascii="Arial" w:hAnsi="Arial"/>
          <w:sz w:val="22"/>
        </w:rPr>
        <w:t>’</w:t>
      </w:r>
      <w:r w:rsidRPr="008D75D5">
        <w:rPr>
          <w:rFonts w:ascii="Arial" w:hAnsi="Arial"/>
          <w:sz w:val="22"/>
        </w:rPr>
        <w:t>après l</w:t>
      </w:r>
      <w:r w:rsidR="00A512DB">
        <w:rPr>
          <w:rFonts w:ascii="Arial" w:hAnsi="Arial"/>
          <w:sz w:val="22"/>
        </w:rPr>
        <w:t>’</w:t>
      </w:r>
      <w:r w:rsidRPr="008D75D5">
        <w:rPr>
          <w:rFonts w:ascii="Arial" w:hAnsi="Arial"/>
          <w:sz w:val="22"/>
        </w:rPr>
        <w:t>information contenue dans le dossier, la candidature satisfait aux critères d</w:t>
      </w:r>
      <w:r w:rsidR="00A512DB">
        <w:rPr>
          <w:rFonts w:ascii="Arial" w:hAnsi="Arial"/>
          <w:sz w:val="22"/>
        </w:rPr>
        <w:t>’</w:t>
      </w:r>
      <w:r w:rsidRPr="008D75D5">
        <w:rPr>
          <w:rFonts w:ascii="Arial" w:hAnsi="Arial"/>
          <w:sz w:val="22"/>
        </w:rPr>
        <w:t>inscription sur la Liste du patrimoine culturel immatériel nécessitant une sauvegarde urgente comme suit :</w:t>
      </w:r>
    </w:p>
    <w:p w14:paraId="6D65997D" w14:textId="01A2C0E6" w:rsidR="003F4BCF" w:rsidRPr="008D75D5" w:rsidRDefault="003F4BCF" w:rsidP="003F4BCF">
      <w:pPr>
        <w:tabs>
          <w:tab w:val="left" w:pos="567"/>
          <w:tab w:val="left" w:pos="1134"/>
          <w:tab w:val="left" w:pos="1701"/>
          <w:tab w:val="left" w:pos="2268"/>
        </w:tabs>
        <w:spacing w:before="120" w:after="120"/>
        <w:ind w:left="1701" w:hanging="567"/>
        <w:jc w:val="both"/>
        <w:rPr>
          <w:rFonts w:ascii="Arial" w:hAnsi="Arial" w:cs="Arial"/>
          <w:sz w:val="22"/>
          <w:szCs w:val="22"/>
        </w:rPr>
      </w:pPr>
      <w:r w:rsidRPr="008D75D5">
        <w:rPr>
          <w:rFonts w:ascii="Arial" w:hAnsi="Arial"/>
          <w:sz w:val="22"/>
        </w:rPr>
        <w:t>U.1 :</w:t>
      </w:r>
      <w:r w:rsidRPr="008D75D5">
        <w:tab/>
      </w:r>
      <w:r w:rsidRPr="008D75D5">
        <w:rPr>
          <w:rFonts w:ascii="Arial" w:hAnsi="Arial"/>
          <w:sz w:val="22"/>
        </w:rPr>
        <w:t>À travers cette pratique, les jeunes hommes acquièrent le savoir, le</w:t>
      </w:r>
      <w:r w:rsidR="003A280D">
        <w:rPr>
          <w:rFonts w:ascii="Arial" w:hAnsi="Arial"/>
          <w:sz w:val="22"/>
        </w:rPr>
        <w:t>s</w:t>
      </w:r>
      <w:r w:rsidRPr="008D75D5">
        <w:rPr>
          <w:rFonts w:ascii="Arial" w:hAnsi="Arial"/>
          <w:sz w:val="22"/>
        </w:rPr>
        <w:t xml:space="preserve"> savoir-faire et les valeurs sociales nécessaires pour devenir des membres respectés et responsables de la communauté, et pour comprendre et remplir leur rôle dans la société. Le savoir de la culture masaï est transmis </w:t>
      </w:r>
      <w:r w:rsidR="003A280D">
        <w:rPr>
          <w:rFonts w:ascii="Arial" w:hAnsi="Arial"/>
          <w:sz w:val="22"/>
        </w:rPr>
        <w:t>pendant</w:t>
      </w:r>
      <w:r w:rsidRPr="008D75D5">
        <w:rPr>
          <w:rFonts w:ascii="Arial" w:hAnsi="Arial"/>
          <w:sz w:val="22"/>
        </w:rPr>
        <w:t xml:space="preserve"> </w:t>
      </w:r>
      <w:r w:rsidR="003A280D">
        <w:rPr>
          <w:rFonts w:ascii="Arial" w:hAnsi="Arial"/>
          <w:sz w:val="22"/>
        </w:rPr>
        <w:t xml:space="preserve">les </w:t>
      </w:r>
      <w:r w:rsidRPr="008D75D5">
        <w:rPr>
          <w:rFonts w:ascii="Arial" w:hAnsi="Arial"/>
          <w:sz w:val="22"/>
        </w:rPr>
        <w:t>trois rites. L</w:t>
      </w:r>
      <w:r w:rsidR="00A512DB">
        <w:rPr>
          <w:rFonts w:ascii="Arial" w:hAnsi="Arial"/>
          <w:sz w:val="22"/>
        </w:rPr>
        <w:t>’</w:t>
      </w:r>
      <w:r w:rsidRPr="008D75D5">
        <w:rPr>
          <w:rFonts w:ascii="Arial" w:hAnsi="Arial"/>
          <w:sz w:val="22"/>
        </w:rPr>
        <w:t>élément a vu sa transmission diminuer et les circonstances de sa pratique changer profondément, poussées par une évolution générale de la société. Sa pratique a cependant gardé la même signification et finalité, tout en respectant les catégories spéciales de détenteurs et leurs rôles. Sa transmission reste aussi partie intégrante de l</w:t>
      </w:r>
      <w:r w:rsidR="00A512DB">
        <w:rPr>
          <w:rFonts w:ascii="Arial" w:hAnsi="Arial"/>
          <w:sz w:val="22"/>
        </w:rPr>
        <w:t>’</w:t>
      </w:r>
      <w:r w:rsidRPr="008D75D5">
        <w:rPr>
          <w:rFonts w:ascii="Arial" w:hAnsi="Arial"/>
          <w:sz w:val="22"/>
        </w:rPr>
        <w:t>intégration sociale et culturelle des i</w:t>
      </w:r>
      <w:r w:rsidR="00642CFB">
        <w:rPr>
          <w:rFonts w:ascii="Arial" w:hAnsi="Arial"/>
          <w:sz w:val="22"/>
        </w:rPr>
        <w:t>ndividus dans la société masaï.</w:t>
      </w:r>
    </w:p>
    <w:p w14:paraId="6DBE3F3A" w14:textId="4ACD7FDC" w:rsidR="003F4BCF" w:rsidRPr="008D75D5" w:rsidRDefault="003F4BCF" w:rsidP="003F4BCF">
      <w:pPr>
        <w:tabs>
          <w:tab w:val="left" w:pos="567"/>
          <w:tab w:val="left" w:pos="1134"/>
          <w:tab w:val="left" w:pos="1701"/>
          <w:tab w:val="left" w:pos="2268"/>
        </w:tabs>
        <w:spacing w:before="120" w:after="120"/>
        <w:ind w:left="1701" w:hanging="567"/>
        <w:jc w:val="both"/>
        <w:rPr>
          <w:rFonts w:ascii="Arial" w:hAnsi="Arial" w:cs="Arial"/>
          <w:sz w:val="22"/>
          <w:szCs w:val="22"/>
        </w:rPr>
      </w:pPr>
      <w:r w:rsidRPr="008D75D5">
        <w:rPr>
          <w:rFonts w:ascii="Arial" w:hAnsi="Arial"/>
          <w:sz w:val="22"/>
        </w:rPr>
        <w:t>U.2 :</w:t>
      </w:r>
      <w:r w:rsidRPr="008D75D5">
        <w:tab/>
      </w:r>
      <w:r w:rsidRPr="008D75D5">
        <w:rPr>
          <w:rFonts w:ascii="Arial" w:hAnsi="Arial"/>
          <w:sz w:val="22"/>
        </w:rPr>
        <w:t xml:space="preserve">Les conditions de cette pratique ont changé considérablement, ce qui a entraîné une diminution importante du nombre de ses praticiens, et apporté des changements à ses modes de transmission traditionnels. De telles méthodes ne sont plus possibles pour des raisons pratiques telles que le caractère obligatoire </w:t>
      </w:r>
      <w:r w:rsidRPr="008D75D5">
        <w:rPr>
          <w:rFonts w:ascii="Arial" w:hAnsi="Arial"/>
          <w:sz w:val="22"/>
        </w:rPr>
        <w:lastRenderedPageBreak/>
        <w:t>de l</w:t>
      </w:r>
      <w:r w:rsidR="00A512DB">
        <w:rPr>
          <w:rFonts w:ascii="Arial" w:hAnsi="Arial"/>
          <w:sz w:val="22"/>
        </w:rPr>
        <w:t>’</w:t>
      </w:r>
      <w:r w:rsidRPr="008D75D5">
        <w:rPr>
          <w:rFonts w:ascii="Arial" w:hAnsi="Arial"/>
          <w:sz w:val="22"/>
        </w:rPr>
        <w:t>enseignement scolaire, et la récente prédominance des activités agricoles dans l</w:t>
      </w:r>
      <w:r w:rsidR="00A512DB">
        <w:rPr>
          <w:rFonts w:ascii="Arial" w:hAnsi="Arial"/>
          <w:sz w:val="22"/>
        </w:rPr>
        <w:t>’</w:t>
      </w:r>
      <w:r w:rsidRPr="008D75D5">
        <w:rPr>
          <w:rFonts w:ascii="Arial" w:hAnsi="Arial"/>
          <w:sz w:val="22"/>
        </w:rPr>
        <w:t>économie locale. De plus, des changements du régime de propriété foncière et la sous-division actuelle des terres municipales ont réduit le nombre de lieux dédiés à la pratique de la tradition, la préparation des rituels s</w:t>
      </w:r>
      <w:r w:rsidR="00A512DB">
        <w:rPr>
          <w:rFonts w:ascii="Arial" w:hAnsi="Arial"/>
          <w:sz w:val="22"/>
        </w:rPr>
        <w:t>’</w:t>
      </w:r>
      <w:r w:rsidRPr="008D75D5">
        <w:rPr>
          <w:rFonts w:ascii="Arial" w:hAnsi="Arial"/>
          <w:sz w:val="22"/>
        </w:rPr>
        <w:t>est donc en partie déplacée du milieu communautaire au milieu familial. En conséquence, la pratique de l</w:t>
      </w:r>
      <w:r w:rsidR="00A512DB">
        <w:rPr>
          <w:rFonts w:ascii="Arial" w:hAnsi="Arial"/>
          <w:sz w:val="22"/>
        </w:rPr>
        <w:t>’</w:t>
      </w:r>
      <w:r w:rsidRPr="008D75D5">
        <w:rPr>
          <w:rFonts w:ascii="Arial" w:hAnsi="Arial"/>
          <w:sz w:val="22"/>
        </w:rPr>
        <w:t>élément diminue depuis les années 1980, et est menacée de nouvelles détériorations et de perte progressive.</w:t>
      </w:r>
    </w:p>
    <w:p w14:paraId="368C86C9" w14:textId="69F08DF8" w:rsidR="003F4BCF" w:rsidRPr="008D75D5" w:rsidRDefault="003F4BCF" w:rsidP="003F4BCF">
      <w:pPr>
        <w:tabs>
          <w:tab w:val="left" w:pos="567"/>
          <w:tab w:val="left" w:pos="1134"/>
          <w:tab w:val="left" w:pos="1701"/>
          <w:tab w:val="left" w:pos="2268"/>
        </w:tabs>
        <w:spacing w:before="120" w:after="120"/>
        <w:ind w:left="1701" w:hanging="567"/>
        <w:jc w:val="both"/>
        <w:rPr>
          <w:rFonts w:ascii="Arial" w:hAnsi="Arial" w:cs="Arial"/>
          <w:sz w:val="22"/>
          <w:szCs w:val="22"/>
        </w:rPr>
      </w:pPr>
      <w:r w:rsidRPr="008D75D5">
        <w:rPr>
          <w:rFonts w:ascii="Arial" w:hAnsi="Arial"/>
          <w:sz w:val="22"/>
        </w:rPr>
        <w:t>U.3 :</w:t>
      </w:r>
      <w:r w:rsidRPr="008D75D5">
        <w:tab/>
      </w:r>
      <w:r w:rsidRPr="008D75D5">
        <w:rPr>
          <w:rFonts w:ascii="Arial" w:hAnsi="Arial"/>
          <w:sz w:val="22"/>
        </w:rPr>
        <w:t xml:space="preserve">Le </w:t>
      </w:r>
      <w:r w:rsidR="003A280D">
        <w:rPr>
          <w:rFonts w:ascii="Arial" w:hAnsi="Arial"/>
          <w:sz w:val="22"/>
        </w:rPr>
        <w:t>plan de sauvegarde</w:t>
      </w:r>
      <w:r w:rsidRPr="008D75D5">
        <w:rPr>
          <w:rFonts w:ascii="Arial" w:hAnsi="Arial"/>
          <w:sz w:val="22"/>
        </w:rPr>
        <w:t xml:space="preserve"> </w:t>
      </w:r>
      <w:r w:rsidR="003A280D">
        <w:rPr>
          <w:rFonts w:ascii="Arial" w:hAnsi="Arial"/>
          <w:sz w:val="22"/>
        </w:rPr>
        <w:t>provient</w:t>
      </w:r>
      <w:r w:rsidR="003A280D" w:rsidRPr="008D75D5">
        <w:rPr>
          <w:rFonts w:ascii="Arial" w:hAnsi="Arial"/>
          <w:sz w:val="22"/>
        </w:rPr>
        <w:t xml:space="preserve"> </w:t>
      </w:r>
      <w:r w:rsidRPr="008D75D5">
        <w:rPr>
          <w:rFonts w:ascii="Arial" w:hAnsi="Arial"/>
          <w:sz w:val="22"/>
        </w:rPr>
        <w:t>d</w:t>
      </w:r>
      <w:r w:rsidR="00A512DB">
        <w:rPr>
          <w:rFonts w:ascii="Arial" w:hAnsi="Arial"/>
          <w:sz w:val="22"/>
        </w:rPr>
        <w:t>’</w:t>
      </w:r>
      <w:r w:rsidRPr="008D75D5">
        <w:rPr>
          <w:rFonts w:ascii="Arial" w:hAnsi="Arial"/>
          <w:sz w:val="22"/>
        </w:rPr>
        <w:t xml:space="preserve">un projet </w:t>
      </w:r>
      <w:proofErr w:type="spellStart"/>
      <w:r w:rsidRPr="008D75D5">
        <w:rPr>
          <w:rFonts w:ascii="Arial" w:hAnsi="Arial"/>
          <w:sz w:val="22"/>
        </w:rPr>
        <w:t>co-f</w:t>
      </w:r>
      <w:r w:rsidR="003A280D">
        <w:rPr>
          <w:rFonts w:ascii="Arial" w:hAnsi="Arial"/>
          <w:sz w:val="22"/>
        </w:rPr>
        <w:t>inancé</w:t>
      </w:r>
      <w:proofErr w:type="spellEnd"/>
      <w:r w:rsidRPr="008D75D5">
        <w:rPr>
          <w:rFonts w:ascii="Arial" w:hAnsi="Arial"/>
          <w:sz w:val="22"/>
        </w:rPr>
        <w:t xml:space="preserve"> par le gouvernement </w:t>
      </w:r>
      <w:r w:rsidR="003A280D">
        <w:rPr>
          <w:rFonts w:ascii="Arial" w:hAnsi="Arial"/>
          <w:sz w:val="22"/>
        </w:rPr>
        <w:t>k</w:t>
      </w:r>
      <w:r w:rsidRPr="008D75D5">
        <w:rPr>
          <w:rFonts w:ascii="Arial" w:hAnsi="Arial"/>
          <w:sz w:val="22"/>
        </w:rPr>
        <w:t>enyan, la communauté masaï et l</w:t>
      </w:r>
      <w:r w:rsidR="00A512DB">
        <w:rPr>
          <w:rFonts w:ascii="Arial" w:hAnsi="Arial"/>
          <w:sz w:val="22"/>
        </w:rPr>
        <w:t>’</w:t>
      </w:r>
      <w:r w:rsidRPr="008D75D5">
        <w:rPr>
          <w:rFonts w:ascii="Arial" w:hAnsi="Arial"/>
          <w:sz w:val="22"/>
        </w:rPr>
        <w:t xml:space="preserve">UNESCO. Il se base sur </w:t>
      </w:r>
      <w:r w:rsidR="003A280D">
        <w:rPr>
          <w:rFonts w:ascii="Arial" w:hAnsi="Arial"/>
          <w:sz w:val="22"/>
        </w:rPr>
        <w:t>le</w:t>
      </w:r>
      <w:r w:rsidR="003A280D" w:rsidRPr="008D75D5">
        <w:rPr>
          <w:rFonts w:ascii="Arial" w:hAnsi="Arial"/>
          <w:sz w:val="22"/>
        </w:rPr>
        <w:t xml:space="preserve"> </w:t>
      </w:r>
      <w:r w:rsidRPr="008D75D5">
        <w:rPr>
          <w:rFonts w:ascii="Arial" w:hAnsi="Arial"/>
          <w:sz w:val="22"/>
        </w:rPr>
        <w:t xml:space="preserve">renforcement des capacités et sur la formation </w:t>
      </w:r>
      <w:r w:rsidR="003A280D">
        <w:rPr>
          <w:rFonts w:ascii="Arial" w:hAnsi="Arial"/>
          <w:sz w:val="22"/>
        </w:rPr>
        <w:t>portant sur l’élaboration d’</w:t>
      </w:r>
      <w:r w:rsidRPr="008D75D5">
        <w:rPr>
          <w:rFonts w:ascii="Arial" w:hAnsi="Arial"/>
          <w:sz w:val="22"/>
        </w:rPr>
        <w:t>inventaire</w:t>
      </w:r>
      <w:r w:rsidR="003A280D">
        <w:rPr>
          <w:rFonts w:ascii="Arial" w:hAnsi="Arial"/>
          <w:sz w:val="22"/>
        </w:rPr>
        <w:t>s avec la participation des co</w:t>
      </w:r>
      <w:r w:rsidRPr="008D75D5">
        <w:rPr>
          <w:rFonts w:ascii="Arial" w:hAnsi="Arial"/>
          <w:sz w:val="22"/>
        </w:rPr>
        <w:t>mmunaut</w:t>
      </w:r>
      <w:r w:rsidR="003A280D">
        <w:rPr>
          <w:rFonts w:ascii="Arial" w:hAnsi="Arial"/>
          <w:sz w:val="22"/>
        </w:rPr>
        <w:t>és</w:t>
      </w:r>
      <w:r w:rsidR="00F1146A">
        <w:rPr>
          <w:rFonts w:ascii="Arial" w:hAnsi="Arial"/>
          <w:sz w:val="22"/>
        </w:rPr>
        <w:t>,</w:t>
      </w:r>
      <w:r w:rsidR="003A280D">
        <w:rPr>
          <w:rFonts w:ascii="Arial" w:hAnsi="Arial"/>
          <w:sz w:val="22"/>
        </w:rPr>
        <w:t xml:space="preserve"> dont </w:t>
      </w:r>
      <w:r w:rsidR="003A280D" w:rsidRPr="008D75D5">
        <w:rPr>
          <w:rFonts w:ascii="Arial" w:hAnsi="Arial"/>
          <w:sz w:val="22"/>
        </w:rPr>
        <w:t xml:space="preserve">des participants venant des neufs clans </w:t>
      </w:r>
      <w:r w:rsidR="00F1146A">
        <w:rPr>
          <w:rFonts w:ascii="Arial" w:hAnsi="Arial"/>
          <w:sz w:val="22"/>
        </w:rPr>
        <w:t>ont bénéficié</w:t>
      </w:r>
      <w:r w:rsidRPr="008D75D5">
        <w:rPr>
          <w:rFonts w:ascii="Arial" w:hAnsi="Arial"/>
          <w:sz w:val="22"/>
        </w:rPr>
        <w:t xml:space="preserve">. Outre la documentation, la diffusion du savoir collecté et </w:t>
      </w:r>
      <w:r w:rsidR="00F1146A">
        <w:rPr>
          <w:rFonts w:ascii="Arial" w:hAnsi="Arial"/>
          <w:sz w:val="22"/>
        </w:rPr>
        <w:t>d</w:t>
      </w:r>
      <w:r w:rsidRPr="008D75D5">
        <w:rPr>
          <w:rFonts w:ascii="Arial" w:hAnsi="Arial"/>
          <w:sz w:val="22"/>
        </w:rPr>
        <w:t>es informations concernant les résultats du projet, les sites sacrés où ont lieu les rituels seront également identifiés, et un système de protection durable sera établi afin d</w:t>
      </w:r>
      <w:r w:rsidR="00A512DB">
        <w:rPr>
          <w:rFonts w:ascii="Arial" w:hAnsi="Arial"/>
          <w:sz w:val="22"/>
        </w:rPr>
        <w:t>’</w:t>
      </w:r>
      <w:r w:rsidRPr="008D75D5">
        <w:rPr>
          <w:rFonts w:ascii="Arial" w:hAnsi="Arial"/>
          <w:sz w:val="22"/>
        </w:rPr>
        <w:t xml:space="preserve">assurer la protection de ces espaces. Éduquer les jeunes est une partie essentielle du </w:t>
      </w:r>
      <w:r w:rsidR="00F1146A">
        <w:rPr>
          <w:rFonts w:ascii="Arial" w:hAnsi="Arial"/>
          <w:sz w:val="22"/>
        </w:rPr>
        <w:t>plan</w:t>
      </w:r>
      <w:r w:rsidRPr="008D75D5">
        <w:rPr>
          <w:rFonts w:ascii="Arial" w:hAnsi="Arial"/>
          <w:sz w:val="22"/>
        </w:rPr>
        <w:t>. Structuré de façon claire, le plan de sauvegarde identifie un budget ainsi que l</w:t>
      </w:r>
      <w:r w:rsidR="00A512DB">
        <w:rPr>
          <w:rFonts w:ascii="Arial" w:hAnsi="Arial"/>
          <w:sz w:val="22"/>
        </w:rPr>
        <w:t>’</w:t>
      </w:r>
      <w:r w:rsidRPr="008D75D5">
        <w:rPr>
          <w:rFonts w:ascii="Arial" w:hAnsi="Arial"/>
          <w:sz w:val="22"/>
        </w:rPr>
        <w:t xml:space="preserve">organe responsable de chaque activité et compte sur la participation active de toute la communauté pendant toute sa durée. </w:t>
      </w:r>
      <w:r w:rsidR="00F1146A">
        <w:rPr>
          <w:rFonts w:ascii="Arial" w:hAnsi="Arial"/>
          <w:sz w:val="22"/>
        </w:rPr>
        <w:t>Il permettra de former des ressources humaines à même de</w:t>
      </w:r>
      <w:r w:rsidRPr="008D75D5">
        <w:rPr>
          <w:rFonts w:ascii="Arial" w:hAnsi="Arial"/>
          <w:sz w:val="22"/>
        </w:rPr>
        <w:t xml:space="preserve"> </w:t>
      </w:r>
      <w:r w:rsidR="00F1146A">
        <w:rPr>
          <w:rFonts w:ascii="Arial" w:hAnsi="Arial"/>
          <w:sz w:val="22"/>
        </w:rPr>
        <w:t xml:space="preserve">le </w:t>
      </w:r>
      <w:r w:rsidRPr="008D75D5">
        <w:rPr>
          <w:rFonts w:ascii="Arial" w:hAnsi="Arial"/>
          <w:sz w:val="22"/>
        </w:rPr>
        <w:t>réexaminer régulièrement et</w:t>
      </w:r>
      <w:r w:rsidR="00F1146A">
        <w:rPr>
          <w:rFonts w:ascii="Arial" w:hAnsi="Arial"/>
          <w:sz w:val="22"/>
        </w:rPr>
        <w:t xml:space="preserve"> de</w:t>
      </w:r>
      <w:r w:rsidRPr="008D75D5">
        <w:rPr>
          <w:rFonts w:ascii="Arial" w:hAnsi="Arial"/>
          <w:sz w:val="22"/>
        </w:rPr>
        <w:t xml:space="preserve"> le mettre à jour dans l</w:t>
      </w:r>
      <w:r w:rsidR="00A512DB">
        <w:rPr>
          <w:rFonts w:ascii="Arial" w:hAnsi="Arial"/>
          <w:sz w:val="22"/>
        </w:rPr>
        <w:t>’</w:t>
      </w:r>
      <w:r w:rsidRPr="008D75D5">
        <w:rPr>
          <w:rFonts w:ascii="Arial" w:hAnsi="Arial"/>
          <w:sz w:val="22"/>
        </w:rPr>
        <w:t>optique d</w:t>
      </w:r>
      <w:r w:rsidR="00A512DB">
        <w:rPr>
          <w:rFonts w:ascii="Arial" w:hAnsi="Arial"/>
          <w:sz w:val="22"/>
        </w:rPr>
        <w:t>’</w:t>
      </w:r>
      <w:r w:rsidRPr="008D75D5">
        <w:rPr>
          <w:rFonts w:ascii="Arial" w:hAnsi="Arial"/>
          <w:sz w:val="22"/>
        </w:rPr>
        <w:t>améliorer la transmission et de garantir la viabilité de l</w:t>
      </w:r>
      <w:r w:rsidR="00A512DB">
        <w:rPr>
          <w:rFonts w:ascii="Arial" w:hAnsi="Arial"/>
          <w:sz w:val="22"/>
        </w:rPr>
        <w:t>’</w:t>
      </w:r>
      <w:r w:rsidR="00642CFB">
        <w:rPr>
          <w:rFonts w:ascii="Arial" w:hAnsi="Arial"/>
          <w:sz w:val="22"/>
        </w:rPr>
        <w:t>élément.</w:t>
      </w:r>
    </w:p>
    <w:p w14:paraId="481BAA74" w14:textId="4C834E64" w:rsidR="003F4BCF" w:rsidRPr="008D75D5" w:rsidRDefault="003F4BCF" w:rsidP="003F4BCF">
      <w:pPr>
        <w:tabs>
          <w:tab w:val="left" w:pos="567"/>
          <w:tab w:val="left" w:pos="1134"/>
          <w:tab w:val="left" w:pos="1701"/>
          <w:tab w:val="left" w:pos="2268"/>
        </w:tabs>
        <w:spacing w:before="120" w:after="120"/>
        <w:ind w:left="1701" w:hanging="567"/>
        <w:jc w:val="both"/>
        <w:rPr>
          <w:rFonts w:ascii="Arial" w:hAnsi="Arial" w:cs="Arial"/>
          <w:sz w:val="22"/>
          <w:szCs w:val="22"/>
        </w:rPr>
      </w:pPr>
      <w:r w:rsidRPr="008D75D5">
        <w:rPr>
          <w:rFonts w:ascii="Arial" w:hAnsi="Arial"/>
          <w:sz w:val="22"/>
        </w:rPr>
        <w:t>U.4 :</w:t>
      </w:r>
      <w:r w:rsidRPr="008D75D5">
        <w:tab/>
      </w:r>
      <w:r w:rsidRPr="008D75D5">
        <w:rPr>
          <w:rFonts w:ascii="Arial" w:hAnsi="Arial"/>
          <w:sz w:val="22"/>
        </w:rPr>
        <w:t xml:space="preserve">Le dossier témoigne du dialogue actif et de la coopération entre la communauté masaï, le </w:t>
      </w:r>
      <w:r w:rsidR="00F1146A">
        <w:rPr>
          <w:rFonts w:ascii="Arial" w:hAnsi="Arial"/>
          <w:sz w:val="22"/>
        </w:rPr>
        <w:t>d</w:t>
      </w:r>
      <w:r w:rsidRPr="008D75D5">
        <w:rPr>
          <w:rFonts w:ascii="Arial" w:hAnsi="Arial"/>
          <w:sz w:val="22"/>
        </w:rPr>
        <w:t>épartement de la culture, l</w:t>
      </w:r>
      <w:r w:rsidR="00A512DB">
        <w:rPr>
          <w:rFonts w:ascii="Arial" w:hAnsi="Arial"/>
          <w:sz w:val="22"/>
        </w:rPr>
        <w:t>’</w:t>
      </w:r>
      <w:r w:rsidRPr="008D75D5">
        <w:rPr>
          <w:rFonts w:ascii="Arial" w:hAnsi="Arial"/>
          <w:sz w:val="22"/>
        </w:rPr>
        <w:t>Initiative culturelle pour la conservation de la biodiversité, le Patrimoine culturel masaï et d</w:t>
      </w:r>
      <w:r w:rsidR="00A512DB">
        <w:rPr>
          <w:rFonts w:ascii="Arial" w:hAnsi="Arial"/>
          <w:sz w:val="22"/>
        </w:rPr>
        <w:t>’</w:t>
      </w:r>
      <w:r w:rsidRPr="008D75D5">
        <w:rPr>
          <w:rFonts w:ascii="Arial" w:hAnsi="Arial"/>
          <w:sz w:val="22"/>
        </w:rPr>
        <w:t xml:space="preserve">autres parties prenantes pendant le processus de candidature. Des représentants </w:t>
      </w:r>
      <w:proofErr w:type="gramStart"/>
      <w:r w:rsidRPr="008D75D5">
        <w:rPr>
          <w:rFonts w:ascii="Arial" w:hAnsi="Arial"/>
          <w:sz w:val="22"/>
        </w:rPr>
        <w:t>des neuf clans masaï</w:t>
      </w:r>
      <w:proofErr w:type="gramEnd"/>
      <w:r w:rsidRPr="008D75D5">
        <w:rPr>
          <w:rFonts w:ascii="Arial" w:hAnsi="Arial"/>
          <w:sz w:val="22"/>
        </w:rPr>
        <w:t xml:space="preserve"> ont participé à la préparation du dossier et soutiennent la candidature, leur consentement est joint sous forme écrite et audiovisuelle.</w:t>
      </w:r>
    </w:p>
    <w:p w14:paraId="68671162" w14:textId="05F2284C" w:rsidR="003F4BCF" w:rsidRPr="008D75D5" w:rsidRDefault="003F4BCF" w:rsidP="003F4BCF">
      <w:pPr>
        <w:tabs>
          <w:tab w:val="left" w:pos="567"/>
          <w:tab w:val="left" w:pos="1134"/>
          <w:tab w:val="left" w:pos="1701"/>
          <w:tab w:val="left" w:pos="2268"/>
        </w:tabs>
        <w:spacing w:before="120" w:after="120"/>
        <w:ind w:left="1701" w:hanging="567"/>
        <w:jc w:val="both"/>
        <w:rPr>
          <w:rFonts w:ascii="Arial" w:hAnsi="Arial" w:cs="Arial"/>
          <w:sz w:val="22"/>
          <w:szCs w:val="22"/>
        </w:rPr>
      </w:pPr>
      <w:r w:rsidRPr="008D75D5">
        <w:rPr>
          <w:rFonts w:ascii="Arial" w:hAnsi="Arial"/>
          <w:sz w:val="22"/>
        </w:rPr>
        <w:t>U.5 :</w:t>
      </w:r>
      <w:r w:rsidRPr="008D75D5">
        <w:tab/>
      </w:r>
      <w:r w:rsidR="00F1146A">
        <w:rPr>
          <w:rFonts w:ascii="Arial" w:hAnsi="Arial"/>
          <w:sz w:val="22"/>
        </w:rPr>
        <w:t>La</w:t>
      </w:r>
      <w:r w:rsidR="00F1146A" w:rsidRPr="008D75D5">
        <w:rPr>
          <w:rFonts w:ascii="Arial" w:hAnsi="Arial"/>
          <w:sz w:val="22"/>
        </w:rPr>
        <w:t xml:space="preserve"> </w:t>
      </w:r>
      <w:r w:rsidRPr="008D75D5">
        <w:rPr>
          <w:rFonts w:ascii="Arial" w:hAnsi="Arial"/>
          <w:sz w:val="22"/>
        </w:rPr>
        <w:t xml:space="preserve">pratique </w:t>
      </w:r>
      <w:r w:rsidR="00F1146A">
        <w:rPr>
          <w:rFonts w:ascii="Arial" w:hAnsi="Arial"/>
          <w:sz w:val="22"/>
        </w:rPr>
        <w:t>a été</w:t>
      </w:r>
      <w:r w:rsidR="00F1146A" w:rsidRPr="008D75D5">
        <w:rPr>
          <w:rFonts w:ascii="Arial" w:hAnsi="Arial"/>
          <w:sz w:val="22"/>
        </w:rPr>
        <w:t xml:space="preserve"> </w:t>
      </w:r>
      <w:r w:rsidRPr="008D75D5">
        <w:rPr>
          <w:rFonts w:ascii="Arial" w:hAnsi="Arial"/>
          <w:sz w:val="22"/>
        </w:rPr>
        <w:t>inventoriée en même temps que d</w:t>
      </w:r>
      <w:r w:rsidR="00A512DB">
        <w:rPr>
          <w:rFonts w:ascii="Arial" w:hAnsi="Arial"/>
          <w:sz w:val="22"/>
        </w:rPr>
        <w:t>’</w:t>
      </w:r>
      <w:r w:rsidRPr="008D75D5">
        <w:rPr>
          <w:rFonts w:ascii="Arial" w:hAnsi="Arial"/>
          <w:sz w:val="22"/>
        </w:rPr>
        <w:t xml:space="preserve">autres aspects de la culture masaï, et est </w:t>
      </w:r>
      <w:r w:rsidR="00F1146A">
        <w:rPr>
          <w:rFonts w:ascii="Arial" w:hAnsi="Arial"/>
          <w:sz w:val="22"/>
        </w:rPr>
        <w:t xml:space="preserve">incluse dans </w:t>
      </w:r>
      <w:r w:rsidRPr="008D75D5">
        <w:rPr>
          <w:rFonts w:ascii="Arial" w:hAnsi="Arial"/>
          <w:sz w:val="22"/>
        </w:rPr>
        <w:t>l</w:t>
      </w:r>
      <w:r w:rsidR="00A512DB">
        <w:rPr>
          <w:rFonts w:ascii="Arial" w:hAnsi="Arial"/>
          <w:sz w:val="22"/>
        </w:rPr>
        <w:t>’</w:t>
      </w:r>
      <w:r w:rsidR="00F1146A">
        <w:rPr>
          <w:rFonts w:ascii="Arial" w:hAnsi="Arial"/>
          <w:sz w:val="22"/>
        </w:rPr>
        <w:t>i</w:t>
      </w:r>
      <w:r w:rsidRPr="008D75D5">
        <w:rPr>
          <w:rFonts w:ascii="Arial" w:hAnsi="Arial"/>
          <w:sz w:val="22"/>
        </w:rPr>
        <w:t xml:space="preserve">nventaire national des éléments du patrimoine culturel immatériel depuis 2012. </w:t>
      </w:r>
      <w:r w:rsidR="00F1146A" w:rsidRPr="008D75D5">
        <w:rPr>
          <w:rFonts w:ascii="Arial" w:hAnsi="Arial"/>
          <w:sz w:val="22"/>
        </w:rPr>
        <w:t>L</w:t>
      </w:r>
      <w:r w:rsidR="00F1146A">
        <w:rPr>
          <w:rFonts w:ascii="Arial" w:hAnsi="Arial"/>
          <w:sz w:val="22"/>
        </w:rPr>
        <w:t>’</w:t>
      </w:r>
      <w:r w:rsidR="00F1146A" w:rsidRPr="008D75D5">
        <w:rPr>
          <w:rFonts w:ascii="Arial" w:hAnsi="Arial"/>
          <w:sz w:val="22"/>
        </w:rPr>
        <w:t>in</w:t>
      </w:r>
      <w:r w:rsidR="00F1146A">
        <w:rPr>
          <w:rFonts w:ascii="Arial" w:hAnsi="Arial"/>
          <w:sz w:val="22"/>
        </w:rPr>
        <w:t xml:space="preserve">clusion dans </w:t>
      </w:r>
      <w:r w:rsidRPr="008D75D5">
        <w:rPr>
          <w:rFonts w:ascii="Arial" w:hAnsi="Arial"/>
          <w:sz w:val="22"/>
        </w:rPr>
        <w:t>cet inventaire a été effectué</w:t>
      </w:r>
      <w:r w:rsidR="008D75D5" w:rsidRPr="008D75D5">
        <w:rPr>
          <w:rFonts w:ascii="Arial" w:hAnsi="Arial"/>
          <w:sz w:val="22"/>
        </w:rPr>
        <w:t>e</w:t>
      </w:r>
      <w:r w:rsidRPr="008D75D5">
        <w:rPr>
          <w:rFonts w:ascii="Arial" w:hAnsi="Arial"/>
          <w:sz w:val="22"/>
        </w:rPr>
        <w:t xml:space="preserve"> avec la participation de membres des neuf clans masaï. L</w:t>
      </w:r>
      <w:r w:rsidR="00A512DB">
        <w:rPr>
          <w:rFonts w:ascii="Arial" w:hAnsi="Arial"/>
          <w:sz w:val="22"/>
        </w:rPr>
        <w:t>’</w:t>
      </w:r>
      <w:r w:rsidRPr="008D75D5">
        <w:rPr>
          <w:rFonts w:ascii="Arial" w:hAnsi="Arial"/>
          <w:sz w:val="22"/>
        </w:rPr>
        <w:t xml:space="preserve">inventaire est mis à jour tous les deux ans par le </w:t>
      </w:r>
      <w:r w:rsidR="00F1146A">
        <w:rPr>
          <w:rFonts w:ascii="Arial" w:hAnsi="Arial"/>
          <w:sz w:val="22"/>
        </w:rPr>
        <w:t>M</w:t>
      </w:r>
      <w:r w:rsidRPr="008D75D5">
        <w:rPr>
          <w:rFonts w:ascii="Arial" w:hAnsi="Arial"/>
          <w:sz w:val="22"/>
        </w:rPr>
        <w:t>inistère des sports, de la culture et des arts en collaboration avec la Commission nationale du Kenya pour l</w:t>
      </w:r>
      <w:r w:rsidR="00A512DB">
        <w:rPr>
          <w:rFonts w:ascii="Arial" w:hAnsi="Arial"/>
          <w:sz w:val="22"/>
        </w:rPr>
        <w:t>’</w:t>
      </w:r>
      <w:r w:rsidRPr="008D75D5">
        <w:rPr>
          <w:rFonts w:ascii="Arial" w:hAnsi="Arial"/>
          <w:sz w:val="22"/>
        </w:rPr>
        <w:t>UNESCO.</w:t>
      </w:r>
    </w:p>
    <w:p w14:paraId="11E0577A" w14:textId="3600B1D1" w:rsidR="00CF12CF" w:rsidRPr="00642CFB" w:rsidRDefault="00CF12CF" w:rsidP="0029421F">
      <w:pPr>
        <w:pStyle w:val="ListParagraph"/>
        <w:numPr>
          <w:ilvl w:val="0"/>
          <w:numId w:val="9"/>
        </w:numPr>
        <w:spacing w:before="120" w:after="120"/>
        <w:ind w:left="1134" w:hanging="567"/>
        <w:jc w:val="both"/>
        <w:outlineLvl w:val="1"/>
        <w:rPr>
          <w:rFonts w:ascii="Arial" w:eastAsia="SimSun" w:hAnsi="Arial" w:cs="Angsana New"/>
          <w:sz w:val="22"/>
          <w:szCs w:val="22"/>
        </w:rPr>
      </w:pPr>
      <w:r w:rsidRPr="008D75D5">
        <w:rPr>
          <w:rFonts w:ascii="Arial" w:hAnsi="Arial"/>
          <w:sz w:val="22"/>
          <w:u w:val="single"/>
        </w:rPr>
        <w:t>Inscrit</w:t>
      </w:r>
      <w:r w:rsidRPr="00AA0AB0">
        <w:rPr>
          <w:rFonts w:ascii="Arial" w:hAnsi="Arial"/>
          <w:bCs/>
          <w:sz w:val="22"/>
        </w:rPr>
        <w:t xml:space="preserve"> </w:t>
      </w:r>
      <w:r w:rsidRPr="008D75D5">
        <w:rPr>
          <w:rFonts w:ascii="Arial" w:hAnsi="Arial"/>
          <w:b/>
          <w:sz w:val="22"/>
        </w:rPr>
        <w:t>l</w:t>
      </w:r>
      <w:r w:rsidR="00A512DB">
        <w:rPr>
          <w:rFonts w:ascii="Arial" w:hAnsi="Arial"/>
          <w:b/>
          <w:sz w:val="22"/>
        </w:rPr>
        <w:t>’</w:t>
      </w:r>
      <w:proofErr w:type="spellStart"/>
      <w:r w:rsidRPr="008D75D5">
        <w:rPr>
          <w:rFonts w:ascii="Arial" w:hAnsi="Arial"/>
          <w:b/>
          <w:sz w:val="22"/>
        </w:rPr>
        <w:t>Enkipaata</w:t>
      </w:r>
      <w:proofErr w:type="spellEnd"/>
      <w:r w:rsidRPr="008D75D5">
        <w:rPr>
          <w:rFonts w:ascii="Arial" w:hAnsi="Arial"/>
          <w:b/>
          <w:sz w:val="22"/>
        </w:rPr>
        <w:t>, l</w:t>
      </w:r>
      <w:r w:rsidR="00A512DB">
        <w:rPr>
          <w:rFonts w:ascii="Arial" w:hAnsi="Arial"/>
          <w:b/>
          <w:sz w:val="22"/>
        </w:rPr>
        <w:t>’</w:t>
      </w:r>
      <w:proofErr w:type="spellStart"/>
      <w:r w:rsidRPr="008D75D5">
        <w:rPr>
          <w:rFonts w:ascii="Arial" w:hAnsi="Arial"/>
          <w:b/>
          <w:sz w:val="22"/>
        </w:rPr>
        <w:t>Eunoto</w:t>
      </w:r>
      <w:proofErr w:type="spellEnd"/>
      <w:r w:rsidRPr="008D75D5">
        <w:rPr>
          <w:rFonts w:ascii="Arial" w:hAnsi="Arial"/>
          <w:b/>
          <w:sz w:val="22"/>
        </w:rPr>
        <w:t xml:space="preserve"> et l</w:t>
      </w:r>
      <w:r w:rsidR="00A512DB">
        <w:rPr>
          <w:rFonts w:ascii="Arial" w:hAnsi="Arial"/>
          <w:b/>
          <w:sz w:val="22"/>
        </w:rPr>
        <w:t>’</w:t>
      </w:r>
      <w:proofErr w:type="spellStart"/>
      <w:r w:rsidRPr="008D75D5">
        <w:rPr>
          <w:rFonts w:ascii="Arial" w:hAnsi="Arial"/>
          <w:b/>
          <w:sz w:val="22"/>
        </w:rPr>
        <w:t>Olng</w:t>
      </w:r>
      <w:r w:rsidR="00A512DB">
        <w:rPr>
          <w:rFonts w:ascii="Arial" w:hAnsi="Arial"/>
          <w:b/>
          <w:sz w:val="22"/>
        </w:rPr>
        <w:t>’</w:t>
      </w:r>
      <w:r w:rsidRPr="008D75D5">
        <w:rPr>
          <w:rFonts w:ascii="Arial" w:hAnsi="Arial"/>
          <w:b/>
          <w:sz w:val="22"/>
        </w:rPr>
        <w:t>esherr</w:t>
      </w:r>
      <w:proofErr w:type="spellEnd"/>
      <w:r w:rsidRPr="008D75D5">
        <w:rPr>
          <w:rFonts w:ascii="Arial" w:hAnsi="Arial"/>
          <w:b/>
          <w:sz w:val="22"/>
        </w:rPr>
        <w:t xml:space="preserve">, trois rites de passage masculins de la communauté masaï </w:t>
      </w:r>
      <w:r w:rsidRPr="008D75D5">
        <w:rPr>
          <w:rFonts w:ascii="Arial" w:hAnsi="Arial"/>
          <w:sz w:val="22"/>
        </w:rPr>
        <w:t>sur la Liste du patrimoine culturel immatériel nécessitant une sauvegarde urgente</w:t>
      </w:r>
      <w:r w:rsidR="00F1146A">
        <w:rPr>
          <w:rFonts w:ascii="Arial" w:hAnsi="Arial"/>
          <w:sz w:val="22"/>
        </w:rPr>
        <w:t> ;</w:t>
      </w:r>
    </w:p>
    <w:p w14:paraId="4EB667A1" w14:textId="60B51615" w:rsidR="003F4BCF" w:rsidRPr="008D75D5" w:rsidRDefault="003F4BCF" w:rsidP="0029421F">
      <w:pPr>
        <w:pStyle w:val="ListParagraph"/>
        <w:numPr>
          <w:ilvl w:val="0"/>
          <w:numId w:val="9"/>
        </w:numPr>
        <w:spacing w:before="120" w:after="120"/>
        <w:ind w:left="1134" w:hanging="567"/>
        <w:jc w:val="both"/>
        <w:outlineLvl w:val="1"/>
        <w:rPr>
          <w:rFonts w:ascii="Arial" w:eastAsia="SimSun" w:hAnsi="Arial" w:cs="Angsana New"/>
          <w:sz w:val="22"/>
          <w:szCs w:val="22"/>
        </w:rPr>
      </w:pPr>
      <w:r w:rsidRPr="008D75D5">
        <w:rPr>
          <w:rFonts w:ascii="Arial" w:hAnsi="Arial"/>
          <w:sz w:val="22"/>
          <w:u w:val="single"/>
        </w:rPr>
        <w:t>Félicite</w:t>
      </w:r>
      <w:r w:rsidRPr="008D75D5">
        <w:rPr>
          <w:rFonts w:ascii="Arial" w:hAnsi="Arial"/>
          <w:sz w:val="22"/>
        </w:rPr>
        <w:t xml:space="preserve"> l</w:t>
      </w:r>
      <w:r w:rsidR="00A512DB">
        <w:rPr>
          <w:rFonts w:ascii="Arial" w:hAnsi="Arial"/>
          <w:sz w:val="22"/>
        </w:rPr>
        <w:t>’</w:t>
      </w:r>
      <w:r w:rsidRPr="008D75D5">
        <w:rPr>
          <w:rFonts w:ascii="Arial" w:hAnsi="Arial"/>
          <w:sz w:val="22"/>
        </w:rPr>
        <w:t>État partie pour la soumission d</w:t>
      </w:r>
      <w:r w:rsidR="00A512DB">
        <w:rPr>
          <w:rFonts w:ascii="Arial" w:hAnsi="Arial"/>
          <w:sz w:val="22"/>
        </w:rPr>
        <w:t>’</w:t>
      </w:r>
      <w:r w:rsidRPr="008D75D5">
        <w:rPr>
          <w:rFonts w:ascii="Arial" w:hAnsi="Arial"/>
          <w:sz w:val="22"/>
        </w:rPr>
        <w:t>un dossier a</w:t>
      </w:r>
      <w:r w:rsidR="0054670A">
        <w:rPr>
          <w:rFonts w:ascii="Arial" w:hAnsi="Arial"/>
          <w:sz w:val="22"/>
        </w:rPr>
        <w:t>mélioré suite à la décision du C</w:t>
      </w:r>
      <w:r w:rsidRPr="008D75D5">
        <w:rPr>
          <w:rFonts w:ascii="Arial" w:hAnsi="Arial"/>
          <w:sz w:val="22"/>
        </w:rPr>
        <w:t>omité de ne pas inscrire l</w:t>
      </w:r>
      <w:r w:rsidR="00A512DB">
        <w:rPr>
          <w:rFonts w:ascii="Arial" w:hAnsi="Arial"/>
          <w:sz w:val="22"/>
        </w:rPr>
        <w:t>’</w:t>
      </w:r>
      <w:r w:rsidRPr="008D75D5">
        <w:rPr>
          <w:rFonts w:ascii="Arial" w:hAnsi="Arial"/>
          <w:sz w:val="22"/>
        </w:rPr>
        <w:t>élément en 2013.</w:t>
      </w:r>
    </w:p>
    <w:p w14:paraId="46B26E05" w14:textId="1371CF6A" w:rsidR="003F4BCF" w:rsidRPr="008D75D5" w:rsidRDefault="00CF12CF" w:rsidP="00652BA9">
      <w:pPr>
        <w:keepNext/>
        <w:spacing w:before="360" w:after="120"/>
        <w:ind w:left="567"/>
        <w:outlineLvl w:val="0"/>
        <w:rPr>
          <w:rFonts w:ascii="Arial" w:eastAsia="SimSun" w:hAnsi="Arial" w:cs="Angsana New"/>
          <w:b/>
          <w:sz w:val="22"/>
          <w:szCs w:val="22"/>
        </w:rPr>
      </w:pPr>
      <w:bookmarkStart w:id="12" w:name="Decision_10a6"/>
      <w:bookmarkEnd w:id="12"/>
      <w:r w:rsidRPr="008D75D5">
        <w:rPr>
          <w:rFonts w:ascii="Arial" w:hAnsi="Arial"/>
          <w:b/>
          <w:sz w:val="22"/>
        </w:rPr>
        <w:t>PROJET DE DÉCISION 13.COM 10.a.6</w:t>
      </w:r>
      <w:r w:rsidRPr="008D75D5">
        <w:tab/>
      </w:r>
      <w:r w:rsidRPr="008D75D5">
        <w:rPr>
          <w:rFonts w:ascii="Arial" w:hAnsi="Arial" w:cs="Arial"/>
          <w:noProof/>
          <w:color w:val="0000FF"/>
          <w:sz w:val="22"/>
          <w:szCs w:val="22"/>
          <w:lang w:val="en-US" w:eastAsia="ko-KR" w:bidi="ar-SA"/>
        </w:rPr>
        <w:drawing>
          <wp:inline distT="0" distB="0" distL="0" distR="0" wp14:anchorId="05849A27" wp14:editId="4B1A78EC">
            <wp:extent cx="104775" cy="104775"/>
            <wp:effectExtent l="0" t="0" r="9525" b="9525"/>
            <wp:docPr id="7" name="Picture 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46338A30" w14:textId="2690D0E1" w:rsidR="003F4BCF" w:rsidRPr="008D75D5" w:rsidRDefault="00CF12CF">
      <w:pPr>
        <w:keepNext/>
        <w:tabs>
          <w:tab w:val="left" w:pos="567"/>
          <w:tab w:val="left" w:pos="1134"/>
          <w:tab w:val="left" w:pos="1701"/>
          <w:tab w:val="left" w:pos="2268"/>
        </w:tabs>
        <w:spacing w:before="120" w:after="120"/>
        <w:ind w:left="567"/>
        <w:jc w:val="both"/>
        <w:rPr>
          <w:rFonts w:ascii="Arial" w:eastAsia="SimSun" w:hAnsi="Arial" w:cs="Arial"/>
          <w:sz w:val="22"/>
          <w:szCs w:val="22"/>
        </w:rPr>
      </w:pPr>
      <w:r w:rsidRPr="008D75D5">
        <w:rPr>
          <w:rFonts w:ascii="Arial" w:hAnsi="Arial"/>
          <w:sz w:val="22"/>
        </w:rPr>
        <w:t>Le Comité</w:t>
      </w:r>
    </w:p>
    <w:p w14:paraId="42491B25" w14:textId="62D38AA5" w:rsidR="003F4BCF" w:rsidRPr="008D75D5" w:rsidRDefault="005377FA" w:rsidP="0029421F">
      <w:pPr>
        <w:pStyle w:val="ListParagraph"/>
        <w:keepNext/>
        <w:numPr>
          <w:ilvl w:val="0"/>
          <w:numId w:val="13"/>
        </w:numPr>
        <w:spacing w:before="120" w:after="120"/>
        <w:ind w:left="1134" w:hanging="567"/>
        <w:jc w:val="both"/>
        <w:outlineLvl w:val="1"/>
        <w:rPr>
          <w:rFonts w:ascii="Arial" w:eastAsia="SimSun" w:hAnsi="Arial" w:cs="Angsana New"/>
          <w:sz w:val="22"/>
          <w:szCs w:val="22"/>
        </w:rPr>
      </w:pPr>
      <w:r w:rsidRPr="008D75D5">
        <w:rPr>
          <w:rFonts w:ascii="Arial" w:hAnsi="Arial"/>
          <w:sz w:val="22"/>
          <w:u w:val="single"/>
        </w:rPr>
        <w:t>Prend note</w:t>
      </w:r>
      <w:r w:rsidRPr="008D75D5">
        <w:rPr>
          <w:rFonts w:ascii="Arial" w:hAnsi="Arial"/>
          <w:sz w:val="22"/>
        </w:rPr>
        <w:t xml:space="preserve"> que le Pakistan a proposé la candidature </w:t>
      </w:r>
      <w:r w:rsidRPr="008D75D5">
        <w:rPr>
          <w:rFonts w:ascii="Arial" w:hAnsi="Arial"/>
          <w:b/>
          <w:sz w:val="22"/>
        </w:rPr>
        <w:t xml:space="preserve">du Suri </w:t>
      </w:r>
      <w:proofErr w:type="spellStart"/>
      <w:r w:rsidRPr="008D75D5">
        <w:rPr>
          <w:rFonts w:ascii="Arial" w:hAnsi="Arial"/>
          <w:b/>
          <w:sz w:val="22"/>
        </w:rPr>
        <w:t>Jagek</w:t>
      </w:r>
      <w:proofErr w:type="spellEnd"/>
      <w:r w:rsidRPr="008D75D5">
        <w:rPr>
          <w:rFonts w:ascii="Arial" w:hAnsi="Arial"/>
          <w:b/>
          <w:sz w:val="22"/>
        </w:rPr>
        <w:t xml:space="preserve"> (observation du soleil), pratique météorologique et astronomique traditionnelle fondée sur l</w:t>
      </w:r>
      <w:r w:rsidR="00A512DB">
        <w:rPr>
          <w:rFonts w:ascii="Arial" w:hAnsi="Arial"/>
          <w:b/>
          <w:sz w:val="22"/>
        </w:rPr>
        <w:t>’</w:t>
      </w:r>
      <w:r w:rsidRPr="008D75D5">
        <w:rPr>
          <w:rFonts w:ascii="Arial" w:hAnsi="Arial"/>
          <w:b/>
          <w:sz w:val="22"/>
        </w:rPr>
        <w:t>observation du soleil, de la lune et des étoiles par rapport à la topographie locale</w:t>
      </w:r>
      <w:r w:rsidRPr="008D75D5">
        <w:rPr>
          <w:rFonts w:ascii="Arial" w:hAnsi="Arial"/>
          <w:sz w:val="22"/>
        </w:rPr>
        <w:t xml:space="preserve"> (n° 01381) pour inscription sur la Liste du patrimoine culturel immatériel nécessitant une sauvegarde urgente :</w:t>
      </w:r>
    </w:p>
    <w:p w14:paraId="09A32DC4" w14:textId="4CD69512" w:rsidR="003F4BCF" w:rsidRPr="00C5622C" w:rsidRDefault="00C5622C" w:rsidP="00C61158">
      <w:pPr>
        <w:tabs>
          <w:tab w:val="left" w:pos="1134"/>
          <w:tab w:val="left" w:pos="1701"/>
          <w:tab w:val="left" w:pos="2268"/>
        </w:tabs>
        <w:spacing w:before="120" w:after="120"/>
        <w:ind w:left="1134"/>
        <w:jc w:val="both"/>
        <w:rPr>
          <w:rFonts w:ascii="Arial" w:hAnsi="Arial"/>
          <w:sz w:val="22"/>
        </w:rPr>
      </w:pPr>
      <w:r w:rsidRPr="00C5622C">
        <w:rPr>
          <w:rFonts w:ascii="Arial" w:hAnsi="Arial"/>
          <w:sz w:val="22"/>
        </w:rPr>
        <w:t xml:space="preserve">Le Suri </w:t>
      </w:r>
      <w:proofErr w:type="spellStart"/>
      <w:r w:rsidRPr="00C5622C">
        <w:rPr>
          <w:rFonts w:ascii="Arial" w:hAnsi="Arial"/>
          <w:sz w:val="22"/>
        </w:rPr>
        <w:t>Jagek</w:t>
      </w:r>
      <w:proofErr w:type="spellEnd"/>
      <w:r w:rsidRPr="00C5622C">
        <w:rPr>
          <w:rFonts w:ascii="Arial" w:hAnsi="Arial"/>
          <w:sz w:val="22"/>
        </w:rPr>
        <w:t>, don</w:t>
      </w:r>
      <w:r w:rsidR="0084538E">
        <w:rPr>
          <w:rFonts w:ascii="Arial" w:hAnsi="Arial"/>
          <w:sz w:val="22"/>
        </w:rPr>
        <w:t>t la traduction littérale est « observation du soleil </w:t>
      </w:r>
      <w:r w:rsidRPr="00C5622C">
        <w:rPr>
          <w:rFonts w:ascii="Arial" w:hAnsi="Arial"/>
          <w:sz w:val="22"/>
        </w:rPr>
        <w:t xml:space="preserve">», est la pratique et le système des connaissances météorologiques et astronomiques traditionnelles des </w:t>
      </w:r>
      <w:proofErr w:type="spellStart"/>
      <w:r w:rsidRPr="00C5622C">
        <w:rPr>
          <w:rFonts w:ascii="Arial" w:hAnsi="Arial"/>
          <w:sz w:val="22"/>
        </w:rPr>
        <w:t>Kalash</w:t>
      </w:r>
      <w:proofErr w:type="spellEnd"/>
      <w:r w:rsidRPr="00C5622C">
        <w:rPr>
          <w:rFonts w:ascii="Arial" w:hAnsi="Arial"/>
          <w:sz w:val="22"/>
        </w:rPr>
        <w:t xml:space="preserve"> – utilisées essentiellement dans la chaine de montagnes de l’Hindou </w:t>
      </w:r>
      <w:proofErr w:type="spellStart"/>
      <w:r w:rsidRPr="00C5622C">
        <w:rPr>
          <w:rFonts w:ascii="Arial" w:hAnsi="Arial"/>
          <w:sz w:val="22"/>
        </w:rPr>
        <w:t>Kouch</w:t>
      </w:r>
      <w:proofErr w:type="spellEnd"/>
      <w:r w:rsidRPr="00C5622C">
        <w:rPr>
          <w:rFonts w:ascii="Arial" w:hAnsi="Arial"/>
          <w:sz w:val="22"/>
        </w:rPr>
        <w:t xml:space="preserve"> – basées sur l’observation du soleil, de la lune, des étoiles et des ombres par rapport à la topographie locale. Le système est une structure complexe de connaissances, fruit d’une observation empirique et continuellement référencées, permettant aux </w:t>
      </w:r>
      <w:proofErr w:type="spellStart"/>
      <w:r w:rsidRPr="00C5622C">
        <w:rPr>
          <w:rFonts w:ascii="Arial" w:hAnsi="Arial"/>
          <w:sz w:val="22"/>
        </w:rPr>
        <w:t>Kalash</w:t>
      </w:r>
      <w:proofErr w:type="spellEnd"/>
      <w:r w:rsidRPr="00C5622C">
        <w:rPr>
          <w:rFonts w:ascii="Arial" w:hAnsi="Arial"/>
          <w:sz w:val="22"/>
        </w:rPr>
        <w:t xml:space="preserve"> de prédire </w:t>
      </w:r>
      <w:r w:rsidRPr="00C5622C">
        <w:rPr>
          <w:rFonts w:ascii="Arial" w:hAnsi="Arial"/>
          <w:sz w:val="22"/>
        </w:rPr>
        <w:lastRenderedPageBreak/>
        <w:t xml:space="preserve">le bon moment pour les semis et l’élevage du bétail, ainsi que les calamités naturelles. Il est également utilisé pour établir le calendrier </w:t>
      </w:r>
      <w:proofErr w:type="spellStart"/>
      <w:r w:rsidRPr="00C5622C">
        <w:rPr>
          <w:rFonts w:ascii="Arial" w:hAnsi="Arial"/>
          <w:sz w:val="22"/>
        </w:rPr>
        <w:t>kalash</w:t>
      </w:r>
      <w:proofErr w:type="spellEnd"/>
      <w:r w:rsidRPr="00C5622C">
        <w:rPr>
          <w:rFonts w:ascii="Arial" w:hAnsi="Arial"/>
          <w:sz w:val="22"/>
        </w:rPr>
        <w:t xml:space="preserve"> et définir les dates des événements sociaux importants, des festivals, des fêtes et des cérémonies religieuses. La pratique témoigne du lien entre les </w:t>
      </w:r>
      <w:proofErr w:type="spellStart"/>
      <w:r w:rsidRPr="00C5622C">
        <w:rPr>
          <w:rFonts w:ascii="Arial" w:hAnsi="Arial"/>
          <w:sz w:val="22"/>
        </w:rPr>
        <w:t>Kalash</w:t>
      </w:r>
      <w:proofErr w:type="spellEnd"/>
      <w:r w:rsidRPr="00C5622C">
        <w:rPr>
          <w:rFonts w:ascii="Arial" w:hAnsi="Arial"/>
          <w:sz w:val="22"/>
        </w:rPr>
        <w:t xml:space="preserve"> et leur environnement, et de la capacité de leur contexte géographique immédiat </w:t>
      </w:r>
      <w:r w:rsidR="00F1146A">
        <w:rPr>
          <w:rFonts w:ascii="Arial" w:hAnsi="Arial"/>
          <w:sz w:val="22"/>
        </w:rPr>
        <w:t>à</w:t>
      </w:r>
      <w:r w:rsidR="00F1146A" w:rsidRPr="00C5622C">
        <w:rPr>
          <w:rFonts w:ascii="Arial" w:hAnsi="Arial"/>
          <w:sz w:val="22"/>
        </w:rPr>
        <w:t xml:space="preserve"> </w:t>
      </w:r>
      <w:r w:rsidRPr="00C5622C">
        <w:rPr>
          <w:rFonts w:ascii="Arial" w:hAnsi="Arial"/>
          <w:sz w:val="22"/>
        </w:rPr>
        <w:t>contribuer à leur mode de vie. La viabilité et la transmission du système de connaissances reposent sur un transfert innovant d’informations par l’intermédiaire d’histoires populaires, de chansons, de proverbes et de la rhétorique. En outre, certains de ses aspects – tels que l’étude des ombres et son utilisation pour l’élevage du bétail – sont recréés pour s’intégrer dans la société moderne. Toutefois, avec l’avènement du numérique, les populations optent de plus en plus pour des moyens technologiquement «</w:t>
      </w:r>
      <w:r w:rsidR="00C61158">
        <w:rPr>
          <w:rFonts w:ascii="Arial" w:hAnsi="Arial"/>
          <w:sz w:val="22"/>
        </w:rPr>
        <w:t> avancés </w:t>
      </w:r>
      <w:r w:rsidRPr="00C5622C">
        <w:rPr>
          <w:rFonts w:ascii="Arial" w:hAnsi="Arial"/>
          <w:sz w:val="22"/>
        </w:rPr>
        <w:t xml:space="preserve">» de prévision des conditions météorologiques. </w:t>
      </w:r>
      <w:r w:rsidR="00F1146A">
        <w:rPr>
          <w:rFonts w:ascii="Arial" w:hAnsi="Arial"/>
          <w:sz w:val="22"/>
        </w:rPr>
        <w:t>Bien que la pratique demeure visible dans l’expression de traditions orales, il est néanmoins observé</w:t>
      </w:r>
      <w:r w:rsidRPr="00C5622C">
        <w:rPr>
          <w:rFonts w:ascii="Arial" w:hAnsi="Arial"/>
          <w:sz w:val="22"/>
        </w:rPr>
        <w:t xml:space="preserve"> un manque de connaissance parmi les jeunes générations de l’importance culturelle et des avantages du Suri </w:t>
      </w:r>
      <w:proofErr w:type="spellStart"/>
      <w:r w:rsidRPr="00C5622C">
        <w:rPr>
          <w:rFonts w:ascii="Arial" w:hAnsi="Arial"/>
          <w:sz w:val="22"/>
        </w:rPr>
        <w:t>Jagek</w:t>
      </w:r>
      <w:proofErr w:type="spellEnd"/>
      <w:r w:rsidRPr="00C5622C">
        <w:rPr>
          <w:rFonts w:ascii="Arial" w:hAnsi="Arial"/>
          <w:sz w:val="22"/>
        </w:rPr>
        <w:t>.</w:t>
      </w:r>
    </w:p>
    <w:p w14:paraId="3FD06300" w14:textId="50C70D29" w:rsidR="005377FA" w:rsidRPr="008D75D5" w:rsidRDefault="005377FA" w:rsidP="0029421F">
      <w:pPr>
        <w:pStyle w:val="ListParagraph"/>
        <w:keepNext/>
        <w:numPr>
          <w:ilvl w:val="0"/>
          <w:numId w:val="13"/>
        </w:numPr>
        <w:spacing w:before="120" w:after="120"/>
        <w:ind w:left="1134" w:hanging="567"/>
        <w:jc w:val="both"/>
        <w:outlineLvl w:val="1"/>
        <w:rPr>
          <w:rFonts w:ascii="Arial" w:eastAsia="SimSun" w:hAnsi="Arial" w:cs="Angsana New"/>
          <w:sz w:val="22"/>
          <w:szCs w:val="22"/>
        </w:rPr>
      </w:pPr>
      <w:r w:rsidRPr="008D75D5">
        <w:rPr>
          <w:rFonts w:ascii="Arial" w:hAnsi="Arial"/>
          <w:sz w:val="22"/>
          <w:u w:val="single"/>
        </w:rPr>
        <w:t>Décide</w:t>
      </w:r>
      <w:r w:rsidRPr="008D75D5">
        <w:rPr>
          <w:rFonts w:ascii="Arial" w:hAnsi="Arial"/>
          <w:sz w:val="22"/>
        </w:rPr>
        <w:t xml:space="preserve"> que, d</w:t>
      </w:r>
      <w:r w:rsidR="00A512DB">
        <w:rPr>
          <w:rFonts w:ascii="Arial" w:hAnsi="Arial"/>
          <w:sz w:val="22"/>
        </w:rPr>
        <w:t>’</w:t>
      </w:r>
      <w:r w:rsidRPr="008D75D5">
        <w:rPr>
          <w:rFonts w:ascii="Arial" w:hAnsi="Arial"/>
          <w:sz w:val="22"/>
        </w:rPr>
        <w:t>après l</w:t>
      </w:r>
      <w:r w:rsidR="00A512DB">
        <w:rPr>
          <w:rFonts w:ascii="Arial" w:hAnsi="Arial"/>
          <w:sz w:val="22"/>
        </w:rPr>
        <w:t>’</w:t>
      </w:r>
      <w:r w:rsidRPr="008D75D5">
        <w:rPr>
          <w:rFonts w:ascii="Arial" w:hAnsi="Arial"/>
          <w:sz w:val="22"/>
        </w:rPr>
        <w:t>information contenue dans le dossier, la candidature satisfait aux critères d</w:t>
      </w:r>
      <w:r w:rsidR="00A512DB">
        <w:rPr>
          <w:rFonts w:ascii="Arial" w:hAnsi="Arial"/>
          <w:sz w:val="22"/>
        </w:rPr>
        <w:t>’</w:t>
      </w:r>
      <w:r w:rsidRPr="008D75D5">
        <w:rPr>
          <w:rFonts w:ascii="Arial" w:hAnsi="Arial"/>
          <w:sz w:val="22"/>
        </w:rPr>
        <w:t>inscription sur la Liste du patrimoine culturel immatériel nécessitant une sauvegarde urgente comme suit :</w:t>
      </w:r>
    </w:p>
    <w:p w14:paraId="545BC4EB" w14:textId="3E8307B2" w:rsidR="003F4BCF" w:rsidRPr="008D75D5" w:rsidRDefault="003F4BCF" w:rsidP="003F4BCF">
      <w:pPr>
        <w:tabs>
          <w:tab w:val="left" w:pos="567"/>
          <w:tab w:val="left" w:pos="1134"/>
          <w:tab w:val="left" w:pos="1701"/>
          <w:tab w:val="left" w:pos="2268"/>
        </w:tabs>
        <w:spacing w:before="120" w:after="120"/>
        <w:ind w:left="1701" w:hanging="567"/>
        <w:jc w:val="both"/>
        <w:rPr>
          <w:rFonts w:ascii="Arial" w:hAnsi="Arial" w:cs="Arial"/>
          <w:sz w:val="22"/>
          <w:szCs w:val="22"/>
        </w:rPr>
      </w:pPr>
      <w:r w:rsidRPr="008D75D5">
        <w:rPr>
          <w:rFonts w:ascii="Arial" w:hAnsi="Arial"/>
          <w:sz w:val="22"/>
        </w:rPr>
        <w:t>U.1 :</w:t>
      </w:r>
      <w:r w:rsidRPr="008D75D5">
        <w:tab/>
      </w:r>
      <w:r w:rsidRPr="008D75D5">
        <w:rPr>
          <w:rFonts w:ascii="Arial" w:hAnsi="Arial"/>
          <w:sz w:val="22"/>
        </w:rPr>
        <w:t xml:space="preserve">Malgré la modernisation et les nouvelles méthodes mondiales de prévisions météorologiques, </w:t>
      </w:r>
      <w:r w:rsidR="00920B72">
        <w:rPr>
          <w:rFonts w:ascii="Arial" w:hAnsi="Arial"/>
          <w:sz w:val="22"/>
        </w:rPr>
        <w:t xml:space="preserve">le </w:t>
      </w:r>
      <w:r w:rsidRPr="008D75D5">
        <w:rPr>
          <w:rFonts w:ascii="Arial" w:hAnsi="Arial"/>
          <w:sz w:val="22"/>
        </w:rPr>
        <w:t xml:space="preserve">Suri </w:t>
      </w:r>
      <w:proofErr w:type="spellStart"/>
      <w:r w:rsidRPr="008D75D5">
        <w:rPr>
          <w:rFonts w:ascii="Arial" w:hAnsi="Arial"/>
          <w:sz w:val="22"/>
        </w:rPr>
        <w:t>Jagek</w:t>
      </w:r>
      <w:proofErr w:type="spellEnd"/>
      <w:r w:rsidRPr="008D75D5">
        <w:rPr>
          <w:rFonts w:ascii="Arial" w:hAnsi="Arial"/>
          <w:sz w:val="22"/>
        </w:rPr>
        <w:t xml:space="preserve"> tient toujours un rôle important dans la vie de la communauté </w:t>
      </w:r>
      <w:proofErr w:type="spellStart"/>
      <w:r w:rsidRPr="008D75D5">
        <w:rPr>
          <w:rFonts w:ascii="Arial" w:hAnsi="Arial"/>
          <w:sz w:val="22"/>
        </w:rPr>
        <w:t>Kalash</w:t>
      </w:r>
      <w:proofErr w:type="spellEnd"/>
      <w:r w:rsidRPr="008D75D5">
        <w:rPr>
          <w:rFonts w:ascii="Arial" w:hAnsi="Arial"/>
          <w:sz w:val="22"/>
        </w:rPr>
        <w:t>, et représente un savoir fondamental qui contribue à soutenir leur mode de vie. Il constitue également un répertoire de l</w:t>
      </w:r>
      <w:r w:rsidR="00A512DB">
        <w:rPr>
          <w:rFonts w:ascii="Arial" w:hAnsi="Arial"/>
          <w:sz w:val="22"/>
        </w:rPr>
        <w:t>’</w:t>
      </w:r>
      <w:r w:rsidRPr="008D75D5">
        <w:rPr>
          <w:rFonts w:ascii="Arial" w:hAnsi="Arial"/>
          <w:sz w:val="22"/>
        </w:rPr>
        <w:t>histoire de la région transmise au travers de chansons, d</w:t>
      </w:r>
      <w:r w:rsidR="00A512DB">
        <w:rPr>
          <w:rFonts w:ascii="Arial" w:hAnsi="Arial"/>
          <w:sz w:val="22"/>
        </w:rPr>
        <w:t>’</w:t>
      </w:r>
      <w:r w:rsidRPr="008D75D5">
        <w:rPr>
          <w:rFonts w:ascii="Arial" w:hAnsi="Arial"/>
          <w:sz w:val="22"/>
        </w:rPr>
        <w:t xml:space="preserve">histoires populaires et de proverbes aux buts spirituels et fonctionnels. </w:t>
      </w:r>
      <w:r w:rsidR="00920B72">
        <w:rPr>
          <w:rFonts w:ascii="Arial" w:hAnsi="Arial"/>
          <w:sz w:val="22"/>
        </w:rPr>
        <w:t xml:space="preserve">Le </w:t>
      </w:r>
      <w:r w:rsidRPr="008D75D5">
        <w:rPr>
          <w:rFonts w:ascii="Arial" w:hAnsi="Arial"/>
          <w:sz w:val="22"/>
        </w:rPr>
        <w:t xml:space="preserve">Suri </w:t>
      </w:r>
      <w:proofErr w:type="spellStart"/>
      <w:r w:rsidRPr="008D75D5">
        <w:rPr>
          <w:rFonts w:ascii="Arial" w:hAnsi="Arial"/>
          <w:sz w:val="22"/>
        </w:rPr>
        <w:t>Jagek</w:t>
      </w:r>
      <w:proofErr w:type="spellEnd"/>
      <w:r w:rsidRPr="008D75D5">
        <w:rPr>
          <w:rFonts w:ascii="Arial" w:hAnsi="Arial"/>
          <w:sz w:val="22"/>
        </w:rPr>
        <w:t xml:space="preserve"> renforce la solidarité entre les peuples et réaffirme un sens d</w:t>
      </w:r>
      <w:r w:rsidR="00A512DB">
        <w:rPr>
          <w:rFonts w:ascii="Arial" w:hAnsi="Arial"/>
          <w:sz w:val="22"/>
        </w:rPr>
        <w:t>’</w:t>
      </w:r>
      <w:r w:rsidRPr="008D75D5">
        <w:rPr>
          <w:rFonts w:ascii="Arial" w:hAnsi="Arial"/>
          <w:sz w:val="22"/>
        </w:rPr>
        <w:t>identité en soulignant les histoires partagées et les connexions culturelles ancrées profondément.</w:t>
      </w:r>
    </w:p>
    <w:p w14:paraId="5F9E3F5D" w14:textId="459C1569" w:rsidR="003F4BCF" w:rsidRPr="008D75D5" w:rsidRDefault="003F4BCF" w:rsidP="003F4BCF">
      <w:pPr>
        <w:tabs>
          <w:tab w:val="left" w:pos="567"/>
          <w:tab w:val="left" w:pos="1134"/>
          <w:tab w:val="left" w:pos="1701"/>
          <w:tab w:val="left" w:pos="2268"/>
        </w:tabs>
        <w:spacing w:before="120" w:after="120"/>
        <w:ind w:left="1701" w:hanging="567"/>
        <w:jc w:val="both"/>
        <w:rPr>
          <w:rFonts w:ascii="Arial" w:hAnsi="Arial" w:cs="Arial"/>
          <w:sz w:val="22"/>
          <w:szCs w:val="22"/>
        </w:rPr>
      </w:pPr>
      <w:r w:rsidRPr="008D75D5">
        <w:rPr>
          <w:rFonts w:ascii="Arial" w:hAnsi="Arial"/>
          <w:sz w:val="22"/>
        </w:rPr>
        <w:t>U.2 :</w:t>
      </w:r>
      <w:r w:rsidRPr="008D75D5">
        <w:tab/>
      </w:r>
      <w:r w:rsidRPr="008D75D5">
        <w:rPr>
          <w:rFonts w:ascii="Arial" w:hAnsi="Arial"/>
          <w:sz w:val="22"/>
        </w:rPr>
        <w:t>La viabilité et la transmission de l</w:t>
      </w:r>
      <w:r w:rsidR="00A512DB">
        <w:rPr>
          <w:rFonts w:ascii="Arial" w:hAnsi="Arial"/>
          <w:sz w:val="22"/>
        </w:rPr>
        <w:t>’</w:t>
      </w:r>
      <w:r w:rsidRPr="008D75D5">
        <w:rPr>
          <w:rFonts w:ascii="Arial" w:hAnsi="Arial"/>
          <w:sz w:val="22"/>
        </w:rPr>
        <w:t xml:space="preserve">élément reposent sur une façon innovante de transmettre les informations, à savoir le </w:t>
      </w:r>
      <w:r w:rsidR="00D01CB2">
        <w:rPr>
          <w:rFonts w:ascii="Arial" w:hAnsi="Arial"/>
          <w:sz w:val="22"/>
        </w:rPr>
        <w:t>conte</w:t>
      </w:r>
      <w:r w:rsidRPr="008D75D5">
        <w:rPr>
          <w:rFonts w:ascii="Arial" w:hAnsi="Arial"/>
          <w:sz w:val="22"/>
        </w:rPr>
        <w:t>, notamment lorsque la communauté se rassemble pour observer le lever et le coucher du soleil. Cet élément n</w:t>
      </w:r>
      <w:r w:rsidR="00A512DB">
        <w:rPr>
          <w:rFonts w:ascii="Arial" w:hAnsi="Arial"/>
          <w:sz w:val="22"/>
        </w:rPr>
        <w:t>’</w:t>
      </w:r>
      <w:r w:rsidRPr="008D75D5">
        <w:rPr>
          <w:rFonts w:ascii="Arial" w:hAnsi="Arial"/>
          <w:sz w:val="22"/>
        </w:rPr>
        <w:t xml:space="preserve">est transmis </w:t>
      </w:r>
      <w:r w:rsidR="00D01CB2">
        <w:rPr>
          <w:rFonts w:ascii="Arial" w:hAnsi="Arial"/>
          <w:sz w:val="22"/>
        </w:rPr>
        <w:t>qu’oralement</w:t>
      </w:r>
      <w:r w:rsidRPr="008D75D5">
        <w:rPr>
          <w:rFonts w:ascii="Arial" w:hAnsi="Arial"/>
          <w:sz w:val="22"/>
        </w:rPr>
        <w:t xml:space="preserve"> et par observation physique. Il n</w:t>
      </w:r>
      <w:r w:rsidR="00A512DB">
        <w:rPr>
          <w:rFonts w:ascii="Arial" w:hAnsi="Arial"/>
          <w:sz w:val="22"/>
        </w:rPr>
        <w:t>’</w:t>
      </w:r>
      <w:r w:rsidRPr="008D75D5">
        <w:rPr>
          <w:rFonts w:ascii="Arial" w:hAnsi="Arial"/>
          <w:sz w:val="22"/>
        </w:rPr>
        <w:t xml:space="preserve">existe aucun document ou moyen </w:t>
      </w:r>
      <w:r w:rsidR="00B20D91" w:rsidRPr="008D75D5">
        <w:rPr>
          <w:rFonts w:ascii="Arial" w:hAnsi="Arial"/>
          <w:sz w:val="22"/>
        </w:rPr>
        <w:t xml:space="preserve">formel </w:t>
      </w:r>
      <w:r w:rsidRPr="008D75D5">
        <w:rPr>
          <w:rFonts w:ascii="Arial" w:hAnsi="Arial"/>
          <w:sz w:val="22"/>
        </w:rPr>
        <w:t>d</w:t>
      </w:r>
      <w:r w:rsidR="00A512DB">
        <w:rPr>
          <w:rFonts w:ascii="Arial" w:hAnsi="Arial"/>
          <w:sz w:val="22"/>
        </w:rPr>
        <w:t>’</w:t>
      </w:r>
      <w:r w:rsidRPr="008D75D5">
        <w:rPr>
          <w:rFonts w:ascii="Arial" w:hAnsi="Arial"/>
          <w:sz w:val="22"/>
        </w:rPr>
        <w:t>éducation. Les jeunes ne montrent que peu d</w:t>
      </w:r>
      <w:r w:rsidR="00A512DB">
        <w:rPr>
          <w:rFonts w:ascii="Arial" w:hAnsi="Arial"/>
          <w:sz w:val="22"/>
        </w:rPr>
        <w:t>’</w:t>
      </w:r>
      <w:r w:rsidRPr="008D75D5">
        <w:rPr>
          <w:rFonts w:ascii="Arial" w:hAnsi="Arial"/>
          <w:sz w:val="22"/>
        </w:rPr>
        <w:t>intérêt pour l</w:t>
      </w:r>
      <w:r w:rsidR="00A512DB">
        <w:rPr>
          <w:rFonts w:ascii="Arial" w:hAnsi="Arial"/>
          <w:sz w:val="22"/>
        </w:rPr>
        <w:t>’</w:t>
      </w:r>
      <w:r w:rsidRPr="008D75D5">
        <w:rPr>
          <w:rFonts w:ascii="Arial" w:hAnsi="Arial"/>
          <w:sz w:val="22"/>
        </w:rPr>
        <w:t>élément, car l</w:t>
      </w:r>
      <w:r w:rsidR="00A512DB">
        <w:rPr>
          <w:rFonts w:ascii="Arial" w:hAnsi="Arial"/>
          <w:sz w:val="22"/>
        </w:rPr>
        <w:t>’</w:t>
      </w:r>
      <w:r w:rsidRPr="008D75D5">
        <w:rPr>
          <w:rFonts w:ascii="Arial" w:hAnsi="Arial"/>
          <w:sz w:val="22"/>
        </w:rPr>
        <w:t>enseignement formel les éloigne de leur culture et de la conscience des bienfaits d</w:t>
      </w:r>
      <w:r w:rsidR="00920B72">
        <w:rPr>
          <w:rFonts w:ascii="Arial" w:hAnsi="Arial"/>
          <w:sz w:val="22"/>
        </w:rPr>
        <w:t>u</w:t>
      </w:r>
      <w:r w:rsidRPr="008D75D5">
        <w:rPr>
          <w:rFonts w:ascii="Arial" w:hAnsi="Arial"/>
          <w:sz w:val="22"/>
        </w:rPr>
        <w:t xml:space="preserve"> Suri </w:t>
      </w:r>
      <w:proofErr w:type="spellStart"/>
      <w:r w:rsidRPr="008D75D5">
        <w:rPr>
          <w:rFonts w:ascii="Arial" w:hAnsi="Arial"/>
          <w:sz w:val="22"/>
        </w:rPr>
        <w:t>Jagek</w:t>
      </w:r>
      <w:proofErr w:type="spellEnd"/>
      <w:r w:rsidRPr="008D75D5">
        <w:rPr>
          <w:rFonts w:ascii="Arial" w:hAnsi="Arial"/>
          <w:sz w:val="22"/>
        </w:rPr>
        <w:t>. Il y a deux à cinq experts par village, tous âgés de plus de soixante ans. Les méthodes globales, technologiquement « avancées » de prédiction de la météo</w:t>
      </w:r>
      <w:r w:rsidR="00B20D91">
        <w:rPr>
          <w:rFonts w:ascii="Arial" w:hAnsi="Arial"/>
          <w:sz w:val="22"/>
        </w:rPr>
        <w:t>rologie</w:t>
      </w:r>
      <w:r w:rsidRPr="008D75D5">
        <w:rPr>
          <w:rFonts w:ascii="Arial" w:hAnsi="Arial"/>
          <w:sz w:val="22"/>
        </w:rPr>
        <w:t xml:space="preserve"> ont remplacé le savoir traditionnel, les anciens observatoires sont menacés par le développement de la construction dans les vallées et les conséquences du changement climatique ont également affecté la pratique.</w:t>
      </w:r>
    </w:p>
    <w:p w14:paraId="54F1C460" w14:textId="7749FBD7" w:rsidR="003F4BCF" w:rsidRPr="008D75D5" w:rsidRDefault="003F4BCF" w:rsidP="003F4BCF">
      <w:pPr>
        <w:tabs>
          <w:tab w:val="left" w:pos="567"/>
          <w:tab w:val="left" w:pos="1134"/>
          <w:tab w:val="left" w:pos="1701"/>
          <w:tab w:val="left" w:pos="2268"/>
        </w:tabs>
        <w:spacing w:before="120" w:after="120"/>
        <w:ind w:left="1701" w:hanging="567"/>
        <w:jc w:val="both"/>
        <w:rPr>
          <w:rFonts w:ascii="Arial" w:hAnsi="Arial" w:cs="Arial"/>
          <w:sz w:val="22"/>
          <w:szCs w:val="22"/>
        </w:rPr>
      </w:pPr>
      <w:r w:rsidRPr="008D75D5">
        <w:rPr>
          <w:rFonts w:ascii="Arial" w:hAnsi="Arial"/>
          <w:sz w:val="22"/>
        </w:rPr>
        <w:t>U.3 :</w:t>
      </w:r>
      <w:r w:rsidRPr="008D75D5">
        <w:tab/>
      </w:r>
      <w:r w:rsidRPr="008D75D5">
        <w:rPr>
          <w:rFonts w:ascii="Arial" w:hAnsi="Arial"/>
          <w:sz w:val="22"/>
        </w:rPr>
        <w:t xml:space="preserve">Les efforts de sauvegarde </w:t>
      </w:r>
      <w:r w:rsidR="00D01CB2" w:rsidRPr="008D75D5">
        <w:rPr>
          <w:rFonts w:ascii="Arial" w:hAnsi="Arial"/>
          <w:sz w:val="22"/>
        </w:rPr>
        <w:t>p</w:t>
      </w:r>
      <w:r w:rsidR="00D01CB2">
        <w:rPr>
          <w:rFonts w:ascii="Arial" w:hAnsi="Arial"/>
          <w:sz w:val="22"/>
        </w:rPr>
        <w:t>assés et présents s</w:t>
      </w:r>
      <w:r w:rsidRPr="008D75D5">
        <w:rPr>
          <w:rFonts w:ascii="Arial" w:hAnsi="Arial"/>
          <w:sz w:val="22"/>
        </w:rPr>
        <w:t>ont basés sur des activités conjointes des communautés locales et de l</w:t>
      </w:r>
      <w:r w:rsidR="00A512DB">
        <w:rPr>
          <w:rFonts w:ascii="Arial" w:hAnsi="Arial"/>
          <w:sz w:val="22"/>
        </w:rPr>
        <w:t>’</w:t>
      </w:r>
      <w:r w:rsidRPr="008D75D5">
        <w:rPr>
          <w:rFonts w:ascii="Arial" w:hAnsi="Arial"/>
          <w:sz w:val="22"/>
        </w:rPr>
        <w:t>État partie, incluant l</w:t>
      </w:r>
      <w:r w:rsidR="00A512DB">
        <w:rPr>
          <w:rFonts w:ascii="Arial" w:hAnsi="Arial"/>
          <w:sz w:val="22"/>
        </w:rPr>
        <w:t>’</w:t>
      </w:r>
      <w:r w:rsidRPr="008D75D5">
        <w:rPr>
          <w:rFonts w:ascii="Arial" w:hAnsi="Arial"/>
          <w:sz w:val="22"/>
        </w:rPr>
        <w:t>inventaire du patrimoine culturel immatériel de la région, la collecte des traditions orales et le développement d</w:t>
      </w:r>
      <w:r w:rsidR="00A512DB">
        <w:rPr>
          <w:rFonts w:ascii="Arial" w:hAnsi="Arial"/>
          <w:sz w:val="22"/>
        </w:rPr>
        <w:t>’</w:t>
      </w:r>
      <w:r w:rsidRPr="008D75D5">
        <w:rPr>
          <w:rFonts w:ascii="Arial" w:hAnsi="Arial"/>
          <w:sz w:val="22"/>
        </w:rPr>
        <w:t xml:space="preserve">un éco-tourisme durable. Le plan de sauvegarde proposé a été préparé avec soin, et témoigne clairement de la participation de la communauté. Il inclut quatre objectifs qui correspondent aux menaces identifiées : renforcer les réseaux traditionnels basés sur la communauté, </w:t>
      </w:r>
      <w:r w:rsidR="00D01CB2">
        <w:rPr>
          <w:rFonts w:ascii="Arial" w:hAnsi="Arial"/>
          <w:sz w:val="22"/>
        </w:rPr>
        <w:t>améliorer</w:t>
      </w:r>
      <w:r w:rsidR="00D01CB2" w:rsidRPr="008D75D5">
        <w:rPr>
          <w:rFonts w:ascii="Arial" w:hAnsi="Arial"/>
          <w:sz w:val="22"/>
        </w:rPr>
        <w:t xml:space="preserve"> </w:t>
      </w:r>
      <w:r w:rsidRPr="008D75D5">
        <w:rPr>
          <w:rFonts w:ascii="Arial" w:hAnsi="Arial"/>
          <w:sz w:val="22"/>
        </w:rPr>
        <w:t xml:space="preserve">la transmission </w:t>
      </w:r>
      <w:r w:rsidR="00B20D91" w:rsidRPr="008D75D5">
        <w:rPr>
          <w:rFonts w:ascii="Arial" w:hAnsi="Arial"/>
          <w:sz w:val="22"/>
        </w:rPr>
        <w:t xml:space="preserve">aux jeunes </w:t>
      </w:r>
      <w:r w:rsidRPr="008D75D5">
        <w:rPr>
          <w:rFonts w:ascii="Arial" w:hAnsi="Arial"/>
          <w:sz w:val="22"/>
        </w:rPr>
        <w:t>du savoir associé, sensibiliser le public au rôle clé de l</w:t>
      </w:r>
      <w:r w:rsidR="00A512DB">
        <w:rPr>
          <w:rFonts w:ascii="Arial" w:hAnsi="Arial"/>
          <w:sz w:val="22"/>
        </w:rPr>
        <w:t>’</w:t>
      </w:r>
      <w:r w:rsidRPr="008D75D5">
        <w:rPr>
          <w:rFonts w:ascii="Arial" w:hAnsi="Arial"/>
          <w:sz w:val="22"/>
        </w:rPr>
        <w:t xml:space="preserve">élément </w:t>
      </w:r>
      <w:r w:rsidR="00D01CB2">
        <w:rPr>
          <w:rFonts w:ascii="Arial" w:hAnsi="Arial"/>
          <w:sz w:val="22"/>
        </w:rPr>
        <w:t>pour</w:t>
      </w:r>
      <w:r w:rsidR="00D01CB2" w:rsidRPr="008D75D5">
        <w:rPr>
          <w:rFonts w:ascii="Arial" w:hAnsi="Arial"/>
          <w:sz w:val="22"/>
        </w:rPr>
        <w:t xml:space="preserve"> </w:t>
      </w:r>
      <w:r w:rsidRPr="008D75D5">
        <w:rPr>
          <w:rFonts w:ascii="Arial" w:hAnsi="Arial"/>
          <w:sz w:val="22"/>
        </w:rPr>
        <w:t>le développement durable et la biodiversité, et renforcer les infrastructures physiques grâce à des interven</w:t>
      </w:r>
      <w:r w:rsidR="00C5622C">
        <w:rPr>
          <w:rFonts w:ascii="Arial" w:hAnsi="Arial"/>
          <w:sz w:val="22"/>
        </w:rPr>
        <w:t>tions menées par la communauté.</w:t>
      </w:r>
    </w:p>
    <w:p w14:paraId="5A077ECD" w14:textId="064A6718" w:rsidR="003F4BCF" w:rsidRPr="008D75D5" w:rsidRDefault="003F4BCF" w:rsidP="003F4BCF">
      <w:pPr>
        <w:tabs>
          <w:tab w:val="left" w:pos="567"/>
          <w:tab w:val="left" w:pos="1134"/>
          <w:tab w:val="left" w:pos="1701"/>
          <w:tab w:val="left" w:pos="2268"/>
        </w:tabs>
        <w:spacing w:before="120" w:after="120"/>
        <w:ind w:left="1701" w:hanging="567"/>
        <w:jc w:val="both"/>
        <w:rPr>
          <w:rFonts w:ascii="Arial" w:hAnsi="Arial" w:cs="Arial"/>
          <w:sz w:val="22"/>
          <w:szCs w:val="22"/>
        </w:rPr>
      </w:pPr>
      <w:r w:rsidRPr="008D75D5">
        <w:rPr>
          <w:rFonts w:ascii="Arial" w:hAnsi="Arial"/>
          <w:sz w:val="22"/>
        </w:rPr>
        <w:t>U.4 :</w:t>
      </w:r>
      <w:r w:rsidRPr="008D75D5">
        <w:tab/>
      </w:r>
      <w:r w:rsidRPr="008D75D5">
        <w:rPr>
          <w:rFonts w:ascii="Arial" w:hAnsi="Arial"/>
          <w:sz w:val="22"/>
        </w:rPr>
        <w:t>L</w:t>
      </w:r>
      <w:r w:rsidR="00A512DB">
        <w:rPr>
          <w:rFonts w:ascii="Arial" w:hAnsi="Arial"/>
          <w:sz w:val="22"/>
        </w:rPr>
        <w:t>’</w:t>
      </w:r>
      <w:r w:rsidRPr="008D75D5">
        <w:rPr>
          <w:rFonts w:ascii="Arial" w:hAnsi="Arial"/>
          <w:sz w:val="22"/>
        </w:rPr>
        <w:t xml:space="preserve">initiative de soumettre la candidature du Suri </w:t>
      </w:r>
      <w:proofErr w:type="spellStart"/>
      <w:r w:rsidRPr="008D75D5">
        <w:rPr>
          <w:rFonts w:ascii="Arial" w:hAnsi="Arial"/>
          <w:sz w:val="22"/>
        </w:rPr>
        <w:t>Jagek</w:t>
      </w:r>
      <w:proofErr w:type="spellEnd"/>
      <w:r w:rsidRPr="008D75D5">
        <w:rPr>
          <w:rFonts w:ascii="Arial" w:hAnsi="Arial"/>
          <w:sz w:val="22"/>
        </w:rPr>
        <w:t xml:space="preserve"> est venue des membres de la communauté ayant participé à l</w:t>
      </w:r>
      <w:r w:rsidR="00A512DB">
        <w:rPr>
          <w:rFonts w:ascii="Arial" w:hAnsi="Arial"/>
          <w:sz w:val="22"/>
        </w:rPr>
        <w:t>’</w:t>
      </w:r>
      <w:r w:rsidRPr="008D75D5">
        <w:rPr>
          <w:rFonts w:ascii="Arial" w:hAnsi="Arial"/>
          <w:sz w:val="22"/>
        </w:rPr>
        <w:t>atelier sur l</w:t>
      </w:r>
      <w:r w:rsidR="00D01CB2">
        <w:rPr>
          <w:rFonts w:ascii="Arial" w:hAnsi="Arial"/>
          <w:sz w:val="22"/>
        </w:rPr>
        <w:t>a réalisation d’</w:t>
      </w:r>
      <w:r w:rsidRPr="008D75D5">
        <w:rPr>
          <w:rFonts w:ascii="Arial" w:hAnsi="Arial"/>
          <w:sz w:val="22"/>
        </w:rPr>
        <w:t>inventaire</w:t>
      </w:r>
      <w:r w:rsidR="00D01CB2">
        <w:rPr>
          <w:rFonts w:ascii="Arial" w:hAnsi="Arial"/>
          <w:sz w:val="22"/>
        </w:rPr>
        <w:t>s avec la participation des</w:t>
      </w:r>
      <w:r w:rsidRPr="008D75D5">
        <w:rPr>
          <w:rFonts w:ascii="Arial" w:hAnsi="Arial"/>
          <w:sz w:val="22"/>
        </w:rPr>
        <w:t xml:space="preserve"> communaut</w:t>
      </w:r>
      <w:r w:rsidR="00D01CB2">
        <w:rPr>
          <w:rFonts w:ascii="Arial" w:hAnsi="Arial"/>
          <w:sz w:val="22"/>
        </w:rPr>
        <w:t>és</w:t>
      </w:r>
      <w:r w:rsidRPr="008D75D5">
        <w:rPr>
          <w:rFonts w:ascii="Arial" w:hAnsi="Arial"/>
          <w:sz w:val="22"/>
        </w:rPr>
        <w:t xml:space="preserve">. La candidature a impliqué la participation la plus </w:t>
      </w:r>
      <w:r w:rsidR="00D01CB2">
        <w:rPr>
          <w:rFonts w:ascii="Arial" w:hAnsi="Arial"/>
          <w:sz w:val="22"/>
        </w:rPr>
        <w:t>large</w:t>
      </w:r>
      <w:r w:rsidR="00D01CB2" w:rsidRPr="008D75D5">
        <w:rPr>
          <w:rFonts w:ascii="Arial" w:hAnsi="Arial"/>
          <w:sz w:val="22"/>
        </w:rPr>
        <w:t xml:space="preserve"> </w:t>
      </w:r>
      <w:r w:rsidRPr="008D75D5">
        <w:rPr>
          <w:rFonts w:ascii="Arial" w:hAnsi="Arial"/>
          <w:sz w:val="22"/>
        </w:rPr>
        <w:t xml:space="preserve">possible de membres des communautés </w:t>
      </w:r>
      <w:proofErr w:type="spellStart"/>
      <w:r w:rsidR="00D01CB2">
        <w:rPr>
          <w:rFonts w:ascii="Arial" w:hAnsi="Arial"/>
          <w:sz w:val="22"/>
        </w:rPr>
        <w:t>k</w:t>
      </w:r>
      <w:r w:rsidRPr="008D75D5">
        <w:rPr>
          <w:rFonts w:ascii="Arial" w:hAnsi="Arial"/>
          <w:sz w:val="22"/>
        </w:rPr>
        <w:t>alash</w:t>
      </w:r>
      <w:proofErr w:type="spellEnd"/>
      <w:r w:rsidRPr="008D75D5">
        <w:rPr>
          <w:rFonts w:ascii="Arial" w:hAnsi="Arial"/>
          <w:sz w:val="22"/>
        </w:rPr>
        <w:t>, d</w:t>
      </w:r>
      <w:r w:rsidR="00A512DB">
        <w:rPr>
          <w:rFonts w:ascii="Arial" w:hAnsi="Arial"/>
          <w:sz w:val="22"/>
        </w:rPr>
        <w:t>’</w:t>
      </w:r>
      <w:r w:rsidRPr="008D75D5">
        <w:rPr>
          <w:rFonts w:ascii="Arial" w:hAnsi="Arial"/>
          <w:sz w:val="22"/>
        </w:rPr>
        <w:t>universitaires, d</w:t>
      </w:r>
      <w:r w:rsidR="00A512DB">
        <w:rPr>
          <w:rFonts w:ascii="Arial" w:hAnsi="Arial"/>
          <w:sz w:val="22"/>
        </w:rPr>
        <w:t>’</w:t>
      </w:r>
      <w:r w:rsidRPr="008D75D5">
        <w:rPr>
          <w:rFonts w:ascii="Arial" w:hAnsi="Arial"/>
          <w:sz w:val="22"/>
        </w:rPr>
        <w:t>ONG et du gouvernement pakistanais. Beaucoup d</w:t>
      </w:r>
      <w:r w:rsidR="00A512DB">
        <w:rPr>
          <w:rFonts w:ascii="Arial" w:hAnsi="Arial"/>
          <w:sz w:val="22"/>
        </w:rPr>
        <w:t>’</w:t>
      </w:r>
      <w:r w:rsidRPr="008D75D5">
        <w:rPr>
          <w:rFonts w:ascii="Arial" w:hAnsi="Arial"/>
          <w:sz w:val="22"/>
        </w:rPr>
        <w:t>aspects de l</w:t>
      </w:r>
      <w:r w:rsidR="00A512DB">
        <w:rPr>
          <w:rFonts w:ascii="Arial" w:hAnsi="Arial"/>
          <w:sz w:val="22"/>
        </w:rPr>
        <w:t>’</w:t>
      </w:r>
      <w:r w:rsidRPr="008D75D5">
        <w:rPr>
          <w:rFonts w:ascii="Arial" w:hAnsi="Arial"/>
          <w:sz w:val="22"/>
        </w:rPr>
        <w:t>élément ont été discuté</w:t>
      </w:r>
      <w:r w:rsidR="00B20D91">
        <w:rPr>
          <w:rFonts w:ascii="Arial" w:hAnsi="Arial"/>
          <w:sz w:val="22"/>
        </w:rPr>
        <w:t>s</w:t>
      </w:r>
      <w:r w:rsidRPr="008D75D5">
        <w:rPr>
          <w:rFonts w:ascii="Arial" w:hAnsi="Arial"/>
          <w:sz w:val="22"/>
        </w:rPr>
        <w:t xml:space="preserve"> lors d</w:t>
      </w:r>
      <w:r w:rsidR="00A512DB">
        <w:rPr>
          <w:rFonts w:ascii="Arial" w:hAnsi="Arial"/>
          <w:sz w:val="22"/>
        </w:rPr>
        <w:t>’</w:t>
      </w:r>
      <w:r w:rsidRPr="008D75D5">
        <w:rPr>
          <w:rFonts w:ascii="Arial" w:hAnsi="Arial"/>
          <w:sz w:val="22"/>
        </w:rPr>
        <w:t xml:space="preserve">une série de réunions de consultation, et une documentation détaillée a été établie en se basant sur des recherches de terrain complètes. Les </w:t>
      </w:r>
      <w:proofErr w:type="spellStart"/>
      <w:r w:rsidRPr="008D75D5">
        <w:rPr>
          <w:rFonts w:ascii="Arial" w:hAnsi="Arial"/>
          <w:sz w:val="22"/>
        </w:rPr>
        <w:t>Qazis</w:t>
      </w:r>
      <w:proofErr w:type="spellEnd"/>
      <w:r w:rsidRPr="008D75D5">
        <w:rPr>
          <w:rFonts w:ascii="Arial" w:hAnsi="Arial"/>
          <w:sz w:val="22"/>
        </w:rPr>
        <w:t xml:space="preserve">, fermiers, </w:t>
      </w:r>
      <w:r w:rsidRPr="008D75D5">
        <w:rPr>
          <w:rFonts w:ascii="Arial" w:hAnsi="Arial"/>
          <w:sz w:val="22"/>
        </w:rPr>
        <w:lastRenderedPageBreak/>
        <w:t xml:space="preserve">doyens du village et instituteurs ont tenu un rôle important dans la préparation du dossier, et les représentants du </w:t>
      </w:r>
      <w:proofErr w:type="spellStart"/>
      <w:r w:rsidRPr="008D75D5">
        <w:rPr>
          <w:rFonts w:ascii="Arial" w:hAnsi="Arial"/>
          <w:sz w:val="22"/>
        </w:rPr>
        <w:t>Kalash</w:t>
      </w:r>
      <w:proofErr w:type="spellEnd"/>
      <w:r w:rsidRPr="008D75D5">
        <w:rPr>
          <w:rFonts w:ascii="Arial" w:hAnsi="Arial"/>
          <w:sz w:val="22"/>
        </w:rPr>
        <w:t xml:space="preserve"> ainsi que les communautés musulmanes dans les trois vallées ont donné leur consentement libre</w:t>
      </w:r>
      <w:r w:rsidR="00D01CB2">
        <w:rPr>
          <w:rFonts w:ascii="Arial" w:hAnsi="Arial"/>
          <w:sz w:val="22"/>
        </w:rPr>
        <w:t>, préalable</w:t>
      </w:r>
      <w:r w:rsidRPr="008D75D5">
        <w:rPr>
          <w:rFonts w:ascii="Arial" w:hAnsi="Arial"/>
          <w:sz w:val="22"/>
        </w:rPr>
        <w:t xml:space="preserve"> et éclairé. Bien que certaines informations relatives à l</w:t>
      </w:r>
      <w:r w:rsidR="00A512DB">
        <w:rPr>
          <w:rFonts w:ascii="Arial" w:hAnsi="Arial"/>
          <w:sz w:val="22"/>
        </w:rPr>
        <w:t>’</w:t>
      </w:r>
      <w:r w:rsidRPr="008D75D5">
        <w:rPr>
          <w:rFonts w:ascii="Arial" w:hAnsi="Arial"/>
          <w:sz w:val="22"/>
        </w:rPr>
        <w:t>élément soient à caractère sensible, il n</w:t>
      </w:r>
      <w:r w:rsidR="00A512DB">
        <w:rPr>
          <w:rFonts w:ascii="Arial" w:hAnsi="Arial"/>
          <w:sz w:val="22"/>
        </w:rPr>
        <w:t>’</w:t>
      </w:r>
      <w:r w:rsidRPr="008D75D5">
        <w:rPr>
          <w:rFonts w:ascii="Arial" w:hAnsi="Arial"/>
          <w:sz w:val="22"/>
        </w:rPr>
        <w:t>y a aucune pratiqu</w:t>
      </w:r>
      <w:r w:rsidR="00C5622C">
        <w:rPr>
          <w:rFonts w:ascii="Arial" w:hAnsi="Arial"/>
          <w:sz w:val="22"/>
        </w:rPr>
        <w:t xml:space="preserve">e </w:t>
      </w:r>
      <w:r w:rsidR="00D01CB2">
        <w:rPr>
          <w:rFonts w:ascii="Arial" w:hAnsi="Arial"/>
          <w:sz w:val="22"/>
        </w:rPr>
        <w:t>coutumière restreignant l’</w:t>
      </w:r>
      <w:r w:rsidR="00C5622C">
        <w:rPr>
          <w:rFonts w:ascii="Arial" w:hAnsi="Arial"/>
          <w:sz w:val="22"/>
        </w:rPr>
        <w:t xml:space="preserve">accès </w:t>
      </w:r>
      <w:r w:rsidR="00D01CB2">
        <w:rPr>
          <w:rFonts w:ascii="Arial" w:hAnsi="Arial"/>
          <w:sz w:val="22"/>
        </w:rPr>
        <w:t>à l’élément</w:t>
      </w:r>
      <w:r w:rsidR="00C5622C">
        <w:rPr>
          <w:rFonts w:ascii="Arial" w:hAnsi="Arial"/>
          <w:sz w:val="22"/>
        </w:rPr>
        <w:t>.</w:t>
      </w:r>
    </w:p>
    <w:p w14:paraId="6C9855D6" w14:textId="37882DB6" w:rsidR="003F4BCF" w:rsidRPr="008D75D5" w:rsidRDefault="003F4BCF" w:rsidP="003F4BCF">
      <w:pPr>
        <w:tabs>
          <w:tab w:val="left" w:pos="567"/>
          <w:tab w:val="left" w:pos="1134"/>
          <w:tab w:val="left" w:pos="1701"/>
          <w:tab w:val="left" w:pos="2268"/>
        </w:tabs>
        <w:spacing w:before="120" w:after="120"/>
        <w:ind w:left="1701" w:hanging="567"/>
        <w:jc w:val="both"/>
        <w:rPr>
          <w:rFonts w:ascii="Arial" w:hAnsi="Arial" w:cs="Arial"/>
          <w:sz w:val="22"/>
          <w:szCs w:val="22"/>
        </w:rPr>
      </w:pPr>
      <w:r w:rsidRPr="008D75D5">
        <w:rPr>
          <w:rFonts w:ascii="Arial" w:hAnsi="Arial"/>
          <w:sz w:val="22"/>
        </w:rPr>
        <w:t>U.5 :</w:t>
      </w:r>
      <w:r w:rsidRPr="008D75D5">
        <w:tab/>
      </w:r>
      <w:r w:rsidRPr="008D75D5">
        <w:rPr>
          <w:rFonts w:ascii="Arial" w:hAnsi="Arial"/>
          <w:sz w:val="22"/>
        </w:rPr>
        <w:t>L</w:t>
      </w:r>
      <w:r w:rsidR="00A512DB">
        <w:rPr>
          <w:rFonts w:ascii="Arial" w:hAnsi="Arial"/>
          <w:sz w:val="22"/>
        </w:rPr>
        <w:t>’</w:t>
      </w:r>
      <w:r w:rsidRPr="008D75D5">
        <w:rPr>
          <w:rFonts w:ascii="Arial" w:hAnsi="Arial"/>
          <w:sz w:val="22"/>
        </w:rPr>
        <w:t>élément a été identifié avec la participation des communautés, et est inclus dans l</w:t>
      </w:r>
      <w:r w:rsidR="00A512DB">
        <w:rPr>
          <w:rFonts w:ascii="Arial" w:hAnsi="Arial"/>
          <w:sz w:val="22"/>
        </w:rPr>
        <w:t>’</w:t>
      </w:r>
      <w:r w:rsidRPr="008D75D5">
        <w:rPr>
          <w:rFonts w:ascii="Arial" w:hAnsi="Arial"/>
          <w:sz w:val="22"/>
        </w:rPr>
        <w:t>inventaire national du patrimoine culturel immatériel du Pakistan. L</w:t>
      </w:r>
      <w:r w:rsidR="00A512DB">
        <w:rPr>
          <w:rFonts w:ascii="Arial" w:hAnsi="Arial"/>
          <w:sz w:val="22"/>
        </w:rPr>
        <w:t>’</w:t>
      </w:r>
      <w:r w:rsidRPr="008D75D5">
        <w:rPr>
          <w:rFonts w:ascii="Arial" w:hAnsi="Arial"/>
          <w:sz w:val="22"/>
        </w:rPr>
        <w:t>extrait de l</w:t>
      </w:r>
      <w:r w:rsidR="00A512DB">
        <w:rPr>
          <w:rFonts w:ascii="Arial" w:hAnsi="Arial"/>
          <w:sz w:val="22"/>
        </w:rPr>
        <w:t>’</w:t>
      </w:r>
      <w:r w:rsidRPr="008D75D5">
        <w:rPr>
          <w:rFonts w:ascii="Arial" w:hAnsi="Arial"/>
          <w:sz w:val="22"/>
        </w:rPr>
        <w:t>inventaire fournit une description de l</w:t>
      </w:r>
      <w:r w:rsidR="00A512DB">
        <w:rPr>
          <w:rFonts w:ascii="Arial" w:hAnsi="Arial"/>
          <w:sz w:val="22"/>
        </w:rPr>
        <w:t>’</w:t>
      </w:r>
      <w:r w:rsidRPr="008D75D5">
        <w:rPr>
          <w:rFonts w:ascii="Arial" w:hAnsi="Arial"/>
          <w:sz w:val="22"/>
        </w:rPr>
        <w:t>élément, de ses praticiens et de sa localisation. Des membres de la communauté des trois vallées (</w:t>
      </w:r>
      <w:proofErr w:type="spellStart"/>
      <w:r w:rsidRPr="008D75D5">
        <w:rPr>
          <w:rFonts w:ascii="Arial" w:hAnsi="Arial"/>
          <w:sz w:val="22"/>
        </w:rPr>
        <w:t>Bumburet</w:t>
      </w:r>
      <w:proofErr w:type="spellEnd"/>
      <w:r w:rsidRPr="008D75D5">
        <w:rPr>
          <w:rFonts w:ascii="Arial" w:hAnsi="Arial"/>
          <w:sz w:val="22"/>
        </w:rPr>
        <w:t xml:space="preserve">, </w:t>
      </w:r>
      <w:proofErr w:type="spellStart"/>
      <w:r w:rsidRPr="008D75D5">
        <w:rPr>
          <w:rFonts w:ascii="Arial" w:hAnsi="Arial"/>
          <w:sz w:val="22"/>
        </w:rPr>
        <w:t>Birir</w:t>
      </w:r>
      <w:proofErr w:type="spellEnd"/>
      <w:r w:rsidRPr="008D75D5">
        <w:rPr>
          <w:rFonts w:ascii="Arial" w:hAnsi="Arial"/>
          <w:sz w:val="22"/>
        </w:rPr>
        <w:t xml:space="preserve"> </w:t>
      </w:r>
      <w:r w:rsidR="00D01CB2">
        <w:rPr>
          <w:rFonts w:ascii="Arial" w:hAnsi="Arial"/>
          <w:sz w:val="22"/>
        </w:rPr>
        <w:t>et</w:t>
      </w:r>
      <w:r w:rsidRPr="008D75D5">
        <w:rPr>
          <w:rFonts w:ascii="Arial" w:hAnsi="Arial"/>
          <w:sz w:val="22"/>
        </w:rPr>
        <w:t xml:space="preserve"> </w:t>
      </w:r>
      <w:proofErr w:type="spellStart"/>
      <w:r w:rsidRPr="008D75D5">
        <w:rPr>
          <w:rFonts w:ascii="Arial" w:hAnsi="Arial"/>
          <w:sz w:val="22"/>
        </w:rPr>
        <w:t>Rumbur</w:t>
      </w:r>
      <w:proofErr w:type="spellEnd"/>
      <w:r w:rsidRPr="008D75D5">
        <w:rPr>
          <w:rFonts w:ascii="Arial" w:hAnsi="Arial"/>
          <w:sz w:val="22"/>
        </w:rPr>
        <w:t xml:space="preserve">), dont les détenteurs, les instituteurs et les représentants des organisations </w:t>
      </w:r>
      <w:r w:rsidR="00D01CB2">
        <w:rPr>
          <w:rFonts w:ascii="Arial" w:hAnsi="Arial"/>
          <w:sz w:val="22"/>
        </w:rPr>
        <w:t xml:space="preserve">au sein des </w:t>
      </w:r>
      <w:r w:rsidRPr="008D75D5">
        <w:rPr>
          <w:rFonts w:ascii="Arial" w:hAnsi="Arial"/>
          <w:sz w:val="22"/>
        </w:rPr>
        <w:t>communaut</w:t>
      </w:r>
      <w:r w:rsidR="00D01CB2">
        <w:rPr>
          <w:rFonts w:ascii="Arial" w:hAnsi="Arial"/>
          <w:sz w:val="22"/>
        </w:rPr>
        <w:t>és</w:t>
      </w:r>
      <w:r w:rsidRPr="008D75D5">
        <w:rPr>
          <w:rFonts w:ascii="Arial" w:hAnsi="Arial"/>
          <w:sz w:val="22"/>
        </w:rPr>
        <w:t xml:space="preserve"> ont participé à des réunions dédiées à </w:t>
      </w:r>
      <w:r w:rsidR="00D01CB2" w:rsidRPr="008D75D5">
        <w:rPr>
          <w:rFonts w:ascii="Arial" w:hAnsi="Arial"/>
          <w:sz w:val="22"/>
        </w:rPr>
        <w:t>l</w:t>
      </w:r>
      <w:r w:rsidR="00D01CB2">
        <w:rPr>
          <w:rFonts w:ascii="Arial" w:hAnsi="Arial"/>
          <w:sz w:val="22"/>
        </w:rPr>
        <w:t>’</w:t>
      </w:r>
      <w:r w:rsidR="00D01CB2" w:rsidRPr="008D75D5">
        <w:rPr>
          <w:rFonts w:ascii="Arial" w:hAnsi="Arial"/>
          <w:sz w:val="22"/>
        </w:rPr>
        <w:t>in</w:t>
      </w:r>
      <w:r w:rsidR="00D01CB2">
        <w:rPr>
          <w:rFonts w:ascii="Arial" w:hAnsi="Arial"/>
          <w:sz w:val="22"/>
        </w:rPr>
        <w:t>clusion</w:t>
      </w:r>
      <w:r w:rsidR="00D01CB2" w:rsidRPr="008D75D5">
        <w:rPr>
          <w:rFonts w:ascii="Arial" w:hAnsi="Arial"/>
          <w:sz w:val="22"/>
        </w:rPr>
        <w:t xml:space="preserve"> </w:t>
      </w:r>
      <w:r w:rsidRPr="008D75D5">
        <w:rPr>
          <w:rFonts w:ascii="Arial" w:hAnsi="Arial"/>
          <w:sz w:val="22"/>
        </w:rPr>
        <w:t>de l</w:t>
      </w:r>
      <w:r w:rsidR="00A512DB">
        <w:rPr>
          <w:rFonts w:ascii="Arial" w:hAnsi="Arial"/>
          <w:sz w:val="22"/>
        </w:rPr>
        <w:t>’</w:t>
      </w:r>
      <w:r w:rsidRPr="008D75D5">
        <w:rPr>
          <w:rFonts w:ascii="Arial" w:hAnsi="Arial"/>
          <w:sz w:val="22"/>
        </w:rPr>
        <w:t>élément dans l</w:t>
      </w:r>
      <w:r w:rsidR="00A512DB">
        <w:rPr>
          <w:rFonts w:ascii="Arial" w:hAnsi="Arial"/>
          <w:sz w:val="22"/>
        </w:rPr>
        <w:t>’</w:t>
      </w:r>
      <w:r w:rsidR="00C5622C">
        <w:rPr>
          <w:rFonts w:ascii="Arial" w:hAnsi="Arial"/>
          <w:sz w:val="22"/>
        </w:rPr>
        <w:t>inventaire.</w:t>
      </w:r>
    </w:p>
    <w:p w14:paraId="3B4DBA4A" w14:textId="7E4E6C84" w:rsidR="005377FA" w:rsidRPr="00C5622C" w:rsidRDefault="005377FA" w:rsidP="0029421F">
      <w:pPr>
        <w:pStyle w:val="ListParagraph"/>
        <w:numPr>
          <w:ilvl w:val="0"/>
          <w:numId w:val="13"/>
        </w:numPr>
        <w:spacing w:before="120" w:after="120"/>
        <w:ind w:left="1134" w:hanging="567"/>
        <w:jc w:val="both"/>
        <w:outlineLvl w:val="1"/>
        <w:rPr>
          <w:rFonts w:ascii="Arial" w:eastAsia="SimSun" w:hAnsi="Arial" w:cs="Angsana New"/>
          <w:sz w:val="22"/>
          <w:szCs w:val="22"/>
        </w:rPr>
      </w:pPr>
      <w:r w:rsidRPr="008D75D5">
        <w:rPr>
          <w:rFonts w:ascii="Arial" w:hAnsi="Arial"/>
          <w:sz w:val="22"/>
          <w:u w:val="single"/>
        </w:rPr>
        <w:t>Inscrit</w:t>
      </w:r>
      <w:r w:rsidRPr="0029421F">
        <w:rPr>
          <w:rFonts w:ascii="Arial" w:hAnsi="Arial"/>
          <w:bCs/>
          <w:sz w:val="22"/>
        </w:rPr>
        <w:t xml:space="preserve"> </w:t>
      </w:r>
      <w:r w:rsidRPr="008D75D5">
        <w:rPr>
          <w:rFonts w:ascii="Arial" w:hAnsi="Arial"/>
          <w:b/>
          <w:sz w:val="22"/>
        </w:rPr>
        <w:t xml:space="preserve">le Suri </w:t>
      </w:r>
      <w:proofErr w:type="spellStart"/>
      <w:r w:rsidRPr="008D75D5">
        <w:rPr>
          <w:rFonts w:ascii="Arial" w:hAnsi="Arial"/>
          <w:b/>
          <w:sz w:val="22"/>
        </w:rPr>
        <w:t>Jagek</w:t>
      </w:r>
      <w:proofErr w:type="spellEnd"/>
      <w:r w:rsidRPr="008D75D5">
        <w:rPr>
          <w:rFonts w:ascii="Arial" w:hAnsi="Arial"/>
          <w:b/>
          <w:sz w:val="22"/>
        </w:rPr>
        <w:t xml:space="preserve"> (observation du soleil), pratique météorologique et astronomique traditionnelle fondée sur l</w:t>
      </w:r>
      <w:r w:rsidR="00A512DB">
        <w:rPr>
          <w:rFonts w:ascii="Arial" w:hAnsi="Arial"/>
          <w:b/>
          <w:sz w:val="22"/>
        </w:rPr>
        <w:t>’</w:t>
      </w:r>
      <w:r w:rsidRPr="008D75D5">
        <w:rPr>
          <w:rFonts w:ascii="Arial" w:hAnsi="Arial"/>
          <w:b/>
          <w:sz w:val="22"/>
        </w:rPr>
        <w:t>observation du soleil, de la lune et des étoiles par rapport à la topographie locale</w:t>
      </w:r>
      <w:r w:rsidRPr="008D75D5">
        <w:rPr>
          <w:rFonts w:ascii="Arial" w:hAnsi="Arial"/>
          <w:sz w:val="22"/>
        </w:rPr>
        <w:t xml:space="preserve"> sur la Liste du patrimoine culturel immatériel nécessitant une sauvegarde urgente</w:t>
      </w:r>
      <w:r w:rsidR="00920B72">
        <w:rPr>
          <w:rFonts w:ascii="Arial" w:hAnsi="Arial"/>
          <w:sz w:val="22"/>
        </w:rPr>
        <w:t> ;</w:t>
      </w:r>
    </w:p>
    <w:p w14:paraId="4F414D5E" w14:textId="26A7FEBA" w:rsidR="003F4BCF" w:rsidRPr="00652BA9" w:rsidRDefault="003F4BCF" w:rsidP="0029421F">
      <w:pPr>
        <w:pStyle w:val="ListParagraph"/>
        <w:numPr>
          <w:ilvl w:val="0"/>
          <w:numId w:val="13"/>
        </w:numPr>
        <w:spacing w:before="120" w:after="120"/>
        <w:ind w:left="1134" w:hanging="567"/>
        <w:jc w:val="both"/>
        <w:outlineLvl w:val="1"/>
        <w:rPr>
          <w:rFonts w:ascii="Arial" w:eastAsia="SimSun" w:hAnsi="Arial" w:cs="Angsana New"/>
          <w:sz w:val="22"/>
          <w:szCs w:val="22"/>
        </w:rPr>
      </w:pPr>
      <w:r w:rsidRPr="008D75D5">
        <w:rPr>
          <w:rFonts w:ascii="Arial" w:hAnsi="Arial"/>
          <w:sz w:val="22"/>
          <w:u w:val="single"/>
        </w:rPr>
        <w:t>Félicite</w:t>
      </w:r>
      <w:r w:rsidRPr="008D75D5">
        <w:rPr>
          <w:rFonts w:ascii="Arial" w:hAnsi="Arial"/>
          <w:sz w:val="22"/>
        </w:rPr>
        <w:t xml:space="preserve"> l</w:t>
      </w:r>
      <w:r w:rsidR="00A512DB">
        <w:rPr>
          <w:rFonts w:ascii="Arial" w:hAnsi="Arial"/>
          <w:sz w:val="22"/>
        </w:rPr>
        <w:t>’</w:t>
      </w:r>
      <w:r w:rsidRPr="008D75D5">
        <w:rPr>
          <w:rFonts w:ascii="Arial" w:hAnsi="Arial"/>
          <w:sz w:val="22"/>
        </w:rPr>
        <w:t>État partie d</w:t>
      </w:r>
      <w:r w:rsidR="00A512DB">
        <w:rPr>
          <w:rFonts w:ascii="Arial" w:hAnsi="Arial"/>
          <w:sz w:val="22"/>
        </w:rPr>
        <w:t>’</w:t>
      </w:r>
      <w:r w:rsidRPr="008D75D5">
        <w:rPr>
          <w:rFonts w:ascii="Arial" w:hAnsi="Arial"/>
          <w:sz w:val="22"/>
        </w:rPr>
        <w:t xml:space="preserve">avoir soumis un dossier bien préparé, notamment concernant la description des menaces </w:t>
      </w:r>
      <w:r w:rsidR="00771D82">
        <w:rPr>
          <w:rFonts w:ascii="Arial" w:hAnsi="Arial"/>
          <w:sz w:val="22"/>
        </w:rPr>
        <w:t xml:space="preserve">pesant sur </w:t>
      </w:r>
      <w:r w:rsidRPr="008D75D5">
        <w:rPr>
          <w:rFonts w:ascii="Arial" w:hAnsi="Arial"/>
          <w:sz w:val="22"/>
        </w:rPr>
        <w:t>l</w:t>
      </w:r>
      <w:r w:rsidR="00A512DB">
        <w:rPr>
          <w:rFonts w:ascii="Arial" w:hAnsi="Arial"/>
          <w:sz w:val="22"/>
        </w:rPr>
        <w:t>’</w:t>
      </w:r>
      <w:r w:rsidRPr="008D75D5">
        <w:rPr>
          <w:rFonts w:ascii="Arial" w:hAnsi="Arial"/>
          <w:sz w:val="22"/>
        </w:rPr>
        <w:t>élément, et soulignant la collaboration entre l</w:t>
      </w:r>
      <w:r w:rsidR="00C5622C">
        <w:rPr>
          <w:rFonts w:ascii="Arial" w:hAnsi="Arial"/>
          <w:sz w:val="22"/>
        </w:rPr>
        <w:t>a communauté et les chercheurs</w:t>
      </w:r>
      <w:r w:rsidR="00771D82">
        <w:rPr>
          <w:rFonts w:ascii="Arial" w:hAnsi="Arial"/>
          <w:sz w:val="22"/>
        </w:rPr>
        <w:t> ;</w:t>
      </w:r>
    </w:p>
    <w:p w14:paraId="63815DB8" w14:textId="102EDC78" w:rsidR="00771D82" w:rsidRPr="000C5900" w:rsidRDefault="00771D82" w:rsidP="0029421F">
      <w:pPr>
        <w:pStyle w:val="ListParagraph"/>
        <w:numPr>
          <w:ilvl w:val="0"/>
          <w:numId w:val="13"/>
        </w:numPr>
        <w:spacing w:before="120" w:after="120"/>
        <w:ind w:left="1134" w:hanging="567"/>
        <w:jc w:val="both"/>
        <w:outlineLvl w:val="1"/>
        <w:rPr>
          <w:rFonts w:ascii="Arial" w:eastAsia="SimSun" w:hAnsi="Arial" w:cs="Angsana New"/>
          <w:sz w:val="22"/>
          <w:szCs w:val="22"/>
        </w:rPr>
      </w:pPr>
      <w:r w:rsidRPr="000C5900">
        <w:rPr>
          <w:rFonts w:ascii="Arial" w:hAnsi="Arial"/>
          <w:sz w:val="22"/>
          <w:u w:val="single"/>
        </w:rPr>
        <w:t>Rappelle</w:t>
      </w:r>
      <w:r w:rsidRPr="000C5900">
        <w:rPr>
          <w:rFonts w:ascii="Arial" w:hAnsi="Arial"/>
          <w:sz w:val="22"/>
        </w:rPr>
        <w:t xml:space="preserve"> à l’</w:t>
      </w:r>
      <w:r w:rsidRPr="000C5900">
        <w:rPr>
          <w:rFonts w:ascii="Arial" w:eastAsia="SimSun" w:hAnsi="Arial" w:cs="Angsana New"/>
          <w:sz w:val="22"/>
          <w:szCs w:val="22"/>
        </w:rPr>
        <w:t>État partie que la mise à jour est un aspect important du processus d’élaboration des inventaires et l’</w:t>
      </w:r>
      <w:r w:rsidRPr="000C5900">
        <w:rPr>
          <w:rFonts w:ascii="Arial" w:eastAsia="SimSun" w:hAnsi="Arial" w:cs="Angsana New"/>
          <w:sz w:val="22"/>
          <w:szCs w:val="22"/>
          <w:u w:val="single"/>
        </w:rPr>
        <w:t>invite</w:t>
      </w:r>
      <w:r w:rsidRPr="000C5900">
        <w:rPr>
          <w:rFonts w:ascii="Arial" w:eastAsia="SimSun" w:hAnsi="Arial" w:cs="Angsana New"/>
          <w:sz w:val="22"/>
          <w:szCs w:val="22"/>
        </w:rPr>
        <w:t xml:space="preserve"> à inclure des informations détaillées dans son prochain rapport périodique sur la mise en œuvre de la Convention au niveau national, sur la manière dont </w:t>
      </w:r>
      <w:r w:rsidRPr="000C5900">
        <w:rPr>
          <w:rFonts w:ascii="Arial" w:hAnsi="Arial"/>
          <w:sz w:val="22"/>
        </w:rPr>
        <w:t>l’inventaire national du patrimoine culturel immatériel du Pakistan est régulièrement mis à jour avec la participation active des communautés, des groupes et des organisations non-gouvernementales, conformément à l’article 11(b) de la Convention.</w:t>
      </w:r>
    </w:p>
    <w:p w14:paraId="1741FE58" w14:textId="78703D88" w:rsidR="003F4BCF" w:rsidRPr="008D75D5" w:rsidRDefault="005377FA" w:rsidP="00BC46E7">
      <w:pPr>
        <w:keepNext/>
        <w:keepLines/>
        <w:spacing w:before="360" w:after="120"/>
        <w:ind w:left="567"/>
        <w:outlineLvl w:val="0"/>
        <w:rPr>
          <w:rFonts w:ascii="Arial" w:eastAsia="SimSun" w:hAnsi="Arial" w:cs="Angsana New"/>
          <w:b/>
          <w:sz w:val="22"/>
          <w:szCs w:val="22"/>
        </w:rPr>
      </w:pPr>
      <w:bookmarkStart w:id="13" w:name="Decision_10a7"/>
      <w:bookmarkEnd w:id="13"/>
      <w:r w:rsidRPr="008D75D5">
        <w:rPr>
          <w:rFonts w:ascii="Arial" w:hAnsi="Arial"/>
          <w:b/>
          <w:sz w:val="22"/>
        </w:rPr>
        <w:t>PROJET DE DÉCISION 13.COM 10.a.7</w:t>
      </w:r>
      <w:r w:rsidRPr="008D75D5">
        <w:tab/>
      </w:r>
      <w:r w:rsidRPr="008D75D5">
        <w:rPr>
          <w:rFonts w:ascii="Arial" w:hAnsi="Arial" w:cs="Arial"/>
          <w:noProof/>
          <w:color w:val="0000FF"/>
          <w:sz w:val="22"/>
          <w:szCs w:val="22"/>
          <w:lang w:val="en-US" w:eastAsia="ko-KR" w:bidi="ar-SA"/>
        </w:rPr>
        <w:drawing>
          <wp:inline distT="0" distB="0" distL="0" distR="0" wp14:anchorId="2B597D5D" wp14:editId="232B139B">
            <wp:extent cx="104775" cy="104775"/>
            <wp:effectExtent l="0" t="0" r="9525" b="9525"/>
            <wp:docPr id="8" name="Picture 8">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9C73EB9" w14:textId="3ADB9D67" w:rsidR="003F4BCF" w:rsidRPr="008D75D5" w:rsidRDefault="005377FA" w:rsidP="003F4BCF">
      <w:pPr>
        <w:keepNext/>
        <w:tabs>
          <w:tab w:val="left" w:pos="567"/>
          <w:tab w:val="left" w:pos="1134"/>
          <w:tab w:val="left" w:pos="1701"/>
          <w:tab w:val="left" w:pos="2268"/>
        </w:tabs>
        <w:spacing w:before="120" w:after="120"/>
        <w:ind w:left="567"/>
        <w:jc w:val="both"/>
        <w:rPr>
          <w:rFonts w:ascii="Arial" w:eastAsia="SimSun" w:hAnsi="Arial" w:cs="Arial"/>
          <w:sz w:val="22"/>
          <w:szCs w:val="22"/>
        </w:rPr>
      </w:pPr>
      <w:r w:rsidRPr="008D75D5">
        <w:rPr>
          <w:rFonts w:ascii="Arial" w:hAnsi="Arial"/>
          <w:sz w:val="22"/>
        </w:rPr>
        <w:t>Le Comité</w:t>
      </w:r>
    </w:p>
    <w:p w14:paraId="2F64B8A1" w14:textId="0CCCC3E7" w:rsidR="005377FA" w:rsidRPr="008D75D5" w:rsidRDefault="005377FA" w:rsidP="0029421F">
      <w:pPr>
        <w:pStyle w:val="ListParagraph"/>
        <w:keepNext/>
        <w:numPr>
          <w:ilvl w:val="0"/>
          <w:numId w:val="14"/>
        </w:numPr>
        <w:spacing w:before="120" w:after="120"/>
        <w:ind w:left="1134" w:hanging="567"/>
        <w:jc w:val="both"/>
        <w:outlineLvl w:val="1"/>
        <w:rPr>
          <w:rFonts w:ascii="Arial" w:eastAsia="SimSun" w:hAnsi="Arial" w:cs="Angsana New"/>
          <w:sz w:val="22"/>
          <w:szCs w:val="22"/>
        </w:rPr>
      </w:pPr>
      <w:r w:rsidRPr="008D75D5">
        <w:rPr>
          <w:rFonts w:ascii="Arial" w:hAnsi="Arial"/>
          <w:sz w:val="22"/>
          <w:u w:val="single"/>
        </w:rPr>
        <w:t>Prend note</w:t>
      </w:r>
      <w:r w:rsidRPr="008D75D5">
        <w:rPr>
          <w:rFonts w:ascii="Arial" w:hAnsi="Arial"/>
          <w:sz w:val="22"/>
        </w:rPr>
        <w:t xml:space="preserve"> que la République arabe syrienne a proposé la candidature </w:t>
      </w:r>
      <w:r w:rsidRPr="008D75D5">
        <w:rPr>
          <w:rFonts w:ascii="Arial" w:hAnsi="Arial"/>
          <w:b/>
          <w:sz w:val="22"/>
        </w:rPr>
        <w:t>du théâtre d</w:t>
      </w:r>
      <w:r w:rsidR="00A512DB">
        <w:rPr>
          <w:rFonts w:ascii="Arial" w:hAnsi="Arial"/>
          <w:b/>
          <w:sz w:val="22"/>
        </w:rPr>
        <w:t>’</w:t>
      </w:r>
      <w:r w:rsidRPr="008D75D5">
        <w:rPr>
          <w:rFonts w:ascii="Arial" w:hAnsi="Arial"/>
          <w:b/>
          <w:sz w:val="22"/>
        </w:rPr>
        <w:t>ombres</w:t>
      </w:r>
      <w:r w:rsidRPr="008D75D5">
        <w:rPr>
          <w:rFonts w:ascii="Arial" w:hAnsi="Arial"/>
          <w:sz w:val="22"/>
        </w:rPr>
        <w:t xml:space="preserve"> (n° 01368) pour inscription sur la Liste du patrimoine culturel immatériel nécessitant une sauvegarde urgente :</w:t>
      </w:r>
    </w:p>
    <w:p w14:paraId="58F8BA54" w14:textId="7FA233AC" w:rsidR="003F4BCF" w:rsidRPr="00C5622C" w:rsidRDefault="001B1007" w:rsidP="003F4BCF">
      <w:pPr>
        <w:tabs>
          <w:tab w:val="left" w:pos="1134"/>
          <w:tab w:val="left" w:pos="1701"/>
          <w:tab w:val="left" w:pos="2268"/>
        </w:tabs>
        <w:spacing w:before="120" w:after="120"/>
        <w:ind w:left="1134"/>
        <w:jc w:val="both"/>
        <w:rPr>
          <w:rFonts w:ascii="Arial" w:hAnsi="Arial" w:cs="Arial"/>
          <w:sz w:val="22"/>
          <w:szCs w:val="22"/>
        </w:rPr>
      </w:pPr>
      <w:r>
        <w:rPr>
          <w:rFonts w:ascii="Arial" w:hAnsi="Arial"/>
          <w:sz w:val="22"/>
        </w:rPr>
        <w:t>Désormais principalement présent à Damas, l</w:t>
      </w:r>
      <w:r w:rsidR="00C5622C" w:rsidRPr="00C5622C">
        <w:rPr>
          <w:rFonts w:ascii="Arial" w:hAnsi="Arial"/>
          <w:sz w:val="22"/>
        </w:rPr>
        <w:t xml:space="preserve">e théâtre d’ombres est un art traditionnel mettant en scène des marionnettes fabriquées à la main se déplaçant derrière un rideau (ou un écran) fin et translucide à l’intérieur d’un théâtre sombre. Une lumière provenant de l’arrière de la scène projette les ombres des marionnettes à l’écran alors qu’elles se déplacent accompagnées d’un texte lu et de musique. Le contenu dramatique du théâtre d’ombres tourne autour de la critique sociale sur un ton humoristique, en ayant recours à des éléments suggestifs, de la poésie, de la prose, du chant et de la musique – et la satire est utilisée pour relayer les récits entre les deux personnages principaux, l’ingénu </w:t>
      </w:r>
      <w:proofErr w:type="spellStart"/>
      <w:r w:rsidR="00C5622C" w:rsidRPr="00C5622C">
        <w:rPr>
          <w:rFonts w:ascii="Arial" w:hAnsi="Arial"/>
          <w:sz w:val="22"/>
        </w:rPr>
        <w:t>Karakoz</w:t>
      </w:r>
      <w:proofErr w:type="spellEnd"/>
      <w:r w:rsidR="00C5622C" w:rsidRPr="00C5622C">
        <w:rPr>
          <w:rFonts w:ascii="Arial" w:hAnsi="Arial"/>
          <w:sz w:val="22"/>
        </w:rPr>
        <w:t xml:space="preserve"> et son ami, l’intelligent </w:t>
      </w:r>
      <w:proofErr w:type="spellStart"/>
      <w:r w:rsidR="00C5622C" w:rsidRPr="00C5622C">
        <w:rPr>
          <w:rFonts w:ascii="Arial" w:hAnsi="Arial"/>
          <w:sz w:val="22"/>
        </w:rPr>
        <w:t>Eiwaz</w:t>
      </w:r>
      <w:proofErr w:type="spellEnd"/>
      <w:r w:rsidR="00C5622C" w:rsidRPr="00C5622C">
        <w:rPr>
          <w:rFonts w:ascii="Arial" w:hAnsi="Arial"/>
          <w:sz w:val="22"/>
        </w:rPr>
        <w:t>. Des personnages féminins et des animaux doués de parole complètent la troupe. Les représentations ont traditionnellement lieu dans les cafés populaires où les gens se rassemblent pour voir des histoires sur la vie quotidienne. Au fil du temps, la pratique a toutefois diminué, notamment en raison du développement de la technologie moderne et de nouvelles formes de divertissement numérique, et du déplacement massif des populations syriennes, tant dans le pays qu</w:t>
      </w:r>
      <w:r>
        <w:rPr>
          <w:rFonts w:ascii="Arial" w:hAnsi="Arial"/>
          <w:sz w:val="22"/>
        </w:rPr>
        <w:t>e vers</w:t>
      </w:r>
      <w:r w:rsidR="00C5622C" w:rsidRPr="00C5622C">
        <w:rPr>
          <w:rFonts w:ascii="Arial" w:hAnsi="Arial"/>
          <w:sz w:val="22"/>
        </w:rPr>
        <w:t xml:space="preserve"> l’extérieur, du fait </w:t>
      </w:r>
      <w:r>
        <w:rPr>
          <w:rFonts w:ascii="Arial" w:hAnsi="Arial"/>
          <w:sz w:val="22"/>
        </w:rPr>
        <w:t>des conflits armés</w:t>
      </w:r>
      <w:r w:rsidR="00C5622C" w:rsidRPr="00C5622C">
        <w:rPr>
          <w:rFonts w:ascii="Arial" w:hAnsi="Arial"/>
          <w:sz w:val="22"/>
        </w:rPr>
        <w:t xml:space="preserve">. Les représentations, qui ont décliné dans les cafés populaires, se limitent désormais aux festivals, fêtes et théâtres. La convergence de tous ces facteurs a eu des conséquences préjudiciables à la viabilité de l’élément, à tel point qu’il n’existe plus qu’un seul </w:t>
      </w:r>
      <w:proofErr w:type="spellStart"/>
      <w:r w:rsidR="00C5622C" w:rsidRPr="00C5622C">
        <w:rPr>
          <w:rFonts w:ascii="Arial" w:hAnsi="Arial"/>
          <w:sz w:val="22"/>
        </w:rPr>
        <w:t>mukhayel</w:t>
      </w:r>
      <w:proofErr w:type="spellEnd"/>
      <w:r w:rsidR="00C5622C" w:rsidRPr="00C5622C">
        <w:rPr>
          <w:rFonts w:ascii="Arial" w:hAnsi="Arial"/>
          <w:sz w:val="22"/>
        </w:rPr>
        <w:t xml:space="preserve"> </w:t>
      </w:r>
      <w:r>
        <w:rPr>
          <w:rFonts w:ascii="Arial" w:hAnsi="Arial"/>
          <w:sz w:val="22"/>
        </w:rPr>
        <w:t xml:space="preserve">(marionnettiste) </w:t>
      </w:r>
      <w:r w:rsidR="00C5622C" w:rsidRPr="00C5622C">
        <w:rPr>
          <w:rFonts w:ascii="Arial" w:hAnsi="Arial"/>
          <w:sz w:val="22"/>
        </w:rPr>
        <w:t>actif à Damas.</w:t>
      </w:r>
    </w:p>
    <w:p w14:paraId="17D870E8" w14:textId="37B88003" w:rsidR="005377FA" w:rsidRPr="008D75D5" w:rsidRDefault="005377FA" w:rsidP="0029421F">
      <w:pPr>
        <w:pStyle w:val="ListParagraph"/>
        <w:keepNext/>
        <w:numPr>
          <w:ilvl w:val="0"/>
          <w:numId w:val="14"/>
        </w:numPr>
        <w:spacing w:before="120" w:after="120"/>
        <w:ind w:left="1134" w:hanging="567"/>
        <w:jc w:val="both"/>
        <w:outlineLvl w:val="1"/>
        <w:rPr>
          <w:rFonts w:ascii="Arial" w:eastAsia="SimSun" w:hAnsi="Arial" w:cs="Angsana New"/>
          <w:sz w:val="22"/>
          <w:szCs w:val="22"/>
        </w:rPr>
      </w:pPr>
      <w:r w:rsidRPr="008D75D5">
        <w:rPr>
          <w:rFonts w:ascii="Arial" w:hAnsi="Arial"/>
          <w:sz w:val="22"/>
          <w:u w:val="single"/>
        </w:rPr>
        <w:lastRenderedPageBreak/>
        <w:t>Décide</w:t>
      </w:r>
      <w:r w:rsidRPr="008D75D5">
        <w:rPr>
          <w:rFonts w:ascii="Arial" w:hAnsi="Arial"/>
          <w:sz w:val="22"/>
        </w:rPr>
        <w:t xml:space="preserve"> que, d</w:t>
      </w:r>
      <w:r w:rsidR="00A512DB">
        <w:rPr>
          <w:rFonts w:ascii="Arial" w:hAnsi="Arial"/>
          <w:sz w:val="22"/>
        </w:rPr>
        <w:t>’</w:t>
      </w:r>
      <w:r w:rsidRPr="008D75D5">
        <w:rPr>
          <w:rFonts w:ascii="Arial" w:hAnsi="Arial"/>
          <w:sz w:val="22"/>
        </w:rPr>
        <w:t>après l</w:t>
      </w:r>
      <w:r w:rsidR="00A512DB">
        <w:rPr>
          <w:rFonts w:ascii="Arial" w:hAnsi="Arial"/>
          <w:sz w:val="22"/>
        </w:rPr>
        <w:t>’</w:t>
      </w:r>
      <w:r w:rsidRPr="008D75D5">
        <w:rPr>
          <w:rFonts w:ascii="Arial" w:hAnsi="Arial"/>
          <w:sz w:val="22"/>
        </w:rPr>
        <w:t>information contenue dans le dossier, la candidature satisfait aux critères d</w:t>
      </w:r>
      <w:r w:rsidR="00A512DB">
        <w:rPr>
          <w:rFonts w:ascii="Arial" w:hAnsi="Arial"/>
          <w:sz w:val="22"/>
        </w:rPr>
        <w:t>’</w:t>
      </w:r>
      <w:r w:rsidRPr="008D75D5">
        <w:rPr>
          <w:rFonts w:ascii="Arial" w:hAnsi="Arial"/>
          <w:sz w:val="22"/>
        </w:rPr>
        <w:t>inscription sur la Liste du patrimoine culturel immatériel nécessitant une sauvegarde urgente comme suit :</w:t>
      </w:r>
    </w:p>
    <w:p w14:paraId="7F48EF8F" w14:textId="3150B6D5" w:rsidR="003F4BCF" w:rsidRPr="008D75D5" w:rsidRDefault="003F4BCF" w:rsidP="003F4BCF">
      <w:pPr>
        <w:tabs>
          <w:tab w:val="left" w:pos="567"/>
          <w:tab w:val="left" w:pos="1134"/>
          <w:tab w:val="left" w:pos="1701"/>
          <w:tab w:val="left" w:pos="2268"/>
        </w:tabs>
        <w:spacing w:before="120" w:after="120"/>
        <w:ind w:left="1701" w:hanging="567"/>
        <w:jc w:val="both"/>
        <w:rPr>
          <w:rFonts w:ascii="Arial" w:hAnsi="Arial" w:cs="Arial"/>
          <w:sz w:val="22"/>
          <w:szCs w:val="22"/>
        </w:rPr>
      </w:pPr>
      <w:r w:rsidRPr="008D75D5">
        <w:rPr>
          <w:rFonts w:ascii="Arial" w:hAnsi="Arial"/>
          <w:sz w:val="22"/>
        </w:rPr>
        <w:t>U.1 :</w:t>
      </w:r>
      <w:r w:rsidRPr="008D75D5">
        <w:tab/>
      </w:r>
      <w:r w:rsidRPr="008D75D5">
        <w:rPr>
          <w:rFonts w:ascii="Arial" w:hAnsi="Arial"/>
          <w:sz w:val="22"/>
        </w:rPr>
        <w:t>Le théâtre d</w:t>
      </w:r>
      <w:r w:rsidR="00A512DB">
        <w:rPr>
          <w:rFonts w:ascii="Arial" w:hAnsi="Arial"/>
          <w:sz w:val="22"/>
        </w:rPr>
        <w:t>’</w:t>
      </w:r>
      <w:r w:rsidRPr="008D75D5">
        <w:rPr>
          <w:rFonts w:ascii="Arial" w:hAnsi="Arial"/>
          <w:sz w:val="22"/>
        </w:rPr>
        <w:t>ombres est un art du spectacle traditionnel syrien populaire. Auparavant transmis de père en fils, l</w:t>
      </w:r>
      <w:r w:rsidR="00A512DB">
        <w:rPr>
          <w:rFonts w:ascii="Arial" w:hAnsi="Arial"/>
          <w:sz w:val="22"/>
        </w:rPr>
        <w:t>’</w:t>
      </w:r>
      <w:r w:rsidRPr="008D75D5">
        <w:rPr>
          <w:rFonts w:ascii="Arial" w:hAnsi="Arial"/>
          <w:sz w:val="22"/>
        </w:rPr>
        <w:t>art du théâtre d</w:t>
      </w:r>
      <w:r w:rsidR="00A512DB">
        <w:rPr>
          <w:rFonts w:ascii="Arial" w:hAnsi="Arial"/>
          <w:sz w:val="22"/>
        </w:rPr>
        <w:t>’</w:t>
      </w:r>
      <w:r w:rsidRPr="008D75D5">
        <w:rPr>
          <w:rFonts w:ascii="Arial" w:hAnsi="Arial"/>
          <w:sz w:val="22"/>
        </w:rPr>
        <w:t>ombres est aujourd</w:t>
      </w:r>
      <w:r w:rsidR="00A512DB">
        <w:rPr>
          <w:rFonts w:ascii="Arial" w:hAnsi="Arial"/>
          <w:sz w:val="22"/>
        </w:rPr>
        <w:t>’</w:t>
      </w:r>
      <w:r w:rsidRPr="008D75D5">
        <w:rPr>
          <w:rFonts w:ascii="Arial" w:hAnsi="Arial"/>
          <w:sz w:val="22"/>
        </w:rPr>
        <w:t>hui également enseigné à l</w:t>
      </w:r>
      <w:r w:rsidR="00A512DB">
        <w:rPr>
          <w:rFonts w:ascii="Arial" w:hAnsi="Arial"/>
          <w:sz w:val="22"/>
        </w:rPr>
        <w:t>’</w:t>
      </w:r>
      <w:r w:rsidRPr="008D75D5">
        <w:rPr>
          <w:rFonts w:ascii="Arial" w:hAnsi="Arial"/>
          <w:sz w:val="22"/>
        </w:rPr>
        <w:t>Institut supérieur d</w:t>
      </w:r>
      <w:r w:rsidR="00A512DB">
        <w:rPr>
          <w:rFonts w:ascii="Arial" w:hAnsi="Arial"/>
          <w:sz w:val="22"/>
        </w:rPr>
        <w:t>’</w:t>
      </w:r>
      <w:r w:rsidRPr="008D75D5">
        <w:rPr>
          <w:rFonts w:ascii="Arial" w:hAnsi="Arial"/>
          <w:sz w:val="22"/>
        </w:rPr>
        <w:t>arts dramatiques de Syrie, et au travers d</w:t>
      </w:r>
      <w:r w:rsidR="00A512DB">
        <w:rPr>
          <w:rFonts w:ascii="Arial" w:hAnsi="Arial"/>
          <w:sz w:val="22"/>
        </w:rPr>
        <w:t>’</w:t>
      </w:r>
      <w:r w:rsidRPr="008D75D5">
        <w:rPr>
          <w:rFonts w:ascii="Arial" w:hAnsi="Arial"/>
          <w:sz w:val="22"/>
        </w:rPr>
        <w:t xml:space="preserve">ateliers et autres activités publiques </w:t>
      </w:r>
      <w:r w:rsidR="00625BD4">
        <w:rPr>
          <w:rFonts w:ascii="Arial" w:hAnsi="Arial"/>
          <w:sz w:val="22"/>
        </w:rPr>
        <w:t>au sein des</w:t>
      </w:r>
      <w:r w:rsidRPr="008D75D5">
        <w:rPr>
          <w:rFonts w:ascii="Arial" w:hAnsi="Arial"/>
          <w:sz w:val="22"/>
        </w:rPr>
        <w:t xml:space="preserve"> communauté</w:t>
      </w:r>
      <w:r w:rsidR="00625BD4">
        <w:rPr>
          <w:rFonts w:ascii="Arial" w:hAnsi="Arial"/>
          <w:sz w:val="22"/>
        </w:rPr>
        <w:t>s</w:t>
      </w:r>
      <w:r w:rsidRPr="008D75D5">
        <w:rPr>
          <w:rFonts w:ascii="Arial" w:hAnsi="Arial"/>
          <w:sz w:val="22"/>
        </w:rPr>
        <w:t>, spécialement pour les enfants et les jeunes. Le théâtre d</w:t>
      </w:r>
      <w:r w:rsidR="00A512DB">
        <w:rPr>
          <w:rFonts w:ascii="Arial" w:hAnsi="Arial"/>
          <w:sz w:val="22"/>
        </w:rPr>
        <w:t>’</w:t>
      </w:r>
      <w:r w:rsidRPr="008D75D5">
        <w:rPr>
          <w:rFonts w:ascii="Arial" w:hAnsi="Arial"/>
          <w:sz w:val="22"/>
        </w:rPr>
        <w:t>ombres revêt une profonde signification sociale et culturelle qui transmet des contenus sociaux, religieux et politiques et enseigne aux gens les comportement</w:t>
      </w:r>
      <w:r w:rsidR="008D75D5" w:rsidRPr="008D75D5">
        <w:rPr>
          <w:rFonts w:ascii="Arial" w:hAnsi="Arial"/>
          <w:sz w:val="22"/>
        </w:rPr>
        <w:t>s</w:t>
      </w:r>
      <w:r w:rsidRPr="008D75D5">
        <w:rPr>
          <w:rFonts w:ascii="Arial" w:hAnsi="Arial"/>
          <w:sz w:val="22"/>
        </w:rPr>
        <w:t xml:space="preserve"> sociaux </w:t>
      </w:r>
      <w:r w:rsidR="00625BD4">
        <w:rPr>
          <w:rFonts w:ascii="Arial" w:hAnsi="Arial"/>
          <w:sz w:val="22"/>
        </w:rPr>
        <w:t>appropriés</w:t>
      </w:r>
      <w:r w:rsidR="00625BD4" w:rsidRPr="008D75D5">
        <w:rPr>
          <w:rFonts w:ascii="Arial" w:hAnsi="Arial"/>
          <w:sz w:val="22"/>
        </w:rPr>
        <w:t xml:space="preserve"> </w:t>
      </w:r>
      <w:r w:rsidRPr="008D75D5">
        <w:rPr>
          <w:rFonts w:ascii="Arial" w:hAnsi="Arial"/>
          <w:sz w:val="22"/>
        </w:rPr>
        <w:t xml:space="preserve">à travers la satire. Ses praticiens sont des conteurs, musiciens et artisans </w:t>
      </w:r>
      <w:r w:rsidR="00625BD4">
        <w:rPr>
          <w:rFonts w:ascii="Arial" w:hAnsi="Arial"/>
          <w:sz w:val="22"/>
        </w:rPr>
        <w:t>qualifiés</w:t>
      </w:r>
      <w:r w:rsidRPr="008D75D5">
        <w:rPr>
          <w:rFonts w:ascii="Arial" w:hAnsi="Arial"/>
          <w:sz w:val="22"/>
        </w:rPr>
        <w:t>. Le théâtre d</w:t>
      </w:r>
      <w:r w:rsidR="00A512DB">
        <w:rPr>
          <w:rFonts w:ascii="Arial" w:hAnsi="Arial"/>
          <w:sz w:val="22"/>
        </w:rPr>
        <w:t>’</w:t>
      </w:r>
      <w:r w:rsidRPr="008D75D5">
        <w:rPr>
          <w:rFonts w:ascii="Arial" w:hAnsi="Arial"/>
          <w:sz w:val="22"/>
        </w:rPr>
        <w:t xml:space="preserve">ombres </w:t>
      </w:r>
      <w:r w:rsidR="00625BD4">
        <w:rPr>
          <w:rFonts w:ascii="Arial" w:hAnsi="Arial"/>
          <w:sz w:val="22"/>
        </w:rPr>
        <w:t>sauvegarde</w:t>
      </w:r>
      <w:r w:rsidR="00625BD4" w:rsidRPr="008D75D5">
        <w:rPr>
          <w:rFonts w:ascii="Arial" w:hAnsi="Arial"/>
          <w:sz w:val="22"/>
        </w:rPr>
        <w:t xml:space="preserve"> </w:t>
      </w:r>
      <w:r w:rsidRPr="008D75D5">
        <w:rPr>
          <w:rFonts w:ascii="Arial" w:hAnsi="Arial"/>
          <w:sz w:val="22"/>
        </w:rPr>
        <w:t xml:space="preserve">le patrimoine oral traditionnel de Syrie, aide à renforcer les liens sociaux et encourage les interactions entre les </w:t>
      </w:r>
      <w:proofErr w:type="spellStart"/>
      <w:r w:rsidRPr="008D75D5">
        <w:rPr>
          <w:rFonts w:ascii="Arial" w:hAnsi="Arial"/>
          <w:sz w:val="22"/>
        </w:rPr>
        <w:t>Mukhayels</w:t>
      </w:r>
      <w:proofErr w:type="spellEnd"/>
      <w:r w:rsidRPr="008D75D5">
        <w:rPr>
          <w:rFonts w:ascii="Arial" w:hAnsi="Arial"/>
          <w:sz w:val="22"/>
        </w:rPr>
        <w:t xml:space="preserve"> (m</w:t>
      </w:r>
      <w:r w:rsidR="00C5622C">
        <w:rPr>
          <w:rFonts w:ascii="Arial" w:hAnsi="Arial"/>
          <w:sz w:val="22"/>
        </w:rPr>
        <w:t>arionnettistes) et leur public.</w:t>
      </w:r>
    </w:p>
    <w:p w14:paraId="2C1B44F9" w14:textId="4A4979F6" w:rsidR="003F4BCF" w:rsidRPr="008D75D5" w:rsidRDefault="003F4BCF" w:rsidP="003F4BCF">
      <w:pPr>
        <w:tabs>
          <w:tab w:val="left" w:pos="567"/>
          <w:tab w:val="left" w:pos="1134"/>
          <w:tab w:val="left" w:pos="1701"/>
          <w:tab w:val="left" w:pos="2268"/>
        </w:tabs>
        <w:spacing w:before="120" w:after="120"/>
        <w:ind w:left="1701" w:hanging="567"/>
        <w:jc w:val="both"/>
        <w:rPr>
          <w:rFonts w:ascii="Arial" w:hAnsi="Arial" w:cs="Arial"/>
          <w:sz w:val="22"/>
          <w:szCs w:val="22"/>
        </w:rPr>
      </w:pPr>
      <w:r w:rsidRPr="008D75D5">
        <w:rPr>
          <w:rFonts w:ascii="Arial" w:hAnsi="Arial"/>
          <w:sz w:val="22"/>
        </w:rPr>
        <w:t>U.2 :</w:t>
      </w:r>
      <w:r w:rsidRPr="008D75D5">
        <w:tab/>
      </w:r>
      <w:r w:rsidRPr="008D75D5">
        <w:rPr>
          <w:rFonts w:ascii="Arial" w:hAnsi="Arial"/>
          <w:sz w:val="22"/>
        </w:rPr>
        <w:t>La pratique et la popularité de l</w:t>
      </w:r>
      <w:r w:rsidR="00A512DB">
        <w:rPr>
          <w:rFonts w:ascii="Arial" w:hAnsi="Arial"/>
          <w:sz w:val="22"/>
        </w:rPr>
        <w:t>’</w:t>
      </w:r>
      <w:r w:rsidRPr="008D75D5">
        <w:rPr>
          <w:rFonts w:ascii="Arial" w:hAnsi="Arial"/>
          <w:sz w:val="22"/>
        </w:rPr>
        <w:t>élément diminuent depuis les années 40 à cause des technologies modernes et des nouvelles formes de divertissement. Cependant, la situation a empiré au début de la gu</w:t>
      </w:r>
      <w:r w:rsidR="008D75D5" w:rsidRPr="008D75D5">
        <w:rPr>
          <w:rFonts w:ascii="Arial" w:hAnsi="Arial"/>
          <w:sz w:val="22"/>
        </w:rPr>
        <w:t>erre et a forcé les praticiens à</w:t>
      </w:r>
      <w:r w:rsidRPr="008D75D5">
        <w:rPr>
          <w:rFonts w:ascii="Arial" w:hAnsi="Arial"/>
          <w:sz w:val="22"/>
        </w:rPr>
        <w:t xml:space="preserve"> émigrer. Dans cette situation, les besoins humanitaires sont naturellement prioritaires par rapport à la sauvegarde du patrimoine vivant. Les modes de transmission non formels se perdent dans les familles et il n</w:t>
      </w:r>
      <w:r w:rsidR="00A512DB">
        <w:rPr>
          <w:rFonts w:ascii="Arial" w:hAnsi="Arial"/>
          <w:sz w:val="22"/>
        </w:rPr>
        <w:t>’</w:t>
      </w:r>
      <w:r w:rsidRPr="008D75D5">
        <w:rPr>
          <w:rFonts w:ascii="Arial" w:hAnsi="Arial"/>
          <w:sz w:val="22"/>
        </w:rPr>
        <w:t xml:space="preserve">y a presque plus de </w:t>
      </w:r>
      <w:proofErr w:type="spellStart"/>
      <w:r w:rsidRPr="008D75D5">
        <w:rPr>
          <w:rFonts w:ascii="Arial" w:hAnsi="Arial"/>
          <w:sz w:val="22"/>
        </w:rPr>
        <w:t>Mukhayels</w:t>
      </w:r>
      <w:proofErr w:type="spellEnd"/>
      <w:r w:rsidRPr="008D75D5">
        <w:rPr>
          <w:rFonts w:ascii="Arial" w:hAnsi="Arial"/>
          <w:sz w:val="22"/>
        </w:rPr>
        <w:t>. Du fait de sa complexité et du contexte de guerre, la combinaison de toutes ces compétences chez un seul artiste est très rare. En effet, un seul marionnettiste maîtrise l</w:t>
      </w:r>
      <w:r w:rsidR="00A512DB">
        <w:rPr>
          <w:rFonts w:ascii="Arial" w:hAnsi="Arial"/>
          <w:sz w:val="22"/>
        </w:rPr>
        <w:t>’</w:t>
      </w:r>
      <w:r w:rsidRPr="008D75D5">
        <w:rPr>
          <w:rFonts w:ascii="Arial" w:hAnsi="Arial"/>
          <w:sz w:val="22"/>
        </w:rPr>
        <w:t>élément dans toute sa complexité antérieure. La détérioration des conditions de sécurité et l</w:t>
      </w:r>
      <w:r w:rsidR="00A512DB">
        <w:rPr>
          <w:rFonts w:ascii="Arial" w:hAnsi="Arial"/>
          <w:sz w:val="22"/>
        </w:rPr>
        <w:t>’</w:t>
      </w:r>
      <w:r w:rsidRPr="008D75D5">
        <w:rPr>
          <w:rFonts w:ascii="Arial" w:hAnsi="Arial"/>
          <w:sz w:val="22"/>
        </w:rPr>
        <w:t>inaccessibilité de certaines zones ont également causé l</w:t>
      </w:r>
      <w:r w:rsidR="00A512DB">
        <w:rPr>
          <w:rFonts w:ascii="Arial" w:hAnsi="Arial"/>
          <w:sz w:val="22"/>
        </w:rPr>
        <w:t>’</w:t>
      </w:r>
      <w:r w:rsidRPr="008D75D5">
        <w:rPr>
          <w:rFonts w:ascii="Arial" w:hAnsi="Arial"/>
          <w:sz w:val="22"/>
        </w:rPr>
        <w:t>interruption des tournées de représentations de théâtre d</w:t>
      </w:r>
      <w:r w:rsidR="00A512DB">
        <w:rPr>
          <w:rFonts w:ascii="Arial" w:hAnsi="Arial"/>
          <w:sz w:val="22"/>
        </w:rPr>
        <w:t>’</w:t>
      </w:r>
      <w:r w:rsidRPr="008D75D5">
        <w:rPr>
          <w:rFonts w:ascii="Arial" w:hAnsi="Arial"/>
          <w:sz w:val="22"/>
        </w:rPr>
        <w:t>ombres. Les problèmes relatifs au transfert des connaissances s</w:t>
      </w:r>
      <w:r w:rsidR="00A512DB">
        <w:rPr>
          <w:rFonts w:ascii="Arial" w:hAnsi="Arial"/>
          <w:sz w:val="22"/>
        </w:rPr>
        <w:t>’</w:t>
      </w:r>
      <w:r w:rsidRPr="008D75D5">
        <w:rPr>
          <w:rFonts w:ascii="Arial" w:hAnsi="Arial"/>
          <w:sz w:val="22"/>
        </w:rPr>
        <w:t>accompagnent d</w:t>
      </w:r>
      <w:r w:rsidR="00A512DB">
        <w:rPr>
          <w:rFonts w:ascii="Arial" w:hAnsi="Arial"/>
          <w:sz w:val="22"/>
        </w:rPr>
        <w:t>’</w:t>
      </w:r>
      <w:r w:rsidRPr="008D75D5">
        <w:rPr>
          <w:rFonts w:ascii="Arial" w:hAnsi="Arial"/>
          <w:sz w:val="22"/>
        </w:rPr>
        <w:t>un manque d</w:t>
      </w:r>
      <w:r w:rsidR="00A512DB">
        <w:rPr>
          <w:rFonts w:ascii="Arial" w:hAnsi="Arial"/>
          <w:sz w:val="22"/>
        </w:rPr>
        <w:t>’</w:t>
      </w:r>
      <w:r w:rsidRPr="008D75D5">
        <w:rPr>
          <w:rFonts w:ascii="Arial" w:hAnsi="Arial"/>
          <w:sz w:val="22"/>
        </w:rPr>
        <w:t>atelier</w:t>
      </w:r>
      <w:r w:rsidR="00B20D91">
        <w:rPr>
          <w:rFonts w:ascii="Arial" w:hAnsi="Arial"/>
          <w:sz w:val="22"/>
        </w:rPr>
        <w:t>s</w:t>
      </w:r>
      <w:r w:rsidRPr="008D75D5">
        <w:rPr>
          <w:rFonts w:ascii="Arial" w:hAnsi="Arial"/>
          <w:sz w:val="22"/>
        </w:rPr>
        <w:t xml:space="preserve"> de fabrication de marionnette</w:t>
      </w:r>
      <w:r w:rsidR="00625BD4">
        <w:rPr>
          <w:rFonts w:ascii="Arial" w:hAnsi="Arial"/>
          <w:sz w:val="22"/>
        </w:rPr>
        <w:t>s</w:t>
      </w:r>
      <w:r w:rsidRPr="008D75D5">
        <w:rPr>
          <w:rFonts w:ascii="Arial" w:hAnsi="Arial"/>
          <w:sz w:val="22"/>
        </w:rPr>
        <w:t>, et d</w:t>
      </w:r>
      <w:r w:rsidR="00A512DB">
        <w:rPr>
          <w:rFonts w:ascii="Arial" w:hAnsi="Arial"/>
          <w:sz w:val="22"/>
        </w:rPr>
        <w:t>’</w:t>
      </w:r>
      <w:r w:rsidRPr="008D75D5">
        <w:rPr>
          <w:rFonts w:ascii="Arial" w:hAnsi="Arial"/>
          <w:sz w:val="22"/>
        </w:rPr>
        <w:t>un organe de régulation de la pratique et de protection des droits des praticiens.</w:t>
      </w:r>
    </w:p>
    <w:p w14:paraId="2D31E065" w14:textId="4E5012AF" w:rsidR="003F4BCF" w:rsidRPr="008D75D5" w:rsidRDefault="003F4BCF" w:rsidP="003F4BCF">
      <w:pPr>
        <w:tabs>
          <w:tab w:val="left" w:pos="567"/>
          <w:tab w:val="left" w:pos="1134"/>
          <w:tab w:val="left" w:pos="1701"/>
          <w:tab w:val="left" w:pos="2268"/>
        </w:tabs>
        <w:spacing w:before="120" w:after="120"/>
        <w:ind w:left="1701" w:hanging="567"/>
        <w:jc w:val="both"/>
        <w:rPr>
          <w:rFonts w:ascii="Arial" w:hAnsi="Arial" w:cs="Arial"/>
          <w:sz w:val="22"/>
          <w:szCs w:val="22"/>
        </w:rPr>
      </w:pPr>
      <w:r w:rsidRPr="008D75D5">
        <w:rPr>
          <w:rFonts w:ascii="Arial" w:hAnsi="Arial"/>
          <w:sz w:val="22"/>
        </w:rPr>
        <w:t>U.3 :</w:t>
      </w:r>
      <w:r w:rsidRPr="008D75D5">
        <w:tab/>
      </w:r>
      <w:r w:rsidRPr="008D75D5">
        <w:rPr>
          <w:rFonts w:ascii="Arial" w:hAnsi="Arial"/>
          <w:sz w:val="22"/>
        </w:rPr>
        <w:t xml:space="preserve">Les mesures de sauvegarde sont basées sur des recommandations des praticiens, et préparées en collaboration avec un grand nombre de parties prenantes dont des dramaturges, des organisations de la société civile, des artisans et des représentants du </w:t>
      </w:r>
      <w:r w:rsidR="00DD4A67">
        <w:rPr>
          <w:rFonts w:ascii="Arial" w:hAnsi="Arial"/>
          <w:sz w:val="22"/>
        </w:rPr>
        <w:t>M</w:t>
      </w:r>
      <w:r w:rsidRPr="008D75D5">
        <w:rPr>
          <w:rFonts w:ascii="Arial" w:hAnsi="Arial"/>
          <w:sz w:val="22"/>
        </w:rPr>
        <w:t xml:space="preserve">inistère de la </w:t>
      </w:r>
      <w:r w:rsidR="00DD4A67">
        <w:rPr>
          <w:rFonts w:ascii="Arial" w:hAnsi="Arial"/>
          <w:sz w:val="22"/>
        </w:rPr>
        <w:t>c</w:t>
      </w:r>
      <w:r w:rsidRPr="008D75D5">
        <w:rPr>
          <w:rFonts w:ascii="Arial" w:hAnsi="Arial"/>
          <w:sz w:val="22"/>
        </w:rPr>
        <w:t>ulture. Le projet proposé comprend : la formation de nouveaux marionnettistes, l</w:t>
      </w:r>
      <w:r w:rsidR="00A512DB">
        <w:rPr>
          <w:rFonts w:ascii="Arial" w:hAnsi="Arial"/>
          <w:sz w:val="22"/>
        </w:rPr>
        <w:t>’</w:t>
      </w:r>
      <w:r w:rsidRPr="008D75D5">
        <w:rPr>
          <w:rFonts w:ascii="Arial" w:hAnsi="Arial"/>
          <w:sz w:val="22"/>
        </w:rPr>
        <w:t>augmentation du nombre de représentations, la participation à des festivals internationaux, la documentation, la transmission du savoir, le lancement d</w:t>
      </w:r>
      <w:r w:rsidR="00A512DB">
        <w:rPr>
          <w:rFonts w:ascii="Arial" w:hAnsi="Arial"/>
          <w:sz w:val="22"/>
        </w:rPr>
        <w:t>’</w:t>
      </w:r>
      <w:r w:rsidRPr="008D75D5">
        <w:rPr>
          <w:rFonts w:ascii="Arial" w:hAnsi="Arial"/>
          <w:sz w:val="22"/>
        </w:rPr>
        <w:t xml:space="preserve">un site </w:t>
      </w:r>
      <w:r w:rsidR="00DD4A67">
        <w:rPr>
          <w:rFonts w:ascii="Arial" w:hAnsi="Arial"/>
          <w:sz w:val="22"/>
        </w:rPr>
        <w:t>i</w:t>
      </w:r>
      <w:r w:rsidRPr="008D75D5">
        <w:rPr>
          <w:rFonts w:ascii="Arial" w:hAnsi="Arial"/>
          <w:sz w:val="22"/>
        </w:rPr>
        <w:t>nternet, le retour des représentations dans les cafés, la construction d</w:t>
      </w:r>
      <w:r w:rsidR="00A512DB">
        <w:rPr>
          <w:rFonts w:ascii="Arial" w:hAnsi="Arial"/>
          <w:sz w:val="22"/>
        </w:rPr>
        <w:t>’</w:t>
      </w:r>
      <w:r w:rsidRPr="008D75D5">
        <w:rPr>
          <w:rFonts w:ascii="Arial" w:hAnsi="Arial"/>
          <w:sz w:val="22"/>
        </w:rPr>
        <w:t>un réseau et d</w:t>
      </w:r>
      <w:r w:rsidR="00A512DB">
        <w:rPr>
          <w:rFonts w:ascii="Arial" w:hAnsi="Arial"/>
          <w:sz w:val="22"/>
        </w:rPr>
        <w:t>’</w:t>
      </w:r>
      <w:r w:rsidRPr="008D75D5">
        <w:rPr>
          <w:rFonts w:ascii="Arial" w:hAnsi="Arial"/>
          <w:sz w:val="22"/>
        </w:rPr>
        <w:t xml:space="preserve">un cadre législatif pour gérer le patrimoine vivant. Le plan est réaliste, traduit </w:t>
      </w:r>
      <w:r w:rsidR="00DD4A67">
        <w:rPr>
          <w:rFonts w:ascii="Arial" w:hAnsi="Arial"/>
          <w:sz w:val="22"/>
        </w:rPr>
        <w:t>pleinement</w:t>
      </w:r>
      <w:r w:rsidR="00DD4A67" w:rsidRPr="008D75D5">
        <w:rPr>
          <w:rFonts w:ascii="Arial" w:hAnsi="Arial"/>
          <w:sz w:val="22"/>
        </w:rPr>
        <w:t xml:space="preserve"> </w:t>
      </w:r>
      <w:r w:rsidRPr="008D75D5">
        <w:rPr>
          <w:rFonts w:ascii="Arial" w:hAnsi="Arial"/>
          <w:sz w:val="22"/>
        </w:rPr>
        <w:t xml:space="preserve">la situation actuelle et est centré sur des activités pratiques. </w:t>
      </w:r>
      <w:r w:rsidR="00DD4A67">
        <w:rPr>
          <w:rFonts w:ascii="Arial" w:hAnsi="Arial"/>
          <w:sz w:val="22"/>
        </w:rPr>
        <w:t>Si elles sont m</w:t>
      </w:r>
      <w:r w:rsidRPr="008D75D5">
        <w:rPr>
          <w:rFonts w:ascii="Arial" w:hAnsi="Arial"/>
          <w:sz w:val="22"/>
        </w:rPr>
        <w:t xml:space="preserve">ises en </w:t>
      </w:r>
      <w:r w:rsidR="00DD4A67">
        <w:rPr>
          <w:rFonts w:ascii="Arial" w:hAnsi="Arial"/>
          <w:sz w:val="22"/>
        </w:rPr>
        <w:t xml:space="preserve">œuvre </w:t>
      </w:r>
      <w:r w:rsidRPr="008D75D5">
        <w:rPr>
          <w:rFonts w:ascii="Arial" w:hAnsi="Arial"/>
          <w:sz w:val="22"/>
        </w:rPr>
        <w:t>de façon systématique, les activités visant à encourager la transmission et l</w:t>
      </w:r>
      <w:r w:rsidR="00A512DB">
        <w:rPr>
          <w:rFonts w:ascii="Arial" w:hAnsi="Arial"/>
          <w:sz w:val="22"/>
        </w:rPr>
        <w:t>’</w:t>
      </w:r>
      <w:r w:rsidRPr="008D75D5">
        <w:rPr>
          <w:rFonts w:ascii="Arial" w:hAnsi="Arial"/>
          <w:sz w:val="22"/>
        </w:rPr>
        <w:t xml:space="preserve">augmentation du nombre de représentations pourraient créer une nouvelle génération de marionnettistes et redynamiser les </w:t>
      </w:r>
      <w:r w:rsidR="001448B0">
        <w:rPr>
          <w:rFonts w:ascii="Arial" w:hAnsi="Arial"/>
          <w:sz w:val="22"/>
        </w:rPr>
        <w:t>lieux</w:t>
      </w:r>
      <w:r w:rsidR="001448B0" w:rsidRPr="008D75D5">
        <w:rPr>
          <w:rFonts w:ascii="Arial" w:hAnsi="Arial"/>
          <w:sz w:val="22"/>
        </w:rPr>
        <w:t xml:space="preserve"> </w:t>
      </w:r>
      <w:r w:rsidRPr="008D75D5">
        <w:rPr>
          <w:rFonts w:ascii="Arial" w:hAnsi="Arial"/>
          <w:sz w:val="22"/>
        </w:rPr>
        <w:t>traditionne</w:t>
      </w:r>
      <w:r w:rsidR="00C5622C">
        <w:rPr>
          <w:rFonts w:ascii="Arial" w:hAnsi="Arial"/>
          <w:sz w:val="22"/>
        </w:rPr>
        <w:t xml:space="preserve">ls et les évènements </w:t>
      </w:r>
      <w:r w:rsidR="00DD4A67">
        <w:rPr>
          <w:rFonts w:ascii="Arial" w:hAnsi="Arial"/>
          <w:sz w:val="22"/>
        </w:rPr>
        <w:t>associés</w:t>
      </w:r>
      <w:r w:rsidR="00C5622C">
        <w:rPr>
          <w:rFonts w:ascii="Arial" w:hAnsi="Arial"/>
          <w:sz w:val="22"/>
        </w:rPr>
        <w:t>.</w:t>
      </w:r>
    </w:p>
    <w:p w14:paraId="6D7A57A8" w14:textId="33BF0EF8" w:rsidR="003F4BCF" w:rsidRPr="008D75D5" w:rsidRDefault="003F4BCF" w:rsidP="003F4BCF">
      <w:pPr>
        <w:tabs>
          <w:tab w:val="left" w:pos="567"/>
          <w:tab w:val="left" w:pos="1134"/>
          <w:tab w:val="left" w:pos="1701"/>
          <w:tab w:val="left" w:pos="2268"/>
        </w:tabs>
        <w:spacing w:before="120" w:after="120"/>
        <w:ind w:left="1701" w:hanging="567"/>
        <w:jc w:val="both"/>
        <w:rPr>
          <w:rFonts w:ascii="Arial" w:hAnsi="Arial" w:cs="Arial"/>
          <w:sz w:val="22"/>
          <w:szCs w:val="22"/>
        </w:rPr>
      </w:pPr>
      <w:r w:rsidRPr="008D75D5">
        <w:rPr>
          <w:rFonts w:ascii="Arial" w:hAnsi="Arial"/>
          <w:sz w:val="22"/>
        </w:rPr>
        <w:t>U.4 :</w:t>
      </w:r>
      <w:r w:rsidRPr="008D75D5">
        <w:tab/>
      </w:r>
      <w:r w:rsidRPr="008D75D5">
        <w:rPr>
          <w:rFonts w:ascii="Arial" w:hAnsi="Arial"/>
          <w:sz w:val="22"/>
        </w:rPr>
        <w:t>Le dernier marionnettiste actif connu était impliqué dans le processus de candidature et le plan de sauvegarde repose en grande partie sur son engagement actif. La candidature a été rédigée par des organisations gouvernementales en partenariat avec des artistes, des associations culturelles et des organisations de la société civile. Un grand nombre de groupes, individus, communautés et associations ont fourni leur consentement, en plus des organisations gouvernementales, ce qui confirme l</w:t>
      </w:r>
      <w:r w:rsidR="00A512DB">
        <w:rPr>
          <w:rFonts w:ascii="Arial" w:hAnsi="Arial"/>
          <w:sz w:val="22"/>
        </w:rPr>
        <w:t>’</w:t>
      </w:r>
      <w:r w:rsidRPr="008D75D5">
        <w:rPr>
          <w:rFonts w:ascii="Arial" w:hAnsi="Arial"/>
          <w:sz w:val="22"/>
        </w:rPr>
        <w:t>importance de l</w:t>
      </w:r>
      <w:r w:rsidR="00A512DB">
        <w:rPr>
          <w:rFonts w:ascii="Arial" w:hAnsi="Arial"/>
          <w:sz w:val="22"/>
        </w:rPr>
        <w:t>’</w:t>
      </w:r>
      <w:r w:rsidRPr="008D75D5">
        <w:rPr>
          <w:rFonts w:ascii="Arial" w:hAnsi="Arial"/>
          <w:sz w:val="22"/>
        </w:rPr>
        <w:t xml:space="preserve">élément pour le peuple syrien et son engagement dans sa sauvegarde et sa </w:t>
      </w:r>
      <w:r w:rsidR="00DD4A67" w:rsidRPr="008D75D5">
        <w:rPr>
          <w:rFonts w:ascii="Arial" w:hAnsi="Arial"/>
          <w:sz w:val="22"/>
        </w:rPr>
        <w:t>re</w:t>
      </w:r>
      <w:r w:rsidR="00DD4A67">
        <w:rPr>
          <w:rFonts w:ascii="Arial" w:hAnsi="Arial"/>
          <w:sz w:val="22"/>
        </w:rPr>
        <w:t>vitalisati</w:t>
      </w:r>
      <w:r w:rsidR="00DD4A67" w:rsidRPr="008D75D5">
        <w:rPr>
          <w:rFonts w:ascii="Arial" w:hAnsi="Arial"/>
          <w:sz w:val="22"/>
        </w:rPr>
        <w:t>on</w:t>
      </w:r>
      <w:r w:rsidRPr="008D75D5">
        <w:rPr>
          <w:rFonts w:ascii="Arial" w:hAnsi="Arial"/>
          <w:sz w:val="22"/>
        </w:rPr>
        <w:t>.</w:t>
      </w:r>
    </w:p>
    <w:p w14:paraId="0981C77D" w14:textId="70E9A354" w:rsidR="003F4BCF" w:rsidRPr="008D75D5" w:rsidRDefault="003F4BCF" w:rsidP="003F4BCF">
      <w:pPr>
        <w:tabs>
          <w:tab w:val="left" w:pos="567"/>
          <w:tab w:val="left" w:pos="1134"/>
          <w:tab w:val="left" w:pos="1701"/>
          <w:tab w:val="left" w:pos="2268"/>
        </w:tabs>
        <w:spacing w:before="120" w:after="120"/>
        <w:ind w:left="1701" w:hanging="567"/>
        <w:jc w:val="both"/>
        <w:rPr>
          <w:rFonts w:ascii="Arial" w:hAnsi="Arial" w:cs="Arial"/>
          <w:sz w:val="22"/>
          <w:szCs w:val="22"/>
        </w:rPr>
      </w:pPr>
      <w:r w:rsidRPr="008D75D5">
        <w:rPr>
          <w:rFonts w:ascii="Arial" w:hAnsi="Arial"/>
          <w:sz w:val="22"/>
        </w:rPr>
        <w:t>U.5 :</w:t>
      </w:r>
      <w:r w:rsidRPr="008D75D5">
        <w:tab/>
      </w:r>
      <w:r w:rsidRPr="008D75D5">
        <w:rPr>
          <w:rFonts w:ascii="Arial" w:hAnsi="Arial"/>
          <w:sz w:val="22"/>
        </w:rPr>
        <w:t>L</w:t>
      </w:r>
      <w:r w:rsidR="00A512DB">
        <w:rPr>
          <w:rFonts w:ascii="Arial" w:hAnsi="Arial"/>
          <w:sz w:val="22"/>
        </w:rPr>
        <w:t>’</w:t>
      </w:r>
      <w:r w:rsidRPr="008D75D5">
        <w:rPr>
          <w:rFonts w:ascii="Arial" w:hAnsi="Arial"/>
          <w:sz w:val="22"/>
        </w:rPr>
        <w:t xml:space="preserve">élément </w:t>
      </w:r>
      <w:r w:rsidR="00DD4A67">
        <w:rPr>
          <w:rFonts w:ascii="Arial" w:hAnsi="Arial"/>
          <w:sz w:val="22"/>
        </w:rPr>
        <w:t xml:space="preserve">est inclus dans </w:t>
      </w:r>
      <w:r w:rsidRPr="008D75D5">
        <w:rPr>
          <w:rFonts w:ascii="Arial" w:hAnsi="Arial"/>
          <w:sz w:val="22"/>
        </w:rPr>
        <w:t>l</w:t>
      </w:r>
      <w:r w:rsidR="00A512DB">
        <w:rPr>
          <w:rFonts w:ascii="Arial" w:hAnsi="Arial"/>
          <w:sz w:val="22"/>
        </w:rPr>
        <w:t>’</w:t>
      </w:r>
      <w:r w:rsidR="00DD4A67">
        <w:rPr>
          <w:rFonts w:ascii="Arial" w:hAnsi="Arial"/>
          <w:sz w:val="22"/>
        </w:rPr>
        <w:t>i</w:t>
      </w:r>
      <w:r w:rsidRPr="008D75D5">
        <w:rPr>
          <w:rFonts w:ascii="Arial" w:hAnsi="Arial"/>
          <w:sz w:val="22"/>
        </w:rPr>
        <w:t xml:space="preserve">nventaire national des éléments du </w:t>
      </w:r>
      <w:r w:rsidR="00DD4A67">
        <w:rPr>
          <w:rFonts w:ascii="Arial" w:hAnsi="Arial"/>
          <w:sz w:val="22"/>
        </w:rPr>
        <w:t>p</w:t>
      </w:r>
      <w:r w:rsidRPr="008D75D5">
        <w:rPr>
          <w:rFonts w:ascii="Arial" w:hAnsi="Arial"/>
          <w:sz w:val="22"/>
        </w:rPr>
        <w:t>atrimoine culturel immatériel depuis 2017. L</w:t>
      </w:r>
      <w:r w:rsidR="00A512DB">
        <w:rPr>
          <w:rFonts w:ascii="Arial" w:hAnsi="Arial"/>
          <w:sz w:val="22"/>
        </w:rPr>
        <w:t>’</w:t>
      </w:r>
      <w:r w:rsidRPr="008D75D5">
        <w:rPr>
          <w:rFonts w:ascii="Arial" w:hAnsi="Arial"/>
          <w:sz w:val="22"/>
        </w:rPr>
        <w:t xml:space="preserve">Unité pour le soutien et le développement du patrimoine culturel syrien du </w:t>
      </w:r>
      <w:r w:rsidR="00DD4A67">
        <w:rPr>
          <w:rFonts w:ascii="Arial" w:hAnsi="Arial"/>
          <w:sz w:val="22"/>
        </w:rPr>
        <w:t>M</w:t>
      </w:r>
      <w:r w:rsidRPr="008D75D5">
        <w:rPr>
          <w:rFonts w:ascii="Arial" w:hAnsi="Arial"/>
          <w:sz w:val="22"/>
        </w:rPr>
        <w:t xml:space="preserve">inistère de la </w:t>
      </w:r>
      <w:r w:rsidR="00DD4A67">
        <w:rPr>
          <w:rFonts w:ascii="Arial" w:hAnsi="Arial"/>
          <w:sz w:val="22"/>
        </w:rPr>
        <w:t>c</w:t>
      </w:r>
      <w:r w:rsidRPr="008D75D5">
        <w:rPr>
          <w:rFonts w:ascii="Arial" w:hAnsi="Arial"/>
          <w:sz w:val="22"/>
        </w:rPr>
        <w:t>ulture est responsable du maintien et de la mise à jour de l</w:t>
      </w:r>
      <w:r w:rsidR="00A512DB">
        <w:rPr>
          <w:rFonts w:ascii="Arial" w:hAnsi="Arial"/>
          <w:sz w:val="22"/>
        </w:rPr>
        <w:t>’</w:t>
      </w:r>
      <w:r w:rsidRPr="008D75D5">
        <w:rPr>
          <w:rFonts w:ascii="Arial" w:hAnsi="Arial"/>
          <w:sz w:val="22"/>
        </w:rPr>
        <w:t xml:space="preserve">inventaire tous les deux ans, en collaboration avec le projet culturel </w:t>
      </w:r>
      <w:r w:rsidRPr="008D75D5">
        <w:rPr>
          <w:rFonts w:ascii="Arial" w:hAnsi="Arial"/>
          <w:sz w:val="22"/>
        </w:rPr>
        <w:lastRenderedPageBreak/>
        <w:t>« </w:t>
      </w:r>
      <w:proofErr w:type="spellStart"/>
      <w:r w:rsidRPr="008D75D5">
        <w:rPr>
          <w:rFonts w:ascii="Arial" w:hAnsi="Arial"/>
          <w:sz w:val="22"/>
        </w:rPr>
        <w:t>Rawafed</w:t>
      </w:r>
      <w:proofErr w:type="spellEnd"/>
      <w:r w:rsidRPr="008D75D5">
        <w:rPr>
          <w:rFonts w:ascii="Arial" w:hAnsi="Arial"/>
          <w:sz w:val="22"/>
        </w:rPr>
        <w:t> » de la Fondation syrienne pour le développement et des communautés locales. Le théâtre d</w:t>
      </w:r>
      <w:r w:rsidR="00A512DB">
        <w:rPr>
          <w:rFonts w:ascii="Arial" w:hAnsi="Arial"/>
          <w:sz w:val="22"/>
        </w:rPr>
        <w:t>’</w:t>
      </w:r>
      <w:r w:rsidRPr="008D75D5">
        <w:rPr>
          <w:rFonts w:ascii="Arial" w:hAnsi="Arial"/>
          <w:sz w:val="22"/>
        </w:rPr>
        <w:t>ombres a été identifié avec l</w:t>
      </w:r>
      <w:r w:rsidR="00A512DB">
        <w:rPr>
          <w:rFonts w:ascii="Arial" w:hAnsi="Arial"/>
          <w:sz w:val="22"/>
        </w:rPr>
        <w:t>’</w:t>
      </w:r>
      <w:r w:rsidRPr="008D75D5">
        <w:rPr>
          <w:rFonts w:ascii="Arial" w:hAnsi="Arial"/>
          <w:sz w:val="22"/>
        </w:rPr>
        <w:t>aide de ses praticiens et de différentes organisations gouvernementales et non</w:t>
      </w:r>
      <w:r w:rsidR="00FF006E">
        <w:rPr>
          <w:rFonts w:ascii="Arial" w:hAnsi="Arial"/>
          <w:sz w:val="22"/>
        </w:rPr>
        <w:t xml:space="preserve"> </w:t>
      </w:r>
      <w:r w:rsidRPr="008D75D5">
        <w:rPr>
          <w:rFonts w:ascii="Arial" w:hAnsi="Arial"/>
          <w:sz w:val="22"/>
        </w:rPr>
        <w:t>gouvernementales.</w:t>
      </w:r>
    </w:p>
    <w:p w14:paraId="38DA4016" w14:textId="064B0853" w:rsidR="005377FA" w:rsidRPr="00C5622C" w:rsidRDefault="005377FA" w:rsidP="0029421F">
      <w:pPr>
        <w:pStyle w:val="ListParagraph"/>
        <w:numPr>
          <w:ilvl w:val="0"/>
          <w:numId w:val="14"/>
        </w:numPr>
        <w:spacing w:before="120" w:after="120"/>
        <w:ind w:left="1134" w:hanging="567"/>
        <w:jc w:val="both"/>
        <w:outlineLvl w:val="1"/>
        <w:rPr>
          <w:rFonts w:ascii="Arial" w:eastAsia="SimSun" w:hAnsi="Arial" w:cs="Angsana New"/>
          <w:sz w:val="22"/>
          <w:szCs w:val="22"/>
        </w:rPr>
      </w:pPr>
      <w:r w:rsidRPr="008D75D5">
        <w:rPr>
          <w:rFonts w:ascii="Arial" w:hAnsi="Arial"/>
          <w:sz w:val="22"/>
          <w:u w:val="single"/>
        </w:rPr>
        <w:t>Inscrit</w:t>
      </w:r>
      <w:r w:rsidRPr="0029421F">
        <w:rPr>
          <w:rFonts w:ascii="Arial" w:hAnsi="Arial"/>
          <w:bCs/>
          <w:sz w:val="22"/>
        </w:rPr>
        <w:t xml:space="preserve"> </w:t>
      </w:r>
      <w:r w:rsidRPr="008D75D5">
        <w:rPr>
          <w:rFonts w:ascii="Arial" w:hAnsi="Arial"/>
          <w:b/>
          <w:sz w:val="22"/>
        </w:rPr>
        <w:t>le théâtre d</w:t>
      </w:r>
      <w:r w:rsidR="00A512DB">
        <w:rPr>
          <w:rFonts w:ascii="Arial" w:hAnsi="Arial"/>
          <w:b/>
          <w:sz w:val="22"/>
        </w:rPr>
        <w:t>’</w:t>
      </w:r>
      <w:r w:rsidRPr="008D75D5">
        <w:rPr>
          <w:rFonts w:ascii="Arial" w:hAnsi="Arial"/>
          <w:b/>
          <w:sz w:val="22"/>
        </w:rPr>
        <w:t>ombres</w:t>
      </w:r>
      <w:r w:rsidRPr="008D75D5">
        <w:rPr>
          <w:rFonts w:ascii="Arial" w:hAnsi="Arial"/>
          <w:sz w:val="22"/>
        </w:rPr>
        <w:t xml:space="preserve"> sur la Liste du patrimoine culturel immatériel nécessitant une sauvegarde urgente</w:t>
      </w:r>
      <w:r w:rsidR="001B1007">
        <w:rPr>
          <w:rFonts w:ascii="Arial" w:hAnsi="Arial"/>
          <w:sz w:val="22"/>
        </w:rPr>
        <w:t> ;</w:t>
      </w:r>
    </w:p>
    <w:p w14:paraId="5F95CCF2" w14:textId="60D2A55B" w:rsidR="003F4BCF" w:rsidRPr="008D75D5" w:rsidRDefault="003F4BCF" w:rsidP="0029421F">
      <w:pPr>
        <w:pStyle w:val="ListParagraph"/>
        <w:numPr>
          <w:ilvl w:val="0"/>
          <w:numId w:val="14"/>
        </w:numPr>
        <w:spacing w:before="120" w:after="120"/>
        <w:ind w:left="1134" w:hanging="567"/>
        <w:jc w:val="both"/>
        <w:outlineLvl w:val="1"/>
        <w:rPr>
          <w:rFonts w:ascii="Arial" w:eastAsia="SimSun" w:hAnsi="Arial" w:cs="Angsana New"/>
          <w:sz w:val="22"/>
          <w:szCs w:val="22"/>
        </w:rPr>
      </w:pPr>
      <w:r w:rsidRPr="008D75D5">
        <w:rPr>
          <w:rFonts w:ascii="Arial" w:hAnsi="Arial"/>
          <w:sz w:val="22"/>
          <w:u w:val="single"/>
        </w:rPr>
        <w:t>Rappelle</w:t>
      </w:r>
      <w:r w:rsidRPr="008D75D5">
        <w:rPr>
          <w:rFonts w:ascii="Arial" w:hAnsi="Arial"/>
          <w:sz w:val="22"/>
        </w:rPr>
        <w:t xml:space="preserve"> à l</w:t>
      </w:r>
      <w:r w:rsidR="00A512DB">
        <w:rPr>
          <w:rFonts w:ascii="Arial" w:hAnsi="Arial"/>
          <w:sz w:val="22"/>
        </w:rPr>
        <w:t>’</w:t>
      </w:r>
      <w:r w:rsidRPr="008D75D5">
        <w:rPr>
          <w:rFonts w:ascii="Arial" w:hAnsi="Arial"/>
          <w:sz w:val="22"/>
        </w:rPr>
        <w:t>État partie qu</w:t>
      </w:r>
      <w:r w:rsidR="00A512DB">
        <w:rPr>
          <w:rFonts w:ascii="Arial" w:hAnsi="Arial"/>
          <w:sz w:val="22"/>
        </w:rPr>
        <w:t>’</w:t>
      </w:r>
      <w:r w:rsidRPr="008D75D5">
        <w:rPr>
          <w:rFonts w:ascii="Arial" w:hAnsi="Arial"/>
          <w:sz w:val="22"/>
        </w:rPr>
        <w:t xml:space="preserve">il est responsable de la traduction correcte de toutes les parties de son dossier de candidature, dont les lettres de consentement, et </w:t>
      </w:r>
      <w:r w:rsidRPr="008D75D5">
        <w:rPr>
          <w:rFonts w:ascii="Arial" w:hAnsi="Arial"/>
          <w:sz w:val="22"/>
          <w:u w:val="single"/>
        </w:rPr>
        <w:t>souligne</w:t>
      </w:r>
      <w:r w:rsidRPr="008D75D5">
        <w:rPr>
          <w:rFonts w:ascii="Arial" w:hAnsi="Arial"/>
          <w:sz w:val="22"/>
        </w:rPr>
        <w:t xml:space="preserve"> que les références à </w:t>
      </w:r>
      <w:r w:rsidR="00DD4A67">
        <w:rPr>
          <w:rFonts w:ascii="Arial" w:hAnsi="Arial"/>
          <w:sz w:val="22"/>
        </w:rPr>
        <w:t>« </w:t>
      </w:r>
      <w:r w:rsidRPr="008D75D5">
        <w:rPr>
          <w:rFonts w:ascii="Arial" w:hAnsi="Arial"/>
          <w:sz w:val="22"/>
        </w:rPr>
        <w:t>la Convention du patrimoine mondial</w:t>
      </w:r>
      <w:r w:rsidR="00DD4A67">
        <w:rPr>
          <w:rFonts w:ascii="Arial" w:hAnsi="Arial"/>
          <w:sz w:val="22"/>
        </w:rPr>
        <w:t> »</w:t>
      </w:r>
      <w:r w:rsidRPr="008D75D5">
        <w:rPr>
          <w:rFonts w:ascii="Arial" w:hAnsi="Arial"/>
          <w:sz w:val="22"/>
        </w:rPr>
        <w:t xml:space="preserve"> dans les lettres de consentement pourraient discréditer l</w:t>
      </w:r>
      <w:r w:rsidR="00B20D91">
        <w:rPr>
          <w:rFonts w:ascii="Arial" w:hAnsi="Arial"/>
          <w:sz w:val="22"/>
        </w:rPr>
        <w:t>e caractère éclaire d’une</w:t>
      </w:r>
      <w:r w:rsidRPr="008D75D5">
        <w:rPr>
          <w:rFonts w:ascii="Arial" w:hAnsi="Arial"/>
          <w:sz w:val="22"/>
        </w:rPr>
        <w:t xml:space="preserve"> déclaration d</w:t>
      </w:r>
      <w:r w:rsidR="00B20D91">
        <w:rPr>
          <w:rFonts w:ascii="Arial" w:hAnsi="Arial"/>
          <w:sz w:val="22"/>
        </w:rPr>
        <w:t>e</w:t>
      </w:r>
      <w:r w:rsidR="00C5622C">
        <w:rPr>
          <w:rFonts w:ascii="Arial" w:hAnsi="Arial"/>
          <w:sz w:val="22"/>
        </w:rPr>
        <w:t xml:space="preserve"> consentement ;</w:t>
      </w:r>
    </w:p>
    <w:p w14:paraId="10E44CA3" w14:textId="77CFD9FC" w:rsidR="003F4BCF" w:rsidRPr="008D75D5" w:rsidRDefault="003F4BCF" w:rsidP="0029421F">
      <w:pPr>
        <w:pStyle w:val="ListParagraph"/>
        <w:numPr>
          <w:ilvl w:val="0"/>
          <w:numId w:val="14"/>
        </w:numPr>
        <w:spacing w:before="120" w:after="120"/>
        <w:ind w:left="1134" w:hanging="567"/>
        <w:jc w:val="both"/>
        <w:outlineLvl w:val="1"/>
        <w:rPr>
          <w:rFonts w:ascii="Arial" w:eastAsia="SimSun" w:hAnsi="Arial" w:cs="Angsana New"/>
          <w:sz w:val="22"/>
          <w:szCs w:val="22"/>
        </w:rPr>
      </w:pPr>
      <w:r w:rsidRPr="008D75D5">
        <w:rPr>
          <w:rFonts w:ascii="Arial" w:hAnsi="Arial"/>
          <w:sz w:val="22"/>
          <w:u w:val="single"/>
        </w:rPr>
        <w:t>Invite</w:t>
      </w:r>
      <w:r w:rsidRPr="008D75D5">
        <w:rPr>
          <w:rFonts w:ascii="Arial" w:hAnsi="Arial"/>
          <w:sz w:val="22"/>
        </w:rPr>
        <w:t xml:space="preserve"> l</w:t>
      </w:r>
      <w:r w:rsidR="00A512DB">
        <w:rPr>
          <w:rFonts w:ascii="Arial" w:hAnsi="Arial"/>
          <w:sz w:val="22"/>
        </w:rPr>
        <w:t>’</w:t>
      </w:r>
      <w:r w:rsidRPr="008D75D5">
        <w:rPr>
          <w:rFonts w:ascii="Arial" w:hAnsi="Arial"/>
          <w:sz w:val="22"/>
        </w:rPr>
        <w:t xml:space="preserve">État partie à </w:t>
      </w:r>
      <w:r w:rsidR="00DD4A67">
        <w:rPr>
          <w:rFonts w:ascii="Arial" w:hAnsi="Arial"/>
          <w:sz w:val="22"/>
        </w:rPr>
        <w:t>prioriser</w:t>
      </w:r>
      <w:r w:rsidRPr="008D75D5">
        <w:rPr>
          <w:rFonts w:ascii="Arial" w:hAnsi="Arial"/>
          <w:sz w:val="22"/>
        </w:rPr>
        <w:t xml:space="preserve"> </w:t>
      </w:r>
      <w:r w:rsidR="00DD4A67">
        <w:rPr>
          <w:rFonts w:ascii="Arial" w:hAnsi="Arial"/>
          <w:sz w:val="22"/>
        </w:rPr>
        <w:t xml:space="preserve">les </w:t>
      </w:r>
      <w:r w:rsidRPr="008D75D5">
        <w:rPr>
          <w:rFonts w:ascii="Arial" w:hAnsi="Arial"/>
          <w:sz w:val="22"/>
        </w:rPr>
        <w:t xml:space="preserve">mesures de sauvegarde </w:t>
      </w:r>
      <w:r w:rsidR="00DD4A67">
        <w:rPr>
          <w:rFonts w:ascii="Arial" w:hAnsi="Arial"/>
          <w:sz w:val="22"/>
        </w:rPr>
        <w:t>en fonction de l’urgence</w:t>
      </w:r>
      <w:r w:rsidRPr="008D75D5">
        <w:rPr>
          <w:rFonts w:ascii="Arial" w:hAnsi="Arial"/>
          <w:sz w:val="22"/>
        </w:rPr>
        <w:t xml:space="preserve"> des besoins particuliers, et à assurer un développement durable de l</w:t>
      </w:r>
      <w:r w:rsidR="00A512DB">
        <w:rPr>
          <w:rFonts w:ascii="Arial" w:hAnsi="Arial"/>
          <w:sz w:val="22"/>
        </w:rPr>
        <w:t>’</w:t>
      </w:r>
      <w:r w:rsidRPr="008D75D5">
        <w:rPr>
          <w:rFonts w:ascii="Arial" w:hAnsi="Arial"/>
          <w:sz w:val="22"/>
        </w:rPr>
        <w:t xml:space="preserve">élément </w:t>
      </w:r>
      <w:r w:rsidR="00DD4A67">
        <w:rPr>
          <w:rFonts w:ascii="Arial" w:hAnsi="Arial"/>
          <w:sz w:val="22"/>
        </w:rPr>
        <w:t>au-delà du</w:t>
      </w:r>
      <w:r w:rsidRPr="008D75D5">
        <w:rPr>
          <w:rFonts w:ascii="Arial" w:hAnsi="Arial"/>
          <w:sz w:val="22"/>
        </w:rPr>
        <w:t xml:space="preserve"> plan de sauvegarde de quatre ans.</w:t>
      </w:r>
    </w:p>
    <w:sectPr w:rsidR="003F4BCF" w:rsidRPr="008D75D5" w:rsidSect="00655736">
      <w:headerReference w:type="even" r:id="rId19"/>
      <w:headerReference w:type="default" r:id="rId20"/>
      <w:headerReference w:type="first" r:id="rId21"/>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A6A9F" w14:textId="77777777" w:rsidR="00B821AE" w:rsidRDefault="00B821AE" w:rsidP="00655736">
      <w:r>
        <w:separator/>
      </w:r>
    </w:p>
  </w:endnote>
  <w:endnote w:type="continuationSeparator" w:id="0">
    <w:p w14:paraId="72FACE45" w14:textId="77777777" w:rsidR="00B821AE" w:rsidRDefault="00B821AE"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Angsana New">
    <w:altName w:val="Leelawadee UI"/>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E6C28" w14:textId="77777777" w:rsidR="00B821AE" w:rsidRDefault="00B821AE" w:rsidP="00655736">
      <w:r>
        <w:separator/>
      </w:r>
    </w:p>
  </w:footnote>
  <w:footnote w:type="continuationSeparator" w:id="0">
    <w:p w14:paraId="7520B189" w14:textId="77777777" w:rsidR="00B821AE" w:rsidRDefault="00B821AE"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304EC" w14:textId="61DF0E72" w:rsidR="003A280D" w:rsidRPr="00C23A97" w:rsidRDefault="003A280D" w:rsidP="001D14FE">
    <w:pPr>
      <w:pStyle w:val="Header"/>
      <w:rPr>
        <w:rFonts w:ascii="Arial" w:hAnsi="Arial" w:cs="Arial"/>
      </w:rPr>
    </w:pPr>
    <w:r>
      <w:rPr>
        <w:rFonts w:ascii="Arial" w:hAnsi="Arial"/>
        <w:sz w:val="20"/>
      </w:rPr>
      <w:t xml:space="preserve">ITH/18/13.COM/10.a – page </w:t>
    </w:r>
    <w:r w:rsidRPr="00C23A97">
      <w:rPr>
        <w:rStyle w:val="PageNumber"/>
        <w:rFonts w:ascii="Arial" w:hAnsi="Arial" w:cs="Arial"/>
        <w:sz w:val="20"/>
        <w:szCs w:val="20"/>
      </w:rPr>
      <w:fldChar w:fldCharType="begin"/>
    </w:r>
    <w:r w:rsidRPr="00C23A97">
      <w:rPr>
        <w:rStyle w:val="PageNumber"/>
        <w:rFonts w:ascii="Arial" w:hAnsi="Arial" w:cs="Arial"/>
        <w:sz w:val="20"/>
        <w:szCs w:val="20"/>
      </w:rPr>
      <w:instrText xml:space="preserve"> PAGE </w:instrText>
    </w:r>
    <w:r w:rsidRPr="00C23A97">
      <w:rPr>
        <w:rStyle w:val="PageNumber"/>
        <w:rFonts w:ascii="Arial" w:hAnsi="Arial" w:cs="Arial"/>
        <w:sz w:val="20"/>
        <w:szCs w:val="20"/>
      </w:rPr>
      <w:fldChar w:fldCharType="separate"/>
    </w:r>
    <w:r w:rsidR="00C51AF6">
      <w:rPr>
        <w:rStyle w:val="PageNumber"/>
        <w:rFonts w:ascii="Arial" w:hAnsi="Arial" w:cs="Arial"/>
        <w:noProof/>
        <w:sz w:val="20"/>
        <w:szCs w:val="20"/>
      </w:rPr>
      <w:t>14</w:t>
    </w:r>
    <w:r w:rsidRPr="00C23A97">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FB8AE" w14:textId="30119307" w:rsidR="003A280D" w:rsidRPr="0063300C" w:rsidRDefault="003A280D" w:rsidP="001D14FE">
    <w:pPr>
      <w:pStyle w:val="Header"/>
      <w:jc w:val="right"/>
      <w:rPr>
        <w:rFonts w:ascii="Arial" w:hAnsi="Arial" w:cs="Arial"/>
      </w:rPr>
    </w:pPr>
    <w:r>
      <w:rPr>
        <w:rFonts w:ascii="Arial" w:hAnsi="Arial"/>
        <w:sz w:val="20"/>
      </w:rPr>
      <w:t xml:space="preserve">ITH/18/13.COM/10.a – page </w:t>
    </w:r>
    <w:r w:rsidRPr="0063300C">
      <w:rPr>
        <w:rStyle w:val="PageNumber"/>
        <w:rFonts w:ascii="Arial" w:hAnsi="Arial" w:cs="Arial"/>
        <w:sz w:val="20"/>
        <w:szCs w:val="20"/>
      </w:rPr>
      <w:fldChar w:fldCharType="begin"/>
    </w:r>
    <w:r w:rsidRPr="0063300C">
      <w:rPr>
        <w:rStyle w:val="PageNumber"/>
        <w:rFonts w:ascii="Arial" w:hAnsi="Arial" w:cs="Arial"/>
        <w:sz w:val="20"/>
        <w:szCs w:val="20"/>
      </w:rPr>
      <w:instrText xml:space="preserve"> PAGE </w:instrText>
    </w:r>
    <w:r w:rsidRPr="0063300C">
      <w:rPr>
        <w:rStyle w:val="PageNumber"/>
        <w:rFonts w:ascii="Arial" w:hAnsi="Arial" w:cs="Arial"/>
        <w:sz w:val="20"/>
        <w:szCs w:val="20"/>
      </w:rPr>
      <w:fldChar w:fldCharType="separate"/>
    </w:r>
    <w:r w:rsidR="00C51AF6">
      <w:rPr>
        <w:rStyle w:val="PageNumber"/>
        <w:rFonts w:ascii="Arial" w:hAnsi="Arial" w:cs="Arial"/>
        <w:noProof/>
        <w:sz w:val="20"/>
        <w:szCs w:val="20"/>
      </w:rPr>
      <w:t>13</w:t>
    </w:r>
    <w:r w:rsidRPr="0063300C">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66602" w14:textId="1E12C813" w:rsidR="003A280D" w:rsidRPr="00E95AE2" w:rsidRDefault="003A280D" w:rsidP="00A512DB">
    <w:pPr>
      <w:pStyle w:val="Header"/>
      <w:rPr>
        <w:sz w:val="22"/>
        <w:szCs w:val="22"/>
      </w:rPr>
    </w:pPr>
    <w:r>
      <w:rPr>
        <w:noProof/>
        <w:lang w:val="en-US" w:eastAsia="ko-KR" w:bidi="ar-SA"/>
      </w:rPr>
      <w:drawing>
        <wp:anchor distT="0" distB="0" distL="114300" distR="114300" simplePos="0" relativeHeight="251659264" behindDoc="0" locked="0" layoutInCell="1" allowOverlap="1" wp14:anchorId="2B368463" wp14:editId="46429D7D">
          <wp:simplePos x="0" y="0"/>
          <wp:positionH relativeFrom="page">
            <wp:posOffset>342265</wp:posOffset>
          </wp:positionH>
          <wp:positionV relativeFrom="page">
            <wp:posOffset>255905</wp:posOffset>
          </wp:positionV>
          <wp:extent cx="2037600" cy="1530000"/>
          <wp:effectExtent l="0" t="0" r="1270" b="0"/>
          <wp:wrapNone/>
          <wp:docPr id="1"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341612" w14:textId="77777777" w:rsidR="003A280D" w:rsidRPr="008D75D5" w:rsidRDefault="003A280D" w:rsidP="001D14FE">
    <w:pPr>
      <w:pStyle w:val="Header"/>
      <w:spacing w:after="520"/>
      <w:jc w:val="right"/>
      <w:rPr>
        <w:rFonts w:ascii="Arial" w:hAnsi="Arial" w:cs="Arial"/>
        <w:b/>
        <w:sz w:val="44"/>
        <w:szCs w:val="44"/>
        <w:lang w:val="pt-PT"/>
      </w:rPr>
    </w:pPr>
    <w:r w:rsidRPr="008D75D5">
      <w:rPr>
        <w:rFonts w:ascii="Arial" w:hAnsi="Arial"/>
        <w:b/>
        <w:sz w:val="44"/>
        <w:lang w:val="pt-PT"/>
      </w:rPr>
      <w:t>13 COM</w:t>
    </w:r>
  </w:p>
  <w:p w14:paraId="6F3F84FB" w14:textId="0FEB659A" w:rsidR="003A280D" w:rsidRPr="008D75D5" w:rsidRDefault="003A280D" w:rsidP="001D14FE">
    <w:pPr>
      <w:jc w:val="right"/>
      <w:rPr>
        <w:rFonts w:ascii="Arial" w:hAnsi="Arial" w:cs="Arial"/>
        <w:b/>
        <w:sz w:val="22"/>
        <w:szCs w:val="22"/>
        <w:lang w:val="pt-PT"/>
      </w:rPr>
    </w:pPr>
    <w:r w:rsidRPr="008D75D5">
      <w:rPr>
        <w:rFonts w:ascii="Arial" w:hAnsi="Arial"/>
        <w:b/>
        <w:sz w:val="22"/>
        <w:lang w:val="pt-PT"/>
      </w:rPr>
      <w:t>ITH/18/13.COM/10.a</w:t>
    </w:r>
  </w:p>
  <w:p w14:paraId="72DD8638" w14:textId="42897B79" w:rsidR="003A280D" w:rsidRPr="008D75D5" w:rsidRDefault="003A280D" w:rsidP="00C51AF6">
    <w:pPr>
      <w:jc w:val="right"/>
      <w:rPr>
        <w:rFonts w:ascii="Arial" w:eastAsiaTheme="minorEastAsia" w:hAnsi="Arial" w:cs="Arial"/>
        <w:b/>
        <w:sz w:val="22"/>
        <w:szCs w:val="22"/>
        <w:lang w:val="pt-PT"/>
      </w:rPr>
    </w:pPr>
    <w:r w:rsidRPr="008D75D5">
      <w:rPr>
        <w:rFonts w:ascii="Arial" w:hAnsi="Arial"/>
        <w:b/>
        <w:sz w:val="22"/>
        <w:lang w:val="pt-PT"/>
      </w:rPr>
      <w:t>Paris,</w:t>
    </w:r>
    <w:r>
      <w:rPr>
        <w:rFonts w:ascii="Arial" w:hAnsi="Arial"/>
        <w:b/>
        <w:sz w:val="22"/>
        <w:lang w:val="pt-PT"/>
      </w:rPr>
      <w:t xml:space="preserve"> </w:t>
    </w:r>
    <w:r w:rsidRPr="001A5DA6">
      <w:rPr>
        <w:rFonts w:ascii="Arial" w:hAnsi="Arial"/>
        <w:b/>
        <w:sz w:val="22"/>
        <w:lang w:val="pt-PT"/>
      </w:rPr>
      <w:t xml:space="preserve">le </w:t>
    </w:r>
    <w:r w:rsidR="00C51AF6">
      <w:rPr>
        <w:rFonts w:ascii="Arial" w:hAnsi="Arial"/>
        <w:b/>
        <w:sz w:val="22"/>
        <w:lang w:val="pt-PT"/>
      </w:rPr>
      <w:t>24</w:t>
    </w:r>
    <w:r w:rsidR="00E268CA" w:rsidRPr="001A5DA6">
      <w:rPr>
        <w:rFonts w:ascii="Arial" w:hAnsi="Arial"/>
        <w:b/>
        <w:sz w:val="22"/>
        <w:lang w:val="pt-PT"/>
      </w:rPr>
      <w:t xml:space="preserve"> octobre</w:t>
    </w:r>
    <w:r w:rsidRPr="008D75D5">
      <w:rPr>
        <w:rFonts w:ascii="Arial" w:hAnsi="Arial"/>
        <w:b/>
        <w:sz w:val="22"/>
        <w:lang w:val="pt-PT"/>
      </w:rPr>
      <w:t xml:space="preserve"> 2018</w:t>
    </w:r>
  </w:p>
  <w:p w14:paraId="3773080F" w14:textId="77777777" w:rsidR="003A280D" w:rsidRPr="00F32C23" w:rsidRDefault="003A280D" w:rsidP="000048ED">
    <w:pPr>
      <w:jc w:val="right"/>
      <w:rPr>
        <w:rFonts w:ascii="Arial" w:hAnsi="Arial" w:cs="Arial"/>
        <w:b/>
        <w:sz w:val="22"/>
        <w:szCs w:val="22"/>
      </w:rPr>
    </w:pPr>
    <w:r>
      <w:rPr>
        <w:rFonts w:ascii="Arial" w:hAnsi="Arial"/>
        <w:b/>
        <w:sz w:val="22"/>
      </w:rPr>
      <w:t>Original : anglais</w:t>
    </w:r>
  </w:p>
  <w:p w14:paraId="5308E8B6" w14:textId="77777777" w:rsidR="003A280D" w:rsidRPr="00E95AE2" w:rsidRDefault="003A280D">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8141E"/>
    <w:multiLevelType w:val="hybridMultilevel"/>
    <w:tmpl w:val="79DEC9F8"/>
    <w:lvl w:ilvl="0" w:tplc="D6E22962">
      <w:start w:val="1"/>
      <w:numFmt w:val="decimal"/>
      <w:lvlText w:val="%1."/>
      <w:lvlJc w:val="left"/>
      <w:pPr>
        <w:ind w:left="927" w:hanging="360"/>
      </w:pPr>
      <w:rPr>
        <w:rFonts w:hint="default"/>
        <w:u w:val="none"/>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2B4B1AAE"/>
    <w:multiLevelType w:val="hybridMultilevel"/>
    <w:tmpl w:val="79DEC9F8"/>
    <w:lvl w:ilvl="0" w:tplc="D6E22962">
      <w:start w:val="1"/>
      <w:numFmt w:val="decimal"/>
      <w:lvlText w:val="%1."/>
      <w:lvlJc w:val="left"/>
      <w:pPr>
        <w:ind w:left="927" w:hanging="360"/>
      </w:pPr>
      <w:rPr>
        <w:rFonts w:hint="default"/>
        <w:u w:val="none"/>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 w15:restartNumberingAfterBreak="0">
    <w:nsid w:val="300151FA"/>
    <w:multiLevelType w:val="hybridMultilevel"/>
    <w:tmpl w:val="5050A61C"/>
    <w:lvl w:ilvl="0" w:tplc="E9E0D3C2">
      <w:start w:val="1"/>
      <w:numFmt w:val="decimal"/>
      <w:lvlText w:val="%1."/>
      <w:lvlJc w:val="left"/>
      <w:pPr>
        <w:ind w:left="927" w:hanging="360"/>
      </w:pPr>
      <w:rPr>
        <w:rFonts w:hint="default"/>
        <w:u w:val="none"/>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07F00AF"/>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13357D5"/>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6F95E9C"/>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E313EC8"/>
    <w:multiLevelType w:val="hybridMultilevel"/>
    <w:tmpl w:val="79DEC9F8"/>
    <w:lvl w:ilvl="0" w:tplc="D6E22962">
      <w:start w:val="1"/>
      <w:numFmt w:val="decimal"/>
      <w:lvlText w:val="%1."/>
      <w:lvlJc w:val="left"/>
      <w:pPr>
        <w:ind w:left="927" w:hanging="360"/>
      </w:pPr>
      <w:rPr>
        <w:rFonts w:hint="default"/>
        <w:u w:val="none"/>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1" w15:restartNumberingAfterBreak="0">
    <w:nsid w:val="5ED01A0A"/>
    <w:multiLevelType w:val="hybridMultilevel"/>
    <w:tmpl w:val="03CAD052"/>
    <w:lvl w:ilvl="0" w:tplc="C81ED8EA">
      <w:start w:val="1"/>
      <w:numFmt w:val="upperLetter"/>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09D3F92"/>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A7D7A8A"/>
    <w:multiLevelType w:val="hybridMultilevel"/>
    <w:tmpl w:val="73E0F7A8"/>
    <w:lvl w:ilvl="0" w:tplc="714E2D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CDC1252"/>
    <w:multiLevelType w:val="hybridMultilevel"/>
    <w:tmpl w:val="79DEC9F8"/>
    <w:lvl w:ilvl="0" w:tplc="D6E22962">
      <w:start w:val="1"/>
      <w:numFmt w:val="decimal"/>
      <w:lvlText w:val="%1."/>
      <w:lvlJc w:val="left"/>
      <w:pPr>
        <w:ind w:left="927" w:hanging="360"/>
      </w:pPr>
      <w:rPr>
        <w:rFonts w:hint="default"/>
        <w:u w:val="none"/>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5" w15:restartNumberingAfterBreak="0">
    <w:nsid w:val="6D8B378E"/>
    <w:multiLevelType w:val="hybridMultilevel"/>
    <w:tmpl w:val="5050A61C"/>
    <w:lvl w:ilvl="0" w:tplc="E9E0D3C2">
      <w:start w:val="1"/>
      <w:numFmt w:val="decimal"/>
      <w:lvlText w:val="%1."/>
      <w:lvlJc w:val="left"/>
      <w:pPr>
        <w:ind w:left="927" w:hanging="360"/>
      </w:pPr>
      <w:rPr>
        <w:rFonts w:hint="default"/>
        <w:u w:val="none"/>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6" w15:restartNumberingAfterBreak="0">
    <w:nsid w:val="6E1B46F7"/>
    <w:multiLevelType w:val="hybridMultilevel"/>
    <w:tmpl w:val="AA8659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8203C3B"/>
    <w:multiLevelType w:val="multilevel"/>
    <w:tmpl w:val="08A041BA"/>
    <w:styleLink w:val="Style1"/>
    <w:lvl w:ilvl="0">
      <w:start w:val="1"/>
      <w:numFmt w:val="decimal"/>
      <w:lvlText w:val="%1."/>
      <w:lvlJc w:val="left"/>
      <w:pPr>
        <w:ind w:left="567" w:hanging="567"/>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57" w:hanging="357"/>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79F464AD"/>
    <w:multiLevelType w:val="hybridMultilevel"/>
    <w:tmpl w:val="5050A61C"/>
    <w:lvl w:ilvl="0" w:tplc="E9E0D3C2">
      <w:start w:val="1"/>
      <w:numFmt w:val="decimal"/>
      <w:lvlText w:val="%1."/>
      <w:lvlJc w:val="left"/>
      <w:pPr>
        <w:ind w:left="927" w:hanging="360"/>
      </w:pPr>
      <w:rPr>
        <w:rFonts w:hint="default"/>
        <w:u w:val="none"/>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1"/>
  </w:num>
  <w:num w:numId="2">
    <w:abstractNumId w:val="4"/>
  </w:num>
  <w:num w:numId="3">
    <w:abstractNumId w:val="5"/>
  </w:num>
  <w:num w:numId="4">
    <w:abstractNumId w:val="6"/>
  </w:num>
  <w:num w:numId="5">
    <w:abstractNumId w:val="11"/>
  </w:num>
  <w:num w:numId="6">
    <w:abstractNumId w:val="17"/>
  </w:num>
  <w:num w:numId="7">
    <w:abstractNumId w:val="16"/>
  </w:num>
  <w:num w:numId="8">
    <w:abstractNumId w:val="0"/>
  </w:num>
  <w:num w:numId="9">
    <w:abstractNumId w:val="15"/>
  </w:num>
  <w:num w:numId="10">
    <w:abstractNumId w:val="14"/>
  </w:num>
  <w:num w:numId="11">
    <w:abstractNumId w:val="2"/>
  </w:num>
  <w:num w:numId="12">
    <w:abstractNumId w:val="10"/>
  </w:num>
  <w:num w:numId="13">
    <w:abstractNumId w:val="3"/>
  </w:num>
  <w:num w:numId="14">
    <w:abstractNumId w:val="18"/>
  </w:num>
  <w:num w:numId="15">
    <w:abstractNumId w:val="8"/>
  </w:num>
  <w:num w:numId="16">
    <w:abstractNumId w:val="7"/>
  </w:num>
  <w:num w:numId="17">
    <w:abstractNumId w:val="13"/>
  </w:num>
  <w:num w:numId="18">
    <w:abstractNumId w:val="9"/>
  </w:num>
  <w:num w:numId="19">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48ED"/>
    <w:rsid w:val="00040209"/>
    <w:rsid w:val="00041A66"/>
    <w:rsid w:val="0005176E"/>
    <w:rsid w:val="000578C0"/>
    <w:rsid w:val="000765F7"/>
    <w:rsid w:val="00077AB7"/>
    <w:rsid w:val="00081CD8"/>
    <w:rsid w:val="000A7F0E"/>
    <w:rsid w:val="000B1C8F"/>
    <w:rsid w:val="000C0697"/>
    <w:rsid w:val="000C0D61"/>
    <w:rsid w:val="000C5900"/>
    <w:rsid w:val="000D3A9B"/>
    <w:rsid w:val="000E736F"/>
    <w:rsid w:val="000F3A3F"/>
    <w:rsid w:val="00102557"/>
    <w:rsid w:val="001324E6"/>
    <w:rsid w:val="001448B0"/>
    <w:rsid w:val="00162BC9"/>
    <w:rsid w:val="00164D56"/>
    <w:rsid w:val="00164F21"/>
    <w:rsid w:val="00165C7A"/>
    <w:rsid w:val="00167B10"/>
    <w:rsid w:val="0017402F"/>
    <w:rsid w:val="00196C1B"/>
    <w:rsid w:val="001A5DA6"/>
    <w:rsid w:val="001B0F73"/>
    <w:rsid w:val="001B1007"/>
    <w:rsid w:val="001B3C21"/>
    <w:rsid w:val="001C1E1B"/>
    <w:rsid w:val="001C2DB7"/>
    <w:rsid w:val="001D14FE"/>
    <w:rsid w:val="001D4A3F"/>
    <w:rsid w:val="001D5C04"/>
    <w:rsid w:val="001E1A0B"/>
    <w:rsid w:val="001F26CF"/>
    <w:rsid w:val="00222A2D"/>
    <w:rsid w:val="00223029"/>
    <w:rsid w:val="002329F7"/>
    <w:rsid w:val="00234745"/>
    <w:rsid w:val="002351A6"/>
    <w:rsid w:val="002407AF"/>
    <w:rsid w:val="0027466B"/>
    <w:rsid w:val="002838A5"/>
    <w:rsid w:val="00285BB4"/>
    <w:rsid w:val="0029421F"/>
    <w:rsid w:val="002B44A0"/>
    <w:rsid w:val="002C09E3"/>
    <w:rsid w:val="002F0C82"/>
    <w:rsid w:val="003128B6"/>
    <w:rsid w:val="00324B0C"/>
    <w:rsid w:val="00337CEB"/>
    <w:rsid w:val="00343006"/>
    <w:rsid w:val="00344B58"/>
    <w:rsid w:val="0034539A"/>
    <w:rsid w:val="00345CB4"/>
    <w:rsid w:val="00354CDC"/>
    <w:rsid w:val="003647C9"/>
    <w:rsid w:val="0036579F"/>
    <w:rsid w:val="00375D42"/>
    <w:rsid w:val="00383FFE"/>
    <w:rsid w:val="003950DF"/>
    <w:rsid w:val="003A1698"/>
    <w:rsid w:val="003A280D"/>
    <w:rsid w:val="003B2323"/>
    <w:rsid w:val="003D069C"/>
    <w:rsid w:val="003D7646"/>
    <w:rsid w:val="003F113A"/>
    <w:rsid w:val="003F154F"/>
    <w:rsid w:val="003F3E63"/>
    <w:rsid w:val="003F4BCF"/>
    <w:rsid w:val="00407480"/>
    <w:rsid w:val="00414643"/>
    <w:rsid w:val="004421E5"/>
    <w:rsid w:val="00452284"/>
    <w:rsid w:val="00457C8E"/>
    <w:rsid w:val="0046602B"/>
    <w:rsid w:val="004856CA"/>
    <w:rsid w:val="00487E67"/>
    <w:rsid w:val="0049705E"/>
    <w:rsid w:val="004A34A0"/>
    <w:rsid w:val="004A6DFE"/>
    <w:rsid w:val="004C2B44"/>
    <w:rsid w:val="004C5820"/>
    <w:rsid w:val="004E4C49"/>
    <w:rsid w:val="005008A8"/>
    <w:rsid w:val="00502B7E"/>
    <w:rsid w:val="00526B7B"/>
    <w:rsid w:val="005308CE"/>
    <w:rsid w:val="0053318C"/>
    <w:rsid w:val="00534559"/>
    <w:rsid w:val="00534B52"/>
    <w:rsid w:val="005377FA"/>
    <w:rsid w:val="0054670A"/>
    <w:rsid w:val="0055231E"/>
    <w:rsid w:val="00560E41"/>
    <w:rsid w:val="0057439C"/>
    <w:rsid w:val="005B0127"/>
    <w:rsid w:val="005B7A35"/>
    <w:rsid w:val="005C4B73"/>
    <w:rsid w:val="005D1550"/>
    <w:rsid w:val="005E1D2B"/>
    <w:rsid w:val="005E7074"/>
    <w:rsid w:val="005F2BAF"/>
    <w:rsid w:val="00600D93"/>
    <w:rsid w:val="00617D87"/>
    <w:rsid w:val="00625BD4"/>
    <w:rsid w:val="0063300C"/>
    <w:rsid w:val="00637084"/>
    <w:rsid w:val="00637120"/>
    <w:rsid w:val="00642CFB"/>
    <w:rsid w:val="00652BA9"/>
    <w:rsid w:val="00655736"/>
    <w:rsid w:val="00663B8D"/>
    <w:rsid w:val="00687058"/>
    <w:rsid w:val="00696C8D"/>
    <w:rsid w:val="006A2AC2"/>
    <w:rsid w:val="006A3617"/>
    <w:rsid w:val="006E46E4"/>
    <w:rsid w:val="00705087"/>
    <w:rsid w:val="00711D1B"/>
    <w:rsid w:val="00717974"/>
    <w:rsid w:val="00717DA5"/>
    <w:rsid w:val="00744484"/>
    <w:rsid w:val="0074448D"/>
    <w:rsid w:val="00747566"/>
    <w:rsid w:val="00771D82"/>
    <w:rsid w:val="00773188"/>
    <w:rsid w:val="00774BC3"/>
    <w:rsid w:val="00774C5C"/>
    <w:rsid w:val="00783782"/>
    <w:rsid w:val="00784B8C"/>
    <w:rsid w:val="007879E1"/>
    <w:rsid w:val="00792FE5"/>
    <w:rsid w:val="007A5C94"/>
    <w:rsid w:val="007A78BB"/>
    <w:rsid w:val="007B3100"/>
    <w:rsid w:val="007D57F7"/>
    <w:rsid w:val="007D6F53"/>
    <w:rsid w:val="00820A2F"/>
    <w:rsid w:val="00823A11"/>
    <w:rsid w:val="0084538E"/>
    <w:rsid w:val="0085405E"/>
    <w:rsid w:val="0085414A"/>
    <w:rsid w:val="0086269D"/>
    <w:rsid w:val="00862AE3"/>
    <w:rsid w:val="0086543A"/>
    <w:rsid w:val="008724E5"/>
    <w:rsid w:val="00876129"/>
    <w:rsid w:val="00884A9D"/>
    <w:rsid w:val="0088512B"/>
    <w:rsid w:val="00895932"/>
    <w:rsid w:val="008A2B2D"/>
    <w:rsid w:val="008A4E1E"/>
    <w:rsid w:val="008C296C"/>
    <w:rsid w:val="008C59B0"/>
    <w:rsid w:val="008D4305"/>
    <w:rsid w:val="008D75D5"/>
    <w:rsid w:val="008E1A85"/>
    <w:rsid w:val="009163A7"/>
    <w:rsid w:val="00920B72"/>
    <w:rsid w:val="0092356F"/>
    <w:rsid w:val="00946D0B"/>
    <w:rsid w:val="00955877"/>
    <w:rsid w:val="009604EC"/>
    <w:rsid w:val="00962580"/>
    <w:rsid w:val="009805B1"/>
    <w:rsid w:val="00992C9E"/>
    <w:rsid w:val="00995BCD"/>
    <w:rsid w:val="009A18CD"/>
    <w:rsid w:val="009A233D"/>
    <w:rsid w:val="009A25D8"/>
    <w:rsid w:val="009D5428"/>
    <w:rsid w:val="009F71EA"/>
    <w:rsid w:val="00A12558"/>
    <w:rsid w:val="00A13903"/>
    <w:rsid w:val="00A15594"/>
    <w:rsid w:val="00A242C4"/>
    <w:rsid w:val="00A316AB"/>
    <w:rsid w:val="00A34ED5"/>
    <w:rsid w:val="00A37560"/>
    <w:rsid w:val="00A427DD"/>
    <w:rsid w:val="00A44816"/>
    <w:rsid w:val="00A45DBF"/>
    <w:rsid w:val="00A512DB"/>
    <w:rsid w:val="00A64FAE"/>
    <w:rsid w:val="00A755A2"/>
    <w:rsid w:val="00A81AA6"/>
    <w:rsid w:val="00A86B6C"/>
    <w:rsid w:val="00A92133"/>
    <w:rsid w:val="00AA0AB0"/>
    <w:rsid w:val="00AA6660"/>
    <w:rsid w:val="00AB2C36"/>
    <w:rsid w:val="00AB6DDE"/>
    <w:rsid w:val="00AB70B6"/>
    <w:rsid w:val="00AC148B"/>
    <w:rsid w:val="00AD1A86"/>
    <w:rsid w:val="00AE103E"/>
    <w:rsid w:val="00AE7E2B"/>
    <w:rsid w:val="00AF0A07"/>
    <w:rsid w:val="00AF19FD"/>
    <w:rsid w:val="00AF4AEC"/>
    <w:rsid w:val="00AF625E"/>
    <w:rsid w:val="00B20D91"/>
    <w:rsid w:val="00B22CC3"/>
    <w:rsid w:val="00B821AE"/>
    <w:rsid w:val="00B87665"/>
    <w:rsid w:val="00BA419D"/>
    <w:rsid w:val="00BB04AF"/>
    <w:rsid w:val="00BC46E7"/>
    <w:rsid w:val="00BD52C9"/>
    <w:rsid w:val="00BD5A0C"/>
    <w:rsid w:val="00BE6354"/>
    <w:rsid w:val="00BF38CF"/>
    <w:rsid w:val="00C062CB"/>
    <w:rsid w:val="00C138D1"/>
    <w:rsid w:val="00C23A97"/>
    <w:rsid w:val="00C51AF6"/>
    <w:rsid w:val="00C5622C"/>
    <w:rsid w:val="00C61158"/>
    <w:rsid w:val="00C64855"/>
    <w:rsid w:val="00C70EA7"/>
    <w:rsid w:val="00C7433F"/>
    <w:rsid w:val="00C7516E"/>
    <w:rsid w:val="00C75770"/>
    <w:rsid w:val="00CA56BB"/>
    <w:rsid w:val="00CB0542"/>
    <w:rsid w:val="00CF12CF"/>
    <w:rsid w:val="00D00B2B"/>
    <w:rsid w:val="00D01CB2"/>
    <w:rsid w:val="00D24877"/>
    <w:rsid w:val="00D26DB5"/>
    <w:rsid w:val="00D51F27"/>
    <w:rsid w:val="00D810EB"/>
    <w:rsid w:val="00D8250F"/>
    <w:rsid w:val="00D95C4C"/>
    <w:rsid w:val="00D967A5"/>
    <w:rsid w:val="00DA36ED"/>
    <w:rsid w:val="00DB6469"/>
    <w:rsid w:val="00DD4A67"/>
    <w:rsid w:val="00DE34F1"/>
    <w:rsid w:val="00DE6160"/>
    <w:rsid w:val="00DF4942"/>
    <w:rsid w:val="00E244E1"/>
    <w:rsid w:val="00E268CA"/>
    <w:rsid w:val="00E445A1"/>
    <w:rsid w:val="00E627B1"/>
    <w:rsid w:val="00E70169"/>
    <w:rsid w:val="00E852C4"/>
    <w:rsid w:val="00E86588"/>
    <w:rsid w:val="00E9376C"/>
    <w:rsid w:val="00E95524"/>
    <w:rsid w:val="00E95AE2"/>
    <w:rsid w:val="00EA1F7A"/>
    <w:rsid w:val="00EA335E"/>
    <w:rsid w:val="00EA528C"/>
    <w:rsid w:val="00EA580C"/>
    <w:rsid w:val="00EC23FD"/>
    <w:rsid w:val="00EC6F8D"/>
    <w:rsid w:val="00EE49F4"/>
    <w:rsid w:val="00EF34E2"/>
    <w:rsid w:val="00F1146A"/>
    <w:rsid w:val="00F30DC6"/>
    <w:rsid w:val="00F32C23"/>
    <w:rsid w:val="00F35303"/>
    <w:rsid w:val="00F53DE9"/>
    <w:rsid w:val="00F576CB"/>
    <w:rsid w:val="00F7035D"/>
    <w:rsid w:val="00F71A02"/>
    <w:rsid w:val="00FA0D63"/>
    <w:rsid w:val="00FD1226"/>
    <w:rsid w:val="00FD4D37"/>
    <w:rsid w:val="00FF006E"/>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3C814E"/>
  <w15:docId w15:val="{E138CBFA-6749-4E21-8723-70251BEC6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fr-FR"/>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1">
    <w:name w:val="heading 1"/>
    <w:basedOn w:val="Normal"/>
    <w:next w:val="Normal"/>
    <w:link w:val="Heading1Char"/>
    <w:uiPriority w:val="9"/>
    <w:qFormat/>
    <w:rsid w:val="00FD4D3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F19FD"/>
    <w:pPr>
      <w:keepNext/>
      <w:keepLines/>
      <w:spacing w:before="40"/>
      <w:outlineLvl w:val="2"/>
    </w:pPr>
    <w:rPr>
      <w:rFonts w:ascii="Arial" w:eastAsia="SimSun" w:hAnsi="Arial" w:cs="Angsana New"/>
      <w:sz w:val="22"/>
    </w:rPr>
  </w:style>
  <w:style w:type="paragraph" w:styleId="Heading4">
    <w:name w:val="heading 4"/>
    <w:aliases w:val="COM Heading"/>
    <w:basedOn w:val="Normal"/>
    <w:next w:val="Normal"/>
    <w:link w:val="Heading4Char"/>
    <w:uiPriority w:val="9"/>
    <w:qFormat/>
    <w:rsid w:val="00F71A02"/>
    <w:pPr>
      <w:keepNext/>
      <w:keepLines/>
      <w:numPr>
        <w:numId w:val="4"/>
      </w:numPr>
      <w:tabs>
        <w:tab w:val="left" w:pos="567"/>
      </w:tabs>
      <w:snapToGrid w:val="0"/>
      <w:spacing w:after="240"/>
      <w:ind w:left="567" w:hanging="567"/>
      <w:outlineLvl w:val="3"/>
    </w:pPr>
    <w:rPr>
      <w:rFonts w:ascii="Arial" w:hAnsi="Arial"/>
      <w:b/>
      <w:bCs/>
      <w:snapToGrid w:val="0"/>
      <w:sz w:val="22"/>
    </w:rPr>
  </w:style>
  <w:style w:type="paragraph" w:styleId="Heading5">
    <w:name w:val="heading 5"/>
    <w:basedOn w:val="Normal"/>
    <w:next w:val="Normal"/>
    <w:link w:val="Heading5Char"/>
    <w:uiPriority w:val="9"/>
    <w:semiHidden/>
    <w:unhideWhenUsed/>
    <w:qFormat/>
    <w:rsid w:val="00AF19FD"/>
    <w:pPr>
      <w:keepNext/>
      <w:keepLines/>
      <w:spacing w:before="40"/>
      <w:outlineLvl w:val="4"/>
    </w:pPr>
    <w:rPr>
      <w:rFonts w:ascii="Cambria" w:eastAsia="SimSun" w:hAnsi="Cambria" w:cs="Angsana New"/>
      <w:color w:val="365F91"/>
    </w:rPr>
  </w:style>
  <w:style w:type="paragraph" w:styleId="Heading6">
    <w:name w:val="heading 6"/>
    <w:basedOn w:val="Normal"/>
    <w:next w:val="Normal"/>
    <w:link w:val="Heading6Char"/>
    <w:uiPriority w:val="9"/>
    <w:semiHidden/>
    <w:unhideWhenUsed/>
    <w:qFormat/>
    <w:rsid w:val="00AF19FD"/>
    <w:pPr>
      <w:keepNext/>
      <w:keepLines/>
      <w:spacing w:before="40"/>
      <w:outlineLvl w:val="5"/>
    </w:pPr>
    <w:rPr>
      <w:rFonts w:ascii="Cambria" w:eastAsia="SimSun" w:hAnsi="Cambria" w:cs="Angsana New"/>
      <w:color w:val="243F60"/>
    </w:rPr>
  </w:style>
  <w:style w:type="paragraph" w:styleId="Heading7">
    <w:name w:val="heading 7"/>
    <w:basedOn w:val="Normal"/>
    <w:next w:val="Normal"/>
    <w:link w:val="Heading7Char"/>
    <w:uiPriority w:val="9"/>
    <w:semiHidden/>
    <w:unhideWhenUsed/>
    <w:qFormat/>
    <w:rsid w:val="00AF19FD"/>
    <w:pPr>
      <w:keepNext/>
      <w:keepLines/>
      <w:spacing w:before="40"/>
      <w:outlineLvl w:val="6"/>
    </w:pPr>
    <w:rPr>
      <w:rFonts w:ascii="Cambria" w:eastAsia="SimSun" w:hAnsi="Cambria" w:cs="Angsana New"/>
      <w:i/>
      <w:iCs/>
      <w:color w:val="243F60"/>
    </w:rPr>
  </w:style>
  <w:style w:type="paragraph" w:styleId="Heading8">
    <w:name w:val="heading 8"/>
    <w:basedOn w:val="Normal"/>
    <w:next w:val="Normal"/>
    <w:link w:val="Heading8Char"/>
    <w:uiPriority w:val="9"/>
    <w:semiHidden/>
    <w:unhideWhenUsed/>
    <w:qFormat/>
    <w:rsid w:val="00AF19FD"/>
    <w:pPr>
      <w:keepNext/>
      <w:keepLines/>
      <w:spacing w:before="40"/>
      <w:outlineLvl w:val="7"/>
    </w:pPr>
    <w:rPr>
      <w:rFonts w:ascii="Cambria" w:eastAsia="SimSun" w:hAnsi="Cambria" w:cs="Angsana New"/>
      <w:color w:val="272727"/>
      <w:sz w:val="21"/>
      <w:szCs w:val="21"/>
    </w:rPr>
  </w:style>
  <w:style w:type="paragraph" w:styleId="Heading9">
    <w:name w:val="heading 9"/>
    <w:basedOn w:val="Normal"/>
    <w:next w:val="Normal"/>
    <w:link w:val="Heading9Char"/>
    <w:uiPriority w:val="9"/>
    <w:semiHidden/>
    <w:unhideWhenUsed/>
    <w:qFormat/>
    <w:rsid w:val="00AF19FD"/>
    <w:pPr>
      <w:keepNext/>
      <w:keepLines/>
      <w:spacing w:before="40"/>
      <w:outlineLvl w:val="8"/>
    </w:pPr>
    <w:rPr>
      <w:rFonts w:ascii="Cambria" w:eastAsia="SimSun" w:hAnsi="Cambria" w:cs="Angsana New"/>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pPr>
  </w:style>
  <w:style w:type="character" w:customStyle="1" w:styleId="HeaderChar">
    <w:name w:val="Header Char"/>
    <w:link w:val="Header"/>
    <w:uiPriority w:val="99"/>
    <w:rsid w:val="008724E5"/>
    <w:rPr>
      <w:lang w:val="fr-FR"/>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uiPriority w:val="9"/>
    <w:rsid w:val="00F71A02"/>
    <w:rPr>
      <w:rFonts w:ascii="Arial" w:eastAsia="Times New Roman" w:hAnsi="Arial"/>
      <w:b/>
      <w:bCs/>
      <w:snapToGrid w:val="0"/>
      <w:sz w:val="22"/>
      <w:szCs w:val="24"/>
      <w:lang w:val="fr-FR" w:eastAsia="fr-FR"/>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numPr>
        <w:numId w:val="3"/>
      </w:numPr>
      <w:autoSpaceDE w:val="0"/>
      <w:autoSpaceDN w:val="0"/>
      <w:adjustRightInd w:val="0"/>
      <w:spacing w:after="120"/>
      <w:ind w:left="1134" w:hanging="567"/>
      <w:jc w:val="both"/>
    </w:pPr>
    <w:rPr>
      <w:rFonts w:ascii="Arial" w:eastAsia="SimSun" w:hAnsi="Arial" w:cs="Arial"/>
      <w:sz w:val="22"/>
      <w:szCs w:val="22"/>
      <w:u w:val="single"/>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3950DF"/>
    <w:rPr>
      <w:sz w:val="16"/>
      <w:szCs w:val="16"/>
    </w:rPr>
  </w:style>
  <w:style w:type="paragraph" w:styleId="CommentText">
    <w:name w:val="annotation text"/>
    <w:basedOn w:val="Normal"/>
    <w:link w:val="CommentTextChar"/>
    <w:uiPriority w:val="99"/>
    <w:semiHidden/>
    <w:unhideWhenUsed/>
    <w:rsid w:val="003950DF"/>
    <w:rPr>
      <w:rFonts w:ascii="Arial" w:hAnsi="Arial"/>
      <w:sz w:val="20"/>
      <w:szCs w:val="20"/>
    </w:rPr>
  </w:style>
  <w:style w:type="character" w:customStyle="1" w:styleId="CommentTextChar">
    <w:name w:val="Comment Text Char"/>
    <w:basedOn w:val="DefaultParagraphFont"/>
    <w:link w:val="CommentText"/>
    <w:uiPriority w:val="99"/>
    <w:semiHidden/>
    <w:rsid w:val="003950DF"/>
    <w:rPr>
      <w:rFonts w:ascii="Arial" w:eastAsia="Times New Roman" w:hAnsi="Arial"/>
      <w:lang w:val="fr-FR"/>
    </w:rPr>
  </w:style>
  <w:style w:type="character" w:styleId="Hyperlink">
    <w:name w:val="Hyperlink"/>
    <w:uiPriority w:val="99"/>
    <w:rsid w:val="003950DF"/>
    <w:rPr>
      <w:rFonts w:cs="Times New Roman"/>
      <w:color w:val="0000FF"/>
      <w:u w:val="single"/>
    </w:rPr>
  </w:style>
  <w:style w:type="paragraph" w:customStyle="1" w:styleId="DocMain">
    <w:name w:val="Doc_Main"/>
    <w:basedOn w:val="Normal"/>
    <w:rsid w:val="003950DF"/>
    <w:pPr>
      <w:spacing w:before="240" w:after="240"/>
      <w:ind w:left="720" w:hanging="360"/>
      <w:jc w:val="both"/>
    </w:pPr>
    <w:rPr>
      <w:rFonts w:ascii="Arial" w:eastAsia="SimSun" w:hAnsi="Arial" w:cs="Arial"/>
      <w:sz w:val="22"/>
      <w:szCs w:val="22"/>
    </w:rPr>
  </w:style>
  <w:style w:type="paragraph" w:customStyle="1" w:styleId="NoSpacing1">
    <w:name w:val="No Spacing1"/>
    <w:rsid w:val="003950DF"/>
    <w:rPr>
      <w:sz w:val="22"/>
      <w:szCs w:val="22"/>
    </w:rPr>
  </w:style>
  <w:style w:type="character" w:customStyle="1" w:styleId="Heading1Char">
    <w:name w:val="Heading 1 Char"/>
    <w:basedOn w:val="DefaultParagraphFont"/>
    <w:link w:val="Heading1"/>
    <w:uiPriority w:val="9"/>
    <w:rsid w:val="00FD4D37"/>
    <w:rPr>
      <w:rFonts w:asciiTheme="majorHAnsi" w:eastAsiaTheme="majorEastAsia" w:hAnsiTheme="majorHAnsi" w:cstheme="majorBidi"/>
      <w:color w:val="365F91" w:themeColor="accent1" w:themeShade="BF"/>
      <w:sz w:val="32"/>
      <w:szCs w:val="32"/>
    </w:rPr>
  </w:style>
  <w:style w:type="paragraph" w:styleId="FootnoteText">
    <w:name w:val="footnote text"/>
    <w:basedOn w:val="Normal"/>
    <w:link w:val="FootnoteTextChar"/>
    <w:uiPriority w:val="99"/>
    <w:semiHidden/>
    <w:unhideWhenUsed/>
    <w:rsid w:val="00E852C4"/>
    <w:rPr>
      <w:sz w:val="20"/>
      <w:szCs w:val="20"/>
    </w:rPr>
  </w:style>
  <w:style w:type="character" w:customStyle="1" w:styleId="FootnoteTextChar">
    <w:name w:val="Footnote Text Char"/>
    <w:basedOn w:val="DefaultParagraphFont"/>
    <w:link w:val="FootnoteText"/>
    <w:uiPriority w:val="99"/>
    <w:semiHidden/>
    <w:rsid w:val="00E852C4"/>
    <w:rPr>
      <w:rFonts w:ascii="Times New Roman" w:eastAsia="Times New Roman" w:hAnsi="Times New Roman"/>
    </w:rPr>
  </w:style>
  <w:style w:type="character" w:styleId="FootnoteReference">
    <w:name w:val="footnote reference"/>
    <w:basedOn w:val="DefaultParagraphFont"/>
    <w:uiPriority w:val="99"/>
    <w:semiHidden/>
    <w:unhideWhenUsed/>
    <w:rsid w:val="00E852C4"/>
    <w:rPr>
      <w:vertAlign w:val="superscript"/>
    </w:rPr>
  </w:style>
  <w:style w:type="paragraph" w:customStyle="1" w:styleId="Heading31">
    <w:name w:val="Heading 31"/>
    <w:basedOn w:val="Normal"/>
    <w:next w:val="Normal"/>
    <w:uiPriority w:val="9"/>
    <w:semiHidden/>
    <w:unhideWhenUsed/>
    <w:qFormat/>
    <w:rsid w:val="00AF19FD"/>
    <w:pPr>
      <w:keepNext/>
      <w:keepLines/>
      <w:spacing w:before="40"/>
      <w:jc w:val="both"/>
      <w:outlineLvl w:val="2"/>
    </w:pPr>
    <w:rPr>
      <w:rFonts w:ascii="Arial" w:eastAsia="SimSun" w:hAnsi="Arial" w:cs="Angsana New"/>
      <w:sz w:val="22"/>
    </w:rPr>
  </w:style>
  <w:style w:type="paragraph" w:customStyle="1" w:styleId="Heading51">
    <w:name w:val="Heading 51"/>
    <w:basedOn w:val="Normal"/>
    <w:next w:val="Normal"/>
    <w:uiPriority w:val="9"/>
    <w:semiHidden/>
    <w:unhideWhenUsed/>
    <w:qFormat/>
    <w:rsid w:val="00AF19FD"/>
    <w:pPr>
      <w:keepNext/>
      <w:keepLines/>
      <w:spacing w:before="40"/>
      <w:ind w:left="3600" w:hanging="360"/>
      <w:outlineLvl w:val="4"/>
    </w:pPr>
    <w:rPr>
      <w:rFonts w:ascii="Cambria" w:eastAsia="SimSun" w:hAnsi="Cambria" w:cs="Angsana New"/>
      <w:color w:val="365F91"/>
    </w:rPr>
  </w:style>
  <w:style w:type="paragraph" w:customStyle="1" w:styleId="Heading61">
    <w:name w:val="Heading 61"/>
    <w:basedOn w:val="Normal"/>
    <w:next w:val="Normal"/>
    <w:uiPriority w:val="9"/>
    <w:semiHidden/>
    <w:unhideWhenUsed/>
    <w:qFormat/>
    <w:rsid w:val="00AF19FD"/>
    <w:pPr>
      <w:keepNext/>
      <w:keepLines/>
      <w:spacing w:before="40"/>
      <w:ind w:left="4320" w:hanging="180"/>
      <w:outlineLvl w:val="5"/>
    </w:pPr>
    <w:rPr>
      <w:rFonts w:ascii="Cambria" w:eastAsia="SimSun" w:hAnsi="Cambria" w:cs="Angsana New"/>
      <w:color w:val="243F60"/>
    </w:rPr>
  </w:style>
  <w:style w:type="paragraph" w:customStyle="1" w:styleId="Heading71">
    <w:name w:val="Heading 71"/>
    <w:basedOn w:val="Normal"/>
    <w:next w:val="Normal"/>
    <w:uiPriority w:val="9"/>
    <w:semiHidden/>
    <w:unhideWhenUsed/>
    <w:qFormat/>
    <w:rsid w:val="00AF19FD"/>
    <w:pPr>
      <w:keepNext/>
      <w:keepLines/>
      <w:spacing w:before="40"/>
      <w:ind w:left="5040" w:hanging="360"/>
      <w:outlineLvl w:val="6"/>
    </w:pPr>
    <w:rPr>
      <w:rFonts w:ascii="Cambria" w:eastAsia="SimSun" w:hAnsi="Cambria" w:cs="Angsana New"/>
      <w:i/>
      <w:iCs/>
      <w:color w:val="243F60"/>
    </w:rPr>
  </w:style>
  <w:style w:type="paragraph" w:customStyle="1" w:styleId="Heading81">
    <w:name w:val="Heading 81"/>
    <w:basedOn w:val="Normal"/>
    <w:next w:val="Normal"/>
    <w:uiPriority w:val="9"/>
    <w:semiHidden/>
    <w:unhideWhenUsed/>
    <w:qFormat/>
    <w:rsid w:val="00AF19FD"/>
    <w:pPr>
      <w:keepNext/>
      <w:keepLines/>
      <w:spacing w:before="40"/>
      <w:ind w:left="5760" w:hanging="360"/>
      <w:outlineLvl w:val="7"/>
    </w:pPr>
    <w:rPr>
      <w:rFonts w:ascii="Cambria" w:eastAsia="SimSun" w:hAnsi="Cambria" w:cs="Angsana New"/>
      <w:color w:val="272727"/>
      <w:sz w:val="21"/>
      <w:szCs w:val="21"/>
    </w:rPr>
  </w:style>
  <w:style w:type="paragraph" w:customStyle="1" w:styleId="Heading91">
    <w:name w:val="Heading 91"/>
    <w:basedOn w:val="Normal"/>
    <w:next w:val="Normal"/>
    <w:uiPriority w:val="9"/>
    <w:semiHidden/>
    <w:unhideWhenUsed/>
    <w:qFormat/>
    <w:rsid w:val="00AF19FD"/>
    <w:pPr>
      <w:keepNext/>
      <w:keepLines/>
      <w:spacing w:before="40"/>
      <w:ind w:left="6480" w:hanging="180"/>
      <w:outlineLvl w:val="8"/>
    </w:pPr>
    <w:rPr>
      <w:rFonts w:ascii="Cambria" w:eastAsia="SimSun" w:hAnsi="Cambria" w:cs="Angsana New"/>
      <w:i/>
      <w:iCs/>
      <w:color w:val="272727"/>
      <w:sz w:val="21"/>
      <w:szCs w:val="21"/>
    </w:rPr>
  </w:style>
  <w:style w:type="numbering" w:customStyle="1" w:styleId="NoList1">
    <w:name w:val="No List1"/>
    <w:next w:val="NoList"/>
    <w:uiPriority w:val="99"/>
    <w:semiHidden/>
    <w:unhideWhenUsed/>
    <w:rsid w:val="00AF19FD"/>
  </w:style>
  <w:style w:type="character" w:customStyle="1" w:styleId="Heading3Char">
    <w:name w:val="Heading 3 Char"/>
    <w:basedOn w:val="DefaultParagraphFont"/>
    <w:link w:val="Heading3"/>
    <w:uiPriority w:val="9"/>
    <w:semiHidden/>
    <w:rsid w:val="00AF19FD"/>
    <w:rPr>
      <w:rFonts w:ascii="Arial" w:eastAsia="SimSun" w:hAnsi="Arial" w:cs="Angsana New"/>
      <w:sz w:val="22"/>
      <w:szCs w:val="24"/>
      <w:lang w:val="fr-FR"/>
    </w:rPr>
  </w:style>
  <w:style w:type="character" w:customStyle="1" w:styleId="Heading5Char">
    <w:name w:val="Heading 5 Char"/>
    <w:basedOn w:val="DefaultParagraphFont"/>
    <w:link w:val="Heading5"/>
    <w:uiPriority w:val="9"/>
    <w:semiHidden/>
    <w:rsid w:val="00AF19FD"/>
    <w:rPr>
      <w:rFonts w:ascii="Cambria" w:eastAsia="SimSun" w:hAnsi="Cambria" w:cs="Angsana New"/>
      <w:color w:val="365F91"/>
      <w:sz w:val="24"/>
      <w:szCs w:val="24"/>
      <w:lang w:val="fr-FR"/>
    </w:rPr>
  </w:style>
  <w:style w:type="character" w:customStyle="1" w:styleId="Heading6Char">
    <w:name w:val="Heading 6 Char"/>
    <w:basedOn w:val="DefaultParagraphFont"/>
    <w:link w:val="Heading6"/>
    <w:uiPriority w:val="9"/>
    <w:semiHidden/>
    <w:rsid w:val="00AF19FD"/>
    <w:rPr>
      <w:rFonts w:ascii="Cambria" w:eastAsia="SimSun" w:hAnsi="Cambria" w:cs="Angsana New"/>
      <w:color w:val="243F60"/>
      <w:sz w:val="24"/>
      <w:szCs w:val="24"/>
      <w:lang w:val="fr-FR"/>
    </w:rPr>
  </w:style>
  <w:style w:type="character" w:customStyle="1" w:styleId="Heading7Char">
    <w:name w:val="Heading 7 Char"/>
    <w:basedOn w:val="DefaultParagraphFont"/>
    <w:link w:val="Heading7"/>
    <w:uiPriority w:val="9"/>
    <w:semiHidden/>
    <w:rsid w:val="00AF19FD"/>
    <w:rPr>
      <w:rFonts w:ascii="Cambria" w:eastAsia="SimSun" w:hAnsi="Cambria" w:cs="Angsana New"/>
      <w:i/>
      <w:iCs/>
      <w:color w:val="243F60"/>
      <w:sz w:val="24"/>
      <w:szCs w:val="24"/>
      <w:lang w:val="fr-FR"/>
    </w:rPr>
  </w:style>
  <w:style w:type="character" w:customStyle="1" w:styleId="Heading8Char">
    <w:name w:val="Heading 8 Char"/>
    <w:basedOn w:val="DefaultParagraphFont"/>
    <w:link w:val="Heading8"/>
    <w:uiPriority w:val="9"/>
    <w:semiHidden/>
    <w:rsid w:val="00AF19FD"/>
    <w:rPr>
      <w:rFonts w:ascii="Cambria" w:eastAsia="SimSun" w:hAnsi="Cambria" w:cs="Angsana New"/>
      <w:color w:val="272727"/>
      <w:sz w:val="21"/>
      <w:szCs w:val="21"/>
      <w:lang w:val="fr-FR"/>
    </w:rPr>
  </w:style>
  <w:style w:type="character" w:customStyle="1" w:styleId="Heading9Char">
    <w:name w:val="Heading 9 Char"/>
    <w:basedOn w:val="DefaultParagraphFont"/>
    <w:link w:val="Heading9"/>
    <w:uiPriority w:val="9"/>
    <w:semiHidden/>
    <w:rsid w:val="00AF19FD"/>
    <w:rPr>
      <w:rFonts w:ascii="Cambria" w:eastAsia="SimSun" w:hAnsi="Cambria" w:cs="Angsana New"/>
      <w:i/>
      <w:iCs/>
      <w:color w:val="272727"/>
      <w:sz w:val="21"/>
      <w:szCs w:val="21"/>
      <w:lang w:val="fr-FR"/>
    </w:rPr>
  </w:style>
  <w:style w:type="paragraph" w:customStyle="1" w:styleId="Default">
    <w:name w:val="Default"/>
    <w:rsid w:val="00AF19FD"/>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F19FD"/>
    <w:pPr>
      <w:ind w:left="708"/>
    </w:pPr>
  </w:style>
  <w:style w:type="paragraph" w:styleId="NormalWeb">
    <w:name w:val="Normal (Web)"/>
    <w:basedOn w:val="Normal"/>
    <w:uiPriority w:val="99"/>
    <w:unhideWhenUsed/>
    <w:rsid w:val="00AF19FD"/>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AF19FD"/>
    <w:rPr>
      <w:b/>
      <w:bCs/>
    </w:rPr>
  </w:style>
  <w:style w:type="character" w:customStyle="1" w:styleId="CommentSubjectChar">
    <w:name w:val="Comment Subject Char"/>
    <w:basedOn w:val="CommentTextChar"/>
    <w:link w:val="CommentSubject"/>
    <w:uiPriority w:val="99"/>
    <w:semiHidden/>
    <w:rsid w:val="00AF19FD"/>
    <w:rPr>
      <w:rFonts w:ascii="Arial" w:eastAsia="Times New Roman" w:hAnsi="Arial"/>
      <w:b/>
      <w:bCs/>
      <w:lang w:val="fr-FR"/>
    </w:rPr>
  </w:style>
  <w:style w:type="table" w:customStyle="1" w:styleId="TableGrid2">
    <w:name w:val="Table Grid2"/>
    <w:basedOn w:val="TableNormal"/>
    <w:next w:val="TableGrid"/>
    <w:uiPriority w:val="59"/>
    <w:rsid w:val="00AF19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AF19FD"/>
    <w:rPr>
      <w:sz w:val="22"/>
      <w:szCs w:val="22"/>
    </w:rPr>
  </w:style>
  <w:style w:type="numbering" w:customStyle="1" w:styleId="Style1">
    <w:name w:val="Style1"/>
    <w:uiPriority w:val="99"/>
    <w:rsid w:val="00AF19FD"/>
    <w:pPr>
      <w:numPr>
        <w:numId w:val="6"/>
      </w:numPr>
    </w:pPr>
  </w:style>
  <w:style w:type="paragraph" w:styleId="Revision">
    <w:name w:val="Revision"/>
    <w:hidden/>
    <w:uiPriority w:val="99"/>
    <w:semiHidden/>
    <w:rsid w:val="00AF19FD"/>
    <w:rPr>
      <w:rFonts w:ascii="Arial" w:eastAsia="Times New Roman" w:hAnsi="Arial"/>
      <w:sz w:val="24"/>
      <w:szCs w:val="24"/>
    </w:rPr>
  </w:style>
  <w:style w:type="character" w:customStyle="1" w:styleId="Heading3Char1">
    <w:name w:val="Heading 3 Char1"/>
    <w:basedOn w:val="DefaultParagraphFont"/>
    <w:uiPriority w:val="9"/>
    <w:semiHidden/>
    <w:rsid w:val="00AF19FD"/>
    <w:rPr>
      <w:rFonts w:asciiTheme="majorHAnsi" w:eastAsiaTheme="majorEastAsia" w:hAnsiTheme="majorHAnsi" w:cstheme="majorBidi"/>
      <w:color w:val="243F60" w:themeColor="accent1" w:themeShade="7F"/>
      <w:sz w:val="24"/>
      <w:szCs w:val="24"/>
    </w:rPr>
  </w:style>
  <w:style w:type="character" w:customStyle="1" w:styleId="Heading5Char1">
    <w:name w:val="Heading 5 Char1"/>
    <w:basedOn w:val="DefaultParagraphFont"/>
    <w:uiPriority w:val="9"/>
    <w:semiHidden/>
    <w:rsid w:val="00AF19FD"/>
    <w:rPr>
      <w:rFonts w:asciiTheme="majorHAnsi" w:eastAsiaTheme="majorEastAsia" w:hAnsiTheme="majorHAnsi" w:cstheme="majorBidi"/>
      <w:color w:val="365F91" w:themeColor="accent1" w:themeShade="BF"/>
      <w:sz w:val="24"/>
      <w:szCs w:val="24"/>
    </w:rPr>
  </w:style>
  <w:style w:type="character" w:customStyle="1" w:styleId="Heading6Char1">
    <w:name w:val="Heading 6 Char1"/>
    <w:basedOn w:val="DefaultParagraphFont"/>
    <w:uiPriority w:val="9"/>
    <w:semiHidden/>
    <w:rsid w:val="00AF19FD"/>
    <w:rPr>
      <w:rFonts w:asciiTheme="majorHAnsi" w:eastAsiaTheme="majorEastAsia" w:hAnsiTheme="majorHAnsi" w:cstheme="majorBidi"/>
      <w:color w:val="243F60" w:themeColor="accent1" w:themeShade="7F"/>
      <w:sz w:val="24"/>
      <w:szCs w:val="24"/>
    </w:rPr>
  </w:style>
  <w:style w:type="character" w:customStyle="1" w:styleId="Heading7Char1">
    <w:name w:val="Heading 7 Char1"/>
    <w:basedOn w:val="DefaultParagraphFont"/>
    <w:uiPriority w:val="9"/>
    <w:semiHidden/>
    <w:rsid w:val="00AF19FD"/>
    <w:rPr>
      <w:rFonts w:asciiTheme="majorHAnsi" w:eastAsiaTheme="majorEastAsia" w:hAnsiTheme="majorHAnsi" w:cstheme="majorBidi"/>
      <w:i/>
      <w:iCs/>
      <w:color w:val="243F60" w:themeColor="accent1" w:themeShade="7F"/>
      <w:sz w:val="24"/>
      <w:szCs w:val="24"/>
    </w:rPr>
  </w:style>
  <w:style w:type="character" w:customStyle="1" w:styleId="Heading8Char1">
    <w:name w:val="Heading 8 Char1"/>
    <w:basedOn w:val="DefaultParagraphFont"/>
    <w:uiPriority w:val="9"/>
    <w:semiHidden/>
    <w:rsid w:val="00AF19FD"/>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AF19FD"/>
    <w:rPr>
      <w:rFonts w:asciiTheme="majorHAnsi" w:eastAsiaTheme="majorEastAsia" w:hAnsiTheme="majorHAnsi" w:cstheme="majorBidi"/>
      <w:i/>
      <w:iCs/>
      <w:color w:val="272727" w:themeColor="text1" w:themeTint="D8"/>
      <w:sz w:val="21"/>
      <w:szCs w:val="21"/>
    </w:rPr>
  </w:style>
  <w:style w:type="numbering" w:customStyle="1" w:styleId="NoList2">
    <w:name w:val="No List2"/>
    <w:next w:val="NoList"/>
    <w:uiPriority w:val="99"/>
    <w:semiHidden/>
    <w:unhideWhenUsed/>
    <w:rsid w:val="003F4BCF"/>
  </w:style>
  <w:style w:type="table" w:customStyle="1" w:styleId="TableGrid3">
    <w:name w:val="Table Grid3"/>
    <w:basedOn w:val="TableNormal"/>
    <w:next w:val="TableGrid"/>
    <w:uiPriority w:val="59"/>
    <w:rsid w:val="003F4B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11">
    <w:name w:val="Style11"/>
    <w:uiPriority w:val="99"/>
    <w:rsid w:val="003F4BCF"/>
  </w:style>
  <w:style w:type="character" w:styleId="FollowedHyperlink">
    <w:name w:val="FollowedHyperlink"/>
    <w:basedOn w:val="DefaultParagraphFont"/>
    <w:uiPriority w:val="99"/>
    <w:semiHidden/>
    <w:unhideWhenUsed/>
    <w:rsid w:val="007A78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ITH-18-13.COM-10-FR.docx" TargetMode="External"/><Relationship Id="rId13" Type="http://schemas.openxmlformats.org/officeDocument/2006/relationships/hyperlink" Target="https://ich.unesco.org/fr/10a-liste-de-sauvegarde-urgente-01012" TargetMode="External"/><Relationship Id="rId18" Type="http://schemas.openxmlformats.org/officeDocument/2006/relationships/hyperlink" Target="#Recommend_to_inscribe"/><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ich.unesco.org/fr/10a-liste-de-sauvegarde-urgente-01012"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Recommend_to_refer"/><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fr/10a-liste-de-sauvegarde-urgente-01012" TargetMode="External"/><Relationship Id="rId5" Type="http://schemas.openxmlformats.org/officeDocument/2006/relationships/webSettings" Target="webSettings.xml"/><Relationship Id="rId15" Type="http://schemas.openxmlformats.org/officeDocument/2006/relationships/hyperlink" Target="https://ich.unesco.org/fr/10a-liste-de-sauvegarde-urgente-01012" TargetMode="External"/><Relationship Id="rId23" Type="http://schemas.openxmlformats.org/officeDocument/2006/relationships/theme" Target="theme/theme1.xml"/><Relationship Id="rId10" Type="http://schemas.openxmlformats.org/officeDocument/2006/relationships/hyperlink" Target="https://ich.unesco.org/fr/10a-liste-de-sauvegarde-urgente-01012"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h.unesco.org/fr/10a-liste-de-sauvegarde-urgente-01012" TargetMode="External"/><Relationship Id="rId14" Type="http://schemas.openxmlformats.org/officeDocument/2006/relationships/hyperlink" Target="https://ich.unesco.org/fr/10a-liste-de-sauvegarde-urgente-01012"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A0BD9-655B-4E50-9995-FED8819AA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6</TotalTime>
  <Pages>14</Pages>
  <Words>7103</Words>
  <Characters>40493</Characters>
  <Application>Microsoft Office Word</Application>
  <DocSecurity>0</DocSecurity>
  <Lines>337</Lines>
  <Paragraphs>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47501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Shin, Eunkyung</cp:lastModifiedBy>
  <cp:revision>8</cp:revision>
  <cp:lastPrinted>2018-08-09T12:43:00Z</cp:lastPrinted>
  <dcterms:created xsi:type="dcterms:W3CDTF">2018-10-19T09:05:00Z</dcterms:created>
  <dcterms:modified xsi:type="dcterms:W3CDTF">2018-10-24T08:25:00Z</dcterms:modified>
</cp:coreProperties>
</file>