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F2" w:rsidRPr="006A1A52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:rsidR="00074CE1" w:rsidRPr="006A1A52" w:rsidRDefault="00074CE1" w:rsidP="00074CE1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:rsidR="00074CE1" w:rsidRPr="006A1A52" w:rsidRDefault="00061949" w:rsidP="00074CE1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D</w:t>
      </w:r>
      <w:r w:rsidRPr="00061949">
        <w:rPr>
          <w:rFonts w:ascii="Arial" w:hAnsi="Arial" w:cs="Arial"/>
          <w:b/>
          <w:sz w:val="22"/>
          <w:szCs w:val="22"/>
          <w:lang w:val="fr-FR"/>
        </w:rPr>
        <w:t>ixième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session</w:t>
      </w:r>
    </w:p>
    <w:p w:rsidR="004C3335" w:rsidRPr="006A1A52" w:rsidRDefault="00D6436B" w:rsidP="001F067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Windhoek</w:t>
      </w:r>
      <w:r w:rsidR="00061949">
        <w:rPr>
          <w:rFonts w:ascii="Arial" w:hAnsi="Arial" w:cs="Arial"/>
          <w:b/>
          <w:sz w:val="22"/>
          <w:szCs w:val="22"/>
          <w:lang w:val="fr-FR"/>
        </w:rPr>
        <w:t>, Namibie</w:t>
      </w:r>
    </w:p>
    <w:p w:rsidR="00074CE1" w:rsidRPr="006A1A52" w:rsidRDefault="00061949" w:rsidP="00074CE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30 novembre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sz w:val="22"/>
          <w:szCs w:val="22"/>
          <w:lang w:val="fr-FR"/>
        </w:rPr>
        <w:t>4 décembre 2015</w:t>
      </w:r>
    </w:p>
    <w:p w:rsidR="00851458" w:rsidRPr="006A1A52" w:rsidRDefault="00AF5480" w:rsidP="00C13665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5480">
        <w:rPr>
          <w:rFonts w:ascii="Arial" w:hAnsi="Arial" w:cs="Arial"/>
          <w:b/>
          <w:sz w:val="22"/>
          <w:szCs w:val="22"/>
          <w:u w:val="single"/>
        </w:rPr>
        <w:t>Calendrier provisoire</w:t>
      </w:r>
    </w:p>
    <w:p w:rsidR="00AF5480" w:rsidRPr="006A1A52" w:rsidRDefault="00851458" w:rsidP="00AF5480">
      <w:pPr>
        <w:pStyle w:val="1GAParabodytext"/>
      </w:pPr>
      <w:r w:rsidRPr="006A1A52">
        <w:rPr>
          <w:b/>
          <w:u w:val="single"/>
        </w:rPr>
        <w:br w:type="page"/>
      </w:r>
      <w:r w:rsidR="00AF5480" w:rsidRPr="005F063B">
        <w:lastRenderedPageBreak/>
        <w:t>Conformément à l’article 12.2 du Règlement intérieur d</w:t>
      </w:r>
      <w:r w:rsidR="00AF5480">
        <w:t>u Comité, le Bureau du Comité « </w:t>
      </w:r>
      <w:r w:rsidR="00AF5480" w:rsidRPr="005F063B">
        <w:t>est chargé de coordonner les travaux du Comité et de fixer la date, l’heure et l’ordre du jour des s</w:t>
      </w:r>
      <w:r w:rsidR="00AF5480">
        <w:t>éances </w:t>
      </w:r>
      <w:r w:rsidR="00AF5480" w:rsidRPr="005F063B">
        <w:t>», sur la base de l’ordre du jour provisoire du Comité préparé par la Directrice générale (article 9.1 du Règlement intérieur).</w:t>
      </w:r>
    </w:p>
    <w:p w:rsidR="00AF5480" w:rsidRPr="006A1A52" w:rsidRDefault="00AF5480" w:rsidP="00AF5480">
      <w:pPr>
        <w:pStyle w:val="1GAParabodytext"/>
        <w:spacing w:after="480"/>
      </w:pPr>
      <w:r>
        <w:t>Lors de sa réunion du 6 octobre 2015</w:t>
      </w:r>
      <w:r w:rsidRPr="005F063B">
        <w:t xml:space="preserve">, le Bureau a pris connaissance du calendrier provisoire de la </w:t>
      </w:r>
      <w:r w:rsidRPr="00AF5480">
        <w:t>dixième</w:t>
      </w:r>
      <w:r w:rsidRPr="005F063B">
        <w:t xml:space="preserve"> session du Comit</w:t>
      </w:r>
      <w:r>
        <w:t>é et a décidé, par sa décision 10.COM 2</w:t>
      </w:r>
      <w:r w:rsidRPr="00151476">
        <w:t xml:space="preserve">.BUR </w:t>
      </w:r>
      <w:r w:rsidR="00E96A4F">
        <w:t>3</w:t>
      </w:r>
      <w:r w:rsidRPr="00151476">
        <w:t>,</w:t>
      </w:r>
      <w:r w:rsidRPr="005F063B">
        <w:t xml:space="preserve"> de soumettre au Comité le calendrier provisoire des travaux de</w:t>
      </w:r>
      <w:r>
        <w:t xml:space="preserve"> sa </w:t>
      </w:r>
      <w:r w:rsidRPr="00AF5480">
        <w:t>dixième</w:t>
      </w:r>
      <w:r>
        <w:t xml:space="preserve"> session comme suit </w:t>
      </w:r>
      <w:r w:rsidRPr="005F063B">
        <w:t>:</w:t>
      </w:r>
    </w:p>
    <w:tbl>
      <w:tblPr>
        <w:tblW w:w="4877" w:type="pct"/>
        <w:tblLook w:val="04A0" w:firstRow="1" w:lastRow="0" w:firstColumn="1" w:lastColumn="0" w:noHBand="0" w:noVBand="1"/>
      </w:tblPr>
      <w:tblGrid>
        <w:gridCol w:w="2172"/>
        <w:gridCol w:w="1048"/>
        <w:gridCol w:w="6392"/>
      </w:tblGrid>
      <w:tr w:rsidR="00AF5480" w:rsidRPr="00AF5480" w:rsidTr="00622F3E">
        <w:tc>
          <w:tcPr>
            <w:tcW w:w="5000" w:type="pct"/>
            <w:gridSpan w:val="3"/>
            <w:shd w:val="clear" w:color="auto" w:fill="BFBFBF"/>
          </w:tcPr>
          <w:p w:rsidR="00AF5480" w:rsidRPr="00AF5480" w:rsidRDefault="00AF5480" w:rsidP="00622F3E">
            <w:pPr>
              <w:pStyle w:val="Heading4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sz w:val="20"/>
                <w:szCs w:val="20"/>
                <w:u w:val="single"/>
                <w:lang w:val="fr-FR" w:eastAsia="fr-FR"/>
              </w:rPr>
            </w:pPr>
            <w:r w:rsidRPr="00AF5480">
              <w:rPr>
                <w:rFonts w:cs="Arial"/>
                <w:sz w:val="20"/>
                <w:szCs w:val="20"/>
                <w:u w:val="single"/>
                <w:lang w:val="fr-FR" w:eastAsia="fr-FR"/>
              </w:rPr>
              <w:t>Lundi 30 novembre 2015</w:t>
            </w:r>
          </w:p>
        </w:tc>
      </w:tr>
      <w:tr w:rsidR="00AF5480" w:rsidRPr="00AF5480" w:rsidTr="00A24543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  <w:r w:rsidRPr="00AF5480">
              <w:rPr>
                <w:rFonts w:cs="Arial"/>
                <w:b w:val="0"/>
                <w:sz w:val="20"/>
                <w:szCs w:val="20"/>
                <w:lang w:val="fr-FR" w:eastAsia="fr-FR"/>
              </w:rPr>
              <w:t>À partir de 8 h 30</w:t>
            </w:r>
          </w:p>
        </w:tc>
        <w:tc>
          <w:tcPr>
            <w:tcW w:w="3870" w:type="pct"/>
            <w:gridSpan w:val="2"/>
            <w:shd w:val="clear" w:color="auto" w:fill="auto"/>
            <w:vAlign w:val="center"/>
          </w:tcPr>
          <w:p w:rsidR="00AF5480" w:rsidRPr="00AF5480" w:rsidRDefault="00AF5480" w:rsidP="00A24543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120" w:after="60"/>
              <w:contextualSpacing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  <w:r w:rsidRPr="00AF5480">
              <w:rPr>
                <w:rFonts w:cs="Arial"/>
                <w:b w:val="0"/>
                <w:sz w:val="20"/>
                <w:szCs w:val="20"/>
                <w:lang w:val="fr-FR" w:eastAsia="fr-FR"/>
              </w:rPr>
              <w:t>Enregistrement des participants</w:t>
            </w:r>
          </w:p>
        </w:tc>
      </w:tr>
      <w:tr w:rsidR="00AF5480" w:rsidRPr="00AF5480" w:rsidTr="007D15F2">
        <w:trPr>
          <w:trHeight w:val="353"/>
        </w:trPr>
        <w:tc>
          <w:tcPr>
            <w:tcW w:w="1130" w:type="pct"/>
            <w:shd w:val="clear" w:color="auto" w:fill="auto"/>
          </w:tcPr>
          <w:p w:rsidR="00AF5480" w:rsidRPr="00AF5480" w:rsidRDefault="00C3316A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  <w:r>
              <w:rPr>
                <w:rFonts w:cs="Arial"/>
                <w:b w:val="0"/>
                <w:sz w:val="20"/>
                <w:szCs w:val="20"/>
                <w:lang w:val="fr-FR" w:eastAsia="fr-FR"/>
              </w:rPr>
              <w:t>9 h 30 – 12 h 3</w:t>
            </w:r>
            <w:r w:rsidR="00AF5480" w:rsidRPr="00AF5480">
              <w:rPr>
                <w:rFonts w:cs="Arial"/>
                <w:b w:val="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3325" w:type="pct"/>
            <w:shd w:val="clear" w:color="auto" w:fill="auto"/>
          </w:tcPr>
          <w:p w:rsidR="00AF5480" w:rsidRPr="00AF5480" w:rsidRDefault="007D15F2" w:rsidP="007D15F2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Ouverture</w:t>
            </w:r>
          </w:p>
        </w:tc>
      </w:tr>
      <w:tr w:rsidR="00AF5480" w:rsidRPr="00136B77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332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 xml:space="preserve">Adoption de l’ordre du jour </w:t>
            </w:r>
          </w:p>
        </w:tc>
      </w:tr>
      <w:tr w:rsidR="00AF5480" w:rsidRPr="00AF5480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3325" w:type="pct"/>
            <w:shd w:val="clear" w:color="auto" w:fill="auto"/>
          </w:tcPr>
          <w:p w:rsidR="00AF5480" w:rsidRPr="00AF5480" w:rsidRDefault="007D15F2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AF5480" w:rsidRPr="00AF5480">
              <w:rPr>
                <w:rFonts w:ascii="Arial" w:hAnsi="Arial" w:cs="Arial"/>
                <w:sz w:val="20"/>
                <w:szCs w:val="20"/>
                <w:lang w:val="fr-FR"/>
              </w:rPr>
              <w:t>bservateurs</w:t>
            </w:r>
          </w:p>
        </w:tc>
      </w:tr>
      <w:tr w:rsidR="00AF5480" w:rsidRPr="00136B77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32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Adoption du compte-rendu de la </w:t>
            </w:r>
            <w:r w:rsidR="007D15F2"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neuvième</w:t>
            </w:r>
            <w:r w:rsidRPr="00AF5480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 session du Comité</w:t>
            </w:r>
          </w:p>
        </w:tc>
      </w:tr>
      <w:tr w:rsidR="00AF5480" w:rsidRPr="00136B77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2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Rapport du Président du Comité sur les activités du Bureau </w:t>
            </w:r>
          </w:p>
        </w:tc>
      </w:tr>
      <w:tr w:rsidR="00AF5480" w:rsidRPr="00136B77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2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 du Forum des organisations non gouvernementales</w:t>
            </w:r>
          </w:p>
        </w:tc>
      </w:tr>
      <w:tr w:rsidR="007D15F2" w:rsidRPr="00136B77" w:rsidTr="007D15F2">
        <w:tc>
          <w:tcPr>
            <w:tcW w:w="1130" w:type="pct"/>
            <w:shd w:val="clear" w:color="auto" w:fill="auto"/>
          </w:tcPr>
          <w:p w:rsidR="007D15F2" w:rsidRPr="00AF5480" w:rsidRDefault="007D15F2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7D15F2" w:rsidRPr="00AF5480" w:rsidRDefault="007D15F2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3325" w:type="pct"/>
            <w:shd w:val="clear" w:color="auto" w:fill="auto"/>
          </w:tcPr>
          <w:p w:rsidR="007D15F2" w:rsidRPr="007D15F2" w:rsidRDefault="007D15F2" w:rsidP="00A2454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Amendement au Règlement </w:t>
            </w:r>
            <w:r w:rsidR="00A24543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intérieur</w:t>
            </w:r>
            <w:r w:rsidR="00A24543"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r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pour</w:t>
            </w:r>
            <w:r w:rsidR="00A24543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 intégrer</w:t>
            </w:r>
            <w:r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 des dispositions concernant le vote au scrutin secret</w:t>
            </w:r>
          </w:p>
        </w:tc>
      </w:tr>
      <w:tr w:rsidR="00AF5480" w:rsidRPr="00136B77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7D15F2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="00AF5480" w:rsidRPr="00AF5480">
              <w:rPr>
                <w:rFonts w:ascii="Arial" w:hAnsi="Arial" w:cs="Arial"/>
                <w:sz w:val="20"/>
                <w:szCs w:val="20"/>
                <w:lang w:val="fr-FR"/>
              </w:rPr>
              <w:t>.a</w:t>
            </w:r>
          </w:p>
        </w:tc>
        <w:tc>
          <w:tcPr>
            <w:tcW w:w="332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Examen des rapports des États parties sur la mise en œuvre de la Convention et sur l’état actuel d’éléments inscrits sur la Liste représentative du patrimoine culturel immatériel de l’humanité</w:t>
            </w:r>
          </w:p>
        </w:tc>
      </w:tr>
      <w:tr w:rsidR="00AF5480" w:rsidRPr="00136B77" w:rsidTr="007D15F2">
        <w:tc>
          <w:tcPr>
            <w:tcW w:w="1130" w:type="pct"/>
            <w:shd w:val="clear" w:color="auto" w:fill="auto"/>
          </w:tcPr>
          <w:p w:rsidR="00AF5480" w:rsidRPr="00AF5480" w:rsidRDefault="00AF5480" w:rsidP="00622F3E">
            <w:pPr>
              <w:pStyle w:val="Heading4"/>
              <w:keepNext w:val="0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45" w:type="pct"/>
            <w:shd w:val="clear" w:color="auto" w:fill="auto"/>
          </w:tcPr>
          <w:p w:rsidR="00AF5480" w:rsidRPr="00AF5480" w:rsidRDefault="007D15F2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="00AF5480" w:rsidRPr="00AF5480">
              <w:rPr>
                <w:rFonts w:ascii="Arial" w:hAnsi="Arial" w:cs="Arial"/>
                <w:sz w:val="20"/>
                <w:szCs w:val="20"/>
                <w:lang w:val="fr-FR"/>
              </w:rPr>
              <w:t>.b</w:t>
            </w:r>
          </w:p>
        </w:tc>
        <w:tc>
          <w:tcPr>
            <w:tcW w:w="3325" w:type="pct"/>
            <w:shd w:val="clear" w:color="auto" w:fill="auto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Examen des rapports des États parties sur l’état actuel d’éléments inscrits sur la Liste du patrimoine culturel immatériel nécessitant une sauvegarde urgente</w:t>
            </w:r>
          </w:p>
        </w:tc>
      </w:tr>
      <w:tr w:rsidR="00AF5480" w:rsidRPr="00AF5480" w:rsidTr="00622F3E">
        <w:tc>
          <w:tcPr>
            <w:tcW w:w="1130" w:type="pct"/>
            <w:shd w:val="clear" w:color="auto" w:fill="D9D9D9"/>
          </w:tcPr>
          <w:p w:rsidR="00AF5480" w:rsidRPr="00AF5480" w:rsidRDefault="00C3316A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 h 30 – 14 h 3</w:t>
            </w:r>
            <w:r w:rsidR="00AF5480"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870" w:type="pct"/>
            <w:gridSpan w:val="2"/>
            <w:shd w:val="clear" w:color="auto" w:fill="D9D9D9"/>
          </w:tcPr>
          <w:p w:rsidR="00AF5480" w:rsidRPr="00AF5480" w:rsidRDefault="00AF5480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 30 – 17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36356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.c</w:t>
            </w: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36356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Rapports des États parties sur l’utilisation de l’assistance internationale du Fonds du patrimoine culturel immatériel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7.a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622F3E">
            <w:pPr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 du Comité à l’Assemblée générale sur ses activités (de juin</w:t>
            </w:r>
            <w:r w:rsidR="004F50E1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 </w:t>
            </w:r>
            <w:r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2014 à juin 2016)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7.b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 du Secrétariat sur ses activités</w:t>
            </w:r>
          </w:p>
        </w:tc>
      </w:tr>
      <w:tr w:rsidR="00833DFC" w:rsidRPr="00AF5480" w:rsidTr="00622F3E">
        <w:tc>
          <w:tcPr>
            <w:tcW w:w="5000" w:type="pct"/>
            <w:gridSpan w:val="3"/>
            <w:shd w:val="clear" w:color="auto" w:fill="BFBFBF"/>
          </w:tcPr>
          <w:p w:rsidR="00833DFC" w:rsidRPr="00AF5480" w:rsidRDefault="00833DFC" w:rsidP="00AF5480">
            <w:pPr>
              <w:pStyle w:val="Heading4"/>
              <w:keepLines w:val="0"/>
              <w:tabs>
                <w:tab w:val="clear" w:pos="567"/>
              </w:tabs>
              <w:snapToGrid/>
              <w:spacing w:before="60" w:after="60"/>
              <w:contextualSpacing/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AF5480">
              <w:rPr>
                <w:rFonts w:cs="Arial"/>
                <w:sz w:val="20"/>
                <w:szCs w:val="20"/>
                <w:u w:val="single"/>
                <w:lang w:val="fr-FR" w:eastAsia="fr-FR"/>
              </w:rPr>
              <w:t>Mardi, 1 décembre</w:t>
            </w:r>
            <w:r>
              <w:rPr>
                <w:rFonts w:cs="Arial"/>
                <w:sz w:val="20"/>
                <w:szCs w:val="20"/>
                <w:u w:val="single"/>
                <w:lang w:val="fr-FR" w:eastAsia="fr-FR"/>
              </w:rPr>
              <w:t xml:space="preserve"> 2015</w:t>
            </w:r>
          </w:p>
        </w:tc>
      </w:tr>
      <w:tr w:rsidR="00833DFC" w:rsidRPr="00AF5480" w:rsidTr="007D15F2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30 – 12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1E6F8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1E6F86">
            <w:pPr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7D15F2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Projet de plan pour l’utilisation des ressources du Fonds du patrimoine culturel immatériel en 2016–2017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1E6F8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1E6F8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Contributions volontaires supplémentaires au Fonds du patrimoine culturel immatériel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1E6F8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73795C" w:rsidP="001E6F8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795C">
              <w:rPr>
                <w:rFonts w:ascii="Arial" w:hAnsi="Arial" w:cs="Arial"/>
                <w:sz w:val="20"/>
                <w:szCs w:val="20"/>
                <w:lang w:val="fr-FR"/>
              </w:rPr>
              <w:t>Rapport de l’Organe d’évaluation sur ses travaux en 2015</w:t>
            </w:r>
          </w:p>
        </w:tc>
      </w:tr>
      <w:tr w:rsidR="00833DFC" w:rsidRPr="00AF5480" w:rsidTr="00622F3E">
        <w:tc>
          <w:tcPr>
            <w:tcW w:w="1130" w:type="pct"/>
            <w:shd w:val="clear" w:color="auto" w:fill="D9D9D9"/>
          </w:tcPr>
          <w:p w:rsidR="00833DFC" w:rsidRPr="00AF5480" w:rsidRDefault="00833DFC" w:rsidP="004F50E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 h30 – 14 h3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870" w:type="pct"/>
            <w:gridSpan w:val="2"/>
            <w:shd w:val="clear" w:color="auto" w:fill="D9D9D9"/>
          </w:tcPr>
          <w:p w:rsidR="00833DFC" w:rsidRPr="00AF5480" w:rsidRDefault="00833DFC" w:rsidP="00622F3E">
            <w:pPr>
              <w:keepNext/>
              <w:keepLines/>
              <w:pageBreakBefore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833DFC" w:rsidRPr="00136B77" w:rsidTr="00A24543">
        <w:tc>
          <w:tcPr>
            <w:tcW w:w="1130" w:type="pct"/>
            <w:shd w:val="clear" w:color="auto" w:fill="auto"/>
          </w:tcPr>
          <w:p w:rsidR="00833DFC" w:rsidRDefault="00833DFC" w:rsidP="00E1261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h30 – 1</w:t>
            </w:r>
            <w:r w:rsidR="00136B77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2122CD">
              <w:rPr>
                <w:rFonts w:ascii="Arial" w:hAnsi="Arial" w:cs="Arial"/>
                <w:sz w:val="20"/>
                <w:szCs w:val="20"/>
                <w:lang w:val="fr-FR"/>
              </w:rPr>
              <w:t xml:space="preserve"> h 30</w:t>
            </w:r>
            <w:bookmarkStart w:id="0" w:name="_GoBack"/>
            <w:bookmarkEnd w:id="0"/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B149C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B149C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du patrimoine culturel immatériel nécessitant une sauvegarde urgente</w:t>
            </w:r>
          </w:p>
        </w:tc>
      </w:tr>
      <w:tr w:rsidR="00833DFC" w:rsidRPr="00136B77" w:rsidTr="00A24543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32274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10.b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32274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représentative du patrimoine culturel immatériel de l’humanité</w:t>
            </w:r>
          </w:p>
        </w:tc>
      </w:tr>
      <w:tr w:rsidR="00833DFC" w:rsidRPr="00AF5480" w:rsidTr="00622F3E">
        <w:tc>
          <w:tcPr>
            <w:tcW w:w="5000" w:type="pct"/>
            <w:gridSpan w:val="3"/>
            <w:shd w:val="clear" w:color="auto" w:fill="BFBFBF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Mercredi, 2 décembre 2015</w:t>
            </w:r>
          </w:p>
        </w:tc>
      </w:tr>
      <w:tr w:rsidR="00833DFC" w:rsidRPr="00AF5480" w:rsidTr="00A24543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833DFC" w:rsidRPr="00136B77" w:rsidTr="00A24543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30 – 12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10.b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représentative du patrimoine culturel immatériel de l’humanité</w:t>
            </w:r>
          </w:p>
        </w:tc>
      </w:tr>
      <w:tr w:rsidR="00833DFC" w:rsidRPr="00AF5480" w:rsidTr="00622F3E">
        <w:tc>
          <w:tcPr>
            <w:tcW w:w="1130" w:type="pct"/>
            <w:shd w:val="clear" w:color="auto" w:fill="D9D9D9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12 h 30 – 14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870" w:type="pct"/>
            <w:gridSpan w:val="2"/>
            <w:shd w:val="clear" w:color="auto" w:fill="D9D9D9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Pr="00AF5480" w:rsidRDefault="002122CD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 30 – 19</w:t>
            </w:r>
            <w:r w:rsidR="00833DFC">
              <w:rPr>
                <w:rFonts w:ascii="Arial" w:hAnsi="Arial" w:cs="Arial"/>
                <w:sz w:val="20"/>
                <w:szCs w:val="20"/>
                <w:lang w:val="fr-FR"/>
              </w:rPr>
              <w:t> h 3</w:t>
            </w:r>
            <w:r w:rsidR="00833DFC"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10.b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représentative du patrimoine culturel immatériel de l’humanité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10.c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Examen des demandes d’assistance internationale</w:t>
            </w:r>
          </w:p>
        </w:tc>
      </w:tr>
      <w:tr w:rsidR="00833DFC" w:rsidRPr="00AF5480" w:rsidTr="00622F3E">
        <w:tc>
          <w:tcPr>
            <w:tcW w:w="5000" w:type="pct"/>
            <w:gridSpan w:val="3"/>
            <w:shd w:val="clear" w:color="auto" w:fill="BFBFBF"/>
          </w:tcPr>
          <w:p w:rsidR="00833DFC" w:rsidRPr="00AF5480" w:rsidRDefault="00833DFC" w:rsidP="00AF54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Jeudi, 3</w:t>
            </w:r>
            <w:r w:rsidRPr="00AF5480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décembre 2015</w:t>
            </w:r>
          </w:p>
        </w:tc>
      </w:tr>
      <w:tr w:rsidR="00833DFC" w:rsidRPr="00AF5480" w:rsidTr="007D15F2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30 – 12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550D39" w:rsidRDefault="00550D39" w:rsidP="00F56131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</w:t>
            </w:r>
          </w:p>
          <w:p w:rsidR="00833DFC" w:rsidRPr="00AF5480" w:rsidRDefault="00833DFC" w:rsidP="00F56131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11.</w:t>
            </w:r>
          </w:p>
        </w:tc>
        <w:tc>
          <w:tcPr>
            <w:tcW w:w="3325" w:type="pct"/>
            <w:shd w:val="clear" w:color="auto" w:fill="auto"/>
          </w:tcPr>
          <w:p w:rsidR="00550D39" w:rsidRDefault="00550D39" w:rsidP="00F56131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795C">
              <w:rPr>
                <w:rFonts w:ascii="Arial" w:hAnsi="Arial" w:cs="Arial"/>
                <w:sz w:val="20"/>
                <w:szCs w:val="20"/>
                <w:lang w:val="fr-FR"/>
              </w:rPr>
              <w:t>Rapport de l’Organe d’évaluation sur ses travaux en 2015</w:t>
            </w:r>
          </w:p>
          <w:p w:rsidR="00833DFC" w:rsidRPr="00AF5480" w:rsidRDefault="00833DFC" w:rsidP="00F56131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Modification du nom d’un élément inscrit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2E30A9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833DFC" w:rsidRPr="004109C8" w:rsidRDefault="00833DFC" w:rsidP="002E30A9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09C8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Accréditation </w:t>
            </w:r>
            <w:r w:rsidR="00A24543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de nouvelles organisations non gouvernementales </w:t>
            </w:r>
            <w:r w:rsidRPr="004109C8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et examen des organisations </w:t>
            </w:r>
            <w:r w:rsidR="00A24543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non </w:t>
            </w:r>
            <w:r w:rsidRPr="004109C8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>gouvernementales</w:t>
            </w:r>
            <w:r w:rsidR="00A24543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 xml:space="preserve"> accréditées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8303F9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12.</w:t>
            </w:r>
          </w:p>
        </w:tc>
        <w:tc>
          <w:tcPr>
            <w:tcW w:w="3325" w:type="pct"/>
            <w:shd w:val="clear" w:color="auto" w:fill="auto"/>
          </w:tcPr>
          <w:p w:rsidR="00833DFC" w:rsidRPr="007D15F2" w:rsidRDefault="00833DFC" w:rsidP="008303F9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Établissement de l’Organe d’évaluation pour le cycle 2016</w:t>
            </w:r>
          </w:p>
        </w:tc>
      </w:tr>
      <w:tr w:rsidR="00833DFC" w:rsidRPr="00136B77" w:rsidTr="007D15F2">
        <w:tc>
          <w:tcPr>
            <w:tcW w:w="1130" w:type="pct"/>
            <w:shd w:val="clear" w:color="auto" w:fill="auto"/>
          </w:tcPr>
          <w:p w:rsidR="00833DFC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833DFC" w:rsidRPr="00AF5480" w:rsidRDefault="00833DFC" w:rsidP="00866A9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3325" w:type="pct"/>
            <w:shd w:val="clear" w:color="auto" w:fill="auto"/>
          </w:tcPr>
          <w:p w:rsidR="00833DFC" w:rsidRPr="00AF5480" w:rsidRDefault="00833DFC" w:rsidP="00866A95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Nombre de dossiers soumis pour le cycle 2016 et nombre de dossiers pouvant être traités pour les cycles 2017 et 2018</w:t>
            </w:r>
          </w:p>
        </w:tc>
      </w:tr>
      <w:tr w:rsidR="00833DFC" w:rsidRPr="00AF5480" w:rsidTr="00622F3E">
        <w:tc>
          <w:tcPr>
            <w:tcW w:w="1130" w:type="pct"/>
            <w:shd w:val="clear" w:color="auto" w:fill="D9D9D9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 h 30 – 14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870" w:type="pct"/>
            <w:gridSpan w:val="2"/>
            <w:shd w:val="clear" w:color="auto" w:fill="D9D9D9"/>
          </w:tcPr>
          <w:p w:rsidR="00833DFC" w:rsidRPr="00AF5480" w:rsidRDefault="00833DFC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 30 – 17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55E2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14.a</w:t>
            </w:r>
          </w:p>
        </w:tc>
        <w:tc>
          <w:tcPr>
            <w:tcW w:w="3325" w:type="pct"/>
            <w:shd w:val="clear" w:color="auto" w:fill="auto"/>
          </w:tcPr>
          <w:p w:rsidR="001C2747" w:rsidRPr="00AF5480" w:rsidRDefault="001C2747" w:rsidP="00655E2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Projet d’amendements aux Directives opérationnelles concernant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</w:t>
            </w: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a sauvegarde du patrimoine culturel immatériel et le développement durable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55E2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14.b</w:t>
            </w:r>
          </w:p>
        </w:tc>
        <w:tc>
          <w:tcPr>
            <w:tcW w:w="3325" w:type="pct"/>
            <w:shd w:val="clear" w:color="auto" w:fill="auto"/>
          </w:tcPr>
          <w:p w:rsidR="001C2747" w:rsidRPr="00AF5480" w:rsidRDefault="001C2747" w:rsidP="00655E2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Projet d’amendements aux Directives opérationnelles concernant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</w:t>
            </w: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’option de renvoi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55E2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14.c</w:t>
            </w:r>
          </w:p>
        </w:tc>
        <w:tc>
          <w:tcPr>
            <w:tcW w:w="3325" w:type="pct"/>
            <w:shd w:val="clear" w:color="auto" w:fill="auto"/>
          </w:tcPr>
          <w:p w:rsidR="001C2747" w:rsidRPr="004109C8" w:rsidRDefault="001C2747" w:rsidP="00824594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5F2">
              <w:rPr>
                <w:rFonts w:ascii="Arial" w:hAnsi="Arial" w:cs="Arial"/>
                <w:sz w:val="20"/>
                <w:szCs w:val="20"/>
                <w:lang w:val="fr-FR"/>
              </w:rPr>
              <w:t>Projet d’amendements aux Directives opérationnelles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24594" w:rsidRPr="007D15F2">
              <w:rPr>
                <w:rFonts w:ascii="Arial" w:hAnsi="Arial" w:cs="Arial"/>
                <w:sz w:val="20"/>
                <w:szCs w:val="20"/>
                <w:lang w:val="fr-FR"/>
              </w:rPr>
              <w:t>concernant</w:t>
            </w:r>
            <w:r w:rsidR="00824594" w:rsidRPr="004109C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109C8">
              <w:rPr>
                <w:rFonts w:ascii="Arial" w:hAnsi="Arial" w:cs="Arial"/>
                <w:sz w:val="20"/>
                <w:szCs w:val="20"/>
                <w:lang w:val="fr-FR"/>
              </w:rPr>
              <w:t>le calendrier d</w:t>
            </w:r>
            <w:r w:rsidR="00824594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4109C8">
              <w:rPr>
                <w:rFonts w:ascii="Arial" w:hAnsi="Arial" w:cs="Arial"/>
                <w:sz w:val="20"/>
                <w:szCs w:val="20"/>
                <w:lang w:val="fr-FR"/>
              </w:rPr>
              <w:t xml:space="preserve">accréditation des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organisations non gouvernementales</w:t>
            </w:r>
          </w:p>
        </w:tc>
      </w:tr>
      <w:tr w:rsidR="001C2747" w:rsidRPr="00AF5480" w:rsidTr="00622F3E">
        <w:tc>
          <w:tcPr>
            <w:tcW w:w="5000" w:type="pct"/>
            <w:gridSpan w:val="3"/>
            <w:shd w:val="clear" w:color="auto" w:fill="BFBFBF"/>
          </w:tcPr>
          <w:p w:rsidR="001C2747" w:rsidRPr="00AF5480" w:rsidRDefault="001C2747" w:rsidP="00AF548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Vendredi, 4</w:t>
            </w:r>
            <w:r w:rsidRPr="00AF5480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décembre 2015</w:t>
            </w:r>
          </w:p>
        </w:tc>
      </w:tr>
      <w:tr w:rsidR="001C2747" w:rsidRPr="00AF5480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2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30 – 12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15.a</w:t>
            </w:r>
          </w:p>
        </w:tc>
        <w:tc>
          <w:tcPr>
            <w:tcW w:w="332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3DFC">
              <w:rPr>
                <w:rFonts w:ascii="Arial" w:hAnsi="Arial" w:cs="Arial"/>
                <w:sz w:val="20"/>
                <w:szCs w:val="20"/>
                <w:lang w:val="fr-FR"/>
              </w:rPr>
              <w:t>Réunion d’experts sur un modèle de code d’éthique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15.b</w:t>
            </w:r>
          </w:p>
        </w:tc>
        <w:tc>
          <w:tcPr>
            <w:tcW w:w="332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50E1">
              <w:rPr>
                <w:rFonts w:ascii="Arial" w:hAnsi="Arial" w:cs="Arial"/>
                <w:sz w:val="20"/>
                <w:szCs w:val="20"/>
                <w:lang w:val="fr-FR"/>
              </w:rPr>
              <w:t>Principes directeurs pour le traitement de la correspondance concernant les rapports périodiques</w:t>
            </w:r>
          </w:p>
        </w:tc>
      </w:tr>
      <w:tr w:rsidR="00D80CB7" w:rsidRPr="00136B77" w:rsidTr="00A3439C">
        <w:tc>
          <w:tcPr>
            <w:tcW w:w="1130" w:type="pct"/>
            <w:shd w:val="clear" w:color="auto" w:fill="auto"/>
          </w:tcPr>
          <w:p w:rsidR="00D80CB7" w:rsidRPr="00AF5480" w:rsidRDefault="00D80CB7" w:rsidP="00A343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D80CB7" w:rsidRDefault="00D80CB7" w:rsidP="00A343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15.c</w:t>
            </w:r>
          </w:p>
        </w:tc>
        <w:tc>
          <w:tcPr>
            <w:tcW w:w="3325" w:type="pct"/>
            <w:shd w:val="clear" w:color="auto" w:fill="auto"/>
          </w:tcPr>
          <w:p w:rsidR="00D80CB7" w:rsidRPr="004F50E1" w:rsidRDefault="00D80CB7" w:rsidP="00A343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Suites données aux </w:t>
            </w:r>
            <w:r w:rsidRPr="00AB6DD6">
              <w:rPr>
                <w:rFonts w:ascii="Arial" w:hAnsi="Arial" w:cs="Arial"/>
                <w:sz w:val="20"/>
                <w:szCs w:val="20"/>
                <w:lang w:val="fr-FR"/>
              </w:rPr>
              <w:t>audit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 et </w:t>
            </w:r>
            <w:r w:rsidRPr="00AB6DD6">
              <w:rPr>
                <w:rFonts w:ascii="Arial" w:hAnsi="Arial" w:cs="Arial"/>
                <w:sz w:val="20"/>
                <w:szCs w:val="20"/>
                <w:lang w:val="fr-FR"/>
              </w:rPr>
              <w:t>évaluation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</w:tr>
      <w:tr w:rsidR="00D80CB7" w:rsidRPr="00AF5480" w:rsidTr="00A3439C">
        <w:tc>
          <w:tcPr>
            <w:tcW w:w="1130" w:type="pct"/>
            <w:shd w:val="clear" w:color="auto" w:fill="auto"/>
          </w:tcPr>
          <w:p w:rsidR="00D80CB7" w:rsidRPr="00AF5480" w:rsidRDefault="00D80CB7" w:rsidP="00A343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D80CB7" w:rsidRPr="00AF5480" w:rsidRDefault="00D80CB7" w:rsidP="00A343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D80CB7" w:rsidRPr="00AF5480" w:rsidRDefault="00D80CB7" w:rsidP="00A343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Questions diverses</w:t>
            </w:r>
          </w:p>
        </w:tc>
      </w:tr>
      <w:tr w:rsidR="001C2747" w:rsidRPr="00AF5480" w:rsidTr="00622F3E">
        <w:tc>
          <w:tcPr>
            <w:tcW w:w="1130" w:type="pct"/>
            <w:shd w:val="clear" w:color="auto" w:fill="D9D9D9"/>
          </w:tcPr>
          <w:p w:rsidR="001C2747" w:rsidRPr="00AF5480" w:rsidRDefault="00F817E6" w:rsidP="004F50E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 h 30 – 14</w:t>
            </w:r>
            <w:r w:rsidR="001C2747">
              <w:rPr>
                <w:rFonts w:ascii="Arial" w:hAnsi="Arial" w:cs="Arial"/>
                <w:sz w:val="20"/>
                <w:szCs w:val="20"/>
                <w:lang w:val="fr-FR"/>
              </w:rPr>
              <w:t> h 3</w:t>
            </w:r>
            <w:r w:rsidR="001C2747"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870" w:type="pct"/>
            <w:gridSpan w:val="2"/>
            <w:shd w:val="clear" w:color="auto" w:fill="D9D9D9"/>
          </w:tcPr>
          <w:p w:rsidR="001C2747" w:rsidRPr="00AF5480" w:rsidRDefault="001C2747" w:rsidP="00622F3E">
            <w:pPr>
              <w:pageBreakBefore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F817E6" w:rsidRPr="00136B77" w:rsidTr="001469BD">
        <w:tc>
          <w:tcPr>
            <w:tcW w:w="1130" w:type="pct"/>
            <w:shd w:val="clear" w:color="auto" w:fill="auto"/>
          </w:tcPr>
          <w:p w:rsidR="00F817E6" w:rsidRPr="00AF5480" w:rsidRDefault="00F817E6" w:rsidP="001469BD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 30 – 17 h 3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F817E6" w:rsidRPr="00AF5480" w:rsidRDefault="00F817E6" w:rsidP="001469BD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F817E6" w:rsidRPr="00AF5480" w:rsidRDefault="00F817E6" w:rsidP="001469BD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Adoption de la liste des décisions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1C2747" w:rsidRDefault="001C2747" w:rsidP="0004264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17.</w:t>
            </w:r>
          </w:p>
        </w:tc>
        <w:tc>
          <w:tcPr>
            <w:tcW w:w="3325" w:type="pct"/>
            <w:shd w:val="clear" w:color="auto" w:fill="auto"/>
          </w:tcPr>
          <w:p w:rsidR="001C2747" w:rsidRPr="004F50E1" w:rsidRDefault="001C2747" w:rsidP="00A24543">
            <w:pPr>
              <w:pStyle w:val="Heading4"/>
              <w:keepNext w:val="0"/>
              <w:keepLines w:val="0"/>
              <w:tabs>
                <w:tab w:val="clear" w:pos="567"/>
                <w:tab w:val="left" w:pos="1134"/>
                <w:tab w:val="decimal" w:pos="1701"/>
              </w:tabs>
              <w:adjustRightInd w:val="0"/>
              <w:spacing w:before="60" w:after="60"/>
              <w:jc w:val="both"/>
              <w:rPr>
                <w:b w:val="0"/>
                <w:noProof/>
                <w:lang w:val="fr-FR"/>
              </w:rPr>
            </w:pPr>
            <w:r w:rsidRPr="004F50E1">
              <w:rPr>
                <w:rFonts w:eastAsia="SimSun" w:cs="Arial"/>
                <w:b w:val="0"/>
                <w:sz w:val="20"/>
                <w:szCs w:val="20"/>
                <w:lang w:val="fr-FR"/>
              </w:rPr>
              <w:t>Date et lieu de la onzième session du Comité</w:t>
            </w:r>
          </w:p>
        </w:tc>
      </w:tr>
      <w:tr w:rsidR="001C2747" w:rsidRPr="00136B77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04264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1C2747" w:rsidRPr="004109C8" w:rsidRDefault="001C2747" w:rsidP="0004264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09C8">
              <w:rPr>
                <w:rFonts w:ascii="Arial" w:eastAsia="SimSun" w:hAnsi="Arial" w:cs="Arial"/>
                <w:bCs/>
                <w:snapToGrid w:val="0"/>
                <w:sz w:val="20"/>
                <w:szCs w:val="20"/>
                <w:lang w:val="fr-FR" w:eastAsia="en-US"/>
              </w:rPr>
              <w:t>Élection des membres du Bureau de la onzième session du Comité</w:t>
            </w:r>
          </w:p>
        </w:tc>
      </w:tr>
      <w:tr w:rsidR="001C2747" w:rsidRPr="00AF5480" w:rsidTr="007D15F2">
        <w:tc>
          <w:tcPr>
            <w:tcW w:w="1130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25" w:type="pct"/>
            <w:shd w:val="clear" w:color="auto" w:fill="auto"/>
          </w:tcPr>
          <w:p w:rsidR="001C2747" w:rsidRPr="00AF5480" w:rsidRDefault="001C2747" w:rsidP="00622F3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5480">
              <w:rPr>
                <w:rFonts w:ascii="Arial" w:hAnsi="Arial" w:cs="Arial"/>
                <w:sz w:val="20"/>
                <w:szCs w:val="20"/>
                <w:lang w:val="fr-FR"/>
              </w:rPr>
              <w:t>Clôture</w:t>
            </w:r>
          </w:p>
        </w:tc>
      </w:tr>
    </w:tbl>
    <w:p w:rsidR="00061949" w:rsidRPr="00F0065D" w:rsidRDefault="00061949" w:rsidP="00AF5480">
      <w:pPr>
        <w:pStyle w:val="1GAParabodytext"/>
        <w:numPr>
          <w:ilvl w:val="0"/>
          <w:numId w:val="0"/>
        </w:numPr>
        <w:jc w:val="left"/>
      </w:pPr>
    </w:p>
    <w:sectPr w:rsidR="00061949" w:rsidRPr="00F0065D" w:rsidSect="004F50E1">
      <w:headerReference w:type="even" r:id="rId8"/>
      <w:headerReference w:type="default" r:id="rId9"/>
      <w:headerReference w:type="first" r:id="rId10"/>
      <w:pgSz w:w="11906" w:h="16838" w:code="9"/>
      <w:pgMar w:top="1418" w:right="1134" w:bottom="993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E4" w:rsidRDefault="008B3FE4" w:rsidP="002938F2">
      <w:r>
        <w:separator/>
      </w:r>
    </w:p>
  </w:endnote>
  <w:endnote w:type="continuationSeparator" w:id="0">
    <w:p w:rsidR="008B3FE4" w:rsidRDefault="008B3FE4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E4" w:rsidRDefault="008B3FE4" w:rsidP="002938F2">
      <w:r>
        <w:separator/>
      </w:r>
    </w:p>
  </w:footnote>
  <w:footnote w:type="continuationSeparator" w:id="0">
    <w:p w:rsidR="008B3FE4" w:rsidRDefault="008B3FE4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52" w:rsidRPr="00290AA9" w:rsidRDefault="00061949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ITH/15</w:t>
    </w:r>
    <w:r w:rsidR="00210652" w:rsidRPr="00290AA9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10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074CE1">
      <w:rPr>
        <w:rFonts w:ascii="Arial" w:hAnsi="Arial" w:cs="Arial"/>
        <w:sz w:val="20"/>
        <w:szCs w:val="20"/>
        <w:lang w:val="fr-FR"/>
      </w:rPr>
      <w:t>COM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AF5480">
      <w:rPr>
        <w:rFonts w:ascii="Arial" w:hAnsi="Arial" w:cs="Arial"/>
        <w:sz w:val="20"/>
        <w:szCs w:val="20"/>
        <w:lang w:val="fr-FR"/>
      </w:rPr>
      <w:t>2.1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 </w:t>
    </w:r>
    <w:r w:rsidR="00035D11">
      <w:rPr>
        <w:rFonts w:ascii="Arial" w:hAnsi="Arial" w:cs="Arial"/>
        <w:sz w:val="20"/>
        <w:szCs w:val="20"/>
        <w:lang w:val="fr-FR"/>
      </w:rPr>
      <w:t>Rev.2</w:t>
    </w:r>
    <w:r w:rsidR="00AA0C34">
      <w:rPr>
        <w:rFonts w:ascii="Arial" w:hAnsi="Arial" w:cs="Arial"/>
        <w:sz w:val="20"/>
        <w:szCs w:val="20"/>
        <w:lang w:val="fr-FR"/>
      </w:rPr>
      <w:t xml:space="preserve"> 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E1261C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46" w:rsidRPr="00EF563B" w:rsidRDefault="00061949" w:rsidP="00DF2146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ITH/15/10</w:t>
    </w:r>
    <w:r w:rsidR="00074CE1">
      <w:rPr>
        <w:rFonts w:ascii="Arial" w:hAnsi="Arial" w:cs="Arial"/>
        <w:sz w:val="20"/>
        <w:szCs w:val="20"/>
        <w:lang w:val="en-US"/>
      </w:rPr>
      <w:t>.COM</w:t>
    </w:r>
    <w:r w:rsidR="00DF2146">
      <w:rPr>
        <w:rFonts w:ascii="Arial" w:hAnsi="Arial" w:cs="Arial"/>
        <w:sz w:val="20"/>
        <w:szCs w:val="20"/>
        <w:lang w:val="en-US"/>
      </w:rPr>
      <w:t>/INF.</w:t>
    </w:r>
    <w:r w:rsidR="00AF5480">
      <w:rPr>
        <w:rFonts w:ascii="Arial" w:hAnsi="Arial" w:cs="Arial"/>
        <w:sz w:val="20"/>
        <w:szCs w:val="20"/>
        <w:lang w:val="en-US"/>
      </w:rPr>
      <w:t>2.1</w:t>
    </w:r>
    <w:r w:rsidR="00DF2146">
      <w:rPr>
        <w:rFonts w:ascii="Arial" w:hAnsi="Arial" w:cs="Arial"/>
        <w:sz w:val="20"/>
        <w:szCs w:val="20"/>
        <w:lang w:val="en-US"/>
      </w:rPr>
      <w:t xml:space="preserve"> </w:t>
    </w:r>
    <w:r w:rsidR="00AA0C34">
      <w:rPr>
        <w:rFonts w:ascii="Arial" w:hAnsi="Arial" w:cs="Arial"/>
        <w:sz w:val="20"/>
        <w:szCs w:val="20"/>
        <w:lang w:val="en-US"/>
      </w:rPr>
      <w:t>Rev.</w:t>
    </w:r>
    <w:r w:rsidR="00D80CB7">
      <w:rPr>
        <w:rFonts w:ascii="Arial" w:hAnsi="Arial" w:cs="Arial"/>
        <w:sz w:val="20"/>
        <w:szCs w:val="20"/>
        <w:lang w:val="en-US"/>
      </w:rPr>
      <w:t>2</w:t>
    </w:r>
    <w:r w:rsidR="00AA0C34">
      <w:rPr>
        <w:rFonts w:ascii="Arial" w:hAnsi="Arial" w:cs="Arial"/>
        <w:sz w:val="20"/>
        <w:szCs w:val="20"/>
        <w:lang w:val="en-US"/>
      </w:rPr>
      <w:t xml:space="preserve"> </w:t>
    </w:r>
    <w:r w:rsidR="00DF2146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DF2146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DF2146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E1261C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210652" w:rsidRDefault="00210652" w:rsidP="002938F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52" w:rsidRPr="008724E5" w:rsidRDefault="00667C6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728" behindDoc="0" locked="0" layoutInCell="1" allowOverlap="1" wp14:anchorId="414DED4E" wp14:editId="6595B395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652" w:rsidRPr="00F817E6" w:rsidRDefault="00061949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F817E6">
      <w:rPr>
        <w:rFonts w:ascii="Arial" w:hAnsi="Arial" w:cs="Arial"/>
        <w:b/>
        <w:sz w:val="44"/>
        <w:szCs w:val="44"/>
        <w:lang w:val="en-US"/>
      </w:rPr>
      <w:t>10</w:t>
    </w:r>
    <w:r w:rsidR="00210652" w:rsidRPr="00F817E6">
      <w:rPr>
        <w:rFonts w:ascii="Arial" w:hAnsi="Arial" w:cs="Arial"/>
        <w:b/>
        <w:sz w:val="44"/>
        <w:szCs w:val="44"/>
        <w:lang w:val="en-US"/>
      </w:rPr>
      <w:t xml:space="preserve"> </w:t>
    </w:r>
    <w:r w:rsidR="00074CE1" w:rsidRPr="00F817E6">
      <w:rPr>
        <w:rFonts w:ascii="Arial" w:hAnsi="Arial" w:cs="Arial"/>
        <w:b/>
        <w:sz w:val="44"/>
        <w:szCs w:val="44"/>
        <w:lang w:val="en-US"/>
      </w:rPr>
      <w:t>COM</w:t>
    </w:r>
  </w:p>
  <w:p w:rsidR="00210652" w:rsidRPr="00F817E6" w:rsidRDefault="00061949" w:rsidP="002938F2">
    <w:pPr>
      <w:jc w:val="right"/>
      <w:rPr>
        <w:rFonts w:ascii="Arial" w:hAnsi="Arial" w:cs="Arial"/>
        <w:b/>
        <w:sz w:val="22"/>
        <w:szCs w:val="22"/>
        <w:lang w:val="en-US"/>
      </w:rPr>
    </w:pPr>
    <w:r w:rsidRPr="00F817E6">
      <w:rPr>
        <w:rFonts w:ascii="Arial" w:hAnsi="Arial" w:cs="Arial"/>
        <w:b/>
        <w:sz w:val="22"/>
        <w:szCs w:val="22"/>
        <w:lang w:val="en-US"/>
      </w:rPr>
      <w:t>ITH/15</w:t>
    </w:r>
    <w:r w:rsidR="00210652" w:rsidRPr="00F817E6">
      <w:rPr>
        <w:rFonts w:ascii="Arial" w:hAnsi="Arial" w:cs="Arial"/>
        <w:b/>
        <w:sz w:val="22"/>
        <w:szCs w:val="22"/>
        <w:lang w:val="en-US"/>
      </w:rPr>
      <w:t>/</w:t>
    </w:r>
    <w:r w:rsidRPr="00F817E6">
      <w:rPr>
        <w:rFonts w:ascii="Arial" w:hAnsi="Arial" w:cs="Arial"/>
        <w:b/>
        <w:sz w:val="22"/>
        <w:szCs w:val="22"/>
        <w:lang w:val="en-US"/>
      </w:rPr>
      <w:t>10</w:t>
    </w:r>
    <w:r w:rsidR="00210652" w:rsidRPr="00F817E6">
      <w:rPr>
        <w:rFonts w:ascii="Arial" w:hAnsi="Arial" w:cs="Arial"/>
        <w:b/>
        <w:sz w:val="22"/>
        <w:szCs w:val="22"/>
        <w:lang w:val="en-US"/>
      </w:rPr>
      <w:t>.</w:t>
    </w:r>
    <w:r w:rsidR="00074CE1" w:rsidRPr="00F817E6">
      <w:rPr>
        <w:rFonts w:ascii="Arial" w:hAnsi="Arial" w:cs="Arial"/>
        <w:b/>
        <w:sz w:val="22"/>
        <w:szCs w:val="22"/>
        <w:lang w:val="en-US"/>
      </w:rPr>
      <w:t>COM</w:t>
    </w:r>
    <w:r w:rsidR="00210652" w:rsidRPr="00F817E6">
      <w:rPr>
        <w:rFonts w:ascii="Arial" w:hAnsi="Arial" w:cs="Arial"/>
        <w:b/>
        <w:sz w:val="22"/>
        <w:szCs w:val="22"/>
        <w:lang w:val="en-US"/>
      </w:rPr>
      <w:t>/INF.</w:t>
    </w:r>
    <w:r w:rsidR="003A37AF" w:rsidRPr="00F817E6">
      <w:rPr>
        <w:rFonts w:ascii="Arial" w:hAnsi="Arial" w:cs="Arial"/>
        <w:b/>
        <w:sz w:val="22"/>
        <w:szCs w:val="22"/>
        <w:lang w:val="en-US"/>
      </w:rPr>
      <w:t>2.1</w:t>
    </w:r>
    <w:r w:rsidR="00550D39" w:rsidRPr="00F817E6">
      <w:rPr>
        <w:rFonts w:ascii="Arial" w:hAnsi="Arial" w:cs="Arial"/>
        <w:b/>
        <w:sz w:val="22"/>
        <w:szCs w:val="22"/>
        <w:lang w:val="en-US"/>
      </w:rPr>
      <w:t xml:space="preserve"> Rev.</w:t>
    </w:r>
    <w:r w:rsidR="00D80CB7" w:rsidRPr="00F817E6">
      <w:rPr>
        <w:rFonts w:ascii="Arial" w:hAnsi="Arial" w:cs="Arial"/>
        <w:b/>
        <w:sz w:val="22"/>
        <w:szCs w:val="22"/>
        <w:lang w:val="en-US"/>
      </w:rPr>
      <w:t>2</w:t>
    </w:r>
  </w:p>
  <w:p w:rsidR="00210652" w:rsidRPr="001C2747" w:rsidRDefault="00210652" w:rsidP="002938F2">
    <w:pPr>
      <w:jc w:val="right"/>
      <w:rPr>
        <w:rFonts w:ascii="Arial" w:hAnsi="Arial" w:cs="Arial"/>
        <w:b/>
        <w:sz w:val="22"/>
        <w:szCs w:val="22"/>
        <w:lang w:val="fr-FR"/>
      </w:rPr>
    </w:pPr>
    <w:r w:rsidRPr="001C2747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1C2747">
      <w:rPr>
        <w:rFonts w:ascii="Arial" w:hAnsi="Arial" w:cs="Arial"/>
        <w:b/>
        <w:sz w:val="22"/>
        <w:szCs w:val="22"/>
        <w:lang w:val="fr-FR"/>
      </w:rPr>
      <w:t xml:space="preserve">le </w:t>
    </w:r>
    <w:r w:rsidR="00D80CB7">
      <w:rPr>
        <w:rFonts w:ascii="Arial" w:hAnsi="Arial" w:cs="Arial"/>
        <w:b/>
        <w:sz w:val="22"/>
        <w:szCs w:val="22"/>
        <w:lang w:val="fr-FR"/>
      </w:rPr>
      <w:t>3</w:t>
    </w:r>
    <w:r w:rsidR="00550D39">
      <w:rPr>
        <w:rFonts w:ascii="Arial" w:hAnsi="Arial" w:cs="Arial"/>
        <w:b/>
        <w:sz w:val="22"/>
        <w:szCs w:val="22"/>
        <w:lang w:val="fr-FR"/>
      </w:rPr>
      <w:t xml:space="preserve"> décembre</w:t>
    </w:r>
    <w:r w:rsidR="00061949" w:rsidRPr="001C2747">
      <w:rPr>
        <w:rFonts w:ascii="Arial" w:hAnsi="Arial" w:cs="Arial"/>
        <w:b/>
        <w:sz w:val="22"/>
        <w:szCs w:val="22"/>
        <w:lang w:val="fr-FR"/>
      </w:rPr>
      <w:t xml:space="preserve"> 2015</w:t>
    </w:r>
  </w:p>
  <w:p w:rsidR="00210652" w:rsidRPr="001C2747" w:rsidRDefault="00210652" w:rsidP="005B4DAB">
    <w:pPr>
      <w:jc w:val="right"/>
      <w:rPr>
        <w:rFonts w:ascii="Arial" w:hAnsi="Arial" w:cs="Arial"/>
        <w:b/>
        <w:sz w:val="22"/>
        <w:szCs w:val="22"/>
        <w:lang w:val="fr-FR"/>
      </w:rPr>
    </w:pPr>
    <w:r w:rsidRPr="001C2747">
      <w:rPr>
        <w:rFonts w:ascii="Arial" w:hAnsi="Arial" w:cs="Arial"/>
        <w:b/>
        <w:sz w:val="22"/>
        <w:szCs w:val="22"/>
        <w:lang w:val="fr-FR"/>
      </w:rPr>
      <w:t>Original</w:t>
    </w:r>
    <w:r w:rsidR="00011736" w:rsidRPr="001C2747">
      <w:rPr>
        <w:rFonts w:ascii="Arial" w:hAnsi="Arial" w:cs="Arial"/>
        <w:b/>
        <w:sz w:val="22"/>
        <w:szCs w:val="22"/>
        <w:lang w:val="fr-FR"/>
      </w:rPr>
      <w:t xml:space="preserve"> </w:t>
    </w:r>
    <w:r w:rsidRPr="001C2747">
      <w:rPr>
        <w:rFonts w:ascii="Arial" w:hAnsi="Arial" w:cs="Arial"/>
        <w:b/>
        <w:sz w:val="22"/>
        <w:szCs w:val="22"/>
        <w:lang w:val="fr-FR"/>
      </w:rPr>
      <w:t>:</w:t>
    </w:r>
    <w:r w:rsidR="00AF5480" w:rsidRPr="001C2747">
      <w:rPr>
        <w:rFonts w:ascii="Arial" w:hAnsi="Arial" w:cs="Arial"/>
        <w:b/>
        <w:sz w:val="22"/>
        <w:szCs w:val="22"/>
        <w:lang w:val="fr-FR"/>
      </w:rPr>
      <w:t xml:space="preserve"> anglais</w:t>
    </w:r>
  </w:p>
  <w:p w:rsidR="00210652" w:rsidRPr="00DF2146" w:rsidRDefault="0021065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E4"/>
    <w:rsid w:val="000016A4"/>
    <w:rsid w:val="000019DB"/>
    <w:rsid w:val="000047CC"/>
    <w:rsid w:val="00011736"/>
    <w:rsid w:val="00021831"/>
    <w:rsid w:val="00035D11"/>
    <w:rsid w:val="00047E58"/>
    <w:rsid w:val="000558C9"/>
    <w:rsid w:val="00061949"/>
    <w:rsid w:val="00073D20"/>
    <w:rsid w:val="00074CE1"/>
    <w:rsid w:val="000755E1"/>
    <w:rsid w:val="00085541"/>
    <w:rsid w:val="000A34CE"/>
    <w:rsid w:val="000C65E4"/>
    <w:rsid w:val="0011750D"/>
    <w:rsid w:val="00136B77"/>
    <w:rsid w:val="001412DE"/>
    <w:rsid w:val="00144A4D"/>
    <w:rsid w:val="00151351"/>
    <w:rsid w:val="001706CD"/>
    <w:rsid w:val="00174B39"/>
    <w:rsid w:val="001A431C"/>
    <w:rsid w:val="001C2747"/>
    <w:rsid w:val="001F067C"/>
    <w:rsid w:val="001F37CA"/>
    <w:rsid w:val="00210652"/>
    <w:rsid w:val="002122CD"/>
    <w:rsid w:val="00241D54"/>
    <w:rsid w:val="00254DEF"/>
    <w:rsid w:val="00286C0C"/>
    <w:rsid w:val="00290AA9"/>
    <w:rsid w:val="002938F2"/>
    <w:rsid w:val="002C3446"/>
    <w:rsid w:val="002C7D30"/>
    <w:rsid w:val="00363995"/>
    <w:rsid w:val="00370F06"/>
    <w:rsid w:val="0039446E"/>
    <w:rsid w:val="003A37AF"/>
    <w:rsid w:val="003C7065"/>
    <w:rsid w:val="004108B6"/>
    <w:rsid w:val="004109C8"/>
    <w:rsid w:val="00434773"/>
    <w:rsid w:val="00461EEC"/>
    <w:rsid w:val="004665ED"/>
    <w:rsid w:val="00471B34"/>
    <w:rsid w:val="004C3335"/>
    <w:rsid w:val="004F50E1"/>
    <w:rsid w:val="005016FB"/>
    <w:rsid w:val="00511D17"/>
    <w:rsid w:val="0051699F"/>
    <w:rsid w:val="0053338B"/>
    <w:rsid w:val="00550D39"/>
    <w:rsid w:val="00554CC6"/>
    <w:rsid w:val="005B4DAB"/>
    <w:rsid w:val="005C0660"/>
    <w:rsid w:val="00612BB5"/>
    <w:rsid w:val="00652318"/>
    <w:rsid w:val="00667C60"/>
    <w:rsid w:val="006A1A52"/>
    <w:rsid w:val="006B3501"/>
    <w:rsid w:val="006E2215"/>
    <w:rsid w:val="0073795C"/>
    <w:rsid w:val="00747715"/>
    <w:rsid w:val="00750138"/>
    <w:rsid w:val="00764F50"/>
    <w:rsid w:val="007728EB"/>
    <w:rsid w:val="00796D4E"/>
    <w:rsid w:val="007A7D45"/>
    <w:rsid w:val="007C1B00"/>
    <w:rsid w:val="007D15F2"/>
    <w:rsid w:val="007D5BB7"/>
    <w:rsid w:val="007E0621"/>
    <w:rsid w:val="007F4B07"/>
    <w:rsid w:val="007F60C6"/>
    <w:rsid w:val="00824594"/>
    <w:rsid w:val="00833DFC"/>
    <w:rsid w:val="0083488D"/>
    <w:rsid w:val="00851458"/>
    <w:rsid w:val="00861A47"/>
    <w:rsid w:val="008707FF"/>
    <w:rsid w:val="008724E5"/>
    <w:rsid w:val="008A0A27"/>
    <w:rsid w:val="008B3FE4"/>
    <w:rsid w:val="008F2AD2"/>
    <w:rsid w:val="009121CE"/>
    <w:rsid w:val="009D5E38"/>
    <w:rsid w:val="00A11F00"/>
    <w:rsid w:val="00A150C7"/>
    <w:rsid w:val="00A24543"/>
    <w:rsid w:val="00A519A2"/>
    <w:rsid w:val="00A70883"/>
    <w:rsid w:val="00A77AEB"/>
    <w:rsid w:val="00A77F75"/>
    <w:rsid w:val="00A81928"/>
    <w:rsid w:val="00AA0C34"/>
    <w:rsid w:val="00AA444A"/>
    <w:rsid w:val="00AA4748"/>
    <w:rsid w:val="00AB6DD6"/>
    <w:rsid w:val="00AE1B18"/>
    <w:rsid w:val="00AE6F87"/>
    <w:rsid w:val="00AF5480"/>
    <w:rsid w:val="00B11AE3"/>
    <w:rsid w:val="00B13B44"/>
    <w:rsid w:val="00B6167A"/>
    <w:rsid w:val="00B973B5"/>
    <w:rsid w:val="00BD0077"/>
    <w:rsid w:val="00C04328"/>
    <w:rsid w:val="00C13665"/>
    <w:rsid w:val="00C3316A"/>
    <w:rsid w:val="00C64668"/>
    <w:rsid w:val="00C67A8A"/>
    <w:rsid w:val="00CC2BC6"/>
    <w:rsid w:val="00CE2586"/>
    <w:rsid w:val="00D238D6"/>
    <w:rsid w:val="00D43998"/>
    <w:rsid w:val="00D6436B"/>
    <w:rsid w:val="00D809E5"/>
    <w:rsid w:val="00D80CB7"/>
    <w:rsid w:val="00D9501F"/>
    <w:rsid w:val="00DB50D5"/>
    <w:rsid w:val="00DB76C7"/>
    <w:rsid w:val="00DD1C48"/>
    <w:rsid w:val="00DF2146"/>
    <w:rsid w:val="00DF3DA3"/>
    <w:rsid w:val="00E06A00"/>
    <w:rsid w:val="00E1261C"/>
    <w:rsid w:val="00E5219B"/>
    <w:rsid w:val="00E96A4F"/>
    <w:rsid w:val="00EA198F"/>
    <w:rsid w:val="00ED4650"/>
    <w:rsid w:val="00EF0BCB"/>
    <w:rsid w:val="00EF0E74"/>
    <w:rsid w:val="00F0065D"/>
    <w:rsid w:val="00F00E8A"/>
    <w:rsid w:val="00F55135"/>
    <w:rsid w:val="00F63DDA"/>
    <w:rsid w:val="00F70858"/>
    <w:rsid w:val="00F75949"/>
    <w:rsid w:val="00F75E18"/>
    <w:rsid w:val="00F817E6"/>
    <w:rsid w:val="00F941F0"/>
    <w:rsid w:val="00FB6F95"/>
    <w:rsid w:val="00FE430C"/>
    <w:rsid w:val="00FE74F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2280FC7-A416-4162-9AD0-FA71B68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character" w:customStyle="1" w:styleId="hps">
    <w:name w:val="hps"/>
    <w:basedOn w:val="DefaultParagraphFont"/>
    <w:rsid w:val="00AF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C32A-658A-4707-BC3D-C87AF586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</Template>
  <TotalTime>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Constantinou</dc:creator>
  <cp:lastModifiedBy>Dell-User</cp:lastModifiedBy>
  <cp:revision>12</cp:revision>
  <cp:lastPrinted>2011-08-09T15:27:00Z</cp:lastPrinted>
  <dcterms:created xsi:type="dcterms:W3CDTF">2015-10-15T13:56:00Z</dcterms:created>
  <dcterms:modified xsi:type="dcterms:W3CDTF">2015-12-03T19:53:00Z</dcterms:modified>
</cp:coreProperties>
</file>