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1ACA7" w14:textId="49A49C89" w:rsidR="00893478" w:rsidRPr="004936EF" w:rsidRDefault="00C4640B" w:rsidP="004936EF">
      <w:pPr>
        <w:pStyle w:val="Chapitre"/>
        <w:rPr>
          <w:kern w:val="0"/>
          <w:lang w:val="en-US"/>
        </w:rPr>
      </w:pPr>
      <w:bookmarkStart w:id="0" w:name="_Toc241644719"/>
      <w:bookmarkStart w:id="1" w:name="_Toc302374687"/>
      <w:r w:rsidRPr="0039162F">
        <w:rPr>
          <w:kern w:val="0"/>
          <w:lang w:val="en-US"/>
        </w:rPr>
        <w:t xml:space="preserve">Unit </w:t>
      </w:r>
      <w:r w:rsidR="00F77FBA" w:rsidRPr="004936EF">
        <w:rPr>
          <w:kern w:val="0"/>
          <w:lang w:val="en-US"/>
        </w:rPr>
        <w:t>8</w:t>
      </w:r>
      <w:bookmarkEnd w:id="0"/>
    </w:p>
    <w:p w14:paraId="6868D34C" w14:textId="70C854F0" w:rsidR="0039162F" w:rsidRDefault="0039162F" w:rsidP="004936EF">
      <w:pPr>
        <w:pStyle w:val="UPlan"/>
        <w:rPr>
          <w:rFonts w:eastAsia="Calibri"/>
        </w:rPr>
      </w:pPr>
      <w:bookmarkStart w:id="2" w:name="_Toc241644720"/>
      <w:r w:rsidRPr="00B048E4">
        <w:t>Lesson plan</w:t>
      </w:r>
      <w:r w:rsidRPr="004936EF">
        <w:rPr>
          <w:sz w:val="20"/>
          <w:szCs w:val="20"/>
          <w:lang w:val="fr-FR" w:eastAsia="fr-FR"/>
        </w:rPr>
        <w:drawing>
          <wp:anchor distT="0" distB="0" distL="114300" distR="114300" simplePos="0" relativeHeight="251673600" behindDoc="1" locked="1" layoutInCell="1" allowOverlap="0" wp14:anchorId="506F6A61" wp14:editId="4284F1F3">
            <wp:simplePos x="0" y="0"/>
            <wp:positionH relativeFrom="margin">
              <wp:posOffset>431800</wp:posOffset>
            </wp:positionH>
            <wp:positionV relativeFrom="margin">
              <wp:posOffset>1980565</wp:posOffset>
            </wp:positionV>
            <wp:extent cx="4870411" cy="4498145"/>
            <wp:effectExtent l="0" t="0" r="6985" b="0"/>
            <wp:wrapNone/>
            <wp:docPr id="380" name="Imag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1">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32C2F2F3" w14:textId="103DD643" w:rsidR="00272D67" w:rsidRPr="004936EF" w:rsidRDefault="0097038A" w:rsidP="0039162F">
      <w:pPr>
        <w:pStyle w:val="Titcoul"/>
        <w:rPr>
          <w:rFonts w:eastAsia="Calibri"/>
          <w:kern w:val="0"/>
          <w:szCs w:val="70"/>
          <w:lang w:val="en-US"/>
        </w:rPr>
      </w:pPr>
      <w:r w:rsidRPr="00FC06E9">
        <w:rPr>
          <w:lang w:val="en-US"/>
        </w:rPr>
        <w:t>ICH</w:t>
      </w:r>
      <w:r w:rsidR="00BD1E98">
        <w:rPr>
          <w:rStyle w:val="FootnoteReference"/>
          <w:lang w:val="en-US"/>
        </w:rPr>
        <w:footnoteReference w:id="1"/>
      </w:r>
      <w:r>
        <w:rPr>
          <w:lang w:val="en-US"/>
        </w:rPr>
        <w:t xml:space="preserve"> </w:t>
      </w:r>
      <w:r w:rsidR="00604675" w:rsidRPr="004936EF">
        <w:rPr>
          <w:rFonts w:eastAsia="Calibri"/>
          <w:kern w:val="0"/>
          <w:szCs w:val="70"/>
          <w:lang w:val="en-US"/>
        </w:rPr>
        <w:t>and sustainable development</w:t>
      </w:r>
      <w:bookmarkEnd w:id="1"/>
      <w:r w:rsidR="00245FDF" w:rsidRPr="004936EF">
        <w:rPr>
          <w:kern w:val="0"/>
          <w:szCs w:val="70"/>
          <w:lang w:val="en-US"/>
        </w:rPr>
        <w:t xml:space="preserve"> </w:t>
      </w:r>
      <w:bookmarkEnd w:id="2"/>
    </w:p>
    <w:p w14:paraId="7BEF2FE9" w14:textId="77777777" w:rsidR="00893478" w:rsidRDefault="00893478" w:rsidP="004936EF">
      <w:pPr>
        <w:pStyle w:val="UTit4"/>
      </w:pPr>
      <w:r w:rsidRPr="00141792">
        <w:t xml:space="preserve">Duration: </w:t>
      </w:r>
    </w:p>
    <w:p w14:paraId="220E0378" w14:textId="77777777" w:rsidR="00893478" w:rsidRPr="00DD4CA0" w:rsidRDefault="00893478" w:rsidP="006E1639">
      <w:pPr>
        <w:pStyle w:val="UTxt"/>
        <w:rPr>
          <w:i w:val="0"/>
          <w:lang w:val="en-US" w:eastAsia="en-US"/>
        </w:rPr>
      </w:pPr>
      <w:r w:rsidRPr="00DD4CA0">
        <w:rPr>
          <w:i w:val="0"/>
          <w:lang w:val="en-US" w:eastAsia="en-US"/>
        </w:rPr>
        <w:t>2 hours</w:t>
      </w:r>
    </w:p>
    <w:p w14:paraId="0EA7D5F5" w14:textId="77777777" w:rsidR="00893478" w:rsidRPr="00141792" w:rsidRDefault="00893478" w:rsidP="004936EF">
      <w:pPr>
        <w:pStyle w:val="UTit4"/>
      </w:pPr>
      <w:r w:rsidRPr="006E1639">
        <w:t>Objective</w:t>
      </w:r>
      <w:proofErr w:type="gramStart"/>
      <w:r w:rsidRPr="006E1639">
        <w:t>(</w:t>
      </w:r>
      <w:proofErr w:type="gramEnd"/>
      <w:r w:rsidRPr="006E1639">
        <w:t xml:space="preserve">s): </w:t>
      </w:r>
    </w:p>
    <w:p w14:paraId="28880BD4" w14:textId="7E252213" w:rsidR="00893478" w:rsidRPr="0016168F" w:rsidRDefault="00893478">
      <w:pPr>
        <w:pStyle w:val="UEnu"/>
        <w:rPr>
          <w:lang w:bidi="en-US"/>
        </w:rPr>
      </w:pPr>
      <w:r w:rsidRPr="0016168F">
        <w:t xml:space="preserve">Understand that the ultimate goal of the Convention </w:t>
      </w:r>
      <w:r w:rsidR="00F848F4" w:rsidRPr="0016168F">
        <w:t>for the Safegurading of the Intangible Cultural Heritage</w:t>
      </w:r>
      <w:r w:rsidR="00F848F4" w:rsidRPr="00DD4CA0">
        <w:rPr>
          <w:rStyle w:val="FootnoteReference"/>
          <w:i/>
        </w:rPr>
        <w:footnoteReference w:id="2"/>
      </w:r>
      <w:r w:rsidR="00F848F4" w:rsidRPr="0016168F">
        <w:t xml:space="preserve"> </w:t>
      </w:r>
      <w:r w:rsidRPr="0016168F">
        <w:t xml:space="preserve">is safeguarding </w:t>
      </w:r>
      <w:r w:rsidR="0016168F" w:rsidRPr="0016168F">
        <w:t>intangible cultural heritage (</w:t>
      </w:r>
      <w:r w:rsidRPr="0016168F">
        <w:t>ICH</w:t>
      </w:r>
      <w:r w:rsidR="0016168F" w:rsidRPr="0016168F">
        <w:t>)</w:t>
      </w:r>
      <w:r w:rsidRPr="0016168F">
        <w:t xml:space="preserve"> that is compatible with (among other things) the requirements of sustainable social and economic development.</w:t>
      </w:r>
      <w:r w:rsidR="005E114E" w:rsidRPr="0016168F">
        <w:t xml:space="preserve"> </w:t>
      </w:r>
      <w:r w:rsidR="003A32F5" w:rsidRPr="0016168F">
        <w:t>Furthermore, a</w:t>
      </w:r>
      <w:r w:rsidRPr="0016168F">
        <w:t>nalyse with several case studies (positive and negative) the possibilities of income generation from ICH practices and expressions and the contribution of ICH to social development.</w:t>
      </w:r>
    </w:p>
    <w:p w14:paraId="063A94F1" w14:textId="77777777" w:rsidR="00893478" w:rsidRDefault="00893478" w:rsidP="004936EF">
      <w:pPr>
        <w:pStyle w:val="UTit4"/>
      </w:pPr>
      <w:r w:rsidRPr="006E1639">
        <w:t xml:space="preserve">Description: </w:t>
      </w:r>
    </w:p>
    <w:p w14:paraId="38A9A442" w14:textId="5B241ACF" w:rsidR="004A3B6C" w:rsidRPr="00374A0B" w:rsidRDefault="004A3B6C">
      <w:pPr>
        <w:pStyle w:val="UEnu"/>
      </w:pPr>
      <w:r w:rsidRPr="009C7479">
        <w:t xml:space="preserve">This unit </w:t>
      </w:r>
      <w:r w:rsidR="003A32F5" w:rsidRPr="009C7479">
        <w:t>discusses</w:t>
      </w:r>
      <w:r w:rsidRPr="009C7479">
        <w:t xml:space="preserve"> </w:t>
      </w:r>
      <w:r w:rsidR="003A32F5" w:rsidRPr="009C7479">
        <w:t>intangible cultural heritage (</w:t>
      </w:r>
      <w:r w:rsidRPr="009C7479">
        <w:t>ICH</w:t>
      </w:r>
      <w:r w:rsidR="003A32F5" w:rsidRPr="009C7479">
        <w:t>)</w:t>
      </w:r>
      <w:r w:rsidRPr="009C7479">
        <w:t xml:space="preserve"> and sustainable development</w:t>
      </w:r>
      <w:r w:rsidR="003A2D12" w:rsidRPr="009C7479">
        <w:t xml:space="preserve"> from a</w:t>
      </w:r>
      <w:r w:rsidRPr="009C7479">
        <w:t xml:space="preserve"> social and economic</w:t>
      </w:r>
      <w:r w:rsidR="003A2D12" w:rsidRPr="009C7479">
        <w:t xml:space="preserve"> perspective</w:t>
      </w:r>
      <w:r w:rsidRPr="009C7479">
        <w:t xml:space="preserve">. Topics covered in the unit include: understanding the relationship between ICH and sustainable development, </w:t>
      </w:r>
      <w:r w:rsidR="003A2D12" w:rsidRPr="009C7479">
        <w:t xml:space="preserve">exploring how to sustain ICH and how </w:t>
      </w:r>
      <w:r w:rsidRPr="00523EE3">
        <w:t xml:space="preserve">ICH </w:t>
      </w:r>
      <w:r w:rsidR="003A2D12" w:rsidRPr="00374A0B">
        <w:t xml:space="preserve">contributes to </w:t>
      </w:r>
      <w:r w:rsidRPr="00374A0B">
        <w:t>social and economic development</w:t>
      </w:r>
      <w:r w:rsidR="003A2D12" w:rsidRPr="00374A0B">
        <w:t xml:space="preserve">, </w:t>
      </w:r>
      <w:r w:rsidRPr="00374A0B">
        <w:t>risks and opportunities associated with income-generating activities</w:t>
      </w:r>
      <w:r w:rsidR="003A2D12" w:rsidRPr="00523EE3">
        <w:t xml:space="preserve"> as well as ways to mitigate these</w:t>
      </w:r>
      <w:r w:rsidRPr="00374A0B">
        <w:t>.</w:t>
      </w:r>
    </w:p>
    <w:p w14:paraId="10709BA0" w14:textId="1BBC4620" w:rsidR="00893478" w:rsidRPr="00141792" w:rsidRDefault="004A3B6C" w:rsidP="006E1639">
      <w:pPr>
        <w:pStyle w:val="UTxt"/>
        <w:rPr>
          <w:lang w:eastAsia="en-US"/>
        </w:rPr>
      </w:pPr>
      <w:proofErr w:type="spellStart"/>
      <w:r>
        <w:rPr>
          <w:lang w:eastAsia="en-US"/>
        </w:rPr>
        <w:t>Proposed</w:t>
      </w:r>
      <w:proofErr w:type="spellEnd"/>
      <w:r>
        <w:rPr>
          <w:lang w:eastAsia="en-US"/>
        </w:rPr>
        <w:t xml:space="preserve"> </w:t>
      </w:r>
      <w:proofErr w:type="spellStart"/>
      <w:r>
        <w:rPr>
          <w:lang w:eastAsia="en-US"/>
        </w:rPr>
        <w:t>sequence</w:t>
      </w:r>
      <w:proofErr w:type="spellEnd"/>
      <w:r>
        <w:rPr>
          <w:lang w:eastAsia="en-US"/>
        </w:rPr>
        <w:t>:</w:t>
      </w:r>
    </w:p>
    <w:p w14:paraId="4B0EF3D5" w14:textId="01263D96" w:rsidR="00893478" w:rsidRPr="00AB0A71" w:rsidRDefault="00893478" w:rsidP="004936EF">
      <w:pPr>
        <w:pStyle w:val="Upuce"/>
        <w:rPr>
          <w:lang w:val="en-US"/>
        </w:rPr>
      </w:pPr>
      <w:r w:rsidRPr="00AB0A71">
        <w:rPr>
          <w:lang w:val="en-US"/>
        </w:rPr>
        <w:t xml:space="preserve">What the Convention and its </w:t>
      </w:r>
      <w:r w:rsidR="00652C46">
        <w:rPr>
          <w:lang w:val="en-US"/>
        </w:rPr>
        <w:t>Operational Directives (</w:t>
      </w:r>
      <w:r w:rsidRPr="00AB0A71">
        <w:rPr>
          <w:lang w:val="en-US"/>
        </w:rPr>
        <w:t>ODs</w:t>
      </w:r>
      <w:r w:rsidR="00652C46">
        <w:rPr>
          <w:lang w:val="en-US"/>
        </w:rPr>
        <w:t>)</w:t>
      </w:r>
      <w:r w:rsidRPr="00AB0A71">
        <w:rPr>
          <w:lang w:val="en-US"/>
        </w:rPr>
        <w:t xml:space="preserve"> say</w:t>
      </w:r>
    </w:p>
    <w:p w14:paraId="17AD20C0" w14:textId="77777777" w:rsidR="00893478" w:rsidRPr="00AB0A71" w:rsidRDefault="00893478" w:rsidP="004936EF">
      <w:pPr>
        <w:pStyle w:val="Upuce"/>
        <w:rPr>
          <w:lang w:val="en-US"/>
        </w:rPr>
      </w:pPr>
      <w:r w:rsidRPr="00AB0A71">
        <w:rPr>
          <w:lang w:val="en-US"/>
        </w:rPr>
        <w:t xml:space="preserve">Sustainable ICH/ICH supporting sustainable development </w:t>
      </w:r>
    </w:p>
    <w:p w14:paraId="67CE2E94" w14:textId="77777777" w:rsidR="00893478" w:rsidRPr="00141792" w:rsidRDefault="00893478" w:rsidP="004936EF">
      <w:pPr>
        <w:pStyle w:val="Upuce"/>
      </w:pPr>
      <w:proofErr w:type="spellStart"/>
      <w:r w:rsidRPr="00141792">
        <w:t>Supporting</w:t>
      </w:r>
      <w:proofErr w:type="spellEnd"/>
      <w:r w:rsidRPr="00141792">
        <w:t xml:space="preserve"> ICH, </w:t>
      </w:r>
      <w:proofErr w:type="spellStart"/>
      <w:r w:rsidRPr="00141792">
        <w:t>supporting</w:t>
      </w:r>
      <w:proofErr w:type="spellEnd"/>
      <w:r w:rsidRPr="00141792">
        <w:t xml:space="preserve"> </w:t>
      </w:r>
      <w:proofErr w:type="spellStart"/>
      <w:r w:rsidRPr="00141792">
        <w:t>communities</w:t>
      </w:r>
      <w:proofErr w:type="spellEnd"/>
    </w:p>
    <w:p w14:paraId="6BDDD2E2" w14:textId="77777777" w:rsidR="00893478" w:rsidRPr="00141792" w:rsidRDefault="00893478" w:rsidP="004936EF">
      <w:pPr>
        <w:pStyle w:val="Upuce"/>
      </w:pPr>
      <w:r w:rsidRPr="00141792">
        <w:t xml:space="preserve">Mitigation of </w:t>
      </w:r>
      <w:proofErr w:type="spellStart"/>
      <w:r w:rsidRPr="00141792">
        <w:t>risks</w:t>
      </w:r>
      <w:proofErr w:type="spellEnd"/>
    </w:p>
    <w:p w14:paraId="1B5EEC31" w14:textId="77777777" w:rsidR="005E114E" w:rsidRDefault="005E114E">
      <w:pPr>
        <w:tabs>
          <w:tab w:val="clear" w:pos="567"/>
        </w:tabs>
        <w:snapToGrid/>
        <w:spacing w:before="0" w:after="0"/>
        <w:jc w:val="left"/>
        <w:rPr>
          <w:rFonts w:cs="Times New Roman"/>
          <w:b/>
          <w:bCs/>
          <w:caps/>
          <w:snapToGrid/>
          <w:sz w:val="20"/>
          <w:lang w:val="it-IT" w:eastAsia="en-US"/>
        </w:rPr>
      </w:pPr>
      <w:r>
        <w:br w:type="page"/>
      </w:r>
    </w:p>
    <w:p w14:paraId="3B92D8AC" w14:textId="77777777" w:rsidR="00893478" w:rsidRPr="00141792" w:rsidRDefault="00893478" w:rsidP="004936EF">
      <w:pPr>
        <w:pStyle w:val="UTit4"/>
      </w:pPr>
      <w:r w:rsidRPr="006E1639">
        <w:lastRenderedPageBreak/>
        <w:t xml:space="preserve">Supporting documents: </w:t>
      </w:r>
    </w:p>
    <w:p w14:paraId="0B8F17CD" w14:textId="28149896" w:rsidR="00893478" w:rsidRPr="00141792" w:rsidRDefault="0016168F" w:rsidP="004936EF">
      <w:pPr>
        <w:pStyle w:val="Upuce"/>
      </w:pPr>
      <w:r>
        <w:t xml:space="preserve">Unit 8 </w:t>
      </w:r>
      <w:r w:rsidR="00893478" w:rsidRPr="00141792">
        <w:t xml:space="preserve">PowerPoint </w:t>
      </w:r>
      <w:proofErr w:type="spellStart"/>
      <w:r w:rsidR="00893478" w:rsidRPr="00141792">
        <w:t>presentation</w:t>
      </w:r>
      <w:proofErr w:type="spellEnd"/>
      <w:r w:rsidR="00893478" w:rsidRPr="00141792">
        <w:t xml:space="preserve"> plus </w:t>
      </w:r>
      <w:proofErr w:type="spellStart"/>
      <w:r w:rsidR="00893478" w:rsidRPr="00141792">
        <w:t>facilitator’s</w:t>
      </w:r>
      <w:proofErr w:type="spellEnd"/>
      <w:r w:rsidR="00893478" w:rsidRPr="00141792">
        <w:t xml:space="preserve"> notes</w:t>
      </w:r>
    </w:p>
    <w:p w14:paraId="0B90DABC" w14:textId="3639524D" w:rsidR="00893478" w:rsidRPr="00141792" w:rsidRDefault="00F02D08" w:rsidP="004936EF">
      <w:pPr>
        <w:pStyle w:val="Upuce"/>
      </w:pPr>
      <w:proofErr w:type="spellStart"/>
      <w:r>
        <w:t>Participant’s</w:t>
      </w:r>
      <w:proofErr w:type="spellEnd"/>
      <w:r w:rsidR="002A3923">
        <w:t> </w:t>
      </w:r>
      <w:proofErr w:type="spellStart"/>
      <w:r w:rsidR="002A3923">
        <w:t>text</w:t>
      </w:r>
      <w:proofErr w:type="spellEnd"/>
      <w:r w:rsidR="002A3923">
        <w:t xml:space="preserve"> </w:t>
      </w:r>
      <w:r w:rsidR="00850153">
        <w:t>Unit 8</w:t>
      </w:r>
    </w:p>
    <w:p w14:paraId="4F2407CE" w14:textId="501735D4" w:rsidR="00893478" w:rsidRPr="00141792" w:rsidRDefault="00F02D08" w:rsidP="004936EF">
      <w:pPr>
        <w:pStyle w:val="Upuce"/>
      </w:pPr>
      <w:proofErr w:type="spellStart"/>
      <w:r>
        <w:t>Participant’s</w:t>
      </w:r>
      <w:proofErr w:type="spellEnd"/>
      <w:r w:rsidR="002A3923">
        <w:t> </w:t>
      </w:r>
      <w:proofErr w:type="spellStart"/>
      <w:r w:rsidR="002A3923">
        <w:t>text</w:t>
      </w:r>
      <w:proofErr w:type="spellEnd"/>
      <w:r w:rsidR="002A3923">
        <w:t xml:space="preserve"> </w:t>
      </w:r>
      <w:r w:rsidR="00850153">
        <w:t>Unit 3</w:t>
      </w:r>
      <w:r w:rsidR="00893478" w:rsidRPr="00141792">
        <w:t>: ‘</w:t>
      </w:r>
      <w:proofErr w:type="spellStart"/>
      <w:r w:rsidR="00893478" w:rsidRPr="00141792">
        <w:t>Commercialization</w:t>
      </w:r>
      <w:proofErr w:type="spellEnd"/>
      <w:r w:rsidR="00893478" w:rsidRPr="00141792">
        <w:t>’, ‘De-</w:t>
      </w:r>
      <w:proofErr w:type="spellStart"/>
      <w:r w:rsidR="00893478" w:rsidRPr="00141792">
        <w:t>contextualization</w:t>
      </w:r>
      <w:proofErr w:type="spellEnd"/>
      <w:r w:rsidR="00893478" w:rsidRPr="00141792">
        <w:t>’ and ‘</w:t>
      </w:r>
      <w:proofErr w:type="spellStart"/>
      <w:r w:rsidR="00893478" w:rsidRPr="00141792">
        <w:t>Sustainability</w:t>
      </w:r>
      <w:proofErr w:type="spellEnd"/>
      <w:r w:rsidR="00893478" w:rsidRPr="00141792">
        <w:t>’</w:t>
      </w:r>
    </w:p>
    <w:p w14:paraId="344C5BCE" w14:textId="7D3FB0CD" w:rsidR="00893478" w:rsidRPr="00141792" w:rsidRDefault="00850153" w:rsidP="004936EF">
      <w:pPr>
        <w:pStyle w:val="Upuce"/>
      </w:pPr>
      <w:r>
        <w:t>C</w:t>
      </w:r>
      <w:r w:rsidR="00893478" w:rsidRPr="00141792">
        <w:t xml:space="preserve">ase </w:t>
      </w:r>
      <w:proofErr w:type="spellStart"/>
      <w:r w:rsidR="00893478" w:rsidRPr="00141792">
        <w:t>studies</w:t>
      </w:r>
      <w:proofErr w:type="spellEnd"/>
      <w:r w:rsidR="00893478" w:rsidRPr="00141792">
        <w:t xml:space="preserve"> 14–20</w:t>
      </w:r>
    </w:p>
    <w:p w14:paraId="5E880C2C" w14:textId="77777777" w:rsidR="0007153C" w:rsidRPr="00141792" w:rsidRDefault="0007153C" w:rsidP="004936EF">
      <w:pPr>
        <w:pStyle w:val="Soustitre"/>
      </w:pPr>
      <w:bookmarkStart w:id="3" w:name="_Toc238982240"/>
      <w:r w:rsidRPr="00141792">
        <w:t>Notes and suggestions</w:t>
      </w:r>
      <w:bookmarkEnd w:id="3"/>
    </w:p>
    <w:p w14:paraId="5DF2BCDA" w14:textId="276A209B" w:rsidR="005E114E" w:rsidRDefault="00AF03AB" w:rsidP="009909DD">
      <w:pPr>
        <w:pStyle w:val="Texte1"/>
        <w:rPr>
          <w:lang w:val="en-GB"/>
        </w:rPr>
      </w:pPr>
      <w:r w:rsidRPr="00141792">
        <w:rPr>
          <w:lang w:val="en-GB"/>
        </w:rPr>
        <w:t xml:space="preserve">Many examples and case studies are provided in </w:t>
      </w:r>
      <w:r w:rsidR="00E0725A">
        <w:rPr>
          <w:lang w:val="en-GB"/>
        </w:rPr>
        <w:t xml:space="preserve">this </w:t>
      </w:r>
      <w:r w:rsidR="00E01074">
        <w:rPr>
          <w:lang w:val="en-GB"/>
        </w:rPr>
        <w:t>Unit</w:t>
      </w:r>
      <w:r w:rsidRPr="00141792">
        <w:rPr>
          <w:lang w:val="en-GB"/>
        </w:rPr>
        <w:t xml:space="preserve">: </w:t>
      </w:r>
      <w:r w:rsidR="00123332" w:rsidRPr="00141792">
        <w:rPr>
          <w:lang w:val="en-GB"/>
        </w:rPr>
        <w:t>the facilitator may select some of them to use</w:t>
      </w:r>
      <w:r w:rsidR="0007153C" w:rsidRPr="00141792">
        <w:rPr>
          <w:lang w:val="en-GB"/>
        </w:rPr>
        <w:t xml:space="preserve"> </w:t>
      </w:r>
      <w:r w:rsidR="00201E08" w:rsidRPr="00141792">
        <w:rPr>
          <w:lang w:val="en-GB"/>
        </w:rPr>
        <w:t xml:space="preserve">for </w:t>
      </w:r>
      <w:r w:rsidR="0007153C" w:rsidRPr="00141792">
        <w:rPr>
          <w:lang w:val="en-GB"/>
        </w:rPr>
        <w:t xml:space="preserve">illustration purposes </w:t>
      </w:r>
      <w:r w:rsidR="00123332" w:rsidRPr="00141792">
        <w:rPr>
          <w:lang w:val="en-GB"/>
        </w:rPr>
        <w:t xml:space="preserve">or </w:t>
      </w:r>
      <w:r w:rsidR="0007153C" w:rsidRPr="00141792">
        <w:rPr>
          <w:lang w:val="en-GB"/>
        </w:rPr>
        <w:t xml:space="preserve">as material for exercises in which participants are divided into small groups to discuss </w:t>
      </w:r>
      <w:r w:rsidR="00827E8A" w:rsidRPr="00141792">
        <w:rPr>
          <w:lang w:val="en-GB"/>
        </w:rPr>
        <w:t xml:space="preserve">questions raised in the </w:t>
      </w:r>
      <w:r w:rsidR="00E01074">
        <w:rPr>
          <w:lang w:val="en-GB"/>
        </w:rPr>
        <w:t>Unit</w:t>
      </w:r>
      <w:r w:rsidR="00827E8A" w:rsidRPr="00141792">
        <w:rPr>
          <w:lang w:val="en-GB"/>
        </w:rPr>
        <w:t>.</w:t>
      </w:r>
    </w:p>
    <w:p w14:paraId="7DB4AC47" w14:textId="77777777" w:rsidR="005E114E" w:rsidRDefault="005E114E">
      <w:pPr>
        <w:tabs>
          <w:tab w:val="clear" w:pos="567"/>
        </w:tabs>
        <w:snapToGrid/>
        <w:spacing w:before="0" w:after="0"/>
        <w:jc w:val="left"/>
        <w:rPr>
          <w:snapToGrid/>
          <w:sz w:val="20"/>
          <w:lang w:val="en-GB"/>
        </w:rPr>
      </w:pPr>
      <w:r>
        <w:rPr>
          <w:lang w:val="en-GB"/>
        </w:rPr>
        <w:br w:type="page"/>
      </w:r>
    </w:p>
    <w:p w14:paraId="0FC20CB7" w14:textId="14BB4C06" w:rsidR="007069FD" w:rsidRPr="004936EF" w:rsidRDefault="00C4640B" w:rsidP="004936EF">
      <w:pPr>
        <w:pStyle w:val="Chapitre"/>
        <w:rPr>
          <w:kern w:val="0"/>
          <w:lang w:val="en-US"/>
        </w:rPr>
      </w:pPr>
      <w:bookmarkStart w:id="4" w:name="_Toc241644721"/>
      <w:bookmarkStart w:id="5" w:name="_Toc302374688"/>
      <w:r w:rsidRPr="004B58B4">
        <w:rPr>
          <w:kern w:val="0"/>
          <w:lang w:val="en-US"/>
        </w:rPr>
        <w:lastRenderedPageBreak/>
        <w:t xml:space="preserve">Unit </w:t>
      </w:r>
      <w:r w:rsidR="00F77FBA" w:rsidRPr="004936EF">
        <w:rPr>
          <w:kern w:val="0"/>
          <w:lang w:val="en-US"/>
        </w:rPr>
        <w:t>8</w:t>
      </w:r>
      <w:bookmarkEnd w:id="4"/>
    </w:p>
    <w:p w14:paraId="226E7EF5" w14:textId="25B350AC" w:rsidR="00272D67" w:rsidRPr="004936EF" w:rsidRDefault="00604675" w:rsidP="004936EF">
      <w:pPr>
        <w:pStyle w:val="Titcoul"/>
        <w:rPr>
          <w:rFonts w:eastAsia="Calibri"/>
          <w:kern w:val="0"/>
          <w:szCs w:val="70"/>
          <w:lang w:val="en-US"/>
        </w:rPr>
      </w:pPr>
      <w:bookmarkStart w:id="6" w:name="_Toc241644722"/>
      <w:r w:rsidRPr="004936EF">
        <w:rPr>
          <w:rFonts w:eastAsia="Calibri"/>
          <w:kern w:val="0"/>
          <w:szCs w:val="70"/>
          <w:lang w:val="en-US"/>
        </w:rPr>
        <w:t>ICH and sustainable development</w:t>
      </w:r>
      <w:bookmarkEnd w:id="5"/>
      <w:r w:rsidR="00245FDF" w:rsidRPr="004936EF">
        <w:rPr>
          <w:kern w:val="0"/>
          <w:szCs w:val="70"/>
          <w:lang w:val="en-US"/>
        </w:rPr>
        <w:t xml:space="preserve"> </w:t>
      </w:r>
      <w:bookmarkEnd w:id="6"/>
    </w:p>
    <w:p w14:paraId="04093282" w14:textId="384A44EF" w:rsidR="00442E1A" w:rsidRDefault="00462CAC" w:rsidP="004936EF">
      <w:pPr>
        <w:pStyle w:val="Heading6"/>
      </w:pPr>
      <w:proofErr w:type="gramStart"/>
      <w:r w:rsidRPr="00141792">
        <w:t>Slide</w:t>
      </w:r>
      <w:proofErr w:type="gramEnd"/>
      <w:r w:rsidRPr="00141792">
        <w:t xml:space="preserve"> 1</w:t>
      </w:r>
      <w:r w:rsidR="00442E1A" w:rsidRPr="00141792">
        <w:t>.</w:t>
      </w:r>
    </w:p>
    <w:p w14:paraId="6FE34CDC" w14:textId="77777777" w:rsidR="00693DBB" w:rsidRPr="00AB0A71" w:rsidRDefault="004F1859" w:rsidP="004936EF">
      <w:pPr>
        <w:pStyle w:val="diapo2"/>
        <w:rPr>
          <w:lang w:val="en-US"/>
        </w:rPr>
      </w:pPr>
      <w:r w:rsidRPr="00AB0A71">
        <w:rPr>
          <w:lang w:val="en-US"/>
        </w:rPr>
        <w:t>ICH and sustainable development</w:t>
      </w:r>
    </w:p>
    <w:p w14:paraId="7E08977E" w14:textId="1443553A" w:rsidR="00442E1A" w:rsidRDefault="00462CAC" w:rsidP="004936EF">
      <w:pPr>
        <w:pStyle w:val="Heading6"/>
      </w:pPr>
      <w:proofErr w:type="gramStart"/>
      <w:r w:rsidRPr="00141792">
        <w:t>Slide</w:t>
      </w:r>
      <w:proofErr w:type="gramEnd"/>
      <w:r w:rsidRPr="00141792">
        <w:t xml:space="preserve"> </w:t>
      </w:r>
      <w:r w:rsidR="00693DBB" w:rsidRPr="00141792">
        <w:t>2</w:t>
      </w:r>
      <w:r w:rsidR="00442E1A" w:rsidRPr="00141792">
        <w:t>.</w:t>
      </w:r>
    </w:p>
    <w:p w14:paraId="2AA8BB7B" w14:textId="77777777" w:rsidR="00462CAC" w:rsidRPr="00AB0A71" w:rsidRDefault="00462CAC" w:rsidP="004936EF">
      <w:pPr>
        <w:pStyle w:val="diapo2"/>
        <w:rPr>
          <w:lang w:val="en-US"/>
        </w:rPr>
      </w:pPr>
      <w:r w:rsidRPr="00AB0A71">
        <w:rPr>
          <w:lang w:val="en-US"/>
        </w:rPr>
        <w:t>In this presentation …</w:t>
      </w:r>
    </w:p>
    <w:p w14:paraId="262D1728" w14:textId="762941B9" w:rsidR="00442E1A" w:rsidRDefault="007765F6" w:rsidP="004936EF">
      <w:pPr>
        <w:pStyle w:val="Heading6"/>
      </w:pPr>
      <w:proofErr w:type="gramStart"/>
      <w:r w:rsidRPr="00141792">
        <w:t>Slide</w:t>
      </w:r>
      <w:proofErr w:type="gramEnd"/>
      <w:r w:rsidRPr="00141792">
        <w:t xml:space="preserve"> </w:t>
      </w:r>
      <w:r w:rsidR="00840807" w:rsidRPr="00141792">
        <w:t>3</w:t>
      </w:r>
      <w:r w:rsidR="00442E1A" w:rsidRPr="00141792">
        <w:t>.</w:t>
      </w:r>
    </w:p>
    <w:p w14:paraId="2ADE1939" w14:textId="77777777" w:rsidR="007765F6" w:rsidRPr="00AB0A71" w:rsidRDefault="007765F6" w:rsidP="004936EF">
      <w:pPr>
        <w:pStyle w:val="diapo2"/>
        <w:rPr>
          <w:lang w:val="en-US"/>
        </w:rPr>
      </w:pPr>
      <w:r w:rsidRPr="00AB0A71">
        <w:rPr>
          <w:lang w:val="en-US"/>
        </w:rPr>
        <w:t>What the Convention and its ODs say</w:t>
      </w:r>
      <w:r w:rsidR="006C5E93" w:rsidRPr="00AB0A71">
        <w:rPr>
          <w:lang w:val="en-US"/>
        </w:rPr>
        <w:t xml:space="preserve"> (</w:t>
      </w:r>
      <w:r w:rsidR="005E6E28" w:rsidRPr="00AB0A71">
        <w:rPr>
          <w:lang w:val="en-US"/>
        </w:rPr>
        <w:t>s</w:t>
      </w:r>
      <w:r w:rsidR="006C5E93" w:rsidRPr="00AB0A71">
        <w:rPr>
          <w:lang w:val="en-US"/>
        </w:rPr>
        <w:t>ub-heading)</w:t>
      </w:r>
    </w:p>
    <w:p w14:paraId="5E4BB489" w14:textId="1959C4DD" w:rsidR="006E239C" w:rsidRPr="00141792" w:rsidRDefault="006E239C" w:rsidP="004936EF">
      <w:pPr>
        <w:pStyle w:val="Heading6"/>
      </w:pPr>
      <w:proofErr w:type="gramStart"/>
      <w:r>
        <w:t>Slide</w:t>
      </w:r>
      <w:proofErr w:type="gramEnd"/>
      <w:r>
        <w:t xml:space="preserve"> 4.</w:t>
      </w:r>
    </w:p>
    <w:p w14:paraId="257A6252" w14:textId="1D83DCDE" w:rsidR="007765F6" w:rsidRPr="00AB0A71" w:rsidRDefault="005E6E28" w:rsidP="004936EF">
      <w:pPr>
        <w:pStyle w:val="diapo2"/>
        <w:rPr>
          <w:lang w:val="en-US"/>
        </w:rPr>
      </w:pPr>
      <w:r w:rsidRPr="00AB0A71">
        <w:rPr>
          <w:lang w:val="en-US"/>
        </w:rPr>
        <w:t>D</w:t>
      </w:r>
      <w:r w:rsidR="007765F6" w:rsidRPr="00AB0A71">
        <w:rPr>
          <w:lang w:val="en-US"/>
        </w:rPr>
        <w:t>efinition of ICH</w:t>
      </w:r>
    </w:p>
    <w:p w14:paraId="631AA99F" w14:textId="6B2AB03F" w:rsidR="00EE4DC1" w:rsidRPr="004936EF" w:rsidRDefault="00EE4DC1"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6E239C">
        <w:rPr>
          <w:lang w:val="en-GB"/>
        </w:rPr>
        <w:t>Unit 3</w:t>
      </w:r>
      <w:r w:rsidRPr="00141792">
        <w:rPr>
          <w:lang w:val="en-GB"/>
        </w:rPr>
        <w:t xml:space="preserve"> for a discussion of the definition of ICH in the Convention’s </w:t>
      </w:r>
      <w:r w:rsidR="00442E1A">
        <w:rPr>
          <w:lang w:val="en-GB"/>
        </w:rPr>
        <w:t>Article </w:t>
      </w:r>
      <w:r w:rsidRPr="00141792">
        <w:rPr>
          <w:lang w:val="en-GB"/>
        </w:rPr>
        <w:t>2.1.</w:t>
      </w:r>
    </w:p>
    <w:p w14:paraId="10EA1DB1" w14:textId="7FEF7D64" w:rsidR="005735B5" w:rsidRPr="004936EF" w:rsidRDefault="009F3064" w:rsidP="009909DD">
      <w:pPr>
        <w:pStyle w:val="Texte1"/>
        <w:rPr>
          <w:lang w:val="en-US"/>
        </w:rPr>
      </w:pPr>
      <w:r w:rsidRPr="004936EF">
        <w:rPr>
          <w:lang w:val="en-US"/>
        </w:rPr>
        <w:t xml:space="preserve">The definition of ICH </w:t>
      </w:r>
      <w:r w:rsidR="00F7383C" w:rsidRPr="004936EF">
        <w:rPr>
          <w:lang w:val="en-US"/>
        </w:rPr>
        <w:t>(</w:t>
      </w:r>
      <w:r w:rsidR="00442E1A" w:rsidRPr="004936EF">
        <w:rPr>
          <w:lang w:val="en-US"/>
        </w:rPr>
        <w:t>Article </w:t>
      </w:r>
      <w:r w:rsidR="00F7383C" w:rsidRPr="004936EF">
        <w:rPr>
          <w:lang w:val="en-US"/>
        </w:rPr>
        <w:t xml:space="preserve">2.1) </w:t>
      </w:r>
      <w:r w:rsidRPr="004936EF">
        <w:rPr>
          <w:lang w:val="en-US"/>
        </w:rPr>
        <w:t xml:space="preserve">was discussed in </w:t>
      </w:r>
      <w:r w:rsidR="00E01074">
        <w:rPr>
          <w:lang w:val="en-US"/>
        </w:rPr>
        <w:t>Unit</w:t>
      </w:r>
      <w:r w:rsidR="005C22E4" w:rsidRPr="004936EF">
        <w:rPr>
          <w:lang w:val="en-US"/>
        </w:rPr>
        <w:t> </w:t>
      </w:r>
      <w:r w:rsidRPr="004936EF">
        <w:rPr>
          <w:lang w:val="en-US"/>
        </w:rPr>
        <w:t xml:space="preserve">3 but is revisited briefly here. </w:t>
      </w:r>
      <w:r w:rsidR="00C80646" w:rsidRPr="004936EF">
        <w:rPr>
          <w:lang w:val="en-US"/>
        </w:rPr>
        <w:t xml:space="preserve">It is </w:t>
      </w:r>
      <w:r w:rsidR="00A34B16" w:rsidRPr="004936EF">
        <w:rPr>
          <w:lang w:val="en-US"/>
        </w:rPr>
        <w:t xml:space="preserve">of particular </w:t>
      </w:r>
      <w:r w:rsidR="00C80646" w:rsidRPr="004936EF">
        <w:rPr>
          <w:lang w:val="en-US"/>
        </w:rPr>
        <w:t>relevan</w:t>
      </w:r>
      <w:r w:rsidR="00A34B16" w:rsidRPr="004936EF">
        <w:rPr>
          <w:lang w:val="en-US"/>
        </w:rPr>
        <w:t>ce</w:t>
      </w:r>
      <w:r w:rsidR="00C80646" w:rsidRPr="004936EF">
        <w:rPr>
          <w:lang w:val="en-US"/>
        </w:rPr>
        <w:t xml:space="preserve"> to the discussion in this </w:t>
      </w:r>
      <w:r w:rsidR="00E01074">
        <w:rPr>
          <w:lang w:val="en-US"/>
        </w:rPr>
        <w:t>Unit</w:t>
      </w:r>
      <w:r w:rsidR="00C80646" w:rsidRPr="004936EF">
        <w:rPr>
          <w:lang w:val="en-US"/>
        </w:rPr>
        <w:t xml:space="preserve"> that </w:t>
      </w:r>
      <w:r w:rsidR="005735B5" w:rsidRPr="004936EF">
        <w:rPr>
          <w:lang w:val="en-US"/>
        </w:rPr>
        <w:t xml:space="preserve">ICH under the Convention is understood to be living, constantly changing </w:t>
      </w:r>
      <w:r w:rsidRPr="004936EF">
        <w:rPr>
          <w:lang w:val="en-US"/>
        </w:rPr>
        <w:t xml:space="preserve">and </w:t>
      </w:r>
      <w:r w:rsidR="005735B5" w:rsidRPr="004936EF">
        <w:rPr>
          <w:lang w:val="en-US"/>
        </w:rPr>
        <w:t xml:space="preserve">‘recreated by communities and groups in response to their environment’. The Convention is not designed to </w:t>
      </w:r>
      <w:r w:rsidRPr="004936EF">
        <w:rPr>
          <w:lang w:val="en-US"/>
        </w:rPr>
        <w:t>‘</w:t>
      </w:r>
      <w:r w:rsidR="005735B5" w:rsidRPr="004936EF">
        <w:rPr>
          <w:lang w:val="en-US"/>
        </w:rPr>
        <w:t>freeze</w:t>
      </w:r>
      <w:r w:rsidRPr="004936EF">
        <w:rPr>
          <w:lang w:val="en-US"/>
        </w:rPr>
        <w:t>’</w:t>
      </w:r>
      <w:r w:rsidR="005735B5" w:rsidRPr="004936EF">
        <w:rPr>
          <w:lang w:val="en-US"/>
        </w:rPr>
        <w:t xml:space="preserve"> ICH</w:t>
      </w:r>
      <w:r w:rsidRPr="004936EF">
        <w:rPr>
          <w:lang w:val="en-US"/>
        </w:rPr>
        <w:t xml:space="preserve"> expressions</w:t>
      </w:r>
      <w:r w:rsidR="005735B5" w:rsidRPr="004936EF">
        <w:rPr>
          <w:lang w:val="en-US"/>
        </w:rPr>
        <w:t xml:space="preserve"> or to hamper the development of communities, groups and individuals.</w:t>
      </w:r>
      <w:r w:rsidR="00F7383C" w:rsidRPr="004936EF">
        <w:rPr>
          <w:lang w:val="en-US"/>
        </w:rPr>
        <w:t xml:space="preserve"> The definition of ICH </w:t>
      </w:r>
      <w:r w:rsidR="00C80646" w:rsidRPr="004936EF">
        <w:rPr>
          <w:lang w:val="en-US"/>
        </w:rPr>
        <w:t xml:space="preserve">also </w:t>
      </w:r>
      <w:r w:rsidR="001069CA" w:rsidRPr="004936EF">
        <w:rPr>
          <w:lang w:val="en-US"/>
        </w:rPr>
        <w:t xml:space="preserve">states </w:t>
      </w:r>
      <w:r w:rsidR="00F7383C" w:rsidRPr="004936EF">
        <w:rPr>
          <w:lang w:val="en-US"/>
        </w:rPr>
        <w:t>that</w:t>
      </w:r>
      <w:r w:rsidR="001069CA" w:rsidRPr="004936EF">
        <w:rPr>
          <w:lang w:val="en-US"/>
        </w:rPr>
        <w:t>,</w:t>
      </w:r>
      <w:r w:rsidR="00F7383C" w:rsidRPr="004936EF">
        <w:rPr>
          <w:lang w:val="en-US"/>
        </w:rPr>
        <w:t xml:space="preserve"> in order to be taken into consideration under the Convention, ICH should be ‘compatible with </w:t>
      </w:r>
      <w:r w:rsidR="001069CA" w:rsidRPr="004936EF">
        <w:rPr>
          <w:lang w:val="en-US"/>
        </w:rPr>
        <w:t xml:space="preserve">… </w:t>
      </w:r>
      <w:r w:rsidR="00F7383C" w:rsidRPr="004936EF">
        <w:rPr>
          <w:lang w:val="en-US"/>
        </w:rPr>
        <w:t xml:space="preserve">the requirements </w:t>
      </w:r>
      <w:r w:rsidR="001069CA" w:rsidRPr="004936EF">
        <w:rPr>
          <w:lang w:val="en-US"/>
        </w:rPr>
        <w:t>of mutual respect among communities …</w:t>
      </w:r>
      <w:r w:rsidR="00F7383C" w:rsidRPr="004936EF">
        <w:rPr>
          <w:lang w:val="en-US"/>
        </w:rPr>
        <w:t xml:space="preserve"> </w:t>
      </w:r>
      <w:r w:rsidR="001069CA" w:rsidRPr="004936EF">
        <w:rPr>
          <w:lang w:val="en-US"/>
        </w:rPr>
        <w:t xml:space="preserve">and </w:t>
      </w:r>
      <w:r w:rsidR="00F7383C" w:rsidRPr="004936EF">
        <w:rPr>
          <w:lang w:val="en-US"/>
        </w:rPr>
        <w:t>of sustainable development</w:t>
      </w:r>
      <w:r w:rsidR="001069CA" w:rsidRPr="004936EF">
        <w:rPr>
          <w:lang w:val="en-US"/>
        </w:rPr>
        <w:t>.</w:t>
      </w:r>
      <w:r w:rsidR="00F7383C" w:rsidRPr="004936EF">
        <w:rPr>
          <w:lang w:val="en-US"/>
        </w:rPr>
        <w:t>’</w:t>
      </w:r>
    </w:p>
    <w:p w14:paraId="0081DC7B" w14:textId="21AA65C2" w:rsidR="00442E1A" w:rsidRDefault="007765F6" w:rsidP="004936EF">
      <w:pPr>
        <w:pStyle w:val="Heading6"/>
      </w:pPr>
      <w:proofErr w:type="gramStart"/>
      <w:r w:rsidRPr="00141792">
        <w:t>Slide</w:t>
      </w:r>
      <w:proofErr w:type="gramEnd"/>
      <w:r w:rsidRPr="00141792">
        <w:t xml:space="preserve"> </w:t>
      </w:r>
      <w:r w:rsidR="00A31758" w:rsidRPr="00141792">
        <w:t>5</w:t>
      </w:r>
      <w:r w:rsidR="00442E1A" w:rsidRPr="00141792">
        <w:t>.</w:t>
      </w:r>
    </w:p>
    <w:p w14:paraId="10F4119C" w14:textId="77777777" w:rsidR="007765F6" w:rsidRPr="00AB0A71" w:rsidRDefault="007765F6" w:rsidP="004936EF">
      <w:pPr>
        <w:pStyle w:val="diapo2"/>
        <w:rPr>
          <w:lang w:val="en-US"/>
        </w:rPr>
      </w:pPr>
      <w:r w:rsidRPr="00AB0A71">
        <w:rPr>
          <w:lang w:val="en-US"/>
        </w:rPr>
        <w:t>Sustainable development</w:t>
      </w:r>
    </w:p>
    <w:p w14:paraId="7E54469D" w14:textId="3D2CDB3A" w:rsidR="007D529D" w:rsidRPr="004936EF" w:rsidRDefault="00F02D08" w:rsidP="009909DD">
      <w:pPr>
        <w:pStyle w:val="Texte1"/>
        <w:rPr>
          <w:lang w:val="en-US"/>
        </w:rPr>
      </w:pPr>
      <w:r>
        <w:rPr>
          <w:lang w:val="en-GB"/>
        </w:rPr>
        <w:t>Participant’s</w:t>
      </w:r>
      <w:r w:rsidR="002A3923">
        <w:rPr>
          <w:lang w:val="en-GB"/>
        </w:rPr>
        <w:t xml:space="preserve"> text </w:t>
      </w:r>
      <w:r w:rsidR="006E239C" w:rsidRPr="004936EF">
        <w:rPr>
          <w:lang w:val="en-US" w:eastAsia="en-US"/>
        </w:rPr>
        <w:t>Unit 8</w:t>
      </w:r>
      <w:r w:rsidR="007D529D" w:rsidRPr="00141792">
        <w:rPr>
          <w:lang w:val="en-GB"/>
        </w:rPr>
        <w:t xml:space="preserve">.1 discusses the </w:t>
      </w:r>
      <w:r w:rsidR="00411910" w:rsidRPr="00141792">
        <w:rPr>
          <w:lang w:val="en-GB"/>
        </w:rPr>
        <w:t xml:space="preserve">definition of sustainable development (see </w:t>
      </w:r>
      <w:r w:rsidR="006E79FF" w:rsidRPr="00141792">
        <w:rPr>
          <w:lang w:val="en-GB"/>
        </w:rPr>
        <w:t xml:space="preserve">also </w:t>
      </w:r>
      <w:r>
        <w:rPr>
          <w:lang w:val="en-GB"/>
        </w:rPr>
        <w:t>Participant’s</w:t>
      </w:r>
      <w:r w:rsidR="002A3923">
        <w:rPr>
          <w:lang w:val="en-GB"/>
        </w:rPr>
        <w:t xml:space="preserve"> text </w:t>
      </w:r>
      <w:r w:rsidR="006E239C">
        <w:rPr>
          <w:lang w:val="en-GB"/>
        </w:rPr>
        <w:t>Unit 3</w:t>
      </w:r>
      <w:r w:rsidR="000C5CDF" w:rsidRPr="00141792">
        <w:rPr>
          <w:lang w:val="en-GB"/>
        </w:rPr>
        <w:t>: ‘Sustainability’</w:t>
      </w:r>
      <w:r w:rsidR="00411910" w:rsidRPr="00141792">
        <w:rPr>
          <w:lang w:val="en-GB"/>
        </w:rPr>
        <w:t xml:space="preserve">) and the </w:t>
      </w:r>
      <w:r w:rsidR="007D529D" w:rsidRPr="00141792">
        <w:rPr>
          <w:lang w:val="en-GB"/>
        </w:rPr>
        <w:t>relationship between ICH and sustainable development.</w:t>
      </w:r>
    </w:p>
    <w:p w14:paraId="0226028B" w14:textId="7CE314E3" w:rsidR="00CF1D3B" w:rsidRPr="004936EF" w:rsidRDefault="00CF1D3B" w:rsidP="009909DD">
      <w:pPr>
        <w:pStyle w:val="Texte1"/>
        <w:rPr>
          <w:lang w:val="en-US"/>
        </w:rPr>
      </w:pPr>
      <w:r w:rsidRPr="004936EF">
        <w:rPr>
          <w:lang w:val="en-US"/>
        </w:rPr>
        <w:t xml:space="preserve">See </w:t>
      </w:r>
      <w:r w:rsidR="00EA05BA" w:rsidRPr="004936EF">
        <w:rPr>
          <w:lang w:val="en-US"/>
        </w:rPr>
        <w:t xml:space="preserve">also </w:t>
      </w:r>
      <w:r w:rsidR="00F02D08">
        <w:rPr>
          <w:lang w:val="en-US"/>
        </w:rPr>
        <w:t>Participant’s</w:t>
      </w:r>
      <w:r w:rsidR="002A3923">
        <w:rPr>
          <w:lang w:val="en-US"/>
        </w:rPr>
        <w:t xml:space="preserve"> text </w:t>
      </w:r>
      <w:r w:rsidR="006E239C" w:rsidRPr="004936EF">
        <w:rPr>
          <w:lang w:val="en-US"/>
        </w:rPr>
        <w:t>Unit 5</w:t>
      </w:r>
      <w:r w:rsidRPr="004936EF">
        <w:rPr>
          <w:lang w:val="en-US"/>
        </w:rPr>
        <w:t xml:space="preserve">.1 on fostering mutual respect between communities through </w:t>
      </w:r>
      <w:r w:rsidR="00154B92" w:rsidRPr="004936EF">
        <w:rPr>
          <w:lang w:val="en-US"/>
        </w:rPr>
        <w:t>awareness-raising</w:t>
      </w:r>
      <w:r w:rsidRPr="004936EF">
        <w:rPr>
          <w:lang w:val="en-US"/>
        </w:rPr>
        <w:t>.</w:t>
      </w:r>
    </w:p>
    <w:p w14:paraId="073C2FFE" w14:textId="77777777" w:rsidR="00522D55" w:rsidRPr="004936EF" w:rsidRDefault="00522D55" w:rsidP="009909DD">
      <w:pPr>
        <w:pStyle w:val="Texte1"/>
        <w:rPr>
          <w:lang w:val="en-US"/>
        </w:rPr>
      </w:pPr>
      <w:r w:rsidRPr="004936EF">
        <w:rPr>
          <w:lang w:val="en-US"/>
        </w:rPr>
        <w:lastRenderedPageBreak/>
        <w:t>It should be emphasized that</w:t>
      </w:r>
      <w:r w:rsidR="000518E8" w:rsidRPr="004936EF">
        <w:rPr>
          <w:lang w:val="en-US"/>
        </w:rPr>
        <w:t>, in many cases,</w:t>
      </w:r>
      <w:r w:rsidRPr="004936EF">
        <w:rPr>
          <w:lang w:val="en-US"/>
        </w:rPr>
        <w:t xml:space="preserve"> ICH does not only</w:t>
      </w:r>
      <w:r w:rsidR="00EF2262" w:rsidRPr="004936EF">
        <w:rPr>
          <w:lang w:val="en-US"/>
        </w:rPr>
        <w:t xml:space="preserve"> </w:t>
      </w:r>
      <w:r w:rsidRPr="004936EF">
        <w:rPr>
          <w:lang w:val="en-US"/>
        </w:rPr>
        <w:t xml:space="preserve">play a role in the sustainable economic development of communities and the places where they live. Perhaps even more important is the contribution that viable ICH </w:t>
      </w:r>
      <w:r w:rsidR="00EF2262" w:rsidRPr="004936EF">
        <w:rPr>
          <w:lang w:val="en-US"/>
        </w:rPr>
        <w:t xml:space="preserve">(and its safeguarding) </w:t>
      </w:r>
      <w:r w:rsidRPr="004936EF">
        <w:rPr>
          <w:lang w:val="en-US"/>
        </w:rPr>
        <w:t xml:space="preserve">may make to the well-being and social development of communities and </w:t>
      </w:r>
      <w:r w:rsidR="00EF2262" w:rsidRPr="004936EF">
        <w:rPr>
          <w:lang w:val="en-US"/>
        </w:rPr>
        <w:t xml:space="preserve">more generally </w:t>
      </w:r>
      <w:r w:rsidRPr="004936EF">
        <w:rPr>
          <w:lang w:val="en-US"/>
        </w:rPr>
        <w:t>to good governance</w:t>
      </w:r>
      <w:r w:rsidR="00EF2262" w:rsidRPr="004936EF">
        <w:rPr>
          <w:lang w:val="en-US"/>
        </w:rPr>
        <w:t xml:space="preserve"> (through</w:t>
      </w:r>
      <w:r w:rsidR="003318D3" w:rsidRPr="004936EF">
        <w:rPr>
          <w:lang w:val="en-US"/>
        </w:rPr>
        <w:t>,</w:t>
      </w:r>
      <w:r w:rsidR="00EF2262" w:rsidRPr="004936EF">
        <w:rPr>
          <w:lang w:val="en-US"/>
        </w:rPr>
        <w:t xml:space="preserve"> for example</w:t>
      </w:r>
      <w:r w:rsidR="003318D3" w:rsidRPr="004936EF">
        <w:rPr>
          <w:lang w:val="en-US"/>
        </w:rPr>
        <w:t>,</w:t>
      </w:r>
      <w:r w:rsidR="00EF2262" w:rsidRPr="004936EF">
        <w:rPr>
          <w:lang w:val="en-US"/>
        </w:rPr>
        <w:t xml:space="preserve"> its contribution to health care, mediation practices or the pursuit of non-material values)</w:t>
      </w:r>
      <w:r w:rsidRPr="004936EF">
        <w:rPr>
          <w:lang w:val="en-US"/>
        </w:rPr>
        <w:t xml:space="preserve">. </w:t>
      </w:r>
    </w:p>
    <w:p w14:paraId="2B09DE2C" w14:textId="3F914357" w:rsidR="00522D55" w:rsidRPr="004936EF" w:rsidRDefault="00004674" w:rsidP="009909DD">
      <w:pPr>
        <w:pStyle w:val="Texte1"/>
        <w:rPr>
          <w:lang w:val="en-US"/>
        </w:rPr>
      </w:pPr>
      <w:r w:rsidRPr="004936EF">
        <w:rPr>
          <w:lang w:val="en-US"/>
        </w:rPr>
        <w:t xml:space="preserve">Although cultural diversity may be widely appreciated, conflict arising from it is not always easy to manage. </w:t>
      </w:r>
      <w:r w:rsidR="00522D55" w:rsidRPr="004936EF">
        <w:rPr>
          <w:lang w:val="en-US"/>
        </w:rPr>
        <w:t xml:space="preserve">Many States with complex </w:t>
      </w:r>
      <w:r w:rsidR="00CF1D3B" w:rsidRPr="004936EF">
        <w:rPr>
          <w:lang w:val="en-US"/>
        </w:rPr>
        <w:t xml:space="preserve">socio-political </w:t>
      </w:r>
      <w:r w:rsidR="00522D55" w:rsidRPr="004936EF">
        <w:rPr>
          <w:lang w:val="en-US"/>
        </w:rPr>
        <w:t>situation</w:t>
      </w:r>
      <w:r w:rsidR="00CF1D3B" w:rsidRPr="004936EF">
        <w:rPr>
          <w:lang w:val="en-US"/>
        </w:rPr>
        <w:t>s</w:t>
      </w:r>
      <w:r w:rsidR="00522D55" w:rsidRPr="004936EF">
        <w:rPr>
          <w:lang w:val="en-US"/>
        </w:rPr>
        <w:t xml:space="preserve"> may </w:t>
      </w:r>
      <w:r w:rsidR="00A332BD" w:rsidRPr="004936EF">
        <w:rPr>
          <w:lang w:val="en-US"/>
        </w:rPr>
        <w:t xml:space="preserve">derive great benefit </w:t>
      </w:r>
      <w:r w:rsidR="00522D55" w:rsidRPr="004936EF">
        <w:rPr>
          <w:lang w:val="en-US"/>
        </w:rPr>
        <w:t>from achieving the aims of the Convention</w:t>
      </w:r>
      <w:r w:rsidR="00CF1D3B" w:rsidRPr="004936EF">
        <w:rPr>
          <w:lang w:val="en-US"/>
        </w:rPr>
        <w:t xml:space="preserve"> i</w:t>
      </w:r>
      <w:r w:rsidR="00522D55" w:rsidRPr="004936EF">
        <w:rPr>
          <w:lang w:val="en-US"/>
        </w:rPr>
        <w:t xml:space="preserve">f awareness is raised in </w:t>
      </w:r>
      <w:r w:rsidR="00CF1D3B" w:rsidRPr="004936EF">
        <w:rPr>
          <w:lang w:val="en-US"/>
        </w:rPr>
        <w:t>an</w:t>
      </w:r>
      <w:r w:rsidR="00522D55" w:rsidRPr="004936EF">
        <w:rPr>
          <w:lang w:val="en-US"/>
        </w:rPr>
        <w:t xml:space="preserve"> appropriate way </w:t>
      </w:r>
      <w:r w:rsidRPr="004936EF">
        <w:rPr>
          <w:lang w:val="en-US"/>
        </w:rPr>
        <w:t>(OD</w:t>
      </w:r>
      <w:r w:rsidR="00A332BD" w:rsidRPr="004936EF">
        <w:rPr>
          <w:lang w:val="en-US"/>
        </w:rPr>
        <w:t>s</w:t>
      </w:r>
      <w:r w:rsidRPr="004936EF">
        <w:rPr>
          <w:lang w:val="en-US"/>
        </w:rPr>
        <w:t xml:space="preserve"> 101</w:t>
      </w:r>
      <w:r w:rsidR="00A332BD" w:rsidRPr="004936EF">
        <w:rPr>
          <w:lang w:val="en-US"/>
        </w:rPr>
        <w:t xml:space="preserve"> and </w:t>
      </w:r>
      <w:r w:rsidRPr="004936EF">
        <w:rPr>
          <w:lang w:val="en-US"/>
        </w:rPr>
        <w:t xml:space="preserve">102) </w:t>
      </w:r>
      <w:r w:rsidR="00522D55" w:rsidRPr="004936EF">
        <w:rPr>
          <w:lang w:val="en-US"/>
        </w:rPr>
        <w:t xml:space="preserve">and </w:t>
      </w:r>
      <w:r w:rsidRPr="004936EF">
        <w:rPr>
          <w:lang w:val="en-US"/>
        </w:rPr>
        <w:t xml:space="preserve">the </w:t>
      </w:r>
      <w:r w:rsidR="00522D55" w:rsidRPr="004936EF">
        <w:rPr>
          <w:lang w:val="en-US"/>
        </w:rPr>
        <w:t>ICH elements prioritized for safeguarding are in conformity with human rights and the requirements of sustainable development, respect and understanding between communities</w:t>
      </w:r>
      <w:r w:rsidRPr="004936EF">
        <w:rPr>
          <w:lang w:val="en-US"/>
        </w:rPr>
        <w:t xml:space="preserve"> (</w:t>
      </w:r>
      <w:r w:rsidR="00442E1A" w:rsidRPr="004936EF">
        <w:rPr>
          <w:lang w:val="en-US"/>
        </w:rPr>
        <w:t>Article </w:t>
      </w:r>
      <w:r w:rsidRPr="004936EF">
        <w:rPr>
          <w:lang w:val="en-US"/>
        </w:rPr>
        <w:t>2.1)</w:t>
      </w:r>
      <w:r w:rsidR="00522D55" w:rsidRPr="004936EF">
        <w:rPr>
          <w:lang w:val="en-US"/>
        </w:rPr>
        <w:t xml:space="preserve">. </w:t>
      </w:r>
    </w:p>
    <w:p w14:paraId="349CFF9D" w14:textId="42D14502" w:rsidR="00442E1A" w:rsidRDefault="007765F6" w:rsidP="004936EF">
      <w:pPr>
        <w:pStyle w:val="Heading6"/>
      </w:pPr>
      <w:proofErr w:type="gramStart"/>
      <w:r w:rsidRPr="00141792">
        <w:t>Slide</w:t>
      </w:r>
      <w:proofErr w:type="gramEnd"/>
      <w:r w:rsidRPr="00141792">
        <w:t xml:space="preserve"> </w:t>
      </w:r>
      <w:r w:rsidR="00A31758" w:rsidRPr="00141792">
        <w:t>6</w:t>
      </w:r>
      <w:r w:rsidR="00442E1A" w:rsidRPr="00141792">
        <w:t>.</w:t>
      </w:r>
    </w:p>
    <w:p w14:paraId="0606F920" w14:textId="77777777" w:rsidR="007765F6" w:rsidRPr="00AB0A71" w:rsidRDefault="007765F6" w:rsidP="004936EF">
      <w:pPr>
        <w:pStyle w:val="diapo2"/>
        <w:rPr>
          <w:lang w:val="en-US"/>
        </w:rPr>
      </w:pPr>
      <w:r w:rsidRPr="00AB0A71">
        <w:rPr>
          <w:lang w:val="en-US"/>
        </w:rPr>
        <w:t>Sustainable development</w:t>
      </w:r>
      <w:r w:rsidR="0028330A" w:rsidRPr="00AB0A71">
        <w:rPr>
          <w:lang w:val="en-US"/>
        </w:rPr>
        <w:t xml:space="preserve"> and ICH</w:t>
      </w:r>
    </w:p>
    <w:p w14:paraId="548FFC9B" w14:textId="2EA539FC" w:rsidR="009F0513" w:rsidRPr="004936EF" w:rsidRDefault="000518E8"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6E239C" w:rsidRPr="004936EF">
        <w:rPr>
          <w:lang w:val="en-US" w:eastAsia="en-US"/>
        </w:rPr>
        <w:t>Unit 8</w:t>
      </w:r>
      <w:r w:rsidR="008D2846" w:rsidRPr="00141792">
        <w:rPr>
          <w:lang w:val="en-GB"/>
        </w:rPr>
        <w:t>.1</w:t>
      </w:r>
      <w:r w:rsidRPr="00141792">
        <w:rPr>
          <w:lang w:val="en-GB"/>
        </w:rPr>
        <w:t>.</w:t>
      </w:r>
    </w:p>
    <w:p w14:paraId="32DA9C71" w14:textId="3985428A" w:rsidR="00442E1A" w:rsidRDefault="005E6E28" w:rsidP="004936EF">
      <w:pPr>
        <w:pStyle w:val="Heading6"/>
      </w:pPr>
      <w:proofErr w:type="gramStart"/>
      <w:r w:rsidRPr="00141792">
        <w:t>S</w:t>
      </w:r>
      <w:r w:rsidR="0047281C" w:rsidRPr="00141792">
        <w:t>lide</w:t>
      </w:r>
      <w:proofErr w:type="gramEnd"/>
      <w:r w:rsidR="0047281C" w:rsidRPr="00141792">
        <w:t xml:space="preserve"> 7</w:t>
      </w:r>
      <w:r w:rsidR="00442E1A" w:rsidRPr="00141792">
        <w:t>.</w:t>
      </w:r>
    </w:p>
    <w:p w14:paraId="07B059D8" w14:textId="77777777" w:rsidR="0047281C" w:rsidRPr="00AB0A71" w:rsidRDefault="00542174" w:rsidP="004936EF">
      <w:pPr>
        <w:pStyle w:val="diapo2"/>
        <w:rPr>
          <w:lang w:val="en-US"/>
        </w:rPr>
      </w:pPr>
      <w:r w:rsidRPr="00AB0A71">
        <w:rPr>
          <w:lang w:val="en-US"/>
        </w:rPr>
        <w:t xml:space="preserve">ICH </w:t>
      </w:r>
      <w:r w:rsidR="00412781" w:rsidRPr="00AB0A71">
        <w:rPr>
          <w:lang w:val="en-US"/>
        </w:rPr>
        <w:t>supporting</w:t>
      </w:r>
      <w:r w:rsidRPr="00AB0A71">
        <w:rPr>
          <w:lang w:val="en-US"/>
        </w:rPr>
        <w:t xml:space="preserve"> </w:t>
      </w:r>
      <w:r w:rsidR="000B50F4" w:rsidRPr="00AB0A71">
        <w:rPr>
          <w:lang w:val="en-US"/>
        </w:rPr>
        <w:t xml:space="preserve">social </w:t>
      </w:r>
      <w:r w:rsidRPr="00AB0A71">
        <w:rPr>
          <w:lang w:val="en-US"/>
        </w:rPr>
        <w:t>development</w:t>
      </w:r>
      <w:r w:rsidR="004F63F9" w:rsidRPr="00AB0A71">
        <w:rPr>
          <w:lang w:val="en-US"/>
        </w:rPr>
        <w:t xml:space="preserve">: the </w:t>
      </w:r>
      <w:r w:rsidR="00ED76DF" w:rsidRPr="00AB0A71">
        <w:rPr>
          <w:lang w:val="en-US"/>
        </w:rPr>
        <w:t>‘</w:t>
      </w:r>
      <w:r w:rsidR="004F63F9" w:rsidRPr="00AB0A71">
        <w:rPr>
          <w:lang w:val="en-US"/>
        </w:rPr>
        <w:t>Literacy through Poetry</w:t>
      </w:r>
      <w:r w:rsidR="00ED76DF" w:rsidRPr="00AB0A71">
        <w:rPr>
          <w:lang w:val="en-US"/>
        </w:rPr>
        <w:t>’</w:t>
      </w:r>
      <w:r w:rsidR="004F63F9" w:rsidRPr="00AB0A71">
        <w:rPr>
          <w:lang w:val="en-US"/>
        </w:rPr>
        <w:t xml:space="preserve"> project (Yemen)</w:t>
      </w:r>
    </w:p>
    <w:p w14:paraId="13736F31" w14:textId="13AE3338" w:rsidR="00981DBA" w:rsidRPr="004936EF" w:rsidRDefault="00F02D08" w:rsidP="009909DD">
      <w:pPr>
        <w:pStyle w:val="Texte1"/>
        <w:rPr>
          <w:lang w:val="en-US"/>
        </w:rPr>
      </w:pPr>
      <w:r>
        <w:rPr>
          <w:lang w:val="en-GB"/>
        </w:rPr>
        <w:t>Participant’s</w:t>
      </w:r>
      <w:r w:rsidR="002A3923">
        <w:rPr>
          <w:lang w:val="en-GB"/>
        </w:rPr>
        <w:t xml:space="preserve"> text </w:t>
      </w:r>
      <w:r w:rsidR="006E239C" w:rsidRPr="004936EF">
        <w:rPr>
          <w:lang w:val="en-US" w:eastAsia="en-US"/>
        </w:rPr>
        <w:t>Unit 8</w:t>
      </w:r>
      <w:r w:rsidR="008D2846" w:rsidRPr="00141792">
        <w:rPr>
          <w:lang w:val="en-GB"/>
        </w:rPr>
        <w:t>.2</w:t>
      </w:r>
      <w:r w:rsidR="00533965" w:rsidRPr="00141792">
        <w:rPr>
          <w:lang w:val="en-GB"/>
        </w:rPr>
        <w:t xml:space="preserve"> discusses how and why ICH can contribute to social development.</w:t>
      </w:r>
    </w:p>
    <w:p w14:paraId="4E7D555C" w14:textId="6811918F" w:rsidR="00DD0DF6" w:rsidRPr="004936EF" w:rsidRDefault="006E239C" w:rsidP="009909DD">
      <w:pPr>
        <w:pStyle w:val="Texte1"/>
        <w:rPr>
          <w:lang w:val="en-US"/>
        </w:rPr>
      </w:pPr>
      <w:r w:rsidRPr="004936EF">
        <w:rPr>
          <w:lang w:val="en-US"/>
        </w:rPr>
        <w:t>C</w:t>
      </w:r>
      <w:r w:rsidR="00442E1A" w:rsidRPr="004936EF">
        <w:rPr>
          <w:lang w:val="en-US"/>
        </w:rPr>
        <w:t>ase study </w:t>
      </w:r>
      <w:r w:rsidR="00B577F8" w:rsidRPr="004936EF">
        <w:rPr>
          <w:lang w:val="en-US"/>
        </w:rPr>
        <w:t>14</w:t>
      </w:r>
      <w:r w:rsidR="00ED76DF" w:rsidRPr="004936EF">
        <w:rPr>
          <w:lang w:val="en-US"/>
        </w:rPr>
        <w:t>,</w:t>
      </w:r>
      <w:r w:rsidR="004174FF" w:rsidRPr="004936EF">
        <w:rPr>
          <w:lang w:val="en-US"/>
        </w:rPr>
        <w:t xml:space="preserve"> gives the example of the </w:t>
      </w:r>
      <w:r w:rsidR="00ED76DF" w:rsidRPr="004936EF">
        <w:rPr>
          <w:lang w:val="en-US"/>
        </w:rPr>
        <w:t>‘</w:t>
      </w:r>
      <w:r w:rsidR="004174FF" w:rsidRPr="004936EF">
        <w:rPr>
          <w:lang w:val="en-US"/>
        </w:rPr>
        <w:t>Literacy through Poetry</w:t>
      </w:r>
      <w:r w:rsidR="00ED76DF" w:rsidRPr="004936EF">
        <w:rPr>
          <w:lang w:val="en-US"/>
        </w:rPr>
        <w:t>’</w:t>
      </w:r>
      <w:r w:rsidR="004174FF" w:rsidRPr="004936EF">
        <w:rPr>
          <w:lang w:val="en-US"/>
        </w:rPr>
        <w:t xml:space="preserve"> project </w:t>
      </w:r>
      <w:r w:rsidR="00ED76DF" w:rsidRPr="004936EF">
        <w:rPr>
          <w:lang w:val="en-US"/>
        </w:rPr>
        <w:t xml:space="preserve">in </w:t>
      </w:r>
      <w:r w:rsidR="004174FF" w:rsidRPr="004936EF">
        <w:rPr>
          <w:lang w:val="en-US"/>
        </w:rPr>
        <w:t>Yemen</w:t>
      </w:r>
      <w:r w:rsidR="00ED76DF" w:rsidRPr="004936EF">
        <w:rPr>
          <w:lang w:val="en-US"/>
        </w:rPr>
        <w:t>,</w:t>
      </w:r>
      <w:r w:rsidR="004174FF" w:rsidRPr="004936EF">
        <w:rPr>
          <w:lang w:val="en-US"/>
        </w:rPr>
        <w:t xml:space="preserve"> in which </w:t>
      </w:r>
      <w:r w:rsidR="00073C27" w:rsidRPr="004936EF">
        <w:rPr>
          <w:lang w:val="en-US"/>
        </w:rPr>
        <w:t>adults</w:t>
      </w:r>
      <w:r w:rsidR="004174FF" w:rsidRPr="004936EF">
        <w:rPr>
          <w:lang w:val="en-US"/>
        </w:rPr>
        <w:t xml:space="preserve"> were taught literacy skills using traditional forms of poetry</w:t>
      </w:r>
      <w:r w:rsidR="00721F1F" w:rsidRPr="004936EF">
        <w:rPr>
          <w:lang w:val="en-US"/>
        </w:rPr>
        <w:t>.</w:t>
      </w:r>
      <w:r w:rsidR="004F63F9" w:rsidRPr="004936EF">
        <w:rPr>
          <w:lang w:val="en-US"/>
        </w:rPr>
        <w:t xml:space="preserve"> The main points are summarized on the slide.</w:t>
      </w:r>
    </w:p>
    <w:p w14:paraId="39408ADB" w14:textId="30F74117" w:rsidR="00A37406" w:rsidRPr="00427DFD" w:rsidRDefault="005A71F8" w:rsidP="00427DFD">
      <w:pPr>
        <w:pStyle w:val="Soustitre"/>
        <w:rPr>
          <w:lang w:val="en-US" w:eastAsia="zh-CN"/>
        </w:rPr>
      </w:pPr>
      <w:bookmarkStart w:id="7" w:name="_Toc238982241"/>
      <w:r>
        <w:rPr>
          <w:lang w:val="en-US" w:eastAsia="zh-CN"/>
        </w:rPr>
        <w:t>Example</w:t>
      </w:r>
      <w:r w:rsidR="00A37406" w:rsidRPr="00427DFD">
        <w:rPr>
          <w:lang w:val="en-US" w:eastAsia="zh-CN"/>
        </w:rPr>
        <w:t xml:space="preserve"> of how ICH can promote social cohesion</w:t>
      </w:r>
      <w:bookmarkEnd w:id="7"/>
    </w:p>
    <w:p w14:paraId="7C1BC4A1" w14:textId="77777777" w:rsidR="00A37406" w:rsidRPr="004936EF" w:rsidRDefault="00A37406" w:rsidP="009909DD">
      <w:pPr>
        <w:pStyle w:val="Texte1"/>
        <w:rPr>
          <w:lang w:val="en-US"/>
        </w:rPr>
      </w:pPr>
      <w:r w:rsidRPr="00141792">
        <w:rPr>
          <w:lang w:val="en-GB"/>
        </w:rPr>
        <w:t>In Newfoundland and Labrador (Canada)</w:t>
      </w:r>
      <w:r w:rsidR="00ED76DF" w:rsidRPr="00141792">
        <w:rPr>
          <w:lang w:val="en-GB"/>
        </w:rPr>
        <w:t>,</w:t>
      </w:r>
      <w:r w:rsidRPr="00141792">
        <w:rPr>
          <w:lang w:val="en-GB"/>
        </w:rPr>
        <w:t xml:space="preserve"> the local government stimulates the revitalization of ICH practices in villages where cod fishing has collapsed as a source of income; </w:t>
      </w:r>
      <w:r w:rsidR="00ED76DF" w:rsidRPr="00141792">
        <w:rPr>
          <w:lang w:val="en-GB"/>
        </w:rPr>
        <w:t xml:space="preserve">it </w:t>
      </w:r>
      <w:r w:rsidRPr="00141792">
        <w:rPr>
          <w:lang w:val="en-GB"/>
        </w:rPr>
        <w:t xml:space="preserve">does so, among other reasons, to reinforce the sense of cohesion and identity of the villages concerned. </w:t>
      </w:r>
    </w:p>
    <w:p w14:paraId="505342DB" w14:textId="050A0919" w:rsidR="00442E1A" w:rsidRDefault="001E61A7" w:rsidP="004936EF">
      <w:pPr>
        <w:pStyle w:val="Heading6"/>
      </w:pPr>
      <w:proofErr w:type="gramStart"/>
      <w:r w:rsidRPr="00141792">
        <w:t>Slide</w:t>
      </w:r>
      <w:proofErr w:type="gramEnd"/>
      <w:r w:rsidRPr="00141792">
        <w:t xml:space="preserve"> 8</w:t>
      </w:r>
      <w:r w:rsidR="00442E1A" w:rsidRPr="00141792">
        <w:t>.</w:t>
      </w:r>
    </w:p>
    <w:p w14:paraId="2538BAD4" w14:textId="77777777" w:rsidR="001E61A7" w:rsidRPr="00AB0A71" w:rsidRDefault="001E61A7" w:rsidP="004936EF">
      <w:pPr>
        <w:pStyle w:val="diapo2"/>
        <w:rPr>
          <w:lang w:val="en-US"/>
        </w:rPr>
      </w:pPr>
      <w:r w:rsidRPr="00AB0A71">
        <w:rPr>
          <w:lang w:val="en-US"/>
        </w:rPr>
        <w:t>Material benefits from ICH practice</w:t>
      </w:r>
    </w:p>
    <w:p w14:paraId="0C6426BE" w14:textId="554D6D05" w:rsidR="001E61A7" w:rsidRPr="004936EF" w:rsidRDefault="00F02D08" w:rsidP="009909DD">
      <w:pPr>
        <w:pStyle w:val="Texte1"/>
        <w:rPr>
          <w:lang w:val="en-US"/>
        </w:rPr>
      </w:pPr>
      <w:r>
        <w:rPr>
          <w:lang w:val="en-GB"/>
        </w:rPr>
        <w:t>Participant’s</w:t>
      </w:r>
      <w:r w:rsidR="002A3923">
        <w:rPr>
          <w:lang w:val="en-GB"/>
        </w:rPr>
        <w:t xml:space="preserve"> text </w:t>
      </w:r>
      <w:r w:rsidR="006E239C" w:rsidRPr="004936EF">
        <w:rPr>
          <w:lang w:val="en-US" w:eastAsia="en-US"/>
        </w:rPr>
        <w:t>Unit 8</w:t>
      </w:r>
      <w:r w:rsidR="001E61A7" w:rsidRPr="00141792">
        <w:rPr>
          <w:lang w:val="en-GB"/>
        </w:rPr>
        <w:t xml:space="preserve">.3 mentions different ways in which ICH practice and transmission </w:t>
      </w:r>
      <w:r w:rsidR="006E1A69" w:rsidRPr="00141792">
        <w:rPr>
          <w:lang w:val="en-GB"/>
        </w:rPr>
        <w:t xml:space="preserve">may provide material benefits that </w:t>
      </w:r>
      <w:r w:rsidR="001E61A7" w:rsidRPr="00141792">
        <w:rPr>
          <w:lang w:val="en-GB"/>
        </w:rPr>
        <w:t>can contribute to the sustainable development of communities</w:t>
      </w:r>
      <w:r w:rsidR="00DE613B" w:rsidRPr="00141792">
        <w:rPr>
          <w:lang w:val="en-GB"/>
        </w:rPr>
        <w:t>.</w:t>
      </w:r>
    </w:p>
    <w:p w14:paraId="792F04B0" w14:textId="165C3595" w:rsidR="001E61A7" w:rsidRPr="00427DFD" w:rsidRDefault="005A71F8" w:rsidP="00427DFD">
      <w:pPr>
        <w:pStyle w:val="Soustitre"/>
        <w:rPr>
          <w:lang w:val="en-US" w:eastAsia="zh-CN"/>
        </w:rPr>
      </w:pPr>
      <w:bookmarkStart w:id="8" w:name="_Toc238982242"/>
      <w:r>
        <w:rPr>
          <w:lang w:val="en-US" w:eastAsia="zh-CN"/>
        </w:rPr>
        <w:t>Example</w:t>
      </w:r>
      <w:r w:rsidR="001E61A7" w:rsidRPr="00427DFD">
        <w:rPr>
          <w:lang w:val="en-US" w:eastAsia="zh-CN"/>
        </w:rPr>
        <w:t xml:space="preserve"> of the interrelationship between ICH practices and sustainable availability of specific natural resources</w:t>
      </w:r>
      <w:bookmarkEnd w:id="8"/>
    </w:p>
    <w:p w14:paraId="1BD3C096" w14:textId="77777777" w:rsidR="001E61A7" w:rsidRPr="004936EF" w:rsidRDefault="001E61A7" w:rsidP="009909DD">
      <w:pPr>
        <w:pStyle w:val="Texte1"/>
        <w:rPr>
          <w:lang w:val="en-US"/>
        </w:rPr>
      </w:pPr>
      <w:r w:rsidRPr="00141792">
        <w:rPr>
          <w:lang w:val="en-GB"/>
        </w:rPr>
        <w:t xml:space="preserve">Forests are planted and maintained to ensure a supply of specific kinds of wood for building wooden arched bridges in China. If the supply of this particular type of wood dries </w:t>
      </w:r>
      <w:r w:rsidRPr="00141792">
        <w:rPr>
          <w:lang w:val="en-GB"/>
        </w:rPr>
        <w:lastRenderedPageBreak/>
        <w:t xml:space="preserve">up, then certain bridge-building techniques may become more difficult or less durable, or the process of building with wood may become too expensive to continue. </w:t>
      </w:r>
    </w:p>
    <w:p w14:paraId="258FFCA8" w14:textId="77777777" w:rsidR="001E61A7" w:rsidRPr="004936EF" w:rsidRDefault="001E61A7" w:rsidP="009909DD">
      <w:pPr>
        <w:pStyle w:val="Texte1"/>
        <w:rPr>
          <w:lang w:val="en-US"/>
        </w:rPr>
      </w:pPr>
      <w:r w:rsidRPr="004936EF">
        <w:rPr>
          <w:lang w:val="en-US"/>
        </w:rPr>
        <w:t xml:space="preserve">The element Traditional design and practices for building Chinese wooden arch bridges was inscribed on the </w:t>
      </w:r>
      <w:r w:rsidR="00945155" w:rsidRPr="004936EF">
        <w:rPr>
          <w:lang w:val="en-US"/>
        </w:rPr>
        <w:t>USL</w:t>
      </w:r>
      <w:r w:rsidRPr="004936EF">
        <w:rPr>
          <w:lang w:val="en-US"/>
        </w:rPr>
        <w:t xml:space="preserve"> in 2009:</w:t>
      </w:r>
    </w:p>
    <w:p w14:paraId="237B5D8D" w14:textId="3C60E0F4" w:rsidR="00F65945" w:rsidRDefault="000754AA" w:rsidP="00374A0B">
      <w:pPr>
        <w:pStyle w:val="Texte1"/>
        <w:rPr>
          <w:lang w:val="en-US"/>
        </w:rPr>
      </w:pPr>
      <w:hyperlink r:id="rId12" w:history="1">
        <w:r w:rsidR="00F65945" w:rsidRPr="00374A0B">
          <w:rPr>
            <w:lang w:val="en-US"/>
          </w:rPr>
          <w:t>http://www.unesco.org/culture/ich/en/USL/00303</w:t>
        </w:r>
      </w:hyperlink>
    </w:p>
    <w:p w14:paraId="68778F29" w14:textId="3573806B" w:rsidR="001E61A7" w:rsidRPr="00427DFD" w:rsidRDefault="005A71F8" w:rsidP="00427DFD">
      <w:pPr>
        <w:pStyle w:val="Soustitre"/>
        <w:rPr>
          <w:lang w:val="en-US" w:eastAsia="zh-CN"/>
        </w:rPr>
      </w:pPr>
      <w:bookmarkStart w:id="9" w:name="_Toc238982243"/>
      <w:r>
        <w:rPr>
          <w:lang w:val="en-US" w:eastAsia="zh-CN"/>
        </w:rPr>
        <w:t>Example</w:t>
      </w:r>
      <w:r w:rsidR="001E61A7" w:rsidRPr="00427DFD">
        <w:rPr>
          <w:lang w:val="en-US" w:eastAsia="zh-CN"/>
        </w:rPr>
        <w:t xml:space="preserve"> of how ICH practices may enhance modern medical technologies and thus contribute to sustainable development</w:t>
      </w:r>
      <w:bookmarkEnd w:id="9"/>
    </w:p>
    <w:p w14:paraId="4DBC0930" w14:textId="122F303A" w:rsidR="001E61A7" w:rsidRPr="004936EF" w:rsidRDefault="001E61A7" w:rsidP="009909DD">
      <w:pPr>
        <w:pStyle w:val="Texte1"/>
        <w:rPr>
          <w:lang w:val="en-US"/>
        </w:rPr>
      </w:pPr>
      <w:r w:rsidRPr="00141792">
        <w:rPr>
          <w:lang w:val="en-GB"/>
        </w:rPr>
        <w:t xml:space="preserve">The integration of traditional and </w:t>
      </w:r>
      <w:r w:rsidR="00ED76DF" w:rsidRPr="00141792">
        <w:rPr>
          <w:lang w:val="en-GB"/>
        </w:rPr>
        <w:t>W</w:t>
      </w:r>
      <w:r w:rsidRPr="00141792">
        <w:rPr>
          <w:lang w:val="en-GB"/>
        </w:rPr>
        <w:t xml:space="preserve">estern medical treatments can </w:t>
      </w:r>
      <w:r w:rsidR="006C574E" w:rsidRPr="00141792">
        <w:rPr>
          <w:lang w:val="en-GB"/>
        </w:rPr>
        <w:t>bring</w:t>
      </w:r>
      <w:r w:rsidR="00ED76DF" w:rsidRPr="00141792">
        <w:rPr>
          <w:lang w:val="en-GB"/>
        </w:rPr>
        <w:t xml:space="preserve"> </w:t>
      </w:r>
      <w:r w:rsidRPr="00141792">
        <w:rPr>
          <w:lang w:val="en-GB"/>
        </w:rPr>
        <w:t xml:space="preserve">many benefits </w:t>
      </w:r>
      <w:r w:rsidR="00ED76DF" w:rsidRPr="00141792">
        <w:rPr>
          <w:lang w:val="en-GB"/>
        </w:rPr>
        <w:t xml:space="preserve">for </w:t>
      </w:r>
      <w:r w:rsidRPr="00141792">
        <w:rPr>
          <w:lang w:val="en-GB"/>
        </w:rPr>
        <w:t xml:space="preserve">patients. Traditional Chinese medicine has been integrated into the hospital system across most of China. This has had positive </w:t>
      </w:r>
      <w:r w:rsidR="00ED76DF" w:rsidRPr="00141792">
        <w:rPr>
          <w:lang w:val="en-GB"/>
        </w:rPr>
        <w:t>consequences</w:t>
      </w:r>
      <w:r w:rsidRPr="00141792">
        <w:rPr>
          <w:lang w:val="en-GB"/>
        </w:rPr>
        <w:t xml:space="preserve">. For example, one case study </w:t>
      </w:r>
      <w:r w:rsidR="006E239C" w:rsidRPr="004936EF">
        <w:rPr>
          <w:noProof/>
          <w:lang w:eastAsia="fr-FR"/>
        </w:rPr>
        <w:drawing>
          <wp:anchor distT="0" distB="0" distL="114300" distR="114300" simplePos="0" relativeHeight="251656192" behindDoc="0" locked="1" layoutInCell="1" allowOverlap="0" wp14:anchorId="671FA0C2" wp14:editId="6A403328">
            <wp:simplePos x="0" y="0"/>
            <wp:positionH relativeFrom="column">
              <wp:posOffset>0</wp:posOffset>
            </wp:positionH>
            <wp:positionV relativeFrom="paragraph">
              <wp:posOffset>-791845</wp:posOffset>
            </wp:positionV>
            <wp:extent cx="283210" cy="358775"/>
            <wp:effectExtent l="0" t="0" r="0" b="0"/>
            <wp:wrapThrough wrapText="bothSides">
              <wp:wrapPolygon edited="0">
                <wp:start x="0" y="0"/>
                <wp:lineTo x="0" y="19880"/>
                <wp:lineTo x="19372" y="19880"/>
                <wp:lineTo x="19372"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3">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Pr="00141792">
        <w:rPr>
          <w:lang w:val="en-GB"/>
        </w:rPr>
        <w:t>reported ‘effective treatment for diabetic foot ulcers with integration of traditional Chinese medicine and Western medicine’.</w:t>
      </w:r>
      <w:r w:rsidR="00427DFD">
        <w:rPr>
          <w:rStyle w:val="FootnoteReference"/>
          <w:lang w:val="en-GB"/>
        </w:rPr>
        <w:footnoteReference w:id="3"/>
      </w:r>
      <w:r w:rsidRPr="00141792">
        <w:rPr>
          <w:lang w:val="en-GB"/>
        </w:rPr>
        <w:t xml:space="preserve"> Similar programmes to combine traditional and </w:t>
      </w:r>
      <w:r w:rsidR="00ED76DF" w:rsidRPr="00141792">
        <w:rPr>
          <w:lang w:val="en-GB"/>
        </w:rPr>
        <w:t>W</w:t>
      </w:r>
      <w:r w:rsidRPr="00141792">
        <w:rPr>
          <w:lang w:val="en-GB"/>
        </w:rPr>
        <w:t xml:space="preserve">estern approaches to health care have been initiated in India and other </w:t>
      </w:r>
      <w:r w:rsidR="00ED76DF" w:rsidRPr="00141792">
        <w:rPr>
          <w:lang w:val="en-GB"/>
        </w:rPr>
        <w:t>States</w:t>
      </w:r>
      <w:r w:rsidRPr="00141792">
        <w:rPr>
          <w:lang w:val="en-GB"/>
        </w:rPr>
        <w:t>.</w:t>
      </w:r>
    </w:p>
    <w:p w14:paraId="41B9427D" w14:textId="1EE2C398" w:rsidR="00442E1A" w:rsidRDefault="00462CAC" w:rsidP="004936EF">
      <w:pPr>
        <w:pStyle w:val="Heading6"/>
      </w:pPr>
      <w:proofErr w:type="gramStart"/>
      <w:r w:rsidRPr="00141792">
        <w:t>Slide</w:t>
      </w:r>
      <w:proofErr w:type="gramEnd"/>
      <w:r w:rsidRPr="00141792">
        <w:t xml:space="preserve"> </w:t>
      </w:r>
      <w:r w:rsidR="00E106E3" w:rsidRPr="00141792">
        <w:t>9</w:t>
      </w:r>
      <w:r w:rsidR="00442E1A" w:rsidRPr="00141792">
        <w:t>.</w:t>
      </w:r>
    </w:p>
    <w:p w14:paraId="7B389D42" w14:textId="77777777" w:rsidR="00462CAC" w:rsidRPr="00AB0A71" w:rsidRDefault="00DE1F95" w:rsidP="004936EF">
      <w:pPr>
        <w:pStyle w:val="diapo2"/>
        <w:rPr>
          <w:lang w:val="en-US"/>
        </w:rPr>
      </w:pPr>
      <w:r w:rsidRPr="00AB0A71">
        <w:rPr>
          <w:lang w:val="en-US"/>
        </w:rPr>
        <w:t xml:space="preserve">Income generation </w:t>
      </w:r>
      <w:r w:rsidR="005E6E28" w:rsidRPr="00AB0A71">
        <w:rPr>
          <w:lang w:val="en-US"/>
        </w:rPr>
        <w:t>s</w:t>
      </w:r>
      <w:r w:rsidR="007F2984" w:rsidRPr="00AB0A71">
        <w:rPr>
          <w:lang w:val="en-US"/>
        </w:rPr>
        <w:t xml:space="preserve">upporting ICH: </w:t>
      </w:r>
      <w:r w:rsidR="00524D25" w:rsidRPr="00AB0A71">
        <w:rPr>
          <w:lang w:val="en-US"/>
        </w:rPr>
        <w:t xml:space="preserve">The </w:t>
      </w:r>
      <w:r w:rsidR="007F2984" w:rsidRPr="00AB0A71">
        <w:rPr>
          <w:lang w:val="en-US"/>
        </w:rPr>
        <w:t>Royal Ballet of Cambodia</w:t>
      </w:r>
    </w:p>
    <w:p w14:paraId="45F5E3BD" w14:textId="2B1258F9" w:rsidR="001E61A7" w:rsidRPr="004936EF" w:rsidRDefault="00F02D08" w:rsidP="009909DD">
      <w:pPr>
        <w:pStyle w:val="Texte1"/>
        <w:rPr>
          <w:lang w:val="en-US"/>
        </w:rPr>
      </w:pPr>
      <w:r>
        <w:rPr>
          <w:lang w:val="en-GB"/>
        </w:rPr>
        <w:t>Participant’s</w:t>
      </w:r>
      <w:r w:rsidR="002A3923">
        <w:rPr>
          <w:lang w:val="en-GB"/>
        </w:rPr>
        <w:t xml:space="preserve"> text </w:t>
      </w:r>
      <w:r w:rsidR="006E239C">
        <w:rPr>
          <w:lang w:val="en-GB"/>
        </w:rPr>
        <w:t>Unit 8</w:t>
      </w:r>
      <w:r w:rsidR="001E61A7" w:rsidRPr="00141792">
        <w:rPr>
          <w:lang w:val="en-GB"/>
        </w:rPr>
        <w:t>.3 explains that in some cases ICH has historically been linked to, and sustained by, income generation</w:t>
      </w:r>
      <w:r w:rsidR="00F8780B" w:rsidRPr="00141792">
        <w:rPr>
          <w:lang w:val="en-GB"/>
        </w:rPr>
        <w:t xml:space="preserve"> –</w:t>
      </w:r>
      <w:r w:rsidR="00DD7F30" w:rsidRPr="00141792">
        <w:rPr>
          <w:lang w:val="en-GB"/>
        </w:rPr>
        <w:t xml:space="preserve"> practitioners can be remunerated </w:t>
      </w:r>
      <w:r w:rsidR="001E61A7" w:rsidRPr="00141792">
        <w:rPr>
          <w:lang w:val="en-GB"/>
        </w:rPr>
        <w:t xml:space="preserve">either for practising the ICH, transmitting the ICH or for creating products. </w:t>
      </w:r>
    </w:p>
    <w:p w14:paraId="052E9FC2" w14:textId="77777777" w:rsidR="004F5D20" w:rsidRPr="004936EF" w:rsidRDefault="004F5D20" w:rsidP="009909DD">
      <w:pPr>
        <w:pStyle w:val="Texte1"/>
        <w:rPr>
          <w:lang w:val="en-US"/>
        </w:rPr>
      </w:pPr>
      <w:r w:rsidRPr="004936EF">
        <w:rPr>
          <w:lang w:val="en-US"/>
        </w:rPr>
        <w:t xml:space="preserve">The following three examples </w:t>
      </w:r>
      <w:r w:rsidR="00B84C33" w:rsidRPr="004936EF">
        <w:rPr>
          <w:lang w:val="en-US"/>
        </w:rPr>
        <w:t>(</w:t>
      </w:r>
      <w:r w:rsidRPr="004936EF">
        <w:rPr>
          <w:lang w:val="en-US"/>
        </w:rPr>
        <w:t>illustrate</w:t>
      </w:r>
      <w:r w:rsidR="00B84C33" w:rsidRPr="004936EF">
        <w:rPr>
          <w:lang w:val="en-US"/>
        </w:rPr>
        <w:t>d by slides) make</w:t>
      </w:r>
      <w:r w:rsidRPr="004936EF">
        <w:rPr>
          <w:lang w:val="en-US"/>
        </w:rPr>
        <w:t xml:space="preserve"> the</w:t>
      </w:r>
      <w:r w:rsidR="00B84C33" w:rsidRPr="004936EF">
        <w:rPr>
          <w:lang w:val="en-US"/>
        </w:rPr>
        <w:t xml:space="preserve"> same</w:t>
      </w:r>
      <w:r w:rsidRPr="004936EF">
        <w:rPr>
          <w:lang w:val="en-US"/>
        </w:rPr>
        <w:t xml:space="preserve"> points.</w:t>
      </w:r>
    </w:p>
    <w:p w14:paraId="68B37DA3" w14:textId="77777777" w:rsidR="00462CAC" w:rsidRPr="00374A0B" w:rsidRDefault="004F5D20" w:rsidP="00427DFD">
      <w:pPr>
        <w:pStyle w:val="Soustitre"/>
        <w:rPr>
          <w:lang w:val="en-US" w:eastAsia="zh-CN"/>
        </w:rPr>
      </w:pPr>
      <w:bookmarkStart w:id="10" w:name="_Toc238982244"/>
      <w:r w:rsidRPr="00427DFD">
        <w:rPr>
          <w:lang w:val="en-US" w:eastAsia="zh-CN"/>
        </w:rPr>
        <w:t xml:space="preserve">Paying performers: </w:t>
      </w:r>
      <w:r w:rsidR="00462CAC" w:rsidRPr="00427DFD">
        <w:rPr>
          <w:lang w:val="en-US" w:eastAsia="zh-CN"/>
        </w:rPr>
        <w:t xml:space="preserve">Khmer </w:t>
      </w:r>
      <w:r w:rsidR="006C574E" w:rsidRPr="00427DFD">
        <w:rPr>
          <w:lang w:val="en-US" w:eastAsia="zh-CN"/>
        </w:rPr>
        <w:t>C</w:t>
      </w:r>
      <w:r w:rsidR="00462CAC" w:rsidRPr="00427DFD">
        <w:rPr>
          <w:lang w:val="en-US" w:eastAsia="zh-CN"/>
        </w:rPr>
        <w:t xml:space="preserve">lassical </w:t>
      </w:r>
      <w:r w:rsidR="006C574E" w:rsidRPr="00427DFD">
        <w:rPr>
          <w:lang w:val="en-US" w:eastAsia="zh-CN"/>
        </w:rPr>
        <w:t>D</w:t>
      </w:r>
      <w:r w:rsidR="00462CAC" w:rsidRPr="00427DFD">
        <w:rPr>
          <w:lang w:val="en-US" w:eastAsia="zh-CN"/>
        </w:rPr>
        <w:t>ance</w:t>
      </w:r>
      <w:bookmarkEnd w:id="10"/>
    </w:p>
    <w:p w14:paraId="48E7BDD7" w14:textId="77777777" w:rsidR="00462CAC" w:rsidRPr="004936EF" w:rsidRDefault="00462CAC" w:rsidP="009909DD">
      <w:pPr>
        <w:pStyle w:val="Texte1"/>
        <w:rPr>
          <w:lang w:val="en-US"/>
        </w:rPr>
      </w:pPr>
      <w:r w:rsidRPr="00141792">
        <w:rPr>
          <w:lang w:val="en-GB"/>
        </w:rPr>
        <w:t xml:space="preserve">The Khmer court supported the Royal Ballet of Cambodia </w:t>
      </w:r>
      <w:r w:rsidR="00F8780B" w:rsidRPr="00141792">
        <w:rPr>
          <w:lang w:val="en-GB"/>
        </w:rPr>
        <w:t>(</w:t>
      </w:r>
      <w:r w:rsidRPr="00141792">
        <w:rPr>
          <w:lang w:val="en-GB"/>
        </w:rPr>
        <w:t>also known as Khmer Classical Dance</w:t>
      </w:r>
      <w:r w:rsidR="00F8780B" w:rsidRPr="00141792">
        <w:rPr>
          <w:lang w:val="en-GB"/>
        </w:rPr>
        <w:t>)</w:t>
      </w:r>
      <w:r w:rsidRPr="00141792">
        <w:rPr>
          <w:lang w:val="en-GB"/>
        </w:rPr>
        <w:t xml:space="preserve"> for over 1</w:t>
      </w:r>
      <w:r w:rsidR="00F8780B" w:rsidRPr="00141792">
        <w:rPr>
          <w:lang w:val="en-GB"/>
        </w:rPr>
        <w:t>,</w:t>
      </w:r>
      <w:r w:rsidRPr="00141792">
        <w:rPr>
          <w:lang w:val="en-GB"/>
        </w:rPr>
        <w:t xml:space="preserve">000 years, </w:t>
      </w:r>
      <w:r w:rsidR="00F8780B" w:rsidRPr="00141792">
        <w:rPr>
          <w:lang w:val="en-GB"/>
        </w:rPr>
        <w:t xml:space="preserve">paying </w:t>
      </w:r>
      <w:r w:rsidRPr="00141792">
        <w:rPr>
          <w:lang w:val="en-GB"/>
        </w:rPr>
        <w:t>the dancers and providing them with a space to train in the palace. Under the Khmer Rouge, the Royal Ballet not only lost its sponsor, it was actively repressed. After Pol Pot’s defeat in 1979, dance troupes re-emerged and performances resumed. The ballet has regained much of its former splendour but still faces numerous difficulties, such as a lack of funding and suitable performance spaces.</w:t>
      </w:r>
    </w:p>
    <w:p w14:paraId="7D6AC2F5" w14:textId="77777777" w:rsidR="00462CAC" w:rsidRPr="004936EF" w:rsidRDefault="00462CAC" w:rsidP="009909DD">
      <w:pPr>
        <w:pStyle w:val="Texte1"/>
        <w:rPr>
          <w:lang w:val="en-US"/>
        </w:rPr>
      </w:pPr>
      <w:r w:rsidRPr="004936EF">
        <w:rPr>
          <w:lang w:val="en-US"/>
        </w:rPr>
        <w:t xml:space="preserve">The Royal Ballet of Cambodia was inscribed on the </w:t>
      </w:r>
      <w:r w:rsidR="00693C9E" w:rsidRPr="004936EF">
        <w:rPr>
          <w:lang w:val="en-US"/>
        </w:rPr>
        <w:t>RL</w:t>
      </w:r>
      <w:r w:rsidRPr="004936EF">
        <w:rPr>
          <w:lang w:val="en-US"/>
        </w:rPr>
        <w:t xml:space="preserve"> </w:t>
      </w:r>
      <w:r w:rsidR="00F8780B" w:rsidRPr="004936EF">
        <w:rPr>
          <w:lang w:val="en-US"/>
        </w:rPr>
        <w:t xml:space="preserve">in 2008 </w:t>
      </w:r>
      <w:r w:rsidRPr="004936EF">
        <w:rPr>
          <w:lang w:val="en-US"/>
        </w:rPr>
        <w:t>(</w:t>
      </w:r>
      <w:r w:rsidR="00F8780B" w:rsidRPr="004936EF">
        <w:rPr>
          <w:lang w:val="en-US"/>
        </w:rPr>
        <w:t xml:space="preserve">it was </w:t>
      </w:r>
      <w:r w:rsidRPr="004936EF">
        <w:rPr>
          <w:lang w:val="en-US"/>
        </w:rPr>
        <w:t>originally proclaimed a Masterpiece of the Oral and Intangible Heritage of Humanity in 2003).</w:t>
      </w:r>
    </w:p>
    <w:p w14:paraId="03C639C1" w14:textId="77777777" w:rsidR="004764C4" w:rsidRPr="004936EF" w:rsidRDefault="004764C4" w:rsidP="009909DD">
      <w:pPr>
        <w:pStyle w:val="Texte1"/>
        <w:rPr>
          <w:lang w:val="en-US"/>
        </w:rPr>
      </w:pPr>
      <w:r w:rsidRPr="004936EF">
        <w:rPr>
          <w:lang w:val="en-US"/>
        </w:rPr>
        <w:t xml:space="preserve">Performances would traditionally accompany royal ceremonies and observances such as coronations, marriages, funerals or Khmer holidays. The dancers were considered the kings’ messengers to the gods and to the ancestors. The dances tell the legends associated with the origins of the Khmer people and represent the traditional values of refinement, respect and spirituality. Four distinct character types exist in the classical repertory: </w:t>
      </w:r>
      <w:proofErr w:type="spellStart"/>
      <w:r w:rsidRPr="004936EF">
        <w:rPr>
          <w:lang w:val="en-US"/>
        </w:rPr>
        <w:t>Neang</w:t>
      </w:r>
      <w:proofErr w:type="spellEnd"/>
      <w:r w:rsidRPr="004936EF">
        <w:rPr>
          <w:lang w:val="en-US"/>
        </w:rPr>
        <w:t xml:space="preserve"> the woman, </w:t>
      </w:r>
      <w:proofErr w:type="spellStart"/>
      <w:r w:rsidRPr="004936EF">
        <w:rPr>
          <w:lang w:val="en-US"/>
        </w:rPr>
        <w:t>Neayrong</w:t>
      </w:r>
      <w:proofErr w:type="spellEnd"/>
      <w:r w:rsidRPr="004936EF">
        <w:rPr>
          <w:lang w:val="en-US"/>
        </w:rPr>
        <w:t xml:space="preserve"> the man, </w:t>
      </w:r>
      <w:proofErr w:type="spellStart"/>
      <w:r w:rsidRPr="004936EF">
        <w:rPr>
          <w:lang w:val="en-US"/>
        </w:rPr>
        <w:t>Yeak</w:t>
      </w:r>
      <w:proofErr w:type="spellEnd"/>
      <w:r w:rsidRPr="004936EF">
        <w:rPr>
          <w:lang w:val="en-US"/>
        </w:rPr>
        <w:t xml:space="preserve"> the giant and </w:t>
      </w:r>
      <w:proofErr w:type="spellStart"/>
      <w:r w:rsidRPr="004936EF">
        <w:rPr>
          <w:lang w:val="en-US"/>
        </w:rPr>
        <w:t>Sva</w:t>
      </w:r>
      <w:proofErr w:type="spellEnd"/>
      <w:r w:rsidRPr="004936EF">
        <w:rPr>
          <w:lang w:val="en-US"/>
        </w:rPr>
        <w:t xml:space="preserve"> the monkey. Each </w:t>
      </w:r>
      <w:r w:rsidR="00F8780B" w:rsidRPr="004936EF">
        <w:rPr>
          <w:lang w:val="en-US"/>
        </w:rPr>
        <w:t xml:space="preserve">has </w:t>
      </w:r>
      <w:r w:rsidRPr="004936EF">
        <w:rPr>
          <w:lang w:val="en-US"/>
        </w:rPr>
        <w:t xml:space="preserve">distinctive </w:t>
      </w:r>
      <w:proofErr w:type="spellStart"/>
      <w:r w:rsidRPr="004936EF">
        <w:rPr>
          <w:lang w:val="en-US"/>
        </w:rPr>
        <w:t>colours</w:t>
      </w:r>
      <w:proofErr w:type="spellEnd"/>
      <w:r w:rsidRPr="004936EF">
        <w:rPr>
          <w:lang w:val="en-US"/>
        </w:rPr>
        <w:t xml:space="preserve">, costumes, </w:t>
      </w:r>
      <w:r w:rsidR="008A2ADC" w:rsidRPr="004936EF">
        <w:rPr>
          <w:lang w:val="en-US"/>
        </w:rPr>
        <w:t>make-up</w:t>
      </w:r>
      <w:r w:rsidRPr="004936EF">
        <w:rPr>
          <w:lang w:val="en-US"/>
        </w:rPr>
        <w:t xml:space="preserve"> and masks. The gestures and poses, mastered by the dancers only after years of intensive training, evoke the gamut of human emotions, from fear and rage to love and joy. An orchestra accompanies the dance, and a female chorus provides a running commentary on the plot. </w:t>
      </w:r>
    </w:p>
    <w:p w14:paraId="66A24141" w14:textId="61DAAB69" w:rsidR="00442E1A" w:rsidRDefault="00462CAC" w:rsidP="004936EF">
      <w:pPr>
        <w:pStyle w:val="Heading6"/>
      </w:pPr>
      <w:proofErr w:type="gramStart"/>
      <w:r w:rsidRPr="00141792">
        <w:lastRenderedPageBreak/>
        <w:t>Slide</w:t>
      </w:r>
      <w:proofErr w:type="gramEnd"/>
      <w:r w:rsidRPr="00141792">
        <w:t xml:space="preserve"> </w:t>
      </w:r>
      <w:r w:rsidR="00E106E3" w:rsidRPr="00141792">
        <w:t>10</w:t>
      </w:r>
      <w:r w:rsidR="00442E1A" w:rsidRPr="00141792">
        <w:t>.</w:t>
      </w:r>
    </w:p>
    <w:p w14:paraId="79AE57E4" w14:textId="56F536BC" w:rsidR="00462CAC" w:rsidRPr="00AB0A71" w:rsidRDefault="00B85638" w:rsidP="004936EF">
      <w:pPr>
        <w:pStyle w:val="diapo2"/>
        <w:rPr>
          <w:lang w:val="en-US"/>
        </w:rPr>
      </w:pPr>
      <w:r w:rsidRPr="00AB0A71">
        <w:rPr>
          <w:lang w:val="en-US"/>
        </w:rPr>
        <w:t>Paying for products and the transmission of knowledge</w:t>
      </w:r>
      <w:r w:rsidR="008A2ADC" w:rsidRPr="00AB0A71">
        <w:rPr>
          <w:lang w:val="en-US"/>
        </w:rPr>
        <w:t>:</w:t>
      </w:r>
      <w:r w:rsidRPr="00AB0A71">
        <w:rPr>
          <w:lang w:val="en-US"/>
        </w:rPr>
        <w:t xml:space="preserve"> </w:t>
      </w:r>
      <w:r w:rsidR="006E239C" w:rsidRPr="00AB0A71">
        <w:rPr>
          <w:lang w:val="en-US"/>
        </w:rPr>
        <w:tab/>
      </w:r>
      <w:r w:rsidR="006E239C" w:rsidRPr="00AB0A71">
        <w:rPr>
          <w:lang w:val="en-US"/>
        </w:rPr>
        <w:br/>
      </w:r>
      <w:r w:rsidR="005F5DA8" w:rsidRPr="00AB0A71">
        <w:rPr>
          <w:lang w:val="en-US"/>
        </w:rPr>
        <w:t>C</w:t>
      </w:r>
      <w:r w:rsidRPr="00AB0A71">
        <w:rPr>
          <w:lang w:val="en-US"/>
        </w:rPr>
        <w:t>hinese wooden bridge</w:t>
      </w:r>
      <w:r w:rsidR="00FE2751" w:rsidRPr="00AB0A71">
        <w:rPr>
          <w:lang w:val="en-US"/>
        </w:rPr>
        <w:t>-</w:t>
      </w:r>
      <w:r w:rsidRPr="00AB0A71">
        <w:rPr>
          <w:lang w:val="en-US"/>
        </w:rPr>
        <w:t>making</w:t>
      </w:r>
    </w:p>
    <w:p w14:paraId="306EBAA5" w14:textId="77777777" w:rsidR="004764C4" w:rsidRPr="004936EF" w:rsidRDefault="0052773B" w:rsidP="009909DD">
      <w:pPr>
        <w:pStyle w:val="Texte1"/>
        <w:rPr>
          <w:lang w:val="en-US"/>
        </w:rPr>
      </w:pPr>
      <w:r w:rsidRPr="00141792">
        <w:rPr>
          <w:lang w:val="en-GB"/>
        </w:rPr>
        <w:t xml:space="preserve">Traditional design and practices for building Chinese wooden arch bridges was inscribed on the </w:t>
      </w:r>
      <w:r w:rsidR="008A2ADC" w:rsidRPr="00141792">
        <w:rPr>
          <w:lang w:val="en-GB"/>
        </w:rPr>
        <w:t>USL in 2009</w:t>
      </w:r>
      <w:r w:rsidRPr="00141792">
        <w:rPr>
          <w:lang w:val="en-GB"/>
        </w:rPr>
        <w:t xml:space="preserve">. </w:t>
      </w:r>
    </w:p>
    <w:p w14:paraId="22FB0650" w14:textId="77777777" w:rsidR="00261C53" w:rsidRPr="004936EF" w:rsidRDefault="00462CAC" w:rsidP="009909DD">
      <w:pPr>
        <w:pStyle w:val="Texte1"/>
        <w:rPr>
          <w:lang w:val="en-US"/>
        </w:rPr>
      </w:pPr>
      <w:r w:rsidRPr="004936EF">
        <w:rPr>
          <w:lang w:val="en-US"/>
        </w:rPr>
        <w:t>Today, the bridges are found mainly in Fujian and Zhejiang Province</w:t>
      </w:r>
      <w:r w:rsidR="00C52783" w:rsidRPr="004936EF">
        <w:rPr>
          <w:lang w:val="en-US"/>
        </w:rPr>
        <w:t>s</w:t>
      </w:r>
      <w:r w:rsidRPr="004936EF">
        <w:rPr>
          <w:lang w:val="en-US"/>
        </w:rPr>
        <w:t>, along China’s south-east</w:t>
      </w:r>
      <w:r w:rsidR="00147657" w:rsidRPr="004936EF">
        <w:rPr>
          <w:lang w:val="en-US"/>
        </w:rPr>
        <w:t>ern</w:t>
      </w:r>
      <w:r w:rsidRPr="004936EF">
        <w:rPr>
          <w:lang w:val="en-US"/>
        </w:rPr>
        <w:t xml:space="preserve"> coast: many of them are hundreds of years old. In rural areas</w:t>
      </w:r>
      <w:r w:rsidR="00147657" w:rsidRPr="004936EF">
        <w:rPr>
          <w:lang w:val="en-US"/>
        </w:rPr>
        <w:t>,</w:t>
      </w:r>
      <w:r w:rsidRPr="004936EF">
        <w:rPr>
          <w:lang w:val="en-US"/>
        </w:rPr>
        <w:t xml:space="preserve"> the bridges improve communication</w:t>
      </w:r>
      <w:r w:rsidR="00147657" w:rsidRPr="004936EF">
        <w:rPr>
          <w:lang w:val="en-US"/>
        </w:rPr>
        <w:t>s</w:t>
      </w:r>
      <w:r w:rsidRPr="004936EF">
        <w:rPr>
          <w:lang w:val="en-US"/>
        </w:rPr>
        <w:t xml:space="preserve"> and trade between villages and act as venues for social gatherings and religious activit</w:t>
      </w:r>
      <w:r w:rsidR="00F06CB7" w:rsidRPr="004936EF">
        <w:rPr>
          <w:lang w:val="en-US"/>
        </w:rPr>
        <w:t>ies</w:t>
      </w:r>
      <w:r w:rsidRPr="004936EF">
        <w:rPr>
          <w:lang w:val="en-US"/>
        </w:rPr>
        <w:t xml:space="preserve">. The woodworking master designs the bridge and directs the carpentry work (including the use of techniques such as ‘beam-weaving’ and mortise and </w:t>
      </w:r>
      <w:proofErr w:type="spellStart"/>
      <w:r w:rsidRPr="004936EF">
        <w:rPr>
          <w:lang w:val="en-US"/>
        </w:rPr>
        <w:t>tenon</w:t>
      </w:r>
      <w:proofErr w:type="spellEnd"/>
      <w:r w:rsidRPr="004936EF">
        <w:rPr>
          <w:lang w:val="en-US"/>
        </w:rPr>
        <w:t xml:space="preserve"> joints). He places his name on the underside of the bridge, thus advertising his skills and enhancing his status. He transmits his skills and knowledge orally and through personal demonstration to apprentices within bridge-building clans. Today it is difficult to attract new apprentices or secure work for all woodworkers because new wooden bridges are no longer in high demand. This is due to rapid urbanization, the unsuitability of wooden bridges for carrying heavy vehicles and </w:t>
      </w:r>
      <w:r w:rsidR="00AF3C00" w:rsidRPr="004936EF">
        <w:rPr>
          <w:lang w:val="en-US"/>
        </w:rPr>
        <w:t xml:space="preserve">the </w:t>
      </w:r>
      <w:r w:rsidRPr="004936EF">
        <w:rPr>
          <w:lang w:val="en-US"/>
        </w:rPr>
        <w:t>scarcity of timber.</w:t>
      </w:r>
    </w:p>
    <w:p w14:paraId="132DF1A6" w14:textId="77777777" w:rsidR="00261C53" w:rsidRPr="004936EF" w:rsidRDefault="00261C53" w:rsidP="009909DD">
      <w:pPr>
        <w:pStyle w:val="Texte1"/>
        <w:rPr>
          <w:lang w:val="en-US"/>
        </w:rPr>
      </w:pPr>
      <w:r w:rsidRPr="004936EF">
        <w:rPr>
          <w:lang w:val="en-US"/>
        </w:rPr>
        <w:t>Master builders and other wood</w:t>
      </w:r>
      <w:r w:rsidR="00C52783" w:rsidRPr="004936EF">
        <w:rPr>
          <w:lang w:val="en-US"/>
        </w:rPr>
        <w:t>-</w:t>
      </w:r>
      <w:r w:rsidRPr="004936EF">
        <w:rPr>
          <w:lang w:val="en-US"/>
        </w:rPr>
        <w:t xml:space="preserve"> and stone</w:t>
      </w:r>
      <w:r w:rsidR="00C52783" w:rsidRPr="004936EF">
        <w:rPr>
          <w:lang w:val="en-US"/>
        </w:rPr>
        <w:t>-</w:t>
      </w:r>
      <w:r w:rsidRPr="004936EF">
        <w:rPr>
          <w:lang w:val="en-US"/>
        </w:rPr>
        <w:t>workers building Chinese wooden arched bridges have traditionally been paid for their work; even today</w:t>
      </w:r>
      <w:r w:rsidR="00D51C43" w:rsidRPr="004936EF">
        <w:rPr>
          <w:lang w:val="en-US"/>
        </w:rPr>
        <w:t>,</w:t>
      </w:r>
      <w:r w:rsidRPr="004936EF">
        <w:rPr>
          <w:lang w:val="en-US"/>
        </w:rPr>
        <w:t xml:space="preserve"> building and repairing such bridges constitutes paid employment. These masters choose apprentices from certain clans. </w:t>
      </w:r>
    </w:p>
    <w:p w14:paraId="649C24D3" w14:textId="1CEED49B" w:rsidR="00442E1A" w:rsidRDefault="00462CAC" w:rsidP="004936EF">
      <w:pPr>
        <w:pStyle w:val="Heading6"/>
      </w:pPr>
      <w:proofErr w:type="gramStart"/>
      <w:r w:rsidRPr="00141792">
        <w:t>Slide</w:t>
      </w:r>
      <w:proofErr w:type="gramEnd"/>
      <w:r w:rsidRPr="00141792">
        <w:t xml:space="preserve"> </w:t>
      </w:r>
      <w:r w:rsidR="00E106E3" w:rsidRPr="00141792">
        <w:t>11</w:t>
      </w:r>
      <w:r w:rsidR="00442E1A" w:rsidRPr="00141792">
        <w:t>.</w:t>
      </w:r>
    </w:p>
    <w:p w14:paraId="553DA358" w14:textId="77777777" w:rsidR="00462CAC" w:rsidRPr="00AB0A71" w:rsidRDefault="00C94393" w:rsidP="004936EF">
      <w:pPr>
        <w:pStyle w:val="diapo2"/>
        <w:rPr>
          <w:lang w:val="en-US"/>
        </w:rPr>
      </w:pPr>
      <w:r w:rsidRPr="00AB0A71">
        <w:rPr>
          <w:lang w:val="en-US"/>
        </w:rPr>
        <w:t xml:space="preserve">Paying for products </w:t>
      </w:r>
      <w:r w:rsidR="00D51C43" w:rsidRPr="00AB0A71">
        <w:rPr>
          <w:lang w:val="en-US"/>
        </w:rPr>
        <w:t xml:space="preserve">that </w:t>
      </w:r>
      <w:r w:rsidR="002B5A8B" w:rsidRPr="00AB0A71">
        <w:rPr>
          <w:lang w:val="en-US"/>
        </w:rPr>
        <w:t>s</w:t>
      </w:r>
      <w:r w:rsidR="00462CAC" w:rsidRPr="00AB0A71">
        <w:rPr>
          <w:lang w:val="en-US"/>
        </w:rPr>
        <w:t>upport ICH</w:t>
      </w:r>
      <w:r w:rsidRPr="00AB0A71">
        <w:rPr>
          <w:lang w:val="en-US"/>
        </w:rPr>
        <w:t xml:space="preserve">: </w:t>
      </w:r>
      <w:r w:rsidR="002B5A8B" w:rsidRPr="00AB0A71">
        <w:rPr>
          <w:lang w:val="en-US"/>
        </w:rPr>
        <w:t>C</w:t>
      </w:r>
      <w:r w:rsidRPr="00AB0A71">
        <w:rPr>
          <w:lang w:val="en-US"/>
        </w:rPr>
        <w:t>roatian lacemaking</w:t>
      </w:r>
    </w:p>
    <w:p w14:paraId="38B04800" w14:textId="77777777" w:rsidR="004764C4" w:rsidRPr="004936EF" w:rsidRDefault="00C94393" w:rsidP="009909DD">
      <w:pPr>
        <w:pStyle w:val="Texte1"/>
        <w:rPr>
          <w:lang w:val="en-US"/>
        </w:rPr>
      </w:pPr>
      <w:r w:rsidRPr="00141792">
        <w:rPr>
          <w:lang w:val="en-GB"/>
        </w:rPr>
        <w:t xml:space="preserve">Lacemaking in Croatia was inscribed on the </w:t>
      </w:r>
      <w:r w:rsidR="00693C9E" w:rsidRPr="00141792">
        <w:rPr>
          <w:lang w:val="en-GB"/>
        </w:rPr>
        <w:t>RL</w:t>
      </w:r>
      <w:r w:rsidR="00097C47" w:rsidRPr="00141792">
        <w:rPr>
          <w:lang w:val="en-GB"/>
        </w:rPr>
        <w:t xml:space="preserve"> in 2009</w:t>
      </w:r>
      <w:r w:rsidRPr="00141792">
        <w:rPr>
          <w:lang w:val="en-GB"/>
        </w:rPr>
        <w:t xml:space="preserve">. </w:t>
      </w:r>
    </w:p>
    <w:p w14:paraId="5DC70A74" w14:textId="77777777" w:rsidR="00462CAC" w:rsidRPr="004936EF" w:rsidRDefault="00462CAC" w:rsidP="009909DD">
      <w:pPr>
        <w:pStyle w:val="Texte1"/>
        <w:rPr>
          <w:lang w:val="en-US"/>
        </w:rPr>
      </w:pPr>
      <w:r w:rsidRPr="004936EF">
        <w:rPr>
          <w:lang w:val="en-US"/>
        </w:rPr>
        <w:t xml:space="preserve">At least three distinct traditions of </w:t>
      </w:r>
      <w:r w:rsidR="00C94393" w:rsidRPr="004936EF">
        <w:rPr>
          <w:lang w:val="en-US"/>
        </w:rPr>
        <w:t>l</w:t>
      </w:r>
      <w:r w:rsidRPr="004936EF">
        <w:rPr>
          <w:lang w:val="en-US"/>
        </w:rPr>
        <w:t xml:space="preserve">acemaking in Croatia persist today, </w:t>
      </w:r>
      <w:proofErr w:type="spellStart"/>
      <w:r w:rsidRPr="004936EF">
        <w:rPr>
          <w:lang w:val="en-US"/>
        </w:rPr>
        <w:t>centred</w:t>
      </w:r>
      <w:proofErr w:type="spellEnd"/>
      <w:r w:rsidRPr="004936EF">
        <w:rPr>
          <w:lang w:val="en-US"/>
        </w:rPr>
        <w:t xml:space="preserve"> on the towns of </w:t>
      </w:r>
      <w:proofErr w:type="spellStart"/>
      <w:r w:rsidRPr="004936EF">
        <w:rPr>
          <w:lang w:val="en-US"/>
        </w:rPr>
        <w:t>Pag</w:t>
      </w:r>
      <w:proofErr w:type="spellEnd"/>
      <w:r w:rsidRPr="004936EF">
        <w:rPr>
          <w:lang w:val="en-US"/>
        </w:rPr>
        <w:t xml:space="preserve"> on the Adriatic, </w:t>
      </w:r>
      <w:proofErr w:type="spellStart"/>
      <w:r w:rsidRPr="004936EF">
        <w:rPr>
          <w:lang w:val="en-US"/>
        </w:rPr>
        <w:t>Lepoglava</w:t>
      </w:r>
      <w:proofErr w:type="spellEnd"/>
      <w:r w:rsidRPr="004936EF">
        <w:rPr>
          <w:lang w:val="en-US"/>
        </w:rPr>
        <w:t xml:space="preserve"> in northern Croatia and </w:t>
      </w:r>
      <w:proofErr w:type="spellStart"/>
      <w:r w:rsidRPr="004936EF">
        <w:rPr>
          <w:lang w:val="en-US"/>
        </w:rPr>
        <w:t>Hvar</w:t>
      </w:r>
      <w:proofErr w:type="spellEnd"/>
      <w:r w:rsidRPr="004936EF">
        <w:rPr>
          <w:lang w:val="en-US"/>
        </w:rPr>
        <w:t xml:space="preserve"> on the Dalmatian island of the same name. </w:t>
      </w:r>
      <w:proofErr w:type="spellStart"/>
      <w:r w:rsidRPr="004936EF">
        <w:rPr>
          <w:lang w:val="en-US"/>
        </w:rPr>
        <w:t>Pag</w:t>
      </w:r>
      <w:proofErr w:type="spellEnd"/>
      <w:r w:rsidRPr="004936EF">
        <w:rPr>
          <w:lang w:val="en-US"/>
        </w:rPr>
        <w:t xml:space="preserve"> needle-point lace was originally used to make ecclesiastical garments, tablecloths and ornaments for clothing. The process</w:t>
      </w:r>
      <w:r w:rsidR="00097C47" w:rsidRPr="004936EF">
        <w:rPr>
          <w:lang w:val="en-US"/>
        </w:rPr>
        <w:t>, which</w:t>
      </w:r>
      <w:r w:rsidRPr="004936EF">
        <w:rPr>
          <w:lang w:val="en-US"/>
        </w:rPr>
        <w:t xml:space="preserve"> involves embellishing a spider</w:t>
      </w:r>
      <w:r w:rsidR="00097C47" w:rsidRPr="004936EF">
        <w:rPr>
          <w:lang w:val="en-US"/>
        </w:rPr>
        <w:t>-</w:t>
      </w:r>
      <w:r w:rsidRPr="004936EF">
        <w:rPr>
          <w:lang w:val="en-US"/>
        </w:rPr>
        <w:t>web pattern with geometrical motifs</w:t>
      </w:r>
      <w:r w:rsidR="00097C47" w:rsidRPr="004936EF">
        <w:rPr>
          <w:lang w:val="en-US"/>
        </w:rPr>
        <w:t>,</w:t>
      </w:r>
      <w:r w:rsidRPr="004936EF">
        <w:rPr>
          <w:lang w:val="en-US"/>
        </w:rPr>
        <w:t xml:space="preserve"> is transmitted today by older women who offer year-long courses. </w:t>
      </w:r>
      <w:proofErr w:type="spellStart"/>
      <w:r w:rsidRPr="004936EF">
        <w:rPr>
          <w:lang w:val="en-US"/>
        </w:rPr>
        <w:t>Lepoglava</w:t>
      </w:r>
      <w:proofErr w:type="spellEnd"/>
      <w:r w:rsidRPr="004936EF">
        <w:rPr>
          <w:lang w:val="en-US"/>
        </w:rPr>
        <w:t xml:space="preserve"> bobbin lace is made by braiding thread wound on spindles or bobbins; it is often used to make lace ribbons for folk costumes </w:t>
      </w:r>
      <w:r w:rsidR="00341CC2" w:rsidRPr="004936EF">
        <w:rPr>
          <w:lang w:val="en-US"/>
        </w:rPr>
        <w:t xml:space="preserve">and it </w:t>
      </w:r>
      <w:r w:rsidRPr="004936EF">
        <w:rPr>
          <w:lang w:val="en-US"/>
        </w:rPr>
        <w:t xml:space="preserve">is sold at village fairs. Aloe lace is made only by Benedictine nuns in the town of </w:t>
      </w:r>
      <w:proofErr w:type="spellStart"/>
      <w:r w:rsidRPr="004936EF">
        <w:rPr>
          <w:lang w:val="en-US"/>
        </w:rPr>
        <w:t>Hvar</w:t>
      </w:r>
      <w:proofErr w:type="spellEnd"/>
      <w:r w:rsidRPr="004936EF">
        <w:rPr>
          <w:lang w:val="en-US"/>
        </w:rPr>
        <w:t xml:space="preserve">. Thin white threads are obtained from the core of fresh aloe leaves and woven into a net or other pattern on a cardboard background. </w:t>
      </w:r>
    </w:p>
    <w:p w14:paraId="37E8F7E8" w14:textId="77777777" w:rsidR="00C94393" w:rsidRPr="004936EF" w:rsidRDefault="00C94393" w:rsidP="009909DD">
      <w:pPr>
        <w:pStyle w:val="Texte1"/>
        <w:rPr>
          <w:lang w:val="en-US"/>
        </w:rPr>
      </w:pPr>
      <w:r w:rsidRPr="004936EF">
        <w:rPr>
          <w:lang w:val="en-US"/>
        </w:rPr>
        <w:t xml:space="preserve">Croatian lace is an important component of traditional clothes in the region. </w:t>
      </w:r>
      <w:r w:rsidR="00D24664" w:rsidRPr="004936EF">
        <w:rPr>
          <w:lang w:val="en-US"/>
        </w:rPr>
        <w:t>Rural women have long sold l</w:t>
      </w:r>
      <w:r w:rsidRPr="004936EF">
        <w:rPr>
          <w:lang w:val="en-US"/>
        </w:rPr>
        <w:t>ace as a</w:t>
      </w:r>
      <w:r w:rsidR="00341CC2" w:rsidRPr="004936EF">
        <w:rPr>
          <w:lang w:val="en-US"/>
        </w:rPr>
        <w:t>n</w:t>
      </w:r>
      <w:r w:rsidRPr="004936EF">
        <w:rPr>
          <w:lang w:val="en-US"/>
        </w:rPr>
        <w:t xml:space="preserve"> </w:t>
      </w:r>
      <w:r w:rsidR="00341CC2" w:rsidRPr="004936EF">
        <w:rPr>
          <w:lang w:val="en-US"/>
        </w:rPr>
        <w:t xml:space="preserve">additional </w:t>
      </w:r>
      <w:r w:rsidRPr="004936EF">
        <w:rPr>
          <w:lang w:val="en-US"/>
        </w:rPr>
        <w:t>source of income. Nowadays it is mainly sold to tourists or bought by official institutions to be presented to high</w:t>
      </w:r>
      <w:r w:rsidR="00097C47" w:rsidRPr="004936EF">
        <w:rPr>
          <w:lang w:val="en-US"/>
        </w:rPr>
        <w:t>-</w:t>
      </w:r>
      <w:r w:rsidRPr="004936EF">
        <w:rPr>
          <w:lang w:val="en-US"/>
        </w:rPr>
        <w:t>status visitors. In the past, as well as the present, the sale of lace products has supported the practice and transmission of the craft.</w:t>
      </w:r>
    </w:p>
    <w:p w14:paraId="7F7B4B1B" w14:textId="04F54099" w:rsidR="00442E1A" w:rsidRDefault="0010273B" w:rsidP="004936EF">
      <w:pPr>
        <w:pStyle w:val="Heading6"/>
      </w:pPr>
      <w:r w:rsidRPr="00141792">
        <w:lastRenderedPageBreak/>
        <w:t>Slide</w:t>
      </w:r>
      <w:r w:rsidR="005C06CF" w:rsidRPr="00141792">
        <w:t>s</w:t>
      </w:r>
      <w:r w:rsidRPr="00141792">
        <w:t xml:space="preserve"> 1</w:t>
      </w:r>
      <w:r w:rsidR="00E106E3" w:rsidRPr="00141792">
        <w:t>2</w:t>
      </w:r>
      <w:r w:rsidR="005C06CF" w:rsidRPr="00141792">
        <w:t>–</w:t>
      </w:r>
      <w:r w:rsidR="00F03D1B" w:rsidRPr="00141792">
        <w:t>1</w:t>
      </w:r>
      <w:r w:rsidR="00E106E3" w:rsidRPr="00141792">
        <w:t>4</w:t>
      </w:r>
      <w:r w:rsidR="00442E1A" w:rsidRPr="00141792">
        <w:t>.</w:t>
      </w:r>
    </w:p>
    <w:p w14:paraId="37FD441E" w14:textId="77777777" w:rsidR="0010273B" w:rsidRPr="00AB0A71" w:rsidRDefault="0010273B" w:rsidP="004936EF">
      <w:pPr>
        <w:pStyle w:val="diapo2"/>
        <w:rPr>
          <w:lang w:val="en-US"/>
        </w:rPr>
      </w:pPr>
      <w:r w:rsidRPr="00AB0A71">
        <w:rPr>
          <w:lang w:val="en-US"/>
        </w:rPr>
        <w:t xml:space="preserve">Case study: </w:t>
      </w:r>
      <w:r w:rsidR="003E7CB4" w:rsidRPr="00AB0A71">
        <w:rPr>
          <w:lang w:val="en-US"/>
        </w:rPr>
        <w:t>c</w:t>
      </w:r>
      <w:r w:rsidRPr="00AB0A71">
        <w:rPr>
          <w:lang w:val="en-US"/>
        </w:rPr>
        <w:t xml:space="preserve">ircumcision procession </w:t>
      </w:r>
      <w:r w:rsidR="009310B2" w:rsidRPr="00AB0A71">
        <w:rPr>
          <w:lang w:val="en-US"/>
        </w:rPr>
        <w:t>(</w:t>
      </w:r>
      <w:r w:rsidRPr="00AB0A71">
        <w:rPr>
          <w:lang w:val="en-US"/>
        </w:rPr>
        <w:t>Bandung</w:t>
      </w:r>
      <w:r w:rsidR="009310B2" w:rsidRPr="00AB0A71">
        <w:rPr>
          <w:lang w:val="en-US"/>
        </w:rPr>
        <w:t>,</w:t>
      </w:r>
      <w:r w:rsidRPr="00AB0A71">
        <w:rPr>
          <w:lang w:val="en-US"/>
        </w:rPr>
        <w:t xml:space="preserve"> Indonesia</w:t>
      </w:r>
      <w:r w:rsidR="003E3828" w:rsidRPr="00AB0A71">
        <w:rPr>
          <w:lang w:val="en-US"/>
        </w:rPr>
        <w:t>)</w:t>
      </w:r>
    </w:p>
    <w:p w14:paraId="0A2B0FBD" w14:textId="7935D7A0" w:rsidR="00A37406" w:rsidRPr="004936EF" w:rsidRDefault="006E239C" w:rsidP="009909DD">
      <w:pPr>
        <w:pStyle w:val="Texte1"/>
        <w:rPr>
          <w:lang w:val="en-US"/>
        </w:rPr>
      </w:pPr>
      <w:r>
        <w:rPr>
          <w:lang w:val="en-GB"/>
        </w:rPr>
        <w:t>C</w:t>
      </w:r>
      <w:r w:rsidR="00442E1A">
        <w:rPr>
          <w:lang w:val="en-GB"/>
        </w:rPr>
        <w:t>ase study </w:t>
      </w:r>
      <w:r w:rsidR="00B577F8" w:rsidRPr="00141792">
        <w:rPr>
          <w:lang w:val="en-GB"/>
        </w:rPr>
        <w:t>15</w:t>
      </w:r>
      <w:r w:rsidR="005C06CF" w:rsidRPr="00141792">
        <w:rPr>
          <w:lang w:val="en-GB"/>
        </w:rPr>
        <w:t>,</w:t>
      </w:r>
      <w:r w:rsidR="00353B4F" w:rsidRPr="00141792">
        <w:rPr>
          <w:lang w:val="en-GB"/>
        </w:rPr>
        <w:t xml:space="preserve"> </w:t>
      </w:r>
      <w:r w:rsidR="005C06CF" w:rsidRPr="00141792">
        <w:rPr>
          <w:lang w:val="en-GB"/>
        </w:rPr>
        <w:t xml:space="preserve">which concerns </w:t>
      </w:r>
      <w:r w:rsidR="00353B4F" w:rsidRPr="00141792">
        <w:rPr>
          <w:lang w:val="en-GB"/>
        </w:rPr>
        <w:t>a Sundanese boys’ circumcision procession in Bandung, Indonesia</w:t>
      </w:r>
      <w:r w:rsidR="004A099E" w:rsidRPr="00141792">
        <w:rPr>
          <w:lang w:val="en-GB"/>
        </w:rPr>
        <w:t>,</w:t>
      </w:r>
      <w:r w:rsidR="00353B4F" w:rsidRPr="00141792">
        <w:rPr>
          <w:lang w:val="en-GB"/>
        </w:rPr>
        <w:t xml:space="preserve"> shows how new safeguarding interventions may be needed as the commercial context of ICH practices change</w:t>
      </w:r>
      <w:r w:rsidR="00C76FE2" w:rsidRPr="00141792">
        <w:rPr>
          <w:lang w:val="en-GB"/>
        </w:rPr>
        <w:t>s</w:t>
      </w:r>
      <w:r w:rsidR="00353B4F" w:rsidRPr="00141792">
        <w:rPr>
          <w:lang w:val="en-GB"/>
        </w:rPr>
        <w:t>.</w:t>
      </w:r>
    </w:p>
    <w:p w14:paraId="31077B29" w14:textId="219E0598" w:rsidR="00442E1A" w:rsidRDefault="00462CAC" w:rsidP="004936EF">
      <w:pPr>
        <w:pStyle w:val="Heading6"/>
      </w:pPr>
      <w:proofErr w:type="gramStart"/>
      <w:r w:rsidRPr="00141792">
        <w:t>Slide</w:t>
      </w:r>
      <w:proofErr w:type="gramEnd"/>
      <w:r w:rsidRPr="00141792">
        <w:t xml:space="preserve"> </w:t>
      </w:r>
      <w:r w:rsidR="00A31758" w:rsidRPr="00141792">
        <w:t>1</w:t>
      </w:r>
      <w:r w:rsidR="00E106E3" w:rsidRPr="00141792">
        <w:t>5</w:t>
      </w:r>
      <w:r w:rsidR="00442E1A" w:rsidRPr="00141792">
        <w:t>.</w:t>
      </w:r>
    </w:p>
    <w:p w14:paraId="070CA1E6" w14:textId="77777777" w:rsidR="00462CAC" w:rsidRPr="00AB0A71" w:rsidRDefault="00877354" w:rsidP="004936EF">
      <w:pPr>
        <w:pStyle w:val="diapo2"/>
        <w:rPr>
          <w:lang w:val="en-US"/>
        </w:rPr>
      </w:pPr>
      <w:r w:rsidRPr="00AB0A71">
        <w:rPr>
          <w:lang w:val="en-US"/>
        </w:rPr>
        <w:t xml:space="preserve">New </w:t>
      </w:r>
      <w:r w:rsidR="003E7CB4" w:rsidRPr="00AB0A71">
        <w:rPr>
          <w:lang w:val="en-US"/>
        </w:rPr>
        <w:t>i</w:t>
      </w:r>
      <w:r w:rsidR="0033251A" w:rsidRPr="00AB0A71">
        <w:rPr>
          <w:lang w:val="en-US"/>
        </w:rPr>
        <w:t>ncome-generating</w:t>
      </w:r>
      <w:r w:rsidR="00462CAC" w:rsidRPr="00AB0A71">
        <w:rPr>
          <w:lang w:val="en-US"/>
        </w:rPr>
        <w:t xml:space="preserve"> possibilities</w:t>
      </w:r>
    </w:p>
    <w:p w14:paraId="0AABAB68" w14:textId="2D71AA1C" w:rsidR="00462CAC" w:rsidRPr="004936EF" w:rsidRDefault="00F02D08" w:rsidP="009909DD">
      <w:pPr>
        <w:pStyle w:val="Texte1"/>
        <w:rPr>
          <w:lang w:val="en-US"/>
        </w:rPr>
      </w:pPr>
      <w:r>
        <w:rPr>
          <w:lang w:val="en-GB"/>
        </w:rPr>
        <w:t>Participant’s</w:t>
      </w:r>
      <w:r w:rsidR="002A3923">
        <w:rPr>
          <w:lang w:val="en-GB"/>
        </w:rPr>
        <w:t xml:space="preserve"> text </w:t>
      </w:r>
      <w:r w:rsidR="006E239C">
        <w:rPr>
          <w:lang w:val="en-GB"/>
        </w:rPr>
        <w:t>Unit 8</w:t>
      </w:r>
      <w:r w:rsidR="008D2846" w:rsidRPr="00141792">
        <w:rPr>
          <w:lang w:val="en-GB"/>
        </w:rPr>
        <w:t>.4</w:t>
      </w:r>
      <w:r w:rsidR="00877354" w:rsidRPr="00141792">
        <w:rPr>
          <w:lang w:val="en-GB"/>
        </w:rPr>
        <w:t xml:space="preserve"> discusses a number of new </w:t>
      </w:r>
      <w:r w:rsidR="00BE2AB5" w:rsidRPr="00141792">
        <w:rPr>
          <w:lang w:val="en-GB"/>
        </w:rPr>
        <w:t>income-gen</w:t>
      </w:r>
      <w:r w:rsidR="00877354" w:rsidRPr="00141792">
        <w:rPr>
          <w:lang w:val="en-GB"/>
        </w:rPr>
        <w:t>erating possibilities that may arise as a result of safeguarding or awareness-raising activities.</w:t>
      </w:r>
      <w:r w:rsidR="00464FB8" w:rsidRPr="00141792">
        <w:rPr>
          <w:lang w:val="en-GB"/>
        </w:rPr>
        <w:t xml:space="preserve"> These are best discussed through examples; </w:t>
      </w:r>
      <w:r w:rsidR="00C10667" w:rsidRPr="00141792">
        <w:rPr>
          <w:lang w:val="en-GB"/>
        </w:rPr>
        <w:t>several</w:t>
      </w:r>
      <w:r w:rsidR="00464FB8" w:rsidRPr="00141792">
        <w:rPr>
          <w:lang w:val="en-GB"/>
        </w:rPr>
        <w:t xml:space="preserve"> possible examples are provided in </w:t>
      </w:r>
      <w:r w:rsidR="006E239C">
        <w:rPr>
          <w:lang w:val="en-GB"/>
        </w:rPr>
        <w:t>C</w:t>
      </w:r>
      <w:r w:rsidR="00B577F8" w:rsidRPr="00141792">
        <w:rPr>
          <w:lang w:val="en-GB"/>
        </w:rPr>
        <w:t>ase studies</w:t>
      </w:r>
      <w:r w:rsidR="00AA07B0" w:rsidRPr="00141792">
        <w:rPr>
          <w:lang w:val="en-GB"/>
        </w:rPr>
        <w:t xml:space="preserve"> 15,</w:t>
      </w:r>
      <w:r w:rsidR="00B577F8" w:rsidRPr="00141792">
        <w:rPr>
          <w:lang w:val="en-GB"/>
        </w:rPr>
        <w:t xml:space="preserve"> 16</w:t>
      </w:r>
      <w:r w:rsidR="00C10667" w:rsidRPr="00141792">
        <w:rPr>
          <w:lang w:val="en-GB"/>
        </w:rPr>
        <w:t xml:space="preserve">, </w:t>
      </w:r>
      <w:r w:rsidR="00B577F8" w:rsidRPr="00141792">
        <w:rPr>
          <w:lang w:val="en-GB"/>
        </w:rPr>
        <w:t>17</w:t>
      </w:r>
      <w:r w:rsidR="00C10667" w:rsidRPr="00141792">
        <w:rPr>
          <w:lang w:val="en-GB"/>
        </w:rPr>
        <w:t>,</w:t>
      </w:r>
      <w:r w:rsidR="001B1FAC" w:rsidRPr="00141792">
        <w:rPr>
          <w:lang w:val="en-GB"/>
        </w:rPr>
        <w:t xml:space="preserve"> </w:t>
      </w:r>
      <w:r w:rsidR="00B577F8" w:rsidRPr="00141792">
        <w:rPr>
          <w:lang w:val="en-GB"/>
        </w:rPr>
        <w:t>19</w:t>
      </w:r>
      <w:r w:rsidR="00C10667" w:rsidRPr="00141792">
        <w:rPr>
          <w:lang w:val="en-GB"/>
        </w:rPr>
        <w:t xml:space="preserve"> and </w:t>
      </w:r>
      <w:r w:rsidR="001B1FAC" w:rsidRPr="00141792">
        <w:rPr>
          <w:lang w:val="en-GB"/>
        </w:rPr>
        <w:t>2</w:t>
      </w:r>
      <w:r w:rsidR="00B577F8" w:rsidRPr="00141792">
        <w:rPr>
          <w:lang w:val="en-GB"/>
        </w:rPr>
        <w:t>0</w:t>
      </w:r>
      <w:r w:rsidR="00BE2AB5" w:rsidRPr="00141792">
        <w:rPr>
          <w:lang w:val="en-GB"/>
        </w:rPr>
        <w:t xml:space="preserve">, </w:t>
      </w:r>
      <w:r w:rsidR="00464FB8" w:rsidRPr="00141792">
        <w:rPr>
          <w:lang w:val="en-GB"/>
        </w:rPr>
        <w:t xml:space="preserve">and </w:t>
      </w:r>
      <w:r w:rsidR="005D5DDA" w:rsidRPr="00141792">
        <w:rPr>
          <w:lang w:val="en-GB"/>
        </w:rPr>
        <w:t>a few others</w:t>
      </w:r>
      <w:r w:rsidR="00464FB8" w:rsidRPr="00141792">
        <w:rPr>
          <w:lang w:val="en-GB"/>
        </w:rPr>
        <w:t xml:space="preserve"> are given below.</w:t>
      </w:r>
    </w:p>
    <w:p w14:paraId="76DB66C1" w14:textId="77777777" w:rsidR="00442E1A" w:rsidRPr="004936EF" w:rsidRDefault="00442E1A" w:rsidP="004936EF">
      <w:pPr>
        <w:pStyle w:val="DO"/>
        <w:rPr>
          <w:lang w:val="en-US"/>
        </w:rPr>
      </w:pPr>
      <w:r w:rsidRPr="004936EF">
        <w:rPr>
          <w:lang w:val="en-US"/>
        </w:rPr>
        <w:t>OD 116</w:t>
      </w:r>
      <w:r w:rsidRPr="004936EF">
        <w:rPr>
          <w:lang w:val="en-US"/>
        </w:rPr>
        <w:tab/>
        <w:t xml:space="preserve">Commercial activities that can emerge from certain forms of intangible cultural heritage and trade in cultural goods and services related to intangible cultural heritage can raise awareness about the importance of such heritage and generate income for its practitioners. They can contribute to improving the living standards of the communities that bear and </w:t>
      </w:r>
      <w:proofErr w:type="spellStart"/>
      <w:r w:rsidRPr="004936EF">
        <w:rPr>
          <w:lang w:val="en-US"/>
        </w:rPr>
        <w:t>practise</w:t>
      </w:r>
      <w:proofErr w:type="spellEnd"/>
      <w:r w:rsidRPr="004936EF">
        <w:rPr>
          <w:lang w:val="en-US"/>
        </w:rPr>
        <w:t xml:space="preserve"> the heritage, enhance the local economy, and contribute to social cohesion. </w:t>
      </w:r>
    </w:p>
    <w:p w14:paraId="21A2FAFC" w14:textId="3316091B" w:rsidR="001407BC" w:rsidRPr="00374A0B" w:rsidRDefault="005A71F8" w:rsidP="00374A0B">
      <w:pPr>
        <w:pStyle w:val="Soustitre"/>
        <w:rPr>
          <w:lang w:val="en-US" w:eastAsia="zh-CN"/>
        </w:rPr>
      </w:pPr>
      <w:bookmarkStart w:id="11" w:name="_Toc238982245"/>
      <w:r>
        <w:rPr>
          <w:lang w:val="en-US" w:eastAsia="zh-CN"/>
        </w:rPr>
        <w:t>Example</w:t>
      </w:r>
      <w:r w:rsidR="001407BC" w:rsidRPr="00374A0B">
        <w:rPr>
          <w:lang w:val="en-US" w:eastAsia="zh-CN"/>
        </w:rPr>
        <w:t>: Festival of Pacific Arts (Oceania)</w:t>
      </w:r>
      <w:bookmarkEnd w:id="11"/>
    </w:p>
    <w:p w14:paraId="04835863" w14:textId="77777777" w:rsidR="001407BC" w:rsidRPr="004936EF" w:rsidRDefault="001407BC" w:rsidP="009909DD">
      <w:pPr>
        <w:pStyle w:val="Texte1"/>
        <w:rPr>
          <w:lang w:val="en-US"/>
        </w:rPr>
      </w:pPr>
      <w:r w:rsidRPr="00141792">
        <w:rPr>
          <w:lang w:val="en-GB"/>
        </w:rPr>
        <w:t>This example illustrates how festivals may contribute to ICH safeguarding by building awareness of ICH practices and also by expanding markets for associated performances, services and products.</w:t>
      </w:r>
    </w:p>
    <w:p w14:paraId="3DE28257" w14:textId="77777777" w:rsidR="001407BC" w:rsidRPr="004936EF" w:rsidRDefault="001407BC" w:rsidP="009909DD">
      <w:pPr>
        <w:pStyle w:val="Texte1"/>
        <w:rPr>
          <w:lang w:val="en-US"/>
        </w:rPr>
      </w:pPr>
      <w:r w:rsidRPr="004936EF">
        <w:rPr>
          <w:lang w:val="en-US"/>
        </w:rPr>
        <w:t xml:space="preserve">Initiated in 1972 by the Conference of the South Pacific Commission, the Festival of Pacific Arts (FOPA) is hosted every four years by a different State in Oceania. </w:t>
      </w:r>
      <w:r w:rsidR="00BE2AB5" w:rsidRPr="004936EF">
        <w:rPr>
          <w:lang w:val="en-US"/>
        </w:rPr>
        <w:t>It aims to</w:t>
      </w:r>
      <w:r w:rsidRPr="004936EF">
        <w:rPr>
          <w:lang w:val="en-US"/>
        </w:rPr>
        <w:t xml:space="preserve"> raise awareness about traditional Pacific culture, </w:t>
      </w:r>
      <w:r w:rsidR="00BE2AB5" w:rsidRPr="004936EF">
        <w:rPr>
          <w:lang w:val="en-US"/>
        </w:rPr>
        <w:t xml:space="preserve">which was </w:t>
      </w:r>
      <w:r w:rsidRPr="004936EF">
        <w:rPr>
          <w:lang w:val="en-US"/>
        </w:rPr>
        <w:t>once denigrated and suppressed by missionaries in the region. In 2004, over 2,700 participants from 27 countries performed or sold services and products at the 9</w:t>
      </w:r>
      <w:r w:rsidRPr="004936EF">
        <w:rPr>
          <w:szCs w:val="22"/>
          <w:lang w:val="en-US"/>
        </w:rPr>
        <w:t>th</w:t>
      </w:r>
      <w:r w:rsidRPr="004936EF">
        <w:rPr>
          <w:lang w:val="en-US"/>
        </w:rPr>
        <w:t xml:space="preserve"> </w:t>
      </w:r>
      <w:r w:rsidR="004E58DE" w:rsidRPr="004936EF">
        <w:rPr>
          <w:lang w:val="en-US"/>
        </w:rPr>
        <w:t>festival, which</w:t>
      </w:r>
      <w:r w:rsidRPr="004936EF">
        <w:rPr>
          <w:lang w:val="en-US"/>
        </w:rPr>
        <w:t xml:space="preserve"> was held in Palau. The festival showcases traditional song and dance forms</w:t>
      </w:r>
      <w:r w:rsidR="00BE2AB5" w:rsidRPr="004936EF">
        <w:rPr>
          <w:lang w:val="en-US"/>
        </w:rPr>
        <w:t>.</w:t>
      </w:r>
      <w:r w:rsidRPr="004936EF">
        <w:rPr>
          <w:lang w:val="en-US"/>
        </w:rPr>
        <w:t xml:space="preserve"> </w:t>
      </w:r>
      <w:r w:rsidR="00BE2AB5" w:rsidRPr="004936EF">
        <w:rPr>
          <w:lang w:val="en-US"/>
        </w:rPr>
        <w:t>T</w:t>
      </w:r>
      <w:r w:rsidRPr="004936EF">
        <w:rPr>
          <w:lang w:val="en-US"/>
        </w:rPr>
        <w:t>raditional crafts such as weaving, carving, tattooing, storytelling and healing arts also feature alongside other cultural practices such as architecture, fashion and design, film</w:t>
      </w:r>
      <w:r w:rsidR="005D50DB" w:rsidRPr="004936EF">
        <w:rPr>
          <w:lang w:val="en-US"/>
        </w:rPr>
        <w:t>-</w:t>
      </w:r>
      <w:r w:rsidRPr="004936EF">
        <w:rPr>
          <w:lang w:val="en-US"/>
        </w:rPr>
        <w:t xml:space="preserve">making and contemporary visual and performance arts. </w:t>
      </w:r>
    </w:p>
    <w:p w14:paraId="35AF1C2C" w14:textId="77777777" w:rsidR="001407BC" w:rsidRPr="004936EF" w:rsidRDefault="001407BC" w:rsidP="009909DD">
      <w:pPr>
        <w:pStyle w:val="Texte1"/>
        <w:rPr>
          <w:lang w:val="en-US"/>
        </w:rPr>
      </w:pPr>
      <w:r w:rsidRPr="004936EF">
        <w:rPr>
          <w:lang w:val="en-US"/>
        </w:rPr>
        <w:t xml:space="preserve">No entry fees are charged, thus increasing local access to this celebration of Pacific cultural practices. The festival is financed by the host country and local businesses, with the aim of boosting the local economy through tourism and the sale of crafts. At the </w:t>
      </w:r>
      <w:r w:rsidR="005D50DB" w:rsidRPr="004936EF">
        <w:rPr>
          <w:lang w:val="en-US"/>
        </w:rPr>
        <w:t>9</w:t>
      </w:r>
      <w:r w:rsidRPr="004936EF">
        <w:rPr>
          <w:lang w:val="en-US"/>
        </w:rPr>
        <w:t>th FOPA</w:t>
      </w:r>
      <w:r w:rsidR="005D50DB" w:rsidRPr="004936EF">
        <w:rPr>
          <w:lang w:val="en-US"/>
        </w:rPr>
        <w:t>,</w:t>
      </w:r>
      <w:r w:rsidRPr="004936EF">
        <w:rPr>
          <w:lang w:val="en-US"/>
        </w:rPr>
        <w:t xml:space="preserve"> ‘each of the 16 States of P</w:t>
      </w:r>
      <w:r w:rsidR="00EA05BA" w:rsidRPr="004936EF">
        <w:rPr>
          <w:lang w:val="en-US"/>
        </w:rPr>
        <w:t>alau earned an average of US$20,</w:t>
      </w:r>
      <w:r w:rsidRPr="004936EF">
        <w:rPr>
          <w:lang w:val="en-US"/>
        </w:rPr>
        <w:t>000 in sales of food and craft.’</w:t>
      </w:r>
      <w:r w:rsidRPr="00141792">
        <w:rPr>
          <w:vertAlign w:val="superscript"/>
        </w:rPr>
        <w:footnoteReference w:id="4"/>
      </w:r>
      <w:r w:rsidRPr="004936EF">
        <w:rPr>
          <w:lang w:val="en-US"/>
        </w:rPr>
        <w:t xml:space="preserve"> </w:t>
      </w:r>
    </w:p>
    <w:p w14:paraId="19D89249" w14:textId="7C97B8CE" w:rsidR="001407BC" w:rsidRPr="004936EF" w:rsidRDefault="005A71F8" w:rsidP="004936EF">
      <w:pPr>
        <w:pStyle w:val="Soustitre"/>
        <w:rPr>
          <w:caps/>
          <w:lang w:val="en-GB"/>
        </w:rPr>
      </w:pPr>
      <w:bookmarkStart w:id="12" w:name="_Toc238982246"/>
      <w:r>
        <w:rPr>
          <w:lang w:val="en-US"/>
        </w:rPr>
        <w:lastRenderedPageBreak/>
        <w:t>Example</w:t>
      </w:r>
      <w:r w:rsidR="001407BC" w:rsidRPr="004936EF">
        <w:rPr>
          <w:lang w:val="en-US"/>
        </w:rPr>
        <w:t xml:space="preserve">: </w:t>
      </w:r>
      <w:r w:rsidR="00A36765" w:rsidRPr="004936EF">
        <w:rPr>
          <w:lang w:val="en-US"/>
        </w:rPr>
        <w:t>p</w:t>
      </w:r>
      <w:r w:rsidR="001407BC" w:rsidRPr="004936EF">
        <w:rPr>
          <w:lang w:val="en-US"/>
        </w:rPr>
        <w:t xml:space="preserve">romoting and safeguarding traditional crafts in Penang </w:t>
      </w:r>
      <w:r w:rsidR="001867EA" w:rsidRPr="004936EF">
        <w:rPr>
          <w:lang w:val="en-US"/>
        </w:rPr>
        <w:t>(</w:t>
      </w:r>
      <w:r w:rsidR="001407BC" w:rsidRPr="004936EF">
        <w:rPr>
          <w:lang w:val="en-US"/>
        </w:rPr>
        <w:t>Malaysia</w:t>
      </w:r>
      <w:r w:rsidR="001867EA" w:rsidRPr="004936EF">
        <w:rPr>
          <w:lang w:val="en-US"/>
        </w:rPr>
        <w:t>)</w:t>
      </w:r>
      <w:r w:rsidR="001870D8">
        <w:rPr>
          <w:lang w:val="en-US"/>
        </w:rPr>
        <w:t xml:space="preserve"> </w:t>
      </w:r>
      <w:r w:rsidR="001407BC" w:rsidRPr="00374A0B">
        <w:rPr>
          <w:rFonts w:ascii="Arial Bold" w:hAnsi="Arial Bold"/>
          <w:vertAlign w:val="superscript"/>
        </w:rPr>
        <w:footnoteReference w:id="5"/>
      </w:r>
      <w:bookmarkEnd w:id="12"/>
      <w:r w:rsidR="004D1635" w:rsidRPr="004936EF">
        <w:rPr>
          <w:lang w:val="en-US"/>
        </w:rPr>
        <w:t xml:space="preserve"> </w:t>
      </w:r>
    </w:p>
    <w:p w14:paraId="2470CD3E" w14:textId="416D45EB" w:rsidR="001407BC" w:rsidRPr="004936EF" w:rsidRDefault="006E239C" w:rsidP="009909DD">
      <w:pPr>
        <w:pStyle w:val="Texte1"/>
        <w:rPr>
          <w:lang w:val="en-US"/>
        </w:rPr>
      </w:pPr>
      <w:r>
        <w:rPr>
          <w:lang w:val="en-GB"/>
        </w:rPr>
        <w:t>C</w:t>
      </w:r>
      <w:r w:rsidR="00442E1A">
        <w:rPr>
          <w:lang w:val="en-GB"/>
        </w:rPr>
        <w:t>ase study </w:t>
      </w:r>
      <w:r w:rsidR="00713B1E" w:rsidRPr="00141792">
        <w:rPr>
          <w:lang w:val="en-GB"/>
        </w:rPr>
        <w:t>1</w:t>
      </w:r>
      <w:r w:rsidR="00B577F8" w:rsidRPr="00141792">
        <w:rPr>
          <w:lang w:val="en-GB"/>
        </w:rPr>
        <w:t>6</w:t>
      </w:r>
      <w:r w:rsidR="00A36765" w:rsidRPr="00141792">
        <w:rPr>
          <w:lang w:val="en-GB"/>
        </w:rPr>
        <w:t>,</w:t>
      </w:r>
      <w:r w:rsidR="00713B1E" w:rsidRPr="00141792">
        <w:rPr>
          <w:lang w:val="en-GB"/>
        </w:rPr>
        <w:t xml:space="preserve"> illustrates how a relatively </w:t>
      </w:r>
      <w:r w:rsidR="00EF4959" w:rsidRPr="00141792">
        <w:rPr>
          <w:lang w:val="en-GB"/>
        </w:rPr>
        <w:t>small-scale</w:t>
      </w:r>
      <w:r w:rsidR="00713B1E" w:rsidRPr="00141792">
        <w:rPr>
          <w:lang w:val="en-GB"/>
        </w:rPr>
        <w:t xml:space="preserve"> project improved the transmission of traditional craft skills to younger community members and raised the social status of </w:t>
      </w:r>
      <w:r w:rsidR="00A36765" w:rsidRPr="00141792">
        <w:rPr>
          <w:lang w:val="en-GB"/>
        </w:rPr>
        <w:t>(</w:t>
      </w:r>
      <w:r w:rsidR="00713B1E" w:rsidRPr="00141792">
        <w:rPr>
          <w:lang w:val="en-GB"/>
        </w:rPr>
        <w:t>and income opportunities enjoyed by</w:t>
      </w:r>
      <w:r w:rsidR="00A36765" w:rsidRPr="00141792">
        <w:rPr>
          <w:lang w:val="en-GB"/>
        </w:rPr>
        <w:t>)</w:t>
      </w:r>
      <w:r w:rsidR="00713B1E" w:rsidRPr="00141792">
        <w:rPr>
          <w:lang w:val="en-GB"/>
        </w:rPr>
        <w:t xml:space="preserve"> practitioners</w:t>
      </w:r>
      <w:r w:rsidR="00646F8D" w:rsidRPr="00141792">
        <w:rPr>
          <w:lang w:val="en-GB"/>
        </w:rPr>
        <w:t xml:space="preserve"> in Penang, Malaysia</w:t>
      </w:r>
      <w:r w:rsidR="00713B1E" w:rsidRPr="00141792">
        <w:rPr>
          <w:lang w:val="en-GB"/>
        </w:rPr>
        <w:t>.</w:t>
      </w:r>
    </w:p>
    <w:p w14:paraId="167E8B62" w14:textId="182031F3" w:rsidR="00442E1A" w:rsidRDefault="00462CAC" w:rsidP="004936EF">
      <w:pPr>
        <w:pStyle w:val="Heading6"/>
      </w:pPr>
      <w:proofErr w:type="gramStart"/>
      <w:r w:rsidRPr="00141792">
        <w:t>Slide</w:t>
      </w:r>
      <w:proofErr w:type="gramEnd"/>
      <w:r w:rsidRPr="00141792">
        <w:t xml:space="preserve"> 1</w:t>
      </w:r>
      <w:r w:rsidR="00173E8A" w:rsidRPr="00141792">
        <w:t>6</w:t>
      </w:r>
      <w:r w:rsidR="00442E1A" w:rsidRPr="00141792">
        <w:t>.</w:t>
      </w:r>
    </w:p>
    <w:p w14:paraId="0FB5E980" w14:textId="77777777" w:rsidR="00462CAC" w:rsidRPr="00AB0A71" w:rsidRDefault="00462CAC" w:rsidP="004936EF">
      <w:pPr>
        <w:pStyle w:val="diapo2"/>
        <w:rPr>
          <w:lang w:val="en-US"/>
        </w:rPr>
      </w:pPr>
      <w:r w:rsidRPr="00AB0A71">
        <w:rPr>
          <w:lang w:val="en-US"/>
        </w:rPr>
        <w:t>Risks</w:t>
      </w:r>
    </w:p>
    <w:p w14:paraId="50CB7E22" w14:textId="63999F5C" w:rsidR="007B1643" w:rsidRPr="004936EF" w:rsidRDefault="00F02D08" w:rsidP="009909DD">
      <w:pPr>
        <w:pStyle w:val="Texte1"/>
        <w:rPr>
          <w:lang w:val="en-US"/>
        </w:rPr>
      </w:pPr>
      <w:r>
        <w:rPr>
          <w:lang w:val="en-GB"/>
        </w:rPr>
        <w:t>Participant’s</w:t>
      </w:r>
      <w:r w:rsidR="002A3923">
        <w:rPr>
          <w:lang w:val="en-GB"/>
        </w:rPr>
        <w:t xml:space="preserve"> text </w:t>
      </w:r>
      <w:r w:rsidR="006E239C">
        <w:rPr>
          <w:lang w:val="en-GB"/>
        </w:rPr>
        <w:t>Unit 8</w:t>
      </w:r>
      <w:r w:rsidR="008D2846" w:rsidRPr="00141792">
        <w:rPr>
          <w:lang w:val="en-GB"/>
        </w:rPr>
        <w:t>.5</w:t>
      </w:r>
      <w:r w:rsidR="00E87C91" w:rsidRPr="00141792">
        <w:rPr>
          <w:lang w:val="en-GB"/>
        </w:rPr>
        <w:t xml:space="preserve"> introduces the </w:t>
      </w:r>
      <w:r w:rsidR="00A36765" w:rsidRPr="00141792">
        <w:rPr>
          <w:lang w:val="en-GB"/>
        </w:rPr>
        <w:t xml:space="preserve">potential </w:t>
      </w:r>
      <w:r w:rsidR="00E87C91" w:rsidRPr="00141792">
        <w:rPr>
          <w:lang w:val="en-GB"/>
        </w:rPr>
        <w:t xml:space="preserve">risks </w:t>
      </w:r>
      <w:r w:rsidR="00A36765" w:rsidRPr="00141792">
        <w:rPr>
          <w:lang w:val="en-GB"/>
        </w:rPr>
        <w:t>to</w:t>
      </w:r>
      <w:r w:rsidR="00E87C91" w:rsidRPr="00141792">
        <w:rPr>
          <w:lang w:val="en-GB"/>
        </w:rPr>
        <w:t xml:space="preserve"> ICH through pressures introduced by </w:t>
      </w:r>
      <w:r w:rsidR="0033251A" w:rsidRPr="00141792">
        <w:rPr>
          <w:lang w:val="en-GB"/>
        </w:rPr>
        <w:t>income-generating</w:t>
      </w:r>
      <w:r w:rsidR="00E87C91" w:rsidRPr="00141792">
        <w:rPr>
          <w:lang w:val="en-GB"/>
        </w:rPr>
        <w:t xml:space="preserve"> activities.</w:t>
      </w:r>
    </w:p>
    <w:p w14:paraId="29B2C5C1" w14:textId="17837540" w:rsidR="00EA0525" w:rsidRPr="004936EF" w:rsidRDefault="005A71F8" w:rsidP="004936EF">
      <w:pPr>
        <w:pStyle w:val="Soustitre"/>
        <w:rPr>
          <w:caps/>
          <w:lang w:val="en-GB"/>
        </w:rPr>
      </w:pPr>
      <w:bookmarkStart w:id="13" w:name="_Toc238982247"/>
      <w:r>
        <w:rPr>
          <w:lang w:val="en-US"/>
        </w:rPr>
        <w:t>Example</w:t>
      </w:r>
      <w:r w:rsidR="00EA0525" w:rsidRPr="004936EF">
        <w:rPr>
          <w:lang w:val="en-US"/>
        </w:rPr>
        <w:t xml:space="preserve">s of risks associated with </w:t>
      </w:r>
      <w:r w:rsidR="0033251A" w:rsidRPr="004936EF">
        <w:rPr>
          <w:lang w:val="en-US"/>
        </w:rPr>
        <w:t>income-generating</w:t>
      </w:r>
      <w:r w:rsidR="00EA0525" w:rsidRPr="004936EF">
        <w:rPr>
          <w:lang w:val="en-US"/>
        </w:rPr>
        <w:t xml:space="preserve"> activities</w:t>
      </w:r>
      <w:bookmarkEnd w:id="13"/>
    </w:p>
    <w:p w14:paraId="4A594A10" w14:textId="2204A246" w:rsidR="00BF684E" w:rsidRPr="004936EF" w:rsidRDefault="00BF684E" w:rsidP="009909DD">
      <w:pPr>
        <w:pStyle w:val="Texte1"/>
        <w:rPr>
          <w:lang w:val="en-US"/>
        </w:rPr>
      </w:pPr>
      <w:r w:rsidRPr="00141792">
        <w:rPr>
          <w:lang w:val="en-GB"/>
        </w:rPr>
        <w:t xml:space="preserve">An example of tourism that </w:t>
      </w:r>
      <w:r w:rsidR="002147EA" w:rsidRPr="00141792">
        <w:rPr>
          <w:lang w:val="en-GB"/>
        </w:rPr>
        <w:t xml:space="preserve">could </w:t>
      </w:r>
      <w:r w:rsidRPr="00141792">
        <w:rPr>
          <w:lang w:val="en-GB"/>
        </w:rPr>
        <w:t xml:space="preserve">jeopardize the sustainability of ICH expressions or practices might be a situation in which tour companies or community members allow large numbers of tourists to witness a ritual to which traditionally there has been limited access, or to visit a sacred site, </w:t>
      </w:r>
      <w:r w:rsidR="00A36765" w:rsidRPr="00141792">
        <w:rPr>
          <w:lang w:val="en-GB"/>
        </w:rPr>
        <w:t xml:space="preserve">thus </w:t>
      </w:r>
      <w:r w:rsidRPr="00141792">
        <w:rPr>
          <w:lang w:val="en-GB"/>
        </w:rPr>
        <w:t xml:space="preserve">damaging the environment and/or making it unsuitable for the ritual activities that used to be performed there. Raising awareness about an ICH form may increase tourist audiences for song, dance, forms of theatre and festivals to such an extent that community members may lose interest in participating. This may eventually lead to the staging of truncated performances for tourists for financial gain alone, outside the usual community context. If these are the only </w:t>
      </w:r>
      <w:r w:rsidR="00A36765" w:rsidRPr="00141792">
        <w:rPr>
          <w:lang w:val="en-GB"/>
        </w:rPr>
        <w:t xml:space="preserve">performances </w:t>
      </w:r>
      <w:r w:rsidRPr="00141792">
        <w:rPr>
          <w:lang w:val="en-GB"/>
        </w:rPr>
        <w:t xml:space="preserve">that continue to be offered, the element </w:t>
      </w:r>
      <w:r w:rsidR="002147EA" w:rsidRPr="00141792">
        <w:rPr>
          <w:lang w:val="en-GB"/>
        </w:rPr>
        <w:t xml:space="preserve">will </w:t>
      </w:r>
      <w:r w:rsidRPr="00141792">
        <w:rPr>
          <w:lang w:val="en-GB"/>
        </w:rPr>
        <w:t xml:space="preserve">be deprived of its former meaning and function within the community and </w:t>
      </w:r>
      <w:r w:rsidR="002147EA" w:rsidRPr="00141792">
        <w:rPr>
          <w:lang w:val="en-GB"/>
        </w:rPr>
        <w:t xml:space="preserve">will </w:t>
      </w:r>
      <w:r w:rsidRPr="00141792">
        <w:rPr>
          <w:lang w:val="en-GB"/>
        </w:rPr>
        <w:t xml:space="preserve">no longer meet the definition of ICH in </w:t>
      </w:r>
      <w:r w:rsidR="00442E1A">
        <w:rPr>
          <w:lang w:val="en-GB"/>
        </w:rPr>
        <w:t>Article </w:t>
      </w:r>
      <w:r w:rsidRPr="00141792">
        <w:rPr>
          <w:lang w:val="en-GB"/>
        </w:rPr>
        <w:t>2.1</w:t>
      </w:r>
      <w:r w:rsidR="00C13AC0" w:rsidRPr="00141792">
        <w:rPr>
          <w:lang w:val="en-GB"/>
        </w:rPr>
        <w:t xml:space="preserve"> of the Convention</w:t>
      </w:r>
      <w:r w:rsidRPr="00141792">
        <w:rPr>
          <w:lang w:val="en-GB"/>
        </w:rPr>
        <w:t>.</w:t>
      </w:r>
    </w:p>
    <w:p w14:paraId="5E7B368E" w14:textId="77777777" w:rsidR="00EA0525" w:rsidRPr="004936EF" w:rsidRDefault="00EA0525" w:rsidP="009909DD">
      <w:pPr>
        <w:pStyle w:val="Texte1"/>
        <w:rPr>
          <w:lang w:val="en-US"/>
        </w:rPr>
      </w:pPr>
      <w:r w:rsidRPr="004936EF">
        <w:rPr>
          <w:lang w:val="en-US"/>
        </w:rPr>
        <w:t xml:space="preserve">Commercial activity can threaten the viability of ICH (OD 116) as well as promote it. If, for example, a carving tradition becomes commercialized and the products are created purely for sale, aimed at the export market or tourists, the ICH knowledge and skills associated with the tradition may be lost. Fixed production lines may lead to the ‘freezing’ of designs, and competing with cheaper, mass-produced imitations may affect the quality of local carvings </w:t>
      </w:r>
      <w:r w:rsidR="00A36765" w:rsidRPr="004936EF">
        <w:rPr>
          <w:lang w:val="en-US"/>
        </w:rPr>
        <w:t xml:space="preserve">that </w:t>
      </w:r>
      <w:r w:rsidRPr="004936EF">
        <w:rPr>
          <w:lang w:val="en-US"/>
        </w:rPr>
        <w:t>reach the market.</w:t>
      </w:r>
    </w:p>
    <w:p w14:paraId="37E8D142" w14:textId="67D5DFF4" w:rsidR="00442E1A" w:rsidRDefault="00943B59" w:rsidP="004936EF">
      <w:pPr>
        <w:pStyle w:val="Heading6"/>
      </w:pPr>
      <w:proofErr w:type="gramStart"/>
      <w:r w:rsidRPr="00141792">
        <w:t>Slide</w:t>
      </w:r>
      <w:proofErr w:type="gramEnd"/>
      <w:r w:rsidRPr="00141792">
        <w:t xml:space="preserve"> 1</w:t>
      </w:r>
      <w:r w:rsidR="00173E8A" w:rsidRPr="00141792">
        <w:t>7</w:t>
      </w:r>
      <w:r w:rsidR="00442E1A" w:rsidRPr="00141792">
        <w:t>.</w:t>
      </w:r>
    </w:p>
    <w:p w14:paraId="79B0AB7D" w14:textId="77777777" w:rsidR="00462CAC" w:rsidRPr="00AB0A71" w:rsidRDefault="007558BB" w:rsidP="004936EF">
      <w:pPr>
        <w:pStyle w:val="diapo2"/>
        <w:rPr>
          <w:lang w:val="en-US"/>
        </w:rPr>
      </w:pPr>
      <w:r w:rsidRPr="00AB0A71">
        <w:rPr>
          <w:lang w:val="en-US"/>
        </w:rPr>
        <w:t>Warning</w:t>
      </w:r>
      <w:r w:rsidR="004C6472" w:rsidRPr="00AB0A71">
        <w:rPr>
          <w:lang w:val="en-US"/>
        </w:rPr>
        <w:t xml:space="preserve"> (1)</w:t>
      </w:r>
    </w:p>
    <w:p w14:paraId="09AFC470" w14:textId="7BE7F3A2" w:rsidR="003C421C" w:rsidRPr="004936EF" w:rsidRDefault="00BF275A" w:rsidP="009909DD">
      <w:pPr>
        <w:pStyle w:val="Texte1"/>
        <w:rPr>
          <w:lang w:val="en-US"/>
        </w:rPr>
      </w:pPr>
      <w:r w:rsidRPr="00141792">
        <w:rPr>
          <w:lang w:val="en-GB"/>
        </w:rPr>
        <w:t>S</w:t>
      </w:r>
      <w:r w:rsidR="003C421C" w:rsidRPr="00141792">
        <w:rPr>
          <w:lang w:val="en-GB"/>
        </w:rPr>
        <w:t xml:space="preserve">lides </w:t>
      </w:r>
      <w:r w:rsidR="000754AA">
        <w:rPr>
          <w:lang w:val="en-GB"/>
        </w:rPr>
        <w:t>17</w:t>
      </w:r>
      <w:r w:rsidRPr="00141792">
        <w:rPr>
          <w:lang w:val="en-GB"/>
        </w:rPr>
        <w:t>–</w:t>
      </w:r>
      <w:r w:rsidR="000754AA">
        <w:rPr>
          <w:lang w:val="en-GB"/>
        </w:rPr>
        <w:t>19</w:t>
      </w:r>
      <w:r w:rsidR="003C421C" w:rsidRPr="00141792">
        <w:rPr>
          <w:lang w:val="en-GB"/>
        </w:rPr>
        <w:t xml:space="preserve"> illustrate a fe</w:t>
      </w:r>
      <w:bookmarkStart w:id="14" w:name="_GoBack"/>
      <w:bookmarkEnd w:id="14"/>
      <w:r w:rsidR="003C421C" w:rsidRPr="00141792">
        <w:rPr>
          <w:lang w:val="en-GB"/>
        </w:rPr>
        <w:t>w of the most important ODs concerning risk identification.</w:t>
      </w:r>
    </w:p>
    <w:p w14:paraId="370FB110" w14:textId="2935D026" w:rsidR="007558BB" w:rsidRPr="004936EF" w:rsidRDefault="00E8311B" w:rsidP="009909DD">
      <w:pPr>
        <w:pStyle w:val="Texte1"/>
        <w:rPr>
          <w:lang w:val="en-US"/>
        </w:rPr>
      </w:pPr>
      <w:r w:rsidRPr="004936EF">
        <w:rPr>
          <w:lang w:val="en-US"/>
        </w:rPr>
        <w:t xml:space="preserve">See </w:t>
      </w:r>
      <w:r w:rsidR="00F02D08">
        <w:rPr>
          <w:lang w:val="en-US"/>
        </w:rPr>
        <w:t>Participant’s</w:t>
      </w:r>
      <w:r w:rsidR="002A3923">
        <w:rPr>
          <w:lang w:val="en-US"/>
        </w:rPr>
        <w:t xml:space="preserve"> text </w:t>
      </w:r>
      <w:r w:rsidR="006E239C">
        <w:rPr>
          <w:lang w:val="en-GB"/>
        </w:rPr>
        <w:t>Unit 8</w:t>
      </w:r>
      <w:r w:rsidR="00024203" w:rsidRPr="004936EF">
        <w:rPr>
          <w:lang w:val="en-US"/>
        </w:rPr>
        <w:t>.</w:t>
      </w:r>
      <w:r w:rsidR="008D2846" w:rsidRPr="004936EF">
        <w:rPr>
          <w:lang w:val="en-US"/>
        </w:rPr>
        <w:t>5</w:t>
      </w:r>
      <w:r w:rsidRPr="004936EF">
        <w:rPr>
          <w:lang w:val="en-US"/>
        </w:rPr>
        <w:t>.</w:t>
      </w:r>
    </w:p>
    <w:p w14:paraId="70088B60" w14:textId="77777777" w:rsidR="00442E1A" w:rsidRPr="004936EF" w:rsidRDefault="00442E1A" w:rsidP="004936EF">
      <w:pPr>
        <w:pStyle w:val="DO"/>
        <w:rPr>
          <w:lang w:val="en-US"/>
        </w:rPr>
      </w:pPr>
      <w:r w:rsidRPr="004936EF">
        <w:rPr>
          <w:lang w:val="en-US"/>
        </w:rPr>
        <w:t>OD 102</w:t>
      </w:r>
      <w:r w:rsidRPr="004936EF">
        <w:rPr>
          <w:lang w:val="en-US"/>
        </w:rPr>
        <w:tab/>
        <w:t xml:space="preserve">All parties are encouraged to take particular care to ensure that awareness-raising actions will not: </w:t>
      </w:r>
    </w:p>
    <w:p w14:paraId="12D7D68B" w14:textId="77777777" w:rsidR="00442E1A" w:rsidRPr="004936EF" w:rsidRDefault="00442E1A" w:rsidP="004936EF">
      <w:pPr>
        <w:pStyle w:val="DO"/>
        <w:rPr>
          <w:lang w:val="en-US"/>
        </w:rPr>
      </w:pPr>
      <w:r w:rsidRPr="004936EF">
        <w:rPr>
          <w:lang w:val="en-US"/>
        </w:rPr>
        <w:t>…</w:t>
      </w:r>
    </w:p>
    <w:p w14:paraId="7D4E3EED" w14:textId="77777777" w:rsidR="00442E1A" w:rsidRPr="004936EF" w:rsidRDefault="00442E1A" w:rsidP="004936EF">
      <w:pPr>
        <w:pStyle w:val="DOa"/>
        <w:rPr>
          <w:lang w:val="en-US"/>
        </w:rPr>
      </w:pPr>
      <w:r w:rsidRPr="004936EF">
        <w:rPr>
          <w:lang w:val="en-US"/>
        </w:rPr>
        <w:t xml:space="preserve">(e) </w:t>
      </w:r>
      <w:proofErr w:type="gramStart"/>
      <w:r w:rsidRPr="004936EF">
        <w:rPr>
          <w:lang w:val="en-US"/>
        </w:rPr>
        <w:t>lead</w:t>
      </w:r>
      <w:proofErr w:type="gramEnd"/>
      <w:r w:rsidRPr="004936EF">
        <w:rPr>
          <w:lang w:val="en-US"/>
        </w:rPr>
        <w:t xml:space="preserve"> to over-commercialization or to unsustainable tourism that may put at risk the intangible cultural heritage concerned.</w:t>
      </w:r>
    </w:p>
    <w:p w14:paraId="0CE70752" w14:textId="57D39BC8" w:rsidR="00442E1A" w:rsidRDefault="007558BB" w:rsidP="004936EF">
      <w:pPr>
        <w:pStyle w:val="Heading6"/>
      </w:pPr>
      <w:proofErr w:type="gramStart"/>
      <w:r w:rsidRPr="00141792">
        <w:lastRenderedPageBreak/>
        <w:t>Slide</w:t>
      </w:r>
      <w:proofErr w:type="gramEnd"/>
      <w:r w:rsidRPr="00141792">
        <w:t xml:space="preserve"> </w:t>
      </w:r>
      <w:r w:rsidR="00173E8A" w:rsidRPr="00141792">
        <w:t>18</w:t>
      </w:r>
      <w:r w:rsidR="00442E1A" w:rsidRPr="00141792">
        <w:t>.</w:t>
      </w:r>
    </w:p>
    <w:p w14:paraId="16109F0C" w14:textId="77777777" w:rsidR="007558BB" w:rsidRPr="00AB0A71" w:rsidRDefault="004C6472" w:rsidP="004936EF">
      <w:pPr>
        <w:pStyle w:val="diapo2"/>
        <w:rPr>
          <w:lang w:val="en-US"/>
        </w:rPr>
      </w:pPr>
      <w:r w:rsidRPr="00AB0A71">
        <w:rPr>
          <w:lang w:val="en-US"/>
        </w:rPr>
        <w:t>Warning (2)</w:t>
      </w:r>
    </w:p>
    <w:p w14:paraId="16B24310" w14:textId="107F089D" w:rsidR="00A34343" w:rsidRPr="004936EF" w:rsidRDefault="000A5092"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6E239C">
        <w:rPr>
          <w:lang w:val="en-GB"/>
        </w:rPr>
        <w:t>Unit 8</w:t>
      </w:r>
      <w:r w:rsidR="008D2846" w:rsidRPr="00141792">
        <w:rPr>
          <w:lang w:val="en-GB"/>
        </w:rPr>
        <w:t>.5</w:t>
      </w:r>
      <w:r w:rsidRPr="00141792">
        <w:rPr>
          <w:lang w:val="en-GB"/>
        </w:rPr>
        <w:t>.</w:t>
      </w:r>
    </w:p>
    <w:p w14:paraId="4FC37D07" w14:textId="77777777" w:rsidR="00442E1A" w:rsidRPr="004936EF" w:rsidRDefault="00442E1A" w:rsidP="004936EF">
      <w:pPr>
        <w:pStyle w:val="DO"/>
        <w:rPr>
          <w:lang w:val="en-US"/>
        </w:rPr>
      </w:pPr>
      <w:r w:rsidRPr="004936EF">
        <w:rPr>
          <w:lang w:val="en-US"/>
        </w:rPr>
        <w:t>OD 116</w:t>
      </w:r>
      <w:r w:rsidRPr="004936EF">
        <w:rPr>
          <w:lang w:val="en-US"/>
        </w:rPr>
        <w:tab/>
        <w:t>Commercial activities … and trade should not … threaten the viability of the intangible cultural heritage …</w:t>
      </w:r>
    </w:p>
    <w:p w14:paraId="661FC5D7" w14:textId="2A09E943" w:rsidR="00442E1A" w:rsidRDefault="004764C4" w:rsidP="004936EF">
      <w:pPr>
        <w:pStyle w:val="Heading6"/>
      </w:pPr>
      <w:proofErr w:type="gramStart"/>
      <w:r w:rsidRPr="00141792">
        <w:t>Slide</w:t>
      </w:r>
      <w:proofErr w:type="gramEnd"/>
      <w:r w:rsidRPr="00141792">
        <w:t xml:space="preserve"> </w:t>
      </w:r>
      <w:r w:rsidR="00173E8A" w:rsidRPr="00141792">
        <w:t>19</w:t>
      </w:r>
      <w:r w:rsidR="00442E1A" w:rsidRPr="00141792">
        <w:t>.</w:t>
      </w:r>
    </w:p>
    <w:p w14:paraId="6BF5AF9B" w14:textId="77777777" w:rsidR="007E17AD" w:rsidRPr="00AB0A71" w:rsidRDefault="007E17AD" w:rsidP="004936EF">
      <w:pPr>
        <w:pStyle w:val="diapo2"/>
        <w:rPr>
          <w:lang w:val="en-US"/>
        </w:rPr>
      </w:pPr>
      <w:r w:rsidRPr="00AB0A71">
        <w:rPr>
          <w:lang w:val="en-US"/>
        </w:rPr>
        <w:t>Warnin</w:t>
      </w:r>
      <w:r w:rsidR="004C6472" w:rsidRPr="00AB0A71">
        <w:rPr>
          <w:lang w:val="en-US"/>
        </w:rPr>
        <w:t>g (3)</w:t>
      </w:r>
    </w:p>
    <w:p w14:paraId="4B5EB9BB" w14:textId="747A3B76" w:rsidR="00A34343" w:rsidRPr="004936EF" w:rsidRDefault="00523AED" w:rsidP="009909DD">
      <w:pPr>
        <w:pStyle w:val="Texte1"/>
        <w:rPr>
          <w:lang w:val="en-US"/>
        </w:rPr>
      </w:pPr>
      <w:r w:rsidRPr="00141792">
        <w:rPr>
          <w:lang w:val="en-GB"/>
        </w:rPr>
        <w:t xml:space="preserve">See </w:t>
      </w:r>
      <w:r w:rsidR="00F02D08">
        <w:rPr>
          <w:lang w:val="en-GB"/>
        </w:rPr>
        <w:t>Participant’s</w:t>
      </w:r>
      <w:r w:rsidR="002A3923">
        <w:rPr>
          <w:lang w:val="en-GB"/>
        </w:rPr>
        <w:t xml:space="preserve"> text </w:t>
      </w:r>
      <w:r w:rsidR="006E239C">
        <w:rPr>
          <w:lang w:val="en-GB"/>
        </w:rPr>
        <w:t>Unit 8</w:t>
      </w:r>
      <w:r w:rsidR="008D2846" w:rsidRPr="00141792">
        <w:rPr>
          <w:lang w:val="en-GB"/>
        </w:rPr>
        <w:t>.5</w:t>
      </w:r>
      <w:r w:rsidRPr="00141792">
        <w:rPr>
          <w:lang w:val="en-GB"/>
        </w:rPr>
        <w:t>.</w:t>
      </w:r>
    </w:p>
    <w:p w14:paraId="0C080E7B" w14:textId="77777777" w:rsidR="00442E1A" w:rsidRPr="004936EF" w:rsidRDefault="00442E1A" w:rsidP="004936EF">
      <w:pPr>
        <w:pStyle w:val="DO"/>
        <w:rPr>
          <w:lang w:val="en-US"/>
        </w:rPr>
      </w:pPr>
      <w:r w:rsidRPr="004936EF">
        <w:rPr>
          <w:lang w:val="en-US"/>
        </w:rPr>
        <w:t>OD 117</w:t>
      </w:r>
      <w:r w:rsidRPr="004936EF">
        <w:rPr>
          <w:lang w:val="en-US"/>
        </w:rPr>
        <w:tab/>
        <w:t>Particular attention should be paid to avoiding commercial misappropriation, to managing tourism in a sustainable way, to finding a proper balance between the interests of the commercial party, the public administration and the cultural practitioners, and to ensuring that the commercial use does not distort the meaning and purpose of the intangible cultural heritage for the community concerned.</w:t>
      </w:r>
    </w:p>
    <w:p w14:paraId="1242435B" w14:textId="0A95A4EA" w:rsidR="00442E1A" w:rsidRDefault="00462CAC" w:rsidP="004936EF">
      <w:pPr>
        <w:pStyle w:val="Heading6"/>
      </w:pPr>
      <w:proofErr w:type="gramStart"/>
      <w:r w:rsidRPr="00141792">
        <w:t>Slide</w:t>
      </w:r>
      <w:proofErr w:type="gramEnd"/>
      <w:r w:rsidRPr="00141792">
        <w:t xml:space="preserve"> </w:t>
      </w:r>
      <w:r w:rsidR="00F03D1B" w:rsidRPr="00141792">
        <w:t>2</w:t>
      </w:r>
      <w:r w:rsidR="00173E8A" w:rsidRPr="00141792">
        <w:t>0</w:t>
      </w:r>
      <w:r w:rsidR="00442E1A" w:rsidRPr="00141792">
        <w:t>.</w:t>
      </w:r>
    </w:p>
    <w:p w14:paraId="131EA42C" w14:textId="56BA57B3" w:rsidR="00462CAC" w:rsidRPr="00AB0A71" w:rsidRDefault="00462CAC" w:rsidP="004936EF">
      <w:pPr>
        <w:pStyle w:val="diapo2"/>
        <w:rPr>
          <w:lang w:val="en-US"/>
        </w:rPr>
      </w:pPr>
      <w:r w:rsidRPr="00AB0A71">
        <w:rPr>
          <w:lang w:val="en-US"/>
        </w:rPr>
        <w:t>Mitigating risks</w:t>
      </w:r>
      <w:r w:rsidR="0016168F">
        <w:rPr>
          <w:lang w:val="en-US"/>
        </w:rPr>
        <w:t xml:space="preserve"> through…</w:t>
      </w:r>
    </w:p>
    <w:p w14:paraId="198CE29C" w14:textId="10480233" w:rsidR="00A34343" w:rsidRPr="004936EF" w:rsidRDefault="00F02D08" w:rsidP="009909DD">
      <w:pPr>
        <w:pStyle w:val="Texte1"/>
        <w:rPr>
          <w:lang w:val="en-US"/>
        </w:rPr>
      </w:pPr>
      <w:r>
        <w:rPr>
          <w:lang w:val="en-GB"/>
        </w:rPr>
        <w:t>Participant’s</w:t>
      </w:r>
      <w:r w:rsidR="002A3923">
        <w:rPr>
          <w:lang w:val="en-GB"/>
        </w:rPr>
        <w:t xml:space="preserve"> text </w:t>
      </w:r>
      <w:r w:rsidR="006E239C">
        <w:rPr>
          <w:lang w:val="en-GB"/>
        </w:rPr>
        <w:t>Unit 8</w:t>
      </w:r>
      <w:r w:rsidR="00C24111" w:rsidRPr="00141792">
        <w:rPr>
          <w:lang w:val="en-GB"/>
        </w:rPr>
        <w:t xml:space="preserve">.6 outlines some of the possible ways of mitigating risks </w:t>
      </w:r>
      <w:r w:rsidR="00DF590F" w:rsidRPr="00141792">
        <w:rPr>
          <w:bCs/>
          <w:lang w:val="en-GB"/>
        </w:rPr>
        <w:t xml:space="preserve">in the context of </w:t>
      </w:r>
      <w:r w:rsidR="00C24111" w:rsidRPr="00141792">
        <w:rPr>
          <w:bCs/>
          <w:lang w:val="en-GB"/>
        </w:rPr>
        <w:t>sustainable development and income generation.</w:t>
      </w:r>
      <w:r w:rsidR="00173E8A" w:rsidRPr="00141792">
        <w:rPr>
          <w:lang w:val="en-GB"/>
        </w:rPr>
        <w:t xml:space="preserve"> It</w:t>
      </w:r>
      <w:r w:rsidR="00C24111" w:rsidRPr="00141792">
        <w:rPr>
          <w:lang w:val="en-GB"/>
        </w:rPr>
        <w:t xml:space="preserve"> refers</w:t>
      </w:r>
      <w:r w:rsidR="00173E8A" w:rsidRPr="00141792">
        <w:rPr>
          <w:lang w:val="en-GB"/>
        </w:rPr>
        <w:t xml:space="preserve"> briefly</w:t>
      </w:r>
      <w:r w:rsidR="00C24111" w:rsidRPr="00141792">
        <w:rPr>
          <w:lang w:val="en-GB"/>
        </w:rPr>
        <w:t xml:space="preserve"> to the use of </w:t>
      </w:r>
      <w:r w:rsidR="002B0A56" w:rsidRPr="00141792">
        <w:rPr>
          <w:lang w:val="en-GB"/>
        </w:rPr>
        <w:t xml:space="preserve">IPR </w:t>
      </w:r>
      <w:r w:rsidR="00C24111" w:rsidRPr="00141792">
        <w:rPr>
          <w:lang w:val="en-GB"/>
        </w:rPr>
        <w:t>regimes to protect community rights over their ICH. This is discussed in greater detail in</w:t>
      </w:r>
      <w:r w:rsidR="00AA07B0" w:rsidRPr="00141792">
        <w:rPr>
          <w:lang w:val="en-GB"/>
        </w:rPr>
        <w:t xml:space="preserve"> the rest of</w:t>
      </w:r>
      <w:r w:rsidR="00C24111" w:rsidRPr="00141792">
        <w:rPr>
          <w:lang w:val="en-GB"/>
        </w:rPr>
        <w:t xml:space="preserve"> </w:t>
      </w:r>
      <w:r w:rsidR="006E239C">
        <w:rPr>
          <w:lang w:val="en-GB"/>
        </w:rPr>
        <w:t>Unit 8</w:t>
      </w:r>
      <w:r w:rsidR="00173E8A" w:rsidRPr="00141792">
        <w:rPr>
          <w:lang w:val="en-GB"/>
        </w:rPr>
        <w:t xml:space="preserve"> but a few pointers are given here in case the issue should arise. </w:t>
      </w:r>
    </w:p>
    <w:p w14:paraId="4CDE3E1B" w14:textId="35891A65" w:rsidR="00AB1708" w:rsidRPr="004936EF" w:rsidRDefault="00AB1708" w:rsidP="009909DD">
      <w:pPr>
        <w:pStyle w:val="Texte1"/>
        <w:rPr>
          <w:lang w:val="en-US"/>
        </w:rPr>
      </w:pPr>
      <w:r w:rsidRPr="004936EF">
        <w:rPr>
          <w:lang w:val="en-US"/>
        </w:rPr>
        <w:t xml:space="preserve">See </w:t>
      </w:r>
      <w:r w:rsidR="00F02D08">
        <w:rPr>
          <w:lang w:val="en-US"/>
        </w:rPr>
        <w:t>Participant’s</w:t>
      </w:r>
      <w:r w:rsidR="002A3923">
        <w:rPr>
          <w:lang w:val="en-US"/>
        </w:rPr>
        <w:t xml:space="preserve"> text </w:t>
      </w:r>
      <w:r w:rsidR="006E239C" w:rsidRPr="004936EF">
        <w:rPr>
          <w:lang w:val="en-US"/>
        </w:rPr>
        <w:t>Unit 3</w:t>
      </w:r>
      <w:r w:rsidR="002B0A56" w:rsidRPr="004936EF">
        <w:rPr>
          <w:lang w:val="en-US"/>
        </w:rPr>
        <w:t>:</w:t>
      </w:r>
      <w:r w:rsidRPr="004936EF">
        <w:rPr>
          <w:lang w:val="en-US"/>
        </w:rPr>
        <w:t xml:space="preserve"> </w:t>
      </w:r>
      <w:r w:rsidR="002B0A56" w:rsidRPr="004936EF">
        <w:rPr>
          <w:lang w:val="en-US"/>
        </w:rPr>
        <w:t>‘I</w:t>
      </w:r>
      <w:r w:rsidRPr="004936EF">
        <w:rPr>
          <w:lang w:val="en-US"/>
        </w:rPr>
        <w:t>ntellectual property</w:t>
      </w:r>
      <w:r w:rsidR="002B0A56" w:rsidRPr="004936EF">
        <w:rPr>
          <w:lang w:val="en-US"/>
        </w:rPr>
        <w:t>’</w:t>
      </w:r>
      <w:r w:rsidRPr="004936EF">
        <w:rPr>
          <w:lang w:val="en-US"/>
        </w:rPr>
        <w:t>.</w:t>
      </w:r>
    </w:p>
    <w:p w14:paraId="05017DEF" w14:textId="77777777" w:rsidR="00442E1A" w:rsidRPr="004936EF" w:rsidRDefault="00442E1A" w:rsidP="004936EF">
      <w:pPr>
        <w:pStyle w:val="DO"/>
        <w:rPr>
          <w:lang w:val="en-US"/>
        </w:rPr>
      </w:pPr>
      <w:r w:rsidRPr="004936EF">
        <w:rPr>
          <w:lang w:val="en-US"/>
        </w:rPr>
        <w:t>OD 104</w:t>
      </w:r>
      <w:r w:rsidRPr="004936EF">
        <w:rPr>
          <w:lang w:val="en-US"/>
        </w:rPr>
        <w:tab/>
        <w:t xml:space="preserve">States Parties shall </w:t>
      </w:r>
      <w:proofErr w:type="spellStart"/>
      <w:r w:rsidRPr="004936EF">
        <w:rPr>
          <w:lang w:val="en-US"/>
        </w:rPr>
        <w:t>endeavour</w:t>
      </w:r>
      <w:proofErr w:type="spellEnd"/>
      <w:r w:rsidRPr="004936EF">
        <w:rPr>
          <w:lang w:val="en-US"/>
        </w:rPr>
        <w:t xml:space="preserve"> to ensure, in particular through the application of intellectual property rights, privacy rights and any other appropriate form of legal protection, that the rights of the communities, groups and individuals that create, bear and transmit their intangible cultural heritage are duly protected when raising awareness about their heritage or engaging in commercial activities.</w:t>
      </w:r>
    </w:p>
    <w:p w14:paraId="2548F16C" w14:textId="77777777" w:rsidR="00442E1A" w:rsidRPr="004936EF" w:rsidRDefault="00442E1A" w:rsidP="004936EF">
      <w:pPr>
        <w:pStyle w:val="DO"/>
        <w:rPr>
          <w:lang w:val="en-US"/>
        </w:rPr>
      </w:pPr>
      <w:r w:rsidRPr="004936EF">
        <w:rPr>
          <w:lang w:val="en-US"/>
        </w:rPr>
        <w:t>OD 116</w:t>
      </w:r>
      <w:r w:rsidRPr="004936EF">
        <w:rPr>
          <w:lang w:val="en-US"/>
        </w:rPr>
        <w:tab/>
        <w:t>Commercial activities … and trade should not … threaten the viability of the intangible cultural heritage, and all appropriate measures should be taken to ensure that the communities concerned are their primary beneficiaries. Particular attention should be given to the way such activities might affect the nature and viability of the intangible cultural heritage, in particular the intangible cultural heritage manifested in the domains of rituals, social practices or knowledge about nature and the universe.</w:t>
      </w:r>
    </w:p>
    <w:p w14:paraId="62916246" w14:textId="35C8EEBF" w:rsidR="00140590" w:rsidRPr="00D87144" w:rsidRDefault="005A71F8" w:rsidP="00D87144">
      <w:pPr>
        <w:pStyle w:val="Soustitre"/>
        <w:rPr>
          <w:lang w:val="en-US"/>
        </w:rPr>
      </w:pPr>
      <w:bookmarkStart w:id="15" w:name="_Toc238982248"/>
      <w:r>
        <w:rPr>
          <w:lang w:val="en-US"/>
        </w:rPr>
        <w:t>Example</w:t>
      </w:r>
      <w:r w:rsidR="00140590" w:rsidRPr="00AB0A71">
        <w:rPr>
          <w:lang w:val="en-US"/>
        </w:rPr>
        <w:t xml:space="preserve"> of how economic benefits accrued in the practice of an ICH element may be distributed equitably and help to support the communities or groups involved</w:t>
      </w:r>
      <w:bookmarkEnd w:id="15"/>
    </w:p>
    <w:p w14:paraId="7E73F922" w14:textId="77777777" w:rsidR="00140590" w:rsidRPr="004936EF" w:rsidRDefault="00140590" w:rsidP="009909DD">
      <w:pPr>
        <w:pStyle w:val="Texte1"/>
        <w:rPr>
          <w:lang w:val="en-US"/>
        </w:rPr>
      </w:pPr>
      <w:r w:rsidRPr="00141792">
        <w:rPr>
          <w:lang w:val="en-GB"/>
        </w:rPr>
        <w:t xml:space="preserve">In India, a benefit-sharing trust was established in 1997 on behalf of the </w:t>
      </w:r>
      <w:proofErr w:type="spellStart"/>
      <w:r w:rsidRPr="00141792">
        <w:rPr>
          <w:lang w:val="en-GB"/>
        </w:rPr>
        <w:t>Kani</w:t>
      </w:r>
      <w:proofErr w:type="spellEnd"/>
      <w:r w:rsidRPr="00141792">
        <w:rPr>
          <w:lang w:val="en-GB"/>
        </w:rPr>
        <w:t xml:space="preserve"> people to channel benefits into the local community from the cultivation and commercial pharmaceutical use of an indigenous plant. The </w:t>
      </w:r>
      <w:proofErr w:type="spellStart"/>
      <w:r w:rsidR="00DC43C7" w:rsidRPr="00141792">
        <w:rPr>
          <w:lang w:val="en-GB"/>
        </w:rPr>
        <w:t>biopros</w:t>
      </w:r>
      <w:r w:rsidRPr="00141792">
        <w:rPr>
          <w:lang w:val="en-GB"/>
        </w:rPr>
        <w:t>pecting</w:t>
      </w:r>
      <w:proofErr w:type="spellEnd"/>
      <w:r w:rsidRPr="00141792">
        <w:rPr>
          <w:lang w:val="en-GB"/>
        </w:rPr>
        <w:t xml:space="preserve"> institute that identified the </w:t>
      </w:r>
      <w:r w:rsidRPr="00141792">
        <w:rPr>
          <w:lang w:val="en-GB"/>
        </w:rPr>
        <w:lastRenderedPageBreak/>
        <w:t xml:space="preserve">commercial potential of the </w:t>
      </w:r>
      <w:proofErr w:type="spellStart"/>
      <w:r w:rsidRPr="00141792">
        <w:rPr>
          <w:lang w:val="en-GB"/>
        </w:rPr>
        <w:t>Kani</w:t>
      </w:r>
      <w:proofErr w:type="spellEnd"/>
      <w:r w:rsidRPr="00141792">
        <w:rPr>
          <w:lang w:val="en-GB"/>
        </w:rPr>
        <w:t xml:space="preserve"> traditional knowledge about the usefulness of the plant shared the patent royalties equally with the community.</w:t>
      </w:r>
      <w:r w:rsidRPr="00141792">
        <w:rPr>
          <w:vertAlign w:val="superscript"/>
          <w:lang w:val="en-GB"/>
        </w:rPr>
        <w:footnoteReference w:id="6"/>
      </w:r>
    </w:p>
    <w:p w14:paraId="42298829" w14:textId="41262925" w:rsidR="00442E1A" w:rsidRDefault="00173E8A" w:rsidP="004936EF">
      <w:pPr>
        <w:pStyle w:val="Heading6"/>
      </w:pPr>
      <w:proofErr w:type="gramStart"/>
      <w:r w:rsidRPr="00141792">
        <w:t>Slide</w:t>
      </w:r>
      <w:proofErr w:type="gramEnd"/>
      <w:r w:rsidRPr="00141792">
        <w:t xml:space="preserve"> 21</w:t>
      </w:r>
      <w:r w:rsidR="00442E1A" w:rsidRPr="00141792">
        <w:t>.</w:t>
      </w:r>
    </w:p>
    <w:p w14:paraId="4E595BA5" w14:textId="77777777" w:rsidR="00173E8A" w:rsidRPr="00AB0A71" w:rsidRDefault="00173E8A" w:rsidP="004936EF">
      <w:pPr>
        <w:pStyle w:val="diapo2"/>
        <w:rPr>
          <w:lang w:val="en-US"/>
        </w:rPr>
      </w:pPr>
      <w:r w:rsidRPr="00AB0A71">
        <w:rPr>
          <w:lang w:val="en-US"/>
        </w:rPr>
        <w:t xml:space="preserve">Case study: </w:t>
      </w:r>
      <w:r w:rsidR="00F97BB0" w:rsidRPr="00AB0A71">
        <w:rPr>
          <w:lang w:val="en-US"/>
        </w:rPr>
        <w:t>t</w:t>
      </w:r>
      <w:r w:rsidRPr="00AB0A71">
        <w:rPr>
          <w:lang w:val="en-US"/>
        </w:rPr>
        <w:t>ourism and trade associated with Taquile weaving (Peru)</w:t>
      </w:r>
    </w:p>
    <w:p w14:paraId="551D9F1C" w14:textId="346FDE47" w:rsidR="00173E8A" w:rsidRPr="004936EF" w:rsidRDefault="006E239C" w:rsidP="009909DD">
      <w:pPr>
        <w:pStyle w:val="Texte1"/>
        <w:rPr>
          <w:lang w:val="en-US"/>
        </w:rPr>
      </w:pPr>
      <w:r>
        <w:rPr>
          <w:lang w:val="en-GB"/>
        </w:rPr>
        <w:t>C</w:t>
      </w:r>
      <w:r w:rsidR="00442E1A">
        <w:rPr>
          <w:lang w:val="en-GB"/>
        </w:rPr>
        <w:t>ase study </w:t>
      </w:r>
      <w:r w:rsidR="00B577F8" w:rsidRPr="00141792">
        <w:rPr>
          <w:lang w:val="en-GB"/>
        </w:rPr>
        <w:t>17</w:t>
      </w:r>
      <w:r w:rsidR="00C15866" w:rsidRPr="00141792">
        <w:rPr>
          <w:lang w:val="en-GB"/>
        </w:rPr>
        <w:t>,</w:t>
      </w:r>
      <w:r w:rsidR="00173E8A" w:rsidRPr="00141792">
        <w:rPr>
          <w:lang w:val="en-GB"/>
        </w:rPr>
        <w:t xml:space="preserve"> discusses the risks and benefits associated with tourism and trade projects on </w:t>
      </w:r>
      <w:r w:rsidR="00091AB0" w:rsidRPr="00141792">
        <w:rPr>
          <w:lang w:val="en-GB"/>
        </w:rPr>
        <w:t xml:space="preserve">the island of </w:t>
      </w:r>
      <w:proofErr w:type="spellStart"/>
      <w:r w:rsidR="00173E8A" w:rsidRPr="00141792">
        <w:rPr>
          <w:lang w:val="en-GB"/>
        </w:rPr>
        <w:t>Taquile</w:t>
      </w:r>
      <w:proofErr w:type="spellEnd"/>
      <w:r w:rsidR="00173E8A" w:rsidRPr="00141792">
        <w:rPr>
          <w:lang w:val="en-GB"/>
        </w:rPr>
        <w:t xml:space="preserve">, Peru. This case study can be used to introduce a discussion of the importance of mitigating risks associated with </w:t>
      </w:r>
      <w:r w:rsidR="0033251A" w:rsidRPr="00141792">
        <w:rPr>
          <w:lang w:val="en-GB"/>
        </w:rPr>
        <w:t>income-generating</w:t>
      </w:r>
      <w:r w:rsidR="00173E8A" w:rsidRPr="00141792">
        <w:rPr>
          <w:lang w:val="en-GB"/>
        </w:rPr>
        <w:t xml:space="preserve"> projects. It also underlines the importance of community participation in such projects, and </w:t>
      </w:r>
      <w:r w:rsidR="00CB4B5B" w:rsidRPr="00141792">
        <w:rPr>
          <w:lang w:val="en-GB"/>
        </w:rPr>
        <w:t xml:space="preserve">how the </w:t>
      </w:r>
      <w:r w:rsidR="00173E8A" w:rsidRPr="00141792">
        <w:rPr>
          <w:lang w:val="en-GB"/>
        </w:rPr>
        <w:t xml:space="preserve">community </w:t>
      </w:r>
      <w:r w:rsidR="00CB4B5B" w:rsidRPr="00141792">
        <w:rPr>
          <w:lang w:val="en-GB"/>
        </w:rPr>
        <w:t xml:space="preserve">can </w:t>
      </w:r>
      <w:r w:rsidR="00173E8A" w:rsidRPr="00141792">
        <w:rPr>
          <w:lang w:val="en-GB"/>
        </w:rPr>
        <w:t xml:space="preserve">benefit from them. </w:t>
      </w:r>
    </w:p>
    <w:p w14:paraId="6C6DCAAA" w14:textId="42AF2BE0" w:rsidR="00442E1A" w:rsidRDefault="00173E8A" w:rsidP="004936EF">
      <w:pPr>
        <w:pStyle w:val="Heading6"/>
      </w:pPr>
      <w:proofErr w:type="gramStart"/>
      <w:r w:rsidRPr="00141792">
        <w:t>Slide</w:t>
      </w:r>
      <w:proofErr w:type="gramEnd"/>
      <w:r w:rsidRPr="00141792">
        <w:t xml:space="preserve"> 22</w:t>
      </w:r>
      <w:r w:rsidR="00442E1A" w:rsidRPr="00141792">
        <w:t>.</w:t>
      </w:r>
    </w:p>
    <w:p w14:paraId="4B04BF43" w14:textId="77777777" w:rsidR="00173E8A" w:rsidRPr="00AB0A71" w:rsidRDefault="00173E8A" w:rsidP="004936EF">
      <w:pPr>
        <w:pStyle w:val="diapo2"/>
        <w:rPr>
          <w:lang w:val="en-US"/>
        </w:rPr>
      </w:pPr>
      <w:r w:rsidRPr="00AB0A71">
        <w:rPr>
          <w:lang w:val="en-US"/>
        </w:rPr>
        <w:t xml:space="preserve">Case study: </w:t>
      </w:r>
      <w:r w:rsidR="005D0B9D" w:rsidRPr="00AB0A71">
        <w:rPr>
          <w:lang w:val="en-US"/>
        </w:rPr>
        <w:t>c</w:t>
      </w:r>
      <w:r w:rsidRPr="00AB0A71">
        <w:rPr>
          <w:lang w:val="en-US"/>
        </w:rPr>
        <w:t xml:space="preserve">ommercialization of </w:t>
      </w:r>
      <w:r w:rsidR="005D0B9D" w:rsidRPr="00AB0A71">
        <w:rPr>
          <w:lang w:val="en-US"/>
        </w:rPr>
        <w:t>t</w:t>
      </w:r>
      <w:r w:rsidRPr="00AB0A71">
        <w:rPr>
          <w:lang w:val="en-US"/>
        </w:rPr>
        <w:t xml:space="preserve">raditional knowledge about </w:t>
      </w:r>
      <w:r w:rsidRPr="00AB0A71">
        <w:rPr>
          <w:i/>
          <w:lang w:val="en-US"/>
        </w:rPr>
        <w:t xml:space="preserve">Hoodia </w:t>
      </w:r>
      <w:r w:rsidR="005D0B9D" w:rsidRPr="00AB0A71">
        <w:rPr>
          <w:i/>
          <w:lang w:val="en-US"/>
        </w:rPr>
        <w:t>g</w:t>
      </w:r>
      <w:r w:rsidRPr="00AB0A71">
        <w:rPr>
          <w:i/>
          <w:lang w:val="en-US"/>
        </w:rPr>
        <w:t>ordonii</w:t>
      </w:r>
      <w:r w:rsidRPr="00AB0A71">
        <w:rPr>
          <w:lang w:val="en-US"/>
        </w:rPr>
        <w:t xml:space="preserve"> as an appetite suppressant (South Africa and Namibia)</w:t>
      </w:r>
    </w:p>
    <w:p w14:paraId="102A4F93" w14:textId="2DB7A9B1" w:rsidR="00173E8A" w:rsidRPr="004936EF" w:rsidRDefault="00173E8A" w:rsidP="009909DD">
      <w:pPr>
        <w:pStyle w:val="Texte1"/>
        <w:rPr>
          <w:lang w:val="en-US"/>
        </w:rPr>
      </w:pPr>
      <w:r w:rsidRPr="00141792">
        <w:rPr>
          <w:lang w:val="en-GB"/>
        </w:rPr>
        <w:t xml:space="preserve">Some of the risks and possible mitigations are illustrated in </w:t>
      </w:r>
      <w:r w:rsidR="006E239C">
        <w:rPr>
          <w:lang w:val="en-GB"/>
        </w:rPr>
        <w:t>C</w:t>
      </w:r>
      <w:r w:rsidR="00442E1A">
        <w:rPr>
          <w:lang w:val="en-GB"/>
        </w:rPr>
        <w:t>ase study </w:t>
      </w:r>
      <w:r w:rsidR="00B577F8" w:rsidRPr="00141792">
        <w:rPr>
          <w:lang w:val="en-GB"/>
        </w:rPr>
        <w:t>18</w:t>
      </w:r>
      <w:r w:rsidR="00C15866" w:rsidRPr="00141792">
        <w:rPr>
          <w:lang w:val="en-GB"/>
        </w:rPr>
        <w:t>,</w:t>
      </w:r>
      <w:r w:rsidRPr="00141792">
        <w:rPr>
          <w:lang w:val="en-GB"/>
        </w:rPr>
        <w:t xml:space="preserve"> </w:t>
      </w:r>
      <w:r w:rsidR="00C15866" w:rsidRPr="00141792">
        <w:rPr>
          <w:lang w:val="en-GB"/>
        </w:rPr>
        <w:t xml:space="preserve">which </w:t>
      </w:r>
      <w:r w:rsidRPr="00141792">
        <w:rPr>
          <w:lang w:val="en-GB"/>
        </w:rPr>
        <w:t>shows how benefit-</w:t>
      </w:r>
      <w:r w:rsidR="00DF54ED" w:rsidRPr="00141792">
        <w:rPr>
          <w:lang w:val="en-GB"/>
        </w:rPr>
        <w:t>sharing</w:t>
      </w:r>
      <w:r w:rsidRPr="00141792">
        <w:rPr>
          <w:lang w:val="en-GB"/>
        </w:rPr>
        <w:t xml:space="preserve"> agreements can be negotiated between communities and commercial companies over indigenous knowledge. Even so, communities will not necessarily benefit, financially or otherwise, from the commercialization of their traditional knowledge.</w:t>
      </w:r>
    </w:p>
    <w:p w14:paraId="423B72E6" w14:textId="79F5B40E" w:rsidR="00442E1A" w:rsidRDefault="00173E8A" w:rsidP="004936EF">
      <w:pPr>
        <w:pStyle w:val="Heading6"/>
      </w:pPr>
      <w:proofErr w:type="gramStart"/>
      <w:r w:rsidRPr="00141792">
        <w:t>Slide</w:t>
      </w:r>
      <w:proofErr w:type="gramEnd"/>
      <w:r w:rsidRPr="00141792">
        <w:t xml:space="preserve"> 23</w:t>
      </w:r>
      <w:r w:rsidR="00442E1A" w:rsidRPr="00141792">
        <w:t>.</w:t>
      </w:r>
    </w:p>
    <w:p w14:paraId="7DB3B9BE" w14:textId="77777777" w:rsidR="00173E8A" w:rsidRPr="00AB0A71" w:rsidRDefault="00173E8A" w:rsidP="004936EF">
      <w:pPr>
        <w:pStyle w:val="diapo2"/>
        <w:rPr>
          <w:lang w:val="en-US"/>
        </w:rPr>
      </w:pPr>
      <w:r w:rsidRPr="00AB0A71">
        <w:rPr>
          <w:lang w:val="en-US"/>
        </w:rPr>
        <w:t xml:space="preserve">Case study: </w:t>
      </w:r>
      <w:r w:rsidR="00C67630" w:rsidRPr="00AB0A71">
        <w:rPr>
          <w:lang w:val="en-US"/>
        </w:rPr>
        <w:t xml:space="preserve">the </w:t>
      </w:r>
      <w:r w:rsidR="00C67630" w:rsidRPr="00AB0A71">
        <w:rPr>
          <w:i/>
          <w:lang w:val="en-US"/>
        </w:rPr>
        <w:t>Runa Tupari</w:t>
      </w:r>
      <w:r w:rsidR="00C67630" w:rsidRPr="00AB0A71">
        <w:rPr>
          <w:lang w:val="en-US"/>
        </w:rPr>
        <w:t xml:space="preserve"> tourism project (Ecuador)</w:t>
      </w:r>
    </w:p>
    <w:p w14:paraId="72E9A635" w14:textId="2E0C6299" w:rsidR="00173E8A" w:rsidRPr="004936EF" w:rsidRDefault="006E239C" w:rsidP="009909DD">
      <w:pPr>
        <w:pStyle w:val="Texte1"/>
        <w:rPr>
          <w:lang w:val="en-US"/>
        </w:rPr>
      </w:pPr>
      <w:r>
        <w:rPr>
          <w:lang w:val="en-GB"/>
        </w:rPr>
        <w:t>C</w:t>
      </w:r>
      <w:r w:rsidR="00442E1A">
        <w:rPr>
          <w:lang w:val="en-GB"/>
        </w:rPr>
        <w:t>ase study </w:t>
      </w:r>
      <w:proofErr w:type="gramStart"/>
      <w:r w:rsidR="00B577F8" w:rsidRPr="00141792">
        <w:rPr>
          <w:lang w:val="en-GB"/>
        </w:rPr>
        <w:t>19</w:t>
      </w:r>
      <w:r w:rsidR="00C15866" w:rsidRPr="00141792">
        <w:rPr>
          <w:lang w:val="en-GB"/>
        </w:rPr>
        <w:t>,</w:t>
      </w:r>
      <w:proofErr w:type="gramEnd"/>
      <w:r w:rsidR="00C67630" w:rsidRPr="00141792">
        <w:rPr>
          <w:lang w:val="en-GB"/>
        </w:rPr>
        <w:t xml:space="preserve"> is an example of a</w:t>
      </w:r>
      <w:r w:rsidR="00173E8A" w:rsidRPr="00141792">
        <w:rPr>
          <w:lang w:val="en-GB"/>
        </w:rPr>
        <w:t xml:space="preserve"> community-based initiative to promote ICH safeguarding and s</w:t>
      </w:r>
      <w:r w:rsidR="00C67630" w:rsidRPr="00141792">
        <w:rPr>
          <w:lang w:val="en-GB"/>
        </w:rPr>
        <w:t>ustainable socio-economic development through tourism in a rural area of Ecuador.</w:t>
      </w:r>
    </w:p>
    <w:p w14:paraId="089A2695" w14:textId="2C2F46AC" w:rsidR="00442E1A" w:rsidRDefault="00173E8A" w:rsidP="004936EF">
      <w:pPr>
        <w:pStyle w:val="Heading6"/>
      </w:pPr>
      <w:proofErr w:type="gramStart"/>
      <w:r w:rsidRPr="00141792">
        <w:t>Slide</w:t>
      </w:r>
      <w:proofErr w:type="gramEnd"/>
      <w:r w:rsidRPr="00141792">
        <w:t xml:space="preserve"> 24</w:t>
      </w:r>
      <w:r w:rsidR="00442E1A" w:rsidRPr="00141792">
        <w:t>.</w:t>
      </w:r>
    </w:p>
    <w:p w14:paraId="1CC6E830" w14:textId="77777777" w:rsidR="00173E8A" w:rsidRPr="00AB0A71" w:rsidRDefault="00173E8A" w:rsidP="004936EF">
      <w:pPr>
        <w:pStyle w:val="diapo2"/>
        <w:rPr>
          <w:lang w:val="en-US"/>
        </w:rPr>
      </w:pPr>
      <w:r w:rsidRPr="00AB0A71">
        <w:rPr>
          <w:lang w:val="en-US"/>
        </w:rPr>
        <w:t xml:space="preserve">Case study: </w:t>
      </w:r>
      <w:r w:rsidR="00C67630" w:rsidRPr="00AB0A71">
        <w:rPr>
          <w:lang w:val="en-US"/>
        </w:rPr>
        <w:t>Ugandan bark cloth</w:t>
      </w:r>
    </w:p>
    <w:p w14:paraId="3F27B553" w14:textId="04CD1466" w:rsidR="00867240" w:rsidRDefault="006E239C" w:rsidP="009909DD">
      <w:pPr>
        <w:pStyle w:val="Texte1"/>
        <w:rPr>
          <w:lang w:val="en-GB"/>
        </w:rPr>
      </w:pPr>
      <w:r>
        <w:rPr>
          <w:lang w:val="en-GB"/>
        </w:rPr>
        <w:t>C</w:t>
      </w:r>
      <w:r w:rsidR="00442E1A">
        <w:rPr>
          <w:lang w:val="en-GB"/>
        </w:rPr>
        <w:t>ase study </w:t>
      </w:r>
      <w:proofErr w:type="gramStart"/>
      <w:r w:rsidR="00B577F8" w:rsidRPr="00141792">
        <w:rPr>
          <w:lang w:val="en-GB"/>
        </w:rPr>
        <w:t>20</w:t>
      </w:r>
      <w:r w:rsidR="00C15866" w:rsidRPr="00141792">
        <w:rPr>
          <w:lang w:val="en-GB"/>
        </w:rPr>
        <w:t>,</w:t>
      </w:r>
      <w:proofErr w:type="gramEnd"/>
      <w:r w:rsidR="00C67630" w:rsidRPr="00141792">
        <w:rPr>
          <w:lang w:val="en-GB"/>
        </w:rPr>
        <w:t xml:space="preserve"> provides information about two separate initiatives to create broader international awareness of traditional skills and knowledge used in bark cloth making in Uganda while contributing to innovation in the use of traditional materials.</w:t>
      </w:r>
    </w:p>
    <w:p w14:paraId="4028B13E" w14:textId="77777777" w:rsidR="009D2500" w:rsidRDefault="009D2500" w:rsidP="009909DD">
      <w:pPr>
        <w:pStyle w:val="Texte1"/>
        <w:rPr>
          <w:lang w:val="en-GB"/>
        </w:rPr>
      </w:pPr>
    </w:p>
    <w:p w14:paraId="17C155DD" w14:textId="6934EF92" w:rsidR="00590484" w:rsidRPr="00374A0B" w:rsidRDefault="00590484" w:rsidP="009D2500">
      <w:pPr>
        <w:pStyle w:val="Evaluation"/>
        <w:rPr>
          <w:lang w:val="en-US"/>
        </w:rPr>
      </w:pPr>
    </w:p>
    <w:sectPr w:rsidR="00590484" w:rsidRPr="00374A0B" w:rsidSect="009B3A94">
      <w:headerReference w:type="even" r:id="rId14"/>
      <w:headerReference w:type="default" r:id="rId15"/>
      <w:footerReference w:type="even" r:id="rId16"/>
      <w:footerReference w:type="default" r:id="rId17"/>
      <w:headerReference w:type="first" r:id="rId18"/>
      <w:footerReference w:type="first" r:id="rId19"/>
      <w:type w:val="oddPage"/>
      <w:pgSz w:w="11900" w:h="16820" w:code="9"/>
      <w:pgMar w:top="1701" w:right="1531" w:bottom="1701" w:left="1531" w:header="720" w:footer="720"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2C4823" w15:done="0"/>
  <w15:commentEx w15:paraId="36D3FC59" w15:done="0"/>
  <w15:commentEx w15:paraId="5F791C04" w15:done="0"/>
  <w15:commentEx w15:paraId="5916F96C" w15:done="0"/>
  <w15:commentEx w15:paraId="77DB129A" w15:done="0"/>
  <w15:commentEx w15:paraId="3861EEA7" w15:done="0"/>
  <w15:commentEx w15:paraId="1E8D58A0" w15:done="0"/>
  <w15:commentEx w15:paraId="34B49D90" w15:done="0"/>
  <w15:commentEx w15:paraId="6D78610C" w15:done="0"/>
  <w15:commentEx w15:paraId="79AFEB21" w15:done="0"/>
  <w15:commentEx w15:paraId="090502F8" w15:done="0"/>
  <w15:commentEx w15:paraId="7632DF3E" w15:done="0"/>
  <w15:commentEx w15:paraId="001BD65A" w15:done="0"/>
  <w15:commentEx w15:paraId="49A0FA0B" w15:done="0"/>
  <w15:commentEx w15:paraId="1A2484AD" w15:done="0"/>
  <w15:commentEx w15:paraId="5071696E" w15:done="0"/>
  <w15:commentEx w15:paraId="04D270DF" w15:done="0"/>
  <w15:commentEx w15:paraId="093D083A" w15:done="0"/>
  <w15:commentEx w15:paraId="65B4E2E7" w15:done="0"/>
  <w15:commentEx w15:paraId="1CC3117B" w15:done="0"/>
</w15:commentsEx>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FA0B7" w14:textId="77777777" w:rsidR="00BD1E98" w:rsidRDefault="00BD1E98" w:rsidP="000A699C">
      <w:pPr>
        <w:spacing w:before="0" w:after="0"/>
      </w:pPr>
      <w:r>
        <w:separator/>
      </w:r>
    </w:p>
  </w:endnote>
  <w:endnote w:type="continuationSeparator" w:id="0">
    <w:p w14:paraId="6B6A2CAD" w14:textId="77777777" w:rsidR="00BD1E98" w:rsidRDefault="00BD1E98"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2F16C" w14:textId="63220407" w:rsidR="00BD1E98" w:rsidRDefault="00BD1E98" w:rsidP="004936EF">
    <w:pPr>
      <w:pStyle w:val="Footer"/>
    </w:pPr>
    <w:r w:rsidRPr="002A3923">
      <w:rPr>
        <w:noProof/>
        <w:lang w:val="fr-FR" w:eastAsia="fr-FR"/>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t>U0</w:t>
    </w:r>
    <w:r w:rsidR="00F91ED2">
      <w:t>08</w:t>
    </w:r>
    <w:r>
      <w:t>-v1.</w:t>
    </w:r>
    <w:proofErr w:type="gramStart"/>
    <w:r>
      <w:t>0-</w:t>
    </w:r>
    <w:r w:rsidR="00F91ED2">
      <w:t>FN</w:t>
    </w:r>
    <w:r>
      <w:t>-EN</w:t>
    </w:r>
    <w:proofErr w:type="gramEnd"/>
    <w:r w:rsidDel="00F22FFD">
      <w:rPr>
        <w:rStyle w:val="PageNumber"/>
      </w:rPr>
      <w:t xml:space="preserve"> </w:t>
    </w:r>
  </w:p>
  <w:p w14:paraId="43055D74" w14:textId="77777777" w:rsidR="00BD1E98" w:rsidRDefault="00BD1E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36C5B" w14:textId="2B016D44" w:rsidR="00BD1E98" w:rsidRPr="007D60D5" w:rsidRDefault="00BD1E98">
    <w:pPr>
      <w:pStyle w:val="Footer"/>
    </w:pPr>
    <w:r>
      <w:t>U0</w:t>
    </w:r>
    <w:r w:rsidR="00F91ED2">
      <w:t>08</w:t>
    </w:r>
    <w:r>
      <w:t>-v1.</w:t>
    </w:r>
    <w:proofErr w:type="gramStart"/>
    <w:r>
      <w:t>0-</w:t>
    </w:r>
    <w:r w:rsidR="00F91ED2">
      <w:t>FN</w:t>
    </w:r>
    <w:r>
      <w:t>-EN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5B7AFC">
      <w:rPr>
        <w:noProof/>
        <w:lang w:val="fr-FR" w:eastAsia="fr-FR"/>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8E02F" w14:textId="33BC4392" w:rsidR="00BD1E98" w:rsidRPr="009D2500" w:rsidRDefault="00BD1E98" w:rsidP="00BD1E98">
    <w:pPr>
      <w:pStyle w:val="Footer"/>
      <w:tabs>
        <w:tab w:val="left" w:pos="2093"/>
      </w:tabs>
    </w:pPr>
    <w:r>
      <w:t>U008-v1.</w:t>
    </w:r>
    <w:proofErr w:type="gramStart"/>
    <w:r>
      <w:t>0-FN-EN</w:t>
    </w:r>
    <w:proofErr w:type="gramEnd"/>
    <w:r>
      <w:tab/>
      <w:t xml:space="preserve">© UNESCO • </w:t>
    </w:r>
    <w:proofErr w:type="spellStart"/>
    <w:r>
      <w:t>Not</w:t>
    </w:r>
    <w:proofErr w:type="spellEnd"/>
    <w:r>
      <w:t xml:space="preserve"> to be </w:t>
    </w:r>
    <w:proofErr w:type="spellStart"/>
    <w:r>
      <w:t>reproduced</w:t>
    </w:r>
    <w:proofErr w:type="spellEnd"/>
    <w:r>
      <w:t xml:space="preserve"> </w:t>
    </w:r>
    <w:proofErr w:type="spellStart"/>
    <w:r>
      <w:t>without</w:t>
    </w:r>
    <w:proofErr w:type="spellEnd"/>
    <w:r>
      <w:t xml:space="preserve"> </w:t>
    </w:r>
    <w:proofErr w:type="spellStart"/>
    <w:r>
      <w:t>permission</w:t>
    </w:r>
    <w:proofErr w:type="spellEnd"/>
    <w:r>
      <w:tab/>
    </w:r>
    <w:r w:rsidRPr="00473E47">
      <w:rPr>
        <w:noProof/>
        <w:szCs w:val="20"/>
        <w:lang w:val="fr-FR" w:eastAsia="fr-FR"/>
      </w:rPr>
      <w:drawing>
        <wp:anchor distT="0" distB="0" distL="114300" distR="114300" simplePos="0" relativeHeight="251776000" behindDoc="0" locked="1" layoutInCell="1" allowOverlap="0" wp14:anchorId="4BBEA27C" wp14:editId="6B6C45BD">
          <wp:simplePos x="0" y="0"/>
          <wp:positionH relativeFrom="margin">
            <wp:posOffset>4681855</wp:posOffset>
          </wp:positionH>
          <wp:positionV relativeFrom="margin">
            <wp:posOffset>8641080</wp:posOffset>
          </wp:positionV>
          <wp:extent cx="942975" cy="538480"/>
          <wp:effectExtent l="0" t="0" r="0" b="0"/>
          <wp:wrapSquare wrapText="bothSides"/>
          <wp:docPr id="462"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5B522" w14:textId="77777777" w:rsidR="00BD1E98" w:rsidRDefault="00BD1E98" w:rsidP="000A699C">
      <w:pPr>
        <w:spacing w:before="0" w:after="0"/>
      </w:pPr>
      <w:r>
        <w:separator/>
      </w:r>
    </w:p>
  </w:footnote>
  <w:footnote w:type="continuationSeparator" w:id="0">
    <w:p w14:paraId="47B8F248" w14:textId="77777777" w:rsidR="00BD1E98" w:rsidRDefault="00BD1E98" w:rsidP="000A699C">
      <w:pPr>
        <w:spacing w:before="0" w:after="0"/>
      </w:pPr>
      <w:r>
        <w:continuationSeparator/>
      </w:r>
    </w:p>
  </w:footnote>
  <w:footnote w:id="1">
    <w:p w14:paraId="2F516FAE" w14:textId="61DFD84B" w:rsidR="00BD1E98" w:rsidRPr="00374A0B" w:rsidRDefault="00BD1E98">
      <w:pPr>
        <w:pStyle w:val="FootnoteText"/>
      </w:pPr>
      <w:r>
        <w:rPr>
          <w:rStyle w:val="FootnoteReference"/>
        </w:rPr>
        <w:footnoteRef/>
      </w:r>
      <w:r>
        <w:t xml:space="preserve"> </w:t>
      </w:r>
      <w:r w:rsidRPr="00374A0B">
        <w:tab/>
      </w:r>
      <w:r>
        <w:t>ICH” here refers to “intangible cultural heritage”.</w:t>
      </w:r>
    </w:p>
  </w:footnote>
  <w:footnote w:id="2">
    <w:p w14:paraId="1C6BB0A1" w14:textId="70C992AE" w:rsidR="00BD1E98" w:rsidRDefault="00BD1E98">
      <w:pPr>
        <w:pStyle w:val="FootnoteText"/>
      </w:pPr>
      <w:r w:rsidRPr="00333421">
        <w:rPr>
          <w:rStyle w:val="FootnoteReference"/>
          <w:szCs w:val="16"/>
        </w:rPr>
        <w:footnoteRef/>
      </w:r>
      <w:r w:rsidRPr="00333421">
        <w:rPr>
          <w:szCs w:val="16"/>
          <w:vertAlign w:val="superscript"/>
        </w:rPr>
        <w:t>.</w:t>
      </w:r>
      <w:r>
        <w:tab/>
      </w:r>
      <w:proofErr w:type="gramStart"/>
      <w:r w:rsidRPr="002A3923">
        <w:t>F</w:t>
      </w:r>
      <w:r w:rsidRPr="00515922">
        <w:t>requently referred to as the Intangible Heritage Convention</w:t>
      </w:r>
      <w:r>
        <w:t xml:space="preserve"> and, for the purpose of this Unit, simply the Convention</w:t>
      </w:r>
      <w:r w:rsidRPr="00515922">
        <w:t>.</w:t>
      </w:r>
      <w:proofErr w:type="gramEnd"/>
    </w:p>
  </w:footnote>
  <w:footnote w:id="3">
    <w:p w14:paraId="3759E93A" w14:textId="7BDFC7E7" w:rsidR="00BD1E98" w:rsidRPr="00374A0B" w:rsidRDefault="00BD1E98">
      <w:pPr>
        <w:pStyle w:val="FootnoteText"/>
      </w:pPr>
      <w:r>
        <w:rPr>
          <w:rStyle w:val="FootnoteReference"/>
        </w:rPr>
        <w:footnoteRef/>
      </w:r>
      <w:r w:rsidRPr="00374A0B">
        <w:rPr>
          <w:szCs w:val="16"/>
          <w:vertAlign w:val="superscript"/>
        </w:rPr>
        <w:t>.</w:t>
      </w:r>
      <w:r w:rsidRPr="00374A0B">
        <w:tab/>
      </w:r>
      <w:r w:rsidRPr="00FB3F97">
        <w:rPr>
          <w:szCs w:val="16"/>
        </w:rPr>
        <w:t xml:space="preserve">Xi-Sheng </w:t>
      </w:r>
      <w:proofErr w:type="spellStart"/>
      <w:r w:rsidRPr="00FB3F97">
        <w:rPr>
          <w:szCs w:val="16"/>
        </w:rPr>
        <w:t>Xie</w:t>
      </w:r>
      <w:proofErr w:type="spellEnd"/>
      <w:r w:rsidRPr="00FB3F97">
        <w:rPr>
          <w:szCs w:val="16"/>
        </w:rPr>
        <w:t xml:space="preserve"> et al., </w:t>
      </w:r>
      <w:r w:rsidRPr="00FB3F97">
        <w:rPr>
          <w:szCs w:val="16"/>
          <w:lang w:val="en-GB"/>
        </w:rPr>
        <w:t xml:space="preserve">2009, ‘A Case Report of an Effective Treatment for Diabetic Foot Ulcers with Integration of Traditional Chinese Medicine and Western Medicine’, </w:t>
      </w:r>
      <w:r w:rsidRPr="00FB3F97">
        <w:rPr>
          <w:i/>
          <w:szCs w:val="16"/>
          <w:lang w:val="en-GB"/>
        </w:rPr>
        <w:t>Journal of Diabetes and its Complications</w:t>
      </w:r>
      <w:r w:rsidRPr="00FB3F97">
        <w:rPr>
          <w:szCs w:val="16"/>
          <w:lang w:val="en-GB"/>
        </w:rPr>
        <w:t xml:space="preserve">, </w:t>
      </w:r>
      <w:hyperlink r:id="rId1" w:history="1">
        <w:r w:rsidRPr="00FB3F97">
          <w:rPr>
            <w:szCs w:val="16"/>
            <w:lang w:val="en-GB"/>
          </w:rPr>
          <w:t>Vol. 23, Issue 5</w:t>
        </w:r>
      </w:hyperlink>
      <w:r w:rsidRPr="00FC071C">
        <w:rPr>
          <w:lang w:val="en-GB"/>
        </w:rPr>
        <w:t xml:space="preserve"> </w:t>
      </w:r>
      <w:r>
        <w:rPr>
          <w:lang w:val="en-GB"/>
        </w:rPr>
        <w:t>(</w:t>
      </w:r>
      <w:r w:rsidRPr="00FC071C">
        <w:rPr>
          <w:lang w:val="en-GB"/>
        </w:rPr>
        <w:t>Sept</w:t>
      </w:r>
      <w:r>
        <w:rPr>
          <w:lang w:val="en-GB"/>
        </w:rPr>
        <w:t>.–</w:t>
      </w:r>
      <w:r w:rsidRPr="00FC071C">
        <w:rPr>
          <w:lang w:val="en-GB"/>
        </w:rPr>
        <w:t>Oct</w:t>
      </w:r>
      <w:r>
        <w:rPr>
          <w:lang w:val="en-GB"/>
        </w:rPr>
        <w:t>.),</w:t>
      </w:r>
      <w:r w:rsidRPr="00FC071C">
        <w:rPr>
          <w:lang w:val="en-GB"/>
        </w:rPr>
        <w:t xml:space="preserve"> pp.360</w:t>
      </w:r>
      <w:r>
        <w:rPr>
          <w:lang w:val="en-GB"/>
        </w:rPr>
        <w:t>–6</w:t>
      </w:r>
      <w:r w:rsidRPr="00FC071C">
        <w:rPr>
          <w:lang w:val="en-GB"/>
        </w:rPr>
        <w:t>4.</w:t>
      </w:r>
    </w:p>
  </w:footnote>
  <w:footnote w:id="4">
    <w:p w14:paraId="6627FE7D" w14:textId="5D1BC488" w:rsidR="00BD1E98" w:rsidRPr="004936EF" w:rsidRDefault="00BD1E98" w:rsidP="004936EF">
      <w:pPr>
        <w:pStyle w:val="FootnoteText"/>
        <w:rPr>
          <w:rFonts w:eastAsia="Calibri" w:cs="Times New Roman"/>
          <w:lang w:eastAsia="x-none"/>
        </w:rPr>
      </w:pPr>
      <w:r w:rsidRPr="00523EE3">
        <w:rPr>
          <w:rStyle w:val="FootnoteReference"/>
          <w:szCs w:val="16"/>
          <w:lang w:val="en-GB"/>
        </w:rPr>
        <w:footnoteRef/>
      </w:r>
      <w:r w:rsidRPr="009B3A94">
        <w:rPr>
          <w:rStyle w:val="FootnoteReference"/>
          <w:rFonts w:eastAsia="Calibri" w:cs="Times New Roman"/>
          <w:szCs w:val="16"/>
          <w:lang w:eastAsia="x-none"/>
        </w:rPr>
        <w:t>.</w:t>
      </w:r>
      <w:r w:rsidRPr="004936EF">
        <w:rPr>
          <w:rStyle w:val="FootnoteReference"/>
          <w:rFonts w:eastAsia="Calibri" w:cs="Times New Roman"/>
          <w:vertAlign w:val="baseline"/>
          <w:lang w:eastAsia="x-none"/>
        </w:rPr>
        <w:tab/>
      </w:r>
      <w:r w:rsidRPr="004936EF">
        <w:rPr>
          <w:rFonts w:eastAsia="Calibri" w:cs="Times New Roman"/>
          <w:lang w:eastAsia="x-none"/>
        </w:rPr>
        <w:t>Pacific Islands, Festivals as Catalysts – Commonwealth Statement on Culture and Development, p. 13.</w:t>
      </w:r>
    </w:p>
  </w:footnote>
  <w:footnote w:id="5">
    <w:p w14:paraId="275AE25F" w14:textId="4101E4DB" w:rsidR="00BD1E98" w:rsidRPr="004936EF" w:rsidRDefault="00BD1E98" w:rsidP="004936EF">
      <w:pPr>
        <w:pStyle w:val="FootnoteText"/>
        <w:rPr>
          <w:rFonts w:eastAsia="Calibri" w:cs="Times New Roman"/>
          <w:lang w:eastAsia="x-none"/>
        </w:rPr>
      </w:pPr>
      <w:r w:rsidRPr="00523EE3">
        <w:rPr>
          <w:rStyle w:val="FootnoteReference"/>
          <w:szCs w:val="16"/>
          <w:lang w:val="en-GB"/>
        </w:rPr>
        <w:footnoteRef/>
      </w:r>
      <w:r w:rsidRPr="00E32465">
        <w:rPr>
          <w:rFonts w:eastAsia="Calibri" w:cs="Times New Roman"/>
          <w:szCs w:val="16"/>
          <w:vertAlign w:val="superscript"/>
          <w:lang w:eastAsia="x-none"/>
        </w:rPr>
        <w:t>.</w:t>
      </w:r>
      <w:r w:rsidRPr="004936EF">
        <w:rPr>
          <w:rFonts w:eastAsia="Calibri" w:cs="Times New Roman"/>
          <w:lang w:eastAsia="x-none"/>
        </w:rPr>
        <w:tab/>
        <w:t xml:space="preserve">Lin Lee </w:t>
      </w:r>
      <w:proofErr w:type="spellStart"/>
      <w:r w:rsidRPr="004936EF">
        <w:rPr>
          <w:rFonts w:eastAsia="Calibri" w:cs="Times New Roman"/>
          <w:lang w:eastAsia="x-none"/>
        </w:rPr>
        <w:t>Loh</w:t>
      </w:r>
      <w:proofErr w:type="spellEnd"/>
      <w:r w:rsidRPr="004936EF">
        <w:rPr>
          <w:rFonts w:eastAsia="Calibri" w:cs="Times New Roman"/>
          <w:lang w:eastAsia="x-none"/>
        </w:rPr>
        <w:t xml:space="preserve">-Lim, 2007, ‘Handicrafts in the Context of Sustainable Cultural Tourism’, UNESCO-EIIHCAP Regional Meeting, </w:t>
      </w:r>
      <w:r w:rsidRPr="004936EF">
        <w:rPr>
          <w:rFonts w:eastAsia="Calibri" w:cs="Times New Roman"/>
          <w:i/>
          <w:iCs/>
          <w:lang w:eastAsia="x-none"/>
        </w:rPr>
        <w:t>Safeguarding Intangible Heritage and Sustainable Cultural Tourism: Opportunities and Challenges</w:t>
      </w:r>
      <w:r w:rsidRPr="004936EF">
        <w:rPr>
          <w:rFonts w:eastAsia="Calibri" w:cs="Times New Roman"/>
          <w:lang w:eastAsia="x-none"/>
        </w:rPr>
        <w:t xml:space="preserve">, </w:t>
      </w:r>
      <w:proofErr w:type="spellStart"/>
      <w:r w:rsidRPr="004936EF">
        <w:rPr>
          <w:rFonts w:eastAsia="Calibri" w:cs="Times New Roman"/>
          <w:lang w:eastAsia="x-none"/>
        </w:rPr>
        <w:t>Hué</w:t>
      </w:r>
      <w:proofErr w:type="spellEnd"/>
      <w:r w:rsidRPr="004936EF">
        <w:rPr>
          <w:rFonts w:eastAsia="Calibri" w:cs="Times New Roman"/>
          <w:lang w:eastAsia="x-none"/>
        </w:rPr>
        <w:t>, Viet Nam (11–13 Dec.).</w:t>
      </w:r>
    </w:p>
  </w:footnote>
  <w:footnote w:id="6">
    <w:p w14:paraId="64AB0BA2" w14:textId="203A337C" w:rsidR="00BD1E98" w:rsidRPr="004936EF" w:rsidRDefault="00BD1E98" w:rsidP="004936EF">
      <w:pPr>
        <w:pStyle w:val="FootnoteText"/>
        <w:rPr>
          <w:lang w:val="en-GB" w:eastAsia="x-none"/>
        </w:rPr>
      </w:pPr>
      <w:r w:rsidRPr="00523EE3">
        <w:rPr>
          <w:rStyle w:val="FootnoteReference"/>
          <w:szCs w:val="16"/>
          <w:lang w:val="en-GB"/>
        </w:rPr>
        <w:footnoteRef/>
      </w:r>
      <w:r w:rsidRPr="00E32465">
        <w:rPr>
          <w:szCs w:val="16"/>
          <w:vertAlign w:val="superscript"/>
          <w:lang w:eastAsia="x-none"/>
        </w:rPr>
        <w:t>.</w:t>
      </w:r>
      <w:r w:rsidRPr="004936EF">
        <w:rPr>
          <w:lang w:eastAsia="x-none"/>
        </w:rPr>
        <w:tab/>
        <w:t xml:space="preserve">R. </w:t>
      </w:r>
      <w:proofErr w:type="spellStart"/>
      <w:r w:rsidRPr="004936EF">
        <w:rPr>
          <w:lang w:eastAsia="x-none"/>
        </w:rPr>
        <w:t>Wynberg</w:t>
      </w:r>
      <w:proofErr w:type="spellEnd"/>
      <w:r w:rsidRPr="004936EF">
        <w:rPr>
          <w:lang w:eastAsia="x-none"/>
        </w:rPr>
        <w:t xml:space="preserve"> et al., (</w:t>
      </w:r>
      <w:proofErr w:type="spellStart"/>
      <w:proofErr w:type="gramStart"/>
      <w:r w:rsidRPr="004936EF">
        <w:rPr>
          <w:lang w:eastAsia="x-none"/>
        </w:rPr>
        <w:t>eds</w:t>
      </w:r>
      <w:proofErr w:type="spellEnd"/>
      <w:proofErr w:type="gramEnd"/>
      <w:r w:rsidRPr="004936EF">
        <w:rPr>
          <w:lang w:eastAsia="x-none"/>
        </w:rPr>
        <w:t xml:space="preserve">), 2009, </w:t>
      </w:r>
      <w:r w:rsidRPr="004936EF">
        <w:rPr>
          <w:i/>
          <w:lang w:eastAsia="x-none"/>
        </w:rPr>
        <w:t>Indigenous Peoples, Consent and Benefit Sharing: Lessons from the San-Hoodia Case</w:t>
      </w:r>
      <w:r w:rsidRPr="004936EF">
        <w:rPr>
          <w:lang w:eastAsia="x-none"/>
        </w:rPr>
        <w:t xml:space="preserve">, Heidelberg, Springer </w:t>
      </w:r>
      <w:proofErr w:type="spellStart"/>
      <w:r w:rsidRPr="004936EF">
        <w:rPr>
          <w:lang w:eastAsia="x-none"/>
        </w:rPr>
        <w:t>Science+Business</w:t>
      </w:r>
      <w:proofErr w:type="spellEnd"/>
      <w:r w:rsidRPr="004936EF">
        <w:rPr>
          <w:lang w:eastAsia="x-none"/>
        </w:rPr>
        <w:t xml:space="preserve"> Media B.V., p.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104D8" w14:textId="40E5A174" w:rsidR="00BD1E98" w:rsidRDefault="00BD1E98">
    <w:pPr>
      <w:pStyle w:val="Header"/>
    </w:pPr>
    <w:r>
      <w:rPr>
        <w:rStyle w:val="PageNumber"/>
      </w:rPr>
      <w:fldChar w:fldCharType="begin"/>
    </w:r>
    <w:r>
      <w:rPr>
        <w:rStyle w:val="PageNumber"/>
      </w:rPr>
      <w:instrText xml:space="preserve"> PAGE </w:instrText>
    </w:r>
    <w:r>
      <w:rPr>
        <w:rStyle w:val="PageNumber"/>
      </w:rPr>
      <w:fldChar w:fldCharType="separate"/>
    </w:r>
    <w:r w:rsidR="000754AA">
      <w:rPr>
        <w:rStyle w:val="PageNumber"/>
        <w:noProof/>
      </w:rPr>
      <w:t>8</w:t>
    </w:r>
    <w:r>
      <w:rPr>
        <w:rStyle w:val="PageNumber"/>
      </w:rPr>
      <w:fldChar w:fldCharType="end"/>
    </w:r>
    <w:r>
      <w:rPr>
        <w:rStyle w:val="PageNumber"/>
      </w:rPr>
      <w:tab/>
    </w:r>
    <w:r>
      <w:t xml:space="preserve">Unit 8: ICH and </w:t>
    </w:r>
    <w:proofErr w:type="spellStart"/>
    <w:r>
      <w:t>sustainable</w:t>
    </w:r>
    <w:proofErr w:type="spellEnd"/>
    <w:r>
      <w:t xml:space="preserve"> </w:t>
    </w:r>
    <w:proofErr w:type="spellStart"/>
    <w:r>
      <w:t>development</w:t>
    </w:r>
    <w:proofErr w:type="spellEnd"/>
    <w:r>
      <w:tab/>
    </w:r>
    <w:proofErr w:type="spellStart"/>
    <w:r>
      <w:t>Facilitator’s</w:t>
    </w:r>
    <w:proofErr w:type="spellEnd"/>
    <w:r>
      <w:t xml:space="preserve"> notes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7F3F" w14:textId="7C0190EE" w:rsidR="00BD1E98" w:rsidRPr="004A4AD6" w:rsidRDefault="00F91ED2" w:rsidP="00D25BBB">
    <w:pPr>
      <w:pStyle w:val="Header"/>
    </w:pPr>
    <w:proofErr w:type="spellStart"/>
    <w:r>
      <w:t>Facilitator’s</w:t>
    </w:r>
    <w:proofErr w:type="spellEnd"/>
    <w:r>
      <w:t xml:space="preserve"> notes</w:t>
    </w:r>
    <w:r>
      <w:tab/>
      <w:t xml:space="preserve">Unit 8: ICH and </w:t>
    </w:r>
    <w:proofErr w:type="spellStart"/>
    <w:r>
      <w:t>sustainable</w:t>
    </w:r>
    <w:proofErr w:type="spellEnd"/>
    <w:r>
      <w:t xml:space="preserve"> </w:t>
    </w:r>
    <w:proofErr w:type="spellStart"/>
    <w:r>
      <w:t>development</w:t>
    </w:r>
    <w:proofErr w:type="spellEnd"/>
    <w:r w:rsidDel="006831F2">
      <w:rPr>
        <w:rStyle w:val="PageNumber"/>
      </w:rPr>
      <w:t xml:space="preserve"> </w:t>
    </w:r>
    <w:r w:rsidR="00BD1E98">
      <w:tab/>
    </w:r>
    <w:r w:rsidR="00BD1E98">
      <w:rPr>
        <w:rStyle w:val="PageNumber"/>
      </w:rPr>
      <w:fldChar w:fldCharType="begin"/>
    </w:r>
    <w:r w:rsidR="00BD1E98">
      <w:rPr>
        <w:rStyle w:val="PageNumber"/>
      </w:rPr>
      <w:instrText xml:space="preserve"> PAGE </w:instrText>
    </w:r>
    <w:r w:rsidR="00BD1E98">
      <w:rPr>
        <w:rStyle w:val="PageNumber"/>
      </w:rPr>
      <w:fldChar w:fldCharType="separate"/>
    </w:r>
    <w:r w:rsidR="00172FF6">
      <w:rPr>
        <w:rStyle w:val="PageNumber"/>
        <w:noProof/>
      </w:rPr>
      <w:t>9</w:t>
    </w:r>
    <w:r w:rsidR="00BD1E98">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52B47" w14:textId="162D4A2F" w:rsidR="00BD1E98" w:rsidRPr="009D2500" w:rsidRDefault="00BD1E98">
    <w:pPr>
      <w:pStyle w:val="Header"/>
    </w:pPr>
    <w:r>
      <w:tab/>
    </w:r>
    <w:proofErr w:type="spellStart"/>
    <w:r>
      <w:t>Facilitator’s</w:t>
    </w:r>
    <w:proofErr w:type="spellEnd"/>
    <w:r>
      <w:t xml:space="preserve">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mirrorMargins/>
  <w:proofState w:spelling="clean" w:grammar="clean"/>
  <w:defaultTabStop w:val="340"/>
  <w:hyphenationZone w:val="425"/>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4AA"/>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6DC"/>
    <w:rsid w:val="00157D34"/>
    <w:rsid w:val="00160140"/>
    <w:rsid w:val="00160758"/>
    <w:rsid w:val="001608FB"/>
    <w:rsid w:val="00160FB1"/>
    <w:rsid w:val="0016168F"/>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2FF6"/>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A0B"/>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0FD4"/>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88"/>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2C46"/>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FC"/>
    <w:rsid w:val="00767CDC"/>
    <w:rsid w:val="00767E13"/>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D8A"/>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500"/>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1E98"/>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CA0"/>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1ED2"/>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43F"/>
    <w:rsid w:val="00FC75D9"/>
    <w:rsid w:val="00FC785E"/>
    <w:rsid w:val="00FC7AF1"/>
    <w:rsid w:val="00FD00FE"/>
    <w:rsid w:val="00FD0227"/>
    <w:rsid w:val="00FD02BE"/>
    <w:rsid w:val="00FD05D4"/>
    <w:rsid w:val="00FD05F8"/>
    <w:rsid w:val="00FD0631"/>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C33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16168F"/>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US"/>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0" w:unhideWhenUsed="0"/>
    <w:lsdException w:name="heading 5" w:semiHidden="0" w:uiPriority="9"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Title" w:semiHidden="0" w:uiPriority="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16168F"/>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lang w:val="en-US"/>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eader" Target="header3.xml"/><Relationship Id="rId206" Type="http://schemas.microsoft.com/office/2011/relationships/commentsExtended" Target="commentsExtended.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esco.org/culture/ich/en/USL/00303" TargetMode="External"/><Relationship Id="rId17" Type="http://schemas.openxmlformats.org/officeDocument/2006/relationships/footer" Target="footer2.xml"/><Relationship Id="rId205" Type="http://schemas.microsoft.com/office/2011/relationships/people" Target="peop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www.sciencedirect.com.ezproxy.uct.ac.za/science?_ob=PublicationURL&amp;_tockey=%23TOC%235080%232009%23999769994%231474075%23FLA%23&amp;_cdi=5080&amp;_pubType=J&amp;view=c&amp;_auth=y&amp;_acct=C000033878&amp;_version=1&amp;_urlVersion=0&amp;_userid=635696&amp;md5=a9e316a93feb9bff2dbd2fd56d49881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3AAF6-7D38-4515-9855-377480A03E13}">
  <ds:schemaRefs>
    <ds:schemaRef ds:uri="http://schemas.openxmlformats.org/officeDocument/2006/bibliography"/>
  </ds:schemaRefs>
</ds:datastoreItem>
</file>

<file path=customXml/itemProps2.xml><?xml version="1.0" encoding="utf-8"?>
<ds:datastoreItem xmlns:ds="http://schemas.openxmlformats.org/officeDocument/2006/customXml" ds:itemID="{8B03D52D-969A-476B-8FFD-4EDF293F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3052</Words>
  <Characters>16791</Characters>
  <Application>Microsoft Office Word</Application>
  <DocSecurity>0</DocSecurity>
  <Lines>139</Lines>
  <Paragraphs>39</Paragraphs>
  <ScaleCrop>false</ScaleCrop>
  <LinksUpToDate>false</LinksUpToDate>
  <CharactersWithSpaces>19804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2014-07-23T12:23:00Z</dcterms:created>
  <dcterms:modified xsi:type="dcterms:W3CDTF">2014-10-23T14:16:00Z</dcterms:modified>
</cp:coreProperties>
</file>