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26800" w14:textId="5FBFBFA0" w:rsidR="00A7443E" w:rsidRDefault="00406030" w:rsidP="00406030">
      <w:pPr>
        <w:pStyle w:val="Chapitre"/>
      </w:pPr>
      <w:bookmarkStart w:id="0" w:name="_Toc301443368"/>
      <w:bookmarkStart w:id="1" w:name="_Toc321407011"/>
      <w:bookmarkStart w:id="2" w:name="_Toc354486635"/>
      <w:bookmarkStart w:id="3" w:name="_Toc354486941"/>
      <w:bookmarkStart w:id="4" w:name="_Toc247360221"/>
      <w:r w:rsidRPr="00406030">
        <w:t>Unit</w:t>
      </w:r>
      <w:r>
        <w:t>É</w:t>
      </w:r>
      <w:r w:rsidRPr="00406030">
        <w:t xml:space="preserve"> </w:t>
      </w:r>
      <w:r w:rsidR="003B7F45" w:rsidRPr="00406030">
        <w:t>8</w:t>
      </w:r>
      <w:r w:rsidR="00377639" w:rsidRPr="00A03989">
        <w:tab/>
      </w:r>
    </w:p>
    <w:p w14:paraId="5E21B8B7" w14:textId="56C20DF9" w:rsidR="004325DC" w:rsidRDefault="00A85270" w:rsidP="00406030">
      <w:pPr>
        <w:pStyle w:val="Chapitre"/>
      </w:pPr>
      <w:bookmarkStart w:id="5" w:name="_Toc238963248"/>
      <w:bookmarkStart w:id="6" w:name="_Toc241065134"/>
      <w:r w:rsidRPr="00FC06E9">
        <w:t>PCI</w:t>
      </w:r>
      <w:r w:rsidR="001D13FF" w:rsidRPr="00D8057F">
        <w:rPr>
          <w:rStyle w:val="FootnoteReference"/>
          <w:sz w:val="70"/>
        </w:rPr>
        <w:footnoteReference w:id="1"/>
      </w:r>
      <w:r>
        <w:t xml:space="preserve"> </w:t>
      </w:r>
      <w:r w:rsidR="00C10A1F" w:rsidRPr="00C31DD4">
        <w:t xml:space="preserve">et </w:t>
      </w:r>
      <w:r w:rsidR="00406030" w:rsidRPr="00C31DD4">
        <w:t>d</w:t>
      </w:r>
      <w:r w:rsidR="00406030">
        <w:t>É</w:t>
      </w:r>
      <w:r w:rsidR="00406030" w:rsidRPr="00406030">
        <w:t xml:space="preserve">veloppement </w:t>
      </w:r>
      <w:r w:rsidR="00C10A1F" w:rsidRPr="00A03989">
        <w:t>durable</w:t>
      </w:r>
      <w:bookmarkEnd w:id="0"/>
      <w:bookmarkEnd w:id="1"/>
      <w:bookmarkEnd w:id="2"/>
      <w:bookmarkEnd w:id="3"/>
      <w:bookmarkEnd w:id="4"/>
      <w:bookmarkEnd w:id="5"/>
      <w:bookmarkEnd w:id="6"/>
    </w:p>
    <w:p w14:paraId="4EB8371F" w14:textId="75264DAD" w:rsidR="004325DC" w:rsidRDefault="00D65E8C" w:rsidP="000C41FA">
      <w:pPr>
        <w:pStyle w:val="Sschap"/>
      </w:pPr>
      <w:r w:rsidRPr="00150FFB">
        <w:rPr>
          <w:rFonts w:hint="eastAsia"/>
        </w:rPr>
        <w:t xml:space="preserve">La </w:t>
      </w:r>
      <w:r w:rsidR="0015366F" w:rsidRPr="00150FFB">
        <w:rPr>
          <w:rFonts w:hint="eastAsia"/>
        </w:rPr>
        <w:t>pr</w:t>
      </w:r>
      <w:r w:rsidR="00D32C21">
        <w:t>é</w:t>
      </w:r>
      <w:r w:rsidR="0015366F" w:rsidRPr="00150FFB">
        <w:rPr>
          <w:rFonts w:hint="eastAsia"/>
        </w:rPr>
        <w:t>sente unit</w:t>
      </w:r>
      <w:r w:rsidR="0015366F">
        <w:t>é</w:t>
      </w:r>
      <w:r w:rsidR="0015366F" w:rsidRPr="00150FFB">
        <w:rPr>
          <w:rFonts w:hint="eastAsia"/>
        </w:rPr>
        <w:t xml:space="preserve"> </w:t>
      </w:r>
      <w:r w:rsidR="00C10A1F" w:rsidRPr="00150FFB">
        <w:rPr>
          <w:rFonts w:hint="eastAsia"/>
        </w:rPr>
        <w:t xml:space="preserve">traite du PCI et du </w:t>
      </w:r>
      <w:r w:rsidR="0015366F" w:rsidRPr="00150FFB">
        <w:rPr>
          <w:rFonts w:hint="eastAsia"/>
        </w:rPr>
        <w:t>d</w:t>
      </w:r>
      <w:r w:rsidR="0015366F">
        <w:t>é</w:t>
      </w:r>
      <w:r w:rsidR="0015366F" w:rsidRPr="00150FFB">
        <w:rPr>
          <w:rFonts w:hint="eastAsia"/>
        </w:rPr>
        <w:t xml:space="preserve">veloppement </w:t>
      </w:r>
      <w:r w:rsidR="00C10A1F" w:rsidRPr="00150FFB">
        <w:rPr>
          <w:rFonts w:hint="eastAsia"/>
        </w:rPr>
        <w:t>durable, tant social qu</w:t>
      </w:r>
      <w:r w:rsidR="00A61E6D">
        <w:t>’</w:t>
      </w:r>
      <w:r w:rsidR="0015366F">
        <w:t>é</w:t>
      </w:r>
      <w:r w:rsidR="00C10A1F" w:rsidRPr="00150FFB">
        <w:rPr>
          <w:rFonts w:hint="eastAsia"/>
        </w:rPr>
        <w:t xml:space="preserve">conomique. </w:t>
      </w:r>
      <w:r w:rsidR="00C10A1F" w:rsidRPr="00556D69">
        <w:t xml:space="preserve">Les sujets couverts dans </w:t>
      </w:r>
      <w:r w:rsidR="00D8057F">
        <w:t>l’unité</w:t>
      </w:r>
      <w:r w:rsidR="00C10A1F" w:rsidRPr="00556D69">
        <w:t xml:space="preserve"> sont </w:t>
      </w:r>
      <w:r w:rsidR="00EA1FE1" w:rsidRPr="00556D69">
        <w:t>:</w:t>
      </w:r>
    </w:p>
    <w:p w14:paraId="0C2776A8" w14:textId="24F9E383" w:rsidR="004325DC" w:rsidRDefault="00377639" w:rsidP="00150FFB">
      <w:pPr>
        <w:pStyle w:val="Txtchap"/>
      </w:pPr>
      <w:r>
        <w:t>C</w:t>
      </w:r>
      <w:r w:rsidR="00C10A1F" w:rsidRPr="00556D69">
        <w:t>omment saisir la relation entre PCI et développement durable</w:t>
      </w:r>
      <w:r>
        <w:t> ?</w:t>
      </w:r>
    </w:p>
    <w:p w14:paraId="60FFCF11" w14:textId="296C3DD8" w:rsidR="004325DC" w:rsidRDefault="00377639" w:rsidP="00150FFB">
      <w:pPr>
        <w:pStyle w:val="Txtchap"/>
      </w:pPr>
      <w:r>
        <w:t>L</w:t>
      </w:r>
      <w:r w:rsidRPr="00556D69">
        <w:t xml:space="preserve">e </w:t>
      </w:r>
      <w:r w:rsidR="00C10A1F" w:rsidRPr="00556D69">
        <w:t>PCI et le développement social</w:t>
      </w:r>
      <w:r>
        <w:t>.</w:t>
      </w:r>
    </w:p>
    <w:p w14:paraId="50B79651" w14:textId="16251ACB" w:rsidR="004325DC" w:rsidRDefault="00377639" w:rsidP="00150FFB">
      <w:pPr>
        <w:pStyle w:val="Txtchap"/>
      </w:pPr>
      <w:r>
        <w:t>L</w:t>
      </w:r>
      <w:r w:rsidR="00C10A1F" w:rsidRPr="00556D69">
        <w:t>e PCI et le développement économique</w:t>
      </w:r>
      <w:r>
        <w:t>.</w:t>
      </w:r>
    </w:p>
    <w:p w14:paraId="2E0E84C8" w14:textId="2881A155" w:rsidR="004325DC" w:rsidRDefault="00377639" w:rsidP="00150FFB">
      <w:pPr>
        <w:pStyle w:val="Txtchap"/>
      </w:pPr>
      <w:r>
        <w:t>L</w:t>
      </w:r>
      <w:r w:rsidRPr="00556D69">
        <w:t xml:space="preserve">es </w:t>
      </w:r>
      <w:r w:rsidR="00C10A1F" w:rsidRPr="00556D69">
        <w:t>risques et les opportunités liés aux activités génératrices de revenu.</w:t>
      </w:r>
    </w:p>
    <w:p w14:paraId="7E08C0F2" w14:textId="47B860AC" w:rsidR="004325DC" w:rsidRDefault="00C10A1F" w:rsidP="00150FFB">
      <w:pPr>
        <w:pStyle w:val="Chapinfo"/>
      </w:pPr>
      <w:r w:rsidRPr="00556D69">
        <w:t xml:space="preserve">Rubriques pertinentes </w:t>
      </w:r>
      <w:r w:rsidR="003B7F45">
        <w:t xml:space="preserve">dans le </w:t>
      </w:r>
      <w:r w:rsidR="00646D3D">
        <w:t>Texte du participant</w:t>
      </w:r>
      <w:r w:rsidR="003B7F45">
        <w:t xml:space="preserve"> </w:t>
      </w:r>
      <w:r w:rsidR="00D36E6E">
        <w:t>de l’</w:t>
      </w:r>
      <w:r w:rsidR="003B7F45">
        <w:t>Unité 3</w:t>
      </w:r>
      <w:r w:rsidR="00EA1FE1" w:rsidRPr="00556D69">
        <w:t> :</w:t>
      </w:r>
      <w:r w:rsidR="00043DFF" w:rsidRPr="00556D69">
        <w:t xml:space="preserve"> « </w:t>
      </w:r>
      <w:r w:rsidRPr="00556D69">
        <w:t>Commercialisation</w:t>
      </w:r>
      <w:r w:rsidR="00461004" w:rsidRPr="00556D69">
        <w:t xml:space="preserve"> », </w:t>
      </w:r>
      <w:r w:rsidR="00043DFF" w:rsidRPr="00556D69">
        <w:t>« </w:t>
      </w:r>
      <w:proofErr w:type="spellStart"/>
      <w:r w:rsidRPr="00556D69">
        <w:t>Décontextualisation</w:t>
      </w:r>
      <w:proofErr w:type="spellEnd"/>
      <w:r w:rsidR="00043DFF" w:rsidRPr="00556D69">
        <w:t xml:space="preserve"> » </w:t>
      </w:r>
      <w:r w:rsidRPr="00556D69">
        <w:t>et</w:t>
      </w:r>
      <w:r w:rsidR="00043DFF" w:rsidRPr="00556D69">
        <w:t xml:space="preserve"> « </w:t>
      </w:r>
      <w:r w:rsidRPr="00556D69">
        <w:t>Durabilité</w:t>
      </w:r>
      <w:r w:rsidR="00461004" w:rsidRPr="00556D69">
        <w:t> ».</w:t>
      </w:r>
    </w:p>
    <w:p w14:paraId="69FA4408" w14:textId="450BCD28" w:rsidR="00DC1DA8" w:rsidRDefault="00C10A1F">
      <w:pPr>
        <w:pStyle w:val="Chapinfo"/>
      </w:pPr>
      <w:r w:rsidRPr="00556D69">
        <w:t xml:space="preserve">On trouvera des exemples pertinents pour </w:t>
      </w:r>
      <w:r w:rsidR="008D5B4A">
        <w:t>cette unité</w:t>
      </w:r>
      <w:r w:rsidRPr="00556D69">
        <w:t xml:space="preserve"> dans </w:t>
      </w:r>
      <w:r w:rsidR="003B7F45">
        <w:t xml:space="preserve">les </w:t>
      </w:r>
      <w:r w:rsidR="003B7F45">
        <w:rPr>
          <w:noProof/>
          <w:lang w:eastAsia="fr-FR"/>
        </w:rPr>
        <w:drawing>
          <wp:anchor distT="0" distB="0" distL="114300" distR="114300" simplePos="0" relativeHeight="251874816" behindDoc="1" locked="1" layoutInCell="1" allowOverlap="0" wp14:anchorId="1761973B" wp14:editId="3C8105D8">
            <wp:simplePos x="0" y="0"/>
            <wp:positionH relativeFrom="margin">
              <wp:posOffset>360045</wp:posOffset>
            </wp:positionH>
            <wp:positionV relativeFrom="margin">
              <wp:posOffset>1800225</wp:posOffset>
            </wp:positionV>
            <wp:extent cx="4870411" cy="4498145"/>
            <wp:effectExtent l="0" t="0" r="6985" b="0"/>
            <wp:wrapNone/>
            <wp:docPr id="253" name="Imag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00D65E8C">
        <w:t>É</w:t>
      </w:r>
      <w:r w:rsidRPr="00556D69">
        <w:t>tudes de cas 14</w:t>
      </w:r>
      <w:r w:rsidR="00D32C21">
        <w:t xml:space="preserve"> à </w:t>
      </w:r>
      <w:r w:rsidRPr="00556D69">
        <w:t>20.</w:t>
      </w:r>
    </w:p>
    <w:p w14:paraId="70CA63BA" w14:textId="77777777" w:rsidR="00DC1DA8" w:rsidRDefault="00DC1DA8">
      <w:pPr>
        <w:keepNext w:val="0"/>
        <w:tabs>
          <w:tab w:val="clear" w:pos="567"/>
        </w:tabs>
        <w:snapToGrid/>
        <w:spacing w:line="240" w:lineRule="auto"/>
        <w:ind w:left="0"/>
        <w:jc w:val="left"/>
        <w:rPr>
          <w:i/>
          <w:iCs/>
          <w:color w:val="3366FF"/>
          <w:sz w:val="24"/>
          <w:szCs w:val="24"/>
        </w:rPr>
      </w:pPr>
      <w:r>
        <w:br w:type="page"/>
      </w:r>
    </w:p>
    <w:p w14:paraId="1A3D343A" w14:textId="597ED377" w:rsidR="004325DC" w:rsidRDefault="003B7F45" w:rsidP="004A78E2">
      <w:pPr>
        <w:pStyle w:val="Titcoul"/>
        <w:spacing w:before="0"/>
      </w:pPr>
      <w:bookmarkStart w:id="7" w:name="_Toc238963249"/>
      <w:bookmarkStart w:id="8" w:name="_Toc241065135"/>
      <w:bookmarkStart w:id="9" w:name="_Toc301443369"/>
      <w:bookmarkStart w:id="10" w:name="_Toc321407012"/>
      <w:bookmarkStart w:id="11" w:name="_Toc354486636"/>
      <w:bookmarkStart w:id="12" w:name="_Toc354486942"/>
      <w:bookmarkStart w:id="13" w:name="_Toc247360222"/>
      <w:r>
        <w:lastRenderedPageBreak/>
        <w:t>8</w:t>
      </w:r>
      <w:r w:rsidR="00C10A1F" w:rsidRPr="00556D69">
        <w:t>.1</w:t>
      </w:r>
      <w:bookmarkEnd w:id="7"/>
      <w:bookmarkEnd w:id="8"/>
      <w:r w:rsidR="00651766">
        <w:tab/>
      </w:r>
      <w:bookmarkStart w:id="14" w:name="_Toc238963250"/>
      <w:bookmarkStart w:id="15" w:name="_Toc241065136"/>
      <w:r w:rsidR="00C10A1F" w:rsidRPr="00556D69">
        <w:t xml:space="preserve">PCI et </w:t>
      </w:r>
      <w:r w:rsidR="00A03989" w:rsidRPr="00556D69">
        <w:t>d</w:t>
      </w:r>
      <w:r w:rsidR="00A03989">
        <w:t>É</w:t>
      </w:r>
      <w:r w:rsidR="00A03989" w:rsidRPr="00556D69">
        <w:t xml:space="preserve">veloppement </w:t>
      </w:r>
      <w:r w:rsidR="00C10A1F" w:rsidRPr="00556D69">
        <w:t>durable</w:t>
      </w:r>
      <w:bookmarkEnd w:id="9"/>
      <w:bookmarkEnd w:id="10"/>
      <w:bookmarkEnd w:id="11"/>
      <w:bookmarkEnd w:id="12"/>
      <w:bookmarkEnd w:id="13"/>
      <w:bookmarkEnd w:id="14"/>
      <w:bookmarkEnd w:id="15"/>
    </w:p>
    <w:p w14:paraId="3909653F" w14:textId="52BB5564" w:rsidR="004325DC" w:rsidRDefault="00C10A1F" w:rsidP="00914287">
      <w:pPr>
        <w:pStyle w:val="Texte1"/>
      </w:pPr>
      <w:r w:rsidRPr="00556D69">
        <w:t>Dans l</w:t>
      </w:r>
      <w:r w:rsidR="00A61E6D">
        <w:t>’</w:t>
      </w:r>
      <w:r w:rsidR="00043DFF" w:rsidRPr="00150FFB">
        <w:rPr>
          <w:b/>
        </w:rPr>
        <w:t>article </w:t>
      </w:r>
      <w:r w:rsidRPr="00150FFB">
        <w:rPr>
          <w:b/>
        </w:rPr>
        <w:t>2.1</w:t>
      </w:r>
      <w:r w:rsidRPr="00556D69">
        <w:t>, il est clairement stipulé qu</w:t>
      </w:r>
      <w:r w:rsidR="00A61E6D">
        <w:t>’</w:t>
      </w:r>
      <w:r w:rsidRPr="00556D69">
        <w:t xml:space="preserve">aux fins de la présente </w:t>
      </w:r>
      <w:r w:rsidR="00A85270">
        <w:t>Convention pour la sauvegarde du patrimoine culturel immatériel</w:t>
      </w:r>
      <w:r w:rsidR="00A85270" w:rsidRPr="00255A53">
        <w:rPr>
          <w:rStyle w:val="FootnoteReference"/>
          <w:sz w:val="20"/>
        </w:rPr>
        <w:footnoteReference w:id="2"/>
      </w:r>
      <w:r w:rsidR="00A85270" w:rsidRPr="00556D69" w:rsidDel="00A85270">
        <w:t xml:space="preserve"> </w:t>
      </w:r>
      <w:r w:rsidRPr="00556D69">
        <w:t>seul sera pris en considération le PCI qui est conforme, entre autres, à l</w:t>
      </w:r>
      <w:r w:rsidR="00A61E6D">
        <w:t>’</w:t>
      </w:r>
      <w:r w:rsidRPr="00556D69">
        <w:t>exigence d</w:t>
      </w:r>
      <w:r w:rsidR="00A61E6D">
        <w:t>’</w:t>
      </w:r>
      <w:r w:rsidRPr="00556D69">
        <w:t>un développement durable.</w:t>
      </w:r>
    </w:p>
    <w:p w14:paraId="387DE300" w14:textId="5C969119" w:rsidR="004325DC" w:rsidRDefault="00C10A1F" w:rsidP="00914287">
      <w:pPr>
        <w:pStyle w:val="Texte1"/>
      </w:pPr>
      <w:r w:rsidRPr="00556D69">
        <w:t>Le développement durable, tel qu</w:t>
      </w:r>
      <w:r w:rsidR="00A61E6D">
        <w:t>’</w:t>
      </w:r>
      <w:r w:rsidRPr="00556D69">
        <w:t>il a été défini en 1987 par la Commission Brundtland, est</w:t>
      </w:r>
      <w:r w:rsidR="00043DFF" w:rsidRPr="00556D69">
        <w:t xml:space="preserve"> « </w:t>
      </w:r>
      <w:r w:rsidRPr="00556D69">
        <w:t>un développement qui répond aux besoins du présent sans compromettre la capacité des générations futures à répondre aux leurs</w:t>
      </w:r>
      <w:r w:rsidR="00D857B6">
        <w:t> »</w:t>
      </w:r>
      <w:r w:rsidRPr="00556D69">
        <w:rPr>
          <w:vertAlign w:val="superscript"/>
        </w:rPr>
        <w:footnoteReference w:id="3"/>
      </w:r>
      <w:r w:rsidRPr="00556D69">
        <w:t>. Le développement durable ne se borne pas uniquement au développement économique durable d</w:t>
      </w:r>
      <w:r w:rsidR="00A61E6D">
        <w:t>’</w:t>
      </w:r>
      <w:r w:rsidRPr="00556D69">
        <w:t>une population concernée</w:t>
      </w:r>
      <w:r w:rsidR="00EA1FE1" w:rsidRPr="00556D69">
        <w:t> :</w:t>
      </w:r>
      <w:r w:rsidRPr="00556D69">
        <w:t xml:space="preserve"> il implique la poursuite simultanée des objectifs interdépendants que sont la prospérité économique, la qualité environnementale et l</w:t>
      </w:r>
      <w:r w:rsidR="00A61E6D">
        <w:t>’</w:t>
      </w:r>
      <w:r w:rsidRPr="00556D69">
        <w:t>équité sociale</w:t>
      </w:r>
      <w:r w:rsidRPr="00556D69">
        <w:rPr>
          <w:vertAlign w:val="superscript"/>
        </w:rPr>
        <w:footnoteReference w:id="4"/>
      </w:r>
      <w:r w:rsidRPr="00556D69">
        <w:t>, un équilibre difficile à trouver dans la quête d</w:t>
      </w:r>
      <w:r w:rsidR="00A61E6D">
        <w:t>’</w:t>
      </w:r>
      <w:r w:rsidRPr="00556D69">
        <w:t>un avenir meilleur.</w:t>
      </w:r>
    </w:p>
    <w:p w14:paraId="507A4AEB" w14:textId="174953DC" w:rsidR="00C10A1F" w:rsidRPr="00556D69" w:rsidRDefault="00C10A1F">
      <w:pPr>
        <w:pStyle w:val="Heading4"/>
      </w:pPr>
      <w:bookmarkStart w:id="16" w:name="_Toc247360223"/>
      <w:r w:rsidRPr="00556D69">
        <w:t xml:space="preserve">Relation entre PCI et </w:t>
      </w:r>
      <w:r w:rsidR="00A03989" w:rsidRPr="00556D69">
        <w:t>d</w:t>
      </w:r>
      <w:r w:rsidR="00A03989">
        <w:t>É</w:t>
      </w:r>
      <w:r w:rsidR="00A03989" w:rsidRPr="00556D69">
        <w:t xml:space="preserve">veloppement </w:t>
      </w:r>
      <w:r w:rsidRPr="00556D69">
        <w:t>durable</w:t>
      </w:r>
      <w:bookmarkEnd w:id="16"/>
    </w:p>
    <w:p w14:paraId="7E9903FE" w14:textId="77777777" w:rsidR="004325DC" w:rsidRDefault="00C10A1F" w:rsidP="00914287">
      <w:pPr>
        <w:pStyle w:val="Texte1"/>
      </w:pPr>
      <w:r w:rsidRPr="00556D69">
        <w:t>Il y a une étroite réciprocité entre le développement durable et le PCI. La pratique de certains éléments du PCI peut contribuer à un développement social et économique durable. Le développement durable dans une communauté peut aussi y accroître la viabilité des pratiques du PCI.</w:t>
      </w:r>
    </w:p>
    <w:p w14:paraId="4F3B1352" w14:textId="1554E97E" w:rsidR="004325DC" w:rsidRDefault="00C10A1F" w:rsidP="00914287">
      <w:pPr>
        <w:pStyle w:val="Texte1"/>
      </w:pPr>
      <w:r w:rsidRPr="00556D69">
        <w:t>Le PCI est pratiqué et transmis par les communautés concernées pour des raisons qui passent par le maintien de leur sentiment d</w:t>
      </w:r>
      <w:r w:rsidR="00A61E6D">
        <w:t>’</w:t>
      </w:r>
      <w:r w:rsidRPr="00556D69">
        <w:t>identité et de continuité, le bien-être social, la maîtrise de leur environnement naturel et social et la génération de revenu. Une bonne partie de ce qu</w:t>
      </w:r>
      <w:r w:rsidR="00A61E6D">
        <w:t>’</w:t>
      </w:r>
      <w:r w:rsidRPr="00556D69">
        <w:t xml:space="preserve">on appelle les savoirs traditionnels ou autochtones est, ou </w:t>
      </w:r>
      <w:proofErr w:type="spellStart"/>
      <w:r w:rsidRPr="00556D69">
        <w:t>peut être</w:t>
      </w:r>
      <w:proofErr w:type="spellEnd"/>
      <w:r w:rsidRPr="00556D69">
        <w:t>, intégrée dans la santé, l</w:t>
      </w:r>
      <w:r w:rsidR="00A61E6D">
        <w:t>’</w:t>
      </w:r>
      <w:r w:rsidRPr="00556D69">
        <w:t>éducation et la gestion moderne de l</w:t>
      </w:r>
      <w:r w:rsidR="00A61E6D">
        <w:t>’</w:t>
      </w:r>
      <w:r w:rsidRPr="00556D69">
        <w:t>environnement naturel et social. Les projets de développement destinés à renforcer la cohésion sociale, le développement économique, l</w:t>
      </w:r>
      <w:r w:rsidR="00A61E6D">
        <w:t>’</w:t>
      </w:r>
      <w:r w:rsidRPr="00556D69">
        <w:t>éducation ou la santé sont, en général, plus susceptibles d</w:t>
      </w:r>
      <w:r w:rsidR="00A61E6D">
        <w:t>’</w:t>
      </w:r>
      <w:r w:rsidRPr="00556D69">
        <w:t>être acceptables aux yeux des communautés locales et ont plus de chances de réussir s</w:t>
      </w:r>
      <w:r w:rsidR="00A61E6D">
        <w:t>’</w:t>
      </w:r>
      <w:r w:rsidRPr="00556D69">
        <w:t>ils sont culturellement appropriés et informés par les connaissances locales. Les savoirs et les pratiques concernant la nature et l</w:t>
      </w:r>
      <w:r w:rsidR="00A61E6D">
        <w:t>’</w:t>
      </w:r>
      <w:r w:rsidRPr="00556D69">
        <w:t>univers peuvent aussi aider à assurer la disponibilité durable des ressources naturelles spécifiques nécessaires à la pratique d</w:t>
      </w:r>
      <w:r w:rsidR="00A61E6D">
        <w:t>’</w:t>
      </w:r>
      <w:r w:rsidRPr="00556D69">
        <w:t>un élément du PCI.</w:t>
      </w:r>
    </w:p>
    <w:p w14:paraId="2D7A18D1" w14:textId="758E54B2" w:rsidR="004325DC" w:rsidRDefault="003B7F45" w:rsidP="00A36C3F">
      <w:pPr>
        <w:pStyle w:val="Titcoul"/>
      </w:pPr>
      <w:bookmarkStart w:id="17" w:name="_Toc238963251"/>
      <w:bookmarkStart w:id="18" w:name="_Toc241065137"/>
      <w:bookmarkStart w:id="19" w:name="_Toc301443370"/>
      <w:bookmarkStart w:id="20" w:name="_Toc321407013"/>
      <w:bookmarkStart w:id="21" w:name="_Toc354486637"/>
      <w:bookmarkStart w:id="22" w:name="_Toc354486943"/>
      <w:bookmarkStart w:id="23" w:name="_Toc247360224"/>
      <w:r>
        <w:t>8</w:t>
      </w:r>
      <w:r w:rsidR="00C10A1F" w:rsidRPr="00556D69">
        <w:t>.2</w:t>
      </w:r>
      <w:bookmarkEnd w:id="17"/>
      <w:bookmarkEnd w:id="18"/>
      <w:r w:rsidR="00651766">
        <w:tab/>
      </w:r>
      <w:bookmarkStart w:id="24" w:name="_Toc238963252"/>
      <w:bookmarkStart w:id="25" w:name="_Toc241065138"/>
      <w:r w:rsidR="00C10A1F" w:rsidRPr="00556D69">
        <w:t>Le PCI, soutien du progr</w:t>
      </w:r>
      <w:r w:rsidR="00EA331F">
        <w:t>È</w:t>
      </w:r>
      <w:r w:rsidR="00C10A1F" w:rsidRPr="00556D69">
        <w:t>s social</w:t>
      </w:r>
      <w:bookmarkEnd w:id="19"/>
      <w:bookmarkEnd w:id="20"/>
      <w:bookmarkEnd w:id="21"/>
      <w:bookmarkEnd w:id="22"/>
      <w:bookmarkEnd w:id="23"/>
      <w:bookmarkEnd w:id="24"/>
      <w:bookmarkEnd w:id="25"/>
    </w:p>
    <w:p w14:paraId="4016DE38" w14:textId="4E73D65F" w:rsidR="004325DC" w:rsidRDefault="00C10A1F" w:rsidP="00914287">
      <w:pPr>
        <w:pStyle w:val="Texte1"/>
      </w:pPr>
      <w:r w:rsidRPr="00556D69">
        <w:t>Les pratiques du PCI sont en général appréciées et soutenues car elles expriment des valeurs partagées, en créant un lien entre les individus et en leur donnant ce que la Convention appelle un sentiment d</w:t>
      </w:r>
      <w:r w:rsidR="00A61E6D">
        <w:t>’</w:t>
      </w:r>
      <w:r w:rsidRPr="00556D69">
        <w:t>identité et de continuité. Un élément du PCI peut, par exemple, aider à maintenir la cohésion de la communauté en renforçant l</w:t>
      </w:r>
      <w:r w:rsidR="00A61E6D">
        <w:t>’</w:t>
      </w:r>
      <w:r w:rsidRPr="00556D69">
        <w:t xml:space="preserve">identité et le </w:t>
      </w:r>
      <w:r w:rsidRPr="00556D69">
        <w:lastRenderedPageBreak/>
        <w:t>sens de l</w:t>
      </w:r>
      <w:r w:rsidR="00A61E6D">
        <w:t>’</w:t>
      </w:r>
      <w:r w:rsidRPr="00556D69">
        <w:t>histoire partagée</w:t>
      </w:r>
      <w:r w:rsidR="00EA1FE1" w:rsidRPr="00556D69">
        <w:t> ;</w:t>
      </w:r>
      <w:r w:rsidRPr="00556D69">
        <w:t xml:space="preserve"> il peut encourager des comportements mutuellement bénéfiques dans une communauté, comme le partage de biens et de services.</w:t>
      </w:r>
    </w:p>
    <w:p w14:paraId="4857F172" w14:textId="302026D3" w:rsidR="004325DC" w:rsidRDefault="00C10A1F" w:rsidP="00914287">
      <w:pPr>
        <w:pStyle w:val="Texte1"/>
      </w:pPr>
      <w:r w:rsidRPr="00556D69">
        <w:t>Afin d</w:t>
      </w:r>
      <w:r w:rsidR="00A61E6D">
        <w:t>’</w:t>
      </w:r>
      <w:r w:rsidRPr="00556D69">
        <w:t>être pris en considération aux fins de la Convention, le PCI doit être conforme à l</w:t>
      </w:r>
      <w:r w:rsidR="00A61E6D">
        <w:t>’</w:t>
      </w:r>
      <w:r w:rsidRPr="00556D69">
        <w:t>exigence des instruments internationaux existants relatifs aux droits de l</w:t>
      </w:r>
      <w:r w:rsidR="00A61E6D">
        <w:t>’</w:t>
      </w:r>
      <w:r w:rsidRPr="00556D69">
        <w:t>homme et du respect mutuel entre communautés, groupes et individus (</w:t>
      </w:r>
      <w:r w:rsidR="00043DFF" w:rsidRPr="00556D69">
        <w:t>article </w:t>
      </w:r>
      <w:r w:rsidRPr="00556D69">
        <w:t>2.1). Nombre de pratiques favorisent la cohésion de la communauté dans le contexte des droits de l</w:t>
      </w:r>
      <w:r w:rsidR="00A61E6D">
        <w:t>’</w:t>
      </w:r>
      <w:r w:rsidRPr="00556D69">
        <w:t>homme et le respect d</w:t>
      </w:r>
      <w:r w:rsidR="00A61E6D">
        <w:t>’</w:t>
      </w:r>
      <w:r w:rsidRPr="00556D69">
        <w:t>autrui, principes promus par la Convention. Cependant, il y a aussi des pratiques du PCI qui, tout en stimulant éventuellement la cohésion du groupe, incitent en même temps à la violence entre les groupes et/ou transgressent les droits de l</w:t>
      </w:r>
      <w:r w:rsidR="00A61E6D">
        <w:t>’</w:t>
      </w:r>
      <w:r w:rsidRPr="00556D69">
        <w:t>homme. Ces pratiques ne se voient accorder aucune considération au titre de la Convention et ne sont pas à promouvoir dans des campagnes de sensibilisation au niveau national (</w:t>
      </w:r>
      <w:r w:rsidR="00461004" w:rsidRPr="00556D69">
        <w:t>DO </w:t>
      </w:r>
      <w:r w:rsidRPr="00556D69">
        <w:t>102(c)).</w:t>
      </w:r>
    </w:p>
    <w:p w14:paraId="70D679DA" w14:textId="71F611DE" w:rsidR="00C10A1F" w:rsidRPr="00556D69" w:rsidRDefault="00EA331F">
      <w:pPr>
        <w:pStyle w:val="Heading4"/>
      </w:pPr>
      <w:bookmarkStart w:id="26" w:name="_Toc247360225"/>
      <w:r w:rsidRPr="00556D69">
        <w:t>R</w:t>
      </w:r>
      <w:r>
        <w:t>É</w:t>
      </w:r>
      <w:r w:rsidRPr="00556D69">
        <w:t xml:space="preserve">conciliation </w:t>
      </w:r>
      <w:r w:rsidR="00C10A1F" w:rsidRPr="00556D69">
        <w:t xml:space="preserve">et </w:t>
      </w:r>
      <w:r w:rsidRPr="00556D69">
        <w:t>r</w:t>
      </w:r>
      <w:r>
        <w:t>É</w:t>
      </w:r>
      <w:r w:rsidRPr="00556D69">
        <w:t xml:space="preserve">solution </w:t>
      </w:r>
      <w:r w:rsidR="00C10A1F" w:rsidRPr="00556D69">
        <w:t>des conflits</w:t>
      </w:r>
      <w:bookmarkEnd w:id="26"/>
    </w:p>
    <w:p w14:paraId="6F0D9F6C" w14:textId="77777777" w:rsidR="004325DC" w:rsidRDefault="00C10A1F" w:rsidP="00914287">
      <w:pPr>
        <w:pStyle w:val="Texte1"/>
      </w:pPr>
      <w:r w:rsidRPr="00556D69">
        <w:t>Certaines pratiques du PCI constituent des vecteurs pour la réconciliation et la résolution des conflits. En voici deux exemples</w:t>
      </w:r>
      <w:r w:rsidR="00EA1FE1" w:rsidRPr="00556D69">
        <w:t> :</w:t>
      </w:r>
    </w:p>
    <w:p w14:paraId="78A9DC8E" w14:textId="2587BD3F" w:rsidR="004325DC" w:rsidRDefault="00C10A1F" w:rsidP="00914287">
      <w:pPr>
        <w:pStyle w:val="Txtpucegras"/>
      </w:pPr>
      <w:r w:rsidRPr="00556D69">
        <w:t xml:space="preserve">Les communautés </w:t>
      </w:r>
      <w:proofErr w:type="spellStart"/>
      <w:r w:rsidRPr="00556D69">
        <w:t>Otomí-Chichimeca</w:t>
      </w:r>
      <w:proofErr w:type="spellEnd"/>
      <w:r w:rsidRPr="00556D69">
        <w:t xml:space="preserve"> au Mexique respectent un certain nombre de règles coutumières qui prônent la loyauté, le service à la communauté et la coexistence pacifique. Les anciens de la communauté prennent en charge la résolution des conflits et l</w:t>
      </w:r>
      <w:r w:rsidR="00A61E6D">
        <w:t>’</w:t>
      </w:r>
      <w:r w:rsidRPr="00556D69">
        <w:t>application de sanctions pour des infractions mineures comme l</w:t>
      </w:r>
      <w:r w:rsidR="00A61E6D">
        <w:t>’</w:t>
      </w:r>
      <w:r w:rsidRPr="00556D69">
        <w:t>invasion d</w:t>
      </w:r>
      <w:r w:rsidR="00A61E6D">
        <w:t>’</w:t>
      </w:r>
      <w:r w:rsidRPr="00556D69">
        <w:t>une parcelle ou la dégradation d</w:t>
      </w:r>
      <w:r w:rsidR="00A61E6D">
        <w:t>’</w:t>
      </w:r>
      <w:r w:rsidRPr="00556D69">
        <w:t>un bien, en renvoyant aux autorités les affaires non résolues ou les crimes graves. L</w:t>
      </w:r>
      <w:r w:rsidR="00A61E6D">
        <w:t>’</w:t>
      </w:r>
      <w:r w:rsidRPr="00556D69">
        <w:t>application de ces règles coutumières n</w:t>
      </w:r>
      <w:r w:rsidR="00A61E6D">
        <w:t>’</w:t>
      </w:r>
      <w:r w:rsidRPr="00556D69">
        <w:t>enfreint pas les droits humains ni les libertés individuelles que reconnaît par ailleurs la loi mexicaine.</w:t>
      </w:r>
    </w:p>
    <w:p w14:paraId="277F2A33" w14:textId="28FACE0B" w:rsidR="004325DC" w:rsidRDefault="00C10A1F" w:rsidP="00914287">
      <w:pPr>
        <w:pStyle w:val="Txtpucegras"/>
      </w:pPr>
      <w:r w:rsidRPr="00556D69">
        <w:t xml:space="preserve">À </w:t>
      </w:r>
      <w:proofErr w:type="spellStart"/>
      <w:r w:rsidRPr="00556D69">
        <w:t>Kakamega</w:t>
      </w:r>
      <w:proofErr w:type="spellEnd"/>
      <w:r w:rsidRPr="00556D69">
        <w:t xml:space="preserve">, au Kenya, un forum en plein air a été organisé en décembre 2008 afin de contribuer à la réconciliation entre les sous-communautés </w:t>
      </w:r>
      <w:proofErr w:type="spellStart"/>
      <w:r w:rsidRPr="00556D69">
        <w:t>Luhya</w:t>
      </w:r>
      <w:proofErr w:type="spellEnd"/>
      <w:r w:rsidRPr="00556D69">
        <w:t xml:space="preserve"> dans la Province kenyane de l</w:t>
      </w:r>
      <w:r w:rsidR="00A61E6D">
        <w:t>’</w:t>
      </w:r>
      <w:r w:rsidRPr="00556D69">
        <w:t>Ouest après les violences qui ont suivi l</w:t>
      </w:r>
      <w:r w:rsidR="00A61E6D">
        <w:t>’</w:t>
      </w:r>
      <w:r w:rsidRPr="00556D69">
        <w:t>élection présidentielle de décembre 2007. Plus de vingt-cinq communautés ont pris part à l</w:t>
      </w:r>
      <w:r w:rsidR="00A61E6D">
        <w:t>’</w:t>
      </w:r>
      <w:r w:rsidRPr="00556D69">
        <w:t>événement, ce qui a abouti à la reprise d</w:t>
      </w:r>
      <w:r w:rsidR="00A61E6D">
        <w:t>’</w:t>
      </w:r>
      <w:r w:rsidRPr="00556D69">
        <w:t>activités commerciales entre plusieurs d</w:t>
      </w:r>
      <w:r w:rsidR="00A61E6D">
        <w:t>’</w:t>
      </w:r>
      <w:r w:rsidRPr="00556D69">
        <w:t xml:space="preserve">entre elles. Pendant le forum, les participants ont échangé des cadeaux, partagé une boisson alcoolique brassée localement, fait référence au </w:t>
      </w:r>
      <w:proofErr w:type="spellStart"/>
      <w:r w:rsidRPr="00556D69">
        <w:rPr>
          <w:i/>
          <w:iCs/>
        </w:rPr>
        <w:t>murembe</w:t>
      </w:r>
      <w:proofErr w:type="spellEnd"/>
      <w:r w:rsidRPr="00556D69">
        <w:rPr>
          <w:i/>
          <w:iCs/>
        </w:rPr>
        <w:t xml:space="preserve"> </w:t>
      </w:r>
      <w:r w:rsidRPr="00556D69">
        <w:t xml:space="preserve">ou </w:t>
      </w:r>
      <w:proofErr w:type="spellStart"/>
      <w:r w:rsidRPr="00556D69">
        <w:rPr>
          <w:i/>
          <w:iCs/>
        </w:rPr>
        <w:t>milembe</w:t>
      </w:r>
      <w:proofErr w:type="spellEnd"/>
      <w:r w:rsidRPr="00556D69">
        <w:rPr>
          <w:i/>
          <w:iCs/>
        </w:rPr>
        <w:t>,</w:t>
      </w:r>
      <w:r w:rsidRPr="00556D69">
        <w:t xml:space="preserve"> arbre de la paix, et ont chanté des airs connus de toutes les communautés</w:t>
      </w:r>
      <w:r w:rsidRPr="00556D69">
        <w:rPr>
          <w:vertAlign w:val="superscript"/>
        </w:rPr>
        <w:footnoteReference w:id="5"/>
      </w:r>
      <w:r w:rsidRPr="00556D69">
        <w:t>.</w:t>
      </w:r>
    </w:p>
    <w:p w14:paraId="5482AEAF" w14:textId="0EED5D5C" w:rsidR="004325DC" w:rsidRDefault="00C10A1F" w:rsidP="00914287">
      <w:pPr>
        <w:pStyle w:val="Informations"/>
      </w:pPr>
      <w:r w:rsidRPr="00556D69">
        <w:t>Pour avoir un autre exemple de la façon dont le PCI peut contribuer au développement social, voir</w:t>
      </w:r>
      <w:r w:rsidR="003B7F45">
        <w:t xml:space="preserve"> </w:t>
      </w:r>
      <w:r w:rsidR="009A2E34">
        <w:rPr>
          <w:noProof/>
          <w:lang w:eastAsia="fr-FR"/>
        </w:rPr>
        <w:drawing>
          <wp:anchor distT="0" distB="0" distL="114300" distR="114300" simplePos="0" relativeHeight="251876864" behindDoc="0" locked="1" layoutInCell="1" allowOverlap="0" wp14:anchorId="709265DC" wp14:editId="70BF3E8E">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3B7F45">
        <w:t>l</w:t>
      </w:r>
      <w:r w:rsidR="00A61E6D">
        <w:t>’</w:t>
      </w:r>
      <w:r w:rsidR="003F5CA8">
        <w:t>Étude de cas</w:t>
      </w:r>
      <w:r w:rsidRPr="00556D69">
        <w:t xml:space="preserve"> 14</w:t>
      </w:r>
      <w:r w:rsidR="0067217E">
        <w:t>,</w:t>
      </w:r>
      <w:r w:rsidRPr="00556D69">
        <w:t xml:space="preserve"> dans le projet</w:t>
      </w:r>
      <w:r w:rsidR="00043DFF" w:rsidRPr="00556D69">
        <w:t xml:space="preserve"> « </w:t>
      </w:r>
      <w:r w:rsidRPr="00556D69">
        <w:t>Alphabétisation par la poésie</w:t>
      </w:r>
      <w:r w:rsidR="00043DFF" w:rsidRPr="00556D69">
        <w:t xml:space="preserve"> » </w:t>
      </w:r>
      <w:r w:rsidRPr="00556D69">
        <w:t>au Yémen, les adultes suivent un enseignement d</w:t>
      </w:r>
      <w:r w:rsidR="00A61E6D">
        <w:t>’</w:t>
      </w:r>
      <w:r w:rsidRPr="00556D69">
        <w:t>alphabétisation qui leur est dispensé à l</w:t>
      </w:r>
      <w:r w:rsidR="00A61E6D">
        <w:t>’</w:t>
      </w:r>
      <w:r w:rsidRPr="00556D69">
        <w:t>aide de formes traditionnelles de poésie orale.</w:t>
      </w:r>
    </w:p>
    <w:p w14:paraId="6BBB5E7B" w14:textId="39910D7F" w:rsidR="004325DC" w:rsidRDefault="009A2E34" w:rsidP="00A36C3F">
      <w:pPr>
        <w:pStyle w:val="Titcoul"/>
      </w:pPr>
      <w:bookmarkStart w:id="27" w:name="_Toc238963253"/>
      <w:bookmarkStart w:id="28" w:name="_Toc241065139"/>
      <w:bookmarkStart w:id="29" w:name="_Toc301443371"/>
      <w:bookmarkStart w:id="30" w:name="_Toc321407014"/>
      <w:bookmarkStart w:id="31" w:name="_Toc354486638"/>
      <w:bookmarkStart w:id="32" w:name="_Toc354486944"/>
      <w:bookmarkStart w:id="33" w:name="_Toc247360226"/>
      <w:r>
        <w:t>8</w:t>
      </w:r>
      <w:r w:rsidR="00C10A1F" w:rsidRPr="00556D69">
        <w:t>.3</w:t>
      </w:r>
      <w:bookmarkEnd w:id="27"/>
      <w:bookmarkEnd w:id="28"/>
      <w:r w:rsidR="00651766">
        <w:tab/>
      </w:r>
      <w:bookmarkStart w:id="34" w:name="_Toc238963254"/>
      <w:bookmarkStart w:id="35" w:name="_Toc241065140"/>
      <w:r w:rsidR="00C10A1F" w:rsidRPr="00556D69">
        <w:t xml:space="preserve">Avantages </w:t>
      </w:r>
      <w:r w:rsidR="00251A4E" w:rsidRPr="00556D69">
        <w:t>mat</w:t>
      </w:r>
      <w:r w:rsidR="00251A4E">
        <w:t>É</w:t>
      </w:r>
      <w:r w:rsidR="00251A4E" w:rsidRPr="00556D69">
        <w:t xml:space="preserve">riels </w:t>
      </w:r>
      <w:r w:rsidR="00C10A1F" w:rsidRPr="00556D69">
        <w:t>tir</w:t>
      </w:r>
      <w:r w:rsidR="00251A4E">
        <w:t>É</w:t>
      </w:r>
      <w:r w:rsidR="00C10A1F" w:rsidRPr="00556D69">
        <w:t>s de la pratique du PCI</w:t>
      </w:r>
      <w:bookmarkEnd w:id="29"/>
      <w:bookmarkEnd w:id="30"/>
      <w:bookmarkEnd w:id="31"/>
      <w:bookmarkEnd w:id="32"/>
      <w:bookmarkEnd w:id="33"/>
      <w:bookmarkEnd w:id="34"/>
      <w:bookmarkEnd w:id="35"/>
    </w:p>
    <w:p w14:paraId="0E247D96" w14:textId="05628F7F" w:rsidR="004325DC" w:rsidRDefault="00C10A1F" w:rsidP="00914287">
      <w:pPr>
        <w:pStyle w:val="Texte1"/>
      </w:pPr>
      <w:r w:rsidRPr="00556D69">
        <w:t>Si elles n</w:t>
      </w:r>
      <w:r w:rsidR="00A61E6D">
        <w:t>’</w:t>
      </w:r>
      <w:r w:rsidRPr="00556D69">
        <w:t>en tiraient aucun avantage, matériel ou social, peu de communautés continueraient à pratiquer ces éléments de leur PCI qui leur demandent d</w:t>
      </w:r>
      <w:r w:rsidR="00A61E6D">
        <w:t>’</w:t>
      </w:r>
      <w:r w:rsidRPr="00556D69">
        <w:t>investir énormément de temps, de marchandises ou d</w:t>
      </w:r>
      <w:r w:rsidR="00A61E6D">
        <w:t>’</w:t>
      </w:r>
      <w:r w:rsidRPr="00556D69">
        <w:t xml:space="preserve">argent. Beaucoup de savoir-faire et de </w:t>
      </w:r>
      <w:r w:rsidRPr="00556D69">
        <w:lastRenderedPageBreak/>
        <w:t xml:space="preserve">pratiques du PCI </w:t>
      </w:r>
      <w:r w:rsidR="00BB70F2">
        <w:t>– </w:t>
      </w:r>
      <w:r w:rsidRPr="00556D69">
        <w:t>comme, par exemple, les formes de guérison traditionnelle, l</w:t>
      </w:r>
      <w:r w:rsidR="00A61E6D">
        <w:t>’</w:t>
      </w:r>
      <w:r w:rsidRPr="00556D69">
        <w:t>architecture vernaculaire, l</w:t>
      </w:r>
      <w:r w:rsidR="00A61E6D">
        <w:t>’</w:t>
      </w:r>
      <w:r w:rsidRPr="00556D69">
        <w:t>art des marionnettes et la médiation</w:t>
      </w:r>
      <w:r w:rsidR="00953DB9">
        <w:t xml:space="preserve"> </w:t>
      </w:r>
      <w:r w:rsidR="00BB70F2">
        <w:t>– </w:t>
      </w:r>
      <w:r w:rsidRPr="00556D69">
        <w:t>se sont transmis au fil des générations précisément parce qu</w:t>
      </w:r>
      <w:r w:rsidR="00A61E6D">
        <w:t>’</w:t>
      </w:r>
      <w:r w:rsidRPr="00556D69">
        <w:t>ils procurent des avantages matériels économiques et autres aux participants, ainsi que des avantages sociaux.</w:t>
      </w:r>
    </w:p>
    <w:p w14:paraId="28F2A25C" w14:textId="3127A1E0" w:rsidR="00C10A1F" w:rsidRPr="00556D69" w:rsidRDefault="00C31DD4">
      <w:pPr>
        <w:pStyle w:val="Heading4"/>
      </w:pPr>
      <w:bookmarkStart w:id="36" w:name="_Toc247360227"/>
      <w:r w:rsidRPr="00556D69">
        <w:t>G</w:t>
      </w:r>
      <w:r>
        <w:t>É</w:t>
      </w:r>
      <w:r w:rsidRPr="00556D69">
        <w:t xml:space="preserve">rer </w:t>
      </w:r>
      <w:r w:rsidR="00C10A1F" w:rsidRPr="00556D69">
        <w:t>les ressources environnementales</w:t>
      </w:r>
      <w:bookmarkEnd w:id="36"/>
    </w:p>
    <w:p w14:paraId="7F4B661B" w14:textId="7AE4E435" w:rsidR="004325DC" w:rsidRDefault="00C10A1F" w:rsidP="00914287">
      <w:pPr>
        <w:pStyle w:val="Texte1"/>
      </w:pPr>
      <w:r w:rsidRPr="00556D69">
        <w:t>Les savoirs traditionnels peuvent servir à gérer les ressources environnementales de façon durable. Par exemple, les systèmes d</w:t>
      </w:r>
      <w:r w:rsidR="00A61E6D">
        <w:t>’</w:t>
      </w:r>
      <w:r w:rsidRPr="00556D69">
        <w:t>irrigation d</w:t>
      </w:r>
      <w:r w:rsidR="00A61E6D">
        <w:t>’</w:t>
      </w:r>
      <w:r w:rsidRPr="00556D69">
        <w:t>un certain nombre de cours d</w:t>
      </w:r>
      <w:r w:rsidR="00A61E6D">
        <w:t>’</w:t>
      </w:r>
      <w:r w:rsidRPr="00556D69">
        <w:t>eau en Espagne sont gérés par des juridictions des eaux que dirigent des fermiers originaires de la région d</w:t>
      </w:r>
      <w:r w:rsidR="00A61E6D">
        <w:t>’</w:t>
      </w:r>
      <w:r w:rsidRPr="00556D69">
        <w:t>irrigation, qui prennent des décisions conformément aux règles transmises au fil des générations. L</w:t>
      </w:r>
      <w:r w:rsidR="00A61E6D">
        <w:t>’</w:t>
      </w:r>
      <w:r w:rsidRPr="00556D69">
        <w:t>élément</w:t>
      </w:r>
      <w:r w:rsidR="00043DFF" w:rsidRPr="00556D69">
        <w:t xml:space="preserve"> « </w:t>
      </w:r>
      <w:r w:rsidRPr="00556D69">
        <w:t>Les tribunaux d</w:t>
      </w:r>
      <w:r w:rsidR="00A61E6D">
        <w:t>’</w:t>
      </w:r>
      <w:r w:rsidRPr="00556D69">
        <w:t>irrigants du bassin méditerranéen espagnol </w:t>
      </w:r>
      <w:r w:rsidR="00EA1FE1" w:rsidRPr="00556D69">
        <w:t>:</w:t>
      </w:r>
      <w:r w:rsidRPr="00556D69">
        <w:t xml:space="preserve"> le Conseil des bons hommes de la plaine de Murcie et le Tribunal des eaux de la plaine de Valence</w:t>
      </w:r>
      <w:r w:rsidR="00043DFF" w:rsidRPr="00556D69">
        <w:t xml:space="preserve"> » </w:t>
      </w:r>
      <w:r w:rsidRPr="00556D69">
        <w:t>a été inscrit sur la Liste représentative en 2009</w:t>
      </w:r>
      <w:r w:rsidR="00EA1FE1" w:rsidRPr="00556D69">
        <w:t> :</w:t>
      </w:r>
    </w:p>
    <w:p w14:paraId="4F968FCD" w14:textId="5879E4B1" w:rsidR="00C31DD4" w:rsidRDefault="009A2E34" w:rsidP="00C31DD4">
      <w:pPr>
        <w:pStyle w:val="Texte1"/>
      </w:pPr>
      <w:r>
        <w:rPr>
          <w:noProof/>
          <w:lang w:eastAsia="fr-FR"/>
        </w:rPr>
        <w:drawing>
          <wp:anchor distT="0" distB="0" distL="114300" distR="114300" simplePos="0" relativeHeight="251878912" behindDoc="0" locked="1" layoutInCell="1" allowOverlap="0" wp14:anchorId="0BFA522C" wp14:editId="7C2B480B">
            <wp:simplePos x="0" y="0"/>
            <wp:positionH relativeFrom="column">
              <wp:posOffset>0</wp:posOffset>
            </wp:positionH>
            <wp:positionV relativeFrom="paragraph">
              <wp:posOffset>-71755</wp:posOffset>
            </wp:positionV>
            <wp:extent cx="283210" cy="358775"/>
            <wp:effectExtent l="0" t="0" r="0" b="0"/>
            <wp:wrapThrough wrapText="bothSides">
              <wp:wrapPolygon edited="0">
                <wp:start x="0" y="0"/>
                <wp:lineTo x="0" y="19880"/>
                <wp:lineTo x="19372" y="19880"/>
                <wp:lineTo x="19372" y="0"/>
                <wp:lineTo x="0" y="0"/>
              </wp:wrapPolygon>
            </wp:wrapThrough>
            <wp:docPr id="254" name="Imag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C31DD4" w:rsidRPr="00C31DD4">
        <w:t>http://www.unesco.org/culture/ich/fr/RL/00171</w:t>
      </w:r>
      <w:r w:rsidR="00C31DD4" w:rsidRPr="00C31DD4" w:rsidDel="00C31DD4">
        <w:t xml:space="preserve"> </w:t>
      </w:r>
    </w:p>
    <w:p w14:paraId="2C938D57" w14:textId="63180A32" w:rsidR="00C10A1F" w:rsidRPr="00A0403A" w:rsidRDefault="00E9441D" w:rsidP="00562D8A">
      <w:pPr>
        <w:pStyle w:val="Heading4"/>
      </w:pPr>
      <w:bookmarkStart w:id="37" w:name="_Toc247360228"/>
      <w:r w:rsidRPr="00556D69">
        <w:t>G</w:t>
      </w:r>
      <w:r>
        <w:t>É</w:t>
      </w:r>
      <w:r w:rsidRPr="00556D69">
        <w:t>n</w:t>
      </w:r>
      <w:r>
        <w:t>É</w:t>
      </w:r>
      <w:r w:rsidRPr="00556D69">
        <w:t xml:space="preserve">rer </w:t>
      </w:r>
      <w:r w:rsidR="00C10A1F" w:rsidRPr="00556D69">
        <w:t>des revenus</w:t>
      </w:r>
      <w:bookmarkEnd w:id="37"/>
    </w:p>
    <w:p w14:paraId="33A21720" w14:textId="77777777" w:rsidR="004325DC" w:rsidRDefault="00C10A1F" w:rsidP="00914287">
      <w:pPr>
        <w:pStyle w:val="Texte1"/>
      </w:pPr>
      <w:r w:rsidRPr="00556D69">
        <w:t xml:space="preserve">Dans bien des cas, les gens pratiquent et transmettent leur PCI sans aucune compensation sur le plan matériel. Mais la pratique du PCI est également liée dans certains cas à une activité commerciale. Celle-ci est, en fait, intrinsèque à certaines formes de patrimoine culturel immatériel, comme les activités artisanales et autres qui produisent des </w:t>
      </w:r>
      <w:r w:rsidR="00043DFF" w:rsidRPr="00556D69">
        <w:t>articles </w:t>
      </w:r>
      <w:r w:rsidRPr="00556D69">
        <w:t>à vendre ou en troc.</w:t>
      </w:r>
    </w:p>
    <w:p w14:paraId="6C5DFC44" w14:textId="77777777" w:rsidR="004325DC" w:rsidRDefault="00C10A1F" w:rsidP="00914287">
      <w:pPr>
        <w:pStyle w:val="Texte1"/>
      </w:pPr>
      <w:r w:rsidRPr="00556D69">
        <w:t>La pratique et la transmission du PCI peuvent être soutenues financièrement de différentes manières</w:t>
      </w:r>
      <w:r w:rsidR="00EA1FE1" w:rsidRPr="00556D69">
        <w:t> :</w:t>
      </w:r>
    </w:p>
    <w:p w14:paraId="6CA3AE24" w14:textId="63EB3E79" w:rsidR="004325DC" w:rsidRDefault="00C10A1F" w:rsidP="00914287">
      <w:pPr>
        <w:pStyle w:val="Txtpucegras"/>
      </w:pPr>
      <w:r w:rsidRPr="00556D69">
        <w:rPr>
          <w:i/>
        </w:rPr>
        <w:t>En rémunérant les praticiens qui exercent la pratique de leur PCI.</w:t>
      </w:r>
      <w:r w:rsidRPr="00906C0A">
        <w:t xml:space="preserve"> </w:t>
      </w:r>
      <w:r w:rsidRPr="00556D69">
        <w:t>Les guérisseurs traditionnels, les conteurs itinérants, les bâtisseurs et les chaumiers, par exemple, sont souvent payés en espèces ou en nature par les communautés qui profitent des avantages de leurs talents de conteur, des arts du spectacle, des rituels, de la présence de guérisseurs, des savoir-faire ou des pratiques de médiation. Quelquefois, le soutien accordé aux praticiens du PCI est plus massif et continu. La cour khmère soutient depuis plus d</w:t>
      </w:r>
      <w:r w:rsidR="00A61E6D">
        <w:t>’</w:t>
      </w:r>
      <w:r w:rsidRPr="00556D69">
        <w:t>un millénaire le Ballet royal du Cambodge qu</w:t>
      </w:r>
      <w:r w:rsidR="00A61E6D">
        <w:t>’</w:t>
      </w:r>
      <w:r w:rsidRPr="00556D69">
        <w:t>on appelle aussi Danse classique khmère, en rémunérant les danseurs et en mettant à leur disposition un lieu d</w:t>
      </w:r>
      <w:r w:rsidR="00A61E6D">
        <w:t>’</w:t>
      </w:r>
      <w:r w:rsidRPr="00556D69">
        <w:t>apprentissage au palais. Dans les cours européennes un soutien analogue était offert aux troubadours et aux bouffons</w:t>
      </w:r>
      <w:r w:rsidR="00EA1FE1" w:rsidRPr="00556D69">
        <w:t> ;</w:t>
      </w:r>
      <w:r w:rsidRPr="00556D69">
        <w:t xml:space="preserve"> en Afrique, les rois et les chefs soutenaient les festivités locales. Avec l</w:t>
      </w:r>
      <w:r w:rsidR="00A61E6D">
        <w:t>’</w:t>
      </w:r>
      <w:r w:rsidRPr="00556D69">
        <w:t>apparition des formes modernes de gouvernement, le soutien des pratiques du PCI qu</w:t>
      </w:r>
      <w:r w:rsidR="00A61E6D">
        <w:t>’</w:t>
      </w:r>
      <w:r w:rsidRPr="00556D69">
        <w:t>offraient jadis les monarques, sultans, shoguns et autres souverains traditionnels, a été remplacé dans bien des cas par l</w:t>
      </w:r>
      <w:r w:rsidR="00A61E6D">
        <w:t>’</w:t>
      </w:r>
      <w:r w:rsidRPr="00556D69">
        <w:t>aide de l</w:t>
      </w:r>
      <w:r w:rsidR="00A61E6D">
        <w:t>’</w:t>
      </w:r>
      <w:r w:rsidRPr="00556D69">
        <w:t>État ou celle de politiciens ou d</w:t>
      </w:r>
      <w:r w:rsidR="00A61E6D">
        <w:t>’</w:t>
      </w:r>
      <w:r w:rsidRPr="00556D69">
        <w:t>entrepreneurs locaux. Beaucoup de formes de théâtre traditionnelles attirent des visiteurs payants, au même titre que les formes plus modernes qui ne sont pas considérées comme des éléments du PCI.</w:t>
      </w:r>
    </w:p>
    <w:p w14:paraId="5E5C9B94" w14:textId="473BDFEB" w:rsidR="004325DC" w:rsidRDefault="00C10A1F" w:rsidP="00914287">
      <w:pPr>
        <w:pStyle w:val="Txtpucegras"/>
      </w:pPr>
      <w:r w:rsidRPr="00556D69">
        <w:rPr>
          <w:i/>
        </w:rPr>
        <w:t>En rémunérant les praticiens pour la transmission de savoir-faire ou de connaissance du PCI.</w:t>
      </w:r>
      <w:r w:rsidRPr="00556D69">
        <w:rPr>
          <w:b/>
        </w:rPr>
        <w:t xml:space="preserve"> </w:t>
      </w:r>
      <w:r w:rsidRPr="00556D69">
        <w:t>L</w:t>
      </w:r>
      <w:r w:rsidR="00A61E6D">
        <w:t>’</w:t>
      </w:r>
      <w:r w:rsidRPr="00556D69">
        <w:t>accès à la connaissance et au savoir-faire est précieux et souvent sujet à des contrôles d</w:t>
      </w:r>
      <w:r w:rsidR="00A61E6D">
        <w:t>’</w:t>
      </w:r>
      <w:r w:rsidRPr="00556D69">
        <w:t xml:space="preserve">une forme ou une autre. Les apprentis dans différents métiers paient leurs maîtres en espèces ou en nature (par exemple, avec un travail gratuit) pour recevoir la </w:t>
      </w:r>
      <w:r w:rsidRPr="00556D69">
        <w:lastRenderedPageBreak/>
        <w:t>transmission d</w:t>
      </w:r>
      <w:r w:rsidR="00A61E6D">
        <w:t>’</w:t>
      </w:r>
      <w:r w:rsidRPr="00556D69">
        <w:t>un savoir-faire. Les systèmes des Trésors humains vivants amènent souvent ces formes de rémunération.</w:t>
      </w:r>
    </w:p>
    <w:p w14:paraId="21C96A63" w14:textId="22541AAB" w:rsidR="004325DC" w:rsidRDefault="00C10A1F" w:rsidP="00914287">
      <w:pPr>
        <w:pStyle w:val="Txtpucegras"/>
      </w:pPr>
      <w:r w:rsidRPr="00556D69">
        <w:rPr>
          <w:i/>
        </w:rPr>
        <w:t>En achetant ou en troquant les produits de pratiques et savoir-faire du PCI.</w:t>
      </w:r>
      <w:r w:rsidRPr="00556D69">
        <w:rPr>
          <w:b/>
        </w:rPr>
        <w:t xml:space="preserve"> </w:t>
      </w:r>
      <w:r w:rsidRPr="00556D69">
        <w:t>Cela peut comporter la vente d</w:t>
      </w:r>
      <w:r w:rsidR="00A61E6D">
        <w:t>’</w:t>
      </w:r>
      <w:r w:rsidRPr="00556D69">
        <w:t>objets artisanaux, instruments de musique, mobilier traditionnels, voire de maisons bâties selon un savoir-faire ancestral. Si le PCI représente avant tout un ensemble de connaissances, savoir-faire et pratiques plutôt que de produits, la vente (ou l</w:t>
      </w:r>
      <w:r w:rsidR="00A61E6D">
        <w:t>’</w:t>
      </w:r>
      <w:r w:rsidRPr="00556D69">
        <w:t>échange) des produits et des services qui en résultent (guérison, cartomancie, production alimentaire, artisanat) a donc souvent contribué à poursuivre la pratique et la transmission de ce patrimoine.</w:t>
      </w:r>
    </w:p>
    <w:p w14:paraId="470327D7" w14:textId="0F8FD988" w:rsidR="004325DC" w:rsidRDefault="00C10A1F" w:rsidP="00914287">
      <w:pPr>
        <w:pStyle w:val="Texte1"/>
      </w:pPr>
      <w:r w:rsidRPr="00556D69">
        <w:t>Le contexte et l</w:t>
      </w:r>
      <w:r w:rsidR="00A61E6D">
        <w:t>’</w:t>
      </w:r>
      <w:r w:rsidRPr="00556D69">
        <w:t>importance des avantages financiers dans la poursuite de la pratique du PCI peuvent évoluer au fil du temps.</w:t>
      </w:r>
    </w:p>
    <w:p w14:paraId="5F1C2EB5" w14:textId="7DB4D97C" w:rsidR="004325DC" w:rsidRDefault="00C10A1F" w:rsidP="00914287">
      <w:pPr>
        <w:pStyle w:val="Informations"/>
      </w:pPr>
      <w:r w:rsidRPr="00556D69">
        <w:t>Pour avoir un exemple de la façon dont le PCI peut dépendre de la génération de revenu et y</w:t>
      </w:r>
      <w:r w:rsidR="00461004" w:rsidRPr="00556D69">
        <w:t xml:space="preserve"> </w:t>
      </w:r>
      <w:r w:rsidRPr="00556D69">
        <w:t xml:space="preserve">contribuer, voir </w:t>
      </w:r>
      <w:r w:rsidR="009A2E34">
        <w:t>l</w:t>
      </w:r>
      <w:r w:rsidR="00A61E6D">
        <w:t>’</w:t>
      </w:r>
      <w:r w:rsidR="003F5CA8">
        <w:t>Étude de cas</w:t>
      </w:r>
      <w:r w:rsidR="00D36E6E">
        <w:t xml:space="preserve"> 15</w:t>
      </w:r>
      <w:r w:rsidRPr="00556D69">
        <w:t xml:space="preserve"> sur une procession de la circoncision de jeunes garçons sundanais à Bandung</w:t>
      </w:r>
      <w:r w:rsidR="0067217E">
        <w:t xml:space="preserve"> (</w:t>
      </w:r>
      <w:r w:rsidRPr="00556D69">
        <w:t>Indonésie</w:t>
      </w:r>
      <w:r w:rsidR="0067217E">
        <w:t>)</w:t>
      </w:r>
      <w:r w:rsidRPr="00556D69">
        <w:t xml:space="preserve">. Cette </w:t>
      </w:r>
      <w:r w:rsidR="0067217E">
        <w:t>é</w:t>
      </w:r>
      <w:r w:rsidR="003F5CA8">
        <w:t>tude de cas</w:t>
      </w:r>
      <w:r w:rsidRPr="00556D69">
        <w:t xml:space="preserve"> montre comment de nouvelles interventions peuvent être nécessaires au fur et à mesure qu</w:t>
      </w:r>
      <w:r w:rsidR="00A61E6D">
        <w:t>’</w:t>
      </w:r>
      <w:r w:rsidRPr="00556D69">
        <w:t>évolue le contexte commercial des pratiques du PCI.</w:t>
      </w:r>
    </w:p>
    <w:p w14:paraId="364A79A8" w14:textId="67F4F7C2" w:rsidR="004325DC" w:rsidRDefault="009A2E34" w:rsidP="00A36C3F">
      <w:pPr>
        <w:pStyle w:val="Titcoul"/>
      </w:pPr>
      <w:bookmarkStart w:id="38" w:name="_Toc238963255"/>
      <w:bookmarkStart w:id="39" w:name="_Toc241065141"/>
      <w:bookmarkStart w:id="40" w:name="_Toc301443372"/>
      <w:bookmarkStart w:id="41" w:name="_Toc321407015"/>
      <w:bookmarkStart w:id="42" w:name="_Toc354486639"/>
      <w:bookmarkStart w:id="43" w:name="_Toc354486945"/>
      <w:bookmarkStart w:id="44" w:name="_Toc247360229"/>
      <w:r>
        <w:t>8</w:t>
      </w:r>
      <w:r w:rsidR="00C10A1F" w:rsidRPr="00556D69">
        <w:t>.4</w:t>
      </w:r>
      <w:bookmarkEnd w:id="38"/>
      <w:bookmarkEnd w:id="39"/>
      <w:r w:rsidR="00651766">
        <w:tab/>
      </w:r>
      <w:bookmarkStart w:id="45" w:name="_Toc238963256"/>
      <w:bookmarkStart w:id="46" w:name="_Toc241065142"/>
      <w:r w:rsidR="00C10A1F" w:rsidRPr="00556D69">
        <w:t>Nouvelle</w:t>
      </w:r>
      <w:r>
        <w:rPr>
          <w:noProof/>
          <w:lang w:eastAsia="fr-FR"/>
        </w:rPr>
        <w:drawing>
          <wp:anchor distT="0" distB="0" distL="114300" distR="114300" simplePos="0" relativeHeight="251880960" behindDoc="0" locked="1" layoutInCell="1" allowOverlap="0" wp14:anchorId="4953C1AA" wp14:editId="1F7168CF">
            <wp:simplePos x="0" y="0"/>
            <wp:positionH relativeFrom="column">
              <wp:posOffset>0</wp:posOffset>
            </wp:positionH>
            <wp:positionV relativeFrom="paragraph">
              <wp:posOffset>-892175</wp:posOffset>
            </wp:positionV>
            <wp:extent cx="283210" cy="358775"/>
            <wp:effectExtent l="0" t="0" r="0" b="0"/>
            <wp:wrapThrough wrapText="bothSides">
              <wp:wrapPolygon edited="0">
                <wp:start x="0" y="0"/>
                <wp:lineTo x="0" y="19880"/>
                <wp:lineTo x="19372" y="19880"/>
                <wp:lineTo x="19372" y="0"/>
                <wp:lineTo x="0" y="0"/>
              </wp:wrapPolygon>
            </wp:wrapThrough>
            <wp:docPr id="255" name="Imag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C10A1F" w:rsidRPr="00556D69">
        <w:t xml:space="preserve">s </w:t>
      </w:r>
      <w:r w:rsidR="00E9441D" w:rsidRPr="00556D69">
        <w:t>possibilit</w:t>
      </w:r>
      <w:r w:rsidR="00E9441D">
        <w:t>É</w:t>
      </w:r>
      <w:r w:rsidR="00E9441D" w:rsidRPr="00556D69">
        <w:t xml:space="preserve">s </w:t>
      </w:r>
      <w:r w:rsidR="00C10A1F" w:rsidRPr="00556D69">
        <w:t xml:space="preserve">de </w:t>
      </w:r>
      <w:r w:rsidR="00E9441D" w:rsidRPr="00556D69">
        <w:t>g</w:t>
      </w:r>
      <w:r w:rsidR="00E9441D">
        <w:t>É</w:t>
      </w:r>
      <w:r w:rsidR="00E9441D" w:rsidRPr="00556D69">
        <w:t>n</w:t>
      </w:r>
      <w:r w:rsidR="00E9441D">
        <w:t>É</w:t>
      </w:r>
      <w:r w:rsidR="00E9441D" w:rsidRPr="00556D69">
        <w:t xml:space="preserve">ration </w:t>
      </w:r>
      <w:r w:rsidR="00C10A1F" w:rsidRPr="00556D69">
        <w:t xml:space="preserve">de </w:t>
      </w:r>
      <w:bookmarkEnd w:id="40"/>
      <w:bookmarkEnd w:id="41"/>
      <w:bookmarkEnd w:id="42"/>
      <w:bookmarkEnd w:id="43"/>
      <w:r w:rsidR="00B828E6" w:rsidRPr="00556D69">
        <w:t>revenu</w:t>
      </w:r>
      <w:r w:rsidR="00B828E6">
        <w:t>s</w:t>
      </w:r>
      <w:bookmarkEnd w:id="44"/>
      <w:bookmarkEnd w:id="45"/>
      <w:bookmarkEnd w:id="46"/>
    </w:p>
    <w:p w14:paraId="6229F5CD" w14:textId="38C5B165" w:rsidR="004325DC" w:rsidRDefault="00C10A1F" w:rsidP="00914287">
      <w:pPr>
        <w:pStyle w:val="Texte1"/>
      </w:pPr>
      <w:r w:rsidRPr="00556D69">
        <w:t>La Convention ne fait pas de distinction entre les éléments du PCI qui génèrent des revenus et ceux qui n</w:t>
      </w:r>
      <w:r w:rsidR="00A61E6D">
        <w:t>’</w:t>
      </w:r>
      <w:r w:rsidRPr="00556D69">
        <w:t xml:space="preserve">en génèrent pas (voir </w:t>
      </w:r>
      <w:r w:rsidR="00043DFF" w:rsidRPr="00556D69">
        <w:t>article </w:t>
      </w:r>
      <w:r w:rsidRPr="00556D69">
        <w:t>2.1). Les éléments générateurs de revenus ne sont pas exclus d</w:t>
      </w:r>
      <w:r w:rsidR="00A61E6D">
        <w:t>’</w:t>
      </w:r>
      <w:r w:rsidRPr="00556D69">
        <w:t xml:space="preserve">une prise en considération aux fins de la Convention </w:t>
      </w:r>
      <w:r w:rsidR="00BB70F2">
        <w:t>– </w:t>
      </w:r>
      <w:r w:rsidRPr="00556D69">
        <w:t>contrairement aux éléments qui, par exemple, ne sont pas compatibles avec les droits de l</w:t>
      </w:r>
      <w:r w:rsidR="00A61E6D">
        <w:t>’</w:t>
      </w:r>
      <w:r w:rsidRPr="00556D69">
        <w:t>homme ou le développement durable.</w:t>
      </w:r>
    </w:p>
    <w:p w14:paraId="7EC79628" w14:textId="2EFDD615" w:rsidR="004325DC" w:rsidRDefault="00C10A1F" w:rsidP="00914287">
      <w:pPr>
        <w:pStyle w:val="Texte1"/>
      </w:pPr>
      <w:r w:rsidRPr="00556D69">
        <w:t>Une grande partie du PCI ne continuerait pas à être viable s</w:t>
      </w:r>
      <w:r w:rsidR="00A61E6D">
        <w:t>’</w:t>
      </w:r>
      <w:r w:rsidRPr="00556D69">
        <w:t>il n</w:t>
      </w:r>
      <w:r w:rsidR="00A61E6D">
        <w:t>’</w:t>
      </w:r>
      <w:r w:rsidRPr="00556D69">
        <w:t xml:space="preserve">y avait pas de rémunération directe ou indirecte pour le temps passé et autres investissements liés à sa pratique et sa transmission. Les gens sont de plus en plus désireux de bénéficier financièrement des connaissances et savoir-faire relatifs au PCI par de nouveaux moyens </w:t>
      </w:r>
      <w:r w:rsidR="00BB70F2">
        <w:t>– </w:t>
      </w:r>
      <w:r w:rsidRPr="00556D69">
        <w:t>en ayant accès à de nouveaux marchés, par exemple, souvent en dehors de la communauté. La promotion du PCI ou la sensibilisation à sa réalité peut procurer de nouveaux avantages financiers ou autres aux communautés concernées.</w:t>
      </w:r>
    </w:p>
    <w:p w14:paraId="49D870D2" w14:textId="2305E120" w:rsidR="004325DC" w:rsidRDefault="00C10A1F" w:rsidP="00914287">
      <w:pPr>
        <w:pStyle w:val="Texte1"/>
      </w:pPr>
      <w:r w:rsidRPr="00556D69">
        <w:t>Les Directives opérationnelles le reconnaissent et soulignent l</w:t>
      </w:r>
      <w:r w:rsidR="00A61E6D">
        <w:t>’</w:t>
      </w:r>
      <w:r w:rsidRPr="00556D69">
        <w:t>importance des bénéfices pour les communautés concernées en tant que sous-produit de la mise en œuvre de la Convention (</w:t>
      </w:r>
      <w:r w:rsidR="00461004" w:rsidRPr="00556D69">
        <w:t>DO </w:t>
      </w:r>
      <w:r w:rsidRPr="00556D69">
        <w:t>81), et particulièrement de toute action de sensibilisation menée en ce sens (</w:t>
      </w:r>
      <w:r w:rsidR="00461004" w:rsidRPr="00556D69">
        <w:t>DO </w:t>
      </w:r>
      <w:r w:rsidRPr="00556D69">
        <w:t>101(d)). L</w:t>
      </w:r>
      <w:r w:rsidR="00A61E6D">
        <w:t>’</w:t>
      </w:r>
      <w:r w:rsidRPr="00556D69">
        <w:t xml:space="preserve">assurance que les communautés bénéficient sur un plan économique ou autre des activités de sauvegarde peut les motiver pour continuer de pratiquer leur PCI. Les </w:t>
      </w:r>
      <w:r w:rsidR="00461004" w:rsidRPr="00556D69">
        <w:t>DO</w:t>
      </w:r>
      <w:r w:rsidR="00906C0A">
        <w:t xml:space="preserve"> </w:t>
      </w:r>
      <w:r w:rsidRPr="00556D69">
        <w:t>recommandent aussi des moyens d</w:t>
      </w:r>
      <w:r w:rsidR="00A61E6D">
        <w:t>’</w:t>
      </w:r>
      <w:r w:rsidRPr="00556D69">
        <w:t>atténuer les effets indésirables de la commercialisation.</w:t>
      </w:r>
    </w:p>
    <w:p w14:paraId="0F6CFE89" w14:textId="77777777" w:rsidR="004325DC" w:rsidRDefault="00C10A1F" w:rsidP="00914287">
      <w:pPr>
        <w:pStyle w:val="Texte1"/>
      </w:pPr>
      <w:r w:rsidRPr="00556D69">
        <w:t>Les nouvelles possibilités de formation de revenu peuvent inclure</w:t>
      </w:r>
      <w:r w:rsidR="00EA1FE1" w:rsidRPr="00556D69">
        <w:t> :</w:t>
      </w:r>
    </w:p>
    <w:p w14:paraId="207D76CF" w14:textId="339A459E" w:rsidR="006C3387" w:rsidRDefault="00C10A1F" w:rsidP="00150FFB">
      <w:pPr>
        <w:pStyle w:val="Enutiret"/>
      </w:pPr>
      <w:r w:rsidRPr="00556D69">
        <w:t>l</w:t>
      </w:r>
      <w:r w:rsidR="00A61E6D">
        <w:t>’</w:t>
      </w:r>
      <w:r w:rsidRPr="00556D69">
        <w:t>utilisation de savoirs traditionnels à de nouvelles fins ou conceptions et le profit réalisé grâce à des accords conclus pour un partage des bénéfices</w:t>
      </w:r>
      <w:r w:rsidR="00EA1FE1" w:rsidRPr="00556D69">
        <w:t> ;</w:t>
      </w:r>
    </w:p>
    <w:p w14:paraId="0843B506" w14:textId="406D92B1" w:rsidR="006C3387" w:rsidRDefault="00C10A1F" w:rsidP="00150FFB">
      <w:pPr>
        <w:pStyle w:val="Enutiret"/>
      </w:pPr>
      <w:r w:rsidRPr="00556D69">
        <w:t>l</w:t>
      </w:r>
      <w:r w:rsidR="00A61E6D">
        <w:t>’</w:t>
      </w:r>
      <w:r w:rsidRPr="00556D69">
        <w:t>intégration des méthodes de guérison et de la pharmacopée traditionnelles dans le système de santé national et le profit obtenu grâce à une clientèle plus étendue</w:t>
      </w:r>
      <w:r w:rsidR="00EA1FE1" w:rsidRPr="00556D69">
        <w:t> ;</w:t>
      </w:r>
    </w:p>
    <w:p w14:paraId="28846825" w14:textId="77777777" w:rsidR="006C3387" w:rsidRDefault="00C10A1F" w:rsidP="00150FFB">
      <w:pPr>
        <w:pStyle w:val="Enutiret"/>
      </w:pPr>
      <w:r w:rsidRPr="00556D69">
        <w:t>le tourisme</w:t>
      </w:r>
      <w:r w:rsidR="00EA1FE1" w:rsidRPr="00556D69">
        <w:t> ;</w:t>
      </w:r>
    </w:p>
    <w:p w14:paraId="7A9C196C" w14:textId="77777777" w:rsidR="004325DC" w:rsidRDefault="00C10A1F" w:rsidP="00150FFB">
      <w:pPr>
        <w:pStyle w:val="Enutiret"/>
      </w:pPr>
      <w:r w:rsidRPr="00556D69">
        <w:lastRenderedPageBreak/>
        <w:t>la vente de produits artisanaux</w:t>
      </w:r>
      <w:r w:rsidR="00EA1FE1" w:rsidRPr="00556D69">
        <w:t> ;</w:t>
      </w:r>
    </w:p>
    <w:p w14:paraId="51883719" w14:textId="46A17767" w:rsidR="006C3387" w:rsidRDefault="00C10A1F" w:rsidP="00150FFB">
      <w:pPr>
        <w:pStyle w:val="Enutiret"/>
      </w:pPr>
      <w:r w:rsidRPr="00556D69">
        <w:t>la représentation d</w:t>
      </w:r>
      <w:r w:rsidR="00A61E6D">
        <w:t>’</w:t>
      </w:r>
      <w:r w:rsidRPr="00556D69">
        <w:t>expressions du PCI comme rétribution</w:t>
      </w:r>
      <w:r w:rsidR="00EA1FE1" w:rsidRPr="00556D69">
        <w:t> ;</w:t>
      </w:r>
    </w:p>
    <w:p w14:paraId="71B6A574" w14:textId="77777777" w:rsidR="004325DC" w:rsidRDefault="00C10A1F" w:rsidP="00150FFB">
      <w:pPr>
        <w:pStyle w:val="Enutiret"/>
      </w:pPr>
      <w:r w:rsidRPr="00556D69">
        <w:t>les festivals</w:t>
      </w:r>
      <w:r w:rsidR="00EA1FE1" w:rsidRPr="00556D69">
        <w:t> ;</w:t>
      </w:r>
    </w:p>
    <w:p w14:paraId="06F63826" w14:textId="77777777" w:rsidR="006C3387" w:rsidRDefault="00C10A1F" w:rsidP="00150FFB">
      <w:pPr>
        <w:pStyle w:val="Enutiret"/>
      </w:pPr>
      <w:r w:rsidRPr="00556D69">
        <w:t>les concours avec des prix</w:t>
      </w:r>
      <w:r w:rsidR="00EA1FE1" w:rsidRPr="00556D69">
        <w:t> ;</w:t>
      </w:r>
      <w:r w:rsidRPr="00556D69">
        <w:t xml:space="preserve"> et</w:t>
      </w:r>
    </w:p>
    <w:p w14:paraId="2ED4B796" w14:textId="77777777" w:rsidR="006C3387" w:rsidRDefault="00C10A1F" w:rsidP="00150FFB">
      <w:pPr>
        <w:pStyle w:val="Enutiret"/>
      </w:pPr>
      <w:r w:rsidRPr="00556D69">
        <w:t>le mécénat.</w:t>
      </w:r>
    </w:p>
    <w:p w14:paraId="22BE4B46" w14:textId="2A00A58E" w:rsidR="004325DC" w:rsidRDefault="00490881" w:rsidP="00914287">
      <w:pPr>
        <w:pStyle w:val="Informations"/>
      </w:pPr>
      <w:r>
        <w:rPr>
          <w:noProof/>
          <w:lang w:eastAsia="fr-FR"/>
        </w:rPr>
        <w:drawing>
          <wp:anchor distT="0" distB="0" distL="114300" distR="114300" simplePos="0" relativeHeight="252007936" behindDoc="0" locked="0" layoutInCell="1" allowOverlap="1" wp14:anchorId="2A3F509F" wp14:editId="1912AF29">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341" name="Imag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C10A1F" w:rsidRPr="00556D69">
        <w:t>Pour avoir des exemples sur les possibilités de génération</w:t>
      </w:r>
      <w:r w:rsidR="00461004" w:rsidRPr="00556D69">
        <w:t xml:space="preserve"> </w:t>
      </w:r>
      <w:r w:rsidR="00C10A1F" w:rsidRPr="00556D69">
        <w:t>de revenus grâce à des activités de sauvegarde et de sensibilisation au PCI, voir</w:t>
      </w:r>
      <w:r w:rsidR="009A2E34">
        <w:t xml:space="preserve"> les</w:t>
      </w:r>
      <w:r w:rsidR="00C10A1F" w:rsidRPr="00556D69">
        <w:t xml:space="preserve"> </w:t>
      </w:r>
      <w:r w:rsidR="00D65E8C">
        <w:t>É</w:t>
      </w:r>
      <w:r w:rsidR="00D65E8C" w:rsidRPr="00556D69">
        <w:t xml:space="preserve">tudes </w:t>
      </w:r>
      <w:r w:rsidR="00C10A1F" w:rsidRPr="00556D69">
        <w:t>de cas 16, 17, 19 et</w:t>
      </w:r>
      <w:r w:rsidR="00972FD9">
        <w:t> </w:t>
      </w:r>
      <w:r w:rsidR="00C10A1F" w:rsidRPr="00556D69">
        <w:t>20.</w:t>
      </w:r>
    </w:p>
    <w:p w14:paraId="1D8C8891" w14:textId="45AFE231" w:rsidR="004325DC" w:rsidRDefault="009A2E34" w:rsidP="00A36C3F">
      <w:pPr>
        <w:pStyle w:val="Titcoul"/>
      </w:pPr>
      <w:bookmarkStart w:id="47" w:name="_Toc238963257"/>
      <w:bookmarkStart w:id="48" w:name="_Toc241065143"/>
      <w:bookmarkStart w:id="49" w:name="_Toc301443373"/>
      <w:bookmarkStart w:id="50" w:name="_Toc321407016"/>
      <w:bookmarkStart w:id="51" w:name="_Toc354486640"/>
      <w:bookmarkStart w:id="52" w:name="_Toc354486946"/>
      <w:bookmarkStart w:id="53" w:name="_Toc247360230"/>
      <w:r>
        <w:t>8</w:t>
      </w:r>
      <w:r w:rsidR="00C10A1F" w:rsidRPr="00556D69">
        <w:t>.5</w:t>
      </w:r>
      <w:bookmarkEnd w:id="47"/>
      <w:bookmarkEnd w:id="48"/>
      <w:r w:rsidR="0022235D">
        <w:tab/>
      </w:r>
      <w:bookmarkStart w:id="54" w:name="_Toc238963258"/>
      <w:bookmarkStart w:id="55" w:name="_Toc241065144"/>
      <w:r w:rsidR="00C10A1F" w:rsidRPr="00556D69">
        <w:t xml:space="preserve">Risques </w:t>
      </w:r>
      <w:r w:rsidR="00E9441D" w:rsidRPr="00556D69">
        <w:t>associ</w:t>
      </w:r>
      <w:r w:rsidR="00E9441D">
        <w:t>É</w:t>
      </w:r>
      <w:r w:rsidR="00E9441D" w:rsidRPr="00556D69">
        <w:t xml:space="preserve">s </w:t>
      </w:r>
      <w:r w:rsidR="00C10A1F" w:rsidRPr="00556D69">
        <w:t xml:space="preserve">aux </w:t>
      </w:r>
      <w:r w:rsidR="00E9441D" w:rsidRPr="00556D69">
        <w:t>activit</w:t>
      </w:r>
      <w:r w:rsidR="00E9441D">
        <w:t>É</w:t>
      </w:r>
      <w:r w:rsidR="00E9441D" w:rsidRPr="00556D69">
        <w:t>s g</w:t>
      </w:r>
      <w:r w:rsidR="00E9441D">
        <w:t>É</w:t>
      </w:r>
      <w:r w:rsidR="00E9441D" w:rsidRPr="00556D69">
        <w:t>n</w:t>
      </w:r>
      <w:r w:rsidR="00E9441D">
        <w:t>É</w:t>
      </w:r>
      <w:r w:rsidR="00E9441D" w:rsidRPr="00556D69">
        <w:t xml:space="preserve">ratrices </w:t>
      </w:r>
      <w:r w:rsidR="00C10A1F" w:rsidRPr="00556D69">
        <w:t>de revenus</w:t>
      </w:r>
      <w:bookmarkEnd w:id="49"/>
      <w:bookmarkEnd w:id="50"/>
      <w:bookmarkEnd w:id="51"/>
      <w:bookmarkEnd w:id="52"/>
      <w:bookmarkEnd w:id="53"/>
      <w:bookmarkEnd w:id="54"/>
      <w:bookmarkEnd w:id="55"/>
    </w:p>
    <w:p w14:paraId="335FEFC7" w14:textId="07855A68" w:rsidR="004325DC" w:rsidRDefault="00C10A1F" w:rsidP="00914287">
      <w:pPr>
        <w:pStyle w:val="Texte1"/>
      </w:pPr>
      <w:r w:rsidRPr="00556D69">
        <w:t>La Convention et ses Directives opérationnelles se déclarent préoccupées quant aux menaces et risques possib</w:t>
      </w:r>
      <w:r w:rsidR="0067217E">
        <w:t>les pour les éléments du PCI du</w:t>
      </w:r>
      <w:r w:rsidRPr="00556D69">
        <w:t>s aux pressions qu</w:t>
      </w:r>
      <w:r w:rsidR="00A61E6D">
        <w:t>’</w:t>
      </w:r>
      <w:r w:rsidRPr="00556D69">
        <w:t>entraîne la génération de revenus, que ces éléments soient inscrits ou non sur les Listes de la Convention.</w:t>
      </w:r>
    </w:p>
    <w:p w14:paraId="027E7B9D" w14:textId="72DAD157" w:rsidR="004325DC" w:rsidRDefault="00C10A1F" w:rsidP="00914287">
      <w:pPr>
        <w:pStyle w:val="Texte1"/>
      </w:pPr>
      <w:r w:rsidRPr="00556D69">
        <w:t>Cette inquiétude n</w:t>
      </w:r>
      <w:r w:rsidR="00A61E6D">
        <w:t>’</w:t>
      </w:r>
      <w:r w:rsidRPr="00556D69">
        <w:t>est pas infondée </w:t>
      </w:r>
      <w:r w:rsidR="00EA1FE1" w:rsidRPr="00556D69">
        <w:t>:</w:t>
      </w:r>
      <w:r w:rsidRPr="00556D69">
        <w:t xml:space="preserve"> l</w:t>
      </w:r>
      <w:r w:rsidR="00A61E6D">
        <w:t>’</w:t>
      </w:r>
      <w:r w:rsidRPr="00556D69">
        <w:t>un des impacts les plus significatifs de l</w:t>
      </w:r>
      <w:r w:rsidR="00A61E6D">
        <w:t>’</w:t>
      </w:r>
      <w:r w:rsidRPr="00556D69">
        <w:t>inscription sur la Liste du patrimoine mondial a été l</w:t>
      </w:r>
      <w:r w:rsidR="00A61E6D">
        <w:t>’</w:t>
      </w:r>
      <w:r w:rsidRPr="00556D69">
        <w:t>augmentation très considérable de touristes qui visitent les biens classés. Dans certains cas cela a profité à l</w:t>
      </w:r>
      <w:r w:rsidR="00A61E6D">
        <w:t>’</w:t>
      </w:r>
      <w:r w:rsidRPr="00556D69">
        <w:t>économie locale, dans d</w:t>
      </w:r>
      <w:r w:rsidR="00A61E6D">
        <w:t>’</w:t>
      </w:r>
      <w:r w:rsidRPr="00556D69">
        <w:t>autres cas cela a surtout été une manne pour les grosses agences de tourisme situées en dehors de la zone. Parfois, le nombre accru de visiteurs a permis d</w:t>
      </w:r>
      <w:r w:rsidR="00A61E6D">
        <w:t>’</w:t>
      </w:r>
      <w:r w:rsidRPr="00556D69">
        <w:t>améliorer la conservation et la gestion du site, mais dans d</w:t>
      </w:r>
      <w:r w:rsidR="00A61E6D">
        <w:t>’</w:t>
      </w:r>
      <w:r w:rsidRPr="00556D69">
        <w:t>autres cas, les visiteurs n</w:t>
      </w:r>
      <w:r w:rsidR="00A61E6D">
        <w:t>’</w:t>
      </w:r>
      <w:r w:rsidRPr="00556D69">
        <w:t>ont pas été bien encadrés et la valeur du bien a subi des dégradations.</w:t>
      </w:r>
    </w:p>
    <w:p w14:paraId="4958F31A" w14:textId="77777777" w:rsidR="00C10A1F" w:rsidRPr="00556D69" w:rsidRDefault="00C10A1F">
      <w:pPr>
        <w:pStyle w:val="Heading4"/>
      </w:pPr>
      <w:bookmarkStart w:id="56" w:name="_Toc247360231"/>
      <w:r w:rsidRPr="00556D69">
        <w:t>Menaces et risques pesant sur le PCI</w:t>
      </w:r>
      <w:bookmarkEnd w:id="56"/>
    </w:p>
    <w:p w14:paraId="747307B5" w14:textId="4F9DDB75" w:rsidR="004325DC" w:rsidRDefault="00C10A1F" w:rsidP="00914287">
      <w:pPr>
        <w:pStyle w:val="Texte1"/>
      </w:pPr>
      <w:r w:rsidRPr="00556D69">
        <w:t>Les menaces et les risques pesant sur le PCI à cause d</w:t>
      </w:r>
      <w:r w:rsidR="00A61E6D">
        <w:t>’</w:t>
      </w:r>
      <w:r w:rsidRPr="00556D69">
        <w:t>activités intempestives sont de natures diverses. Ils peuvent se traduire par</w:t>
      </w:r>
      <w:r w:rsidR="00EA1FE1" w:rsidRPr="00556D69">
        <w:t> :</w:t>
      </w:r>
    </w:p>
    <w:p w14:paraId="3193CEA8" w14:textId="75F90439" w:rsidR="006C3387" w:rsidRDefault="00C10A1F" w:rsidP="00150FFB">
      <w:pPr>
        <w:pStyle w:val="Enutiret"/>
      </w:pPr>
      <w:r w:rsidRPr="00556D69">
        <w:t>un</w:t>
      </w:r>
      <w:r w:rsidR="00043DFF" w:rsidRPr="00556D69">
        <w:t xml:space="preserve"> « </w:t>
      </w:r>
      <w:r w:rsidRPr="00556D69">
        <w:t>blocage</w:t>
      </w:r>
      <w:r w:rsidR="00043DFF" w:rsidRPr="00556D69">
        <w:t xml:space="preserve"> » </w:t>
      </w:r>
      <w:r w:rsidRPr="00556D69">
        <w:t>du PCI (perte de variation, création de versions canoniques et perte conséquente d</w:t>
      </w:r>
      <w:r w:rsidR="00A61E6D">
        <w:t>’</w:t>
      </w:r>
      <w:r w:rsidRPr="00556D69">
        <w:t>opportunités pour la créativité et le changement</w:t>
      </w:r>
      <w:r w:rsidR="00EA1FE1" w:rsidRPr="00556D69">
        <w:t> :</w:t>
      </w:r>
      <w:r w:rsidRPr="00556D69">
        <w:t xml:space="preserve"> voir </w:t>
      </w:r>
      <w:r w:rsidR="00043DFF" w:rsidRPr="00556D69">
        <w:t>article </w:t>
      </w:r>
      <w:r w:rsidRPr="00556D69">
        <w:t>2.1)</w:t>
      </w:r>
      <w:r w:rsidR="00EA1FE1" w:rsidRPr="00556D69">
        <w:t> ;</w:t>
      </w:r>
    </w:p>
    <w:p w14:paraId="0E6BE2B8" w14:textId="77777777" w:rsidR="006C3387" w:rsidRDefault="00C10A1F" w:rsidP="00150FFB">
      <w:pPr>
        <w:pStyle w:val="Enutiret"/>
      </w:pPr>
      <w:r w:rsidRPr="00556D69">
        <w:t>la perte ou la distorsion de la fonction et de la signification du PCI pour les communautés et les groupes concernés (</w:t>
      </w:r>
      <w:r w:rsidR="00043DFF" w:rsidRPr="00556D69">
        <w:t>article </w:t>
      </w:r>
      <w:r w:rsidRPr="00556D69">
        <w:t>2.1</w:t>
      </w:r>
      <w:r w:rsidR="00EA1FE1" w:rsidRPr="00556D69">
        <w:t> ;</w:t>
      </w:r>
      <w:r w:rsidRPr="00556D69">
        <w:t xml:space="preserve"> </w:t>
      </w:r>
      <w:r w:rsidR="00461004" w:rsidRPr="00556D69">
        <w:t>DO </w:t>
      </w:r>
      <w:r w:rsidRPr="00556D69">
        <w:t>117) ou les menaces que les activités commerciales et autres font peser sur sa viabilité (</w:t>
      </w:r>
      <w:r w:rsidR="00461004" w:rsidRPr="00556D69">
        <w:t>DO </w:t>
      </w:r>
      <w:r w:rsidRPr="00556D69">
        <w:t>116)</w:t>
      </w:r>
      <w:r w:rsidR="00EA1FE1" w:rsidRPr="00556D69">
        <w:t> ;</w:t>
      </w:r>
    </w:p>
    <w:p w14:paraId="5BE55E98" w14:textId="77777777" w:rsidR="006C3387" w:rsidRDefault="00C10A1F" w:rsidP="00150FFB">
      <w:pPr>
        <w:pStyle w:val="Enutiret"/>
      </w:pPr>
      <w:r w:rsidRPr="00556D69">
        <w:t xml:space="preserve">la </w:t>
      </w:r>
      <w:proofErr w:type="spellStart"/>
      <w:r w:rsidRPr="00556D69">
        <w:t>décontextualisation</w:t>
      </w:r>
      <w:proofErr w:type="spellEnd"/>
      <w:r w:rsidRPr="00556D69">
        <w:t xml:space="preserve"> du PCI (sorti de son milieu habituel</w:t>
      </w:r>
      <w:r w:rsidR="00EA1FE1" w:rsidRPr="00556D69">
        <w:t> :</w:t>
      </w:r>
      <w:r w:rsidRPr="00556D69">
        <w:t xml:space="preserve"> </w:t>
      </w:r>
      <w:r w:rsidR="00461004" w:rsidRPr="00556D69">
        <w:t>DO </w:t>
      </w:r>
      <w:r w:rsidRPr="00556D69">
        <w:t>102(a))</w:t>
      </w:r>
      <w:r w:rsidR="00EA1FE1" w:rsidRPr="00556D69">
        <w:t> ;</w:t>
      </w:r>
      <w:r w:rsidRPr="00556D69">
        <w:t xml:space="preserve"> </w:t>
      </w:r>
    </w:p>
    <w:p w14:paraId="096ADE70" w14:textId="77777777" w:rsidR="006C3387" w:rsidRDefault="00C10A1F" w:rsidP="00150FFB">
      <w:pPr>
        <w:pStyle w:val="Enutiret"/>
      </w:pPr>
      <w:r w:rsidRPr="00556D69">
        <w:t>la fausse représentation du PCI et des communautés (retouche ou simplification du sens du PCI pour les étrangers</w:t>
      </w:r>
      <w:r w:rsidR="00EA1FE1" w:rsidRPr="00556D69">
        <w:t> ;</w:t>
      </w:r>
      <w:r w:rsidRPr="00556D69">
        <w:t xml:space="preserve"> représentation des communautés concernées comme</w:t>
      </w:r>
      <w:r w:rsidR="00043DFF" w:rsidRPr="00556D69">
        <w:t xml:space="preserve"> « </w:t>
      </w:r>
      <w:r w:rsidRPr="00556D69">
        <w:t>rivées dans le passé</w:t>
      </w:r>
      <w:r w:rsidR="00C34622" w:rsidRPr="00556D69">
        <w:t> »</w:t>
      </w:r>
      <w:r w:rsidR="00EA1FE1" w:rsidRPr="00556D69">
        <w:t> :</w:t>
      </w:r>
      <w:r w:rsidRPr="00556D69">
        <w:t xml:space="preserve"> </w:t>
      </w:r>
      <w:r w:rsidR="00461004" w:rsidRPr="00556D69">
        <w:t>DO </w:t>
      </w:r>
      <w:r w:rsidRPr="00556D69">
        <w:t>102(b))</w:t>
      </w:r>
      <w:r w:rsidR="00EA1FE1" w:rsidRPr="00556D69">
        <w:t> ;</w:t>
      </w:r>
    </w:p>
    <w:p w14:paraId="63E433C5" w14:textId="6B43653B" w:rsidR="006C3387" w:rsidRDefault="00C10A1F" w:rsidP="00150FFB">
      <w:pPr>
        <w:pStyle w:val="Enutiret"/>
      </w:pPr>
      <w:r w:rsidRPr="00556D69">
        <w:t>le détournement du PCI ou le bénéfice injuste acquis par des moyens inacceptables aux yeux des communautés concernées par des membres individuels de la communauté, l</w:t>
      </w:r>
      <w:r w:rsidR="00A61E6D">
        <w:t>’</w:t>
      </w:r>
      <w:r w:rsidRPr="00556D69">
        <w:t>État, des tour-operators, des chercheurs ou d</w:t>
      </w:r>
      <w:r w:rsidR="00A61E6D">
        <w:t>’</w:t>
      </w:r>
      <w:r w:rsidRPr="00556D69">
        <w:t>autres personnes extérieures à travers l</w:t>
      </w:r>
      <w:r w:rsidR="00A61E6D">
        <w:t>’</w:t>
      </w:r>
      <w:r w:rsidRPr="00556D69">
        <w:t>exploitation du PCI communément détenu (</w:t>
      </w:r>
      <w:r w:rsidR="00461004" w:rsidRPr="00556D69">
        <w:t>DO </w:t>
      </w:r>
      <w:r w:rsidRPr="00556D69">
        <w:t>116 et 117)</w:t>
      </w:r>
      <w:r w:rsidR="00EA1FE1" w:rsidRPr="00556D69">
        <w:t> ;</w:t>
      </w:r>
      <w:r w:rsidRPr="00556D69">
        <w:t xml:space="preserve"> et</w:t>
      </w:r>
    </w:p>
    <w:p w14:paraId="44A2F88A" w14:textId="77777777" w:rsidR="006C3387" w:rsidRDefault="00C10A1F" w:rsidP="00150FFB">
      <w:pPr>
        <w:pStyle w:val="Enutiret"/>
      </w:pPr>
      <w:r w:rsidRPr="00556D69">
        <w:t>la surexploitation des ressources naturelles (</w:t>
      </w:r>
      <w:r w:rsidR="00043DFF" w:rsidRPr="00556D69">
        <w:t>article </w:t>
      </w:r>
      <w:r w:rsidRPr="00556D69">
        <w:t>2.1), le tourisme non durable ou la commercialisation excessive du PCI (</w:t>
      </w:r>
      <w:r w:rsidR="00461004" w:rsidRPr="00556D69">
        <w:t>DO </w:t>
      </w:r>
      <w:r w:rsidRPr="00556D69">
        <w:t>102 et 116).</w:t>
      </w:r>
    </w:p>
    <w:p w14:paraId="5FC8D829" w14:textId="138F742F" w:rsidR="004325DC" w:rsidRDefault="009A2E34" w:rsidP="00A36C3F">
      <w:pPr>
        <w:pStyle w:val="Titcoul"/>
      </w:pPr>
      <w:bookmarkStart w:id="57" w:name="_Toc238963259"/>
      <w:bookmarkStart w:id="58" w:name="_Toc241065145"/>
      <w:bookmarkStart w:id="59" w:name="_Toc301443374"/>
      <w:bookmarkStart w:id="60" w:name="_Toc321407017"/>
      <w:bookmarkStart w:id="61" w:name="_Toc354486641"/>
      <w:bookmarkStart w:id="62" w:name="_Toc354486947"/>
      <w:bookmarkStart w:id="63" w:name="_Toc247360232"/>
      <w:r>
        <w:lastRenderedPageBreak/>
        <w:t>8</w:t>
      </w:r>
      <w:r w:rsidR="00C10A1F" w:rsidRPr="00556D69">
        <w:t>.6</w:t>
      </w:r>
      <w:bookmarkEnd w:id="57"/>
      <w:bookmarkEnd w:id="58"/>
      <w:r w:rsidR="0022235D">
        <w:tab/>
      </w:r>
      <w:bookmarkStart w:id="64" w:name="_Toc238963260"/>
      <w:bookmarkStart w:id="65" w:name="_Toc241065146"/>
      <w:r w:rsidR="00C976FF" w:rsidRPr="00556D69">
        <w:t>Att</w:t>
      </w:r>
      <w:r w:rsidR="00C976FF">
        <w:t>É</w:t>
      </w:r>
      <w:r w:rsidR="00C976FF" w:rsidRPr="00556D69">
        <w:t xml:space="preserve">nuer </w:t>
      </w:r>
      <w:r w:rsidR="00C10A1F" w:rsidRPr="00556D69">
        <w:t>les risques</w:t>
      </w:r>
      <w:bookmarkEnd w:id="59"/>
      <w:bookmarkEnd w:id="60"/>
      <w:bookmarkEnd w:id="61"/>
      <w:bookmarkEnd w:id="62"/>
      <w:bookmarkEnd w:id="63"/>
      <w:bookmarkEnd w:id="64"/>
      <w:bookmarkEnd w:id="65"/>
    </w:p>
    <w:p w14:paraId="3719826C" w14:textId="62F676F2" w:rsidR="004325DC" w:rsidRDefault="00C10A1F" w:rsidP="00914287">
      <w:pPr>
        <w:pStyle w:val="Texte1"/>
      </w:pPr>
      <w:r w:rsidRPr="00556D69">
        <w:t xml:space="preserve">La Convention et ses </w:t>
      </w:r>
      <w:bookmarkStart w:id="66" w:name="_GoBack"/>
      <w:bookmarkEnd w:id="66"/>
      <w:r w:rsidR="00461004" w:rsidRPr="00556D69">
        <w:t>DO</w:t>
      </w:r>
      <w:r w:rsidR="00906C0A">
        <w:t xml:space="preserve"> </w:t>
      </w:r>
      <w:r w:rsidRPr="00556D69">
        <w:t>suggèrent plusieurs manières générales d</w:t>
      </w:r>
      <w:r w:rsidR="00A61E6D">
        <w:t>’</w:t>
      </w:r>
      <w:r w:rsidRPr="00556D69">
        <w:t>atténuer ces risques (voir</w:t>
      </w:r>
      <w:r w:rsidR="00B72F39">
        <w:t xml:space="preserve"> le </w:t>
      </w:r>
      <w:r w:rsidR="00646D3D">
        <w:t>Texte du participant</w:t>
      </w:r>
      <w:r w:rsidR="00B72F39">
        <w:t xml:space="preserve"> </w:t>
      </w:r>
      <w:r w:rsidR="00D36E6E">
        <w:t>de l’</w:t>
      </w:r>
      <w:r w:rsidR="00B72F39">
        <w:t>Unité 10</w:t>
      </w:r>
      <w:r w:rsidRPr="00556D69">
        <w:t xml:space="preserve">). Les communautés et les autres acteurs peuvent aussi élaborer des mesures de sauvegarde spécifiques pour juguler les menaces et les risques auxquels </w:t>
      </w:r>
      <w:r w:rsidR="009A2E34">
        <w:rPr>
          <w:noProof/>
          <w:lang w:eastAsia="fr-FR"/>
        </w:rPr>
        <w:drawing>
          <wp:anchor distT="0" distB="0" distL="114300" distR="114300" simplePos="0" relativeHeight="251883008" behindDoc="0" locked="1" layoutInCell="1" allowOverlap="0" wp14:anchorId="56FA9AB7" wp14:editId="1500D978">
            <wp:simplePos x="0" y="0"/>
            <wp:positionH relativeFrom="column">
              <wp:posOffset>0</wp:posOffset>
            </wp:positionH>
            <wp:positionV relativeFrom="paragraph">
              <wp:posOffset>93345</wp:posOffset>
            </wp:positionV>
            <wp:extent cx="283210" cy="358775"/>
            <wp:effectExtent l="0" t="0" r="0" b="0"/>
            <wp:wrapThrough wrapText="bothSides">
              <wp:wrapPolygon edited="0">
                <wp:start x="0" y="0"/>
                <wp:lineTo x="0" y="19880"/>
                <wp:lineTo x="19372" y="19880"/>
                <wp:lineTo x="19372" y="0"/>
                <wp:lineTo x="0" y="0"/>
              </wp:wrapPolygon>
            </wp:wrapThrough>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556D69">
        <w:t xml:space="preserve">se heurtent des éléments particuliers de leur PCI (voir </w:t>
      </w:r>
      <w:r w:rsidR="009A2E34">
        <w:t xml:space="preserve">le </w:t>
      </w:r>
      <w:r w:rsidR="00646D3D">
        <w:t>Texte du participant</w:t>
      </w:r>
      <w:r w:rsidR="009A2E34">
        <w:t xml:space="preserve"> </w:t>
      </w:r>
      <w:r w:rsidR="00D36E6E">
        <w:t>de l’</w:t>
      </w:r>
      <w:r w:rsidR="009A2E34">
        <w:t>Unité 9</w:t>
      </w:r>
      <w:r w:rsidRPr="00556D69">
        <w:t>).</w:t>
      </w:r>
    </w:p>
    <w:p w14:paraId="68AD47CB" w14:textId="30F2FF72" w:rsidR="004325DC" w:rsidRDefault="00C10A1F" w:rsidP="00914287">
      <w:pPr>
        <w:pStyle w:val="Texte1"/>
      </w:pPr>
      <w:r w:rsidRPr="00556D69">
        <w:t>Les exemples d</w:t>
      </w:r>
      <w:r w:rsidR="00A61E6D">
        <w:t>’</w:t>
      </w:r>
      <w:r w:rsidRPr="00556D69">
        <w:t>atténuation des risques dans le cadre de nouvelles activités génératrices de revenus pourraient consister à</w:t>
      </w:r>
      <w:r w:rsidR="00EA1FE1" w:rsidRPr="00556D69">
        <w:t> :</w:t>
      </w:r>
    </w:p>
    <w:p w14:paraId="5AA8196D" w14:textId="077116A3" w:rsidR="004325DC" w:rsidRDefault="00A36C3F" w:rsidP="00914287">
      <w:pPr>
        <w:pStyle w:val="Txtpucegras"/>
      </w:pPr>
      <w:r>
        <w:t>U</w:t>
      </w:r>
      <w:r w:rsidRPr="00556D69">
        <w:t xml:space="preserve">tiliser </w:t>
      </w:r>
      <w:r w:rsidR="00C10A1F" w:rsidRPr="00556D69">
        <w:t>les droits de propriété intellectuelle, le droit au respect de la vie privée ou toute autre forme de protection juridique afin de protéger les droits des communautés concernées (</w:t>
      </w:r>
      <w:r w:rsidR="00461004" w:rsidRPr="00556D69">
        <w:t>DO </w:t>
      </w:r>
      <w:r w:rsidR="00C10A1F" w:rsidRPr="00556D69">
        <w:t>104)</w:t>
      </w:r>
      <w:r>
        <w:t>.</w:t>
      </w:r>
    </w:p>
    <w:p w14:paraId="7DE44CE6" w14:textId="3A74B213" w:rsidR="004325DC" w:rsidRDefault="00A36C3F" w:rsidP="00914287">
      <w:pPr>
        <w:pStyle w:val="Txtpucegras"/>
      </w:pPr>
      <w:r>
        <w:t>P</w:t>
      </w:r>
      <w:r w:rsidRPr="00556D69">
        <w:t xml:space="preserve">rogrammer </w:t>
      </w:r>
      <w:r w:rsidR="00C10A1F" w:rsidRPr="00556D69">
        <w:t>des spectacles spécialement adaptés aux étrangers, comme ceux des festivals ou des théâtres, parallèlement aux spectacles traditionnels au sein de la communauté</w:t>
      </w:r>
      <w:r>
        <w:t>.</w:t>
      </w:r>
    </w:p>
    <w:p w14:paraId="3A671FBF" w14:textId="753E8B35" w:rsidR="004325DC" w:rsidRDefault="00A36C3F" w:rsidP="00914287">
      <w:pPr>
        <w:pStyle w:val="Txtpucegras"/>
      </w:pPr>
      <w:r>
        <w:t>L</w:t>
      </w:r>
      <w:r w:rsidRPr="00556D69">
        <w:t xml:space="preserve">imiter </w:t>
      </w:r>
      <w:r w:rsidR="00C10A1F" w:rsidRPr="00556D69">
        <w:t>le nombre de personnes extérieures autorisées à visiter des lieux où se pratiquent les formes secrètes ou sacrées du PCI et/ou limiter l</w:t>
      </w:r>
      <w:r w:rsidR="00A61E6D">
        <w:t>’</w:t>
      </w:r>
      <w:r w:rsidR="00C10A1F" w:rsidRPr="00556D69">
        <w:t>accès à la documentation dans ce domaine</w:t>
      </w:r>
      <w:r>
        <w:t>.</w:t>
      </w:r>
    </w:p>
    <w:p w14:paraId="2139B689" w14:textId="427DE5BE" w:rsidR="004325DC" w:rsidRDefault="00A36C3F" w:rsidP="00914287">
      <w:pPr>
        <w:pStyle w:val="Txtpucegras"/>
      </w:pPr>
      <w:r>
        <w:t>F</w:t>
      </w:r>
      <w:r w:rsidR="00C10A1F" w:rsidRPr="00556D69">
        <w:t>ormer des guides parmi les membres de la communauté pour expliquer aux étrangers la signification du PCI auquel ils seront confrontés et comment être en interaction avec lui</w:t>
      </w:r>
      <w:r>
        <w:t>.</w:t>
      </w:r>
    </w:p>
    <w:p w14:paraId="3E1C5892" w14:textId="7B6F70F1" w:rsidR="004325DC" w:rsidRDefault="00A36C3F" w:rsidP="00914287">
      <w:pPr>
        <w:pStyle w:val="Txtpucegras"/>
      </w:pPr>
      <w:r>
        <w:t>D</w:t>
      </w:r>
      <w:r w:rsidRPr="00556D69">
        <w:t xml:space="preserve">iscuter </w:t>
      </w:r>
      <w:r w:rsidR="00C10A1F" w:rsidRPr="00556D69">
        <w:t>au sein de la communauté concernée de ce qui pourrait constituer ou non un usage acceptable des éléments du PCI à des fins commerciales et essayer de s</w:t>
      </w:r>
      <w:r w:rsidR="00A61E6D">
        <w:t>’</w:t>
      </w:r>
      <w:r w:rsidR="00C10A1F" w:rsidRPr="00556D69">
        <w:t>en tenir collectivement aux accords conclus.</w:t>
      </w:r>
    </w:p>
    <w:p w14:paraId="607EB8B9" w14:textId="77777777" w:rsidR="004325DC" w:rsidRDefault="00C10A1F" w:rsidP="00914287">
      <w:pPr>
        <w:pStyle w:val="Texte1"/>
      </w:pPr>
      <w:r w:rsidRPr="00556D69">
        <w:t>Comme le laissent entendre la Convention et ses DO, le scénario idéal est celui dans lequel</w:t>
      </w:r>
      <w:r w:rsidR="00EA1FE1" w:rsidRPr="00556D69">
        <w:t> :</w:t>
      </w:r>
    </w:p>
    <w:p w14:paraId="78816952" w14:textId="168B4EBC" w:rsidR="004325DC" w:rsidRDefault="00A36C3F" w:rsidP="00914287">
      <w:pPr>
        <w:pStyle w:val="Txtpucegras"/>
      </w:pPr>
      <w:r w:rsidRPr="00556D69">
        <w:t xml:space="preserve">Le </w:t>
      </w:r>
      <w:r w:rsidR="00C10A1F" w:rsidRPr="00556D69">
        <w:t>PCI est sauvegardé sans</w:t>
      </w:r>
      <w:r w:rsidR="00043DFF" w:rsidRPr="00556D69">
        <w:t xml:space="preserve"> « </w:t>
      </w:r>
      <w:r w:rsidR="00C10A1F" w:rsidRPr="00556D69">
        <w:t>congélation</w:t>
      </w:r>
      <w:r w:rsidR="00043DFF" w:rsidRPr="00556D69">
        <w:t xml:space="preserve"> » </w:t>
      </w:r>
      <w:r w:rsidR="00C10A1F" w:rsidRPr="00556D69">
        <w:t>ni fausse représentation (</w:t>
      </w:r>
      <w:r w:rsidR="00461004" w:rsidRPr="00556D69">
        <w:t>DO </w:t>
      </w:r>
      <w:r w:rsidR="00C10A1F" w:rsidRPr="00556D69">
        <w:t>102)</w:t>
      </w:r>
      <w:r>
        <w:t>.</w:t>
      </w:r>
    </w:p>
    <w:p w14:paraId="17B26002" w14:textId="79583133" w:rsidR="004325DC" w:rsidRDefault="00A36C3F" w:rsidP="00914287">
      <w:pPr>
        <w:pStyle w:val="Txtpucegras"/>
      </w:pPr>
      <w:r w:rsidRPr="00556D69">
        <w:t xml:space="preserve">Le </w:t>
      </w:r>
      <w:r w:rsidR="00C10A1F" w:rsidRPr="00556D69">
        <w:t>PCI est représenté et transmis de façon durable, conforme au développement économique et social durable des communautés concernées et à leur milieu (</w:t>
      </w:r>
      <w:r w:rsidR="00043DFF" w:rsidRPr="00556D69">
        <w:t>article </w:t>
      </w:r>
      <w:r w:rsidR="00C10A1F" w:rsidRPr="00556D69">
        <w:t>2.1)</w:t>
      </w:r>
      <w:r>
        <w:t>.</w:t>
      </w:r>
    </w:p>
    <w:p w14:paraId="3119F1E3" w14:textId="4764667E" w:rsidR="004325DC" w:rsidRDefault="00A36C3F" w:rsidP="00914287">
      <w:pPr>
        <w:pStyle w:val="Txtpucegras"/>
      </w:pPr>
      <w:r w:rsidRPr="00556D69">
        <w:t xml:space="preserve">Les </w:t>
      </w:r>
      <w:r w:rsidR="00C10A1F" w:rsidRPr="00556D69">
        <w:t>communautés concernées sont les premières bénéficiaires de toutes les activités commerciales concernant leur PCI et leurs droits sont protégés (</w:t>
      </w:r>
      <w:r w:rsidR="00461004" w:rsidRPr="00556D69">
        <w:t>DO </w:t>
      </w:r>
      <w:r w:rsidR="00C10A1F" w:rsidRPr="00556D69">
        <w:t>116 et 104)</w:t>
      </w:r>
      <w:r>
        <w:t>.</w:t>
      </w:r>
    </w:p>
    <w:p w14:paraId="4B615E0B" w14:textId="03705A0A" w:rsidR="004325DC" w:rsidRDefault="00A36C3F" w:rsidP="00914287">
      <w:pPr>
        <w:pStyle w:val="Txtpucegras"/>
      </w:pPr>
      <w:r w:rsidRPr="00556D69">
        <w:t xml:space="preserve">En </w:t>
      </w:r>
      <w:r w:rsidR="00C10A1F" w:rsidRPr="00556D69">
        <w:t>cas d</w:t>
      </w:r>
      <w:r w:rsidR="00A61E6D">
        <w:t>’</w:t>
      </w:r>
      <w:r w:rsidR="00C10A1F" w:rsidRPr="00556D69">
        <w:t>intervention de partenaires commerciaux extérieurs, il faut trouver un bon équilibre entre les intérêts des praticiens du PCI, du secteur commercial et (le cas échéant) de l</w:t>
      </w:r>
      <w:r w:rsidR="00A61E6D">
        <w:t>’</w:t>
      </w:r>
      <w:r w:rsidR="00C10A1F" w:rsidRPr="00556D69">
        <w:t>administration publique (</w:t>
      </w:r>
      <w:r w:rsidR="00461004" w:rsidRPr="00556D69">
        <w:t>DO </w:t>
      </w:r>
      <w:r w:rsidR="00C10A1F" w:rsidRPr="00556D69">
        <w:t>117)</w:t>
      </w:r>
      <w:r>
        <w:t>.</w:t>
      </w:r>
    </w:p>
    <w:p w14:paraId="716197E5" w14:textId="083AF419" w:rsidR="004325DC" w:rsidRDefault="00A36C3F" w:rsidP="00914287">
      <w:pPr>
        <w:pStyle w:val="Txtpucegras"/>
      </w:pPr>
      <w:r w:rsidRPr="00556D69">
        <w:t xml:space="preserve">Les </w:t>
      </w:r>
      <w:r w:rsidR="00C10A1F" w:rsidRPr="00556D69">
        <w:t>communautés, les groupes ou les individus concernés sont formés</w:t>
      </w:r>
      <w:r w:rsidR="00043DFF" w:rsidRPr="00556D69">
        <w:t xml:space="preserve"> « </w:t>
      </w:r>
      <w:r w:rsidR="00C10A1F" w:rsidRPr="00556D69">
        <w:t>à la gestion de petites entreprises liées au patrimoine culturel immatériel</w:t>
      </w:r>
      <w:r w:rsidR="00043DFF" w:rsidRPr="00556D69">
        <w:t xml:space="preserve"> » </w:t>
      </w:r>
      <w:r w:rsidR="00C10A1F" w:rsidRPr="00556D69">
        <w:t>là où le besoin s</w:t>
      </w:r>
      <w:r w:rsidR="00A61E6D">
        <w:t>’</w:t>
      </w:r>
      <w:r w:rsidR="00C10A1F" w:rsidRPr="00556D69">
        <w:t>en fait sentir (</w:t>
      </w:r>
      <w:r w:rsidR="00461004" w:rsidRPr="00556D69">
        <w:t>DO </w:t>
      </w:r>
      <w:r w:rsidR="00C10A1F" w:rsidRPr="00556D69">
        <w:t>107(m))</w:t>
      </w:r>
      <w:r>
        <w:t>.</w:t>
      </w:r>
    </w:p>
    <w:p w14:paraId="480D2C78" w14:textId="6A1ED5FD" w:rsidR="004325DC" w:rsidRDefault="00A36C3F" w:rsidP="00914287">
      <w:pPr>
        <w:pStyle w:val="Txtpucegras"/>
      </w:pPr>
      <w:r w:rsidRPr="00556D69">
        <w:t>L</w:t>
      </w:r>
      <w:r w:rsidR="00A61E6D">
        <w:t>’</w:t>
      </w:r>
      <w:r w:rsidRPr="00556D69">
        <w:t xml:space="preserve">activité </w:t>
      </w:r>
      <w:r w:rsidR="00C10A1F" w:rsidRPr="00556D69">
        <w:t>commerciale ou la sensibilisation soutient plus qu</w:t>
      </w:r>
      <w:r w:rsidR="00A61E6D">
        <w:t>’</w:t>
      </w:r>
      <w:r w:rsidR="00C10A1F" w:rsidRPr="00556D69">
        <w:t>elle ne déforme la signification et la finalité du PCI pour la communauté concernée (</w:t>
      </w:r>
      <w:r w:rsidR="00461004" w:rsidRPr="00556D69">
        <w:t>DO </w:t>
      </w:r>
      <w:r w:rsidR="00C10A1F" w:rsidRPr="00556D69">
        <w:t>102 et 117).</w:t>
      </w:r>
    </w:p>
    <w:p w14:paraId="6B695B2B" w14:textId="77777777" w:rsidR="003E1857" w:rsidRDefault="003E1857" w:rsidP="00562D8A">
      <w:pPr>
        <w:pStyle w:val="Txtpucegras"/>
        <w:numPr>
          <w:ilvl w:val="0"/>
          <w:numId w:val="0"/>
        </w:numPr>
        <w:ind w:left="851" w:hanging="284"/>
      </w:pPr>
    </w:p>
    <w:p w14:paraId="1E623277" w14:textId="77777777" w:rsidR="004325DC" w:rsidRPr="00150FFB" w:rsidRDefault="004325DC" w:rsidP="00562D8A">
      <w:pPr>
        <w:pStyle w:val="Txtpucegras"/>
        <w:numPr>
          <w:ilvl w:val="0"/>
          <w:numId w:val="0"/>
        </w:numPr>
        <w:ind w:left="851" w:hanging="284"/>
      </w:pPr>
      <w:bookmarkStart w:id="67" w:name="3"/>
      <w:bookmarkEnd w:id="67"/>
    </w:p>
    <w:sectPr w:rsidR="004325DC" w:rsidRPr="00150FFB" w:rsidSect="00A41931">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1900" w:h="16840"/>
      <w:pgMar w:top="1701" w:right="1531" w:bottom="1701" w:left="1531" w:header="720" w:footer="720"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409BCF" w15:done="0"/>
  <w15:commentEx w15:paraId="311725F1" w15:done="0"/>
  <w15:commentEx w15:paraId="59BC89B0" w15:done="0"/>
  <w15:commentEx w15:paraId="6A3519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DA88C" w14:textId="77777777" w:rsidR="002E71FB" w:rsidRDefault="002E71FB" w:rsidP="000F4C6A">
      <w:r>
        <w:separator/>
      </w:r>
    </w:p>
    <w:p w14:paraId="0E17F115" w14:textId="77777777" w:rsidR="002E71FB" w:rsidRDefault="002E71FB"/>
    <w:p w14:paraId="47886D99" w14:textId="77777777" w:rsidR="002E71FB" w:rsidRDefault="002E71FB"/>
  </w:endnote>
  <w:endnote w:type="continuationSeparator" w:id="0">
    <w:p w14:paraId="7BF50423" w14:textId="77777777" w:rsidR="002E71FB" w:rsidRDefault="002E71FB" w:rsidP="000F4C6A">
      <w:r>
        <w:continuationSeparator/>
      </w:r>
    </w:p>
    <w:p w14:paraId="01ACA669" w14:textId="77777777" w:rsidR="002E71FB" w:rsidRDefault="002E71FB"/>
    <w:p w14:paraId="5778A8A4" w14:textId="77777777" w:rsidR="002E71FB" w:rsidRDefault="002E7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Gras">
    <w:altName w:val="Arial"/>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D3547" w14:textId="6CF8D640" w:rsidR="002E71FB" w:rsidRDefault="002E71FB" w:rsidP="00A31863">
    <w:pPr>
      <w:pStyle w:val="Footer"/>
    </w:pPr>
    <w:r>
      <w:rPr>
        <w:noProof/>
        <w:lang w:eastAsia="fr-FR"/>
      </w:rPr>
      <w:drawing>
        <wp:anchor distT="0" distB="0" distL="114300" distR="114300" simplePos="0" relativeHeight="251995136" behindDoc="1" locked="1" layoutInCell="1" allowOverlap="0" wp14:anchorId="1349F3E7" wp14:editId="78537A13">
          <wp:simplePos x="0" y="0"/>
          <wp:positionH relativeFrom="margin">
            <wp:posOffset>635</wp:posOffset>
          </wp:positionH>
          <wp:positionV relativeFrom="margin">
            <wp:posOffset>8641715</wp:posOffset>
          </wp:positionV>
          <wp:extent cx="904240" cy="607060"/>
          <wp:effectExtent l="0" t="0" r="0" b="2540"/>
          <wp:wrapThrough wrapText="bothSides">
            <wp:wrapPolygon edited="0">
              <wp:start x="0" y="0"/>
              <wp:lineTo x="0" y="21013"/>
              <wp:lineTo x="20933" y="21013"/>
              <wp:lineTo x="20933" y="0"/>
              <wp:lineTo x="0" y="0"/>
            </wp:wrapPolygon>
          </wp:wrapThrough>
          <wp:docPr id="32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607060"/>
                  </a:xfrm>
                  <a:prstGeom prst="rect">
                    <a:avLst/>
                  </a:prstGeom>
                  <a:noFill/>
                  <a:ln>
                    <a:noFill/>
                  </a:ln>
                </pic:spPr>
              </pic:pic>
            </a:graphicData>
          </a:graphic>
          <wp14:sizeRelH relativeFrom="page">
            <wp14:pctWidth>0</wp14:pctWidth>
          </wp14:sizeRelH>
          <wp14:sizeRelV relativeFrom="page">
            <wp14:pctHeight>0</wp14:pctHeight>
          </wp14:sizeRelV>
        </wp:anchor>
      </w:drawing>
    </w:r>
    <w:r>
      <w:tab/>
      <w:t>© UNESCO • Ne pas reproduire sans autorisation</w:t>
    </w:r>
    <w:r>
      <w:tab/>
      <w:t>U0</w:t>
    </w:r>
    <w:r w:rsidR="003E1857">
      <w:t>08</w:t>
    </w:r>
    <w:r>
      <w:t>-v1.0-PT-FR</w:t>
    </w:r>
    <w:r w:rsidRPr="00BA76B0" w:rsidDel="00D80F7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9A00" w14:textId="21404D83" w:rsidR="002E71FB" w:rsidRPr="00A21469" w:rsidRDefault="002E71FB" w:rsidP="00A21469">
    <w:pPr>
      <w:pStyle w:val="Footer"/>
      <w:tabs>
        <w:tab w:val="left" w:pos="2600"/>
      </w:tabs>
      <w:rPr>
        <w:sz w:val="20"/>
      </w:rPr>
    </w:pPr>
    <w:r>
      <w:rPr>
        <w:noProof/>
        <w:lang w:eastAsia="fr-FR"/>
      </w:rPr>
      <w:drawing>
        <wp:anchor distT="0" distB="0" distL="114300" distR="114300" simplePos="0" relativeHeight="251964416" behindDoc="1" locked="1" layoutInCell="1" allowOverlap="0" wp14:anchorId="739CA749" wp14:editId="62A51CC5">
          <wp:simplePos x="0" y="0"/>
          <wp:positionH relativeFrom="margin">
            <wp:posOffset>4679315</wp:posOffset>
          </wp:positionH>
          <wp:positionV relativeFrom="margin">
            <wp:posOffset>8641715</wp:posOffset>
          </wp:positionV>
          <wp:extent cx="899795" cy="685800"/>
          <wp:effectExtent l="0" t="0" r="0" b="0"/>
          <wp:wrapThrough wrapText="bothSides">
            <wp:wrapPolygon edited="0">
              <wp:start x="0" y="0"/>
              <wp:lineTo x="0" y="21000"/>
              <wp:lineTo x="21036" y="21000"/>
              <wp:lineTo x="21036" y="0"/>
              <wp:lineTo x="0" y="0"/>
            </wp:wrapPolygon>
          </wp:wrapThrough>
          <wp:docPr id="9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85800"/>
                  </a:xfrm>
                  <a:prstGeom prst="rect">
                    <a:avLst/>
                  </a:prstGeom>
                  <a:noFill/>
                  <a:ln>
                    <a:noFill/>
                  </a:ln>
                </pic:spPr>
              </pic:pic>
            </a:graphicData>
          </a:graphic>
          <wp14:sizeRelH relativeFrom="page">
            <wp14:pctWidth>0</wp14:pctWidth>
          </wp14:sizeRelH>
          <wp14:sizeRelV relativeFrom="page">
            <wp14:pctHeight>0</wp14:pctHeight>
          </wp14:sizeRelV>
        </wp:anchor>
      </w:drawing>
    </w:r>
    <w:r>
      <w:t>U0</w:t>
    </w:r>
    <w:r w:rsidR="003E1857">
      <w:t>08</w:t>
    </w:r>
    <w:r>
      <w:t>-v1.0-PT-FR</w:t>
    </w:r>
    <w:r>
      <w:tab/>
      <w:t>© UNESCO • Ne pas reproduire sans autorisation</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E20CA" w14:textId="3AEA6299" w:rsidR="002E71FB" w:rsidRPr="00150FFB" w:rsidRDefault="002E71FB" w:rsidP="009633A3">
    <w:pPr>
      <w:pStyle w:val="Footer"/>
      <w:tabs>
        <w:tab w:val="left" w:pos="2600"/>
      </w:tabs>
      <w:rPr>
        <w:sz w:val="20"/>
      </w:rPr>
    </w:pPr>
    <w:r>
      <w:rPr>
        <w:noProof/>
        <w:lang w:eastAsia="fr-FR"/>
      </w:rPr>
      <w:drawing>
        <wp:anchor distT="0" distB="0" distL="114300" distR="114300" simplePos="0" relativeHeight="251962368" behindDoc="1" locked="1" layoutInCell="1" allowOverlap="0" wp14:anchorId="2E8073A9" wp14:editId="2E504B9F">
          <wp:simplePos x="0" y="0"/>
          <wp:positionH relativeFrom="margin">
            <wp:posOffset>4679315</wp:posOffset>
          </wp:positionH>
          <wp:positionV relativeFrom="margin">
            <wp:posOffset>8641715</wp:posOffset>
          </wp:positionV>
          <wp:extent cx="901700" cy="654050"/>
          <wp:effectExtent l="0" t="0" r="0" b="0"/>
          <wp:wrapThrough wrapText="bothSides">
            <wp:wrapPolygon edited="0">
              <wp:start x="0" y="0"/>
              <wp:lineTo x="0" y="20761"/>
              <wp:lineTo x="20992" y="20761"/>
              <wp:lineTo x="20992" y="0"/>
              <wp:lineTo x="0" y="0"/>
            </wp:wrapPolygon>
          </wp:wrapThrough>
          <wp:docPr id="9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654050"/>
                  </a:xfrm>
                  <a:prstGeom prst="rect">
                    <a:avLst/>
                  </a:prstGeom>
                  <a:noFill/>
                  <a:ln>
                    <a:noFill/>
                  </a:ln>
                </pic:spPr>
              </pic:pic>
            </a:graphicData>
          </a:graphic>
          <wp14:sizeRelH relativeFrom="page">
            <wp14:pctWidth>0</wp14:pctWidth>
          </wp14:sizeRelH>
          <wp14:sizeRelV relativeFrom="page">
            <wp14:pctHeight>0</wp14:pctHeight>
          </wp14:sizeRelV>
        </wp:anchor>
      </w:drawing>
    </w:r>
    <w:r>
      <w:t>U0</w:t>
    </w:r>
    <w:r w:rsidR="003E1857">
      <w:t>08</w:t>
    </w:r>
    <w:r>
      <w:t>-v1.0-PT-FR</w:t>
    </w:r>
    <w:r>
      <w:tab/>
      <w:t>© UNESCO • Ne pas reproduire sans autorisation</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92291" w14:textId="77777777" w:rsidR="002E71FB" w:rsidRDefault="002E71FB" w:rsidP="00150FFB">
      <w:pPr>
        <w:spacing w:after="60"/>
        <w:ind w:left="0"/>
      </w:pPr>
      <w:r>
        <w:separator/>
      </w:r>
    </w:p>
  </w:footnote>
  <w:footnote w:type="continuationSeparator" w:id="0">
    <w:p w14:paraId="28C6C40B" w14:textId="77777777" w:rsidR="002E71FB" w:rsidRDefault="002E71FB" w:rsidP="000F4C6A">
      <w:r>
        <w:continuationSeparator/>
      </w:r>
    </w:p>
    <w:p w14:paraId="6C5BABAA" w14:textId="77777777" w:rsidR="002E71FB" w:rsidRDefault="002E71FB"/>
    <w:p w14:paraId="13D59883" w14:textId="77777777" w:rsidR="002E71FB" w:rsidRDefault="002E71FB"/>
  </w:footnote>
  <w:footnote w:id="1">
    <w:p w14:paraId="4048169D" w14:textId="61BDCD21" w:rsidR="002E71FB" w:rsidRDefault="002E71FB">
      <w:pPr>
        <w:pStyle w:val="FootnoteText"/>
      </w:pPr>
      <w:r w:rsidRPr="00D8057F">
        <w:rPr>
          <w:rStyle w:val="FootnoteReference"/>
          <w:sz w:val="16"/>
          <w:szCs w:val="16"/>
          <w:vertAlign w:val="baseline"/>
        </w:rPr>
        <w:footnoteRef/>
      </w:r>
      <w:r>
        <w:t>.</w:t>
      </w:r>
      <w:r>
        <w:tab/>
        <w:t>Le mot « PCI » fait référence au « patrimoine culturel immatériel ».</w:t>
      </w:r>
    </w:p>
  </w:footnote>
  <w:footnote w:id="2">
    <w:p w14:paraId="11BF6354" w14:textId="05DA8E8B" w:rsidR="002E71FB" w:rsidRDefault="002E71FB">
      <w:pPr>
        <w:pStyle w:val="FootnoteText"/>
      </w:pPr>
      <w:r w:rsidRPr="00DB401E">
        <w:rPr>
          <w:rStyle w:val="FootnoteReference"/>
          <w:sz w:val="16"/>
          <w:szCs w:val="16"/>
          <w:vertAlign w:val="baseline"/>
        </w:rPr>
        <w:footnoteRef/>
      </w:r>
      <w:r>
        <w:rPr>
          <w:szCs w:val="16"/>
        </w:rPr>
        <w:t>.</w:t>
      </w:r>
      <w:r>
        <w:rPr>
          <w:szCs w:val="16"/>
        </w:rPr>
        <w:tab/>
      </w:r>
      <w:r>
        <w:rPr>
          <w:rStyle w:val="hps"/>
        </w:rPr>
        <w:t>Appelé en abrégé</w:t>
      </w:r>
      <w:r>
        <w:t xml:space="preserve">, </w:t>
      </w:r>
      <w:r>
        <w:rPr>
          <w:rStyle w:val="hps"/>
        </w:rPr>
        <w:t>la Convention du patrimoine</w:t>
      </w:r>
      <w:r>
        <w:t xml:space="preserve"> culturel </w:t>
      </w:r>
      <w:r>
        <w:rPr>
          <w:rStyle w:val="hps"/>
        </w:rPr>
        <w:t>immatériel et</w:t>
      </w:r>
      <w:r>
        <w:t xml:space="preserve">, </w:t>
      </w:r>
      <w:r>
        <w:rPr>
          <w:rStyle w:val="hps"/>
        </w:rPr>
        <w:t>dans le cadre</w:t>
      </w:r>
      <w:r>
        <w:t xml:space="preserve"> </w:t>
      </w:r>
      <w:r>
        <w:rPr>
          <w:rStyle w:val="hps"/>
        </w:rPr>
        <w:t>de cette unité</w:t>
      </w:r>
      <w:r>
        <w:t xml:space="preserve">, </w:t>
      </w:r>
      <w:r>
        <w:rPr>
          <w:rStyle w:val="hps"/>
        </w:rPr>
        <w:t>tout simplement</w:t>
      </w:r>
      <w:r>
        <w:t xml:space="preserve">, </w:t>
      </w:r>
      <w:r>
        <w:rPr>
          <w:rStyle w:val="hps"/>
        </w:rPr>
        <w:t>la Convention</w:t>
      </w:r>
      <w:r>
        <w:t>.</w:t>
      </w:r>
    </w:p>
  </w:footnote>
  <w:footnote w:id="3">
    <w:p w14:paraId="49B30881" w14:textId="77777777" w:rsidR="002E71FB" w:rsidRPr="00C34622" w:rsidRDefault="002E71FB" w:rsidP="00C34622">
      <w:pPr>
        <w:pStyle w:val="FootnoteText"/>
      </w:pPr>
      <w:r w:rsidRPr="00D57EC4">
        <w:rPr>
          <w:szCs w:val="14"/>
        </w:rPr>
        <w:footnoteRef/>
      </w:r>
      <w:r>
        <w:rPr>
          <w:szCs w:val="14"/>
        </w:rPr>
        <w:t>.</w:t>
      </w:r>
      <w:r>
        <w:rPr>
          <w:szCs w:val="14"/>
        </w:rPr>
        <w:tab/>
      </w:r>
      <w:r w:rsidRPr="00C34622">
        <w:t xml:space="preserve">Commission mondiale sur l’environnement et le développement (Rapport Brundtland), 1987, </w:t>
      </w:r>
      <w:r w:rsidRPr="00150FFB">
        <w:rPr>
          <w:i/>
        </w:rPr>
        <w:t>Notre avenir à tous,</w:t>
      </w:r>
      <w:r w:rsidRPr="00C34622">
        <w:t xml:space="preserve"> Oxford, Oxford </w:t>
      </w:r>
      <w:proofErr w:type="spellStart"/>
      <w:r w:rsidRPr="00C34622">
        <w:t>University</w:t>
      </w:r>
      <w:proofErr w:type="spellEnd"/>
      <w:r w:rsidRPr="00C34622">
        <w:t xml:space="preserve"> </w:t>
      </w:r>
      <w:proofErr w:type="spellStart"/>
      <w:r w:rsidRPr="00C34622">
        <w:t>Press</w:t>
      </w:r>
      <w:proofErr w:type="spellEnd"/>
      <w:r w:rsidRPr="00C34622">
        <w:t>.</w:t>
      </w:r>
    </w:p>
  </w:footnote>
  <w:footnote w:id="4">
    <w:p w14:paraId="745A1966" w14:textId="77777777" w:rsidR="002E71FB" w:rsidRPr="00FC15EB" w:rsidRDefault="002E71FB" w:rsidP="00C34622">
      <w:pPr>
        <w:pStyle w:val="FootnoteText"/>
        <w:rPr>
          <w:lang w:val="en-US"/>
        </w:rPr>
      </w:pPr>
      <w:r w:rsidRPr="00D57EC4">
        <w:rPr>
          <w:szCs w:val="14"/>
        </w:rPr>
        <w:footnoteRef/>
      </w:r>
      <w:r w:rsidRPr="00D07828">
        <w:rPr>
          <w:szCs w:val="14"/>
          <w:lang w:val="en-US"/>
        </w:rPr>
        <w:t>.</w:t>
      </w:r>
      <w:r w:rsidRPr="00D07828">
        <w:rPr>
          <w:szCs w:val="14"/>
          <w:lang w:val="en-US"/>
        </w:rPr>
        <w:tab/>
      </w:r>
      <w:r w:rsidRPr="00D07828">
        <w:rPr>
          <w:lang w:val="en-US"/>
        </w:rPr>
        <w:t xml:space="preserve">A. M. </w:t>
      </w:r>
      <w:proofErr w:type="spellStart"/>
      <w:r w:rsidRPr="00D07828">
        <w:rPr>
          <w:lang w:val="en-US"/>
        </w:rPr>
        <w:t>Hasna</w:t>
      </w:r>
      <w:proofErr w:type="spellEnd"/>
      <w:r w:rsidRPr="00D07828">
        <w:rPr>
          <w:lang w:val="en-US"/>
        </w:rPr>
        <w:t xml:space="preserve">, 2007, </w:t>
      </w:r>
      <w:r w:rsidRPr="00150FFB">
        <w:rPr>
          <w:i/>
          <w:lang w:val="en-US"/>
        </w:rPr>
        <w:t xml:space="preserve">‘Dimensions of Sustainability’, Journal of Engineering for Sustainable </w:t>
      </w:r>
      <w:proofErr w:type="gramStart"/>
      <w:r w:rsidRPr="00150FFB">
        <w:rPr>
          <w:i/>
          <w:lang w:val="en-US"/>
        </w:rPr>
        <w:t>Development :</w:t>
      </w:r>
      <w:proofErr w:type="gramEnd"/>
      <w:r w:rsidRPr="00150FFB">
        <w:rPr>
          <w:i/>
          <w:lang w:val="en-US"/>
        </w:rPr>
        <w:t xml:space="preserve"> Energy, Environment, and Health,</w:t>
      </w:r>
      <w:r w:rsidRPr="00D07828">
        <w:rPr>
          <w:lang w:val="en-US"/>
        </w:rPr>
        <w:t xml:space="preserve"> Vol. 2, No. 1, pp. 47–57.</w:t>
      </w:r>
    </w:p>
  </w:footnote>
  <w:footnote w:id="5">
    <w:p w14:paraId="3F8D4468" w14:textId="4495AA07" w:rsidR="002E71FB" w:rsidRPr="00FC15EB" w:rsidRDefault="002E71FB" w:rsidP="00C34622">
      <w:pPr>
        <w:pStyle w:val="FootnoteText"/>
        <w:jc w:val="left"/>
      </w:pPr>
      <w:r w:rsidRPr="00D57EC4">
        <w:rPr>
          <w:szCs w:val="14"/>
        </w:rPr>
        <w:footnoteRef/>
      </w:r>
      <w:r>
        <w:t>.</w:t>
      </w:r>
      <w:r w:rsidRPr="00D56549">
        <w:tab/>
        <w:t xml:space="preserve">Voir </w:t>
      </w:r>
      <w:r w:rsidRPr="00D56549">
        <w:rPr>
          <w:noProof/>
        </w:rPr>
        <w:t>Fiches d’information du PCI</w:t>
      </w:r>
      <w:r w:rsidRPr="00D56549">
        <w:t xml:space="preserve">, Kit </w:t>
      </w:r>
      <w:r w:rsidRPr="00D56549">
        <w:rPr>
          <w:noProof/>
        </w:rPr>
        <w:t>PCI de l’</w:t>
      </w:r>
      <w:r w:rsidRPr="00D56549">
        <w:t>UNESCO :</w:t>
      </w:r>
      <w:r w:rsidR="00D36E6E">
        <w:t xml:space="preserve"> </w:t>
      </w:r>
      <w:r w:rsidRPr="00562D8A">
        <w:t>http://www.unesco.org/culture/ich/doc/src/01858-</w:t>
      </w:r>
      <w:r>
        <w:t>FR</w:t>
      </w:r>
      <w:r w:rsidRPr="00562D8A">
        <w:t>.pdf</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E1F5" w14:textId="4067E63F" w:rsidR="002E71FB" w:rsidRPr="00603A8C" w:rsidRDefault="002E71FB" w:rsidP="00150FFB">
    <w:pPr>
      <w:pStyle w:val="Header"/>
      <w:rPr>
        <w:lang w:val="fr-FR"/>
      </w:rPr>
    </w:pPr>
    <w:r>
      <w:rPr>
        <w:rStyle w:val="PageNumber"/>
      </w:rPr>
      <w:fldChar w:fldCharType="begin"/>
    </w:r>
    <w:r w:rsidRPr="00603A8C">
      <w:rPr>
        <w:rStyle w:val="PageNumber"/>
        <w:lang w:val="fr-FR"/>
      </w:rPr>
      <w:instrText xml:space="preserve"> PAGE </w:instrText>
    </w:r>
    <w:r>
      <w:rPr>
        <w:rStyle w:val="PageNumber"/>
      </w:rPr>
      <w:fldChar w:fldCharType="separate"/>
    </w:r>
    <w:r w:rsidR="00D36E6E">
      <w:rPr>
        <w:rStyle w:val="PageNumber"/>
        <w:noProof/>
        <w:lang w:val="fr-FR"/>
      </w:rPr>
      <w:t>6</w:t>
    </w:r>
    <w:r>
      <w:rPr>
        <w:rStyle w:val="PageNumber"/>
      </w:rPr>
      <w:fldChar w:fldCharType="end"/>
    </w:r>
    <w:r w:rsidRPr="00603A8C">
      <w:rPr>
        <w:lang w:val="fr-FR"/>
      </w:rPr>
      <w:tab/>
    </w:r>
    <w:r w:rsidR="003E1857" w:rsidRPr="00150FFB">
      <w:rPr>
        <w:lang w:val="fr-FR"/>
      </w:rPr>
      <w:t>Unité 8 : PCI et développement durable</w:t>
    </w:r>
    <w:r>
      <w:rPr>
        <w:lang w:val="fr-FR"/>
      </w:rPr>
      <w:tab/>
    </w:r>
    <w:r w:rsidRPr="00603A8C">
      <w:rPr>
        <w:lang w:val="fr-FR"/>
      </w:rPr>
      <w:t>Texte du participant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7A88B" w14:textId="1210142F" w:rsidR="002E71FB" w:rsidRPr="00603A8C" w:rsidRDefault="002E71FB" w:rsidP="00150FFB">
    <w:pPr>
      <w:pStyle w:val="Header"/>
      <w:rPr>
        <w:lang w:val="fr-FR"/>
      </w:rPr>
    </w:pPr>
    <w:r w:rsidRPr="00603A8C">
      <w:rPr>
        <w:lang w:val="fr-FR"/>
      </w:rPr>
      <w:t>Texte du participant</w:t>
    </w:r>
    <w:r w:rsidRPr="00603A8C">
      <w:rPr>
        <w:lang w:val="fr-FR"/>
      </w:rPr>
      <w:tab/>
    </w:r>
    <w:r w:rsidR="003E1857" w:rsidRPr="00150FFB">
      <w:rPr>
        <w:lang w:val="fr-FR"/>
      </w:rPr>
      <w:t>Unité 8 : PCI et développement durable</w:t>
    </w:r>
    <w:r w:rsidRPr="00603A8C">
      <w:rPr>
        <w:lang w:val="fr-FR"/>
      </w:rPr>
      <w:tab/>
    </w:r>
    <w:r>
      <w:rPr>
        <w:rStyle w:val="PageNumber"/>
      </w:rPr>
      <w:fldChar w:fldCharType="begin"/>
    </w:r>
    <w:r w:rsidRPr="00603A8C">
      <w:rPr>
        <w:rStyle w:val="PageNumber"/>
        <w:lang w:val="fr-FR"/>
      </w:rPr>
      <w:instrText xml:space="preserve"> PAGE </w:instrText>
    </w:r>
    <w:r>
      <w:rPr>
        <w:rStyle w:val="PageNumber"/>
      </w:rPr>
      <w:fldChar w:fldCharType="separate"/>
    </w:r>
    <w:r w:rsidR="00D36E6E">
      <w:rPr>
        <w:rStyle w:val="PageNumber"/>
        <w:noProof/>
        <w:lang w:val="fr-FR"/>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D5078" w14:textId="5CA41A54" w:rsidR="002E71FB" w:rsidRPr="00603A8C" w:rsidRDefault="002E71FB" w:rsidP="00A41931">
    <w:pPr>
      <w:pStyle w:val="Header"/>
      <w:ind w:right="360"/>
      <w:rPr>
        <w:lang w:val="fr-FR"/>
      </w:rPr>
    </w:pPr>
    <w:r>
      <w:rPr>
        <w:rStyle w:val="PageNumber"/>
      </w:rPr>
      <w:tab/>
    </w:r>
    <w:proofErr w:type="spellStart"/>
    <w:r>
      <w:rPr>
        <w:rStyle w:val="PageNumber"/>
      </w:rPr>
      <w:t>Texte</w:t>
    </w:r>
    <w:proofErr w:type="spellEnd"/>
    <w:r>
      <w:rPr>
        <w:rStyle w:val="PageNumber"/>
      </w:rPr>
      <w:t xml:space="preserve"> du participant</w:t>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1">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8">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C9C7E9B"/>
    <w:multiLevelType w:val="hybridMultilevel"/>
    <w:tmpl w:val="AD5E7E1C"/>
    <w:lvl w:ilvl="0" w:tplc="95A6A61A">
      <w:start w:val="1"/>
      <w:numFmt w:val="bull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EBD194B"/>
    <w:multiLevelType w:val="hybridMultilevel"/>
    <w:tmpl w:val="4B349D9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4">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0"/>
  </w:num>
  <w:num w:numId="2">
    <w:abstractNumId w:val="4"/>
  </w:num>
  <w:num w:numId="3">
    <w:abstractNumId w:val="3"/>
  </w:num>
  <w:num w:numId="4">
    <w:abstractNumId w:val="13"/>
  </w:num>
  <w:num w:numId="5">
    <w:abstractNumId w:val="15"/>
  </w:num>
  <w:num w:numId="6">
    <w:abstractNumId w:val="14"/>
  </w:num>
  <w:num w:numId="7">
    <w:abstractNumId w:val="7"/>
  </w:num>
  <w:num w:numId="8">
    <w:abstractNumId w:val="0"/>
  </w:num>
  <w:num w:numId="9">
    <w:abstractNumId w:val="0"/>
    <w:lvlOverride w:ilvl="0">
      <w:startOverride w:val="1"/>
    </w:lvlOverride>
  </w:num>
  <w:num w:numId="10">
    <w:abstractNumId w:val="11"/>
  </w:num>
  <w:num w:numId="11">
    <w:abstractNumId w:val="0"/>
    <w:lvlOverride w:ilvl="0">
      <w:startOverride w:val="1"/>
    </w:lvlOverride>
  </w:num>
  <w:num w:numId="12">
    <w:abstractNumId w:val="1"/>
  </w:num>
  <w:num w:numId="13">
    <w:abstractNumId w:val="8"/>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2"/>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8"/>
  </w:num>
  <w:num w:numId="29">
    <w:abstractNumId w:val="8"/>
  </w:num>
  <w:num w:numId="30">
    <w:abstractNumId w:val="8"/>
  </w:num>
  <w:num w:numId="31">
    <w:abstractNumId w:val="2"/>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1"/>
  </w:num>
  <w:num w:numId="40">
    <w:abstractNumId w:val="11"/>
  </w:num>
  <w:num w:numId="41">
    <w:abstractNumId w:val="10"/>
  </w:num>
  <w:num w:numId="42">
    <w:abstractNumId w:val="10"/>
  </w:num>
  <w:num w:numId="43">
    <w:abstractNumId w:val="9"/>
  </w:num>
  <w:num w:numId="44">
    <w:abstractNumId w:val="10"/>
  </w:num>
  <w:num w:numId="45">
    <w:abstractNumId w:val="10"/>
  </w:num>
  <w:num w:numId="46">
    <w:abstractNumId w:val="8"/>
  </w:num>
  <w:num w:numId="47">
    <w:abstractNumId w:val="8"/>
  </w:num>
  <w:num w:numId="48">
    <w:abstractNumId w:val="11"/>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3E"/>
    <w:rsid w:val="000006EA"/>
    <w:rsid w:val="00000D1F"/>
    <w:rsid w:val="00000DB8"/>
    <w:rsid w:val="00014873"/>
    <w:rsid w:val="0001493B"/>
    <w:rsid w:val="000151E5"/>
    <w:rsid w:val="0001741F"/>
    <w:rsid w:val="00017D71"/>
    <w:rsid w:val="000213A8"/>
    <w:rsid w:val="00022302"/>
    <w:rsid w:val="0002511C"/>
    <w:rsid w:val="00026DC2"/>
    <w:rsid w:val="00027DD9"/>
    <w:rsid w:val="000349C0"/>
    <w:rsid w:val="00040131"/>
    <w:rsid w:val="00041EBF"/>
    <w:rsid w:val="000424D8"/>
    <w:rsid w:val="00043DFF"/>
    <w:rsid w:val="00044417"/>
    <w:rsid w:val="00047780"/>
    <w:rsid w:val="00053368"/>
    <w:rsid w:val="00054243"/>
    <w:rsid w:val="000542FD"/>
    <w:rsid w:val="00054EE0"/>
    <w:rsid w:val="00062885"/>
    <w:rsid w:val="000651E6"/>
    <w:rsid w:val="00066E72"/>
    <w:rsid w:val="0007094A"/>
    <w:rsid w:val="00073751"/>
    <w:rsid w:val="00074FFC"/>
    <w:rsid w:val="00075D7D"/>
    <w:rsid w:val="00076221"/>
    <w:rsid w:val="000800C0"/>
    <w:rsid w:val="00080DAF"/>
    <w:rsid w:val="000819F8"/>
    <w:rsid w:val="000826E1"/>
    <w:rsid w:val="0008417E"/>
    <w:rsid w:val="00085406"/>
    <w:rsid w:val="0008620C"/>
    <w:rsid w:val="00086C3C"/>
    <w:rsid w:val="00094E6C"/>
    <w:rsid w:val="000A137F"/>
    <w:rsid w:val="000A13AA"/>
    <w:rsid w:val="000A7857"/>
    <w:rsid w:val="000B0472"/>
    <w:rsid w:val="000B1EB7"/>
    <w:rsid w:val="000B2122"/>
    <w:rsid w:val="000B3E37"/>
    <w:rsid w:val="000B710C"/>
    <w:rsid w:val="000C0E6A"/>
    <w:rsid w:val="000C41FA"/>
    <w:rsid w:val="000C7105"/>
    <w:rsid w:val="000D0602"/>
    <w:rsid w:val="000D176D"/>
    <w:rsid w:val="000D6D71"/>
    <w:rsid w:val="000D7317"/>
    <w:rsid w:val="000D7964"/>
    <w:rsid w:val="000E0530"/>
    <w:rsid w:val="000E4179"/>
    <w:rsid w:val="000F4C6A"/>
    <w:rsid w:val="00103657"/>
    <w:rsid w:val="001060CE"/>
    <w:rsid w:val="00107DB1"/>
    <w:rsid w:val="00117B78"/>
    <w:rsid w:val="00123B89"/>
    <w:rsid w:val="00132CAD"/>
    <w:rsid w:val="00133E1B"/>
    <w:rsid w:val="0014251F"/>
    <w:rsid w:val="00145A5C"/>
    <w:rsid w:val="00146D1E"/>
    <w:rsid w:val="00147F5C"/>
    <w:rsid w:val="00150FFB"/>
    <w:rsid w:val="00152FA0"/>
    <w:rsid w:val="001533D4"/>
    <w:rsid w:val="0015366F"/>
    <w:rsid w:val="00154EA2"/>
    <w:rsid w:val="00164F5F"/>
    <w:rsid w:val="00166843"/>
    <w:rsid w:val="00167480"/>
    <w:rsid w:val="0017028D"/>
    <w:rsid w:val="00170BFE"/>
    <w:rsid w:val="001757F9"/>
    <w:rsid w:val="00180896"/>
    <w:rsid w:val="001843B4"/>
    <w:rsid w:val="00186060"/>
    <w:rsid w:val="00186D10"/>
    <w:rsid w:val="0018741A"/>
    <w:rsid w:val="00187C35"/>
    <w:rsid w:val="00187C60"/>
    <w:rsid w:val="00191322"/>
    <w:rsid w:val="00191B71"/>
    <w:rsid w:val="0019481E"/>
    <w:rsid w:val="0019585B"/>
    <w:rsid w:val="00195959"/>
    <w:rsid w:val="001A171D"/>
    <w:rsid w:val="001A242D"/>
    <w:rsid w:val="001A2B13"/>
    <w:rsid w:val="001A5977"/>
    <w:rsid w:val="001A69CA"/>
    <w:rsid w:val="001B04F6"/>
    <w:rsid w:val="001B0F2D"/>
    <w:rsid w:val="001B3C85"/>
    <w:rsid w:val="001B586D"/>
    <w:rsid w:val="001C2F9D"/>
    <w:rsid w:val="001C5D26"/>
    <w:rsid w:val="001D13FF"/>
    <w:rsid w:val="001D39F7"/>
    <w:rsid w:val="001D5A7D"/>
    <w:rsid w:val="001D70CD"/>
    <w:rsid w:val="001D739A"/>
    <w:rsid w:val="001E0C39"/>
    <w:rsid w:val="001E1505"/>
    <w:rsid w:val="001E4B93"/>
    <w:rsid w:val="001E517D"/>
    <w:rsid w:val="001E7E3A"/>
    <w:rsid w:val="001F43D8"/>
    <w:rsid w:val="001F506C"/>
    <w:rsid w:val="001F5D28"/>
    <w:rsid w:val="002032E2"/>
    <w:rsid w:val="00206C1F"/>
    <w:rsid w:val="00210D69"/>
    <w:rsid w:val="002132D2"/>
    <w:rsid w:val="00216A23"/>
    <w:rsid w:val="002171D7"/>
    <w:rsid w:val="002207C3"/>
    <w:rsid w:val="00221195"/>
    <w:rsid w:val="002216BA"/>
    <w:rsid w:val="00221F26"/>
    <w:rsid w:val="0022235D"/>
    <w:rsid w:val="0022656C"/>
    <w:rsid w:val="00227E50"/>
    <w:rsid w:val="00231010"/>
    <w:rsid w:val="00231A87"/>
    <w:rsid w:val="00233749"/>
    <w:rsid w:val="0023454D"/>
    <w:rsid w:val="00234B2D"/>
    <w:rsid w:val="00235024"/>
    <w:rsid w:val="0023521F"/>
    <w:rsid w:val="00236B5B"/>
    <w:rsid w:val="0023733F"/>
    <w:rsid w:val="00242B77"/>
    <w:rsid w:val="00242EE4"/>
    <w:rsid w:val="00243F4E"/>
    <w:rsid w:val="002440CE"/>
    <w:rsid w:val="0024481B"/>
    <w:rsid w:val="0024620F"/>
    <w:rsid w:val="00246AAF"/>
    <w:rsid w:val="00251A4E"/>
    <w:rsid w:val="00255220"/>
    <w:rsid w:val="0025578B"/>
    <w:rsid w:val="00255A53"/>
    <w:rsid w:val="00257542"/>
    <w:rsid w:val="00257BD7"/>
    <w:rsid w:val="00260AF8"/>
    <w:rsid w:val="002640FF"/>
    <w:rsid w:val="00265203"/>
    <w:rsid w:val="002712FD"/>
    <w:rsid w:val="00275601"/>
    <w:rsid w:val="002758DA"/>
    <w:rsid w:val="00277EB4"/>
    <w:rsid w:val="002800D8"/>
    <w:rsid w:val="002832A1"/>
    <w:rsid w:val="00284539"/>
    <w:rsid w:val="00285F80"/>
    <w:rsid w:val="002869EB"/>
    <w:rsid w:val="00290880"/>
    <w:rsid w:val="00291E2F"/>
    <w:rsid w:val="002934E6"/>
    <w:rsid w:val="00294972"/>
    <w:rsid w:val="00294FD3"/>
    <w:rsid w:val="00296070"/>
    <w:rsid w:val="002A025C"/>
    <w:rsid w:val="002A2F7A"/>
    <w:rsid w:val="002A447B"/>
    <w:rsid w:val="002A4ED4"/>
    <w:rsid w:val="002A5E66"/>
    <w:rsid w:val="002A6D5B"/>
    <w:rsid w:val="002A7352"/>
    <w:rsid w:val="002B1505"/>
    <w:rsid w:val="002B33DC"/>
    <w:rsid w:val="002B3D30"/>
    <w:rsid w:val="002B6A2C"/>
    <w:rsid w:val="002C0C94"/>
    <w:rsid w:val="002C1D8C"/>
    <w:rsid w:val="002C3A25"/>
    <w:rsid w:val="002C3A7E"/>
    <w:rsid w:val="002C7ABF"/>
    <w:rsid w:val="002D200B"/>
    <w:rsid w:val="002D2B81"/>
    <w:rsid w:val="002D41E4"/>
    <w:rsid w:val="002D6696"/>
    <w:rsid w:val="002D6CF6"/>
    <w:rsid w:val="002E0878"/>
    <w:rsid w:val="002E1E8D"/>
    <w:rsid w:val="002E5028"/>
    <w:rsid w:val="002E55CB"/>
    <w:rsid w:val="002E5AC2"/>
    <w:rsid w:val="002E71FB"/>
    <w:rsid w:val="002F2551"/>
    <w:rsid w:val="002F67A4"/>
    <w:rsid w:val="002F739D"/>
    <w:rsid w:val="0030168E"/>
    <w:rsid w:val="00307D34"/>
    <w:rsid w:val="00310CD0"/>
    <w:rsid w:val="00312970"/>
    <w:rsid w:val="00316B5B"/>
    <w:rsid w:val="003238D3"/>
    <w:rsid w:val="003259DC"/>
    <w:rsid w:val="0032659F"/>
    <w:rsid w:val="00330A6B"/>
    <w:rsid w:val="00330E2D"/>
    <w:rsid w:val="003356E3"/>
    <w:rsid w:val="003370CB"/>
    <w:rsid w:val="003372C9"/>
    <w:rsid w:val="00340932"/>
    <w:rsid w:val="003422E3"/>
    <w:rsid w:val="00344D75"/>
    <w:rsid w:val="00347851"/>
    <w:rsid w:val="00354854"/>
    <w:rsid w:val="00356218"/>
    <w:rsid w:val="00360416"/>
    <w:rsid w:val="003677D8"/>
    <w:rsid w:val="00370391"/>
    <w:rsid w:val="00370EBE"/>
    <w:rsid w:val="00374529"/>
    <w:rsid w:val="00374E95"/>
    <w:rsid w:val="00375BFE"/>
    <w:rsid w:val="00377639"/>
    <w:rsid w:val="00384E33"/>
    <w:rsid w:val="00387787"/>
    <w:rsid w:val="0039446A"/>
    <w:rsid w:val="00396190"/>
    <w:rsid w:val="00396571"/>
    <w:rsid w:val="0039745B"/>
    <w:rsid w:val="003A1010"/>
    <w:rsid w:val="003A524E"/>
    <w:rsid w:val="003B09E7"/>
    <w:rsid w:val="003B1901"/>
    <w:rsid w:val="003B2A6E"/>
    <w:rsid w:val="003B4704"/>
    <w:rsid w:val="003B5874"/>
    <w:rsid w:val="003B6B98"/>
    <w:rsid w:val="003B70C7"/>
    <w:rsid w:val="003B711B"/>
    <w:rsid w:val="003B7DFC"/>
    <w:rsid w:val="003B7F45"/>
    <w:rsid w:val="003C16F8"/>
    <w:rsid w:val="003C4F1D"/>
    <w:rsid w:val="003C76B1"/>
    <w:rsid w:val="003C7BEB"/>
    <w:rsid w:val="003D020C"/>
    <w:rsid w:val="003D2709"/>
    <w:rsid w:val="003E15E2"/>
    <w:rsid w:val="003E1857"/>
    <w:rsid w:val="003E5E70"/>
    <w:rsid w:val="003F104E"/>
    <w:rsid w:val="003F1597"/>
    <w:rsid w:val="003F3288"/>
    <w:rsid w:val="003F50EC"/>
    <w:rsid w:val="003F5CA8"/>
    <w:rsid w:val="003F6B5C"/>
    <w:rsid w:val="00402839"/>
    <w:rsid w:val="0040373D"/>
    <w:rsid w:val="00403A1B"/>
    <w:rsid w:val="00404EAE"/>
    <w:rsid w:val="00406030"/>
    <w:rsid w:val="00411833"/>
    <w:rsid w:val="004120B8"/>
    <w:rsid w:val="004124FE"/>
    <w:rsid w:val="00412910"/>
    <w:rsid w:val="004139B2"/>
    <w:rsid w:val="0042393B"/>
    <w:rsid w:val="004272A4"/>
    <w:rsid w:val="00430B70"/>
    <w:rsid w:val="004315D8"/>
    <w:rsid w:val="004325DC"/>
    <w:rsid w:val="00433FAD"/>
    <w:rsid w:val="00434788"/>
    <w:rsid w:val="00434BA5"/>
    <w:rsid w:val="00434CAC"/>
    <w:rsid w:val="00436ECC"/>
    <w:rsid w:val="0043725F"/>
    <w:rsid w:val="004406B6"/>
    <w:rsid w:val="004449EE"/>
    <w:rsid w:val="004468CE"/>
    <w:rsid w:val="00447076"/>
    <w:rsid w:val="00447861"/>
    <w:rsid w:val="00447F1C"/>
    <w:rsid w:val="00450EF9"/>
    <w:rsid w:val="00455CF9"/>
    <w:rsid w:val="00460771"/>
    <w:rsid w:val="00461004"/>
    <w:rsid w:val="00461C5C"/>
    <w:rsid w:val="00464E9D"/>
    <w:rsid w:val="00472E0F"/>
    <w:rsid w:val="00475B87"/>
    <w:rsid w:val="00477C3F"/>
    <w:rsid w:val="0048121B"/>
    <w:rsid w:val="00481229"/>
    <w:rsid w:val="00483E5F"/>
    <w:rsid w:val="00485AA9"/>
    <w:rsid w:val="00490881"/>
    <w:rsid w:val="00495197"/>
    <w:rsid w:val="00496C7F"/>
    <w:rsid w:val="004A3569"/>
    <w:rsid w:val="004A3A76"/>
    <w:rsid w:val="004A4557"/>
    <w:rsid w:val="004A60E9"/>
    <w:rsid w:val="004A66F4"/>
    <w:rsid w:val="004A6AB4"/>
    <w:rsid w:val="004A7115"/>
    <w:rsid w:val="004A78E2"/>
    <w:rsid w:val="004A7ED8"/>
    <w:rsid w:val="004B1D4C"/>
    <w:rsid w:val="004B45C3"/>
    <w:rsid w:val="004C0123"/>
    <w:rsid w:val="004C0416"/>
    <w:rsid w:val="004C5C50"/>
    <w:rsid w:val="004D37AA"/>
    <w:rsid w:val="004D5579"/>
    <w:rsid w:val="004D571E"/>
    <w:rsid w:val="004D57C8"/>
    <w:rsid w:val="004D5C00"/>
    <w:rsid w:val="004D5F7F"/>
    <w:rsid w:val="004D6197"/>
    <w:rsid w:val="004D6B01"/>
    <w:rsid w:val="004E095F"/>
    <w:rsid w:val="004E49F5"/>
    <w:rsid w:val="004E5B44"/>
    <w:rsid w:val="004E7D6C"/>
    <w:rsid w:val="004F008E"/>
    <w:rsid w:val="004F369E"/>
    <w:rsid w:val="004F3C16"/>
    <w:rsid w:val="004F46C9"/>
    <w:rsid w:val="004F5CF8"/>
    <w:rsid w:val="004F6ED7"/>
    <w:rsid w:val="004F6F32"/>
    <w:rsid w:val="004F7122"/>
    <w:rsid w:val="00501117"/>
    <w:rsid w:val="005027DA"/>
    <w:rsid w:val="00502E0B"/>
    <w:rsid w:val="005058A4"/>
    <w:rsid w:val="00505F03"/>
    <w:rsid w:val="00506791"/>
    <w:rsid w:val="005068B2"/>
    <w:rsid w:val="00517B96"/>
    <w:rsid w:val="00520241"/>
    <w:rsid w:val="005203EA"/>
    <w:rsid w:val="00520CB3"/>
    <w:rsid w:val="00521245"/>
    <w:rsid w:val="00526259"/>
    <w:rsid w:val="0052680E"/>
    <w:rsid w:val="00527E16"/>
    <w:rsid w:val="00531E23"/>
    <w:rsid w:val="005322A5"/>
    <w:rsid w:val="0053768F"/>
    <w:rsid w:val="00547581"/>
    <w:rsid w:val="00550074"/>
    <w:rsid w:val="0055379C"/>
    <w:rsid w:val="00554DE9"/>
    <w:rsid w:val="00555900"/>
    <w:rsid w:val="00556D69"/>
    <w:rsid w:val="0056051F"/>
    <w:rsid w:val="0056138E"/>
    <w:rsid w:val="00562D8A"/>
    <w:rsid w:val="0056329E"/>
    <w:rsid w:val="00565F12"/>
    <w:rsid w:val="005666D2"/>
    <w:rsid w:val="00567F81"/>
    <w:rsid w:val="0057317C"/>
    <w:rsid w:val="00573B3D"/>
    <w:rsid w:val="0057532F"/>
    <w:rsid w:val="00575BF8"/>
    <w:rsid w:val="00577621"/>
    <w:rsid w:val="00581F97"/>
    <w:rsid w:val="00584506"/>
    <w:rsid w:val="00590B2E"/>
    <w:rsid w:val="0059714B"/>
    <w:rsid w:val="005A0707"/>
    <w:rsid w:val="005A0AB6"/>
    <w:rsid w:val="005A207D"/>
    <w:rsid w:val="005A69B3"/>
    <w:rsid w:val="005B0DA6"/>
    <w:rsid w:val="005B1C14"/>
    <w:rsid w:val="005B5D26"/>
    <w:rsid w:val="005B5EC6"/>
    <w:rsid w:val="005B703B"/>
    <w:rsid w:val="005B79DB"/>
    <w:rsid w:val="005C10EB"/>
    <w:rsid w:val="005C21E7"/>
    <w:rsid w:val="005C7ACF"/>
    <w:rsid w:val="005D01EF"/>
    <w:rsid w:val="005D1F45"/>
    <w:rsid w:val="005D5337"/>
    <w:rsid w:val="005D65C8"/>
    <w:rsid w:val="005D6A14"/>
    <w:rsid w:val="005D72E2"/>
    <w:rsid w:val="005E17CB"/>
    <w:rsid w:val="005E221C"/>
    <w:rsid w:val="005E39EF"/>
    <w:rsid w:val="005E4961"/>
    <w:rsid w:val="005E4F57"/>
    <w:rsid w:val="005E7EEB"/>
    <w:rsid w:val="005F2FEC"/>
    <w:rsid w:val="005F3D8C"/>
    <w:rsid w:val="005F5631"/>
    <w:rsid w:val="006004EC"/>
    <w:rsid w:val="00600B60"/>
    <w:rsid w:val="00603A8C"/>
    <w:rsid w:val="0060489A"/>
    <w:rsid w:val="006073FB"/>
    <w:rsid w:val="0061203C"/>
    <w:rsid w:val="006173A9"/>
    <w:rsid w:val="006206CE"/>
    <w:rsid w:val="00625277"/>
    <w:rsid w:val="0062637E"/>
    <w:rsid w:val="00630AC3"/>
    <w:rsid w:val="00631706"/>
    <w:rsid w:val="006346F4"/>
    <w:rsid w:val="006358F9"/>
    <w:rsid w:val="00640A46"/>
    <w:rsid w:val="00641FC4"/>
    <w:rsid w:val="0064362E"/>
    <w:rsid w:val="00644082"/>
    <w:rsid w:val="00645717"/>
    <w:rsid w:val="00645EA9"/>
    <w:rsid w:val="00646C0C"/>
    <w:rsid w:val="00646D3D"/>
    <w:rsid w:val="0065068A"/>
    <w:rsid w:val="00651766"/>
    <w:rsid w:val="00652F82"/>
    <w:rsid w:val="00653FD6"/>
    <w:rsid w:val="00657072"/>
    <w:rsid w:val="00660FC7"/>
    <w:rsid w:val="0066356D"/>
    <w:rsid w:val="00664974"/>
    <w:rsid w:val="00665D0F"/>
    <w:rsid w:val="0067217E"/>
    <w:rsid w:val="006733E3"/>
    <w:rsid w:val="00674799"/>
    <w:rsid w:val="006757EA"/>
    <w:rsid w:val="00682587"/>
    <w:rsid w:val="00682B52"/>
    <w:rsid w:val="00684202"/>
    <w:rsid w:val="006858F6"/>
    <w:rsid w:val="0069346B"/>
    <w:rsid w:val="006B1B3A"/>
    <w:rsid w:val="006C20E9"/>
    <w:rsid w:val="006C3387"/>
    <w:rsid w:val="006C362F"/>
    <w:rsid w:val="006C6F2C"/>
    <w:rsid w:val="006D283B"/>
    <w:rsid w:val="006D313C"/>
    <w:rsid w:val="006E0048"/>
    <w:rsid w:val="006E147C"/>
    <w:rsid w:val="006E38CC"/>
    <w:rsid w:val="006E4984"/>
    <w:rsid w:val="006E6DDC"/>
    <w:rsid w:val="006F2551"/>
    <w:rsid w:val="006F42AA"/>
    <w:rsid w:val="006F42B3"/>
    <w:rsid w:val="006F4396"/>
    <w:rsid w:val="006F61A0"/>
    <w:rsid w:val="006F64E6"/>
    <w:rsid w:val="00700755"/>
    <w:rsid w:val="00701EE2"/>
    <w:rsid w:val="00702EB3"/>
    <w:rsid w:val="007102EC"/>
    <w:rsid w:val="00712B1C"/>
    <w:rsid w:val="00713917"/>
    <w:rsid w:val="00713A6D"/>
    <w:rsid w:val="0071539A"/>
    <w:rsid w:val="00722302"/>
    <w:rsid w:val="00726F77"/>
    <w:rsid w:val="007278A8"/>
    <w:rsid w:val="007342F5"/>
    <w:rsid w:val="00734A13"/>
    <w:rsid w:val="00740702"/>
    <w:rsid w:val="00744425"/>
    <w:rsid w:val="00746321"/>
    <w:rsid w:val="00750512"/>
    <w:rsid w:val="00751114"/>
    <w:rsid w:val="007521EC"/>
    <w:rsid w:val="00752A0F"/>
    <w:rsid w:val="0075609B"/>
    <w:rsid w:val="00756390"/>
    <w:rsid w:val="0075652A"/>
    <w:rsid w:val="00757DCB"/>
    <w:rsid w:val="00761C46"/>
    <w:rsid w:val="00765959"/>
    <w:rsid w:val="00765B7E"/>
    <w:rsid w:val="0077206E"/>
    <w:rsid w:val="00772169"/>
    <w:rsid w:val="007728F8"/>
    <w:rsid w:val="007729B5"/>
    <w:rsid w:val="00772D1E"/>
    <w:rsid w:val="00773186"/>
    <w:rsid w:val="00775F40"/>
    <w:rsid w:val="007800DA"/>
    <w:rsid w:val="007808BE"/>
    <w:rsid w:val="007814F9"/>
    <w:rsid w:val="00785367"/>
    <w:rsid w:val="00795C6B"/>
    <w:rsid w:val="00795D4A"/>
    <w:rsid w:val="00795D56"/>
    <w:rsid w:val="00795FF0"/>
    <w:rsid w:val="00797896"/>
    <w:rsid w:val="00797C96"/>
    <w:rsid w:val="00797EB9"/>
    <w:rsid w:val="007A1531"/>
    <w:rsid w:val="007A1860"/>
    <w:rsid w:val="007A5C03"/>
    <w:rsid w:val="007A7CB3"/>
    <w:rsid w:val="007B1EE5"/>
    <w:rsid w:val="007B2C2D"/>
    <w:rsid w:val="007B69C9"/>
    <w:rsid w:val="007C119C"/>
    <w:rsid w:val="007C5C15"/>
    <w:rsid w:val="007C70FB"/>
    <w:rsid w:val="007D1DA1"/>
    <w:rsid w:val="007D222B"/>
    <w:rsid w:val="007E03FC"/>
    <w:rsid w:val="007E04EC"/>
    <w:rsid w:val="007E0DC4"/>
    <w:rsid w:val="007E2A6A"/>
    <w:rsid w:val="007E60D0"/>
    <w:rsid w:val="007E6695"/>
    <w:rsid w:val="007E6806"/>
    <w:rsid w:val="007F3170"/>
    <w:rsid w:val="007F577A"/>
    <w:rsid w:val="00801003"/>
    <w:rsid w:val="0080154D"/>
    <w:rsid w:val="00801CFC"/>
    <w:rsid w:val="00803BA6"/>
    <w:rsid w:val="008043B8"/>
    <w:rsid w:val="0080530D"/>
    <w:rsid w:val="00807F0C"/>
    <w:rsid w:val="008130C5"/>
    <w:rsid w:val="0081317D"/>
    <w:rsid w:val="00813717"/>
    <w:rsid w:val="00816623"/>
    <w:rsid w:val="00816DE1"/>
    <w:rsid w:val="008177E6"/>
    <w:rsid w:val="00817F26"/>
    <w:rsid w:val="0082004C"/>
    <w:rsid w:val="008207E0"/>
    <w:rsid w:val="0082423F"/>
    <w:rsid w:val="008250BF"/>
    <w:rsid w:val="00826E06"/>
    <w:rsid w:val="00827C34"/>
    <w:rsid w:val="00833165"/>
    <w:rsid w:val="00836155"/>
    <w:rsid w:val="00841563"/>
    <w:rsid w:val="00843B5B"/>
    <w:rsid w:val="00851BFE"/>
    <w:rsid w:val="00854D3E"/>
    <w:rsid w:val="00855427"/>
    <w:rsid w:val="00861557"/>
    <w:rsid w:val="00862BBA"/>
    <w:rsid w:val="0086683E"/>
    <w:rsid w:val="00870EC7"/>
    <w:rsid w:val="008763F7"/>
    <w:rsid w:val="008772A2"/>
    <w:rsid w:val="008821BC"/>
    <w:rsid w:val="00882ED1"/>
    <w:rsid w:val="00883EB9"/>
    <w:rsid w:val="008A7E01"/>
    <w:rsid w:val="008B0D35"/>
    <w:rsid w:val="008B14CC"/>
    <w:rsid w:val="008B4150"/>
    <w:rsid w:val="008B6993"/>
    <w:rsid w:val="008B6C89"/>
    <w:rsid w:val="008C739C"/>
    <w:rsid w:val="008C7B0E"/>
    <w:rsid w:val="008D0008"/>
    <w:rsid w:val="008D07D5"/>
    <w:rsid w:val="008D07E3"/>
    <w:rsid w:val="008D59A2"/>
    <w:rsid w:val="008D5B4A"/>
    <w:rsid w:val="008D60AA"/>
    <w:rsid w:val="008D7E7E"/>
    <w:rsid w:val="008E0ADF"/>
    <w:rsid w:val="008E5022"/>
    <w:rsid w:val="008F1F90"/>
    <w:rsid w:val="008F50F6"/>
    <w:rsid w:val="008F5CBB"/>
    <w:rsid w:val="008F6F29"/>
    <w:rsid w:val="008F743C"/>
    <w:rsid w:val="008F7BC2"/>
    <w:rsid w:val="00901A6A"/>
    <w:rsid w:val="00903EAE"/>
    <w:rsid w:val="00906C0A"/>
    <w:rsid w:val="0091201E"/>
    <w:rsid w:val="00913F6A"/>
    <w:rsid w:val="00914287"/>
    <w:rsid w:val="0091635C"/>
    <w:rsid w:val="009169F6"/>
    <w:rsid w:val="00916B13"/>
    <w:rsid w:val="00924A7C"/>
    <w:rsid w:val="009270A5"/>
    <w:rsid w:val="0093206D"/>
    <w:rsid w:val="009373AE"/>
    <w:rsid w:val="00946729"/>
    <w:rsid w:val="00953DB9"/>
    <w:rsid w:val="00954D9A"/>
    <w:rsid w:val="00957A73"/>
    <w:rsid w:val="00960EC7"/>
    <w:rsid w:val="009633A3"/>
    <w:rsid w:val="00965850"/>
    <w:rsid w:val="0096685C"/>
    <w:rsid w:val="0097251E"/>
    <w:rsid w:val="00972FD9"/>
    <w:rsid w:val="00975132"/>
    <w:rsid w:val="009760C0"/>
    <w:rsid w:val="0098041F"/>
    <w:rsid w:val="00980A8F"/>
    <w:rsid w:val="009815DB"/>
    <w:rsid w:val="00983C57"/>
    <w:rsid w:val="009867A4"/>
    <w:rsid w:val="009877B9"/>
    <w:rsid w:val="00990912"/>
    <w:rsid w:val="00991578"/>
    <w:rsid w:val="00992155"/>
    <w:rsid w:val="00992359"/>
    <w:rsid w:val="00993722"/>
    <w:rsid w:val="009940E0"/>
    <w:rsid w:val="0099702B"/>
    <w:rsid w:val="009A05B3"/>
    <w:rsid w:val="009A1ED4"/>
    <w:rsid w:val="009A2E34"/>
    <w:rsid w:val="009A36C2"/>
    <w:rsid w:val="009A45EE"/>
    <w:rsid w:val="009B1865"/>
    <w:rsid w:val="009B3F88"/>
    <w:rsid w:val="009C7D5E"/>
    <w:rsid w:val="009D7E32"/>
    <w:rsid w:val="009E080E"/>
    <w:rsid w:val="009E3ADA"/>
    <w:rsid w:val="009E3CFB"/>
    <w:rsid w:val="009E47DA"/>
    <w:rsid w:val="009E59B1"/>
    <w:rsid w:val="009E788F"/>
    <w:rsid w:val="009F3192"/>
    <w:rsid w:val="009F3A1F"/>
    <w:rsid w:val="009F5434"/>
    <w:rsid w:val="009F6C90"/>
    <w:rsid w:val="009F7A02"/>
    <w:rsid w:val="00A03989"/>
    <w:rsid w:val="00A0403A"/>
    <w:rsid w:val="00A0517A"/>
    <w:rsid w:val="00A129FC"/>
    <w:rsid w:val="00A1335D"/>
    <w:rsid w:val="00A14E17"/>
    <w:rsid w:val="00A1544C"/>
    <w:rsid w:val="00A16235"/>
    <w:rsid w:val="00A162F3"/>
    <w:rsid w:val="00A16ADB"/>
    <w:rsid w:val="00A201D9"/>
    <w:rsid w:val="00A202A2"/>
    <w:rsid w:val="00A21469"/>
    <w:rsid w:val="00A228F7"/>
    <w:rsid w:val="00A27F81"/>
    <w:rsid w:val="00A31863"/>
    <w:rsid w:val="00A326D2"/>
    <w:rsid w:val="00A3457B"/>
    <w:rsid w:val="00A36C3F"/>
    <w:rsid w:val="00A371A3"/>
    <w:rsid w:val="00A41931"/>
    <w:rsid w:val="00A45603"/>
    <w:rsid w:val="00A4618E"/>
    <w:rsid w:val="00A507FB"/>
    <w:rsid w:val="00A516C3"/>
    <w:rsid w:val="00A556BF"/>
    <w:rsid w:val="00A5684F"/>
    <w:rsid w:val="00A56F37"/>
    <w:rsid w:val="00A570C0"/>
    <w:rsid w:val="00A60D82"/>
    <w:rsid w:val="00A61E6D"/>
    <w:rsid w:val="00A65008"/>
    <w:rsid w:val="00A656ED"/>
    <w:rsid w:val="00A6597D"/>
    <w:rsid w:val="00A667F7"/>
    <w:rsid w:val="00A73131"/>
    <w:rsid w:val="00A734AC"/>
    <w:rsid w:val="00A7443E"/>
    <w:rsid w:val="00A75027"/>
    <w:rsid w:val="00A753E3"/>
    <w:rsid w:val="00A76CE7"/>
    <w:rsid w:val="00A76D04"/>
    <w:rsid w:val="00A80468"/>
    <w:rsid w:val="00A81058"/>
    <w:rsid w:val="00A81184"/>
    <w:rsid w:val="00A84586"/>
    <w:rsid w:val="00A84F89"/>
    <w:rsid w:val="00A85270"/>
    <w:rsid w:val="00A85E99"/>
    <w:rsid w:val="00A9799B"/>
    <w:rsid w:val="00AA0D95"/>
    <w:rsid w:val="00AA43B4"/>
    <w:rsid w:val="00AA6AD3"/>
    <w:rsid w:val="00AA72B4"/>
    <w:rsid w:val="00AB28D2"/>
    <w:rsid w:val="00AB3F98"/>
    <w:rsid w:val="00AB434F"/>
    <w:rsid w:val="00AB54CF"/>
    <w:rsid w:val="00AC0706"/>
    <w:rsid w:val="00AC1382"/>
    <w:rsid w:val="00AC2953"/>
    <w:rsid w:val="00AC47B8"/>
    <w:rsid w:val="00AC4CF8"/>
    <w:rsid w:val="00AC63A5"/>
    <w:rsid w:val="00AC69F4"/>
    <w:rsid w:val="00AC733B"/>
    <w:rsid w:val="00AC798B"/>
    <w:rsid w:val="00AD1B89"/>
    <w:rsid w:val="00AE0451"/>
    <w:rsid w:val="00AE129F"/>
    <w:rsid w:val="00AE399F"/>
    <w:rsid w:val="00AE6787"/>
    <w:rsid w:val="00AF6608"/>
    <w:rsid w:val="00AF7C55"/>
    <w:rsid w:val="00B001B1"/>
    <w:rsid w:val="00B0030C"/>
    <w:rsid w:val="00B01BD4"/>
    <w:rsid w:val="00B01E6B"/>
    <w:rsid w:val="00B02977"/>
    <w:rsid w:val="00B042E9"/>
    <w:rsid w:val="00B0489C"/>
    <w:rsid w:val="00B11970"/>
    <w:rsid w:val="00B121E6"/>
    <w:rsid w:val="00B139E0"/>
    <w:rsid w:val="00B16DDE"/>
    <w:rsid w:val="00B24530"/>
    <w:rsid w:val="00B26124"/>
    <w:rsid w:val="00B305BD"/>
    <w:rsid w:val="00B32948"/>
    <w:rsid w:val="00B3365B"/>
    <w:rsid w:val="00B36CC3"/>
    <w:rsid w:val="00B407F2"/>
    <w:rsid w:val="00B4292D"/>
    <w:rsid w:val="00B42F77"/>
    <w:rsid w:val="00B53DDB"/>
    <w:rsid w:val="00B545FC"/>
    <w:rsid w:val="00B54D98"/>
    <w:rsid w:val="00B554D7"/>
    <w:rsid w:val="00B55B6D"/>
    <w:rsid w:val="00B64FC0"/>
    <w:rsid w:val="00B7011E"/>
    <w:rsid w:val="00B72F39"/>
    <w:rsid w:val="00B7470A"/>
    <w:rsid w:val="00B7724F"/>
    <w:rsid w:val="00B804E1"/>
    <w:rsid w:val="00B81E78"/>
    <w:rsid w:val="00B81F8F"/>
    <w:rsid w:val="00B82578"/>
    <w:rsid w:val="00B828E6"/>
    <w:rsid w:val="00B854EA"/>
    <w:rsid w:val="00B91342"/>
    <w:rsid w:val="00B928D8"/>
    <w:rsid w:val="00B948BC"/>
    <w:rsid w:val="00B958DB"/>
    <w:rsid w:val="00B96532"/>
    <w:rsid w:val="00B9689C"/>
    <w:rsid w:val="00B9709E"/>
    <w:rsid w:val="00B977B7"/>
    <w:rsid w:val="00BA06FF"/>
    <w:rsid w:val="00BA6A78"/>
    <w:rsid w:val="00BA76B0"/>
    <w:rsid w:val="00BB2FF5"/>
    <w:rsid w:val="00BB3178"/>
    <w:rsid w:val="00BB443B"/>
    <w:rsid w:val="00BB5F18"/>
    <w:rsid w:val="00BB680F"/>
    <w:rsid w:val="00BB70F2"/>
    <w:rsid w:val="00BC0558"/>
    <w:rsid w:val="00BC1988"/>
    <w:rsid w:val="00BC19B9"/>
    <w:rsid w:val="00BC3A82"/>
    <w:rsid w:val="00BC3B18"/>
    <w:rsid w:val="00BC4742"/>
    <w:rsid w:val="00BD2FEA"/>
    <w:rsid w:val="00BD3762"/>
    <w:rsid w:val="00BD56B6"/>
    <w:rsid w:val="00BE17CC"/>
    <w:rsid w:val="00BE6789"/>
    <w:rsid w:val="00BF2A19"/>
    <w:rsid w:val="00BF2BD1"/>
    <w:rsid w:val="00BF300D"/>
    <w:rsid w:val="00BF4B81"/>
    <w:rsid w:val="00BF4F33"/>
    <w:rsid w:val="00C02EE8"/>
    <w:rsid w:val="00C049EB"/>
    <w:rsid w:val="00C05A18"/>
    <w:rsid w:val="00C06182"/>
    <w:rsid w:val="00C1027D"/>
    <w:rsid w:val="00C10A1F"/>
    <w:rsid w:val="00C1515E"/>
    <w:rsid w:val="00C153F4"/>
    <w:rsid w:val="00C16C54"/>
    <w:rsid w:val="00C17136"/>
    <w:rsid w:val="00C1743B"/>
    <w:rsid w:val="00C17588"/>
    <w:rsid w:val="00C209BC"/>
    <w:rsid w:val="00C22D41"/>
    <w:rsid w:val="00C243AB"/>
    <w:rsid w:val="00C24C96"/>
    <w:rsid w:val="00C26AEB"/>
    <w:rsid w:val="00C312F9"/>
    <w:rsid w:val="00C31DD4"/>
    <w:rsid w:val="00C31E6E"/>
    <w:rsid w:val="00C334A4"/>
    <w:rsid w:val="00C34622"/>
    <w:rsid w:val="00C349F9"/>
    <w:rsid w:val="00C35139"/>
    <w:rsid w:val="00C35191"/>
    <w:rsid w:val="00C40C54"/>
    <w:rsid w:val="00C4116A"/>
    <w:rsid w:val="00C420E9"/>
    <w:rsid w:val="00C430F5"/>
    <w:rsid w:val="00C44811"/>
    <w:rsid w:val="00C457EB"/>
    <w:rsid w:val="00C476D5"/>
    <w:rsid w:val="00C50F42"/>
    <w:rsid w:val="00C525E8"/>
    <w:rsid w:val="00C52844"/>
    <w:rsid w:val="00C558BD"/>
    <w:rsid w:val="00C55AA0"/>
    <w:rsid w:val="00C654E8"/>
    <w:rsid w:val="00C6634A"/>
    <w:rsid w:val="00C66927"/>
    <w:rsid w:val="00C736DB"/>
    <w:rsid w:val="00C748C9"/>
    <w:rsid w:val="00C74BC2"/>
    <w:rsid w:val="00C752EC"/>
    <w:rsid w:val="00C7655A"/>
    <w:rsid w:val="00C77B75"/>
    <w:rsid w:val="00C83ADA"/>
    <w:rsid w:val="00C867D7"/>
    <w:rsid w:val="00C86D17"/>
    <w:rsid w:val="00C976FF"/>
    <w:rsid w:val="00CA12A3"/>
    <w:rsid w:val="00CA1C08"/>
    <w:rsid w:val="00CA4EBB"/>
    <w:rsid w:val="00CA73D6"/>
    <w:rsid w:val="00CB61D9"/>
    <w:rsid w:val="00CB743E"/>
    <w:rsid w:val="00CC2817"/>
    <w:rsid w:val="00CC5381"/>
    <w:rsid w:val="00CC6610"/>
    <w:rsid w:val="00CC7911"/>
    <w:rsid w:val="00CD1F3D"/>
    <w:rsid w:val="00CF2C59"/>
    <w:rsid w:val="00CF307D"/>
    <w:rsid w:val="00CF36AB"/>
    <w:rsid w:val="00CF51AF"/>
    <w:rsid w:val="00CF6884"/>
    <w:rsid w:val="00D003D1"/>
    <w:rsid w:val="00D02AFE"/>
    <w:rsid w:val="00D03555"/>
    <w:rsid w:val="00D056C2"/>
    <w:rsid w:val="00D0612E"/>
    <w:rsid w:val="00D07828"/>
    <w:rsid w:val="00D10237"/>
    <w:rsid w:val="00D103B9"/>
    <w:rsid w:val="00D11A58"/>
    <w:rsid w:val="00D14D4A"/>
    <w:rsid w:val="00D20673"/>
    <w:rsid w:val="00D20766"/>
    <w:rsid w:val="00D22ADD"/>
    <w:rsid w:val="00D23759"/>
    <w:rsid w:val="00D2523A"/>
    <w:rsid w:val="00D261A5"/>
    <w:rsid w:val="00D279E8"/>
    <w:rsid w:val="00D314A0"/>
    <w:rsid w:val="00D31866"/>
    <w:rsid w:val="00D32C21"/>
    <w:rsid w:val="00D36E6E"/>
    <w:rsid w:val="00D371C9"/>
    <w:rsid w:val="00D40709"/>
    <w:rsid w:val="00D43E06"/>
    <w:rsid w:val="00D53AD7"/>
    <w:rsid w:val="00D55935"/>
    <w:rsid w:val="00D56549"/>
    <w:rsid w:val="00D57EC4"/>
    <w:rsid w:val="00D6399E"/>
    <w:rsid w:val="00D639A1"/>
    <w:rsid w:val="00D65E8C"/>
    <w:rsid w:val="00D66C2C"/>
    <w:rsid w:val="00D7049C"/>
    <w:rsid w:val="00D727EE"/>
    <w:rsid w:val="00D74536"/>
    <w:rsid w:val="00D758ED"/>
    <w:rsid w:val="00D762C8"/>
    <w:rsid w:val="00D8057F"/>
    <w:rsid w:val="00D80F71"/>
    <w:rsid w:val="00D816A5"/>
    <w:rsid w:val="00D84651"/>
    <w:rsid w:val="00D85449"/>
    <w:rsid w:val="00D857B6"/>
    <w:rsid w:val="00D906B5"/>
    <w:rsid w:val="00D90C20"/>
    <w:rsid w:val="00D915D7"/>
    <w:rsid w:val="00D91F3A"/>
    <w:rsid w:val="00D926D0"/>
    <w:rsid w:val="00D93B77"/>
    <w:rsid w:val="00D9524B"/>
    <w:rsid w:val="00DA27FA"/>
    <w:rsid w:val="00DA3996"/>
    <w:rsid w:val="00DA5D47"/>
    <w:rsid w:val="00DA5E10"/>
    <w:rsid w:val="00DA65C2"/>
    <w:rsid w:val="00DB037E"/>
    <w:rsid w:val="00DB2C83"/>
    <w:rsid w:val="00DB401E"/>
    <w:rsid w:val="00DB5E57"/>
    <w:rsid w:val="00DB6DE5"/>
    <w:rsid w:val="00DC1DA8"/>
    <w:rsid w:val="00DC2C8F"/>
    <w:rsid w:val="00DC4B45"/>
    <w:rsid w:val="00DC58B1"/>
    <w:rsid w:val="00DC5FF4"/>
    <w:rsid w:val="00DD24F5"/>
    <w:rsid w:val="00DD2F61"/>
    <w:rsid w:val="00DD501A"/>
    <w:rsid w:val="00DD5438"/>
    <w:rsid w:val="00DD675B"/>
    <w:rsid w:val="00DD78E7"/>
    <w:rsid w:val="00DE1867"/>
    <w:rsid w:val="00DE36C4"/>
    <w:rsid w:val="00DE4E32"/>
    <w:rsid w:val="00DE57EC"/>
    <w:rsid w:val="00DF23DD"/>
    <w:rsid w:val="00DF35DF"/>
    <w:rsid w:val="00DF5F13"/>
    <w:rsid w:val="00DF7123"/>
    <w:rsid w:val="00E00393"/>
    <w:rsid w:val="00E00DAC"/>
    <w:rsid w:val="00E03E22"/>
    <w:rsid w:val="00E05D49"/>
    <w:rsid w:val="00E067A0"/>
    <w:rsid w:val="00E07B52"/>
    <w:rsid w:val="00E10650"/>
    <w:rsid w:val="00E122E3"/>
    <w:rsid w:val="00E157D0"/>
    <w:rsid w:val="00E16472"/>
    <w:rsid w:val="00E24688"/>
    <w:rsid w:val="00E251C3"/>
    <w:rsid w:val="00E25329"/>
    <w:rsid w:val="00E302F4"/>
    <w:rsid w:val="00E33B74"/>
    <w:rsid w:val="00E3474D"/>
    <w:rsid w:val="00E363FB"/>
    <w:rsid w:val="00E41C39"/>
    <w:rsid w:val="00E45A7D"/>
    <w:rsid w:val="00E52727"/>
    <w:rsid w:val="00E5533D"/>
    <w:rsid w:val="00E60684"/>
    <w:rsid w:val="00E61FAB"/>
    <w:rsid w:val="00E62F35"/>
    <w:rsid w:val="00E6591E"/>
    <w:rsid w:val="00E66191"/>
    <w:rsid w:val="00E70A86"/>
    <w:rsid w:val="00E71272"/>
    <w:rsid w:val="00E720C2"/>
    <w:rsid w:val="00E821BF"/>
    <w:rsid w:val="00E82F06"/>
    <w:rsid w:val="00E82FF1"/>
    <w:rsid w:val="00E86257"/>
    <w:rsid w:val="00E90CD6"/>
    <w:rsid w:val="00E91BF9"/>
    <w:rsid w:val="00E92B87"/>
    <w:rsid w:val="00E9441D"/>
    <w:rsid w:val="00E94B5D"/>
    <w:rsid w:val="00E969E6"/>
    <w:rsid w:val="00E9723C"/>
    <w:rsid w:val="00EA0AC0"/>
    <w:rsid w:val="00EA1FE1"/>
    <w:rsid w:val="00EA316C"/>
    <w:rsid w:val="00EA331F"/>
    <w:rsid w:val="00EA3B75"/>
    <w:rsid w:val="00EB2F19"/>
    <w:rsid w:val="00EB4F91"/>
    <w:rsid w:val="00EB66C5"/>
    <w:rsid w:val="00EB6DF4"/>
    <w:rsid w:val="00EC358A"/>
    <w:rsid w:val="00ED1093"/>
    <w:rsid w:val="00ED27F2"/>
    <w:rsid w:val="00ED4698"/>
    <w:rsid w:val="00ED5080"/>
    <w:rsid w:val="00EE0085"/>
    <w:rsid w:val="00EE00FD"/>
    <w:rsid w:val="00EE0760"/>
    <w:rsid w:val="00EE1902"/>
    <w:rsid w:val="00EE26DE"/>
    <w:rsid w:val="00EE53FB"/>
    <w:rsid w:val="00EF6DBD"/>
    <w:rsid w:val="00EF7621"/>
    <w:rsid w:val="00F01719"/>
    <w:rsid w:val="00F02484"/>
    <w:rsid w:val="00F0629B"/>
    <w:rsid w:val="00F062B5"/>
    <w:rsid w:val="00F07B6D"/>
    <w:rsid w:val="00F10FF2"/>
    <w:rsid w:val="00F114B4"/>
    <w:rsid w:val="00F12863"/>
    <w:rsid w:val="00F13199"/>
    <w:rsid w:val="00F13D41"/>
    <w:rsid w:val="00F15C08"/>
    <w:rsid w:val="00F16CE1"/>
    <w:rsid w:val="00F17A82"/>
    <w:rsid w:val="00F22996"/>
    <w:rsid w:val="00F265C9"/>
    <w:rsid w:val="00F26DCC"/>
    <w:rsid w:val="00F27E3A"/>
    <w:rsid w:val="00F31468"/>
    <w:rsid w:val="00F317CF"/>
    <w:rsid w:val="00F32FEC"/>
    <w:rsid w:val="00F35B62"/>
    <w:rsid w:val="00F37F65"/>
    <w:rsid w:val="00F47762"/>
    <w:rsid w:val="00F545F0"/>
    <w:rsid w:val="00F549E5"/>
    <w:rsid w:val="00F5757A"/>
    <w:rsid w:val="00F61C8F"/>
    <w:rsid w:val="00F64D90"/>
    <w:rsid w:val="00F67023"/>
    <w:rsid w:val="00F70AFB"/>
    <w:rsid w:val="00F74B2E"/>
    <w:rsid w:val="00F75E79"/>
    <w:rsid w:val="00F764DC"/>
    <w:rsid w:val="00F76AC7"/>
    <w:rsid w:val="00F8143B"/>
    <w:rsid w:val="00F847AD"/>
    <w:rsid w:val="00F904CC"/>
    <w:rsid w:val="00F93546"/>
    <w:rsid w:val="00F948EA"/>
    <w:rsid w:val="00F94A0E"/>
    <w:rsid w:val="00F94F36"/>
    <w:rsid w:val="00F973C7"/>
    <w:rsid w:val="00FA2700"/>
    <w:rsid w:val="00FA45E4"/>
    <w:rsid w:val="00FA6F2B"/>
    <w:rsid w:val="00FB11E9"/>
    <w:rsid w:val="00FB1DF7"/>
    <w:rsid w:val="00FB255B"/>
    <w:rsid w:val="00FB3B65"/>
    <w:rsid w:val="00FB5823"/>
    <w:rsid w:val="00FB605B"/>
    <w:rsid w:val="00FB659C"/>
    <w:rsid w:val="00FC01AC"/>
    <w:rsid w:val="00FC0627"/>
    <w:rsid w:val="00FC7191"/>
    <w:rsid w:val="00FD2A81"/>
    <w:rsid w:val="00FD2BBC"/>
    <w:rsid w:val="00FE03AA"/>
    <w:rsid w:val="00FE099C"/>
    <w:rsid w:val="00FE120E"/>
    <w:rsid w:val="00FE2223"/>
    <w:rsid w:val="00FE65D5"/>
    <w:rsid w:val="00FF2E03"/>
    <w:rsid w:val="00FF4245"/>
    <w:rsid w:val="00FF48A7"/>
    <w:rsid w:val="00FF4DAA"/>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1731D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lsdException w:name="List 4" w:semiHidden="0"/>
    <w:lsdException w:name="List 5" w:semiHidden="0"/>
    <w:lsdException w:name="Title" w:semiHidden="0" w:unhideWhenUsed="0" w:qFormat="1"/>
    <w:lsdException w:name="Subtitle" w:semiHidden="0" w:unhideWhenUsed="0" w:qFormat="1"/>
    <w:lsdException w:name="Salutation" w:semiHidden="0"/>
    <w:lsdException w:name="Date" w:semiHidden="0"/>
    <w:lsdException w:name="Body Text First Indent" w:semiHidden="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rsid w:val="0014251F"/>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0651E6"/>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0651E6"/>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tabs>
        <w:tab w:val="clear" w:pos="567"/>
      </w:tabs>
      <w:spacing w:before="240" w:after="120"/>
      <w:ind w:left="0"/>
      <w:jc w:val="left"/>
    </w:pPr>
    <w:rPr>
      <w:rFonts w:asciiTheme="minorHAnsi" w:hAnsiTheme="minorHAnsi"/>
      <w:b/>
      <w:caps/>
      <w:sz w:val="22"/>
      <w:szCs w:val="22"/>
      <w:u w:val="single"/>
    </w:rPr>
  </w:style>
  <w:style w:type="paragraph" w:styleId="TOC2">
    <w:name w:val="toc 2"/>
    <w:basedOn w:val="TOC1"/>
    <w:next w:val="Normal"/>
    <w:autoRedefine/>
    <w:uiPriority w:val="39"/>
    <w:rsid w:val="00A73131"/>
    <w:pPr>
      <w:spacing w:before="0" w:after="0"/>
    </w:pPr>
    <w:rPr>
      <w:caps w:val="0"/>
      <w:smallCaps/>
      <w:u w:val="none"/>
    </w:rPr>
  </w:style>
  <w:style w:type="paragraph" w:styleId="TOC3">
    <w:name w:val="toc 3"/>
    <w:basedOn w:val="TOC1"/>
    <w:next w:val="Normal"/>
    <w:autoRedefine/>
    <w:uiPriority w:val="39"/>
    <w:rsid w:val="00A73131"/>
    <w:pPr>
      <w:spacing w:before="0" w:after="0"/>
    </w:pPr>
    <w:rPr>
      <w:b w:val="0"/>
      <w:caps w:val="0"/>
      <w:smallCaps/>
      <w:u w:val="none"/>
    </w:rPr>
  </w:style>
  <w:style w:type="paragraph" w:styleId="TOC4">
    <w:name w:val="toc 4"/>
    <w:basedOn w:val="Normal"/>
    <w:next w:val="Normal"/>
    <w:autoRedefine/>
    <w:uiPriority w:val="39"/>
    <w:rsid w:val="00A73131"/>
    <w:pPr>
      <w:tabs>
        <w:tab w:val="clear" w:pos="567"/>
      </w:tabs>
      <w:ind w:left="0"/>
      <w:jc w:val="left"/>
    </w:pPr>
    <w:rPr>
      <w:rFonts w:asciiTheme="minorHAnsi" w:hAnsiTheme="minorHAnsi"/>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B9689C"/>
    <w:pPr>
      <w:spacing w:before="60" w:after="60"/>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B9689C"/>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E59B1"/>
    <w:rPr>
      <w:rFonts w:ascii="Arial" w:hAnsi="Arial"/>
      <w:sz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autoRedefine/>
    <w:rsid w:val="00B9689C"/>
    <w:pPr>
      <w:numPr>
        <w:numId w:val="1"/>
      </w:numPr>
      <w:tabs>
        <w:tab w:val="clear" w:pos="567"/>
      </w:tabs>
      <w:ind w:left="851" w:hanging="284"/>
    </w:pPr>
  </w:style>
  <w:style w:type="paragraph" w:customStyle="1" w:styleId="Titcoul">
    <w:name w:val="Titcoul"/>
    <w:basedOn w:val="Title"/>
    <w:link w:val="TitcoulCar"/>
    <w:rsid w:val="000651E6"/>
    <w:pPr>
      <w:widowControl w:val="0"/>
      <w:tabs>
        <w:tab w:val="left" w:pos="851"/>
      </w:tabs>
      <w:spacing w:before="720" w:after="240" w:line="320" w:lineRule="exact"/>
      <w:ind w:left="851" w:hanging="851"/>
    </w:pPr>
    <w:rPr>
      <w:rFonts w:ascii="Arial" w:hAnsi="Arial"/>
      <w:color w:val="3366FF"/>
      <w:sz w:val="24"/>
      <w:szCs w:val="24"/>
    </w:rPr>
  </w:style>
  <w:style w:type="character" w:customStyle="1" w:styleId="TitcoulCar">
    <w:name w:val="Titcoul Car"/>
    <w:link w:val="Titcoul"/>
    <w:rsid w:val="000651E6"/>
    <w:rPr>
      <w:rFonts w:ascii="Arial" w:eastAsia="Times New Roman" w:hAnsi="Arial" w:cs="Arial"/>
      <w:b/>
      <w:caps/>
      <w:snapToGrid w:val="0"/>
      <w:color w:val="3366FF"/>
      <w:sz w:val="24"/>
      <w:szCs w:val="24"/>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B9689C"/>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uiPriority w:val="99"/>
    <w:unhideWhenUsed/>
    <w:rsid w:val="00B01BD4"/>
    <w:rPr>
      <w:sz w:val="16"/>
      <w:szCs w:val="16"/>
    </w:rPr>
  </w:style>
  <w:style w:type="paragraph" w:styleId="CommentText">
    <w:name w:val="annotation text"/>
    <w:basedOn w:val="Normal"/>
    <w:link w:val="CommentTextChar"/>
    <w:uiPriority w:val="99"/>
    <w:unhideWhenUsed/>
    <w:rsid w:val="00B01BD4"/>
    <w:pPr>
      <w:spacing w:line="240" w:lineRule="auto"/>
    </w:pPr>
  </w:style>
  <w:style w:type="character" w:customStyle="1" w:styleId="CommentTextChar">
    <w:name w:val="Comment Text Char"/>
    <w:link w:val="CommentText"/>
    <w:uiPriority w:val="99"/>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link w:val="ChapitreCar"/>
    <w:rsid w:val="005A0AB6"/>
    <w:pPr>
      <w:pBdr>
        <w:bottom w:val="single" w:sz="4" w:space="14" w:color="3366FF"/>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795FF0"/>
    <w:pPr>
      <w:keepNext w:val="0"/>
      <w:numPr>
        <w:numId w:val="0"/>
      </w:numPr>
      <w:spacing w:before="480" w:after="0" w:line="320" w:lineRule="exact"/>
      <w:ind w:left="567"/>
    </w:pPr>
    <w:rPr>
      <w:i/>
      <w:iCs/>
      <w:color w:val="3366FF"/>
      <w:szCs w:val="24"/>
    </w:rPr>
  </w:style>
  <w:style w:type="character" w:customStyle="1" w:styleId="ChapinfoCar">
    <w:name w:val="Chapinfo Car"/>
    <w:link w:val="Chapinfo"/>
    <w:rsid w:val="00795FF0"/>
    <w:rPr>
      <w:rFonts w:ascii="Arial" w:eastAsia="SimSun" w:hAnsi="Arial" w:cs="Arial"/>
      <w:i/>
      <w:iCs/>
      <w:color w:val="3366FF"/>
      <w:sz w:val="24"/>
      <w:szCs w:val="24"/>
      <w:lang w:eastAsia="zh-CN"/>
    </w:rPr>
  </w:style>
  <w:style w:type="paragraph" w:customStyle="1" w:styleId="Enutiret2">
    <w:name w:val="Enutiret2"/>
    <w:basedOn w:val="Enutiret"/>
    <w:rsid w:val="000D6D71"/>
    <w:pPr>
      <w:ind w:left="1701"/>
    </w:pPr>
  </w:style>
  <w:style w:type="paragraph" w:customStyle="1" w:styleId="Cas">
    <w:name w:val="Cas"/>
    <w:basedOn w:val="Heading4"/>
    <w:rsid w:val="00BC3B18"/>
    <w:pPr>
      <w:spacing w:before="0" w:line="360" w:lineRule="exact"/>
    </w:pPr>
    <w:rPr>
      <w:caps w:val="0"/>
      <w:color w:val="3366FF"/>
      <w:sz w:val="28"/>
      <w:szCs w:val="28"/>
    </w:rPr>
  </w:style>
  <w:style w:type="paragraph" w:customStyle="1" w:styleId="Caschap">
    <w:name w:val="Caschap"/>
    <w:basedOn w:val="Chapitre"/>
    <w:rsid w:val="00BC3B18"/>
    <w:pPr>
      <w:pBdr>
        <w:bottom w:val="none" w:sz="0" w:space="0" w:color="auto"/>
      </w:pBdr>
      <w:spacing w:before="0" w:after="120" w:line="480" w:lineRule="exact"/>
    </w:pPr>
    <w:rPr>
      <w:color w:val="auto"/>
      <w:sz w:val="36"/>
      <w:szCs w:val="48"/>
    </w:rPr>
  </w:style>
  <w:style w:type="paragraph" w:customStyle="1" w:styleId="Sschap">
    <w:name w:val="Sschap"/>
    <w:basedOn w:val="Txtgras"/>
    <w:autoRedefine/>
    <w:rsid w:val="000C41FA"/>
    <w:pPr>
      <w:widowControl w:val="0"/>
      <w:spacing w:before="600" w:after="480"/>
    </w:pPr>
    <w:rPr>
      <w:rFonts w:ascii="Arial" w:hAnsi="Arial"/>
      <w:smallCaps w:val="0"/>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lang w:val="en-US"/>
    </w:rPr>
  </w:style>
  <w:style w:type="character" w:customStyle="1" w:styleId="KeyCar">
    <w:name w:val="Key Car"/>
    <w:basedOn w:val="TitcoulCar"/>
    <w:link w:val="Key"/>
    <w:rsid w:val="00DA5D47"/>
    <w:rPr>
      <w:rFonts w:ascii="Arial Gras" w:eastAsia="SimSun" w:hAnsi="Arial Gras" w:cs="Arial"/>
      <w:b/>
      <w:bCs w:val="0"/>
      <w:caps/>
      <w:snapToGrid w:val="0"/>
      <w:color w:val="3366FF"/>
      <w:sz w:val="24"/>
      <w:szCs w:val="24"/>
      <w:lang w:val="en-US" w:eastAsia="zh-CN"/>
    </w:rPr>
  </w:style>
  <w:style w:type="paragraph" w:customStyle="1" w:styleId="Textegras">
    <w:name w:val="Textegras"/>
    <w:basedOn w:val="Texte1"/>
    <w:link w:val="TextegrasCar"/>
    <w:rsid w:val="0057532F"/>
    <w:pPr>
      <w:keepNext/>
      <w:spacing w:before="120"/>
      <w:ind w:left="284" w:hanging="284"/>
      <w:jc w:val="left"/>
    </w:pPr>
    <w:rPr>
      <w:b/>
      <w:w w:val="95"/>
      <w:lang w:val="en-GB"/>
    </w:rPr>
  </w:style>
  <w:style w:type="character" w:customStyle="1" w:styleId="TextegrasCar">
    <w:name w:val="Textegras Car"/>
    <w:basedOn w:val="Texte1Car"/>
    <w:link w:val="Textegras"/>
    <w:rsid w:val="0057532F"/>
    <w:rPr>
      <w:rFonts w:ascii="Arial" w:eastAsia="SimSun" w:hAnsi="Arial" w:cs="Arial"/>
      <w:b/>
      <w:w w:val="95"/>
      <w:lang w:val="en-GB" w:eastAsia="zh-CN"/>
    </w:rPr>
  </w:style>
  <w:style w:type="character" w:customStyle="1" w:styleId="EnutiretCar">
    <w:name w:val="Enutiret Car"/>
    <w:basedOn w:val="DefaultParagraphFont"/>
    <w:rsid w:val="00073751"/>
    <w:rPr>
      <w:rFonts w:ascii="Arial" w:hAnsi="Arial" w:cs="Arial"/>
      <w:noProof/>
      <w:snapToGrid w:val="0"/>
      <w:sz w:val="20"/>
      <w:szCs w:val="20"/>
      <w:lang w:eastAsia="en-US"/>
    </w:rPr>
  </w:style>
  <w:style w:type="paragraph" w:customStyle="1" w:styleId="Info03">
    <w:name w:val="Info03"/>
    <w:basedOn w:val="Normal"/>
    <w:rsid w:val="00F61C8F"/>
    <w:pPr>
      <w:tabs>
        <w:tab w:val="left" w:pos="1134"/>
        <w:tab w:val="left" w:pos="1701"/>
        <w:tab w:val="left" w:pos="2268"/>
      </w:tabs>
      <w:snapToGrid/>
      <w:spacing w:after="120" w:line="220" w:lineRule="exact"/>
      <w:ind w:left="113" w:right="113"/>
    </w:pPr>
    <w:rPr>
      <w:rFonts w:eastAsia="Times New Roman"/>
      <w:i/>
      <w:iCs/>
      <w:szCs w:val="22"/>
      <w:lang w:val="en-US" w:eastAsia="fr-FR"/>
    </w:rPr>
  </w:style>
  <w:style w:type="character" w:customStyle="1" w:styleId="ChapitreCar">
    <w:name w:val="Chapitre Car"/>
    <w:link w:val="Chapitre"/>
    <w:locked/>
    <w:rsid w:val="005A0AB6"/>
    <w:rPr>
      <w:rFonts w:ascii="Arial" w:eastAsia="Times New Roman" w:hAnsi="Arial" w:cs="Arial"/>
      <w:b/>
      <w:caps/>
      <w:snapToGrid w:val="0"/>
      <w:color w:val="3366FF"/>
      <w:sz w:val="70"/>
      <w:szCs w:val="70"/>
      <w:lang w:eastAsia="zh-CN"/>
    </w:rPr>
  </w:style>
  <w:style w:type="paragraph" w:customStyle="1" w:styleId="HO1">
    <w:name w:val="HO1"/>
    <w:basedOn w:val="Normal"/>
    <w:link w:val="HO1Car"/>
    <w:rsid w:val="005A0AB6"/>
    <w:pPr>
      <w:keepLines/>
      <w:spacing w:before="480" w:line="480" w:lineRule="exact"/>
      <w:ind w:left="0"/>
      <w:jc w:val="left"/>
      <w:outlineLvl w:val="0"/>
    </w:pPr>
    <w:rPr>
      <w:rFonts w:eastAsia="Times New Roman"/>
      <w:b/>
      <w:bCs/>
      <w:noProof/>
      <w:snapToGrid w:val="0"/>
      <w:color w:val="3366FF"/>
      <w:sz w:val="32"/>
      <w:szCs w:val="32"/>
      <w:lang w:val="en-US"/>
    </w:rPr>
  </w:style>
  <w:style w:type="character" w:customStyle="1" w:styleId="HO1Car">
    <w:name w:val="HO1 Car"/>
    <w:basedOn w:val="DefaultParagraphFont"/>
    <w:link w:val="HO1"/>
    <w:rsid w:val="005A0AB6"/>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5A0AB6"/>
    <w:pPr>
      <w:spacing w:before="0" w:after="480"/>
    </w:pPr>
    <w:rPr>
      <w:caps/>
    </w:rPr>
  </w:style>
  <w:style w:type="character" w:customStyle="1" w:styleId="HO2Car">
    <w:name w:val="HO2 Car"/>
    <w:basedOn w:val="HO1Car"/>
    <w:link w:val="HO2"/>
    <w:rsid w:val="005A0AB6"/>
    <w:rPr>
      <w:rFonts w:ascii="Arial" w:eastAsia="Times New Roman" w:hAnsi="Arial" w:cs="Arial"/>
      <w:b/>
      <w:bCs/>
      <w:caps/>
      <w:noProof/>
      <w:snapToGrid w:val="0"/>
      <w:color w:val="3366FF"/>
      <w:sz w:val="32"/>
      <w:szCs w:val="32"/>
      <w:lang w:val="en-US" w:eastAsia="zh-CN"/>
    </w:rPr>
  </w:style>
  <w:style w:type="character" w:styleId="Emphasis">
    <w:name w:val="Emphasis"/>
    <w:basedOn w:val="DefaultParagraphFont"/>
    <w:qFormat/>
    <w:rsid w:val="0024620F"/>
    <w:rPr>
      <w:i/>
      <w:iCs/>
    </w:rPr>
  </w:style>
  <w:style w:type="paragraph" w:styleId="DocumentMap">
    <w:name w:val="Document Map"/>
    <w:basedOn w:val="Normal"/>
    <w:link w:val="DocumentMapChar"/>
    <w:semiHidden/>
    <w:unhideWhenUsed/>
    <w:rsid w:val="00F973C7"/>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F973C7"/>
    <w:rPr>
      <w:rFonts w:ascii="Lucida Grande" w:eastAsia="SimSun" w:hAnsi="Lucida Grande" w:cs="Lucida Grande"/>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lsdException w:name="List 4" w:semiHidden="0"/>
    <w:lsdException w:name="List 5" w:semiHidden="0"/>
    <w:lsdException w:name="Title" w:semiHidden="0" w:unhideWhenUsed="0" w:qFormat="1"/>
    <w:lsdException w:name="Subtitle" w:semiHidden="0" w:unhideWhenUsed="0" w:qFormat="1"/>
    <w:lsdException w:name="Salutation" w:semiHidden="0"/>
    <w:lsdException w:name="Date" w:semiHidden="0"/>
    <w:lsdException w:name="Body Text First Indent" w:semiHidden="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rsid w:val="0014251F"/>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0651E6"/>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0651E6"/>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tabs>
        <w:tab w:val="clear" w:pos="567"/>
      </w:tabs>
      <w:spacing w:before="240" w:after="120"/>
      <w:ind w:left="0"/>
      <w:jc w:val="left"/>
    </w:pPr>
    <w:rPr>
      <w:rFonts w:asciiTheme="minorHAnsi" w:hAnsiTheme="minorHAnsi"/>
      <w:b/>
      <w:caps/>
      <w:sz w:val="22"/>
      <w:szCs w:val="22"/>
      <w:u w:val="single"/>
    </w:rPr>
  </w:style>
  <w:style w:type="paragraph" w:styleId="TOC2">
    <w:name w:val="toc 2"/>
    <w:basedOn w:val="TOC1"/>
    <w:next w:val="Normal"/>
    <w:autoRedefine/>
    <w:uiPriority w:val="39"/>
    <w:rsid w:val="00A73131"/>
    <w:pPr>
      <w:spacing w:before="0" w:after="0"/>
    </w:pPr>
    <w:rPr>
      <w:caps w:val="0"/>
      <w:smallCaps/>
      <w:u w:val="none"/>
    </w:rPr>
  </w:style>
  <w:style w:type="paragraph" w:styleId="TOC3">
    <w:name w:val="toc 3"/>
    <w:basedOn w:val="TOC1"/>
    <w:next w:val="Normal"/>
    <w:autoRedefine/>
    <w:uiPriority w:val="39"/>
    <w:rsid w:val="00A73131"/>
    <w:pPr>
      <w:spacing w:before="0" w:after="0"/>
    </w:pPr>
    <w:rPr>
      <w:b w:val="0"/>
      <w:caps w:val="0"/>
      <w:smallCaps/>
      <w:u w:val="none"/>
    </w:rPr>
  </w:style>
  <w:style w:type="paragraph" w:styleId="TOC4">
    <w:name w:val="toc 4"/>
    <w:basedOn w:val="Normal"/>
    <w:next w:val="Normal"/>
    <w:autoRedefine/>
    <w:uiPriority w:val="39"/>
    <w:rsid w:val="00A73131"/>
    <w:pPr>
      <w:tabs>
        <w:tab w:val="clear" w:pos="567"/>
      </w:tabs>
      <w:ind w:left="0"/>
      <w:jc w:val="left"/>
    </w:pPr>
    <w:rPr>
      <w:rFonts w:asciiTheme="minorHAnsi" w:hAnsiTheme="minorHAnsi"/>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B9689C"/>
    <w:pPr>
      <w:spacing w:before="60" w:after="60"/>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B9689C"/>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E59B1"/>
    <w:rPr>
      <w:rFonts w:ascii="Arial" w:hAnsi="Arial"/>
      <w:sz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autoRedefine/>
    <w:rsid w:val="00B9689C"/>
    <w:pPr>
      <w:numPr>
        <w:numId w:val="1"/>
      </w:numPr>
      <w:tabs>
        <w:tab w:val="clear" w:pos="567"/>
      </w:tabs>
      <w:ind w:left="851" w:hanging="284"/>
    </w:pPr>
  </w:style>
  <w:style w:type="paragraph" w:customStyle="1" w:styleId="Titcoul">
    <w:name w:val="Titcoul"/>
    <w:basedOn w:val="Title"/>
    <w:link w:val="TitcoulCar"/>
    <w:rsid w:val="000651E6"/>
    <w:pPr>
      <w:widowControl w:val="0"/>
      <w:tabs>
        <w:tab w:val="left" w:pos="851"/>
      </w:tabs>
      <w:spacing w:before="720" w:after="240" w:line="320" w:lineRule="exact"/>
      <w:ind w:left="851" w:hanging="851"/>
    </w:pPr>
    <w:rPr>
      <w:rFonts w:ascii="Arial" w:hAnsi="Arial"/>
      <w:color w:val="3366FF"/>
      <w:sz w:val="24"/>
      <w:szCs w:val="24"/>
    </w:rPr>
  </w:style>
  <w:style w:type="character" w:customStyle="1" w:styleId="TitcoulCar">
    <w:name w:val="Titcoul Car"/>
    <w:link w:val="Titcoul"/>
    <w:rsid w:val="000651E6"/>
    <w:rPr>
      <w:rFonts w:ascii="Arial" w:eastAsia="Times New Roman" w:hAnsi="Arial" w:cs="Arial"/>
      <w:b/>
      <w:caps/>
      <w:snapToGrid w:val="0"/>
      <w:color w:val="3366FF"/>
      <w:sz w:val="24"/>
      <w:szCs w:val="24"/>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B9689C"/>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uiPriority w:val="99"/>
    <w:unhideWhenUsed/>
    <w:rsid w:val="00B01BD4"/>
    <w:rPr>
      <w:sz w:val="16"/>
      <w:szCs w:val="16"/>
    </w:rPr>
  </w:style>
  <w:style w:type="paragraph" w:styleId="CommentText">
    <w:name w:val="annotation text"/>
    <w:basedOn w:val="Normal"/>
    <w:link w:val="CommentTextChar"/>
    <w:uiPriority w:val="99"/>
    <w:unhideWhenUsed/>
    <w:rsid w:val="00B01BD4"/>
    <w:pPr>
      <w:spacing w:line="240" w:lineRule="auto"/>
    </w:pPr>
  </w:style>
  <w:style w:type="character" w:customStyle="1" w:styleId="CommentTextChar">
    <w:name w:val="Comment Text Char"/>
    <w:link w:val="CommentText"/>
    <w:uiPriority w:val="99"/>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link w:val="ChapitreCar"/>
    <w:rsid w:val="005A0AB6"/>
    <w:pPr>
      <w:pBdr>
        <w:bottom w:val="single" w:sz="4" w:space="14" w:color="3366FF"/>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795FF0"/>
    <w:pPr>
      <w:keepNext w:val="0"/>
      <w:numPr>
        <w:numId w:val="0"/>
      </w:numPr>
      <w:spacing w:before="480" w:after="0" w:line="320" w:lineRule="exact"/>
      <w:ind w:left="567"/>
    </w:pPr>
    <w:rPr>
      <w:i/>
      <w:iCs/>
      <w:color w:val="3366FF"/>
      <w:szCs w:val="24"/>
    </w:rPr>
  </w:style>
  <w:style w:type="character" w:customStyle="1" w:styleId="ChapinfoCar">
    <w:name w:val="Chapinfo Car"/>
    <w:link w:val="Chapinfo"/>
    <w:rsid w:val="00795FF0"/>
    <w:rPr>
      <w:rFonts w:ascii="Arial" w:eastAsia="SimSun" w:hAnsi="Arial" w:cs="Arial"/>
      <w:i/>
      <w:iCs/>
      <w:color w:val="3366FF"/>
      <w:sz w:val="24"/>
      <w:szCs w:val="24"/>
      <w:lang w:eastAsia="zh-CN"/>
    </w:rPr>
  </w:style>
  <w:style w:type="paragraph" w:customStyle="1" w:styleId="Enutiret2">
    <w:name w:val="Enutiret2"/>
    <w:basedOn w:val="Enutiret"/>
    <w:rsid w:val="000D6D71"/>
    <w:pPr>
      <w:ind w:left="1701"/>
    </w:pPr>
  </w:style>
  <w:style w:type="paragraph" w:customStyle="1" w:styleId="Cas">
    <w:name w:val="Cas"/>
    <w:basedOn w:val="Heading4"/>
    <w:rsid w:val="00BC3B18"/>
    <w:pPr>
      <w:spacing w:before="0" w:line="360" w:lineRule="exact"/>
    </w:pPr>
    <w:rPr>
      <w:caps w:val="0"/>
      <w:color w:val="3366FF"/>
      <w:sz w:val="28"/>
      <w:szCs w:val="28"/>
    </w:rPr>
  </w:style>
  <w:style w:type="paragraph" w:customStyle="1" w:styleId="Caschap">
    <w:name w:val="Caschap"/>
    <w:basedOn w:val="Chapitre"/>
    <w:rsid w:val="00BC3B18"/>
    <w:pPr>
      <w:pBdr>
        <w:bottom w:val="none" w:sz="0" w:space="0" w:color="auto"/>
      </w:pBdr>
      <w:spacing w:before="0" w:after="120" w:line="480" w:lineRule="exact"/>
    </w:pPr>
    <w:rPr>
      <w:color w:val="auto"/>
      <w:sz w:val="36"/>
      <w:szCs w:val="48"/>
    </w:rPr>
  </w:style>
  <w:style w:type="paragraph" w:customStyle="1" w:styleId="Sschap">
    <w:name w:val="Sschap"/>
    <w:basedOn w:val="Txtgras"/>
    <w:autoRedefine/>
    <w:rsid w:val="000C41FA"/>
    <w:pPr>
      <w:widowControl w:val="0"/>
      <w:spacing w:before="600" w:after="480"/>
    </w:pPr>
    <w:rPr>
      <w:rFonts w:ascii="Arial" w:hAnsi="Arial"/>
      <w:smallCaps w:val="0"/>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lang w:val="en-US"/>
    </w:rPr>
  </w:style>
  <w:style w:type="character" w:customStyle="1" w:styleId="KeyCar">
    <w:name w:val="Key Car"/>
    <w:basedOn w:val="TitcoulCar"/>
    <w:link w:val="Key"/>
    <w:rsid w:val="00DA5D47"/>
    <w:rPr>
      <w:rFonts w:ascii="Arial Gras" w:eastAsia="SimSun" w:hAnsi="Arial Gras" w:cs="Arial"/>
      <w:b/>
      <w:bCs w:val="0"/>
      <w:caps/>
      <w:snapToGrid w:val="0"/>
      <w:color w:val="3366FF"/>
      <w:sz w:val="24"/>
      <w:szCs w:val="24"/>
      <w:lang w:val="en-US" w:eastAsia="zh-CN"/>
    </w:rPr>
  </w:style>
  <w:style w:type="paragraph" w:customStyle="1" w:styleId="Textegras">
    <w:name w:val="Textegras"/>
    <w:basedOn w:val="Texte1"/>
    <w:link w:val="TextegrasCar"/>
    <w:rsid w:val="0057532F"/>
    <w:pPr>
      <w:keepNext/>
      <w:spacing w:before="120"/>
      <w:ind w:left="284" w:hanging="284"/>
      <w:jc w:val="left"/>
    </w:pPr>
    <w:rPr>
      <w:b/>
      <w:w w:val="95"/>
      <w:lang w:val="en-GB"/>
    </w:rPr>
  </w:style>
  <w:style w:type="character" w:customStyle="1" w:styleId="TextegrasCar">
    <w:name w:val="Textegras Car"/>
    <w:basedOn w:val="Texte1Car"/>
    <w:link w:val="Textegras"/>
    <w:rsid w:val="0057532F"/>
    <w:rPr>
      <w:rFonts w:ascii="Arial" w:eastAsia="SimSun" w:hAnsi="Arial" w:cs="Arial"/>
      <w:b/>
      <w:w w:val="95"/>
      <w:lang w:val="en-GB" w:eastAsia="zh-CN"/>
    </w:rPr>
  </w:style>
  <w:style w:type="character" w:customStyle="1" w:styleId="EnutiretCar">
    <w:name w:val="Enutiret Car"/>
    <w:basedOn w:val="DefaultParagraphFont"/>
    <w:rsid w:val="00073751"/>
    <w:rPr>
      <w:rFonts w:ascii="Arial" w:hAnsi="Arial" w:cs="Arial"/>
      <w:noProof/>
      <w:snapToGrid w:val="0"/>
      <w:sz w:val="20"/>
      <w:szCs w:val="20"/>
      <w:lang w:eastAsia="en-US"/>
    </w:rPr>
  </w:style>
  <w:style w:type="paragraph" w:customStyle="1" w:styleId="Info03">
    <w:name w:val="Info03"/>
    <w:basedOn w:val="Normal"/>
    <w:rsid w:val="00F61C8F"/>
    <w:pPr>
      <w:tabs>
        <w:tab w:val="left" w:pos="1134"/>
        <w:tab w:val="left" w:pos="1701"/>
        <w:tab w:val="left" w:pos="2268"/>
      </w:tabs>
      <w:snapToGrid/>
      <w:spacing w:after="120" w:line="220" w:lineRule="exact"/>
      <w:ind w:left="113" w:right="113"/>
    </w:pPr>
    <w:rPr>
      <w:rFonts w:eastAsia="Times New Roman"/>
      <w:i/>
      <w:iCs/>
      <w:szCs w:val="22"/>
      <w:lang w:val="en-US" w:eastAsia="fr-FR"/>
    </w:rPr>
  </w:style>
  <w:style w:type="character" w:customStyle="1" w:styleId="ChapitreCar">
    <w:name w:val="Chapitre Car"/>
    <w:link w:val="Chapitre"/>
    <w:locked/>
    <w:rsid w:val="005A0AB6"/>
    <w:rPr>
      <w:rFonts w:ascii="Arial" w:eastAsia="Times New Roman" w:hAnsi="Arial" w:cs="Arial"/>
      <w:b/>
      <w:caps/>
      <w:snapToGrid w:val="0"/>
      <w:color w:val="3366FF"/>
      <w:sz w:val="70"/>
      <w:szCs w:val="70"/>
      <w:lang w:eastAsia="zh-CN"/>
    </w:rPr>
  </w:style>
  <w:style w:type="paragraph" w:customStyle="1" w:styleId="HO1">
    <w:name w:val="HO1"/>
    <w:basedOn w:val="Normal"/>
    <w:link w:val="HO1Car"/>
    <w:rsid w:val="005A0AB6"/>
    <w:pPr>
      <w:keepLines/>
      <w:spacing w:before="480" w:line="480" w:lineRule="exact"/>
      <w:ind w:left="0"/>
      <w:jc w:val="left"/>
      <w:outlineLvl w:val="0"/>
    </w:pPr>
    <w:rPr>
      <w:rFonts w:eastAsia="Times New Roman"/>
      <w:b/>
      <w:bCs/>
      <w:noProof/>
      <w:snapToGrid w:val="0"/>
      <w:color w:val="3366FF"/>
      <w:sz w:val="32"/>
      <w:szCs w:val="32"/>
      <w:lang w:val="en-US"/>
    </w:rPr>
  </w:style>
  <w:style w:type="character" w:customStyle="1" w:styleId="HO1Car">
    <w:name w:val="HO1 Car"/>
    <w:basedOn w:val="DefaultParagraphFont"/>
    <w:link w:val="HO1"/>
    <w:rsid w:val="005A0AB6"/>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5A0AB6"/>
    <w:pPr>
      <w:spacing w:before="0" w:after="480"/>
    </w:pPr>
    <w:rPr>
      <w:caps/>
    </w:rPr>
  </w:style>
  <w:style w:type="character" w:customStyle="1" w:styleId="HO2Car">
    <w:name w:val="HO2 Car"/>
    <w:basedOn w:val="HO1Car"/>
    <w:link w:val="HO2"/>
    <w:rsid w:val="005A0AB6"/>
    <w:rPr>
      <w:rFonts w:ascii="Arial" w:eastAsia="Times New Roman" w:hAnsi="Arial" w:cs="Arial"/>
      <w:b/>
      <w:bCs/>
      <w:caps/>
      <w:noProof/>
      <w:snapToGrid w:val="0"/>
      <w:color w:val="3366FF"/>
      <w:sz w:val="32"/>
      <w:szCs w:val="32"/>
      <w:lang w:val="en-US" w:eastAsia="zh-CN"/>
    </w:rPr>
  </w:style>
  <w:style w:type="character" w:styleId="Emphasis">
    <w:name w:val="Emphasis"/>
    <w:basedOn w:val="DefaultParagraphFont"/>
    <w:qFormat/>
    <w:rsid w:val="0024620F"/>
    <w:rPr>
      <w:i/>
      <w:iCs/>
    </w:rPr>
  </w:style>
  <w:style w:type="paragraph" w:styleId="DocumentMap">
    <w:name w:val="Document Map"/>
    <w:basedOn w:val="Normal"/>
    <w:link w:val="DocumentMapChar"/>
    <w:semiHidden/>
    <w:unhideWhenUsed/>
    <w:rsid w:val="00F973C7"/>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F973C7"/>
    <w:rPr>
      <w:rFonts w:ascii="Lucida Grande" w:eastAsia="SimSun" w:hAnsi="Lucida Grande" w:cs="Lucida Grande"/>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4381">
      <w:bodyDiv w:val="1"/>
      <w:marLeft w:val="0"/>
      <w:marRight w:val="0"/>
      <w:marTop w:val="0"/>
      <w:marBottom w:val="0"/>
      <w:divBdr>
        <w:top w:val="none" w:sz="0" w:space="0" w:color="auto"/>
        <w:left w:val="none" w:sz="0" w:space="0" w:color="auto"/>
        <w:bottom w:val="none" w:sz="0" w:space="0" w:color="auto"/>
        <w:right w:val="none" w:sz="0" w:space="0" w:color="auto"/>
      </w:divBdr>
    </w:div>
    <w:div w:id="113601826">
      <w:bodyDiv w:val="1"/>
      <w:marLeft w:val="0"/>
      <w:marRight w:val="0"/>
      <w:marTop w:val="0"/>
      <w:marBottom w:val="0"/>
      <w:divBdr>
        <w:top w:val="none" w:sz="0" w:space="0" w:color="auto"/>
        <w:left w:val="none" w:sz="0" w:space="0" w:color="auto"/>
        <w:bottom w:val="none" w:sz="0" w:space="0" w:color="auto"/>
        <w:right w:val="none" w:sz="0" w:space="0" w:color="auto"/>
      </w:divBdr>
    </w:div>
    <w:div w:id="282462822">
      <w:bodyDiv w:val="1"/>
      <w:marLeft w:val="0"/>
      <w:marRight w:val="0"/>
      <w:marTop w:val="0"/>
      <w:marBottom w:val="0"/>
      <w:divBdr>
        <w:top w:val="none" w:sz="0" w:space="0" w:color="auto"/>
        <w:left w:val="none" w:sz="0" w:space="0" w:color="auto"/>
        <w:bottom w:val="none" w:sz="0" w:space="0" w:color="auto"/>
        <w:right w:val="none" w:sz="0" w:space="0" w:color="auto"/>
      </w:divBdr>
    </w:div>
    <w:div w:id="714740110">
      <w:bodyDiv w:val="1"/>
      <w:marLeft w:val="0"/>
      <w:marRight w:val="0"/>
      <w:marTop w:val="0"/>
      <w:marBottom w:val="0"/>
      <w:divBdr>
        <w:top w:val="none" w:sz="0" w:space="0" w:color="auto"/>
        <w:left w:val="none" w:sz="0" w:space="0" w:color="auto"/>
        <w:bottom w:val="none" w:sz="0" w:space="0" w:color="auto"/>
        <w:right w:val="none" w:sz="0" w:space="0" w:color="auto"/>
      </w:divBdr>
    </w:div>
    <w:div w:id="772746003">
      <w:bodyDiv w:val="1"/>
      <w:marLeft w:val="0"/>
      <w:marRight w:val="0"/>
      <w:marTop w:val="0"/>
      <w:marBottom w:val="0"/>
      <w:divBdr>
        <w:top w:val="none" w:sz="0" w:space="0" w:color="auto"/>
        <w:left w:val="none" w:sz="0" w:space="0" w:color="auto"/>
        <w:bottom w:val="none" w:sz="0" w:space="0" w:color="auto"/>
        <w:right w:val="none" w:sz="0" w:space="0" w:color="auto"/>
      </w:divBdr>
    </w:div>
    <w:div w:id="1169442940">
      <w:bodyDiv w:val="1"/>
      <w:marLeft w:val="0"/>
      <w:marRight w:val="0"/>
      <w:marTop w:val="0"/>
      <w:marBottom w:val="0"/>
      <w:divBdr>
        <w:top w:val="none" w:sz="0" w:space="0" w:color="auto"/>
        <w:left w:val="none" w:sz="0" w:space="0" w:color="auto"/>
        <w:bottom w:val="none" w:sz="0" w:space="0" w:color="auto"/>
        <w:right w:val="none" w:sz="0" w:space="0" w:color="auto"/>
      </w:divBdr>
    </w:div>
    <w:div w:id="1366252977">
      <w:bodyDiv w:val="1"/>
      <w:marLeft w:val="0"/>
      <w:marRight w:val="0"/>
      <w:marTop w:val="0"/>
      <w:marBottom w:val="0"/>
      <w:divBdr>
        <w:top w:val="none" w:sz="0" w:space="0" w:color="auto"/>
        <w:left w:val="none" w:sz="0" w:space="0" w:color="auto"/>
        <w:bottom w:val="none" w:sz="0" w:space="0" w:color="auto"/>
        <w:right w:val="none" w:sz="0" w:space="0" w:color="auto"/>
      </w:divBdr>
    </w:div>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2535">
      <w:bodyDiv w:val="1"/>
      <w:marLeft w:val="0"/>
      <w:marRight w:val="0"/>
      <w:marTop w:val="0"/>
      <w:marBottom w:val="0"/>
      <w:divBdr>
        <w:top w:val="none" w:sz="0" w:space="0" w:color="auto"/>
        <w:left w:val="none" w:sz="0" w:space="0" w:color="auto"/>
        <w:bottom w:val="none" w:sz="0" w:space="0" w:color="auto"/>
        <w:right w:val="none" w:sz="0" w:space="0" w:color="auto"/>
      </w:divBdr>
    </w:div>
    <w:div w:id="1706253258">
      <w:bodyDiv w:val="1"/>
      <w:marLeft w:val="0"/>
      <w:marRight w:val="0"/>
      <w:marTop w:val="0"/>
      <w:marBottom w:val="0"/>
      <w:divBdr>
        <w:top w:val="none" w:sz="0" w:space="0" w:color="auto"/>
        <w:left w:val="none" w:sz="0" w:space="0" w:color="auto"/>
        <w:bottom w:val="none" w:sz="0" w:space="0" w:color="auto"/>
        <w:right w:val="none" w:sz="0" w:space="0" w:color="auto"/>
      </w:divBdr>
    </w:div>
    <w:div w:id="1743871822">
      <w:bodyDiv w:val="1"/>
      <w:marLeft w:val="0"/>
      <w:marRight w:val="0"/>
      <w:marTop w:val="0"/>
      <w:marBottom w:val="0"/>
      <w:divBdr>
        <w:top w:val="none" w:sz="0" w:space="0" w:color="auto"/>
        <w:left w:val="none" w:sz="0" w:space="0" w:color="auto"/>
        <w:bottom w:val="none" w:sz="0" w:space="0" w:color="auto"/>
        <w:right w:val="none" w:sz="0" w:space="0" w:color="auto"/>
      </w:divBdr>
    </w:div>
    <w:div w:id="1899439127">
      <w:bodyDiv w:val="1"/>
      <w:marLeft w:val="0"/>
      <w:marRight w:val="0"/>
      <w:marTop w:val="0"/>
      <w:marBottom w:val="0"/>
      <w:divBdr>
        <w:top w:val="none" w:sz="0" w:space="0" w:color="auto"/>
        <w:left w:val="none" w:sz="0" w:space="0" w:color="auto"/>
        <w:bottom w:val="none" w:sz="0" w:space="0" w:color="auto"/>
        <w:right w:val="none" w:sz="0" w:space="0" w:color="auto"/>
      </w:divBdr>
    </w:div>
    <w:div w:id="1934430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124"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123"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2880A-306F-4794-A636-A7FD8C7C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2724</Words>
  <Characters>14753</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PCI-fr-avril</vt:lpstr>
      <vt:lpstr>Manuel PCI-fr-avril</vt:lpstr>
    </vt:vector>
  </TitlesOfParts>
  <Company/>
  <LinksUpToDate>false</LinksUpToDate>
  <CharactersWithSpaces>17443</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creator>FLUFFY</dc:creator>
  <cp:lastModifiedBy>R.Samadov</cp:lastModifiedBy>
  <cp:revision>4</cp:revision>
  <cp:lastPrinted>2014-04-20T10:57:00Z</cp:lastPrinted>
  <dcterms:created xsi:type="dcterms:W3CDTF">2014-07-03T13:08:00Z</dcterms:created>
  <dcterms:modified xsi:type="dcterms:W3CDTF">2014-10-31T10:45:00Z</dcterms:modified>
</cp:coreProperties>
</file>