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8" w:rsidRPr="00DD057C" w:rsidRDefault="00E2057C" w:rsidP="004936EF">
      <w:pPr>
        <w:pStyle w:val="Chapitre"/>
        <w:rPr>
          <w:lang w:val="es-ES"/>
        </w:rPr>
      </w:pPr>
      <w:bookmarkStart w:id="0" w:name="_Toc302374702"/>
      <w:r w:rsidRPr="00DD057C">
        <w:rPr>
          <w:kern w:val="0"/>
          <w:lang w:val="es-ES"/>
        </w:rPr>
        <w:t>Uni</w:t>
      </w:r>
      <w:r w:rsidR="00B77707" w:rsidRPr="00DD057C">
        <w:rPr>
          <w:kern w:val="0"/>
          <w:lang w:val="es-ES"/>
        </w:rPr>
        <w:t>DAD</w:t>
      </w:r>
      <w:r w:rsidRPr="00DD057C">
        <w:rPr>
          <w:kern w:val="0"/>
          <w:lang w:val="es-ES"/>
        </w:rPr>
        <w:t xml:space="preserve"> 1</w:t>
      </w:r>
      <w:r w:rsidR="00F13D41" w:rsidRPr="004936EF">
        <w:rPr>
          <w:b w:val="0"/>
          <w:caps w:val="0"/>
          <w:sz w:val="20"/>
          <w:szCs w:val="20"/>
          <w:lang w:eastAsia="en-GB"/>
        </w:rPr>
        <w:drawing>
          <wp:anchor distT="0" distB="0" distL="114300" distR="114300" simplePos="0" relativeHeight="251680768" behindDoc="1" locked="1" layoutInCell="1" allowOverlap="0" wp14:anchorId="48ED5BDB" wp14:editId="36B050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57C">
        <w:rPr>
          <w:kern w:val="0"/>
          <w:lang w:val="es-ES"/>
        </w:rPr>
        <w:t>3</w:t>
      </w:r>
    </w:p>
    <w:bookmarkEnd w:id="0"/>
    <w:p w:rsidR="00F13D41" w:rsidRPr="00B77707" w:rsidRDefault="00B77707" w:rsidP="004936EF">
      <w:pPr>
        <w:pStyle w:val="UPlan"/>
        <w:rPr>
          <w:lang w:val="es-ES_tradnl"/>
        </w:rPr>
      </w:pPr>
      <w:r w:rsidRPr="00B77707">
        <w:rPr>
          <w:lang w:val="es-ES_tradnl"/>
        </w:rPr>
        <w:t xml:space="preserve">LA </w:t>
      </w:r>
      <w:r w:rsidR="00F55EAF" w:rsidRPr="00F55EAF">
        <w:rPr>
          <w:lang w:val="es-ES_tradnl"/>
        </w:rPr>
        <w:t xml:space="preserve">Convención del Patrimonio Inmaterial </w:t>
      </w:r>
      <w:r>
        <w:rPr>
          <w:lang w:val="es-ES_tradnl"/>
        </w:rPr>
        <w:t xml:space="preserve">y la </w:t>
      </w:r>
      <w:r w:rsidRPr="00B77707">
        <w:rPr>
          <w:lang w:val="es-ES_tradnl"/>
        </w:rPr>
        <w:t>Convención del Patrimonio Mundial</w:t>
      </w:r>
    </w:p>
    <w:p w:rsidR="005B23EA" w:rsidRPr="00B77707" w:rsidRDefault="00B77707" w:rsidP="00F13D41">
      <w:pPr>
        <w:pStyle w:val="Titcoul"/>
        <w:rPr>
          <w:rFonts w:eastAsia="Calibri"/>
          <w:lang w:val="es-ES_tradnl"/>
        </w:rPr>
      </w:pPr>
      <w:r w:rsidRPr="00B77707">
        <w:rPr>
          <w:kern w:val="0"/>
          <w:szCs w:val="70"/>
          <w:lang w:val="es-ES_tradnl"/>
        </w:rPr>
        <w:t>plan de la lección</w:t>
      </w:r>
    </w:p>
    <w:p w:rsidR="00F50654" w:rsidRPr="004936EF" w:rsidRDefault="003D2C58" w:rsidP="004936EF">
      <w:pPr>
        <w:pStyle w:val="UTit4"/>
        <w:rPr>
          <w:snapToGrid w:val="0"/>
        </w:rPr>
      </w:pPr>
      <w:r w:rsidRPr="004936EF">
        <w:rPr>
          <w:snapToGrid w:val="0"/>
        </w:rPr>
        <w:t>Dura</w:t>
      </w:r>
      <w:r w:rsidR="00B77707">
        <w:rPr>
          <w:snapToGrid w:val="0"/>
        </w:rPr>
        <w:t>ció</w:t>
      </w:r>
      <w:r w:rsidRPr="004936EF">
        <w:rPr>
          <w:snapToGrid w:val="0"/>
        </w:rPr>
        <w:t>n:</w:t>
      </w:r>
    </w:p>
    <w:p w:rsidR="003D2C58" w:rsidRPr="00F3182A" w:rsidRDefault="00827B9C" w:rsidP="00F13D41">
      <w:pPr>
        <w:pStyle w:val="UTxt"/>
        <w:rPr>
          <w:i w:val="0"/>
          <w:lang w:val="es-ES_tradnl"/>
        </w:rPr>
      </w:pPr>
      <w:r w:rsidRPr="00F3182A">
        <w:rPr>
          <w:i w:val="0"/>
          <w:lang w:val="es-ES_tradnl"/>
        </w:rPr>
        <w:t>1 ho</w:t>
      </w:r>
      <w:r w:rsidR="00B77707" w:rsidRPr="00F3182A">
        <w:rPr>
          <w:i w:val="0"/>
          <w:lang w:val="es-ES_tradnl"/>
        </w:rPr>
        <w:t>ra y</w:t>
      </w:r>
      <w:r w:rsidRPr="00F3182A">
        <w:rPr>
          <w:i w:val="0"/>
          <w:lang w:val="es-ES_tradnl"/>
        </w:rPr>
        <w:t xml:space="preserve"> 30 minut</w:t>
      </w:r>
      <w:r w:rsidR="00B77707" w:rsidRPr="00F3182A">
        <w:rPr>
          <w:i w:val="0"/>
          <w:lang w:val="es-ES_tradnl"/>
        </w:rPr>
        <w:t>o</w:t>
      </w:r>
      <w:r w:rsidRPr="00F3182A">
        <w:rPr>
          <w:i w:val="0"/>
          <w:lang w:val="es-ES_tradnl"/>
        </w:rPr>
        <w:t>s</w:t>
      </w:r>
      <w:r w:rsidR="00B77707" w:rsidRPr="00F3182A">
        <w:rPr>
          <w:i w:val="0"/>
          <w:lang w:val="es-ES_tradnl"/>
        </w:rPr>
        <w:t>.</w:t>
      </w:r>
    </w:p>
    <w:p w:rsidR="003D2C58" w:rsidRPr="004936EF" w:rsidRDefault="00B77707" w:rsidP="004936EF">
      <w:pPr>
        <w:pStyle w:val="UTit4"/>
        <w:rPr>
          <w:snapToGrid w:val="0"/>
        </w:rPr>
      </w:pPr>
      <w:r>
        <w:rPr>
          <w:snapToGrid w:val="0"/>
        </w:rPr>
        <w:t>Obje</w:t>
      </w:r>
      <w:r w:rsidR="003D2C58" w:rsidRPr="004936EF">
        <w:rPr>
          <w:snapToGrid w:val="0"/>
        </w:rPr>
        <w:t>tiv</w:t>
      </w:r>
      <w:r>
        <w:rPr>
          <w:snapToGrid w:val="0"/>
        </w:rPr>
        <w:t>o</w:t>
      </w:r>
      <w:r w:rsidR="003D2C58" w:rsidRPr="004936EF">
        <w:rPr>
          <w:snapToGrid w:val="0"/>
        </w:rPr>
        <w:t>(s)</w:t>
      </w:r>
      <w:r w:rsidR="003D2C58" w:rsidRPr="00F13D41">
        <w:rPr>
          <w:snapToGrid w:val="0"/>
        </w:rPr>
        <w:t>:</w:t>
      </w:r>
    </w:p>
    <w:p w:rsidR="003D2C58" w:rsidRPr="00B77707" w:rsidRDefault="00B77707" w:rsidP="00195E98">
      <w:pPr>
        <w:pStyle w:val="UTxt"/>
        <w:rPr>
          <w:i w:val="0"/>
          <w:lang w:val="es-ES_tradnl"/>
        </w:rPr>
      </w:pPr>
      <w:r w:rsidRPr="00B77707">
        <w:rPr>
          <w:i w:val="0"/>
          <w:lang w:val="es-ES_tradnl"/>
        </w:rPr>
        <w:t xml:space="preserve">Llegar a un </w:t>
      </w:r>
      <w:r w:rsidR="00DB5FDF">
        <w:rPr>
          <w:i w:val="0"/>
          <w:lang w:val="es-ES_tradnl"/>
        </w:rPr>
        <w:t xml:space="preserve">mismo entendimiento </w:t>
      </w:r>
      <w:r w:rsidRPr="00B77707">
        <w:rPr>
          <w:i w:val="0"/>
          <w:lang w:val="es-ES_tradnl"/>
        </w:rPr>
        <w:t xml:space="preserve">de los </w:t>
      </w:r>
      <w:r w:rsidR="00DB5FDF">
        <w:rPr>
          <w:i w:val="0"/>
          <w:lang w:val="es-ES_tradnl"/>
        </w:rPr>
        <w:t>elementos</w:t>
      </w:r>
      <w:r w:rsidRPr="00B77707">
        <w:rPr>
          <w:i w:val="0"/>
          <w:lang w:val="es-ES_tradnl"/>
        </w:rPr>
        <w:t xml:space="preserve"> comunes y las diferencias entre la Convención para la Salvaguardia del Patrimonio Cultural Inmaterial</w:t>
      </w:r>
      <w:r w:rsidR="00336816">
        <w:rPr>
          <w:rStyle w:val="FootnoteReference"/>
          <w:i w:val="0"/>
          <w:lang w:val="en-US"/>
        </w:rPr>
        <w:footnoteReference w:id="1"/>
      </w:r>
      <w:r w:rsidR="007C7AE7" w:rsidRPr="00B77707">
        <w:rPr>
          <w:i w:val="0"/>
          <w:lang w:val="es-ES_tradnl"/>
        </w:rPr>
        <w:t xml:space="preserve"> </w:t>
      </w:r>
      <w:r w:rsidR="00F55EAF">
        <w:rPr>
          <w:i w:val="0"/>
          <w:lang w:val="es-ES_tradnl"/>
        </w:rPr>
        <w:t>y la</w:t>
      </w:r>
      <w:r w:rsidR="007C7AE7" w:rsidRPr="00B77707">
        <w:rPr>
          <w:i w:val="0"/>
          <w:lang w:val="es-ES_tradnl"/>
        </w:rPr>
        <w:t xml:space="preserve"> </w:t>
      </w:r>
      <w:r w:rsidRPr="00B77707">
        <w:rPr>
          <w:i w:val="0"/>
          <w:lang w:val="es-ES_tradnl"/>
        </w:rPr>
        <w:t>Convención para la Protección del Patrimonio Mundial Cultural y Natural</w:t>
      </w:r>
      <w:r w:rsidR="00195E98">
        <w:rPr>
          <w:rStyle w:val="FootnoteReference"/>
          <w:i w:val="0"/>
          <w:lang w:val="en-US"/>
        </w:rPr>
        <w:footnoteReference w:id="2"/>
      </w:r>
      <w:r w:rsidR="00F55EAF">
        <w:rPr>
          <w:i w:val="0"/>
          <w:lang w:val="es-ES_tradnl"/>
        </w:rPr>
        <w:t>.</w:t>
      </w:r>
    </w:p>
    <w:p w:rsidR="003D2C58" w:rsidRPr="004936EF" w:rsidRDefault="003D2C58" w:rsidP="004936EF">
      <w:pPr>
        <w:pStyle w:val="UTit4"/>
        <w:rPr>
          <w:snapToGrid w:val="0"/>
        </w:rPr>
      </w:pPr>
      <w:r w:rsidRPr="004936EF">
        <w:rPr>
          <w:snapToGrid w:val="0"/>
        </w:rPr>
        <w:t>Descrip</w:t>
      </w:r>
      <w:r w:rsidR="00B77707">
        <w:rPr>
          <w:snapToGrid w:val="0"/>
        </w:rPr>
        <w:t>c</w:t>
      </w:r>
      <w:r w:rsidRPr="004936EF">
        <w:rPr>
          <w:snapToGrid w:val="0"/>
        </w:rPr>
        <w:t>i</w:t>
      </w:r>
      <w:r w:rsidR="00B77707">
        <w:rPr>
          <w:snapToGrid w:val="0"/>
        </w:rPr>
        <w:t>ó</w:t>
      </w:r>
      <w:r w:rsidRPr="004936EF">
        <w:rPr>
          <w:snapToGrid w:val="0"/>
        </w:rPr>
        <w:t>n</w:t>
      </w:r>
      <w:r w:rsidRPr="00F13D41">
        <w:rPr>
          <w:snapToGrid w:val="0"/>
        </w:rPr>
        <w:t>:</w:t>
      </w:r>
    </w:p>
    <w:p w:rsidR="000F0FDD" w:rsidRPr="00526A71" w:rsidRDefault="00526A71" w:rsidP="00336816">
      <w:pPr>
        <w:pStyle w:val="UTxt"/>
        <w:rPr>
          <w:lang w:val="es-ES_tradnl"/>
        </w:rPr>
      </w:pPr>
      <w:r w:rsidRPr="00526A71">
        <w:rPr>
          <w:i w:val="0"/>
          <w:lang w:val="es-ES_tradnl"/>
        </w:rPr>
        <w:t xml:space="preserve">En </w:t>
      </w:r>
      <w:r w:rsidR="00DB5FDF">
        <w:rPr>
          <w:i w:val="0"/>
          <w:lang w:val="es-ES_tradnl"/>
        </w:rPr>
        <w:t>esta</w:t>
      </w:r>
      <w:r w:rsidRPr="00526A71">
        <w:rPr>
          <w:i w:val="0"/>
          <w:lang w:val="es-ES_tradnl"/>
        </w:rPr>
        <w:t xml:space="preserve"> unidad se comparan la Convención del Patrimonio Mundial y</w:t>
      </w:r>
      <w:r>
        <w:rPr>
          <w:i w:val="0"/>
          <w:lang w:val="es-ES_tradnl"/>
        </w:rPr>
        <w:t xml:space="preserve"> la </w:t>
      </w:r>
      <w:r w:rsidRPr="00526A71">
        <w:rPr>
          <w:i w:val="0"/>
          <w:lang w:val="es-ES_tradnl"/>
        </w:rPr>
        <w:t>Convención para la Salvaguardia del Patrimonio Cultural Inmaterial</w:t>
      </w:r>
      <w:r w:rsidR="00FE50F8" w:rsidRPr="00526A71">
        <w:rPr>
          <w:i w:val="0"/>
          <w:lang w:val="es-ES_tradnl"/>
        </w:rPr>
        <w:t xml:space="preserve">. </w:t>
      </w:r>
      <w:r>
        <w:rPr>
          <w:i w:val="0"/>
          <w:lang w:val="es-ES_tradnl"/>
        </w:rPr>
        <w:t xml:space="preserve">Partiendo de </w:t>
      </w:r>
      <w:r w:rsidRPr="00526A71">
        <w:rPr>
          <w:i w:val="0"/>
          <w:lang w:val="es-ES_tradnl"/>
        </w:rPr>
        <w:t xml:space="preserve">sus </w:t>
      </w:r>
      <w:r>
        <w:rPr>
          <w:i w:val="0"/>
          <w:lang w:val="es-ES_tradnl"/>
        </w:rPr>
        <w:t xml:space="preserve">orígenes, se examinan las características principales de ambas </w:t>
      </w:r>
      <w:r w:rsidR="00F3182A">
        <w:rPr>
          <w:i w:val="0"/>
          <w:lang w:val="es-ES_tradnl"/>
        </w:rPr>
        <w:t>c</w:t>
      </w:r>
      <w:r>
        <w:rPr>
          <w:i w:val="0"/>
          <w:lang w:val="es-ES_tradnl"/>
        </w:rPr>
        <w:t>onvenciones</w:t>
      </w:r>
      <w:r w:rsidR="00FE50F8" w:rsidRPr="00526A71">
        <w:rPr>
          <w:i w:val="0"/>
          <w:lang w:val="es-ES_tradnl"/>
        </w:rPr>
        <w:t>.</w:t>
      </w:r>
      <w:r w:rsidR="00FB6B1C" w:rsidRPr="00526A71">
        <w:rPr>
          <w:i w:val="0"/>
          <w:lang w:val="es-ES_tradnl"/>
        </w:rPr>
        <w:t xml:space="preserve"> </w:t>
      </w:r>
      <w:r w:rsidR="00FE50F8" w:rsidRPr="00526A71">
        <w:rPr>
          <w:i w:val="0"/>
          <w:lang w:val="es-ES_tradnl"/>
        </w:rPr>
        <w:t>E</w:t>
      </w:r>
      <w:r w:rsidRPr="00526A71">
        <w:rPr>
          <w:i w:val="0"/>
          <w:lang w:val="es-ES_tradnl"/>
        </w:rPr>
        <w:t>n cada sección se destacan los principal</w:t>
      </w:r>
      <w:r>
        <w:rPr>
          <w:i w:val="0"/>
          <w:lang w:val="es-ES_tradnl"/>
        </w:rPr>
        <w:t>e</w:t>
      </w:r>
      <w:r w:rsidRPr="00526A71">
        <w:rPr>
          <w:i w:val="0"/>
          <w:lang w:val="es-ES_tradnl"/>
        </w:rPr>
        <w:t>s puntos que tienen en común</w:t>
      </w:r>
      <w:r>
        <w:rPr>
          <w:i w:val="0"/>
          <w:lang w:val="es-ES_tradnl"/>
        </w:rPr>
        <w:t>, las diferencias entre ellas y el modo en que se complementan.</w:t>
      </w:r>
    </w:p>
    <w:p w:rsidR="00280789" w:rsidRPr="00E34BE8" w:rsidRDefault="00526A71" w:rsidP="00E34BE8">
      <w:pPr>
        <w:pStyle w:val="UTxt"/>
        <w:rPr>
          <w:lang w:val="en-US"/>
        </w:rPr>
      </w:pPr>
      <w:r>
        <w:rPr>
          <w:lang w:val="en-US"/>
        </w:rPr>
        <w:t>Secuencia propuesta</w:t>
      </w:r>
      <w:r w:rsidR="00280789" w:rsidRPr="00E34BE8">
        <w:rPr>
          <w:lang w:val="en-US"/>
        </w:rPr>
        <w:t>:</w:t>
      </w:r>
    </w:p>
    <w:p w:rsidR="003D2C58" w:rsidRPr="00526A71" w:rsidRDefault="000F0FDD" w:rsidP="00117FA3">
      <w:pPr>
        <w:pStyle w:val="Upuce"/>
        <w:rPr>
          <w:lang w:val="es-ES_tradnl"/>
        </w:rPr>
      </w:pPr>
      <w:r w:rsidRPr="00526A71">
        <w:rPr>
          <w:lang w:val="es-ES_tradnl"/>
        </w:rPr>
        <w:t>O</w:t>
      </w:r>
      <w:r w:rsidR="00117FA3" w:rsidRPr="00526A71">
        <w:rPr>
          <w:lang w:val="es-ES_tradnl"/>
        </w:rPr>
        <w:t>r</w:t>
      </w:r>
      <w:r w:rsidR="00F3182A">
        <w:rPr>
          <w:lang w:val="es-ES_tradnl"/>
        </w:rPr>
        <w:t>í</w:t>
      </w:r>
      <w:r w:rsidR="00117FA3" w:rsidRPr="00526A71">
        <w:rPr>
          <w:lang w:val="es-ES_tradnl"/>
        </w:rPr>
        <w:t>g</w:t>
      </w:r>
      <w:r w:rsidR="00F3182A">
        <w:rPr>
          <w:lang w:val="es-ES_tradnl"/>
        </w:rPr>
        <w:t>e</w:t>
      </w:r>
      <w:r w:rsidR="00117FA3" w:rsidRPr="00526A71">
        <w:rPr>
          <w:lang w:val="es-ES_tradnl"/>
        </w:rPr>
        <w:t>n</w:t>
      </w:r>
      <w:r w:rsidR="00526A71" w:rsidRPr="00526A71">
        <w:rPr>
          <w:lang w:val="es-ES_tradnl"/>
        </w:rPr>
        <w:t>e</w:t>
      </w:r>
      <w:r w:rsidR="00117FA3" w:rsidRPr="00526A71">
        <w:rPr>
          <w:lang w:val="es-ES_tradnl"/>
        </w:rPr>
        <w:t xml:space="preserve">s </w:t>
      </w:r>
      <w:r w:rsidR="00526A71" w:rsidRPr="00526A71">
        <w:rPr>
          <w:lang w:val="es-ES_tradnl"/>
        </w:rPr>
        <w:t xml:space="preserve">de las dos </w:t>
      </w:r>
      <w:r w:rsidR="00F3182A">
        <w:rPr>
          <w:lang w:val="es-ES_tradnl"/>
        </w:rPr>
        <w:t>c</w:t>
      </w:r>
      <w:r w:rsidR="00526A71" w:rsidRPr="00526A71">
        <w:rPr>
          <w:lang w:val="es-ES_tradnl"/>
        </w:rPr>
        <w:t>onvencione</w:t>
      </w:r>
      <w:r w:rsidR="00526A71">
        <w:rPr>
          <w:lang w:val="es-ES_tradnl"/>
        </w:rPr>
        <w:t>s</w:t>
      </w:r>
    </w:p>
    <w:p w:rsidR="0056386B" w:rsidRPr="00F3182A" w:rsidRDefault="00DB5FDF" w:rsidP="00117FA3">
      <w:pPr>
        <w:pStyle w:val="Upuce"/>
        <w:rPr>
          <w:lang w:val="es-ES_tradnl"/>
        </w:rPr>
      </w:pPr>
      <w:r>
        <w:rPr>
          <w:lang w:val="es-ES_tradnl"/>
        </w:rPr>
        <w:t>Textos</w:t>
      </w:r>
      <w:r w:rsidR="00F3182A" w:rsidRPr="00F3182A">
        <w:rPr>
          <w:lang w:val="es-ES_tradnl"/>
        </w:rPr>
        <w:t xml:space="preserve"> de </w:t>
      </w:r>
      <w:r>
        <w:rPr>
          <w:lang w:val="es-ES_tradnl"/>
        </w:rPr>
        <w:t>las dos</w:t>
      </w:r>
      <w:r w:rsidR="00F3182A" w:rsidRPr="00F3182A">
        <w:rPr>
          <w:lang w:val="es-ES_tradnl"/>
        </w:rPr>
        <w:t xml:space="preserve"> convenciones: similitudes y diferencias</w:t>
      </w:r>
    </w:p>
    <w:p w:rsidR="00117FA3" w:rsidRPr="00F3182A" w:rsidRDefault="00117FA3" w:rsidP="00117FA3">
      <w:pPr>
        <w:pStyle w:val="Upuce"/>
        <w:rPr>
          <w:lang w:val="es-ES_tradnl"/>
        </w:rPr>
      </w:pPr>
      <w:r w:rsidRPr="00F3182A">
        <w:rPr>
          <w:lang w:val="es-ES_tradnl"/>
        </w:rPr>
        <w:t>Defini</w:t>
      </w:r>
      <w:r w:rsidR="00F3182A" w:rsidRPr="00F3182A">
        <w:rPr>
          <w:lang w:val="es-ES_tradnl"/>
        </w:rPr>
        <w:t xml:space="preserve">ción del patrimonio en </w:t>
      </w:r>
      <w:r w:rsidR="00DB5FDF">
        <w:rPr>
          <w:lang w:val="es-ES_tradnl"/>
        </w:rPr>
        <w:t xml:space="preserve">las dos </w:t>
      </w:r>
      <w:r w:rsidR="00F3182A" w:rsidRPr="00F3182A">
        <w:rPr>
          <w:lang w:val="es-ES_tradnl"/>
        </w:rPr>
        <w:t>convencione</w:t>
      </w:r>
      <w:r w:rsidR="00F3182A">
        <w:rPr>
          <w:lang w:val="es-ES_tradnl"/>
        </w:rPr>
        <w:t>s</w:t>
      </w:r>
    </w:p>
    <w:p w:rsidR="00117FA3" w:rsidRPr="00F3182A" w:rsidRDefault="00F3182A" w:rsidP="00117FA3">
      <w:pPr>
        <w:pStyle w:val="Upuce"/>
        <w:rPr>
          <w:lang w:val="es-ES_tradnl"/>
        </w:rPr>
      </w:pPr>
      <w:r w:rsidRPr="00F3182A">
        <w:rPr>
          <w:lang w:val="es-ES_tradnl"/>
        </w:rPr>
        <w:t xml:space="preserve">Elaboración de un inventario </w:t>
      </w:r>
      <w:r w:rsidR="00DB5FDF">
        <w:rPr>
          <w:lang w:val="es-ES_tradnl"/>
        </w:rPr>
        <w:t>con arreglo a</w:t>
      </w:r>
      <w:r w:rsidRPr="00F3182A">
        <w:rPr>
          <w:lang w:val="es-ES_tradnl"/>
        </w:rPr>
        <w:t xml:space="preserve"> </w:t>
      </w:r>
      <w:r w:rsidR="00DB5FDF">
        <w:rPr>
          <w:lang w:val="es-ES_tradnl"/>
        </w:rPr>
        <w:t>las do</w:t>
      </w:r>
      <w:r w:rsidRPr="00F3182A">
        <w:rPr>
          <w:lang w:val="es-ES_tradnl"/>
        </w:rPr>
        <w:t>s c</w:t>
      </w:r>
      <w:r>
        <w:rPr>
          <w:lang w:val="es-ES_tradnl"/>
        </w:rPr>
        <w:t>onvenciones</w:t>
      </w:r>
    </w:p>
    <w:p w:rsidR="00117FA3" w:rsidRPr="00F3182A" w:rsidRDefault="00117FA3" w:rsidP="00117FA3">
      <w:pPr>
        <w:pStyle w:val="Upuce"/>
        <w:rPr>
          <w:lang w:val="es-ES_tradnl"/>
        </w:rPr>
      </w:pPr>
      <w:r w:rsidRPr="00F3182A">
        <w:rPr>
          <w:lang w:val="es-ES_tradnl"/>
        </w:rPr>
        <w:t>List</w:t>
      </w:r>
      <w:r w:rsidR="00F3182A" w:rsidRPr="00F3182A">
        <w:rPr>
          <w:lang w:val="es-ES_tradnl"/>
        </w:rPr>
        <w:t>as de las dos convencion</w:t>
      </w:r>
      <w:r w:rsidR="00F3182A">
        <w:rPr>
          <w:lang w:val="es-ES_tradnl"/>
        </w:rPr>
        <w:t>es</w:t>
      </w:r>
    </w:p>
    <w:p w:rsidR="00117FA3" w:rsidRPr="00F3182A" w:rsidRDefault="00F3182A" w:rsidP="00117FA3">
      <w:pPr>
        <w:pStyle w:val="Upuce"/>
        <w:rPr>
          <w:lang w:val="es-ES_tradnl"/>
        </w:rPr>
      </w:pPr>
      <w:r w:rsidRPr="00F3182A">
        <w:rPr>
          <w:lang w:val="es-ES_tradnl"/>
        </w:rPr>
        <w:t>Ó</w:t>
      </w:r>
      <w:r w:rsidR="00117FA3" w:rsidRPr="00F3182A">
        <w:rPr>
          <w:lang w:val="es-ES_tradnl"/>
        </w:rPr>
        <w:t>rgan</w:t>
      </w:r>
      <w:r w:rsidRPr="00F3182A">
        <w:rPr>
          <w:lang w:val="es-ES_tradnl"/>
        </w:rPr>
        <w:t>os de las dos convencion</w:t>
      </w:r>
      <w:r>
        <w:rPr>
          <w:lang w:val="es-ES_tradnl"/>
        </w:rPr>
        <w:t>es</w:t>
      </w:r>
    </w:p>
    <w:p w:rsidR="00117FA3" w:rsidRPr="00E87902" w:rsidRDefault="00E87902" w:rsidP="00E87902">
      <w:pPr>
        <w:pStyle w:val="Upuce"/>
        <w:rPr>
          <w:lang w:val="es-ES_tradnl"/>
        </w:rPr>
      </w:pPr>
      <w:r w:rsidRPr="00E87902">
        <w:rPr>
          <w:lang w:val="es-ES_tradnl"/>
        </w:rPr>
        <w:t xml:space="preserve">Organizaciones consultivas </w:t>
      </w:r>
      <w:r w:rsidR="00DB5FDF">
        <w:rPr>
          <w:lang w:val="es-ES_tradnl"/>
        </w:rPr>
        <w:t>en</w:t>
      </w:r>
      <w:r w:rsidRPr="00E87902">
        <w:rPr>
          <w:lang w:val="es-ES_tradnl"/>
        </w:rPr>
        <w:t xml:space="preserve"> las dos convenciones</w:t>
      </w:r>
    </w:p>
    <w:p w:rsidR="003D2C58" w:rsidRPr="004936EF" w:rsidRDefault="00E87902" w:rsidP="004936EF">
      <w:pPr>
        <w:pStyle w:val="UTit4"/>
        <w:rPr>
          <w:snapToGrid w:val="0"/>
        </w:rPr>
      </w:pPr>
      <w:r>
        <w:rPr>
          <w:snapToGrid w:val="0"/>
        </w:rPr>
        <w:lastRenderedPageBreak/>
        <w:t>DOCUMENTOS DE APOYO</w:t>
      </w:r>
      <w:r w:rsidR="003D2C58" w:rsidRPr="00F13D41">
        <w:rPr>
          <w:snapToGrid w:val="0"/>
        </w:rPr>
        <w:t>:</w:t>
      </w:r>
    </w:p>
    <w:p w:rsidR="00117FA3" w:rsidRPr="00E87902" w:rsidRDefault="00E87902" w:rsidP="00117FA3">
      <w:pPr>
        <w:pStyle w:val="Upuce"/>
        <w:rPr>
          <w:lang w:val="es-ES_tradnl"/>
        </w:rPr>
      </w:pPr>
      <w:r w:rsidRPr="00E87902">
        <w:rPr>
          <w:lang w:val="es-ES_tradnl"/>
        </w:rPr>
        <w:t xml:space="preserve">Unidad 13 del texto </w:t>
      </w:r>
      <w:r w:rsidR="00DB5FDF">
        <w:rPr>
          <w:lang w:val="es-ES_tradnl"/>
        </w:rPr>
        <w:t>para los</w:t>
      </w:r>
      <w:r w:rsidRPr="00E87902">
        <w:rPr>
          <w:lang w:val="es-ES_tradnl"/>
        </w:rPr>
        <w:t xml:space="preserve"> participant</w:t>
      </w:r>
      <w:r>
        <w:rPr>
          <w:lang w:val="es-ES_tradnl"/>
        </w:rPr>
        <w:t>e</w:t>
      </w:r>
      <w:r w:rsidR="00DB5FDF">
        <w:rPr>
          <w:lang w:val="es-ES_tradnl"/>
        </w:rPr>
        <w:t>s</w:t>
      </w:r>
      <w:r>
        <w:rPr>
          <w:lang w:val="es-ES_tradnl"/>
        </w:rPr>
        <w:t>.</w:t>
      </w:r>
    </w:p>
    <w:p w:rsidR="00117FA3" w:rsidRPr="00E87902" w:rsidRDefault="00E87902" w:rsidP="00E87902">
      <w:pPr>
        <w:pStyle w:val="Upuce"/>
        <w:rPr>
          <w:lang w:val="es-ES_tradnl"/>
        </w:rPr>
      </w:pPr>
      <w:r>
        <w:rPr>
          <w:lang w:val="es-ES_tradnl"/>
        </w:rPr>
        <w:t xml:space="preserve">Unidad </w:t>
      </w:r>
      <w:r w:rsidRPr="00E87902">
        <w:rPr>
          <w:lang w:val="es-ES_tradnl"/>
        </w:rPr>
        <w:t xml:space="preserve">3 del texto </w:t>
      </w:r>
      <w:r w:rsidR="00DB5FDF">
        <w:rPr>
          <w:lang w:val="es-ES_tradnl"/>
        </w:rPr>
        <w:t>para los</w:t>
      </w:r>
      <w:r w:rsidRPr="00E87902">
        <w:rPr>
          <w:lang w:val="es-ES_tradnl"/>
        </w:rPr>
        <w:t xml:space="preserve"> participante</w:t>
      </w:r>
      <w:r w:rsidR="00DB5FDF">
        <w:rPr>
          <w:lang w:val="es-ES_tradnl"/>
        </w:rPr>
        <w:t>s</w:t>
      </w:r>
      <w:r w:rsidR="00117FA3" w:rsidRPr="00E87902">
        <w:rPr>
          <w:lang w:val="es-ES_tradnl"/>
        </w:rPr>
        <w:t xml:space="preserve">. </w:t>
      </w:r>
      <w:r w:rsidR="00760F2A">
        <w:rPr>
          <w:lang w:val="es-ES_tradnl"/>
        </w:rPr>
        <w:t xml:space="preserve">Entre las entradas pertinentes </w:t>
      </w:r>
      <w:r w:rsidR="00DB5FDF">
        <w:rPr>
          <w:lang w:val="es-ES_tradnl"/>
        </w:rPr>
        <w:t>cabe citar</w:t>
      </w:r>
      <w:r w:rsidR="00760F2A">
        <w:rPr>
          <w:lang w:val="es-ES_tradnl"/>
        </w:rPr>
        <w:t>:</w:t>
      </w:r>
      <w:r w:rsidR="00117FA3" w:rsidRPr="00E87902">
        <w:rPr>
          <w:spacing w:val="-4"/>
          <w:position w:val="1"/>
          <w:lang w:val="es-ES_tradnl"/>
        </w:rPr>
        <w:t xml:space="preserve"> </w:t>
      </w:r>
      <w:r w:rsidRPr="00E87902">
        <w:rPr>
          <w:spacing w:val="-4"/>
          <w:position w:val="1"/>
          <w:lang w:val="es-ES_tradnl"/>
        </w:rPr>
        <w:t>“Recomendaci</w:t>
      </w:r>
      <w:r>
        <w:rPr>
          <w:spacing w:val="-4"/>
          <w:position w:val="1"/>
          <w:lang w:val="es-ES_tradnl"/>
        </w:rPr>
        <w:t xml:space="preserve">ón de </w:t>
      </w:r>
      <w:r w:rsidR="00117FA3" w:rsidRPr="00E87902">
        <w:rPr>
          <w:position w:val="1"/>
          <w:lang w:val="es-ES_tradnl"/>
        </w:rPr>
        <w:t>1989</w:t>
      </w:r>
      <w:r>
        <w:rPr>
          <w:position w:val="1"/>
          <w:lang w:val="es-ES_tradnl"/>
        </w:rPr>
        <w:t>”</w:t>
      </w:r>
      <w:r w:rsidR="00117FA3" w:rsidRPr="00E87902">
        <w:rPr>
          <w:position w:val="1"/>
          <w:lang w:val="es-ES_tradnl"/>
        </w:rPr>
        <w:t xml:space="preserve">, </w:t>
      </w:r>
      <w:r w:rsidRPr="00E87902">
        <w:rPr>
          <w:position w:val="1"/>
          <w:lang w:val="es-ES_tradnl"/>
        </w:rPr>
        <w:t>“</w:t>
      </w:r>
      <w:r w:rsidR="00117FA3" w:rsidRPr="00E87902">
        <w:rPr>
          <w:lang w:val="es-ES_tradnl"/>
        </w:rPr>
        <w:t>Aut</w:t>
      </w:r>
      <w:r w:rsidRPr="00E87902">
        <w:rPr>
          <w:lang w:val="es-ES_tradnl"/>
        </w:rPr>
        <w:t>enticidad”</w:t>
      </w:r>
      <w:r w:rsidR="00117FA3" w:rsidRPr="00E87902">
        <w:rPr>
          <w:lang w:val="es-ES_tradnl"/>
        </w:rPr>
        <w:t>,</w:t>
      </w:r>
      <w:r w:rsidR="00117FA3" w:rsidRPr="00E87902">
        <w:rPr>
          <w:spacing w:val="5"/>
          <w:lang w:val="es-ES_tradnl"/>
        </w:rPr>
        <w:t xml:space="preserve"> </w:t>
      </w:r>
      <w:r w:rsidRPr="00E87902">
        <w:rPr>
          <w:spacing w:val="5"/>
          <w:lang w:val="es-ES_tradnl"/>
        </w:rPr>
        <w:t>“Espacio cultural”, “Asamblea General”, “Comité Intergubernamental” y</w:t>
      </w:r>
      <w:r w:rsidR="00117FA3" w:rsidRPr="00E87902">
        <w:rPr>
          <w:spacing w:val="-2"/>
          <w:lang w:val="es-ES_tradnl"/>
        </w:rPr>
        <w:t xml:space="preserve"> </w:t>
      </w:r>
      <w:r w:rsidR="00760F2A">
        <w:rPr>
          <w:spacing w:val="-2"/>
          <w:lang w:val="es-ES_tradnl"/>
        </w:rPr>
        <w:t>“Obras maestras”</w:t>
      </w:r>
      <w:r w:rsidR="00117FA3" w:rsidRPr="00E87902">
        <w:rPr>
          <w:lang w:val="es-ES_tradnl"/>
        </w:rPr>
        <w:t>.</w:t>
      </w:r>
    </w:p>
    <w:p w:rsidR="00117FA3" w:rsidRPr="004120FD" w:rsidRDefault="004120FD" w:rsidP="004120FD">
      <w:pPr>
        <w:pStyle w:val="Upuce"/>
        <w:rPr>
          <w:lang w:val="es-ES_tradnl"/>
        </w:rPr>
      </w:pPr>
      <w:r w:rsidRPr="004120FD">
        <w:rPr>
          <w:lang w:val="es-ES_tradnl"/>
        </w:rPr>
        <w:t>Textos fundamentales de la Convención para la Salvaguardia del Patrimonio Cultural Inmaterial de 2003</w:t>
      </w:r>
      <w:r w:rsidR="00336816">
        <w:rPr>
          <w:rStyle w:val="FootnoteReference"/>
          <w:lang w:val="en-GB"/>
        </w:rPr>
        <w:footnoteReference w:id="3"/>
      </w:r>
      <w:r>
        <w:rPr>
          <w:lang w:val="es-ES_tradnl"/>
        </w:rPr>
        <w:t>.</w:t>
      </w:r>
    </w:p>
    <w:p w:rsidR="00541A49" w:rsidRPr="00DD057C" w:rsidRDefault="00773A81" w:rsidP="004936EF">
      <w:pPr>
        <w:pStyle w:val="Soustitre"/>
        <w:rPr>
          <w:lang w:val="es-ES"/>
        </w:rPr>
      </w:pPr>
      <w:r w:rsidRPr="00DD057C">
        <w:rPr>
          <w:lang w:val="es-ES"/>
        </w:rPr>
        <w:t>Not</w:t>
      </w:r>
      <w:r w:rsidR="00B77707" w:rsidRPr="00DD057C">
        <w:rPr>
          <w:lang w:val="es-ES"/>
        </w:rPr>
        <w:t>a</w:t>
      </w:r>
      <w:r w:rsidRPr="00DD057C">
        <w:rPr>
          <w:lang w:val="es-ES"/>
        </w:rPr>
        <w:t xml:space="preserve">s </w:t>
      </w:r>
      <w:r w:rsidR="00B77707" w:rsidRPr="00DD057C">
        <w:rPr>
          <w:lang w:val="es-ES"/>
        </w:rPr>
        <w:t>y sugerencias</w:t>
      </w:r>
    </w:p>
    <w:p w:rsidR="00816CE8" w:rsidRPr="00B7598D" w:rsidRDefault="00B7598D" w:rsidP="004C545E">
      <w:pPr>
        <w:pStyle w:val="Texte1"/>
        <w:rPr>
          <w:lang w:val="es-ES_tradnl"/>
        </w:rPr>
      </w:pPr>
      <w:r w:rsidRPr="00B7598D">
        <w:rPr>
          <w:lang w:val="es-ES_tradnl"/>
        </w:rPr>
        <w:t xml:space="preserve">Para comparar la Convención del Patrimonio Inmaterial y la Convención del Patrimonio Mundial, se invita a los facilitadores a utilizar la </w:t>
      </w:r>
      <w:r w:rsidR="00DB5FDF">
        <w:rPr>
          <w:lang w:val="es-ES_tradnl"/>
        </w:rPr>
        <w:t>u</w:t>
      </w:r>
      <w:r w:rsidRPr="00B7598D">
        <w:rPr>
          <w:lang w:val="es-ES_tradnl"/>
        </w:rPr>
        <w:t xml:space="preserve">nidad 13 del texto </w:t>
      </w:r>
      <w:r w:rsidR="00DB5FDF">
        <w:rPr>
          <w:lang w:val="es-ES_tradnl"/>
        </w:rPr>
        <w:t>para los p</w:t>
      </w:r>
      <w:r w:rsidRPr="00B7598D">
        <w:rPr>
          <w:lang w:val="es-ES_tradnl"/>
        </w:rPr>
        <w:t>articipante</w:t>
      </w:r>
      <w:r w:rsidR="00DB5FDF">
        <w:rPr>
          <w:lang w:val="es-ES_tradnl"/>
        </w:rPr>
        <w:t>s</w:t>
      </w:r>
      <w:r w:rsidRPr="00B7598D">
        <w:rPr>
          <w:lang w:val="es-ES_tradnl"/>
        </w:rPr>
        <w:t xml:space="preserve">, en </w:t>
      </w:r>
      <w:r w:rsidR="00D44462">
        <w:rPr>
          <w:lang w:val="es-ES_tradnl"/>
        </w:rPr>
        <w:t>la</w:t>
      </w:r>
      <w:r w:rsidRPr="00B7598D">
        <w:rPr>
          <w:lang w:val="es-ES_tradnl"/>
        </w:rPr>
        <w:t xml:space="preserve"> que</w:t>
      </w:r>
      <w:r>
        <w:rPr>
          <w:lang w:val="es-ES_tradnl"/>
        </w:rPr>
        <w:t xml:space="preserve"> figuran los conocimientos básicos necesarios para entender los elementos comunes y las diferencias </w:t>
      </w:r>
      <w:r w:rsidR="00D44462">
        <w:rPr>
          <w:lang w:val="es-ES_tradnl"/>
        </w:rPr>
        <w:t>entre</w:t>
      </w:r>
      <w:r>
        <w:rPr>
          <w:lang w:val="es-ES_tradnl"/>
        </w:rPr>
        <w:t xml:space="preserve"> las dos </w:t>
      </w:r>
      <w:r w:rsidR="00D44462">
        <w:rPr>
          <w:lang w:val="es-ES_tradnl"/>
        </w:rPr>
        <w:t>c</w:t>
      </w:r>
      <w:r>
        <w:rPr>
          <w:lang w:val="es-ES_tradnl"/>
        </w:rPr>
        <w:t xml:space="preserve">onvenciones. </w:t>
      </w:r>
      <w:r w:rsidRPr="00B7598D">
        <w:rPr>
          <w:lang w:val="es-ES_tradnl"/>
        </w:rPr>
        <w:t xml:space="preserve">Se puede leer el texto con los participantes o preparar una presentación en </w:t>
      </w:r>
      <w:r w:rsidR="00816CE8" w:rsidRPr="00B7598D">
        <w:rPr>
          <w:lang w:val="es-ES_tradnl"/>
        </w:rPr>
        <w:t xml:space="preserve">PowerPoint </w:t>
      </w:r>
      <w:r w:rsidRPr="00B7598D">
        <w:rPr>
          <w:lang w:val="es-ES_tradnl"/>
        </w:rPr>
        <w:t xml:space="preserve">adaptada a los participantes en el taller. Los facilitadores pueden buscar algunos ejemplos de inscripciones o inventarios y </w:t>
      </w:r>
      <w:r>
        <w:rPr>
          <w:lang w:val="es-ES_tradnl"/>
        </w:rPr>
        <w:t>mostrarlos en la pantalla para ilustrar algunas de las cuestiones que se mencionan en el texto.</w:t>
      </w:r>
    </w:p>
    <w:p w:rsidR="00816CE8" w:rsidRPr="00B7598D" w:rsidRDefault="00B7598D" w:rsidP="004C545E">
      <w:pPr>
        <w:pStyle w:val="Texte1"/>
        <w:rPr>
          <w:lang w:val="es-ES_tradnl"/>
        </w:rPr>
      </w:pPr>
      <w:r w:rsidRPr="00B7598D">
        <w:rPr>
          <w:lang w:val="es-ES_tradnl"/>
        </w:rPr>
        <w:t xml:space="preserve">La unidad </w:t>
      </w:r>
      <w:r w:rsidR="00D44462">
        <w:rPr>
          <w:lang w:val="es-ES_tradnl"/>
        </w:rPr>
        <w:t>se basa en</w:t>
      </w:r>
      <w:r w:rsidRPr="00B7598D">
        <w:rPr>
          <w:lang w:val="es-ES_tradnl"/>
        </w:rPr>
        <w:t xml:space="preserve"> una</w:t>
      </w:r>
      <w:r w:rsidR="00816CE8" w:rsidRPr="00B7598D">
        <w:rPr>
          <w:lang w:val="es-ES_tradnl"/>
        </w:rPr>
        <w:t xml:space="preserve"> </w:t>
      </w:r>
      <w:r w:rsidRPr="00B7598D">
        <w:rPr>
          <w:lang w:val="es-ES_tradnl"/>
        </w:rPr>
        <w:t xml:space="preserve">comparación inicial que se </w:t>
      </w:r>
      <w:r>
        <w:rPr>
          <w:lang w:val="es-ES_tradnl"/>
        </w:rPr>
        <w:t xml:space="preserve">propone en la </w:t>
      </w:r>
      <w:r w:rsidR="00D44462">
        <w:rPr>
          <w:lang w:val="es-ES_tradnl"/>
        </w:rPr>
        <w:t>u</w:t>
      </w:r>
      <w:r>
        <w:rPr>
          <w:lang w:val="es-ES_tradnl"/>
        </w:rPr>
        <w:t>nidad</w:t>
      </w:r>
      <w:r w:rsidR="00816CE8" w:rsidRPr="00B7598D">
        <w:rPr>
          <w:lang w:val="es-ES_tradnl"/>
        </w:rPr>
        <w:t xml:space="preserve"> 2</w:t>
      </w:r>
      <w:r>
        <w:rPr>
          <w:lang w:val="es-ES_tradnl"/>
        </w:rPr>
        <w:t xml:space="preserve">, en la que </w:t>
      </w:r>
      <w:r w:rsidR="00D44462">
        <w:rPr>
          <w:lang w:val="es-ES_tradnl"/>
        </w:rPr>
        <w:t xml:space="preserve">se </w:t>
      </w:r>
      <w:r>
        <w:rPr>
          <w:lang w:val="es-ES_tradnl"/>
        </w:rPr>
        <w:t>introduce la Convención del Patrimonio Inmaterial</w:t>
      </w:r>
      <w:r w:rsidR="00816CE8" w:rsidRPr="00B7598D">
        <w:rPr>
          <w:lang w:val="es-ES_tradnl"/>
        </w:rPr>
        <w:t xml:space="preserve">. </w:t>
      </w:r>
      <w:r w:rsidRPr="00B7598D">
        <w:rPr>
          <w:lang w:val="es-ES_tradnl"/>
        </w:rPr>
        <w:t xml:space="preserve">Resulta especialmente útil </w:t>
      </w:r>
      <w:r w:rsidR="00D44462">
        <w:rPr>
          <w:lang w:val="es-ES_tradnl"/>
        </w:rPr>
        <w:t>que</w:t>
      </w:r>
      <w:r w:rsidRPr="00B7598D">
        <w:rPr>
          <w:lang w:val="es-ES_tradnl"/>
        </w:rPr>
        <w:t xml:space="preserve"> los participantes en el taller t</w:t>
      </w:r>
      <w:r w:rsidR="00D44462">
        <w:rPr>
          <w:lang w:val="es-ES_tradnl"/>
        </w:rPr>
        <w:t>enga</w:t>
      </w:r>
      <w:r w:rsidRPr="00B7598D">
        <w:rPr>
          <w:lang w:val="es-ES_tradnl"/>
        </w:rPr>
        <w:t>n una</w:t>
      </w:r>
      <w:r>
        <w:rPr>
          <w:lang w:val="es-ES_tradnl"/>
        </w:rPr>
        <w:t xml:space="preserve"> formación profesional en el ámbito del patrimonio cultural material.</w:t>
      </w:r>
    </w:p>
    <w:p w:rsidR="00783E22" w:rsidRPr="00B7598D" w:rsidRDefault="00B7598D" w:rsidP="004C545E">
      <w:pPr>
        <w:pStyle w:val="Texte1"/>
        <w:rPr>
          <w:lang w:val="es-ES_tradnl"/>
        </w:rPr>
      </w:pPr>
      <w:r w:rsidRPr="00B7598D">
        <w:rPr>
          <w:lang w:val="es-ES_tradnl"/>
        </w:rPr>
        <w:t>Si se dispone de tiempo suficiente, los facilitadores podrían añadir un ejercicio en el que</w:t>
      </w:r>
      <w:r>
        <w:rPr>
          <w:lang w:val="es-ES_tradnl"/>
        </w:rPr>
        <w:t xml:space="preserve">, utilizando los textos de las dos </w:t>
      </w:r>
      <w:r w:rsidR="00D44462">
        <w:rPr>
          <w:lang w:val="es-ES_tradnl"/>
        </w:rPr>
        <w:t>c</w:t>
      </w:r>
      <w:r>
        <w:rPr>
          <w:lang w:val="es-ES_tradnl"/>
        </w:rPr>
        <w:t xml:space="preserve">onvenciones, se </w:t>
      </w:r>
      <w:r w:rsidR="00D44462">
        <w:rPr>
          <w:lang w:val="es-ES_tradnl"/>
        </w:rPr>
        <w:t>busquen</w:t>
      </w:r>
      <w:r>
        <w:rPr>
          <w:lang w:val="es-ES_tradnl"/>
        </w:rPr>
        <w:t xml:space="preserve"> los elementos comunes, el modo en que se complementan y las diferencias entre ambas.</w:t>
      </w:r>
    </w:p>
    <w:sectPr w:rsidR="00783E22" w:rsidRPr="00B7598D" w:rsidSect="009B3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7C" w:rsidRDefault="007F477C" w:rsidP="000A699C">
      <w:pPr>
        <w:spacing w:before="0" w:after="0"/>
      </w:pPr>
      <w:r>
        <w:separator/>
      </w:r>
    </w:p>
  </w:endnote>
  <w:endnote w:type="continuationSeparator" w:id="0">
    <w:p w:rsidR="007F477C" w:rsidRDefault="007F477C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92" w:rsidRDefault="003F6959" w:rsidP="003F695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781120" behindDoc="0" locked="0" layoutInCell="1" allowOverlap="1" wp14:anchorId="13761557" wp14:editId="341D7922">
          <wp:simplePos x="0" y="0"/>
          <wp:positionH relativeFrom="column">
            <wp:posOffset>-1355</wp:posOffset>
          </wp:positionH>
          <wp:positionV relativeFrom="paragraph">
            <wp:posOffset>-304478</wp:posOffset>
          </wp:positionV>
          <wp:extent cx="837565" cy="607695"/>
          <wp:effectExtent l="0" t="0" r="63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© UNESCO • No se debe reproducir sin </w:t>
    </w:r>
    <w:proofErr w:type="gramStart"/>
    <w:r>
      <w:t>permiso</w:t>
    </w:r>
    <w:proofErr w:type="gramEnd"/>
    <w:r>
      <w:tab/>
      <w:t>U013-v1.</w:t>
    </w:r>
    <w:proofErr w:type="gramStart"/>
    <w:r>
      <w:t>1-FN-ES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8D" w:rsidRPr="007D60D5" w:rsidRDefault="00B7598D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n-GB" w:eastAsia="en-GB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92" w:rsidRDefault="003F6959" w:rsidP="003F6959">
    <w:pPr>
      <w:pStyle w:val="Footer"/>
    </w:pPr>
    <w:bookmarkStart w:id="1" w:name="_GoBack"/>
    <w:r>
      <w:rPr>
        <w:noProof/>
        <w:lang w:val="en-GB" w:eastAsia="en-GB"/>
      </w:rPr>
      <w:drawing>
        <wp:anchor distT="0" distB="0" distL="114300" distR="114300" simplePos="0" relativeHeight="251779072" behindDoc="0" locked="0" layoutInCell="1" allowOverlap="1" wp14:anchorId="1B20BF78" wp14:editId="525E22DA">
          <wp:simplePos x="0" y="0"/>
          <wp:positionH relativeFrom="column">
            <wp:posOffset>4892694</wp:posOffset>
          </wp:positionH>
          <wp:positionV relativeFrom="paragraph">
            <wp:posOffset>-304165</wp:posOffset>
          </wp:positionV>
          <wp:extent cx="837565" cy="607695"/>
          <wp:effectExtent l="0" t="0" r="63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t>U013-v1.</w:t>
    </w:r>
    <w:proofErr w:type="gramStart"/>
    <w:r>
      <w:t>1-FN-ES</w:t>
    </w:r>
    <w:proofErr w:type="gramEnd"/>
    <w:r>
      <w:tab/>
      <w:t xml:space="preserve">© UNESCO • No se debe reproducir sin </w:t>
    </w:r>
    <w:proofErr w:type="gramStart"/>
    <w:r>
      <w:t>permiso</w:t>
    </w:r>
    <w:proofErr w:type="gramEnd"/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7C" w:rsidRDefault="007F477C" w:rsidP="000A699C">
      <w:pPr>
        <w:spacing w:before="0" w:after="0"/>
      </w:pPr>
      <w:r>
        <w:separator/>
      </w:r>
    </w:p>
  </w:footnote>
  <w:footnote w:type="continuationSeparator" w:id="0">
    <w:p w:rsidR="007F477C" w:rsidRDefault="007F477C" w:rsidP="000A699C">
      <w:pPr>
        <w:spacing w:before="0" w:after="0"/>
      </w:pPr>
      <w:r>
        <w:continuationSeparator/>
      </w:r>
    </w:p>
  </w:footnote>
  <w:footnote w:id="1">
    <w:p w:rsidR="00B7598D" w:rsidRPr="00F55EAF" w:rsidRDefault="00B7598D">
      <w:pPr>
        <w:pStyle w:val="FootnoteText"/>
        <w:rPr>
          <w:lang w:val="es-ES_tradnl"/>
        </w:rPr>
      </w:pPr>
      <w:r w:rsidRPr="00860F56">
        <w:rPr>
          <w:rStyle w:val="FootnoteReference"/>
          <w:vertAlign w:val="baseline"/>
        </w:rPr>
        <w:footnoteRef/>
      </w:r>
      <w:r w:rsidRPr="00F3182A">
        <w:rPr>
          <w:lang w:val="es-ES_tradnl"/>
        </w:rPr>
        <w:t>.</w:t>
      </w:r>
      <w:r w:rsidRPr="00F3182A">
        <w:rPr>
          <w:lang w:val="es-ES_tradnl"/>
        </w:rPr>
        <w:tab/>
      </w:r>
      <w:r>
        <w:rPr>
          <w:lang w:val="es-ES_tradnl"/>
        </w:rPr>
        <w:t>Denominad</w:t>
      </w:r>
      <w:r w:rsidRPr="00F55EAF">
        <w:rPr>
          <w:lang w:val="es-ES_tradnl"/>
        </w:rPr>
        <w:t xml:space="preserve">a a menudo “Convención del Patrimonio Inmaterial”, “Convención de 2003” y, </w:t>
      </w:r>
      <w:r>
        <w:rPr>
          <w:lang w:val="es-ES_tradnl"/>
        </w:rPr>
        <w:t>para los fines de esta unidad, simplemente “Convención”</w:t>
      </w:r>
      <w:r w:rsidRPr="00F55EAF">
        <w:rPr>
          <w:lang w:val="es-ES_tradnl"/>
        </w:rPr>
        <w:t>.</w:t>
      </w:r>
    </w:p>
  </w:footnote>
  <w:footnote w:id="2">
    <w:p w:rsidR="00B7598D" w:rsidRPr="00F55EAF" w:rsidRDefault="00B7598D">
      <w:pPr>
        <w:pStyle w:val="FootnoteText"/>
        <w:rPr>
          <w:lang w:val="es-ES_tradnl"/>
        </w:rPr>
      </w:pPr>
      <w:r w:rsidRPr="00860F56">
        <w:rPr>
          <w:rStyle w:val="FootnoteReference"/>
          <w:vertAlign w:val="baseline"/>
        </w:rPr>
        <w:footnoteRef/>
      </w:r>
      <w:r w:rsidRPr="00F3182A">
        <w:rPr>
          <w:lang w:val="es-ES_tradnl"/>
        </w:rPr>
        <w:t>.</w:t>
      </w:r>
      <w:r w:rsidRPr="00F3182A">
        <w:rPr>
          <w:lang w:val="es-ES_tradnl"/>
        </w:rPr>
        <w:tab/>
      </w:r>
      <w:r w:rsidRPr="00E87902">
        <w:rPr>
          <w:lang w:val="es-ES_tradnl"/>
        </w:rPr>
        <w:t>Denominada</w:t>
      </w:r>
      <w:r w:rsidRPr="00F55EAF">
        <w:rPr>
          <w:lang w:val="es-ES_tradnl"/>
        </w:rPr>
        <w:t xml:space="preserve"> a menudo “Convención del Patrimonio Mundial</w:t>
      </w:r>
      <w:r>
        <w:rPr>
          <w:lang w:val="es-ES_tradnl"/>
        </w:rPr>
        <w:t xml:space="preserve">” o “Convención de </w:t>
      </w:r>
      <w:r w:rsidRPr="00F55EAF">
        <w:rPr>
          <w:lang w:val="es-ES_tradnl"/>
        </w:rPr>
        <w:t>1972</w:t>
      </w:r>
      <w:r>
        <w:rPr>
          <w:lang w:val="es-ES_tradnl"/>
        </w:rPr>
        <w:t>”</w:t>
      </w:r>
      <w:r w:rsidRPr="00F55EAF">
        <w:rPr>
          <w:lang w:val="es-ES_tradnl"/>
        </w:rPr>
        <w:t>.</w:t>
      </w:r>
    </w:p>
  </w:footnote>
  <w:footnote w:id="3">
    <w:p w:rsidR="00DD057C" w:rsidRPr="004120FD" w:rsidRDefault="00B7598D" w:rsidP="007006BF">
      <w:pPr>
        <w:pStyle w:val="FootnoteText"/>
        <w:jc w:val="left"/>
        <w:rPr>
          <w:lang w:val="es-ES_tradnl"/>
        </w:rPr>
      </w:pPr>
      <w:r w:rsidRPr="00860F56">
        <w:rPr>
          <w:rStyle w:val="FootnoteReference"/>
          <w:vertAlign w:val="baseline"/>
        </w:rPr>
        <w:footnoteRef/>
      </w:r>
      <w:r w:rsidRPr="00DD057C">
        <w:rPr>
          <w:lang w:val="es-ES"/>
        </w:rPr>
        <w:t>.</w:t>
      </w:r>
      <w:r w:rsidRPr="00DD057C">
        <w:rPr>
          <w:lang w:val="es-ES"/>
        </w:rPr>
        <w:tab/>
      </w:r>
      <w:r w:rsidRPr="004120FD">
        <w:rPr>
          <w:i/>
          <w:lang w:val="es-ES_tradnl"/>
        </w:rPr>
        <w:t xml:space="preserve">Textos fundamentales de la Convención para la Salvaguardia del Patrimonio Cultural Inmaterial de 2003 </w:t>
      </w:r>
      <w:r w:rsidRPr="004120FD">
        <w:rPr>
          <w:lang w:val="es-ES_tradnl"/>
        </w:rPr>
        <w:t>(</w:t>
      </w:r>
      <w:r>
        <w:rPr>
          <w:lang w:val="es-ES_tradnl"/>
        </w:rPr>
        <w:t>denominados en esta unidad “Textos fundamentale</w:t>
      </w:r>
      <w:r w:rsidRPr="004120FD">
        <w:rPr>
          <w:lang w:val="es-ES_tradnl"/>
        </w:rPr>
        <w:t>s</w:t>
      </w:r>
      <w:r>
        <w:rPr>
          <w:lang w:val="es-ES_tradnl"/>
        </w:rPr>
        <w:t>”</w:t>
      </w:r>
      <w:r w:rsidRPr="004120FD">
        <w:rPr>
          <w:lang w:val="es-ES_tradnl"/>
        </w:rPr>
        <w:t>). Par</w:t>
      </w:r>
      <w:r>
        <w:rPr>
          <w:lang w:val="es-ES_tradnl"/>
        </w:rPr>
        <w:t>í</w:t>
      </w:r>
      <w:r w:rsidRPr="004120FD">
        <w:rPr>
          <w:lang w:val="es-ES_tradnl"/>
        </w:rPr>
        <w:t xml:space="preserve">s, UNESCO. </w:t>
      </w:r>
      <w:r>
        <w:rPr>
          <w:lang w:val="es-ES_tradnl"/>
        </w:rPr>
        <w:t>Se puede consultar en</w:t>
      </w:r>
      <w:r w:rsidRPr="004120FD">
        <w:rPr>
          <w:lang w:val="es-ES_tradnl"/>
        </w:rPr>
        <w:t xml:space="preserve"> </w:t>
      </w:r>
      <w:hyperlink r:id="rId1" w:history="1">
        <w:r w:rsidR="00DD057C" w:rsidRPr="00212592">
          <w:rPr>
            <w:rStyle w:val="Hyperlink"/>
            <w:lang w:val="es-ES_tradnl"/>
          </w:rPr>
          <w:t>http://www.unesco.org/culture/ich/es/textos-fundamentales-00503</w:t>
        </w:r>
      </w:hyperlink>
      <w:r w:rsidRPr="004120FD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8D" w:rsidRDefault="003F6959" w:rsidP="003F6959">
    <w:pPr>
      <w:pStyle w:val="Header"/>
      <w:tabs>
        <w:tab w:val="clear" w:pos="4423"/>
        <w:tab w:val="center" w:pos="363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6B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B7598D">
      <w:t>Uni</w:t>
    </w:r>
    <w:r w:rsidR="00DB5FDF">
      <w:t>dad</w:t>
    </w:r>
    <w:r w:rsidR="00B7598D">
      <w:t xml:space="preserve"> 13: </w:t>
    </w:r>
    <w:r w:rsidR="00DB5FDF">
      <w:t xml:space="preserve">La Convención del Patrimonio Inmaterial </w:t>
    </w:r>
    <w:proofErr w:type="gramStart"/>
    <w:r w:rsidR="00DB5FDF">
      <w:t>y la</w:t>
    </w:r>
    <w:proofErr w:type="gramEnd"/>
    <w:r w:rsidR="00DB5FDF">
      <w:t xml:space="preserve"> Convención del Patriomoni</w:t>
    </w:r>
    <w:r w:rsidR="009A4692">
      <w:t>o Mundial</w:t>
    </w:r>
    <w:r w:rsidR="00B7598D">
      <w:tab/>
      <w:t>Notas para el facilitador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8D" w:rsidRPr="004A4AD6" w:rsidRDefault="00B7598D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8D" w:rsidRDefault="00B7598D" w:rsidP="00E34BE8">
    <w:pPr>
      <w:pStyle w:val="Header"/>
      <w:ind w:right="360"/>
    </w:pPr>
    <w:r>
      <w:tab/>
      <w:t>Notas para el facilitador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22"/>
  </w:num>
  <w:num w:numId="4">
    <w:abstractNumId w:val="81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8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5"/>
  </w:num>
  <w:num w:numId="18">
    <w:abstractNumId w:val="40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2"/>
  </w:num>
  <w:num w:numId="25">
    <w:abstractNumId w:val="49"/>
  </w:num>
  <w:num w:numId="26">
    <w:abstractNumId w:val="21"/>
  </w:num>
  <w:num w:numId="27">
    <w:abstractNumId w:val="24"/>
  </w:num>
  <w:num w:numId="28">
    <w:abstractNumId w:val="41"/>
  </w:num>
  <w:num w:numId="29">
    <w:abstractNumId w:val="43"/>
  </w:num>
  <w:num w:numId="30">
    <w:abstractNumId w:val="55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4"/>
  </w:num>
  <w:num w:numId="44">
    <w:abstractNumId w:val="76"/>
  </w:num>
  <w:num w:numId="45">
    <w:abstractNumId w:val="31"/>
  </w:num>
  <w:num w:numId="46">
    <w:abstractNumId w:val="65"/>
  </w:num>
  <w:num w:numId="47">
    <w:abstractNumId w:val="31"/>
    <w:lvlOverride w:ilvl="0">
      <w:startOverride w:val="1"/>
    </w:lvlOverride>
  </w:num>
  <w:num w:numId="48">
    <w:abstractNumId w:val="43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6"/>
  </w:num>
  <w:num w:numId="60">
    <w:abstractNumId w:val="4"/>
  </w:num>
  <w:num w:numId="61">
    <w:abstractNumId w:val="46"/>
    <w:lvlOverride w:ilvl="0">
      <w:startOverride w:val="1"/>
    </w:lvlOverride>
  </w:num>
  <w:num w:numId="62">
    <w:abstractNumId w:val="46"/>
  </w:num>
  <w:num w:numId="63">
    <w:abstractNumId w:val="46"/>
  </w:num>
  <w:num w:numId="64">
    <w:abstractNumId w:val="46"/>
  </w:num>
  <w:num w:numId="65">
    <w:abstractNumId w:val="46"/>
  </w:num>
  <w:num w:numId="66">
    <w:abstractNumId w:val="46"/>
  </w:num>
  <w:num w:numId="67">
    <w:abstractNumId w:val="46"/>
  </w:num>
  <w:num w:numId="68">
    <w:abstractNumId w:val="47"/>
  </w:num>
  <w:num w:numId="69">
    <w:abstractNumId w:val="46"/>
    <w:lvlOverride w:ilvl="0">
      <w:startOverride w:val="1"/>
    </w:lvlOverride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29"/>
  </w:num>
  <w:num w:numId="79">
    <w:abstractNumId w:val="18"/>
  </w:num>
  <w:num w:numId="80">
    <w:abstractNumId w:val="46"/>
    <w:lvlOverride w:ilvl="0">
      <w:startOverride w:val="1"/>
    </w:lvlOverride>
  </w:num>
  <w:num w:numId="81">
    <w:abstractNumId w:val="60"/>
  </w:num>
  <w:num w:numId="82">
    <w:abstractNumId w:val="33"/>
  </w:num>
  <w:num w:numId="83">
    <w:abstractNumId w:val="39"/>
  </w:num>
  <w:num w:numId="84">
    <w:abstractNumId w:val="16"/>
  </w:num>
  <w:num w:numId="85">
    <w:abstractNumId w:val="46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6"/>
    <w:lvlOverride w:ilvl="0">
      <w:startOverride w:val="1"/>
    </w:lvlOverride>
  </w:num>
  <w:num w:numId="89">
    <w:abstractNumId w:val="32"/>
  </w:num>
  <w:num w:numId="90">
    <w:abstractNumId w:val="46"/>
    <w:lvlOverride w:ilvl="0">
      <w:startOverride w:val="1"/>
    </w:lvlOverride>
  </w:num>
  <w:num w:numId="91">
    <w:abstractNumId w:val="6"/>
  </w:num>
  <w:num w:numId="92">
    <w:abstractNumId w:val="50"/>
  </w:num>
  <w:num w:numId="93">
    <w:abstractNumId w:val="57"/>
  </w:num>
  <w:num w:numId="94">
    <w:abstractNumId w:val="54"/>
  </w:num>
  <w:num w:numId="95">
    <w:abstractNumId w:val="46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3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4"/>
    <w:lvlOverride w:ilvl="0">
      <w:startOverride w:val="1"/>
    </w:lvlOverride>
  </w:num>
  <w:num w:numId="142">
    <w:abstractNumId w:val="64"/>
  </w:num>
  <w:num w:numId="143">
    <w:abstractNumId w:val="41"/>
  </w:num>
  <w:num w:numId="144">
    <w:abstractNumId w:val="23"/>
  </w:num>
  <w:num w:numId="145">
    <w:abstractNumId w:val="15"/>
  </w:num>
  <w:num w:numId="146">
    <w:abstractNumId w:val="34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38"/>
  </w:num>
  <w:num w:numId="160">
    <w:abstractNumId w:val="3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mirrorMargin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C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4129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D7F2A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D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93C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17FA3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D0A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B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E98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9BA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047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612"/>
    <w:rsid w:val="00222B46"/>
    <w:rsid w:val="00222C4C"/>
    <w:rsid w:val="00222DEC"/>
    <w:rsid w:val="002232AC"/>
    <w:rsid w:val="00223D6D"/>
    <w:rsid w:val="00224A38"/>
    <w:rsid w:val="00224A70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7B7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68A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EB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16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47B"/>
    <w:rsid w:val="003D77F3"/>
    <w:rsid w:val="003D7C59"/>
    <w:rsid w:val="003E02B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959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0FD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4FE8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3D7"/>
    <w:rsid w:val="004B7998"/>
    <w:rsid w:val="004C0416"/>
    <w:rsid w:val="004C093E"/>
    <w:rsid w:val="004C0B3A"/>
    <w:rsid w:val="004C0FAC"/>
    <w:rsid w:val="004C110A"/>
    <w:rsid w:val="004C1229"/>
    <w:rsid w:val="004C1805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45E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6D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A71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6B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6C9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0D5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BF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0F2A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81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195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9C0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AE7"/>
    <w:rsid w:val="007C7CB4"/>
    <w:rsid w:val="007D0373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77C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600"/>
    <w:rsid w:val="00812D8A"/>
    <w:rsid w:val="0081310B"/>
    <w:rsid w:val="008135E9"/>
    <w:rsid w:val="008136D1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CE8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9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5CA1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92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491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502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28A1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19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AA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7F1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982"/>
    <w:rsid w:val="00B7598D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707"/>
    <w:rsid w:val="00B77DEF"/>
    <w:rsid w:val="00B80636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7B8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0CA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99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462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5FDF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57C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3D40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721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B3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57C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902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182A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BC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EAF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1C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0F8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59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59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es/textos-fundamentales-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22A2-BAAF-46F3-B453-A44492F7E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F11F1-5DA3-4748-932E-77FDD9FE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13                                                                                                                                  La Convención del  Patrimonio Inmaterial y la Convención del  Patrimonio Mundial</dc:title>
  <dc:subject/>
  <dc:creator/>
  <cp:keywords>896.16S</cp:keywords>
  <dc:description/>
  <cp:lastModifiedBy/>
  <cp:revision>1</cp:revision>
  <dcterms:created xsi:type="dcterms:W3CDTF">2016-04-11T12:38:00Z</dcterms:created>
  <dcterms:modified xsi:type="dcterms:W3CDTF">2016-04-11T13:21:00Z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96582</vt:i4>
  </property>
  <property fmtid="{D5CDD505-2E9C-101B-9397-08002B2CF9AE}" pid="3" name="JobDMS">
    <vt:r8>896.16</vt:r8>
  </property>
  <property fmtid="{D5CDD505-2E9C-101B-9397-08002B2CF9AE}" pid="4" name="Language">
    <vt:lpwstr>S</vt:lpwstr>
  </property>
</Properties>
</file>