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46E6" w14:textId="35A0D4B2" w:rsidR="00362E84" w:rsidRPr="000B5904" w:rsidRDefault="00FB67EF" w:rsidP="00FB67EF">
      <w:pPr>
        <w:pStyle w:val="Chapitre"/>
        <w:rPr>
          <w:noProof w:val="0"/>
        </w:rPr>
      </w:pPr>
      <w:bookmarkStart w:id="0" w:name="_Toc154220417"/>
      <w:bookmarkStart w:id="1" w:name="_Toc302374671"/>
      <w:bookmarkStart w:id="2" w:name="_Toc241644684"/>
      <w:r w:rsidRPr="000B5904">
        <w:rPr>
          <w:noProof w:val="0"/>
        </w:rPr>
        <w:t>unit</w:t>
      </w:r>
      <w:r w:rsidR="00F038AA" w:rsidRPr="000B5904">
        <w:rPr>
          <w:noProof w:val="0"/>
        </w:rPr>
        <w:t>é</w:t>
      </w:r>
      <w:r w:rsidRPr="000B5904">
        <w:rPr>
          <w:noProof w:val="0"/>
        </w:rPr>
        <w:t xml:space="preserve"> </w:t>
      </w:r>
      <w:r w:rsidR="00C61E37" w:rsidRPr="000B5904">
        <w:rPr>
          <w:noProof w:val="0"/>
        </w:rPr>
        <w:t>48</w:t>
      </w:r>
    </w:p>
    <w:p w14:paraId="553CB8A6" w14:textId="25EFB24F" w:rsidR="00FB67EF" w:rsidRDefault="000B5904" w:rsidP="000B5904">
      <w:pPr>
        <w:pStyle w:val="UPlan"/>
        <w:rPr>
          <w:noProof w:val="0"/>
        </w:rPr>
      </w:pPr>
      <w:r w:rsidRPr="000B5904">
        <w:rPr>
          <w:noProof w:val="0"/>
        </w:rPr>
        <w:t>Genre et</w:t>
      </w:r>
      <w:r>
        <w:rPr>
          <w:noProof w:val="0"/>
        </w:rPr>
        <w:t xml:space="preserve"> patrimoine culturel immatériel</w:t>
      </w:r>
    </w:p>
    <w:p w14:paraId="7817D387" w14:textId="6A5CE5EF" w:rsidR="00137BA9" w:rsidRPr="00137BA9" w:rsidRDefault="00137BA9" w:rsidP="00137BA9">
      <w:pPr>
        <w:spacing w:before="480"/>
        <w:rPr>
          <w:rFonts w:ascii="Arial" w:eastAsia="Times New Roman" w:hAnsi="Arial" w:cs="Arial"/>
          <w:lang w:eastAsia="pt-BR"/>
        </w:rPr>
      </w:pPr>
      <w:r w:rsidRPr="00137BA9">
        <w:rPr>
          <w:rFonts w:ascii="Arial" w:eastAsia="Times New Roman" w:hAnsi="Arial" w:cs="Arial"/>
          <w:lang w:eastAsia="pt-BR"/>
        </w:rPr>
        <w:t xml:space="preserve">Publié en </w:t>
      </w:r>
      <w:r w:rsidR="00AF5B87">
        <w:rPr>
          <w:rFonts w:ascii="Arial" w:eastAsia="Times New Roman" w:hAnsi="Arial" w:cs="Arial"/>
          <w:lang w:eastAsia="pt-BR"/>
        </w:rPr>
        <w:t>2016</w:t>
      </w:r>
      <w:r w:rsidRPr="00137BA9">
        <w:rPr>
          <w:rFonts w:ascii="Arial" w:eastAsia="Times New Roman" w:hAnsi="Arial" w:cs="Arial"/>
          <w:lang w:eastAsia="pt-BR"/>
        </w:rPr>
        <w:t xml:space="preserve"> par l’Organisation des Nations Unies pour l’éducation, la science et la culture </w:t>
      </w:r>
    </w:p>
    <w:p w14:paraId="451AE4F1" w14:textId="77777777" w:rsidR="00137BA9" w:rsidRPr="00137BA9" w:rsidRDefault="00137BA9" w:rsidP="00137BA9">
      <w:pPr>
        <w:autoSpaceDE w:val="0"/>
        <w:autoSpaceDN w:val="0"/>
        <w:adjustRightInd w:val="0"/>
        <w:rPr>
          <w:rFonts w:ascii="Arial" w:hAnsi="Arial" w:cs="Arial"/>
        </w:rPr>
      </w:pPr>
      <w:r w:rsidRPr="00137BA9">
        <w:rPr>
          <w:rFonts w:ascii="Arial" w:hAnsi="Arial" w:cs="Arial"/>
        </w:rPr>
        <w:t>7, place de Fontenoy, 75352 Paris 07 SP, France</w:t>
      </w:r>
    </w:p>
    <w:p w14:paraId="33CDD7FB" w14:textId="77777777" w:rsidR="00137BA9" w:rsidRPr="00137BA9" w:rsidRDefault="00137BA9" w:rsidP="00137BA9">
      <w:pPr>
        <w:autoSpaceDE w:val="0"/>
        <w:autoSpaceDN w:val="0"/>
        <w:adjustRightInd w:val="0"/>
        <w:rPr>
          <w:rFonts w:ascii="Arial" w:hAnsi="Arial" w:cs="Arial"/>
        </w:rPr>
      </w:pPr>
    </w:p>
    <w:p w14:paraId="7AE37745" w14:textId="39A86F46" w:rsidR="00137BA9" w:rsidRPr="00137BA9" w:rsidRDefault="00137BA9" w:rsidP="00137BA9">
      <w:pPr>
        <w:autoSpaceDE w:val="0"/>
        <w:autoSpaceDN w:val="0"/>
        <w:adjustRightInd w:val="0"/>
        <w:rPr>
          <w:rFonts w:ascii="Arial" w:hAnsi="Arial" w:cs="Arial"/>
        </w:rPr>
      </w:pPr>
      <w:r w:rsidRPr="00137BA9">
        <w:rPr>
          <w:rFonts w:ascii="Arial" w:hAnsi="Arial" w:cs="Arial"/>
        </w:rPr>
        <w:t xml:space="preserve">© UNESCO </w:t>
      </w:r>
      <w:r w:rsidR="00AF5B87">
        <w:rPr>
          <w:rFonts w:ascii="Arial" w:hAnsi="Arial" w:cs="Arial"/>
        </w:rPr>
        <w:t>2016</w:t>
      </w:r>
      <w:bookmarkStart w:id="3" w:name="_GoBack"/>
      <w:bookmarkEnd w:id="3"/>
    </w:p>
    <w:p w14:paraId="03639006" w14:textId="77777777" w:rsidR="00137BA9" w:rsidRPr="00137BA9" w:rsidRDefault="00137BA9" w:rsidP="00137BA9">
      <w:pPr>
        <w:autoSpaceDE w:val="0"/>
        <w:autoSpaceDN w:val="0"/>
        <w:adjustRightInd w:val="0"/>
        <w:rPr>
          <w:rFonts w:ascii="Arial" w:hAnsi="Arial" w:cs="Arial"/>
        </w:rPr>
      </w:pPr>
      <w:r w:rsidRPr="00137BA9">
        <w:rPr>
          <w:rFonts w:ascii="Arial" w:hAnsi="Arial" w:cs="Arial"/>
          <w:noProof/>
          <w:lang w:eastAsia="ja-JP"/>
        </w:rPr>
        <w:drawing>
          <wp:anchor distT="0" distB="0" distL="114300" distR="114300" simplePos="0" relativeHeight="251663360" behindDoc="0" locked="0" layoutInCell="1" allowOverlap="1" wp14:anchorId="1ECC17D0" wp14:editId="16BA55EA">
            <wp:simplePos x="0" y="0"/>
            <wp:positionH relativeFrom="column">
              <wp:posOffset>-3810</wp:posOffset>
            </wp:positionH>
            <wp:positionV relativeFrom="paragraph">
              <wp:posOffset>202565</wp:posOffset>
            </wp:positionV>
            <wp:extent cx="756285" cy="265430"/>
            <wp:effectExtent l="0" t="0" r="571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14:paraId="1D98F6B2" w14:textId="77777777" w:rsidR="00137BA9" w:rsidRPr="00137BA9" w:rsidRDefault="00137BA9" w:rsidP="00137BA9">
      <w:pPr>
        <w:autoSpaceDE w:val="0"/>
        <w:autoSpaceDN w:val="0"/>
        <w:adjustRightInd w:val="0"/>
        <w:rPr>
          <w:rFonts w:ascii="Arial" w:hAnsi="Arial" w:cs="Arial"/>
        </w:rPr>
      </w:pPr>
    </w:p>
    <w:p w14:paraId="103CCD34" w14:textId="77777777" w:rsidR="00137BA9" w:rsidRPr="00AF5B87" w:rsidRDefault="00137BA9" w:rsidP="00CF213F">
      <w:pPr>
        <w:rPr>
          <w:rFonts w:ascii="Arial" w:hAnsi="Arial" w:cs="Arial"/>
          <w:bCs/>
          <w:iCs/>
        </w:rPr>
      </w:pPr>
      <w:r w:rsidRPr="00AF5B87">
        <w:rPr>
          <w:rFonts w:ascii="Arial" w:hAnsi="Arial" w:cs="Arial"/>
          <w:bCs/>
          <w:iCs/>
        </w:rPr>
        <w:t>Œuvre publiée en libre accès sous la licence Attribution-ShareAlike 3.0 IGO (CC-BY-SA 3.0 IGO) (</w:t>
      </w:r>
      <w:hyperlink r:id="rId9" w:history="1">
        <w:r w:rsidRPr="00AF5B87">
          <w:rPr>
            <w:rFonts w:ascii="Arial" w:hAnsi="Arial" w:cs="Arial"/>
            <w:bCs/>
            <w:iCs/>
          </w:rPr>
          <w:t>http://creativecommons.org/licenses/by-sa/3.0/igo/</w:t>
        </w:r>
      </w:hyperlink>
      <w:r w:rsidRPr="00AF5B87">
        <w:rPr>
          <w:rFonts w:ascii="Arial" w:hAnsi="Arial" w:cs="Arial"/>
          <w:bCs/>
          <w:iCs/>
        </w:rPr>
        <w:t>). Les utilisateurs du contenu de la présente publication acceptent les termes d’utilisation de l’Archive ouverte de libre accès UNESCO (</w:t>
      </w:r>
      <w:hyperlink r:id="rId10" w:history="1">
        <w:r w:rsidRPr="00AF5B87">
          <w:rPr>
            <w:rFonts w:ascii="Arial" w:hAnsi="Arial" w:cs="Arial"/>
            <w:bCs/>
            <w:iCs/>
          </w:rPr>
          <w:t>www.unesco.org/open-access/terms-use-ccbysa-fr</w:t>
        </w:r>
      </w:hyperlink>
      <w:r w:rsidRPr="00AF5B87">
        <w:rPr>
          <w:rFonts w:ascii="Arial" w:hAnsi="Arial" w:cs="Arial"/>
          <w:bCs/>
          <w:iCs/>
        </w:rPr>
        <w:t>).</w:t>
      </w:r>
    </w:p>
    <w:p w14:paraId="079902C2" w14:textId="77777777" w:rsidR="00137BA9" w:rsidRPr="00AF5B87" w:rsidRDefault="00137BA9" w:rsidP="00CF213F">
      <w:pPr>
        <w:rPr>
          <w:rFonts w:ascii="Arial" w:hAnsi="Arial" w:cs="Arial"/>
          <w:bCs/>
          <w:iCs/>
        </w:rPr>
      </w:pPr>
      <w:r w:rsidRPr="00AF5B87">
        <w:rPr>
          <w:rFonts w:ascii="Arial" w:hAnsi="Arial" w:cs="Arial"/>
          <w:bCs/>
          <w:iCs/>
        </w:rPr>
        <w:t xml:space="preserve">Les images dans cette publication ne sont pas couvertes par la licence CC-BY-SA et ne peuvent en aucune façon être commercialisées ou reproduites sans l’autorisation expresse des détenteurs des droits de reproduction. </w:t>
      </w:r>
    </w:p>
    <w:p w14:paraId="140B8F2A" w14:textId="77777777" w:rsidR="00137BA9" w:rsidRPr="00AF5B87" w:rsidRDefault="00137BA9" w:rsidP="00CF213F">
      <w:pPr>
        <w:rPr>
          <w:rFonts w:ascii="Arial" w:hAnsi="Arial" w:cs="Arial"/>
          <w:bCs/>
          <w:iCs/>
        </w:rPr>
      </w:pPr>
    </w:p>
    <w:p w14:paraId="1A800B10" w14:textId="3424B288" w:rsidR="00137BA9" w:rsidRPr="00CF213F" w:rsidRDefault="00137BA9" w:rsidP="00CF213F">
      <w:pPr>
        <w:rPr>
          <w:rFonts w:ascii="Arial" w:hAnsi="Arial" w:cs="Arial"/>
          <w:bCs/>
          <w:iCs/>
          <w:lang w:val="en-GB"/>
        </w:rPr>
      </w:pPr>
      <w:r w:rsidRPr="00CF213F">
        <w:rPr>
          <w:rFonts w:ascii="Arial" w:hAnsi="Arial" w:cs="Arial"/>
          <w:bCs/>
          <w:iCs/>
          <w:lang w:val="en-GB"/>
        </w:rPr>
        <w:t>Titre original : Gender and intangible cultural heritage</w:t>
      </w:r>
    </w:p>
    <w:p w14:paraId="3D351F42" w14:textId="599F8B62" w:rsidR="00137BA9" w:rsidRPr="00AF5B87" w:rsidRDefault="00137BA9" w:rsidP="00CF213F">
      <w:pPr>
        <w:rPr>
          <w:rFonts w:ascii="Arial" w:hAnsi="Arial" w:cs="Arial"/>
          <w:bCs/>
          <w:iCs/>
        </w:rPr>
      </w:pPr>
      <w:r w:rsidRPr="00AF5B87">
        <w:rPr>
          <w:rFonts w:ascii="Arial" w:hAnsi="Arial" w:cs="Arial"/>
          <w:bCs/>
          <w:iCs/>
        </w:rPr>
        <w:t xml:space="preserve">Publié en </w:t>
      </w:r>
      <w:r w:rsidR="00AF5B87" w:rsidRPr="00AF5B87">
        <w:rPr>
          <w:rFonts w:ascii="Arial" w:hAnsi="Arial" w:cs="Arial"/>
          <w:bCs/>
          <w:iCs/>
        </w:rPr>
        <w:t>2016</w:t>
      </w:r>
      <w:r w:rsidRPr="00AF5B87">
        <w:rPr>
          <w:rFonts w:ascii="Arial" w:hAnsi="Arial" w:cs="Arial"/>
          <w:bCs/>
          <w:iCs/>
        </w:rPr>
        <w:t xml:space="preserve"> par l’Organisation des Nations Unies pour l’éducation, la science et la culture </w:t>
      </w:r>
    </w:p>
    <w:p w14:paraId="39FCF487" w14:textId="77777777" w:rsidR="00137BA9" w:rsidRPr="00AF5B87" w:rsidRDefault="00137BA9" w:rsidP="00CF213F">
      <w:pPr>
        <w:rPr>
          <w:rFonts w:ascii="Arial" w:hAnsi="Arial" w:cs="Arial"/>
          <w:bCs/>
          <w:iCs/>
        </w:rPr>
      </w:pPr>
    </w:p>
    <w:p w14:paraId="383DB8CF" w14:textId="77777777" w:rsidR="00137BA9" w:rsidRPr="00AF5B87" w:rsidRDefault="00137BA9" w:rsidP="00CF213F">
      <w:pPr>
        <w:rPr>
          <w:rFonts w:ascii="Arial" w:hAnsi="Arial" w:cs="Arial"/>
          <w:bCs/>
          <w:iCs/>
        </w:rPr>
      </w:pPr>
      <w:r w:rsidRPr="00AF5B87">
        <w:rPr>
          <w:rFonts w:ascii="Arial" w:hAnsi="Arial" w:cs="Arial"/>
          <w:bCs/>
          <w:iCs/>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14:paraId="32E7A7E7" w14:textId="77777777" w:rsidR="00137BA9" w:rsidRPr="00AF5B87" w:rsidRDefault="00137BA9" w:rsidP="00CF213F">
      <w:pPr>
        <w:rPr>
          <w:rFonts w:ascii="Arial" w:hAnsi="Arial" w:cs="Arial"/>
          <w:bCs/>
          <w:iCs/>
        </w:rPr>
      </w:pPr>
    </w:p>
    <w:p w14:paraId="47613AC1" w14:textId="057EB333" w:rsidR="00137BA9" w:rsidRPr="00137BA9" w:rsidRDefault="00137BA9" w:rsidP="00CF213F">
      <w:r w:rsidRPr="00AF5B87">
        <w:rPr>
          <w:rFonts w:ascii="Arial" w:hAnsi="Arial" w:cs="Arial"/>
          <w:bCs/>
          <w:iCs/>
        </w:rPr>
        <w:t>Les idées et les opinions exprimées dans cette publication sont celles des auteurs ; elles ne reflètent pas nécessairement les points de vue de l’UNESCO et n’engagent en aucune façon l’Organisation.</w:t>
      </w:r>
      <w:r>
        <w:br w:type="page"/>
      </w:r>
    </w:p>
    <w:p w14:paraId="1584A301" w14:textId="08AF66D8" w:rsidR="00362E84" w:rsidRPr="000B5904" w:rsidRDefault="00FB67EF" w:rsidP="00FB67EF">
      <w:pPr>
        <w:pStyle w:val="Titcoul"/>
        <w:rPr>
          <w:noProof w:val="0"/>
        </w:rPr>
      </w:pPr>
      <w:r w:rsidRPr="000B5904">
        <w:rPr>
          <w:noProof w:val="0"/>
        </w:rPr>
        <w:lastRenderedPageBreak/>
        <w:t>plan</w:t>
      </w:r>
      <w:r w:rsidR="00362E84" w:rsidRPr="000B5904">
        <w:rPr>
          <w:sz w:val="20"/>
          <w:szCs w:val="20"/>
          <w:lang w:eastAsia="ja-JP"/>
        </w:rPr>
        <w:drawing>
          <wp:anchor distT="0" distB="0" distL="114300" distR="114300" simplePos="0" relativeHeight="251661312" behindDoc="1" locked="1" layoutInCell="1" allowOverlap="0" wp14:anchorId="1E4EFA8D" wp14:editId="56EEA5E0">
            <wp:simplePos x="0" y="0"/>
            <wp:positionH relativeFrom="margin">
              <wp:posOffset>432435</wp:posOffset>
            </wp:positionH>
            <wp:positionV relativeFrom="margin">
              <wp:posOffset>1980565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000B5904">
        <w:rPr>
          <w:noProof w:val="0"/>
        </w:rPr>
        <w:t xml:space="preserve"> de cours</w:t>
      </w:r>
    </w:p>
    <w:p w14:paraId="1C6E2A04" w14:textId="3132AB3D" w:rsidR="00362E84" w:rsidRPr="000B5904" w:rsidRDefault="000B5904" w:rsidP="002C150F">
      <w:pPr>
        <w:pStyle w:val="UTit4"/>
        <w:spacing w:line="240" w:lineRule="auto"/>
        <w:rPr>
          <w:rFonts w:asciiTheme="minorBidi" w:hAnsiTheme="minorBidi" w:cstheme="minorBidi"/>
          <w:lang w:val="fr-FR"/>
        </w:rPr>
      </w:pPr>
      <w:r>
        <w:rPr>
          <w:rFonts w:asciiTheme="minorBidi" w:hAnsiTheme="minorBidi" w:cstheme="minorBidi"/>
          <w:lang w:val="fr-FR"/>
        </w:rPr>
        <w:t>Durée :</w:t>
      </w:r>
    </w:p>
    <w:p w14:paraId="494EAE53" w14:textId="02C2A9D4" w:rsidR="00362E84" w:rsidRPr="000B5904" w:rsidRDefault="001C72EC" w:rsidP="00FB67EF">
      <w:pPr>
        <w:pStyle w:val="UTxt"/>
      </w:pPr>
      <w:r>
        <w:t>3 à</w:t>
      </w:r>
      <w:r w:rsidR="000B5904">
        <w:t xml:space="preserve"> 4 heures</w:t>
      </w:r>
    </w:p>
    <w:p w14:paraId="6A827BF1" w14:textId="2CF80AEB" w:rsidR="00362E84" w:rsidRPr="000B5904" w:rsidRDefault="001C72EC" w:rsidP="00FB67EF">
      <w:pPr>
        <w:pStyle w:val="UTit4"/>
        <w:rPr>
          <w:lang w:val="fr-FR"/>
        </w:rPr>
      </w:pPr>
      <w:r>
        <w:rPr>
          <w:lang w:val="fr-FR"/>
        </w:rPr>
        <w:t>Objectif(s) :</w:t>
      </w:r>
    </w:p>
    <w:p w14:paraId="517A2463" w14:textId="0D3C6F76" w:rsidR="00920E0C" w:rsidRPr="000B5904" w:rsidRDefault="002576CE" w:rsidP="00920E0C">
      <w:pPr>
        <w:pStyle w:val="UTxt"/>
        <w:rPr>
          <w:rStyle w:val="hps"/>
        </w:rPr>
      </w:pPr>
      <w:r>
        <w:rPr>
          <w:rStyle w:val="hps"/>
        </w:rPr>
        <w:t xml:space="preserve">Faire prendre conscience de la dynamique des genres </w:t>
      </w:r>
      <w:r w:rsidR="00753282">
        <w:rPr>
          <w:rStyle w:val="hps"/>
        </w:rPr>
        <w:t xml:space="preserve">(la dynamique des rapports entre les sexes, tant d’un point de vue biologique que social) </w:t>
      </w:r>
      <w:r w:rsidR="003B419D">
        <w:rPr>
          <w:rStyle w:val="hps"/>
        </w:rPr>
        <w:t xml:space="preserve">inhérente à la création, la pratique, </w:t>
      </w:r>
      <w:r w:rsidR="00920E0C">
        <w:rPr>
          <w:rStyle w:val="hps"/>
        </w:rPr>
        <w:t>l’</w:t>
      </w:r>
      <w:r w:rsidR="00920E0C" w:rsidRPr="00920E0C">
        <w:rPr>
          <w:rStyle w:val="hps"/>
        </w:rPr>
        <w:t>interprétation</w:t>
      </w:r>
      <w:r w:rsidR="00920E0C">
        <w:rPr>
          <w:rStyle w:val="hps"/>
        </w:rPr>
        <w:t xml:space="preserve">, la </w:t>
      </w:r>
      <w:r w:rsidR="00920E0C" w:rsidRPr="00920E0C">
        <w:rPr>
          <w:rStyle w:val="hps"/>
        </w:rPr>
        <w:t xml:space="preserve">transmission </w:t>
      </w:r>
      <w:r w:rsidR="00920E0C">
        <w:rPr>
          <w:rStyle w:val="hps"/>
        </w:rPr>
        <w:t xml:space="preserve">et la </w:t>
      </w:r>
      <w:r w:rsidR="00920E0C" w:rsidRPr="00920E0C">
        <w:rPr>
          <w:rStyle w:val="hps"/>
        </w:rPr>
        <w:t>sauvegarde</w:t>
      </w:r>
      <w:r w:rsidR="00920E0C">
        <w:rPr>
          <w:rStyle w:val="hps"/>
        </w:rPr>
        <w:t xml:space="preserve"> du patrimoine culturel immatériel et, dans le même temps, doter les participants du corpus de connaissances et de </w:t>
      </w:r>
      <w:r w:rsidR="00920E0C" w:rsidRPr="00920E0C">
        <w:rPr>
          <w:rStyle w:val="hps"/>
        </w:rPr>
        <w:t xml:space="preserve">compétences </w:t>
      </w:r>
      <w:r w:rsidR="00920E0C">
        <w:rPr>
          <w:rStyle w:val="hps"/>
        </w:rPr>
        <w:t>nécessaire</w:t>
      </w:r>
      <w:r w:rsidR="005E7CDF">
        <w:rPr>
          <w:rStyle w:val="hps"/>
        </w:rPr>
        <w:t>s</w:t>
      </w:r>
      <w:r w:rsidR="00920E0C">
        <w:rPr>
          <w:rStyle w:val="hps"/>
        </w:rPr>
        <w:t xml:space="preserve"> pour analyser et expliquer </w:t>
      </w:r>
      <w:r w:rsidR="005E7CDF">
        <w:rPr>
          <w:rStyle w:val="hps"/>
        </w:rPr>
        <w:t xml:space="preserve">pourquoi </w:t>
      </w:r>
      <w:r w:rsidR="00920E0C">
        <w:rPr>
          <w:rStyle w:val="hps"/>
        </w:rPr>
        <w:t xml:space="preserve">le patrimoine culturel immatériel est déterminant dans la création et la </w:t>
      </w:r>
      <w:r w:rsidR="00920E0C" w:rsidRPr="00920E0C">
        <w:rPr>
          <w:rStyle w:val="hps"/>
        </w:rPr>
        <w:t xml:space="preserve">transmission </w:t>
      </w:r>
      <w:r w:rsidR="00920E0C">
        <w:rPr>
          <w:rStyle w:val="hps"/>
        </w:rPr>
        <w:t>des identités et des</w:t>
      </w:r>
      <w:r w:rsidR="005E7CDF">
        <w:rPr>
          <w:rStyle w:val="hps"/>
        </w:rPr>
        <w:t xml:space="preserve"> rôles liés au genre. En outre, permettre</w:t>
      </w:r>
      <w:r w:rsidR="00920E0C">
        <w:rPr>
          <w:rStyle w:val="hps"/>
        </w:rPr>
        <w:t xml:space="preserve"> aux participants de</w:t>
      </w:r>
      <w:r w:rsidR="005E7CDF">
        <w:rPr>
          <w:rStyle w:val="hps"/>
        </w:rPr>
        <w:t xml:space="preserve"> comprendre la nature dynamique </w:t>
      </w:r>
      <w:r w:rsidR="00920E0C">
        <w:rPr>
          <w:rStyle w:val="hps"/>
        </w:rPr>
        <w:t>de ces processus et les opportunités d’évolution vers une plus grande égalité des genres</w:t>
      </w:r>
      <w:r w:rsidR="005E7CDF">
        <w:rPr>
          <w:rStyle w:val="hps"/>
        </w:rPr>
        <w:t>, et surmonter la discrimination fondée sur le genre par la pratique du patrimoine culturel immatériel.</w:t>
      </w:r>
    </w:p>
    <w:p w14:paraId="00713B36" w14:textId="1B781B9A" w:rsidR="00362E84" w:rsidRPr="000B5904" w:rsidRDefault="00825F37" w:rsidP="00FB67EF">
      <w:pPr>
        <w:pStyle w:val="UTit4"/>
        <w:rPr>
          <w:lang w:val="fr-FR"/>
        </w:rPr>
      </w:pPr>
      <w:r>
        <w:rPr>
          <w:lang w:val="fr-FR"/>
        </w:rPr>
        <w:t>DESCRIPTION</w:t>
      </w:r>
      <w:r w:rsidR="005E7CDF">
        <w:rPr>
          <w:lang w:val="fr-FR"/>
        </w:rPr>
        <w:t> :</w:t>
      </w:r>
    </w:p>
    <w:p w14:paraId="0A99FFD3" w14:textId="5885EE22" w:rsidR="00825F37" w:rsidRPr="000B5904" w:rsidRDefault="00825F37" w:rsidP="00832774">
      <w:pPr>
        <w:pStyle w:val="UTxt"/>
      </w:pPr>
      <w:r>
        <w:rPr>
          <w:rStyle w:val="hps"/>
        </w:rPr>
        <w:t>L’unité permet de</w:t>
      </w:r>
      <w:r w:rsidR="0023447A">
        <w:rPr>
          <w:rStyle w:val="hps"/>
        </w:rPr>
        <w:t xml:space="preserve"> débattre des différents aspects de l’interaction entre la dynamique des genres et le patrimoine culturel immatériel, et de l’importance du patrimoine culturel immatériel dans les processus de création et de </w:t>
      </w:r>
      <w:r w:rsidR="0023447A" w:rsidRPr="0023447A">
        <w:rPr>
          <w:rStyle w:val="hps"/>
        </w:rPr>
        <w:t xml:space="preserve">transmission </w:t>
      </w:r>
      <w:r w:rsidR="0023447A">
        <w:rPr>
          <w:rStyle w:val="hps"/>
        </w:rPr>
        <w:t>des identités et des rôle</w:t>
      </w:r>
      <w:r w:rsidR="00915F46">
        <w:rPr>
          <w:rStyle w:val="hps"/>
        </w:rPr>
        <w:t>s</w:t>
      </w:r>
      <w:r w:rsidR="0023447A">
        <w:rPr>
          <w:rStyle w:val="hps"/>
        </w:rPr>
        <w:t xml:space="preserve"> liés au genre. </w:t>
      </w:r>
      <w:r w:rsidR="00915F46">
        <w:rPr>
          <w:rStyle w:val="hps"/>
        </w:rPr>
        <w:t>A</w:t>
      </w:r>
      <w:r w:rsidR="00B710E9">
        <w:rPr>
          <w:rStyle w:val="hps"/>
        </w:rPr>
        <w:t>u moyen d’études de cas et d’</w:t>
      </w:r>
      <w:r w:rsidR="00915F46">
        <w:rPr>
          <w:rStyle w:val="hps"/>
        </w:rPr>
        <w:t>apprentissage</w:t>
      </w:r>
      <w:r w:rsidR="00B710E9">
        <w:rPr>
          <w:rStyle w:val="hps"/>
        </w:rPr>
        <w:t>s</w:t>
      </w:r>
      <w:r w:rsidR="00915F46">
        <w:rPr>
          <w:rStyle w:val="hps"/>
        </w:rPr>
        <w:t xml:space="preserve"> basé</w:t>
      </w:r>
      <w:r w:rsidR="00B710E9">
        <w:rPr>
          <w:rStyle w:val="hps"/>
        </w:rPr>
        <w:t>s</w:t>
      </w:r>
      <w:r w:rsidR="00915F46">
        <w:rPr>
          <w:rStyle w:val="hps"/>
        </w:rPr>
        <w:t xml:space="preserve"> sur des activités concrètes, les participants réfléchissent sur les d</w:t>
      </w:r>
      <w:r w:rsidR="006E3C37">
        <w:rPr>
          <w:rStyle w:val="hps"/>
        </w:rPr>
        <w:t>ifférents modes de transmission</w:t>
      </w:r>
      <w:r w:rsidR="00915F46">
        <w:rPr>
          <w:rStyle w:val="hps"/>
        </w:rPr>
        <w:t xml:space="preserve"> par les communautés de patrimoine culturel immatériel, des valeurs, normes et attentes en matière de genre</w:t>
      </w:r>
      <w:r w:rsidR="00B710E9">
        <w:rPr>
          <w:rStyle w:val="hps"/>
        </w:rPr>
        <w:t xml:space="preserve">, et sur la façon dont ces processus contribuent à </w:t>
      </w:r>
      <w:r w:rsidR="00333D70">
        <w:rPr>
          <w:rStyle w:val="hps"/>
        </w:rPr>
        <w:t>façonner les identités de genre</w:t>
      </w:r>
      <w:r w:rsidR="00B710E9">
        <w:rPr>
          <w:rStyle w:val="hps"/>
        </w:rPr>
        <w:t xml:space="preserve"> des membres des communautés. Les participants</w:t>
      </w:r>
      <w:r w:rsidR="00915F46">
        <w:rPr>
          <w:rStyle w:val="hps"/>
        </w:rPr>
        <w:t xml:space="preserve"> découvrent comment l’accès et la </w:t>
      </w:r>
      <w:r w:rsidR="00915F46" w:rsidRPr="00915F46">
        <w:rPr>
          <w:rStyle w:val="hps"/>
        </w:rPr>
        <w:t>participation</w:t>
      </w:r>
      <w:r w:rsidR="00915F46">
        <w:rPr>
          <w:rStyle w:val="hps"/>
        </w:rPr>
        <w:t xml:space="preserve"> à des expressions particulières du </w:t>
      </w:r>
      <w:r w:rsidR="00915F46" w:rsidRPr="00915F46">
        <w:rPr>
          <w:rStyle w:val="hps"/>
        </w:rPr>
        <w:t>patrimoine</w:t>
      </w:r>
      <w:r w:rsidR="00915F46">
        <w:rPr>
          <w:rStyle w:val="hps"/>
        </w:rPr>
        <w:t xml:space="preserve"> sont souvent régis par des normes fondées sur le genre. </w:t>
      </w:r>
      <w:r w:rsidR="00B710E9">
        <w:rPr>
          <w:rStyle w:val="hps"/>
        </w:rPr>
        <w:t>En outre, ils apprendront comment les rôles</w:t>
      </w:r>
      <w:r w:rsidR="006E3C37">
        <w:rPr>
          <w:rStyle w:val="hps"/>
        </w:rPr>
        <w:t xml:space="preserve"> de genre</w:t>
      </w:r>
      <w:r w:rsidR="00B710E9">
        <w:rPr>
          <w:rStyle w:val="hps"/>
        </w:rPr>
        <w:t xml:space="preserve">, </w:t>
      </w:r>
      <w:r w:rsidR="006E3C37" w:rsidRPr="006E3C37">
        <w:rPr>
          <w:rStyle w:val="hps"/>
        </w:rPr>
        <w:t>également</w:t>
      </w:r>
      <w:r w:rsidR="006E3C37">
        <w:rPr>
          <w:rStyle w:val="hps"/>
        </w:rPr>
        <w:t xml:space="preserve"> appelés sexospécifiques, </w:t>
      </w:r>
      <w:r w:rsidR="00A77D76">
        <w:rPr>
          <w:rStyle w:val="hps"/>
        </w:rPr>
        <w:t xml:space="preserve">changent </w:t>
      </w:r>
      <w:r w:rsidR="00B710E9">
        <w:rPr>
          <w:rStyle w:val="hps"/>
        </w:rPr>
        <w:t xml:space="preserve">car le patrimoine culturel immatériel s’adapte en permanence aux </w:t>
      </w:r>
      <w:r w:rsidR="00A77D76">
        <w:rPr>
          <w:rStyle w:val="hps"/>
        </w:rPr>
        <w:t>évolutions sociales</w:t>
      </w:r>
      <w:r w:rsidR="00B710E9">
        <w:rPr>
          <w:rStyle w:val="hps"/>
        </w:rPr>
        <w:t xml:space="preserve"> et </w:t>
      </w:r>
      <w:r w:rsidR="00A77D76">
        <w:rPr>
          <w:rStyle w:val="hps"/>
        </w:rPr>
        <w:t xml:space="preserve">environnementales. Ils débattront </w:t>
      </w:r>
      <w:r w:rsidR="00832774">
        <w:rPr>
          <w:rStyle w:val="hps"/>
        </w:rPr>
        <w:t xml:space="preserve">de la façon dont la négociation, </w:t>
      </w:r>
      <w:r w:rsidR="00A77D76">
        <w:rPr>
          <w:rStyle w:val="hps"/>
        </w:rPr>
        <w:t>menée en permanence au sein des communautés</w:t>
      </w:r>
      <w:r w:rsidR="00832774">
        <w:rPr>
          <w:rStyle w:val="hps"/>
        </w:rPr>
        <w:t>,</w:t>
      </w:r>
      <w:r w:rsidR="00A77D76">
        <w:rPr>
          <w:rStyle w:val="hps"/>
        </w:rPr>
        <w:t xml:space="preserve"> su</w:t>
      </w:r>
      <w:r w:rsidR="006E3C37">
        <w:rPr>
          <w:rStyle w:val="hps"/>
        </w:rPr>
        <w:t>r les rapports entre les genres</w:t>
      </w:r>
      <w:r w:rsidR="00832774">
        <w:rPr>
          <w:rStyle w:val="hps"/>
        </w:rPr>
        <w:t xml:space="preserve"> </w:t>
      </w:r>
      <w:r w:rsidR="00A77D76">
        <w:rPr>
          <w:rStyle w:val="hps"/>
        </w:rPr>
        <w:t xml:space="preserve">peut offrir des opportunités </w:t>
      </w:r>
      <w:r w:rsidR="00832774">
        <w:rPr>
          <w:rStyle w:val="hps"/>
        </w:rPr>
        <w:t xml:space="preserve">de surmonter, grâce au patrimoine culturel immatériel, </w:t>
      </w:r>
      <w:r w:rsidR="00A77D76">
        <w:rPr>
          <w:rStyle w:val="hps"/>
        </w:rPr>
        <w:t>la discrimination fondée sur le genre</w:t>
      </w:r>
      <w:r w:rsidR="00832774">
        <w:rPr>
          <w:rStyle w:val="hps"/>
        </w:rPr>
        <w:t xml:space="preserve"> que l’on peut observer dans la pratique de ce </w:t>
      </w:r>
      <w:r w:rsidR="00832774" w:rsidRPr="00832774">
        <w:rPr>
          <w:rStyle w:val="hps"/>
        </w:rPr>
        <w:t>patrimoine</w:t>
      </w:r>
      <w:r w:rsidR="00832774">
        <w:rPr>
          <w:rStyle w:val="hps"/>
        </w:rPr>
        <w:t>.</w:t>
      </w:r>
    </w:p>
    <w:p w14:paraId="7F309123" w14:textId="0FC5EC49" w:rsidR="004B6447" w:rsidRPr="000B5904" w:rsidRDefault="00832774" w:rsidP="00FB67EF">
      <w:pPr>
        <w:pStyle w:val="UTxt"/>
        <w:rPr>
          <w:i/>
          <w:iCs/>
        </w:rPr>
      </w:pPr>
      <w:r>
        <w:rPr>
          <w:i/>
          <w:iCs/>
        </w:rPr>
        <w:t>Proposition de déroulement de l’unité :</w:t>
      </w:r>
    </w:p>
    <w:p w14:paraId="053CE9B6" w14:textId="7FFFB2D0" w:rsidR="003F436D" w:rsidRPr="000B5904" w:rsidRDefault="00B24654" w:rsidP="003F436D">
      <w:pPr>
        <w:pStyle w:val="Upuce"/>
      </w:pPr>
      <w:r>
        <w:t xml:space="preserve">Sensibilisation au genre et à son lien </w:t>
      </w:r>
      <w:r w:rsidR="00623F9B">
        <w:t>avec le PCI, au moyen d’une activité d’amorce destinée à briser la glace et à faire prendre conscience aux p</w:t>
      </w:r>
      <w:r w:rsidR="0067147C">
        <w:t>articipants de leurs présuppositions</w:t>
      </w:r>
      <w:r w:rsidR="00623F9B">
        <w:t xml:space="preserve"> à propos du </w:t>
      </w:r>
      <w:r w:rsidR="006E3C37">
        <w:t>genre, de l’interprétation/</w:t>
      </w:r>
      <w:r w:rsidR="00623F9B">
        <w:t>pratique</w:t>
      </w:r>
      <w:r w:rsidR="009335BD">
        <w:t xml:space="preserve"> du PCI</w:t>
      </w:r>
      <w:r w:rsidR="00222388">
        <w:t xml:space="preserve"> et de sa sauvegarde.</w:t>
      </w:r>
    </w:p>
    <w:p w14:paraId="0CDE9BE6" w14:textId="5C004310" w:rsidR="00362E84" w:rsidRPr="000B5904" w:rsidRDefault="009335BD" w:rsidP="002C6022">
      <w:pPr>
        <w:pStyle w:val="Upuce"/>
      </w:pPr>
      <w:r>
        <w:t>Problème</w:t>
      </w:r>
      <w:r w:rsidR="006E3C37">
        <w:t>s relatifs à l’égalité des genres</w:t>
      </w:r>
      <w:r>
        <w:t xml:space="preserve"> dans la sauvegarde du PCI et aux aspects </w:t>
      </w:r>
      <w:r>
        <w:rPr>
          <w:szCs w:val="20"/>
          <w:lang w:eastAsia="en-US"/>
        </w:rPr>
        <w:t>potentiellement discriminatoires du PCI.</w:t>
      </w:r>
    </w:p>
    <w:p w14:paraId="530F838C" w14:textId="48FA6433" w:rsidR="00362E84" w:rsidRPr="000B5904" w:rsidRDefault="009335BD" w:rsidP="002C6022">
      <w:pPr>
        <w:pStyle w:val="Upuce"/>
      </w:pPr>
      <w:r>
        <w:t xml:space="preserve">Présentation et étude de différentes études </w:t>
      </w:r>
      <w:r w:rsidR="006E3C37">
        <w:t xml:space="preserve">de cas </w:t>
      </w:r>
      <w:r>
        <w:t xml:space="preserve">d’éléments </w:t>
      </w:r>
      <w:r w:rsidR="006E3C37">
        <w:t xml:space="preserve">fictifs </w:t>
      </w:r>
      <w:r>
        <w:t>du PCI, destinées à analys</w:t>
      </w:r>
      <w:r w:rsidR="006E3C37">
        <w:t>er les rôles de genre</w:t>
      </w:r>
      <w:r w:rsidR="001F2F49">
        <w:t>, les liens entre les hommes et les femmes, et les problèmes liés au genre.</w:t>
      </w:r>
    </w:p>
    <w:p w14:paraId="15366628" w14:textId="4FF96701" w:rsidR="00362E84" w:rsidRPr="000B5904" w:rsidRDefault="001F2F49" w:rsidP="00021C76">
      <w:pPr>
        <w:pStyle w:val="Upuce"/>
      </w:pPr>
      <w:r>
        <w:t>Séance de conclusion : discussion sur des points précis soumis aux participants.</w:t>
      </w:r>
    </w:p>
    <w:p w14:paraId="62F9CD44" w14:textId="2228F5E0" w:rsidR="00362E84" w:rsidRPr="000B5904" w:rsidRDefault="00FB67EF" w:rsidP="00FB67EF">
      <w:pPr>
        <w:pStyle w:val="UTit4"/>
        <w:rPr>
          <w:lang w:val="fr-FR"/>
        </w:rPr>
      </w:pPr>
      <w:r w:rsidRPr="000B5904">
        <w:rPr>
          <w:lang w:val="fr-FR"/>
        </w:rPr>
        <w:lastRenderedPageBreak/>
        <w:t>DOCUMENTS</w:t>
      </w:r>
      <w:r w:rsidR="001F2F49">
        <w:rPr>
          <w:lang w:val="fr-FR"/>
        </w:rPr>
        <w:t xml:space="preserve"> de référence </w:t>
      </w:r>
      <w:r w:rsidRPr="000B5904">
        <w:rPr>
          <w:lang w:val="fr-FR"/>
        </w:rPr>
        <w:t>:</w:t>
      </w:r>
    </w:p>
    <w:p w14:paraId="2444A782" w14:textId="725FC659" w:rsidR="00FB67EF" w:rsidRPr="000B5904" w:rsidRDefault="001F2F49" w:rsidP="007063B0">
      <w:pPr>
        <w:pStyle w:val="Upuce"/>
      </w:pPr>
      <w:r>
        <w:t>Note du facilitateur de l’Unité 48</w:t>
      </w:r>
    </w:p>
    <w:p w14:paraId="2D014C27" w14:textId="5D88DC80" w:rsidR="00647C7B" w:rsidRPr="000B5904" w:rsidRDefault="001F2F49" w:rsidP="007063B0">
      <w:pPr>
        <w:pStyle w:val="Upuce"/>
      </w:pPr>
      <w:r>
        <w:t>Présentation PowerPoint de l’Unité 48</w:t>
      </w:r>
    </w:p>
    <w:p w14:paraId="78DAFF17" w14:textId="48E2E313" w:rsidR="00362E84" w:rsidRPr="001F2F49" w:rsidRDefault="001F2F49" w:rsidP="002C6022">
      <w:pPr>
        <w:pStyle w:val="Upuce"/>
      </w:pPr>
      <w:r w:rsidRPr="001F2F49">
        <w:t>Études de cas 40 à 44</w:t>
      </w:r>
      <w:r>
        <w:t xml:space="preserve"> (l’étude </w:t>
      </w:r>
      <w:r w:rsidR="006E3C37">
        <w:t xml:space="preserve">de cas </w:t>
      </w:r>
      <w:r>
        <w:t>42 est facultative)</w:t>
      </w:r>
    </w:p>
    <w:p w14:paraId="0478FF88" w14:textId="5EB35C4B" w:rsidR="00362E84" w:rsidRPr="001F2F49" w:rsidRDefault="006E3C37" w:rsidP="007063B0">
      <w:pPr>
        <w:pStyle w:val="Upuce"/>
      </w:pPr>
      <w:r>
        <w:t xml:space="preserve">Imprimés 1 et </w:t>
      </w:r>
      <w:r w:rsidR="004C7314">
        <w:t>2 de l’Unité 48</w:t>
      </w:r>
      <w:r w:rsidR="001F2F49">
        <w:t xml:space="preserve"> </w:t>
      </w:r>
    </w:p>
    <w:p w14:paraId="30EFC6B8" w14:textId="1BDBD4D5" w:rsidR="00362E84" w:rsidRPr="001F2F49" w:rsidRDefault="004D461F" w:rsidP="002C6022">
      <w:pPr>
        <w:pStyle w:val="Upuce"/>
      </w:pPr>
      <w:r>
        <w:t>Rapport de l’UNESCO</w:t>
      </w:r>
      <w:r w:rsidR="00A262E0">
        <w:t xml:space="preserve"> « </w:t>
      </w:r>
      <w:r>
        <w:t xml:space="preserve">Égalité des </w:t>
      </w:r>
      <w:r w:rsidR="00A262E0">
        <w:t>genres, patrimoine et créativité »</w:t>
      </w:r>
      <w:r>
        <w:t xml:space="preserve"> (2014) </w:t>
      </w:r>
      <w:hyperlink r:id="rId12" w:history="1">
        <w:r w:rsidR="0096623B" w:rsidRPr="00716EFE">
          <w:rPr>
            <w:rStyle w:val="Hyperlink"/>
          </w:rPr>
          <w:t>http://www.unesco.org/new/fr/culture/gender-and-culture/gender-equality-and-culture/the-report/</w:t>
        </w:r>
      </w:hyperlink>
      <w:r w:rsidR="0096623B">
        <w:t xml:space="preserve">       </w:t>
      </w:r>
    </w:p>
    <w:p w14:paraId="79A7512A" w14:textId="32B80708" w:rsidR="00362E84" w:rsidRPr="001F2F49" w:rsidRDefault="0096623B" w:rsidP="007063B0">
      <w:pPr>
        <w:pStyle w:val="Upuce"/>
      </w:pPr>
      <w:r>
        <w:t xml:space="preserve">Décisions de la huitième session du Comité intergouvernemental (Document ITH/13/8.COM/Décisions </w:t>
      </w:r>
      <w:hyperlink r:id="rId13" w:history="1">
        <w:r w:rsidRPr="00716EFE">
          <w:rPr>
            <w:rStyle w:val="Hyperlink"/>
          </w:rPr>
          <w:t>http://www.unesco.org/culture/ich/index.php?lg=fr&amp;pg=00473</w:t>
        </w:r>
      </w:hyperlink>
      <w:r>
        <w:t>) relatives au</w:t>
      </w:r>
      <w:r w:rsidR="00087950">
        <w:t xml:space="preserve"> genre, suite aux</w:t>
      </w:r>
      <w:r>
        <w:t xml:space="preserve"> recomma</w:t>
      </w:r>
      <w:r w:rsidR="00087950">
        <w:t xml:space="preserve">ndations du Service d’évaluation et d’audit (IOS) faites dans le cadre de son </w:t>
      </w:r>
      <w:r>
        <w:t xml:space="preserve">Évaluation du </w:t>
      </w:r>
      <w:r w:rsidR="00087950">
        <w:t xml:space="preserve">travail normatif de l’UNESCO dans le domaine de la culture. </w:t>
      </w:r>
      <w:r w:rsidR="00CB325E">
        <w:t xml:space="preserve">Partie I : Convention de 2003 pour la sauvegarde du patrimoine culturel immatériel. </w:t>
      </w:r>
    </w:p>
    <w:p w14:paraId="40215CB3" w14:textId="616B1A7E" w:rsidR="003A7B34" w:rsidRPr="00810311" w:rsidRDefault="000A6805" w:rsidP="00021C76">
      <w:pPr>
        <w:pStyle w:val="Upuce"/>
        <w:rPr>
          <w:color w:val="FF0000"/>
        </w:rPr>
      </w:pPr>
      <w:r>
        <w:t>Orientations</w:t>
      </w:r>
      <w:r w:rsidR="003A7B34" w:rsidRPr="000A6805">
        <w:t xml:space="preserve"> pour la priorité Égalité des genres, UNESCO 2011 </w:t>
      </w:r>
      <w:r w:rsidR="009D0AA9" w:rsidRPr="000A6805">
        <w:t>(</w:t>
      </w:r>
      <w:hyperlink r:id="rId14" w:history="1">
        <w:r w:rsidR="004B7421" w:rsidRPr="00E6405F">
          <w:rPr>
            <w:rStyle w:val="Hyperlink"/>
          </w:rPr>
          <w:t>http://www.unesco.org/new/fileadmin/MULTIMEDIA/HQ/BSP/GENDER/GE%20Guidelines%20December%202_FINAL.pdf</w:t>
        </w:r>
      </w:hyperlink>
      <w:r w:rsidR="004B7421">
        <w:t>)</w:t>
      </w:r>
      <w:r w:rsidRPr="000A6805">
        <w:t xml:space="preserve"> </w:t>
      </w:r>
      <w:r w:rsidRPr="00810311">
        <w:rPr>
          <w:color w:val="FF0000"/>
        </w:rPr>
        <w:t>(</w:t>
      </w:r>
      <w:r w:rsidRPr="00810311">
        <w:rPr>
          <w:i/>
          <w:color w:val="FF0000"/>
        </w:rPr>
        <w:t>document en anglais</w:t>
      </w:r>
      <w:r w:rsidRPr="00810311">
        <w:rPr>
          <w:color w:val="FF0000"/>
        </w:rPr>
        <w:t xml:space="preserve">) </w:t>
      </w:r>
    </w:p>
    <w:p w14:paraId="46D06B3D" w14:textId="2CF111E7" w:rsidR="00362E84" w:rsidRPr="001F2F49" w:rsidRDefault="00296BD1" w:rsidP="007063B0">
      <w:pPr>
        <w:pStyle w:val="Upuce"/>
      </w:pPr>
      <w:r>
        <w:t>P</w:t>
      </w:r>
      <w:r w:rsidR="009D0AA9">
        <w:t>rojet de Direc</w:t>
      </w:r>
      <w:r w:rsidR="007A0EE0">
        <w:t>tives opérationnelles sur « S</w:t>
      </w:r>
      <w:r w:rsidR="009D0AA9">
        <w:t>auvegarde du patrimoine culturel immatériel</w:t>
      </w:r>
      <w:r>
        <w:t xml:space="preserve"> et </w:t>
      </w:r>
      <w:r w:rsidR="009D0AA9">
        <w:t>développeme</w:t>
      </w:r>
      <w:r>
        <w:t>nt durable au nivea</w:t>
      </w:r>
      <w:r w:rsidR="000910FE">
        <w:t xml:space="preserve">u national ». Paragraphe 14 </w:t>
      </w:r>
      <w:r w:rsidR="009B5C10">
        <w:t xml:space="preserve">sur </w:t>
      </w:r>
      <w:r>
        <w:t>l’ég</w:t>
      </w:r>
      <w:r w:rsidR="009B5C10">
        <w:t>alité des genres, dans l’a</w:t>
      </w:r>
      <w:r w:rsidR="009D0AA9">
        <w:t xml:space="preserve">nnexe du document ITH/14/9.COM/13.b </w:t>
      </w:r>
      <w:r w:rsidR="009B5C10">
        <w:t>(</w:t>
      </w:r>
      <w:hyperlink r:id="rId15" w:history="1">
        <w:r w:rsidR="009D0AA9" w:rsidRPr="00716EFE">
          <w:rPr>
            <w:rStyle w:val="Hyperlink"/>
          </w:rPr>
          <w:t>http://www.unesco.org/culture/ich/doc/src/ITH-14-9.COM-13.b-FR.doc</w:t>
        </w:r>
      </w:hyperlink>
      <w:r w:rsidR="009D0AA9">
        <w:t>)</w:t>
      </w:r>
    </w:p>
    <w:p w14:paraId="44AECF23" w14:textId="6E216939" w:rsidR="00362E84" w:rsidRPr="001F2F49" w:rsidRDefault="009D0AA9" w:rsidP="007063B0">
      <w:pPr>
        <w:pStyle w:val="Upuce"/>
      </w:pPr>
      <w:r>
        <w:t xml:space="preserve">Enregistrement audio des débats </w:t>
      </w:r>
      <w:r w:rsidR="00296BD1">
        <w:t xml:space="preserve">sur le point 13.b de l’ordre du jour </w:t>
      </w:r>
      <w:r>
        <w:t>de la 9e session du Comité</w:t>
      </w:r>
      <w:r w:rsidR="00296BD1">
        <w:t>, et décision qui en a ré</w:t>
      </w:r>
      <w:r>
        <w:t>sulté</w:t>
      </w:r>
      <w:r w:rsidR="00FA149E" w:rsidRPr="001F2F49">
        <w:t xml:space="preserve">. </w:t>
      </w:r>
      <w:r w:rsidR="00296BD1">
        <w:t>(</w:t>
      </w:r>
      <w:hyperlink r:id="rId16" w:history="1">
        <w:r w:rsidR="00296BD1" w:rsidRPr="00716EFE">
          <w:rPr>
            <w:rStyle w:val="Hyperlink"/>
          </w:rPr>
          <w:t>http://www.unesco.org/culture/ich/index.php?lg=fr&amp;pg=00574</w:t>
        </w:r>
      </w:hyperlink>
      <w:r w:rsidR="00296BD1">
        <w:t xml:space="preserve">) </w:t>
      </w:r>
    </w:p>
    <w:p w14:paraId="793B0550" w14:textId="10E11C6B" w:rsidR="000910FE" w:rsidRDefault="000910FE" w:rsidP="000910FE">
      <w:pPr>
        <w:pStyle w:val="Upuce"/>
      </w:pPr>
      <w:r>
        <w:t>Aide-mémoire pour l’</w:t>
      </w:r>
      <w:r>
        <w:rPr>
          <w:lang w:eastAsia="en-US"/>
        </w:rPr>
        <w:t>élaboration</w:t>
      </w:r>
      <w:r>
        <w:t xml:space="preserve"> d’une candidature à la Liste de sauvegarde urgente et Aide-mémoire pour l’</w:t>
      </w:r>
      <w:r>
        <w:rPr>
          <w:lang w:eastAsia="en-US"/>
        </w:rPr>
        <w:t>élaboration</w:t>
      </w:r>
      <w:r>
        <w:t xml:space="preserve"> d’une candidature à la Liste représentative. Paragraphe 24 </w:t>
      </w:r>
      <w:r w:rsidR="009B5C10">
        <w:t xml:space="preserve">sur </w:t>
      </w:r>
      <w:r>
        <w:t xml:space="preserve">l’hétérogénéité des </w:t>
      </w:r>
      <w:r w:rsidR="009B5C10">
        <w:t xml:space="preserve">communautés </w:t>
      </w:r>
      <w:r>
        <w:t>(</w:t>
      </w:r>
      <w:hyperlink r:id="rId17" w:history="1">
        <w:r w:rsidRPr="00716EFE">
          <w:rPr>
            <w:rStyle w:val="Hyperlink"/>
          </w:rPr>
          <w:t>http://www.unesco.org/culture/ich/index.php?lg=fr&amp;pg=00184</w:t>
        </w:r>
      </w:hyperlink>
      <w:r>
        <w:t xml:space="preserve">) </w:t>
      </w:r>
    </w:p>
    <w:p w14:paraId="0E668C1B" w14:textId="6E956FDE" w:rsidR="00362E84" w:rsidRPr="001F2F49" w:rsidRDefault="000910FE" w:rsidP="007063B0">
      <w:pPr>
        <w:pStyle w:val="Upuce"/>
        <w:rPr>
          <w:rStyle w:val="Hyperlink"/>
          <w:color w:val="auto"/>
          <w:u w:val="none"/>
        </w:rPr>
      </w:pPr>
      <w:r>
        <w:t>Textes</w:t>
      </w:r>
      <w:r w:rsidR="009B5C10">
        <w:t xml:space="preserve"> fondamentaux de la Convention </w:t>
      </w:r>
      <w:r>
        <w:t>de 2003 pour la sauvegarde du patrimoine culturel immatériel</w:t>
      </w:r>
      <w:r w:rsidR="009B5C10">
        <w:rPr>
          <w:rStyle w:val="FootnoteReference"/>
        </w:rPr>
        <w:footnoteReference w:id="1"/>
      </w:r>
    </w:p>
    <w:bookmarkEnd w:id="0"/>
    <w:bookmarkEnd w:id="1"/>
    <w:bookmarkEnd w:id="2"/>
    <w:p w14:paraId="0F199718" w14:textId="0E1FB88B" w:rsidR="00362E84" w:rsidRPr="009B5C10" w:rsidRDefault="009B5C10" w:rsidP="00FB67EF">
      <w:pPr>
        <w:pStyle w:val="Soustitre"/>
        <w:rPr>
          <w:noProof w:val="0"/>
        </w:rPr>
      </w:pPr>
      <w:r>
        <w:rPr>
          <w:noProof w:val="0"/>
        </w:rPr>
        <w:t>Notes et</w:t>
      </w:r>
      <w:r w:rsidR="00FB67EF" w:rsidRPr="009B5C10">
        <w:rPr>
          <w:noProof w:val="0"/>
        </w:rPr>
        <w:t xml:space="preserve"> suggestions</w:t>
      </w:r>
    </w:p>
    <w:p w14:paraId="63C623EF" w14:textId="1C61A14A" w:rsidR="00362E84" w:rsidRPr="009B5C10" w:rsidRDefault="00D13298" w:rsidP="00FB67EF">
      <w:pPr>
        <w:pStyle w:val="Texte1"/>
      </w:pPr>
      <w:r>
        <w:t>Cette unité aborde une question éminemment co</w:t>
      </w:r>
      <w:r w:rsidR="008864B3">
        <w:t>mplexe et sensible qui demande donc au facilitateur une certaine f</w:t>
      </w:r>
      <w:r w:rsidR="0044333F">
        <w:t xml:space="preserve">amiliarité avec les éléments </w:t>
      </w:r>
      <w:r w:rsidR="003E154B">
        <w:t>d’introduction</w:t>
      </w:r>
      <w:r w:rsidR="005E3AB7">
        <w:t xml:space="preserve"> (cf. commentaires du facilitateur ci-après</w:t>
      </w:r>
      <w:r w:rsidR="00DC47F5">
        <w:t xml:space="preserve">) qui </w:t>
      </w:r>
      <w:r w:rsidR="005E3AB7">
        <w:t>détail</w:t>
      </w:r>
      <w:r w:rsidR="00DC47F5">
        <w:t>lent</w:t>
      </w:r>
      <w:r w:rsidR="005E3AB7">
        <w:t xml:space="preserve"> </w:t>
      </w:r>
      <w:r w:rsidR="0044333F">
        <w:t>les principaux concepts de cette unité, et une sensibilité aux n</w:t>
      </w:r>
      <w:r w:rsidR="003E154B">
        <w:t>ormes locales, tant culturelle</w:t>
      </w:r>
      <w:r w:rsidR="00F47B5F">
        <w:t>s que</w:t>
      </w:r>
      <w:r w:rsidR="0044333F">
        <w:t xml:space="preserve"> religieuses qui pourraient être contraires à certaines des idées exposées</w:t>
      </w:r>
      <w:r w:rsidR="007A0EE0">
        <w:t>. C’est la raison pour laquelle</w:t>
      </w:r>
      <w:r w:rsidR="0044333F">
        <w:t xml:space="preserve"> la s</w:t>
      </w:r>
      <w:r w:rsidR="006F0CAE">
        <w:t>ession d’ouverture de l’unité se consacre à définir l</w:t>
      </w:r>
      <w:r w:rsidR="0044333F">
        <w:t>es limites de l’acceptation par les participants</w:t>
      </w:r>
      <w:r w:rsidR="006F0CAE">
        <w:t xml:space="preserve"> des di</w:t>
      </w:r>
      <w:r w:rsidR="00834281">
        <w:t xml:space="preserve">fférents rôles </w:t>
      </w:r>
      <w:r w:rsidR="007A0EE0">
        <w:t xml:space="preserve">de </w:t>
      </w:r>
      <w:r w:rsidR="006F0CAE">
        <w:t>genre</w:t>
      </w:r>
      <w:r w:rsidR="0044333F">
        <w:t xml:space="preserve">. </w:t>
      </w:r>
      <w:r w:rsidR="006F0CAE">
        <w:t xml:space="preserve">Le facilitateur devra être </w:t>
      </w:r>
      <w:r w:rsidR="003E154B">
        <w:t>très attentif</w:t>
      </w:r>
      <w:r w:rsidR="00C92150">
        <w:t xml:space="preserve"> à ces limites </w:t>
      </w:r>
      <w:r w:rsidR="006F0CAE">
        <w:t>et adapter le</w:t>
      </w:r>
      <w:r w:rsidR="00222388">
        <w:t>s présentations en conséquence.</w:t>
      </w:r>
    </w:p>
    <w:p w14:paraId="39716A89" w14:textId="39E5FF44" w:rsidR="00C92150" w:rsidRDefault="00C92150" w:rsidP="00FB67EF">
      <w:pPr>
        <w:pStyle w:val="Texte1"/>
      </w:pPr>
      <w:r>
        <w:t>Les documents suivants devront être mis à disposition des participants par le facilitateur. Ils constituent un ensemble de ressources que les pa</w:t>
      </w:r>
      <w:r w:rsidR="007A0EE0">
        <w:t>rticipants pourront</w:t>
      </w:r>
      <w:r>
        <w:t xml:space="preserve"> utiliser afin d’approfondir la compréhension du genre et de son interaction avec le PCI et la sauvegarde du PCI</w:t>
      </w:r>
      <w:r w:rsidR="00333D70">
        <w:t xml:space="preserve">, </w:t>
      </w:r>
      <w:r>
        <w:t>qu’ils auront acquis</w:t>
      </w:r>
      <w:r w:rsidR="00333D70">
        <w:t>e</w:t>
      </w:r>
      <w:r>
        <w:t xml:space="preserve"> dans le cadre de cette unité : les décisions relatives au genre, de la </w:t>
      </w:r>
      <w:r w:rsidR="00A262E0">
        <w:t xml:space="preserve">huitième session du Comité intergouvernemental (document ITH/13/8.COM/décisions) ; le rapport de l’UNESCO « Égalité des genres, patrimoine et créativité » (UNESCO, 2014) ; </w:t>
      </w:r>
      <w:r w:rsidR="00A262E0">
        <w:lastRenderedPageBreak/>
        <w:t>les Orientations pour la priorité Égalité des genres (UNESCO, 2011)</w:t>
      </w:r>
      <w:r w:rsidR="00333D70">
        <w:t>, et le paragraphe 14 du projet de Directives op</w:t>
      </w:r>
      <w:r w:rsidR="007A0EE0">
        <w:t>érationnelles sur « S</w:t>
      </w:r>
      <w:r w:rsidR="00333D70">
        <w:t>auvegarde du patr</w:t>
      </w:r>
      <w:r w:rsidR="007A0EE0">
        <w:t>imoine culturel immatériel et</w:t>
      </w:r>
      <w:r w:rsidR="00333D70">
        <w:t xml:space="preserve"> développement durable au niveau national » (annexe du document ITH/14/9.COM/13.b).</w:t>
      </w:r>
    </w:p>
    <w:p w14:paraId="72B03EEC" w14:textId="71055E51" w:rsidR="00362E84" w:rsidRPr="009B5C10" w:rsidRDefault="00333D70" w:rsidP="00FB67EF">
      <w:pPr>
        <w:pStyle w:val="Texte1"/>
      </w:pPr>
      <w:r>
        <w:t>S’il le souhaite, le facilitateur pourra i</w:t>
      </w:r>
      <w:r w:rsidR="00222388">
        <w:t>nsister sur les points suivants </w:t>
      </w:r>
      <w:r>
        <w:t>:</w:t>
      </w:r>
    </w:p>
    <w:p w14:paraId="6E6ADEB0" w14:textId="133AB9BC" w:rsidR="00362E84" w:rsidRPr="009B5C10" w:rsidRDefault="00333D70" w:rsidP="004576C6">
      <w:pPr>
        <w:pStyle w:val="Txtpucegras"/>
      </w:pPr>
      <w:r>
        <w:t xml:space="preserve">La dynamique des genres du PCI et de sa sauvegarde est extrêmement diverse, et chacun </w:t>
      </w:r>
      <w:r w:rsidR="003E154B">
        <w:t xml:space="preserve">d’entre nous </w:t>
      </w:r>
      <w:r>
        <w:t>est influencé et limité dans sa compréhension p</w:t>
      </w:r>
      <w:r w:rsidR="007A0EE0">
        <w:t>ar son propre contexte culturel ;</w:t>
      </w:r>
    </w:p>
    <w:p w14:paraId="14EE08FD" w14:textId="2F424457" w:rsidR="00362E84" w:rsidRPr="009B5C10" w:rsidRDefault="007A0EE0" w:rsidP="004576C6">
      <w:pPr>
        <w:pStyle w:val="Txtpucegras"/>
      </w:pPr>
      <w:r>
        <w:t>l</w:t>
      </w:r>
      <w:r w:rsidR="00333D70">
        <w:t>e rôle constitutif que joue le PCI dans la formation et l’ex</w:t>
      </w:r>
      <w:r>
        <w:t>pression des identités de genre ;</w:t>
      </w:r>
    </w:p>
    <w:p w14:paraId="0ADB9FEA" w14:textId="3EE2393A" w:rsidR="00362E84" w:rsidRPr="009B5C10" w:rsidRDefault="007A0EE0" w:rsidP="004576C6">
      <w:pPr>
        <w:pStyle w:val="Txtpucegras"/>
      </w:pPr>
      <w:r>
        <w:t>l</w:t>
      </w:r>
      <w:r w:rsidR="00352F8B">
        <w:t xml:space="preserve">’accès et </w:t>
      </w:r>
      <w:r w:rsidR="003E154B">
        <w:t>la participation à des expressions particulières du patrimoine sont souvent définis</w:t>
      </w:r>
      <w:r>
        <w:t xml:space="preserve"> par ces normes sexospécifiques ;</w:t>
      </w:r>
    </w:p>
    <w:p w14:paraId="26928ADB" w14:textId="7B8659CD" w:rsidR="00FB67EF" w:rsidRPr="009B5C10" w:rsidRDefault="007A0EE0" w:rsidP="004576C6">
      <w:pPr>
        <w:pStyle w:val="Txtpucegras"/>
      </w:pPr>
      <w:r>
        <w:t>l</w:t>
      </w:r>
      <w:r w:rsidR="003E154B">
        <w:t>e PCI</w:t>
      </w:r>
      <w:r>
        <w:t xml:space="preserve"> et les rôles de</w:t>
      </w:r>
      <w:r w:rsidR="003E154B">
        <w:t xml:space="preserve"> genre sont dynamiques et peuvent connaître des changements et des évolutions.</w:t>
      </w:r>
    </w:p>
    <w:p w14:paraId="5EE5CBE6" w14:textId="77777777" w:rsidR="000719FC" w:rsidRPr="009B5C10" w:rsidRDefault="00FB67EF" w:rsidP="00FB67EF">
      <w:pPr>
        <w:rPr>
          <w:rFonts w:asciiTheme="minorBidi" w:eastAsia="SimSun" w:hAnsiTheme="minorBidi"/>
          <w:sz w:val="20"/>
          <w:szCs w:val="20"/>
          <w:lang w:eastAsia="zh-CN"/>
        </w:rPr>
      </w:pPr>
      <w:r w:rsidRPr="009B5C10">
        <w:rPr>
          <w:rFonts w:asciiTheme="minorBidi" w:hAnsiTheme="minorBidi"/>
          <w:szCs w:val="20"/>
        </w:rPr>
        <w:br w:type="page"/>
      </w:r>
    </w:p>
    <w:p w14:paraId="30CC1650" w14:textId="284DFE2A" w:rsidR="00C07EF0" w:rsidRPr="003E154B" w:rsidRDefault="00C07EF0" w:rsidP="00C07EF0">
      <w:pPr>
        <w:pStyle w:val="Chapitre"/>
        <w:rPr>
          <w:noProof w:val="0"/>
        </w:rPr>
      </w:pPr>
      <w:r w:rsidRPr="003E154B">
        <w:rPr>
          <w:noProof w:val="0"/>
        </w:rPr>
        <w:lastRenderedPageBreak/>
        <w:t>unit</w:t>
      </w:r>
      <w:r w:rsidR="003E154B" w:rsidRPr="003E154B">
        <w:rPr>
          <w:noProof w:val="0"/>
        </w:rPr>
        <w:t>é</w:t>
      </w:r>
      <w:r w:rsidRPr="003E154B">
        <w:rPr>
          <w:noProof w:val="0"/>
        </w:rPr>
        <w:t xml:space="preserve"> 48</w:t>
      </w:r>
    </w:p>
    <w:p w14:paraId="2080DA26" w14:textId="464FD767" w:rsidR="00C07EF0" w:rsidRPr="003E154B" w:rsidRDefault="003E154B" w:rsidP="00C07EF0">
      <w:pPr>
        <w:pStyle w:val="UPlan"/>
        <w:rPr>
          <w:noProof w:val="0"/>
        </w:rPr>
      </w:pPr>
      <w:r>
        <w:rPr>
          <w:noProof w:val="0"/>
        </w:rPr>
        <w:t xml:space="preserve">Genre et patrimoine culturel immatériel </w:t>
      </w:r>
    </w:p>
    <w:p w14:paraId="0A3DAA8A" w14:textId="7F429260" w:rsidR="00C07EF0" w:rsidRPr="003E154B" w:rsidRDefault="00C138AC" w:rsidP="00C07EF0">
      <w:pPr>
        <w:pStyle w:val="Titcoul"/>
        <w:rPr>
          <w:rFonts w:eastAsia="SimSun"/>
          <w:noProof w:val="0"/>
        </w:rPr>
      </w:pPr>
      <w:r>
        <w:rPr>
          <w:noProof w:val="0"/>
        </w:rPr>
        <w:t>Exposé</w:t>
      </w:r>
      <w:r w:rsidR="005E3AB7" w:rsidRPr="003E154B">
        <w:rPr>
          <w:noProof w:val="0"/>
        </w:rPr>
        <w:t xml:space="preserve"> DU facilitateur</w:t>
      </w:r>
    </w:p>
    <w:p w14:paraId="7AC43597" w14:textId="2C43C5CD" w:rsidR="000719FC" w:rsidRPr="003E154B" w:rsidRDefault="003E154B" w:rsidP="00C07EF0">
      <w:pPr>
        <w:pStyle w:val="Heading4"/>
        <w:rPr>
          <w:lang w:val="fr-FR"/>
        </w:rPr>
      </w:pPr>
      <w:r>
        <w:rPr>
          <w:lang w:val="fr-FR"/>
        </w:rPr>
        <w:t>introduction</w:t>
      </w:r>
    </w:p>
    <w:p w14:paraId="5448CA4E" w14:textId="18503999" w:rsidR="000719FC" w:rsidRPr="003E154B" w:rsidRDefault="003E154B" w:rsidP="00C07EF0">
      <w:pPr>
        <w:pStyle w:val="Soustitre"/>
        <w:rPr>
          <w:noProof w:val="0"/>
        </w:rPr>
      </w:pPr>
      <w:r>
        <w:rPr>
          <w:noProof w:val="0"/>
        </w:rPr>
        <w:t>La dynamique des genres du PCI</w:t>
      </w:r>
    </w:p>
    <w:p w14:paraId="3EB407BF" w14:textId="069B865C" w:rsidR="00266C17" w:rsidRPr="003E154B" w:rsidRDefault="007A0EE0" w:rsidP="003E7CB2">
      <w:pPr>
        <w:pStyle w:val="Texte1"/>
      </w:pPr>
      <w:r>
        <w:t xml:space="preserve">Les interactions </w:t>
      </w:r>
      <w:r w:rsidR="00834281">
        <w:t>entre le genre et la pratique, la représentation et/ou l’interprétation du PCI sont extrêmement complexes et rep</w:t>
      </w:r>
      <w:r w:rsidR="006B550C">
        <w:t>osent parfois</w:t>
      </w:r>
      <w:r w:rsidR="00834281">
        <w:t xml:space="preserve"> sur un équilibre délicat. Le patrimoine étant un processus dans lequel l’identité (notamment l’identité de genre) et la signification sociale et culturelle font l’objet d’une médiation, d’une évaluation et d’une négociation, les interventio</w:t>
      </w:r>
      <w:r w:rsidR="006B550C">
        <w:t>ns sur</w:t>
      </w:r>
      <w:r w:rsidR="00834281">
        <w:t xml:space="preserve"> </w:t>
      </w:r>
      <w:r w:rsidR="006B550C">
        <w:t xml:space="preserve">le </w:t>
      </w:r>
      <w:r w:rsidR="00834281">
        <w:t>PCI</w:t>
      </w:r>
      <w:r w:rsidR="00266C17">
        <w:t xml:space="preserve"> </w:t>
      </w:r>
      <w:r w:rsidR="00834281">
        <w:t xml:space="preserve">- de son identification à la mise en œuvre de mesures de sauvegarde – auront un impact potentiel sur les </w:t>
      </w:r>
      <w:r w:rsidR="00266C17">
        <w:t xml:space="preserve">identités et les </w:t>
      </w:r>
      <w:r>
        <w:t>rôles de</w:t>
      </w:r>
      <w:r w:rsidR="00834281">
        <w:t xml:space="preserve"> genre</w:t>
      </w:r>
      <w:r w:rsidR="006B550C">
        <w:t xml:space="preserve">, voire sur le PCI lui-même, </w:t>
      </w:r>
      <w:r w:rsidR="00266C17">
        <w:t>qui pourra prendre diverses formes. En outre, différentes fonctions liées au PCI sont accomplies par différentes catégories de population au sein même de la communauté </w:t>
      </w:r>
      <w:r w:rsidR="003E7CB2">
        <w:t xml:space="preserve">: </w:t>
      </w:r>
      <w:r w:rsidR="00266C17">
        <w:t>les femmes peuvent avoir des connaissances et des savoirs dans le domaine des plantes</w:t>
      </w:r>
      <w:r w:rsidR="003E7CB2">
        <w:t xml:space="preserve"> médicinales et être détentrice</w:t>
      </w:r>
      <w:r w:rsidR="006B550C">
        <w:t>s</w:t>
      </w:r>
      <w:r w:rsidR="003E7CB2">
        <w:t xml:space="preserve"> ou </w:t>
      </w:r>
      <w:r w:rsidR="00266C17">
        <w:t>transmettre une tradition textile ; les hommes peuvent avoir des co</w:t>
      </w:r>
      <w:r w:rsidR="006B550C">
        <w:t>nnaissances et des savoirs sur l</w:t>
      </w:r>
      <w:r w:rsidR="00266C17">
        <w:t>es phénomènes naturels et les activités agricoles ; et les hommes et les femmes peu</w:t>
      </w:r>
      <w:r w:rsidR="003E7CB2">
        <w:t xml:space="preserve">vent collaborer pour </w:t>
      </w:r>
      <w:r w:rsidR="006B550C">
        <w:t xml:space="preserve">perpétuer </w:t>
      </w:r>
      <w:r w:rsidR="00266C17">
        <w:t>le calendrier des cycles et des saisons. La Convention de 2003 pour la sauvegarde du patrimoine culturel immatériel</w:t>
      </w:r>
      <w:r w:rsidR="007E42E5">
        <w:rPr>
          <w:rStyle w:val="FootnoteReference"/>
        </w:rPr>
        <w:footnoteReference w:id="2"/>
      </w:r>
      <w:r w:rsidR="00266C17">
        <w:t xml:space="preserve"> étant le seul traité international consacré exclusiv</w:t>
      </w:r>
      <w:r w:rsidR="006B550C">
        <w:t>ement au PCI, cette unité met</w:t>
      </w:r>
      <w:r w:rsidR="00266C17">
        <w:t xml:space="preserve"> en grande partie l’ac</w:t>
      </w:r>
      <w:r w:rsidR="003E7CB2">
        <w:t>cent sur la Convention, il convient cependant</w:t>
      </w:r>
      <w:r w:rsidR="00266C17">
        <w:t xml:space="preserve"> de souligner que l’unité </w:t>
      </w:r>
      <w:r w:rsidR="003E7CB2">
        <w:t>aborde également la question du genre et d</w:t>
      </w:r>
      <w:r w:rsidR="00222388">
        <w:t>u PCI de manière plus générale.</w:t>
      </w:r>
    </w:p>
    <w:p w14:paraId="38F8BE0E" w14:textId="5D1FA839" w:rsidR="000719FC" w:rsidRPr="003E154B" w:rsidRDefault="003E7CB2" w:rsidP="00F979AD">
      <w:pPr>
        <w:pStyle w:val="Texte1"/>
        <w:rPr>
          <w:lang w:eastAsia="en-US"/>
        </w:rPr>
      </w:pPr>
      <w:r>
        <w:t xml:space="preserve">La sauvegarde </w:t>
      </w:r>
      <w:r w:rsidR="00F979AD">
        <w:t xml:space="preserve">consistant souvent à attribuer </w:t>
      </w:r>
      <w:r>
        <w:t xml:space="preserve">une « valeur patrimoniale » à des éléments culturels, elle </w:t>
      </w:r>
      <w:r w:rsidR="00996BA9">
        <w:t>doit nécessairement s’intéresser à la question de qui représente qui et</w:t>
      </w:r>
      <w:r w:rsidR="006B550C">
        <w:t xml:space="preserve"> à quel titre </w:t>
      </w:r>
      <w:r w:rsidR="00996BA9">
        <w:t xml:space="preserve">: les chefs des praticiens, les </w:t>
      </w:r>
      <w:r w:rsidR="00996BA9">
        <w:rPr>
          <w:lang w:eastAsia="en-US"/>
        </w:rPr>
        <w:t xml:space="preserve">responsables de la communauté, les gouvernements ou les </w:t>
      </w:r>
      <w:r w:rsidR="00996BA9" w:rsidRPr="00996BA9">
        <w:rPr>
          <w:lang w:eastAsia="en-US"/>
        </w:rPr>
        <w:t>autorités</w:t>
      </w:r>
      <w:r w:rsidR="006B550C">
        <w:rPr>
          <w:lang w:eastAsia="en-US"/>
        </w:rPr>
        <w:t xml:space="preserve"> de l’état, </w:t>
      </w:r>
      <w:r w:rsidR="00996BA9">
        <w:rPr>
          <w:lang w:eastAsia="en-US"/>
        </w:rPr>
        <w:t xml:space="preserve">ceux qui parlent pour les femmes ou </w:t>
      </w:r>
      <w:r w:rsidR="00F979AD">
        <w:rPr>
          <w:lang w:eastAsia="en-US"/>
        </w:rPr>
        <w:t xml:space="preserve">pour </w:t>
      </w:r>
      <w:r w:rsidR="00996BA9">
        <w:rPr>
          <w:lang w:eastAsia="en-US"/>
        </w:rPr>
        <w:t xml:space="preserve">les hommes, pour les différentes générations ou pour </w:t>
      </w:r>
      <w:r w:rsidR="00F979AD">
        <w:rPr>
          <w:lang w:eastAsia="en-US"/>
        </w:rPr>
        <w:t xml:space="preserve">les </w:t>
      </w:r>
      <w:r w:rsidR="00996BA9">
        <w:rPr>
          <w:lang w:eastAsia="en-US"/>
        </w:rPr>
        <w:t xml:space="preserve">différents groupes de genre. </w:t>
      </w:r>
      <w:r w:rsidR="006E2BCA">
        <w:rPr>
          <w:lang w:eastAsia="en-US"/>
        </w:rPr>
        <w:t>C</w:t>
      </w:r>
      <w:r w:rsidR="00F979AD">
        <w:rPr>
          <w:lang w:eastAsia="en-US"/>
        </w:rPr>
        <w:t xml:space="preserve">ependant, ces concepts </w:t>
      </w:r>
      <w:r w:rsidR="006E2BCA">
        <w:rPr>
          <w:lang w:eastAsia="en-US"/>
        </w:rPr>
        <w:t xml:space="preserve">peuvent être très sensibles pour certains participants et il est conseillé d’être très prudent quant à la façon de les introduire et aux </w:t>
      </w:r>
      <w:r w:rsidR="00F979AD">
        <w:rPr>
          <w:lang w:eastAsia="en-US"/>
        </w:rPr>
        <w:t xml:space="preserve">choix des termes. S’agissant de l’élaboration et de la mise en œuvre de politiques, des différences liées au genre peuvent apparaître dans la </w:t>
      </w:r>
      <w:r w:rsidR="007A0EE0">
        <w:rPr>
          <w:lang w:eastAsia="en-US"/>
        </w:rPr>
        <w:t xml:space="preserve">manière </w:t>
      </w:r>
      <w:r w:rsidR="00F979AD">
        <w:rPr>
          <w:lang w:eastAsia="en-US"/>
        </w:rPr>
        <w:t>dont les femmes et les hommes répondent aux concepts inhérents à la sauvegarde du PCI. Il n’y a cependant pas de règle absolue quant à la façon dont les hommes et les femmes et/ou les groupes</w:t>
      </w:r>
      <w:r w:rsidR="006B550C">
        <w:rPr>
          <w:lang w:eastAsia="en-US"/>
        </w:rPr>
        <w:t xml:space="preserve"> définis par le genre perçoivent</w:t>
      </w:r>
      <w:r w:rsidR="00F979AD">
        <w:rPr>
          <w:lang w:eastAsia="en-US"/>
        </w:rPr>
        <w:t xml:space="preserve"> de telles questions</w:t>
      </w:r>
      <w:r w:rsidR="006B550C">
        <w:rPr>
          <w:lang w:eastAsia="en-US"/>
        </w:rPr>
        <w:t>,</w:t>
      </w:r>
      <w:r w:rsidR="00F979AD">
        <w:rPr>
          <w:lang w:eastAsia="en-US"/>
        </w:rPr>
        <w:t xml:space="preserve"> et il s’agit là d</w:t>
      </w:r>
      <w:r w:rsidR="006B550C">
        <w:rPr>
          <w:lang w:eastAsia="en-US"/>
        </w:rPr>
        <w:t>’</w:t>
      </w:r>
      <w:r w:rsidR="00F979AD">
        <w:rPr>
          <w:lang w:eastAsia="en-US"/>
        </w:rPr>
        <w:t>u</w:t>
      </w:r>
      <w:r w:rsidR="006B550C">
        <w:rPr>
          <w:lang w:eastAsia="en-US"/>
        </w:rPr>
        <w:t>n</w:t>
      </w:r>
      <w:r w:rsidR="00F979AD">
        <w:rPr>
          <w:lang w:eastAsia="en-US"/>
        </w:rPr>
        <w:t xml:space="preserve"> poin</w:t>
      </w:r>
      <w:r w:rsidR="00222388">
        <w:rPr>
          <w:lang w:eastAsia="en-US"/>
        </w:rPr>
        <w:t>t essentiel à faire passer ici.</w:t>
      </w:r>
    </w:p>
    <w:p w14:paraId="399FE166" w14:textId="5AF57464" w:rsidR="000719FC" w:rsidRPr="003E154B" w:rsidRDefault="006B550C" w:rsidP="00C07EF0">
      <w:pPr>
        <w:pStyle w:val="Soustitre"/>
        <w:rPr>
          <w:noProof w:val="0"/>
        </w:rPr>
      </w:pPr>
      <w:r>
        <w:rPr>
          <w:noProof w:val="0"/>
        </w:rPr>
        <w:lastRenderedPageBreak/>
        <w:t>Égalité des genres et PCI</w:t>
      </w:r>
    </w:p>
    <w:p w14:paraId="4596D661" w14:textId="22857773" w:rsidR="000719FC" w:rsidRPr="003E154B" w:rsidRDefault="00A83126" w:rsidP="00894E94">
      <w:pPr>
        <w:pStyle w:val="Texte1"/>
      </w:pPr>
      <w:r>
        <w:t xml:space="preserve">Les </w:t>
      </w:r>
      <w:r w:rsidR="007A1DFB">
        <w:t xml:space="preserve">droits de l’homme qui, aux termes de la Convention de 2003, </w:t>
      </w:r>
      <w:r>
        <w:t>sont l’</w:t>
      </w:r>
      <w:r w:rsidR="00A26144">
        <w:t xml:space="preserve">un des aspects de la sauvegarde du PCI, </w:t>
      </w:r>
      <w:r w:rsidR="007A1DFB">
        <w:t xml:space="preserve">exercent une influence </w:t>
      </w:r>
      <w:r w:rsidR="00D47990">
        <w:t xml:space="preserve">sur la sauvegarde </w:t>
      </w:r>
      <w:r w:rsidR="007A1DFB">
        <w:t>de différentes façons : (a) en considérant la sauvegarde du PCI comme un droit de l’homme en soi pour la communauté culturelle et ses membres ; (b) les droits de l’homm</w:t>
      </w:r>
      <w:r w:rsidR="00D47990">
        <w:t xml:space="preserve">e sont généralement nécessaires à la création d’un environnement favorable dans lequel le PCI peut être reconnu et sauvegardé au titre de la Convention. Ceci s’inscrit dans un contexte politique plus large, celui de </w:t>
      </w:r>
      <w:r w:rsidR="009E545F">
        <w:t>l’anal</w:t>
      </w:r>
      <w:r w:rsidR="00D23E2F">
        <w:t>yse selon le genre mise en œuvre</w:t>
      </w:r>
      <w:r w:rsidR="009E545F">
        <w:t xml:space="preserve"> par</w:t>
      </w:r>
      <w:r w:rsidR="00D47990">
        <w:t xml:space="preserve"> l’UNESCO qui « vise à transformer le développement de telle façon que l’égalité devienne </w:t>
      </w:r>
      <w:r w:rsidR="009E545F">
        <w:t xml:space="preserve">à la fois un moyen et </w:t>
      </w:r>
      <w:r w:rsidR="00D47990">
        <w:t>un</w:t>
      </w:r>
      <w:r w:rsidR="0042521E">
        <w:t>e</w:t>
      </w:r>
      <w:r w:rsidR="00D47990">
        <w:t xml:space="preserve"> fin ».</w:t>
      </w:r>
      <w:r w:rsidR="0042521E">
        <w:t xml:space="preserve"> Les droits de l’homme et la notion </w:t>
      </w:r>
      <w:r w:rsidR="00CE4DE8">
        <w:t xml:space="preserve">générale d’égalité des genres (ou de parité) </w:t>
      </w:r>
      <w:r w:rsidR="00AF05C3">
        <w:t xml:space="preserve">envisagent le genre sous un aspect dualiste (homme/femme), ce qui fait courir un risque de compréhension par trop simpliste de la dynamique des genres et qui peut s’avérer problématique lorsqu’on l’applique au PCI. À cet égard, il est utile </w:t>
      </w:r>
      <w:r w:rsidR="00596D1F">
        <w:t>d’engager un proce</w:t>
      </w:r>
      <w:r w:rsidR="00FD5DDD">
        <w:t>ssus de réflexion critique qui</w:t>
      </w:r>
      <w:r w:rsidR="00596D1F">
        <w:t xml:space="preserve"> remet</w:t>
      </w:r>
      <w:r w:rsidR="00FD5DDD">
        <w:t>te</w:t>
      </w:r>
      <w:r w:rsidR="00596D1F">
        <w:t xml:space="preserve"> en que</w:t>
      </w:r>
      <w:r w:rsidR="00CB6411">
        <w:t>stion la « dualisation »</w:t>
      </w:r>
      <w:r w:rsidR="00596D1F">
        <w:t xml:space="preserve"> appliquée</w:t>
      </w:r>
      <w:r w:rsidR="00FD5DDD">
        <w:t xml:space="preserve"> au</w:t>
      </w:r>
      <w:r w:rsidR="00CB6411">
        <w:t>x</w:t>
      </w:r>
      <w:r w:rsidR="00FD5DDD">
        <w:t xml:space="preserve"> concepts de genre</w:t>
      </w:r>
      <w:r w:rsidR="00D23E2F">
        <w:t>, car cette dualisation ne permet pas de renforcer ces concepts</w:t>
      </w:r>
      <w:r w:rsidR="00596D1F">
        <w:t>. Nou</w:t>
      </w:r>
      <w:r w:rsidR="00FD5DDD">
        <w:t>s devons lutter contre</w:t>
      </w:r>
      <w:r w:rsidR="00596D1F">
        <w:t xml:space="preserve"> les stéréotypes existants et éviter de les reproduire.</w:t>
      </w:r>
    </w:p>
    <w:p w14:paraId="46AB164A" w14:textId="0E080729" w:rsidR="000719FC" w:rsidRPr="003E154B" w:rsidRDefault="00B14919" w:rsidP="00C07EF0">
      <w:pPr>
        <w:pStyle w:val="Soustitre"/>
        <w:rPr>
          <w:noProof w:val="0"/>
        </w:rPr>
      </w:pPr>
      <w:r>
        <w:rPr>
          <w:noProof w:val="0"/>
        </w:rPr>
        <w:t>Envisager le PCI à travers le « prisme du genre »</w:t>
      </w:r>
    </w:p>
    <w:p w14:paraId="2C82E090" w14:textId="0153903D" w:rsidR="000719FC" w:rsidRPr="003E154B" w:rsidRDefault="00753282" w:rsidP="00894E94">
      <w:pPr>
        <w:pStyle w:val="Texte1"/>
      </w:pPr>
      <w:r>
        <w:t>Pour certains éléments du PCI, la dynamique des genres est importante dans le processus de formation de l’identité et peut avoir un impact positif ou négatif sur les individus et les groupes au sein d’une communauté</w:t>
      </w:r>
      <w:r w:rsidR="006C6C48">
        <w:t xml:space="preserve"> culturelle. Il est donc essentiel</w:t>
      </w:r>
      <w:r>
        <w:t xml:space="preserve"> d’être conscient des dangers encourus par ces individus et ces groupes lorsque l’on met en exergue leur ma</w:t>
      </w:r>
      <w:r w:rsidR="00E75ECF">
        <w:t xml:space="preserve">rginalisation et leur exclusion, tant </w:t>
      </w:r>
      <w:r>
        <w:t xml:space="preserve">de la participation aux éléments </w:t>
      </w:r>
      <w:r w:rsidR="00E75ECF">
        <w:t>du patrimoine que</w:t>
      </w:r>
      <w:r>
        <w:t xml:space="preserve"> du processus de prise de décision. </w:t>
      </w:r>
      <w:r w:rsidR="00E75ECF">
        <w:t>Pour ce</w:t>
      </w:r>
      <w:r w:rsidR="00BE0BE5">
        <w:t>la, il est important d’envisager</w:t>
      </w:r>
      <w:r w:rsidR="00E75ECF">
        <w:t xml:space="preserve"> le PCI et sa sauvegarde </w:t>
      </w:r>
      <w:r w:rsidR="00B14919">
        <w:t>à travers un « prisme du genre »,</w:t>
      </w:r>
      <w:r w:rsidR="00BE0BE5">
        <w:t xml:space="preserve"> ce qui implique de s’intéres</w:t>
      </w:r>
      <w:r w:rsidR="00AE47E4">
        <w:t>ser aux expériences vécues par les femmes vis-à-vis des hommes, et vice-ver</w:t>
      </w:r>
      <w:r w:rsidR="00B14919">
        <w:t>sa, ainsi qu’aux autres genres</w:t>
      </w:r>
      <w:r w:rsidR="00AE47E4">
        <w:t xml:space="preserve"> </w:t>
      </w:r>
      <w:r w:rsidR="00EF4D0A">
        <w:t>au delà de la dichotomie homme/femme.</w:t>
      </w:r>
    </w:p>
    <w:p w14:paraId="33EDB953" w14:textId="7B81B127" w:rsidR="000719FC" w:rsidRPr="003E154B" w:rsidRDefault="006C6C48" w:rsidP="00894E94">
      <w:pPr>
        <w:pStyle w:val="Texte1"/>
      </w:pPr>
      <w:r>
        <w:t>Nous dev</w:t>
      </w:r>
      <w:r w:rsidR="003537B4">
        <w:t xml:space="preserve">ons chercher à savoir si ces différents rôles ont </w:t>
      </w:r>
      <w:r>
        <w:t xml:space="preserve">effectivement </w:t>
      </w:r>
      <w:r w:rsidR="003537B4">
        <w:t>le pouvoir de dominer ou d’humilie</w:t>
      </w:r>
      <w:r w:rsidR="004905AE">
        <w:t xml:space="preserve">r. En effet, </w:t>
      </w:r>
      <w:r w:rsidR="003537B4">
        <w:t>le simple fait qu’une représentation, une pratique ou un rituel soit soumis à une s</w:t>
      </w:r>
      <w:r w:rsidR="005A285B">
        <w:t>égrégation fondée sur le sexe (ou sur</w:t>
      </w:r>
      <w:r w:rsidR="003537B4">
        <w:t xml:space="preserve"> l’âge, le statut, l’ethnicité, etc.) ne </w:t>
      </w:r>
      <w:r w:rsidR="004905AE">
        <w:t xml:space="preserve">rend pas obligatoirement </w:t>
      </w:r>
      <w:r>
        <w:t xml:space="preserve">l’événement </w:t>
      </w:r>
      <w:r w:rsidR="004905AE">
        <w:t xml:space="preserve">discriminatoire en soi. D’autant que certains des espaces dans lesquels le PCI est interprété et pratiqué exclusivement par des femmes peuvent constituer les seuls espaces dans lesquels elles sont en mesure de le faire (notamment dans des sociétés dominées par les hommes). Les pratiques et représentations culturelles traditionnelles qui sont exclusivement féminines peuvent être utilisées par les femmes comme un moyen d’expression et peuvent également leur conférer un certain statut social. En Afghanistan, </w:t>
      </w:r>
      <w:r w:rsidR="00405078">
        <w:t>les landays, une forme de poésie orale pratiquée par les femmes pashtounes, procurent à leurs interprètes féminines un indispensable moyen d’expression et des avantages d’ordre social ainsi qu’un espace social/c</w:t>
      </w:r>
      <w:r>
        <w:t>ulturel destiné aux femmes, qui n’</w:t>
      </w:r>
      <w:r w:rsidR="00405078">
        <w:t xml:space="preserve">ont habituellement </w:t>
      </w:r>
      <w:r>
        <w:t xml:space="preserve">pas la capacité </w:t>
      </w:r>
      <w:r w:rsidR="00405078">
        <w:t>d’accéder à la</w:t>
      </w:r>
      <w:r w:rsidR="009E08BD">
        <w:t xml:space="preserve"> sphère publique. Il convient</w:t>
      </w:r>
      <w:r w:rsidR="00405078">
        <w:t xml:space="preserve"> donc d’être </w:t>
      </w:r>
      <w:r>
        <w:t xml:space="preserve">très </w:t>
      </w:r>
      <w:r w:rsidR="005A285B">
        <w:t>prudent lorsque l’</w:t>
      </w:r>
      <w:r w:rsidR="00405078">
        <w:t xml:space="preserve">on </w:t>
      </w:r>
      <w:r w:rsidR="00693744">
        <w:t xml:space="preserve">aborde </w:t>
      </w:r>
      <w:r w:rsidR="005A285B">
        <w:t xml:space="preserve">la société à travers </w:t>
      </w:r>
      <w:r w:rsidR="00405078">
        <w:t xml:space="preserve">un filtre de non-discrimination qui </w:t>
      </w:r>
      <w:r>
        <w:t>peut s’avé</w:t>
      </w:r>
      <w:r w:rsidR="00405078">
        <w:t>re</w:t>
      </w:r>
      <w:r>
        <w:t>r</w:t>
      </w:r>
      <w:r w:rsidR="00405078">
        <w:t xml:space="preserve"> trop strict ou trop simpliste, et il est important de comprendre le contexte social général du PCI</w:t>
      </w:r>
      <w:r>
        <w:t xml:space="preserve"> en question ainsi que les possibles avantages, et préjudices</w:t>
      </w:r>
      <w:r w:rsidR="00693744">
        <w:t>, d’o</w:t>
      </w:r>
      <w:r>
        <w:t xml:space="preserve">rdre </w:t>
      </w:r>
      <w:r w:rsidR="00222388">
        <w:t>social qui lui sont inhérents.</w:t>
      </w:r>
    </w:p>
    <w:p w14:paraId="41EB63CB" w14:textId="1D1F83D5" w:rsidR="000719FC" w:rsidRPr="003E154B" w:rsidRDefault="00182D07" w:rsidP="00F674B9">
      <w:pPr>
        <w:pStyle w:val="Soustitre"/>
        <w:rPr>
          <w:noProof w:val="0"/>
        </w:rPr>
      </w:pPr>
      <w:r>
        <w:rPr>
          <w:noProof w:val="0"/>
        </w:rPr>
        <w:t>Potentiel d’évolution du PCI pour répondre à de nouveaux besoins d’ordre social</w:t>
      </w:r>
    </w:p>
    <w:p w14:paraId="3688592F" w14:textId="39761F14" w:rsidR="0076497E" w:rsidRDefault="009E08BD" w:rsidP="00222388">
      <w:pPr>
        <w:pStyle w:val="Texte1"/>
      </w:pPr>
      <w:r>
        <w:t xml:space="preserve">Dans certains cas, il est nécessaire d’engager un dialogue transformatif au sujet de </w:t>
      </w:r>
      <w:r w:rsidR="005A285B">
        <w:t>la discrimination fondée sur le genre</w:t>
      </w:r>
      <w:r w:rsidR="00122D76">
        <w:t>,</w:t>
      </w:r>
      <w:r>
        <w:t xml:space="preserve"> destiné à permettre la reconnaissance officielle d’une pratique particulière </w:t>
      </w:r>
      <w:r w:rsidR="00122D76">
        <w:t xml:space="preserve">en tant que PCI. Cela </w:t>
      </w:r>
      <w:r w:rsidR="005A285B">
        <w:t xml:space="preserve">implique </w:t>
      </w:r>
      <w:r w:rsidR="00122D76">
        <w:t xml:space="preserve">un processus de négociation par lequel </w:t>
      </w:r>
      <w:r w:rsidR="00122D76">
        <w:lastRenderedPageBreak/>
        <w:t>les différentes parties prenantes trouvent des moyens de transformer et d’adapter une</w:t>
      </w:r>
      <w:r w:rsidR="00F23AC0">
        <w:t xml:space="preserve"> pratique culturelle afin de la </w:t>
      </w:r>
      <w:r w:rsidR="00122D76">
        <w:t xml:space="preserve">rendre plus acceptable </w:t>
      </w:r>
      <w:r w:rsidR="00F23AC0">
        <w:t>au regard des droits de l’h</w:t>
      </w:r>
      <w:r w:rsidR="00182D07">
        <w:t xml:space="preserve">omme, sans pour autant modifier, </w:t>
      </w:r>
      <w:r w:rsidR="005A285B">
        <w:t>voire</w:t>
      </w:r>
      <w:r w:rsidR="00F23AC0">
        <w:t xml:space="preserve"> lui faire perdre</w:t>
      </w:r>
      <w:r w:rsidR="00182D07">
        <w:t>,</w:t>
      </w:r>
      <w:r w:rsidR="00F23AC0">
        <w:t xml:space="preserve"> sa signification principale. On citera à titre d’exemple, la tradition qui, dans le cadre d’une fête, consiste à jeter un chat vivant depuis une tour. Avec l’accord de la c</w:t>
      </w:r>
      <w:r w:rsidR="00B0556A">
        <w:t xml:space="preserve">ommunauté, un animal empaillé remplace </w:t>
      </w:r>
      <w:r w:rsidR="00F23AC0">
        <w:t xml:space="preserve">désormais </w:t>
      </w:r>
      <w:r w:rsidR="005A285B">
        <w:t xml:space="preserve">le chat, et la signification essentielle </w:t>
      </w:r>
      <w:r w:rsidR="00F23AC0">
        <w:t>de cette tradition demeure</w:t>
      </w:r>
      <w:r w:rsidR="00B0556A">
        <w:t>. Afin qu’une telle négociation puisse se dérouler, il faut que la compréhension de l’équilibre entre les genres par la communauté culturelle</w:t>
      </w:r>
      <w:r w:rsidR="00B0556A" w:rsidRPr="00B0556A">
        <w:t xml:space="preserve"> </w:t>
      </w:r>
      <w:r w:rsidR="00B0556A">
        <w:t xml:space="preserve">soit mise en avant et valorisée, et que l’importance d’écouter une diversité de voix issues de la communauté soit reconnue. </w:t>
      </w:r>
      <w:r w:rsidR="006C272A">
        <w:t>Se pose alors la question de savoir qui est en charge de prendre de telles décisions et de représenter la communauté. Lorsqu</w:t>
      </w:r>
      <w:r w:rsidR="005A285B">
        <w:t>e l</w:t>
      </w:r>
      <w:r w:rsidR="006C272A">
        <w:t>’on envisage une telle possibilité de transformation, il convient également de se poser d</w:t>
      </w:r>
      <w:r w:rsidR="005A285B">
        <w:t>’autres questions, notamment : P</w:t>
      </w:r>
      <w:r w:rsidR="006C272A">
        <w:t>our un groupe donné, à quels objectifs socio-économiques le PCI répond-il ? Existe-t-il</w:t>
      </w:r>
      <w:r w:rsidR="00182D07">
        <w:t xml:space="preserve"> des solutions alternatives afin de satisfaire à ces besoins ?</w:t>
      </w:r>
    </w:p>
    <w:p w14:paraId="4C26A1FE" w14:textId="0D746798" w:rsidR="00362E84" w:rsidRPr="00182D07" w:rsidRDefault="00182D07" w:rsidP="00C07EF0">
      <w:pPr>
        <w:pStyle w:val="Heading4"/>
        <w:rPr>
          <w:lang w:val="fr-FR"/>
        </w:rPr>
      </w:pPr>
      <w:r w:rsidRPr="00182D07">
        <w:rPr>
          <w:lang w:val="fr-FR"/>
        </w:rPr>
        <w:t>aperçu de l’unité</w:t>
      </w:r>
    </w:p>
    <w:p w14:paraId="0AD117F8" w14:textId="1E043A30" w:rsidR="00182D07" w:rsidRDefault="00182D07" w:rsidP="00182D07">
      <w:pPr>
        <w:pStyle w:val="Texte1"/>
      </w:pPr>
      <w:r>
        <w:t>Afin de présenter les concepts importants qui sous-tendent la dynamique des genres du PCI</w:t>
      </w:r>
      <w:r w:rsidR="00505C8C">
        <w:t>, et la façon dont ceux-ci peuvent se traduire dans une approche de la sauv</w:t>
      </w:r>
      <w:r w:rsidR="009E545F">
        <w:t>egarde sensible au</w:t>
      </w:r>
      <w:r w:rsidR="00505C8C">
        <w:t xml:space="preserve"> genre, deux unités ont été conçues : l’Unité 48 sur le genre et le patrimoine culturel immatériel, et l’Unité 49 sur une approche </w:t>
      </w:r>
      <w:r w:rsidR="009D4233">
        <w:t>sensible au genre pour sauvegarder le PCI</w:t>
      </w:r>
      <w:r w:rsidR="00505C8C">
        <w:t>. Ces unités peuvent être utilisées ensemble et constituer la base d’un atelier de deux jours sur le genre et le PCI, ou être incorporé</w:t>
      </w:r>
      <w:r w:rsidR="0076497E">
        <w:t>e</w:t>
      </w:r>
      <w:r w:rsidR="00505C8C">
        <w:t xml:space="preserve">s au sein d’ateliers traitant de sujets tels que la mise en œuvre de la </w:t>
      </w:r>
      <w:r w:rsidR="0076497E">
        <w:t>Convention,</w:t>
      </w:r>
      <w:r w:rsidR="00505C8C">
        <w:t xml:space="preserve"> l’inventaire</w:t>
      </w:r>
      <w:r w:rsidR="0076497E">
        <w:t xml:space="preserve">, </w:t>
      </w:r>
      <w:r w:rsidR="00505C8C">
        <w:t>la préparation de plans de sauvegarde, etc. Ces deux unités sont donc conçues afin d’être présentées avec une grande flexibilité.</w:t>
      </w:r>
    </w:p>
    <w:p w14:paraId="7A638ADC" w14:textId="2E4FD719" w:rsidR="00362E84" w:rsidRPr="00182D07" w:rsidRDefault="0076497E" w:rsidP="00182D07">
      <w:pPr>
        <w:pStyle w:val="Texte1"/>
      </w:pPr>
      <w:r>
        <w:t>L’Unité 48 se décompose en quatre sessions d’une durée différente</w:t>
      </w:r>
      <w:r w:rsidR="009D4233">
        <w:t>. L</w:t>
      </w:r>
      <w:r>
        <w:t>es principales activités suivantes</w:t>
      </w:r>
      <w:r w:rsidR="009D4233">
        <w:t xml:space="preserve"> sont proposées</w:t>
      </w:r>
      <w:r>
        <w:t> :</w:t>
      </w:r>
    </w:p>
    <w:p w14:paraId="55230300" w14:textId="3AF82885" w:rsidR="00384258" w:rsidRPr="00182D07" w:rsidRDefault="0076497E" w:rsidP="00DD196A">
      <w:pPr>
        <w:pStyle w:val="Texte1"/>
        <w:rPr>
          <w:iCs/>
        </w:rPr>
      </w:pPr>
      <w:r>
        <w:rPr>
          <w:b/>
          <w:bCs/>
          <w:i/>
          <w:iCs/>
        </w:rPr>
        <w:t>Session 1 : S</w:t>
      </w:r>
      <w:r w:rsidRPr="0076497E">
        <w:rPr>
          <w:b/>
          <w:bCs/>
          <w:i/>
          <w:iCs/>
        </w:rPr>
        <w:t>ensib</w:t>
      </w:r>
      <w:r>
        <w:rPr>
          <w:b/>
          <w:bCs/>
          <w:i/>
          <w:iCs/>
        </w:rPr>
        <w:t>ilisation au genre et à son</w:t>
      </w:r>
      <w:r w:rsidR="00722896">
        <w:rPr>
          <w:b/>
          <w:bCs/>
          <w:i/>
          <w:iCs/>
        </w:rPr>
        <w:t xml:space="preserve"> lien</w:t>
      </w:r>
      <w:r>
        <w:rPr>
          <w:b/>
          <w:bCs/>
          <w:i/>
          <w:iCs/>
        </w:rPr>
        <w:t xml:space="preserve"> avec le </w:t>
      </w:r>
      <w:r w:rsidR="00222388">
        <w:rPr>
          <w:b/>
          <w:bCs/>
          <w:i/>
          <w:iCs/>
        </w:rPr>
        <w:t>PCI.</w:t>
      </w:r>
      <w:r>
        <w:rPr>
          <w:b/>
          <w:bCs/>
          <w:i/>
          <w:iCs/>
        </w:rPr>
        <w:t xml:space="preserve"> </w:t>
      </w:r>
      <w:r w:rsidR="00B71E7C">
        <w:rPr>
          <w:iCs/>
        </w:rPr>
        <w:t>Cette session commence par une courte</w:t>
      </w:r>
      <w:r w:rsidR="00722896">
        <w:rPr>
          <w:iCs/>
        </w:rPr>
        <w:t xml:space="preserve"> activité d’amorce destinée à briser la glace </w:t>
      </w:r>
      <w:r w:rsidR="00B71E7C">
        <w:rPr>
          <w:iCs/>
        </w:rPr>
        <w:t>entre les participants</w:t>
      </w:r>
      <w:r w:rsidR="00722896">
        <w:rPr>
          <w:iCs/>
        </w:rPr>
        <w:t>,</w:t>
      </w:r>
      <w:r w:rsidR="00B71E7C">
        <w:rPr>
          <w:iCs/>
        </w:rPr>
        <w:t xml:space="preserve"> et conçue afin qu’ils prennent </w:t>
      </w:r>
      <w:r w:rsidR="009D4233">
        <w:rPr>
          <w:iCs/>
        </w:rPr>
        <w:t>conscience des</w:t>
      </w:r>
      <w:r w:rsidR="0067147C">
        <w:rPr>
          <w:iCs/>
        </w:rPr>
        <w:t xml:space="preserve"> présuppositions </w:t>
      </w:r>
      <w:r w:rsidR="009D4233">
        <w:rPr>
          <w:iCs/>
        </w:rPr>
        <w:t xml:space="preserve">qu’ils peuvent avoir </w:t>
      </w:r>
      <w:r w:rsidR="00B71E7C">
        <w:rPr>
          <w:iCs/>
        </w:rPr>
        <w:t>à propos du genre. Su</w:t>
      </w:r>
      <w:r w:rsidR="00ED743F">
        <w:rPr>
          <w:iCs/>
        </w:rPr>
        <w:t>it une séance de brainstorming</w:t>
      </w:r>
      <w:r w:rsidR="00B71E7C">
        <w:rPr>
          <w:iCs/>
        </w:rPr>
        <w:t xml:space="preserve"> sur les divers aspects du genre en lien avec le PCI, son </w:t>
      </w:r>
      <w:r w:rsidR="00B71E7C" w:rsidRPr="00B71E7C">
        <w:rPr>
          <w:iCs/>
        </w:rPr>
        <w:t>interprétation</w:t>
      </w:r>
      <w:r w:rsidR="00B71E7C">
        <w:rPr>
          <w:iCs/>
        </w:rPr>
        <w:t xml:space="preserve">/sa pratique et sa </w:t>
      </w:r>
      <w:r w:rsidR="00B71E7C" w:rsidRPr="00B71E7C">
        <w:rPr>
          <w:iCs/>
        </w:rPr>
        <w:t>sauvegarde</w:t>
      </w:r>
      <w:r w:rsidR="00F40F8D">
        <w:rPr>
          <w:iCs/>
        </w:rPr>
        <w:t xml:space="preserve">. Cela permettra </w:t>
      </w:r>
      <w:r w:rsidR="00B71E7C">
        <w:rPr>
          <w:iCs/>
        </w:rPr>
        <w:t xml:space="preserve">au </w:t>
      </w:r>
      <w:r w:rsidR="00B71E7C" w:rsidRPr="00B71E7C">
        <w:rPr>
          <w:iCs/>
        </w:rPr>
        <w:t>facilitateur</w:t>
      </w:r>
      <w:r w:rsidR="00B71E7C">
        <w:rPr>
          <w:iCs/>
        </w:rPr>
        <w:t xml:space="preserve"> de se faire une </w:t>
      </w:r>
      <w:r w:rsidR="00F40F8D">
        <w:rPr>
          <w:iCs/>
        </w:rPr>
        <w:t xml:space="preserve">première </w:t>
      </w:r>
      <w:r w:rsidR="00B71E7C">
        <w:rPr>
          <w:iCs/>
        </w:rPr>
        <w:t xml:space="preserve">impression quant aux attitudes des participants face aux questions de genre, et aux limites au sein desquelles il devra accomplir sa tâche </w:t>
      </w:r>
      <w:r w:rsidR="00E22710">
        <w:rPr>
          <w:iCs/>
        </w:rPr>
        <w:t>de</w:t>
      </w:r>
      <w:r w:rsidR="00B71E7C">
        <w:rPr>
          <w:iCs/>
        </w:rPr>
        <w:t xml:space="preserve"> </w:t>
      </w:r>
      <w:r w:rsidR="00B71E7C" w:rsidRPr="00B71E7C">
        <w:rPr>
          <w:iCs/>
        </w:rPr>
        <w:t>présentation</w:t>
      </w:r>
      <w:r w:rsidR="00E22710">
        <w:rPr>
          <w:iCs/>
        </w:rPr>
        <w:t xml:space="preserve"> de l’</w:t>
      </w:r>
      <w:r w:rsidR="00B71E7C">
        <w:rPr>
          <w:iCs/>
        </w:rPr>
        <w:t>unité.</w:t>
      </w:r>
    </w:p>
    <w:p w14:paraId="3B3701D9" w14:textId="5D374750" w:rsidR="00A5787F" w:rsidRPr="00182D07" w:rsidRDefault="00020DD9" w:rsidP="00894E94">
      <w:pPr>
        <w:pStyle w:val="Texte1"/>
        <w:rPr>
          <w:iCs/>
        </w:rPr>
      </w:pPr>
      <w:r>
        <w:rPr>
          <w:b/>
          <w:bCs/>
          <w:i/>
        </w:rPr>
        <w:t>Session 2 : Égalité des genres et discrimination dans le cadre du PCI</w:t>
      </w:r>
      <w:r w:rsidR="00384258" w:rsidRPr="00182D07">
        <w:rPr>
          <w:b/>
          <w:bCs/>
          <w:i/>
        </w:rPr>
        <w:t>.</w:t>
      </w:r>
      <w:r>
        <w:rPr>
          <w:iCs/>
        </w:rPr>
        <w:t xml:space="preserve"> Comment l’égalité entre les genres peut-elle être prise en compte dans le cadre de la </w:t>
      </w:r>
      <w:r w:rsidRPr="00020DD9">
        <w:rPr>
          <w:iCs/>
        </w:rPr>
        <w:t>sauvegarde</w:t>
      </w:r>
      <w:r>
        <w:rPr>
          <w:iCs/>
        </w:rPr>
        <w:t xml:space="preserve"> du PCI ? Comment les aspects </w:t>
      </w:r>
      <w:r>
        <w:rPr>
          <w:iCs/>
          <w:szCs w:val="20"/>
          <w:lang w:eastAsia="en-US"/>
        </w:rPr>
        <w:t>potentiellement discriminatoires du PCI peuvent-ils être traités ? Ces deux questions sont abordées lors de cette session qui est organisée au moyen de divers exercices dont un court jeu de rôle.</w:t>
      </w:r>
    </w:p>
    <w:p w14:paraId="484EBC6C" w14:textId="73FC63C2" w:rsidR="00A5787F" w:rsidRPr="00182D07" w:rsidRDefault="00362E84" w:rsidP="00020DD9">
      <w:pPr>
        <w:pStyle w:val="Texte1"/>
        <w:rPr>
          <w:iCs/>
        </w:rPr>
      </w:pPr>
      <w:r w:rsidRPr="00182D07">
        <w:rPr>
          <w:b/>
          <w:bCs/>
          <w:i/>
          <w:iCs/>
        </w:rPr>
        <w:t xml:space="preserve">Session </w:t>
      </w:r>
      <w:r w:rsidR="00384258" w:rsidRPr="00182D07">
        <w:rPr>
          <w:b/>
          <w:bCs/>
          <w:i/>
          <w:iCs/>
        </w:rPr>
        <w:t>3</w:t>
      </w:r>
      <w:r w:rsidR="00020DD9">
        <w:rPr>
          <w:b/>
          <w:bCs/>
          <w:i/>
          <w:iCs/>
        </w:rPr>
        <w:t xml:space="preserve"> : Présentation </w:t>
      </w:r>
      <w:r w:rsidR="00450AA8">
        <w:rPr>
          <w:b/>
          <w:bCs/>
          <w:i/>
          <w:iCs/>
        </w:rPr>
        <w:t xml:space="preserve">de différentes études de cas </w:t>
      </w:r>
      <w:r w:rsidR="009D4233">
        <w:rPr>
          <w:b/>
          <w:bCs/>
          <w:i/>
          <w:iCs/>
        </w:rPr>
        <w:t xml:space="preserve">sur des </w:t>
      </w:r>
      <w:r w:rsidR="00450AA8">
        <w:rPr>
          <w:b/>
          <w:bCs/>
          <w:i/>
          <w:iCs/>
        </w:rPr>
        <w:t>éléments</w:t>
      </w:r>
      <w:r w:rsidR="009D4233">
        <w:rPr>
          <w:b/>
          <w:bCs/>
          <w:i/>
          <w:iCs/>
        </w:rPr>
        <w:t xml:space="preserve"> fictifs</w:t>
      </w:r>
      <w:r w:rsidR="00450AA8">
        <w:rPr>
          <w:b/>
          <w:bCs/>
          <w:i/>
          <w:iCs/>
        </w:rPr>
        <w:t xml:space="preserve"> du PCI</w:t>
      </w:r>
      <w:r w:rsidR="00450AA8">
        <w:rPr>
          <w:iCs/>
        </w:rPr>
        <w:t xml:space="preserve">. </w:t>
      </w:r>
      <w:r w:rsidR="009D4233">
        <w:rPr>
          <w:iCs/>
        </w:rPr>
        <w:t>Dans cette session, différentes</w:t>
      </w:r>
      <w:r w:rsidR="00450AA8">
        <w:rPr>
          <w:iCs/>
        </w:rPr>
        <w:t xml:space="preserve"> études de cas sont présentées. Chacune se base sur plusieurs cas réels. Elles sont destinées à analyser les rôles spécifiques des genres, les liens entre les groupes de genre, et les questions relatives au genre qui affleurent lors de l’examen des éléments. Les cinq types de cas présentés concernent les catégories d’éléments du PCI suivantes : (i) </w:t>
      </w:r>
      <w:r w:rsidR="00FA61CA">
        <w:rPr>
          <w:iCs/>
        </w:rPr>
        <w:t>u</w:t>
      </w:r>
      <w:r w:rsidR="00450AA8">
        <w:rPr>
          <w:iCs/>
        </w:rPr>
        <w:t xml:space="preserve">ne production </w:t>
      </w:r>
      <w:r w:rsidR="00952AE8">
        <w:rPr>
          <w:iCs/>
        </w:rPr>
        <w:t xml:space="preserve">artisanale, constitutive </w:t>
      </w:r>
      <w:r w:rsidR="00450AA8">
        <w:rPr>
          <w:iCs/>
        </w:rPr>
        <w:t>du PCI</w:t>
      </w:r>
      <w:r w:rsidR="009C40F1">
        <w:rPr>
          <w:iCs/>
        </w:rPr>
        <w:t>,</w:t>
      </w:r>
      <w:r w:rsidR="00450AA8">
        <w:rPr>
          <w:iCs/>
        </w:rPr>
        <w:t xml:space="preserve"> dans laquelle les femmes et les h</w:t>
      </w:r>
      <w:r w:rsidR="009C40F1">
        <w:rPr>
          <w:iCs/>
        </w:rPr>
        <w:t>ommes ont d</w:t>
      </w:r>
      <w:r w:rsidR="009122AD">
        <w:rPr>
          <w:iCs/>
        </w:rPr>
        <w:t>es rôles spécifiques. L’é</w:t>
      </w:r>
      <w:r w:rsidR="009C40F1">
        <w:rPr>
          <w:iCs/>
        </w:rPr>
        <w:t xml:space="preserve">tude de ce cas permettra d’analyser les modèles de </w:t>
      </w:r>
      <w:r w:rsidR="009C40F1" w:rsidRPr="009C40F1">
        <w:rPr>
          <w:iCs/>
        </w:rPr>
        <w:t>participation</w:t>
      </w:r>
      <w:r w:rsidR="009C40F1">
        <w:rPr>
          <w:iCs/>
        </w:rPr>
        <w:t xml:space="preserve"> sexospécifique ; (ii) </w:t>
      </w:r>
      <w:r w:rsidR="00FA61CA">
        <w:rPr>
          <w:iCs/>
        </w:rPr>
        <w:t>l</w:t>
      </w:r>
      <w:r w:rsidR="00952AE8">
        <w:rPr>
          <w:iCs/>
        </w:rPr>
        <w:t>e PCI et la prévention/r</w:t>
      </w:r>
      <w:r w:rsidR="00FA61CA">
        <w:rPr>
          <w:iCs/>
        </w:rPr>
        <w:t>ésolution des conflits ; (iii) u</w:t>
      </w:r>
      <w:r w:rsidR="00952AE8">
        <w:rPr>
          <w:iCs/>
        </w:rPr>
        <w:t xml:space="preserve">ne expression artistique, constitutive du PCI, interprétée exclusivement par un groupe spécifique de genre qui, bien qu’il ne soit pas accepté par la société, dispose d’un statut reconnu dans le contexte de cette pratique et peut ainsi subvenir à ses besoins </w:t>
      </w:r>
      <w:r w:rsidR="00952AE8">
        <w:rPr>
          <w:iCs/>
        </w:rPr>
        <w:lastRenderedPageBreak/>
        <w:t>(ét</w:t>
      </w:r>
      <w:r w:rsidR="00FA61CA">
        <w:rPr>
          <w:iCs/>
        </w:rPr>
        <w:t>ude de cas facultative) ; (iv) u</w:t>
      </w:r>
      <w:r w:rsidR="00952AE8">
        <w:rPr>
          <w:iCs/>
        </w:rPr>
        <w:t>ne expression artistique, constitutive du PCI, dans laquelle les relations entr</w:t>
      </w:r>
      <w:r w:rsidR="00FA61CA">
        <w:rPr>
          <w:iCs/>
        </w:rPr>
        <w:t xml:space="preserve">e les genres sont un élément </w:t>
      </w:r>
      <w:r w:rsidR="00952AE8">
        <w:rPr>
          <w:iCs/>
        </w:rPr>
        <w:t>de l’</w:t>
      </w:r>
      <w:r w:rsidR="00952AE8" w:rsidRPr="00952AE8">
        <w:rPr>
          <w:iCs/>
        </w:rPr>
        <w:t>interprétation</w:t>
      </w:r>
      <w:r w:rsidR="00FA61CA">
        <w:rPr>
          <w:iCs/>
        </w:rPr>
        <w:t> ; (v) u</w:t>
      </w:r>
      <w:r w:rsidR="00FA61CA" w:rsidRPr="00FA61CA">
        <w:rPr>
          <w:iCs/>
        </w:rPr>
        <w:t>n élément du PCI </w:t>
      </w:r>
      <w:r w:rsidR="00FA61CA">
        <w:rPr>
          <w:iCs/>
        </w:rPr>
        <w:t xml:space="preserve">dans </w:t>
      </w:r>
      <w:r w:rsidR="009D4233">
        <w:rPr>
          <w:iCs/>
        </w:rPr>
        <w:t>lequel les rôles de genre</w:t>
      </w:r>
      <w:r w:rsidR="00FA61CA">
        <w:rPr>
          <w:iCs/>
        </w:rPr>
        <w:t xml:space="preserve"> traditionnels sont remis en question, ce qui est l’occasion de s’interroger sur la portée des conséquences de cette remise question sur les re</w:t>
      </w:r>
      <w:r w:rsidR="00222388">
        <w:rPr>
          <w:iCs/>
        </w:rPr>
        <w:t>lations sociales au sens large.</w:t>
      </w:r>
    </w:p>
    <w:p w14:paraId="0F9F45DE" w14:textId="29ECAB5F" w:rsidR="00471E7D" w:rsidRPr="00182D07" w:rsidRDefault="00362E84" w:rsidP="00894E94">
      <w:pPr>
        <w:pStyle w:val="Texte1"/>
      </w:pPr>
      <w:r w:rsidRPr="00182D07">
        <w:rPr>
          <w:b/>
          <w:bCs/>
          <w:i/>
        </w:rPr>
        <w:t xml:space="preserve">Session </w:t>
      </w:r>
      <w:r w:rsidR="00384258" w:rsidRPr="00182D07">
        <w:rPr>
          <w:b/>
          <w:bCs/>
          <w:i/>
        </w:rPr>
        <w:t>4</w:t>
      </w:r>
      <w:r w:rsidR="00FA61CA">
        <w:rPr>
          <w:b/>
          <w:bCs/>
          <w:i/>
        </w:rPr>
        <w:t> : Session de conclusion</w:t>
      </w:r>
      <w:r w:rsidR="00FA61CA">
        <w:rPr>
          <w:iCs/>
        </w:rPr>
        <w:t>. Cette session est basée sur un jeu de questions-réponses, des</w:t>
      </w:r>
      <w:r w:rsidR="00192499">
        <w:rPr>
          <w:iCs/>
        </w:rPr>
        <w:t>tiné à tester la compréhension par les participants</w:t>
      </w:r>
      <w:r w:rsidR="00FA61CA">
        <w:rPr>
          <w:iCs/>
        </w:rPr>
        <w:t xml:space="preserve"> des concepts introduits dans l’unité et à réaffirmer les idées principales.</w:t>
      </w:r>
    </w:p>
    <w:p w14:paraId="6C4805D3" w14:textId="43FC9AB8" w:rsidR="008B30E8" w:rsidRPr="00192499" w:rsidRDefault="00192499" w:rsidP="00C07EF0">
      <w:pPr>
        <w:pStyle w:val="Heading4"/>
        <w:rPr>
          <w:lang w:val="fr-FR"/>
        </w:rPr>
      </w:pPr>
      <w:r w:rsidRPr="00192499">
        <w:rPr>
          <w:lang w:val="fr-FR"/>
        </w:rPr>
        <w:t>MATé</w:t>
      </w:r>
      <w:r>
        <w:rPr>
          <w:lang w:val="fr-FR"/>
        </w:rPr>
        <w:t>RIel</w:t>
      </w:r>
      <w:r w:rsidRPr="00192499">
        <w:rPr>
          <w:lang w:val="fr-FR"/>
        </w:rPr>
        <w:t xml:space="preserve"> mis à </w:t>
      </w:r>
      <w:r>
        <w:rPr>
          <w:lang w:val="fr-FR"/>
        </w:rPr>
        <w:t>disposition pour l’unité</w:t>
      </w:r>
    </w:p>
    <w:p w14:paraId="03E623F7" w14:textId="7A2003B8" w:rsidR="00471E7D" w:rsidRPr="00192499" w:rsidRDefault="00192499" w:rsidP="00C41A39">
      <w:pPr>
        <w:pStyle w:val="Texte1"/>
      </w:pPr>
      <w:r>
        <w:t>Outre le matériel mis à disposition des participants et destiné à les aider à se préparer à l’atelier et à en rendre la</w:t>
      </w:r>
      <w:r w:rsidR="008F635C">
        <w:t xml:space="preserve"> compréhension plus facile, </w:t>
      </w:r>
      <w:r w:rsidR="000A6805">
        <w:t>les notes du facilitateur fournissent</w:t>
      </w:r>
      <w:r>
        <w:t xml:space="preserve"> également des informations de fond sur </w:t>
      </w:r>
      <w:r w:rsidR="009E545F">
        <w:t xml:space="preserve">l’analyse selon le genre </w:t>
      </w:r>
      <w:r w:rsidR="00CF356B">
        <w:t>(connue également sous le terme anglais de</w:t>
      </w:r>
      <w:r>
        <w:t xml:space="preserve"> </w:t>
      </w:r>
      <w:r w:rsidR="00CF356B">
        <w:t>« </w:t>
      </w:r>
      <w:r>
        <w:t>gender mainstreaming</w:t>
      </w:r>
      <w:r w:rsidR="00CF356B">
        <w:t> »</w:t>
      </w:r>
      <w:r>
        <w:t>)</w:t>
      </w:r>
      <w:r w:rsidR="00CF356B">
        <w:t>, sur la dynamique des genres du PCI et sur les avancées du Comité intergouvernemental en matière d’introduction du genre dans le f</w:t>
      </w:r>
      <w:r w:rsidR="00222388">
        <w:t>onctionnement de la Convention.</w:t>
      </w:r>
    </w:p>
    <w:p w14:paraId="09B46820" w14:textId="64C6F8AE" w:rsidR="00471E7D" w:rsidRPr="00192499" w:rsidRDefault="008F635C" w:rsidP="000D6333">
      <w:pPr>
        <w:pStyle w:val="Texte1"/>
      </w:pPr>
      <w:r>
        <w:t>Il convient</w:t>
      </w:r>
      <w:r w:rsidR="00CF356B">
        <w:t xml:space="preserve"> d</w:t>
      </w:r>
      <w:r>
        <w:t xml:space="preserve">e remettre aux participants </w:t>
      </w:r>
      <w:r w:rsidR="00CF356B">
        <w:t>tous les exercices et imprimés que le facilitateur estime néc</w:t>
      </w:r>
      <w:r>
        <w:t xml:space="preserve">essaires, ainsi que les documents </w:t>
      </w:r>
      <w:r w:rsidR="00CF356B">
        <w:t>de référence de l’u</w:t>
      </w:r>
      <w:r>
        <w:t>nité, tels que le Rapport de l’UNESCO « Égalité des genres, patrimoine et créativité » (2014) (</w:t>
      </w:r>
      <w:hyperlink r:id="rId18" w:history="1">
        <w:r w:rsidRPr="00716EFE">
          <w:rPr>
            <w:rStyle w:val="Hyperlink"/>
          </w:rPr>
          <w:t>http://www.unesco.org/new/fr/culture/gender-and-culture/</w:t>
        </w:r>
        <w:r>
          <w:rPr>
            <w:rStyle w:val="Hyperlink"/>
          </w:rPr>
          <w:t xml:space="preserve">gender-equality-and-culture/the </w:t>
        </w:r>
        <w:r w:rsidRPr="00716EFE">
          <w:rPr>
            <w:rStyle w:val="Hyperlink"/>
          </w:rPr>
          <w:t>report/</w:t>
        </w:r>
      </w:hyperlink>
      <w:r>
        <w:rPr>
          <w:rStyle w:val="Hyperlink"/>
        </w:rPr>
        <w:t>)</w:t>
      </w:r>
    </w:p>
    <w:p w14:paraId="690B387D" w14:textId="5026BBC4" w:rsidR="00CF7082" w:rsidRPr="00192499" w:rsidRDefault="008F635C" w:rsidP="00894E94">
      <w:pPr>
        <w:pStyle w:val="Texte1"/>
        <w:rPr>
          <w:color w:val="FF0000"/>
        </w:rPr>
      </w:pPr>
      <w:r>
        <w:t>En outre, des études de cas, illustrant cinq différents scénarios de la dynamique des genres du PCI, constituent la base d’exercices complémentaires. L’étude de cas 42 est facultative. Il revient au facilitateur d’estimer la justesse du contexte de cette étude par rapp</w:t>
      </w:r>
      <w:r w:rsidR="00796832">
        <w:t xml:space="preserve">ort aux convictions </w:t>
      </w:r>
      <w:r w:rsidR="009D4233">
        <w:t>sociales et aux croyances culturelles des participants.</w:t>
      </w:r>
    </w:p>
    <w:p w14:paraId="6E82FB55" w14:textId="0701CCF7" w:rsidR="00CF7082" w:rsidRPr="00192499" w:rsidRDefault="00796832" w:rsidP="00C07EF0">
      <w:pPr>
        <w:pStyle w:val="Heading4"/>
        <w:rPr>
          <w:lang w:val="fr-FR"/>
        </w:rPr>
      </w:pPr>
      <w:r w:rsidRPr="00796832">
        <w:rPr>
          <w:lang w:val="fr-FR"/>
        </w:rPr>
        <w:t>préparation</w:t>
      </w:r>
      <w:r>
        <w:rPr>
          <w:lang w:val="fr-FR"/>
        </w:rPr>
        <w:t xml:space="preserve"> à l’atelier</w:t>
      </w:r>
    </w:p>
    <w:p w14:paraId="2CF0612F" w14:textId="5F9F2C47" w:rsidR="008144AC" w:rsidRPr="00192499" w:rsidRDefault="00796832" w:rsidP="00894E94">
      <w:pPr>
        <w:pStyle w:val="Texte1"/>
      </w:pPr>
      <w:r>
        <w:t>En ce qui concerne la préparation, il convient de rappeler que les unités con</w:t>
      </w:r>
      <w:r w:rsidR="006D3C03">
        <w:t>sacrées au genre doivent</w:t>
      </w:r>
      <w:r>
        <w:t xml:space="preserve"> être utilisées dans le cadre </w:t>
      </w:r>
      <w:r w:rsidR="006D3C03">
        <w:t xml:space="preserve">d’ateliers thématiques tels que </w:t>
      </w:r>
      <w:r>
        <w:t>:</w:t>
      </w:r>
    </w:p>
    <w:p w14:paraId="65157A3C" w14:textId="40BB02E6" w:rsidR="008144AC" w:rsidRPr="00192499" w:rsidRDefault="006D3C03" w:rsidP="00182AF4">
      <w:pPr>
        <w:pStyle w:val="Texte1"/>
        <w:numPr>
          <w:ilvl w:val="0"/>
          <w:numId w:val="11"/>
        </w:numPr>
      </w:pPr>
      <w:r>
        <w:t>Atelier de formation sur</w:t>
      </w:r>
      <w:r w:rsidR="00796832">
        <w:t xml:space="preserve"> la mise en œuvre de la Convention pour la sauvegarde du</w:t>
      </w:r>
      <w:r w:rsidR="00222388">
        <w:t xml:space="preserve"> patrimoine culturel immatériel</w:t>
      </w:r>
    </w:p>
    <w:p w14:paraId="6F62FE95" w14:textId="6CEF934F" w:rsidR="008144AC" w:rsidRPr="00192499" w:rsidRDefault="006D3C03" w:rsidP="00182AF4">
      <w:pPr>
        <w:pStyle w:val="Texte1"/>
        <w:numPr>
          <w:ilvl w:val="0"/>
          <w:numId w:val="11"/>
        </w:numPr>
      </w:pPr>
      <w:r>
        <w:t>Atelier de formation sur</w:t>
      </w:r>
      <w:r w:rsidR="00796832">
        <w:t xml:space="preserve"> l’inventaire communautaire</w:t>
      </w:r>
    </w:p>
    <w:p w14:paraId="6AFF253B" w14:textId="7E657335" w:rsidR="008144AC" w:rsidRPr="00192499" w:rsidRDefault="006D3C03" w:rsidP="00182AF4">
      <w:pPr>
        <w:pStyle w:val="Texte1"/>
        <w:numPr>
          <w:ilvl w:val="0"/>
          <w:numId w:val="11"/>
        </w:numPr>
      </w:pPr>
      <w:r>
        <w:t>Atelier de f</w:t>
      </w:r>
      <w:r w:rsidR="003D362E">
        <w:t>ormation sur les plans de sauvegarde</w:t>
      </w:r>
    </w:p>
    <w:p w14:paraId="59443959" w14:textId="605F2D5B" w:rsidR="008144AC" w:rsidRPr="00192499" w:rsidRDefault="006D3C03" w:rsidP="00182AF4">
      <w:pPr>
        <w:pStyle w:val="Texte1"/>
        <w:numPr>
          <w:ilvl w:val="0"/>
          <w:numId w:val="11"/>
        </w:numPr>
      </w:pPr>
      <w:r>
        <w:t>Atelier de f</w:t>
      </w:r>
      <w:r w:rsidR="003D362E">
        <w:t>ormation sur la préparat</w:t>
      </w:r>
      <w:r w:rsidR="00222388">
        <w:t>ion des dossiers de candidature</w:t>
      </w:r>
    </w:p>
    <w:p w14:paraId="3F423C3F" w14:textId="08F34843" w:rsidR="008144AC" w:rsidRPr="00192499" w:rsidRDefault="003D362E" w:rsidP="00894E94">
      <w:pPr>
        <w:pStyle w:val="Texte1"/>
      </w:pPr>
      <w:r>
        <w:t xml:space="preserve">Des conseils sur la préparation des ateliers sont disponibles dans l’unité d’introduction de chaque atelier. Le facilitateur peut ainsi choisir le meilleur moment, au sein de chaque atelier, pour introduire ces unités. Il est conseillé de les présenter le plus tôt possible au cours de l’atelier afin que les participants soient sensibles aux questions de genre tout au long de l’atelier. En outre, lorsque le facilitateur aborde la session 3 qui </w:t>
      </w:r>
      <w:r w:rsidR="006D3C03">
        <w:t>est consacrée aux différentes études de cas, celui-ci doit veiller à présenter l’ensemble des études de cas dans le cadre d’un seul débat, surtout s’il utilise l’étude de cas 42, et ce, afin de comparer différentes dynamiques des genres.</w:t>
      </w:r>
    </w:p>
    <w:p w14:paraId="05FE7314" w14:textId="61FAE317" w:rsidR="00CF7082" w:rsidRPr="006D3C03" w:rsidRDefault="006D3C03" w:rsidP="00C07EF0">
      <w:pPr>
        <w:pStyle w:val="Heading4"/>
        <w:rPr>
          <w:lang w:val="fr-FR"/>
        </w:rPr>
      </w:pPr>
      <w:r w:rsidRPr="006D3C03">
        <w:rPr>
          <w:lang w:val="fr-FR"/>
        </w:rPr>
        <w:lastRenderedPageBreak/>
        <w:t xml:space="preserve">adaptation au contexte national/local des </w:t>
      </w:r>
      <w:r>
        <w:rPr>
          <w:lang w:val="fr-FR"/>
        </w:rPr>
        <w:t>participants</w:t>
      </w:r>
    </w:p>
    <w:p w14:paraId="70B66A39" w14:textId="677F63D1" w:rsidR="00CF7082" w:rsidRPr="006D3C03" w:rsidRDefault="00600E46" w:rsidP="00894E94">
      <w:pPr>
        <w:pStyle w:val="Texte1"/>
      </w:pPr>
      <w:r>
        <w:t>Les d</w:t>
      </w:r>
      <w:r w:rsidR="00D30715" w:rsidRPr="006D3C03">
        <w:t xml:space="preserve">iscussions </w:t>
      </w:r>
      <w:r>
        <w:t>interculturelles à propos du genre requièrent un certain niveau de sensibilité. En raison de la nature très sensible, voire parfois controversée, de ce sujet, replacer la discussion sur le genre et le PCI dans le contexte national (ou subrégional) est un principe essentiel de cette unité : les participants doivent quitter l’atelier avec la capacité d’appliquer les connaissances et la compréhension acquises à la situation de leur(s) état(s), dans un contexte</w:t>
      </w:r>
      <w:r w:rsidR="00627CEE">
        <w:t xml:space="preserve"> spécifique</w:t>
      </w:r>
      <w:r>
        <w:t xml:space="preserve">. </w:t>
      </w:r>
      <w:r w:rsidR="00FC7701">
        <w:t>Les discussions et les exercices sont censés être favorables à une approche ouverte, et permettre</w:t>
      </w:r>
      <w:r w:rsidR="00627CEE">
        <w:t xml:space="preserve"> une analyse des discussions entre</w:t>
      </w:r>
      <w:r w:rsidR="00FC7701">
        <w:t xml:space="preserve"> participants </w:t>
      </w:r>
      <w:r w:rsidR="00627CEE">
        <w:t xml:space="preserve">qui reflète </w:t>
      </w:r>
      <w:r w:rsidR="00FC7701">
        <w:t xml:space="preserve">leurs </w:t>
      </w:r>
      <w:r w:rsidR="00627CEE">
        <w:t xml:space="preserve">visions </w:t>
      </w:r>
      <w:r w:rsidR="00FC7701">
        <w:t>et leurs appr</w:t>
      </w:r>
      <w:r w:rsidR="00467DFE">
        <w:t xml:space="preserve">oches. Grâce </w:t>
      </w:r>
      <w:r w:rsidR="00B14919">
        <w:t>à un « prisme du genre » adapté</w:t>
      </w:r>
      <w:r w:rsidR="00FC7701">
        <w:t xml:space="preserve"> au contexte, les participants </w:t>
      </w:r>
      <w:r w:rsidR="00467DFE">
        <w:t>accueilleront favorablement les discussions et ne ressentiront pas de jugement extérieur de leurs croyances et de leurs normes sociétales. Les discussions doivent offrir un e</w:t>
      </w:r>
      <w:r w:rsidR="00FD4977">
        <w:t>nvironnement propice afin que les participants</w:t>
      </w:r>
      <w:r w:rsidR="00467DFE">
        <w:t xml:space="preserve"> abordent, dans les meilleures conditions</w:t>
      </w:r>
      <w:r w:rsidR="00627CEE">
        <w:t>, les questions de genre dans un</w:t>
      </w:r>
      <w:r w:rsidR="00467DFE">
        <w:t xml:space="preserve"> contexte qui leur est propre. </w:t>
      </w:r>
      <w:r w:rsidR="00627CEE">
        <w:t xml:space="preserve">Lier le sujet au contexte national ou local est donc fortement conseillé, et les facilitateurs peuvent encourager les participants à illustrer l’unité au moyen de leurs propres exemples lorsque cela </w:t>
      </w:r>
      <w:r w:rsidR="00222388">
        <w:t>s’avère pertinent et approprié.</w:t>
      </w:r>
    </w:p>
    <w:p w14:paraId="0C027D7E" w14:textId="77777777" w:rsidR="00384258" w:rsidRPr="006D3C03" w:rsidRDefault="00384258" w:rsidP="002C150F">
      <w:pPr>
        <w:spacing w:line="240" w:lineRule="auto"/>
        <w:rPr>
          <w:rFonts w:ascii="Arial" w:eastAsia="SimSun" w:hAnsi="Arial" w:cs="Arial"/>
          <w:sz w:val="20"/>
          <w:szCs w:val="24"/>
          <w:lang w:eastAsia="zh-CN"/>
        </w:rPr>
      </w:pPr>
      <w:r w:rsidRPr="006D3C03">
        <w:rPr>
          <w:rFonts w:ascii="Arial" w:eastAsia="SimSun" w:hAnsi="Arial" w:cs="Arial"/>
          <w:sz w:val="20"/>
          <w:lang w:eastAsia="zh-CN"/>
        </w:rPr>
        <w:br w:type="page"/>
      </w:r>
    </w:p>
    <w:p w14:paraId="2AF6856D" w14:textId="532C406C" w:rsidR="00C07EF0" w:rsidRPr="00AD1CC7" w:rsidRDefault="00AD1CC7" w:rsidP="00C07EF0">
      <w:pPr>
        <w:pStyle w:val="Heading6"/>
        <w:rPr>
          <w:lang w:val="fr-FR"/>
        </w:rPr>
      </w:pPr>
      <w:r w:rsidRPr="00AD1CC7">
        <w:rPr>
          <w:lang w:val="fr-FR"/>
        </w:rPr>
        <w:lastRenderedPageBreak/>
        <w:t>diapositive 1</w:t>
      </w:r>
    </w:p>
    <w:p w14:paraId="4E697426" w14:textId="352F2551" w:rsidR="00F674B9" w:rsidRPr="00AD1CC7" w:rsidRDefault="00203DC5" w:rsidP="00F674B9">
      <w:pPr>
        <w:pStyle w:val="diapo2"/>
        <w:rPr>
          <w:noProof w:val="0"/>
        </w:rPr>
      </w:pPr>
      <w:r>
        <w:rPr>
          <w:noProof w:val="0"/>
        </w:rPr>
        <w:t>Genre et</w:t>
      </w:r>
      <w:r w:rsidR="00222388">
        <w:rPr>
          <w:noProof w:val="0"/>
        </w:rPr>
        <w:t xml:space="preserve"> patrimoine culturel immatériel</w:t>
      </w:r>
    </w:p>
    <w:p w14:paraId="3E99AF92" w14:textId="745C236F" w:rsidR="00871B69" w:rsidRPr="00AD1CC7" w:rsidRDefault="00203DC5" w:rsidP="00871B69">
      <w:pPr>
        <w:pStyle w:val="Heading6"/>
        <w:rPr>
          <w:lang w:val="fr-FR"/>
        </w:rPr>
      </w:pPr>
      <w:r w:rsidRPr="00203DC5">
        <w:rPr>
          <w:lang w:val="fr-FR"/>
        </w:rPr>
        <w:t>diapositive</w:t>
      </w:r>
      <w:r w:rsidR="00871B69" w:rsidRPr="00AD1CC7">
        <w:rPr>
          <w:lang w:val="fr-FR"/>
        </w:rPr>
        <w:t xml:space="preserve"> 2</w:t>
      </w:r>
    </w:p>
    <w:p w14:paraId="28F13EBF" w14:textId="081A725F" w:rsidR="00871B69" w:rsidRPr="00AD1CC7" w:rsidRDefault="00203DC5" w:rsidP="00871B69">
      <w:pPr>
        <w:pStyle w:val="diapo2"/>
        <w:rPr>
          <w:noProof w:val="0"/>
        </w:rPr>
      </w:pPr>
      <w:r>
        <w:rPr>
          <w:noProof w:val="0"/>
        </w:rPr>
        <w:t xml:space="preserve">Dans cette </w:t>
      </w:r>
      <w:r w:rsidRPr="00203DC5">
        <w:rPr>
          <w:noProof w:val="0"/>
        </w:rPr>
        <w:t>présentation</w:t>
      </w:r>
      <w:r w:rsidR="00222388">
        <w:rPr>
          <w:noProof w:val="0"/>
        </w:rPr>
        <w:t xml:space="preserve"> </w:t>
      </w:r>
      <w:r w:rsidR="00871B69" w:rsidRPr="00AD1CC7">
        <w:rPr>
          <w:noProof w:val="0"/>
        </w:rPr>
        <w:t>…</w:t>
      </w:r>
    </w:p>
    <w:p w14:paraId="49F74009" w14:textId="2CAD314F" w:rsidR="00F07123" w:rsidRDefault="00203DC5" w:rsidP="00203DC5">
      <w:pPr>
        <w:pStyle w:val="Texte1"/>
      </w:pPr>
      <w:r>
        <w:t>Présentez-vous et demandez aux participants de se présenter (dix minutes maximum), puis expliquez le déroul</w:t>
      </w:r>
      <w:r w:rsidR="00222388">
        <w:t>ement et l’approche de l’unité.</w:t>
      </w:r>
    </w:p>
    <w:p w14:paraId="7FBF9AE4" w14:textId="18A4DF62" w:rsidR="00203DC5" w:rsidRPr="00203DC5" w:rsidRDefault="00203DC5" w:rsidP="00203DC5">
      <w:pPr>
        <w:pStyle w:val="Texte1"/>
      </w:pPr>
      <w:r>
        <w:t>L’objectif principal de cette session d’introduction est de faire prendre conscience</w:t>
      </w:r>
      <w:r w:rsidR="0067147C">
        <w:t xml:space="preserve"> aux participants des présuppositions</w:t>
      </w:r>
      <w:r w:rsidR="00EB1ECE">
        <w:t xml:space="preserve"> qu’ils ont à propos du genre, et de les sensibiliser aux</w:t>
      </w:r>
      <w:r>
        <w:t xml:space="preserve"> interactions entre </w:t>
      </w:r>
      <w:r w:rsidR="00EB1ECE">
        <w:t xml:space="preserve">genre et </w:t>
      </w:r>
      <w:r>
        <w:t xml:space="preserve">PCI </w:t>
      </w:r>
      <w:r w:rsidR="00EB1ECE">
        <w:t>et aux différentes manières d’envisager la</w:t>
      </w:r>
      <w:r w:rsidR="00DD456B">
        <w:t xml:space="preserve"> discrimination </w:t>
      </w:r>
      <w:r w:rsidR="00821EA3">
        <w:t xml:space="preserve">fondée </w:t>
      </w:r>
      <w:r w:rsidR="00DD456B">
        <w:t xml:space="preserve">sur le genre </w:t>
      </w:r>
      <w:r w:rsidR="00EB1ECE">
        <w:t>et le PCI. Cet objectif sera atteint grâce aux deux exercices suivants, dont le dernier est un jeu de rôle qui peut être supp</w:t>
      </w:r>
      <w:r w:rsidR="00222388">
        <w:t>rimé en cas de manque de temps.</w:t>
      </w:r>
    </w:p>
    <w:p w14:paraId="15CF8ACD" w14:textId="506D8226" w:rsidR="00AE4C60" w:rsidRPr="00AD1CC7" w:rsidRDefault="00AE4C60" w:rsidP="00AE4C60">
      <w:pPr>
        <w:pStyle w:val="Titcoul"/>
        <w:rPr>
          <w:noProof w:val="0"/>
        </w:rPr>
      </w:pPr>
      <w:r w:rsidRPr="00AD1CC7">
        <w:rPr>
          <w:rFonts w:eastAsia="SimSun"/>
          <w:noProof w:val="0"/>
        </w:rPr>
        <w:t>SESSION 1</w:t>
      </w:r>
      <w:r w:rsidR="00EB1ECE">
        <w:rPr>
          <w:rFonts w:eastAsia="SimSun"/>
          <w:noProof w:val="0"/>
        </w:rPr>
        <w:t xml:space="preserve"> : étu</w:t>
      </w:r>
      <w:r w:rsidR="00222388">
        <w:rPr>
          <w:rFonts w:eastAsia="SimSun"/>
          <w:noProof w:val="0"/>
        </w:rPr>
        <w:t>dier le lien entre genre et PCI</w:t>
      </w:r>
    </w:p>
    <w:p w14:paraId="2D6079DB" w14:textId="5F0F814C" w:rsidR="00F07123" w:rsidRPr="00AD1CC7" w:rsidRDefault="00EB1ECE" w:rsidP="007063B0">
      <w:pPr>
        <w:pStyle w:val="Heading6"/>
        <w:rPr>
          <w:lang w:val="fr-FR"/>
        </w:rPr>
      </w:pPr>
      <w:r w:rsidRPr="00EB1ECE">
        <w:rPr>
          <w:lang w:val="fr-FR"/>
        </w:rPr>
        <w:t>diapositive</w:t>
      </w:r>
      <w:r>
        <w:rPr>
          <w:lang w:val="fr-FR"/>
        </w:rPr>
        <w:t xml:space="preserve"> 3</w:t>
      </w:r>
    </w:p>
    <w:p w14:paraId="2419187D" w14:textId="366E27BE" w:rsidR="00AE4C60" w:rsidRPr="00AD1CC7" w:rsidRDefault="003354DD" w:rsidP="00AE4C60">
      <w:pPr>
        <w:pStyle w:val="diapo2"/>
        <w:rPr>
          <w:noProof w:val="0"/>
        </w:rPr>
      </w:pPr>
      <w:r>
        <w:rPr>
          <w:noProof w:val="0"/>
        </w:rPr>
        <w:t>Aller</w:t>
      </w:r>
      <w:r w:rsidR="00F40F8D">
        <w:rPr>
          <w:noProof w:val="0"/>
        </w:rPr>
        <w:t xml:space="preserve"> au delà de nos</w:t>
      </w:r>
      <w:r>
        <w:rPr>
          <w:noProof w:val="0"/>
        </w:rPr>
        <w:t xml:space="preserve"> idées sur le genre</w:t>
      </w:r>
    </w:p>
    <w:p w14:paraId="692F7F34" w14:textId="077E9516" w:rsidR="00C956CA" w:rsidRPr="00AD1CC7" w:rsidRDefault="0032179B" w:rsidP="00871B69">
      <w:pPr>
        <w:pStyle w:val="Soustitre"/>
        <w:rPr>
          <w:caps/>
          <w:noProof w:val="0"/>
        </w:rPr>
      </w:pPr>
      <w:r>
        <w:rPr>
          <w:noProof w:val="0"/>
        </w:rPr>
        <w:t>Exercice 1 : activité d’amorce destiné</w:t>
      </w:r>
      <w:r w:rsidR="00DD456B">
        <w:rPr>
          <w:noProof w:val="0"/>
        </w:rPr>
        <w:t>e</w:t>
      </w:r>
      <w:r>
        <w:rPr>
          <w:noProof w:val="0"/>
        </w:rPr>
        <w:t xml:space="preserve"> à briser la glace entre les participants</w:t>
      </w:r>
    </w:p>
    <w:p w14:paraId="5E2FD404" w14:textId="61F34CA5" w:rsidR="00390297" w:rsidRPr="00AD1CC7" w:rsidRDefault="0032179B" w:rsidP="00894E94">
      <w:pPr>
        <w:pStyle w:val="Texte1"/>
        <w:rPr>
          <w:b/>
          <w:bCs/>
          <w:caps/>
        </w:rPr>
      </w:pPr>
      <w:r>
        <w:t xml:space="preserve">Il s’agit d’une activité de lancement de l’unité, destinée à briser la glace entre les participants et </w:t>
      </w:r>
      <w:r w:rsidR="00DD456B">
        <w:t xml:space="preserve">à </w:t>
      </w:r>
      <w:r>
        <w:t>leur faire prendre</w:t>
      </w:r>
      <w:r w:rsidR="0067147C">
        <w:t xml:space="preserve"> conscience de leurs présuppositions</w:t>
      </w:r>
      <w:r>
        <w:t xml:space="preserve"> à propos du genre. Dans cet exercice, </w:t>
      </w:r>
      <w:r w:rsidR="0067147C">
        <w:t>vous présentez deux scénarios de « pensée latérale », et vous demandez aux participants de découvrir « ce qui s’est passé », au moyen de questions auxquelles on ne peut répondre que par oui ou non. Le premier scénario n’est pas en lien avec le gen</w:t>
      </w:r>
      <w:r w:rsidR="00DD456B">
        <w:t>re mais il démontre clairement l</w:t>
      </w:r>
      <w:r w:rsidR="0067147C">
        <w:t>es dangers de ne pas</w:t>
      </w:r>
      <w:r w:rsidR="00526318">
        <w:t xml:space="preserve"> être conscient de ses propres</w:t>
      </w:r>
      <w:r w:rsidR="00222388">
        <w:t xml:space="preserve"> présuppositions sous-jacentes.</w:t>
      </w:r>
    </w:p>
    <w:p w14:paraId="6BE58D65" w14:textId="51444824" w:rsidR="006305D7" w:rsidRPr="00AD1CC7" w:rsidRDefault="00526318" w:rsidP="00894E94">
      <w:pPr>
        <w:pStyle w:val="Texte1"/>
        <w:rPr>
          <w:b/>
          <w:bCs/>
          <w:caps/>
        </w:rPr>
      </w:pPr>
      <w:r>
        <w:t xml:space="preserve">Note : vous ne devez pas consacrer plus de </w:t>
      </w:r>
      <w:r w:rsidR="003354DD">
        <w:t xml:space="preserve">15 </w:t>
      </w:r>
      <w:r>
        <w:t>minutes aux deux scénarios</w:t>
      </w:r>
      <w:r w:rsidR="00627136" w:rsidRPr="00AD1CC7">
        <w:t>.</w:t>
      </w:r>
    </w:p>
    <w:p w14:paraId="606E43C4" w14:textId="0F94A6FE" w:rsidR="00390297" w:rsidRPr="00AD1CC7" w:rsidRDefault="00526318" w:rsidP="00894E94">
      <w:pPr>
        <w:pStyle w:val="Texte1"/>
        <w:rPr>
          <w:b/>
          <w:bCs/>
          <w:caps/>
        </w:rPr>
      </w:pPr>
      <w:r>
        <w:rPr>
          <w:u w:val="single"/>
        </w:rPr>
        <w:t xml:space="preserve">Premier </w:t>
      </w:r>
      <w:r w:rsidR="00B85B71" w:rsidRPr="00AD1CC7">
        <w:rPr>
          <w:u w:val="single"/>
        </w:rPr>
        <w:t>scenario</w:t>
      </w:r>
      <w:r w:rsidR="003354DD">
        <w:t xml:space="preserve"> </w:t>
      </w:r>
      <w:r>
        <w:t>: Antoine git sur le sol, mort. Autour de son corps, il y a des éclats de verre et de l’eau. Cléopâtre, inclinée sur un siège, semble imperturbable. Que s’est-il passé et comment Antoine est-il mort ?</w:t>
      </w:r>
    </w:p>
    <w:p w14:paraId="012A9B96" w14:textId="109A5E8C" w:rsidR="00B85B71" w:rsidRPr="00AD1CC7" w:rsidRDefault="00526318" w:rsidP="00894E94">
      <w:pPr>
        <w:pStyle w:val="Texte1"/>
        <w:rPr>
          <w:b/>
          <w:bCs/>
          <w:caps/>
        </w:rPr>
      </w:pPr>
      <w:r>
        <w:t>Réponse : Antoine était un poisson rouge dans un</w:t>
      </w:r>
      <w:r w:rsidR="004F0450">
        <w:t xml:space="preserve"> bocal, et Cléopâtre est un chat</w:t>
      </w:r>
      <w:r>
        <w:t xml:space="preserve"> qui</w:t>
      </w:r>
      <w:r w:rsidR="004F0450">
        <w:t xml:space="preserve"> a renversé le bocal en essayant d’attraper Antoine. La mort du chat est due à un manque d’oxygène.</w:t>
      </w:r>
    </w:p>
    <w:p w14:paraId="5A9F73C0" w14:textId="4DD03B52" w:rsidR="00B85B71" w:rsidRPr="00AD1CC7" w:rsidRDefault="00B85B71" w:rsidP="00894E94">
      <w:pPr>
        <w:pStyle w:val="Texte1"/>
        <w:rPr>
          <w:b/>
          <w:bCs/>
          <w:caps/>
        </w:rPr>
      </w:pPr>
      <w:r w:rsidRPr="00AD1CC7">
        <w:t>Note</w:t>
      </w:r>
      <w:r w:rsidR="003354DD">
        <w:t xml:space="preserve"> </w:t>
      </w:r>
      <w:r w:rsidRPr="00AD1CC7">
        <w:t xml:space="preserve">: </w:t>
      </w:r>
      <w:r w:rsidR="004F0450">
        <w:t>Selon le contexte culturel de l’atelier, on peut remplacer Antoine (l’homme/le mâle) et Cléopâtre (la femme/la femelle) par un autre célèbre couple d’amoureux tel que Leili et Majnoun ou</w:t>
      </w:r>
      <w:r w:rsidR="00222388">
        <w:t xml:space="preserve"> </w:t>
      </w:r>
      <w:r w:rsidR="004F0450">
        <w:t>…</w:t>
      </w:r>
    </w:p>
    <w:p w14:paraId="322877AD" w14:textId="7231B11B" w:rsidR="00B85B71" w:rsidRPr="004F0450" w:rsidRDefault="003354DD" w:rsidP="00894E94">
      <w:pPr>
        <w:pStyle w:val="Texte1"/>
        <w:rPr>
          <w:b/>
          <w:bCs/>
          <w:caps/>
        </w:rPr>
      </w:pPr>
      <w:r>
        <w:rPr>
          <w:u w:val="single"/>
        </w:rPr>
        <w:t>Deuxième scénario</w:t>
      </w:r>
      <w:r w:rsidRPr="003354DD">
        <w:t xml:space="preserve"> </w:t>
      </w:r>
      <w:r>
        <w:t>: Un chirur</w:t>
      </w:r>
      <w:r w:rsidR="004F0450" w:rsidRPr="003354DD">
        <w:t>gien</w:t>
      </w:r>
      <w:r>
        <w:t xml:space="preserve"> et sa fille ont un très grave accident de voiture. Il est déclaré mort sur le lieu de l’accident, mais elle est vivante bien que très gravement blessée. Elle est conduite d’urgence à l’hôpital et admise immédiatement au bloc opératoire où le chirurgien de garde</w:t>
      </w:r>
      <w:r w:rsidR="00126FD6">
        <w:t xml:space="preserve"> déclare : « Je ne peux pas</w:t>
      </w:r>
      <w:r>
        <w:t xml:space="preserve"> </w:t>
      </w:r>
      <w:r w:rsidR="00126FD6">
        <w:t>m’</w:t>
      </w:r>
      <w:r>
        <w:t>occuper</w:t>
      </w:r>
      <w:r w:rsidR="00126FD6">
        <w:t xml:space="preserve"> d’elle</w:t>
      </w:r>
      <w:r>
        <w:t xml:space="preserve">, c’est ma fille… » </w:t>
      </w:r>
    </w:p>
    <w:p w14:paraId="5583EE81" w14:textId="50F6589B" w:rsidR="00B85B71" w:rsidRPr="00AD1CC7" w:rsidRDefault="003354DD" w:rsidP="00894E94">
      <w:pPr>
        <w:pStyle w:val="Texte1"/>
        <w:rPr>
          <w:b/>
          <w:bCs/>
          <w:caps/>
        </w:rPr>
      </w:pPr>
      <w:r>
        <w:t>Réponse : Le deuxième chirurgien est une femme, c’est la mère de la patiente accidentée.</w:t>
      </w:r>
    </w:p>
    <w:p w14:paraId="4161AFB8" w14:textId="7E4C84D7" w:rsidR="00F07123" w:rsidRPr="00AD1CC7" w:rsidRDefault="003354DD" w:rsidP="00894E94">
      <w:pPr>
        <w:pStyle w:val="Texte1"/>
        <w:rPr>
          <w:b/>
          <w:bCs/>
          <w:caps/>
        </w:rPr>
      </w:pPr>
      <w:r>
        <w:t xml:space="preserve">Note : Cet exercice peut prendre de 2 à 20 minutes, selon les participants. </w:t>
      </w:r>
    </w:p>
    <w:p w14:paraId="5B9EEC0D" w14:textId="36F65919" w:rsidR="00C53022" w:rsidRPr="00AD1CC7" w:rsidRDefault="00F40F8D" w:rsidP="007063B0">
      <w:pPr>
        <w:pStyle w:val="Heading6"/>
        <w:rPr>
          <w:lang w:val="fr-FR"/>
        </w:rPr>
      </w:pPr>
      <w:r w:rsidRPr="00F40F8D">
        <w:rPr>
          <w:lang w:val="fr-FR"/>
        </w:rPr>
        <w:lastRenderedPageBreak/>
        <w:t>diapositive</w:t>
      </w:r>
      <w:r w:rsidR="00EC7CD8" w:rsidRPr="00AD1CC7">
        <w:rPr>
          <w:lang w:val="fr-FR"/>
        </w:rPr>
        <w:t xml:space="preserve"> 4</w:t>
      </w:r>
    </w:p>
    <w:p w14:paraId="6AC3514F" w14:textId="3AF77A91" w:rsidR="00AE4C60" w:rsidRPr="00AD1CC7" w:rsidRDefault="003354DD" w:rsidP="00AE4C60">
      <w:pPr>
        <w:pStyle w:val="diapo2"/>
        <w:rPr>
          <w:noProof w:val="0"/>
        </w:rPr>
      </w:pPr>
      <w:r>
        <w:rPr>
          <w:noProof w:val="0"/>
        </w:rPr>
        <w:t>Aller au delà de</w:t>
      </w:r>
      <w:r w:rsidR="00F40F8D">
        <w:rPr>
          <w:noProof w:val="0"/>
        </w:rPr>
        <w:t xml:space="preserve"> no</w:t>
      </w:r>
      <w:r>
        <w:rPr>
          <w:noProof w:val="0"/>
        </w:rPr>
        <w:t>s idées sur le genre</w:t>
      </w:r>
      <w:r w:rsidR="00AE4C60" w:rsidRPr="00AD1CC7">
        <w:rPr>
          <w:noProof w:val="0"/>
        </w:rPr>
        <w:t xml:space="preserve"> (2)</w:t>
      </w:r>
    </w:p>
    <w:p w14:paraId="7AD29020" w14:textId="23C4E768" w:rsidR="00FC1AE7" w:rsidRPr="00AD1CC7" w:rsidRDefault="00F40F8D" w:rsidP="00871B69">
      <w:pPr>
        <w:pStyle w:val="Soustitre"/>
        <w:rPr>
          <w:caps/>
          <w:noProof w:val="0"/>
        </w:rPr>
      </w:pPr>
      <w:r>
        <w:rPr>
          <w:noProof w:val="0"/>
        </w:rPr>
        <w:t xml:space="preserve">Exercice 2 : Brainstorming </w:t>
      </w:r>
    </w:p>
    <w:p w14:paraId="7AF020EB" w14:textId="2528642C" w:rsidR="007927E4" w:rsidRDefault="00ED743F" w:rsidP="00894E94">
      <w:pPr>
        <w:pStyle w:val="Texte1"/>
      </w:pPr>
      <w:r>
        <w:t xml:space="preserve">Dans cet exercice, </w:t>
      </w:r>
      <w:r w:rsidR="000A6805">
        <w:t>les p</w:t>
      </w:r>
      <w:r w:rsidR="00126FD6">
        <w:t>articipants partagent, de façon interactive, leurs visions des</w:t>
      </w:r>
      <w:r w:rsidR="000A6805">
        <w:t xml:space="preserve"> </w:t>
      </w:r>
      <w:r w:rsidR="00126FD6">
        <w:t xml:space="preserve">divers aspects du genre dans son rapport avec le PCI, son interprétation/sa pratique et sa sauvegarde. Essayez d’encourager les participants à donner leur avis, et invitez-les à exposer leur vision du lien entre genre et PCI. Il est possible que vous deviez également les orienter </w:t>
      </w:r>
      <w:r w:rsidR="00100949">
        <w:t xml:space="preserve">conformément à ce qui a été expliqué dans l’introduction aux présentes notes du facilitateur. </w:t>
      </w:r>
    </w:p>
    <w:p w14:paraId="692BDCF7" w14:textId="7BA82E16" w:rsidR="007927E4" w:rsidRPr="00BE50AD" w:rsidRDefault="00100949" w:rsidP="00BE50AD">
      <w:pPr>
        <w:pStyle w:val="Texte1"/>
        <w:rPr>
          <w:b/>
          <w:bCs/>
          <w:caps/>
        </w:rPr>
      </w:pPr>
      <w:r>
        <w:t>Commencez par demander aux participants de réfléchir au nombre de catégories de genre qu’ils sont capables d’imaginer (ceux d’entre nous qui restent enfermés dans une conception binaire du genre arrivent en général à imaginer 2 catégorie</w:t>
      </w:r>
      <w:r w:rsidR="00084627">
        <w:t>s, l’homme et la femme). Puis, dites</w:t>
      </w:r>
      <w:r>
        <w:t xml:space="preserve"> au groupe que de nombreuses communautés autochtones en Amérique du nord reconnaissent plus de 2 catégories de genre. Demandez au groupe d’imaginer quelles sont ces autres catégor</w:t>
      </w:r>
      <w:r w:rsidR="005569DC">
        <w:t xml:space="preserve">ies. Par exemple, les individus dont l’identité de genre est différente, qui sont considérés comme ayant à la fois un esprit masculin et un esprit féminin et identifiés comme « bi-spirituels » (pour en savoir plus, cf. l’article, en anglais, paru dans The Guardian - </w:t>
      </w:r>
      <w:hyperlink r:id="rId19" w:history="1">
        <w:r w:rsidR="005569DC" w:rsidRPr="00222388">
          <w:rPr>
            <w:rStyle w:val="Hyperlink"/>
          </w:rPr>
          <w:t>http://www.theguardian.com/music/2010/oct/11/two-spirit-people-north-america</w:t>
        </w:r>
      </w:hyperlink>
      <w:r w:rsidR="005569DC" w:rsidRPr="00222388">
        <w:t>)</w:t>
      </w:r>
      <w:r w:rsidR="00BE50AD" w:rsidRPr="00222388">
        <w:t xml:space="preserve">. </w:t>
      </w:r>
      <w:r w:rsidR="00BE50AD" w:rsidRPr="00BE50AD">
        <w:t xml:space="preserve">Certaines communautés culturelles </w:t>
      </w:r>
      <w:r w:rsidR="00BE50AD">
        <w:t>ont même plus de 3 catégories de genre (jusqu’à 30).</w:t>
      </w:r>
    </w:p>
    <w:p w14:paraId="52C8EAD6" w14:textId="7EBDB5BC" w:rsidR="00F07123" w:rsidRPr="00412756" w:rsidRDefault="00412756" w:rsidP="007063B0">
      <w:pPr>
        <w:pStyle w:val="Heading6"/>
        <w:rPr>
          <w:lang w:val="fr-FR"/>
        </w:rPr>
      </w:pPr>
      <w:r w:rsidRPr="00412756">
        <w:rPr>
          <w:lang w:val="fr-FR"/>
        </w:rPr>
        <w:t>diapositive 5</w:t>
      </w:r>
    </w:p>
    <w:p w14:paraId="16D35598" w14:textId="13340647" w:rsidR="00AE4C60" w:rsidRPr="00412756" w:rsidRDefault="00412756" w:rsidP="00AE4C60">
      <w:pPr>
        <w:pStyle w:val="diapo2"/>
        <w:rPr>
          <w:noProof w:val="0"/>
        </w:rPr>
      </w:pPr>
      <w:r>
        <w:rPr>
          <w:noProof w:val="0"/>
        </w:rPr>
        <w:t xml:space="preserve">La dynamique des genres du PCI </w:t>
      </w:r>
    </w:p>
    <w:p w14:paraId="00E5FE4B" w14:textId="6CCBF9DE" w:rsidR="00390297" w:rsidRPr="00412756" w:rsidRDefault="00412756" w:rsidP="00894E94">
      <w:pPr>
        <w:pStyle w:val="Texte1"/>
        <w:rPr>
          <w:b/>
          <w:bCs/>
          <w:caps/>
        </w:rPr>
      </w:pPr>
      <w:r>
        <w:t>Parmi les q</w:t>
      </w:r>
      <w:r w:rsidR="00390297" w:rsidRPr="00412756">
        <w:t xml:space="preserve">uestions </w:t>
      </w:r>
      <w:r>
        <w:t>que les participants peuvent envisager pour aborder le concept de « genre et PCI », on citera :</w:t>
      </w:r>
    </w:p>
    <w:p w14:paraId="125941F7" w14:textId="1DD9A719" w:rsidR="00FE0DB0" w:rsidRPr="00412756" w:rsidRDefault="00084627" w:rsidP="00A21D93">
      <w:pPr>
        <w:pStyle w:val="Txtpucegras"/>
        <w:rPr>
          <w:b/>
          <w:bCs/>
          <w:caps/>
        </w:rPr>
      </w:pPr>
      <w:r>
        <w:t>Comment</w:t>
      </w:r>
      <w:r w:rsidR="00412756">
        <w:t xml:space="preserve"> le PCI contribue-t-il à façonner les identités de genre, et vice-versa ?</w:t>
      </w:r>
    </w:p>
    <w:p w14:paraId="0544557C" w14:textId="19D7ECE4" w:rsidR="00FE0DB0" w:rsidRPr="00412756" w:rsidRDefault="00084627" w:rsidP="00F4219C">
      <w:pPr>
        <w:pStyle w:val="Txtpucegras"/>
        <w:rPr>
          <w:b/>
          <w:bCs/>
          <w:caps/>
        </w:rPr>
      </w:pPr>
      <w:r>
        <w:t xml:space="preserve">Comment </w:t>
      </w:r>
      <w:r w:rsidR="00412756">
        <w:t>le PCI est-il le reflet d’aspects liés au pou</w:t>
      </w:r>
      <w:r>
        <w:t>voir social des rôles de</w:t>
      </w:r>
      <w:r w:rsidR="00412756">
        <w:t xml:space="preserve"> genre ? </w:t>
      </w:r>
    </w:p>
    <w:p w14:paraId="2990303B" w14:textId="3AE830B4" w:rsidR="00FE0DB0" w:rsidRPr="00412756" w:rsidRDefault="00084627" w:rsidP="00F4219C">
      <w:pPr>
        <w:pStyle w:val="Txtpucegras"/>
        <w:rPr>
          <w:b/>
          <w:bCs/>
          <w:caps/>
        </w:rPr>
      </w:pPr>
      <w:r>
        <w:t xml:space="preserve">Comment </w:t>
      </w:r>
      <w:r w:rsidR="00412756">
        <w:t>les rôles liés au genre influencent-ils l’interprétation/la représentation et la transmission du PCI ?</w:t>
      </w:r>
    </w:p>
    <w:p w14:paraId="1B970FC8" w14:textId="21641AFC" w:rsidR="00FE0DB0" w:rsidRPr="00412756" w:rsidRDefault="00084627" w:rsidP="00F4219C">
      <w:pPr>
        <w:pStyle w:val="Txtpucegras"/>
        <w:rPr>
          <w:b/>
          <w:bCs/>
          <w:caps/>
        </w:rPr>
      </w:pPr>
      <w:r>
        <w:t xml:space="preserve">Comment </w:t>
      </w:r>
      <w:r w:rsidR="00920933">
        <w:t>le genre influence-t-il la transmission du</w:t>
      </w:r>
      <w:r>
        <w:t xml:space="preserve"> PCI,</w:t>
      </w:r>
      <w:r w:rsidR="00920933">
        <w:t xml:space="preserve"> et quelles en sont les implications pour (a) le PCI et</w:t>
      </w:r>
      <w:r>
        <w:t xml:space="preserve"> (b) les groupes de genre</w:t>
      </w:r>
      <w:r w:rsidR="00920933">
        <w:t xml:space="preserve"> ? </w:t>
      </w:r>
    </w:p>
    <w:p w14:paraId="0D451A4D" w14:textId="6186EE44" w:rsidR="00FE0DB0" w:rsidRPr="00412756" w:rsidRDefault="00084627" w:rsidP="00F4219C">
      <w:pPr>
        <w:pStyle w:val="Txtpucegras"/>
        <w:rPr>
          <w:b/>
          <w:bCs/>
          <w:caps/>
        </w:rPr>
      </w:pPr>
      <w:r>
        <w:t xml:space="preserve">Comment </w:t>
      </w:r>
      <w:r w:rsidR="00920933">
        <w:t xml:space="preserve">le PCI peut-il conforter les rôles </w:t>
      </w:r>
      <w:r>
        <w:t xml:space="preserve">de genre </w:t>
      </w:r>
      <w:r w:rsidR="00920933">
        <w:t xml:space="preserve">et les stéréotypes ? </w:t>
      </w:r>
    </w:p>
    <w:p w14:paraId="64B66A9F" w14:textId="06246C12" w:rsidR="00796622" w:rsidRPr="005F02E7" w:rsidRDefault="002C04B0" w:rsidP="007063B0">
      <w:pPr>
        <w:pStyle w:val="Titcoul"/>
        <w:rPr>
          <w:rFonts w:eastAsia="SimSun"/>
          <w:noProof w:val="0"/>
        </w:rPr>
      </w:pPr>
      <w:r w:rsidRPr="005F02E7">
        <w:rPr>
          <w:rFonts w:eastAsia="SimSun"/>
          <w:noProof w:val="0"/>
        </w:rPr>
        <w:t>SES</w:t>
      </w:r>
      <w:r w:rsidR="005F02E7" w:rsidRPr="005F02E7">
        <w:rPr>
          <w:rFonts w:eastAsia="SimSun"/>
          <w:noProof w:val="0"/>
        </w:rPr>
        <w:t>SION 2</w:t>
      </w:r>
      <w:r w:rsidR="00222388">
        <w:rPr>
          <w:rFonts w:eastAsia="SimSun"/>
          <w:noProof w:val="0"/>
        </w:rPr>
        <w:t> : genre, égalité et PCI</w:t>
      </w:r>
    </w:p>
    <w:p w14:paraId="45253230" w14:textId="7475ADCE" w:rsidR="00F07123" w:rsidRPr="005F02E7" w:rsidRDefault="005F02E7" w:rsidP="007063B0">
      <w:pPr>
        <w:pStyle w:val="Heading6"/>
        <w:rPr>
          <w:lang w:val="fr-FR"/>
        </w:rPr>
      </w:pPr>
      <w:r w:rsidRPr="005F02E7">
        <w:rPr>
          <w:lang w:val="fr-FR"/>
        </w:rPr>
        <w:t>diapositive</w:t>
      </w:r>
      <w:r>
        <w:rPr>
          <w:lang w:val="fr-FR"/>
        </w:rPr>
        <w:t xml:space="preserve"> 6</w:t>
      </w:r>
    </w:p>
    <w:p w14:paraId="1A6AAF98" w14:textId="044657CF" w:rsidR="00AE4C60" w:rsidRPr="005F02E7" w:rsidRDefault="00222388" w:rsidP="00AE4C60">
      <w:pPr>
        <w:pStyle w:val="diapo2"/>
        <w:rPr>
          <w:noProof w:val="0"/>
        </w:rPr>
      </w:pPr>
      <w:r>
        <w:rPr>
          <w:noProof w:val="0"/>
        </w:rPr>
        <w:t>Genre, égalité et PCI</w:t>
      </w:r>
    </w:p>
    <w:p w14:paraId="3F03241E" w14:textId="7C25AE80" w:rsidR="00013D67" w:rsidRPr="005F02E7" w:rsidRDefault="007670DA" w:rsidP="00871B69">
      <w:pPr>
        <w:pStyle w:val="Soustitre"/>
        <w:rPr>
          <w:noProof w:val="0"/>
        </w:rPr>
      </w:pPr>
      <w:r>
        <w:rPr>
          <w:noProof w:val="0"/>
        </w:rPr>
        <w:t>Exercice 1 (Imprimé 1) :</w:t>
      </w:r>
    </w:p>
    <w:p w14:paraId="768D7414" w14:textId="1327448E" w:rsidR="00B85B71" w:rsidRPr="005F02E7" w:rsidRDefault="005A3575" w:rsidP="00894E94">
      <w:pPr>
        <w:pStyle w:val="Texte1"/>
      </w:pPr>
      <w:r>
        <w:t>Pour cet exercice, i</w:t>
      </w:r>
      <w:r w:rsidR="008E669B">
        <w:t xml:space="preserve">l est demandé aux participants </w:t>
      </w:r>
      <w:r>
        <w:t xml:space="preserve">de se pencher sur de courts textes </w:t>
      </w:r>
      <w:r w:rsidR="008E669B">
        <w:t xml:space="preserve">rassemblés dans l’imprimé 1, afin d’acquérir une compréhension plus nuancée du lien entre dynamique des genres et PCI, évoqué dans la session 1, ainsi que de la question, à la fois </w:t>
      </w:r>
      <w:r w:rsidR="008E669B">
        <w:lastRenderedPageBreak/>
        <w:t>complexe et sensible, de l’égalité des genres et de la discrimination dans le domaine du PCI. Les textes sont les suivants :</w:t>
      </w:r>
    </w:p>
    <w:p w14:paraId="2BAB13A9" w14:textId="289FF20A" w:rsidR="00B85B71" w:rsidRPr="005F02E7" w:rsidRDefault="005D60DE" w:rsidP="00F4219C">
      <w:pPr>
        <w:pStyle w:val="Txtpucegras"/>
      </w:pPr>
      <w:r>
        <w:t>Définition du PCI selon l’Article 2(1) de la Convention ;</w:t>
      </w:r>
    </w:p>
    <w:p w14:paraId="0D45F2C5" w14:textId="339AD5F7" w:rsidR="00E02B2B" w:rsidRDefault="00E02B2B" w:rsidP="00E02B2B">
      <w:pPr>
        <w:pStyle w:val="Txtpucegras"/>
      </w:pPr>
      <w:r w:rsidRPr="005F02E7">
        <w:t>Article </w:t>
      </w:r>
      <w:r>
        <w:t>5 de la Convention sur l’élimination de toutes les formes de discr</w:t>
      </w:r>
      <w:r w:rsidR="00D11804">
        <w:t>imination à l’égard des femmes - CEDAW (</w:t>
      </w:r>
      <w:r w:rsidR="00FC134A">
        <w:t>1979) ;</w:t>
      </w:r>
    </w:p>
    <w:p w14:paraId="698051AE" w14:textId="3A4B0C27" w:rsidR="00FC134A" w:rsidRPr="005F02E7" w:rsidRDefault="00FC134A" w:rsidP="00FC134A">
      <w:pPr>
        <w:pStyle w:val="Txtpucegras"/>
      </w:pPr>
      <w:r>
        <w:t>Déclaration universelle de l’UNESCO sur la diversité culturelle (2001).</w:t>
      </w:r>
    </w:p>
    <w:p w14:paraId="6A26F140" w14:textId="755C4F60" w:rsidR="006024C8" w:rsidRPr="005F02E7" w:rsidRDefault="00E02B2B" w:rsidP="006024C8">
      <w:pPr>
        <w:pStyle w:val="Texte1"/>
      </w:pPr>
      <w:r>
        <w:t>Pour cet exercice, demandez aux participants d’étudier da</w:t>
      </w:r>
      <w:r w:rsidR="006024C8">
        <w:t xml:space="preserve">ns quelle mesure l’Article 2(1) </w:t>
      </w:r>
      <w:r>
        <w:t>peut être interprété comme une réponse à la dynamique des genres du PCI et aux questions d’égalité des genres évoqué</w:t>
      </w:r>
      <w:r w:rsidR="006024C8">
        <w:t>e</w:t>
      </w:r>
      <w:r>
        <w:t xml:space="preserve">s dans cette session. </w:t>
      </w:r>
      <w:r w:rsidR="006024C8">
        <w:t xml:space="preserve">Puis, les participants devront poursuivre leur réflexion à la lumière des </w:t>
      </w:r>
      <w:r w:rsidR="00D11804">
        <w:t xml:space="preserve">principes énoncés dans </w:t>
      </w:r>
      <w:r w:rsidR="006024C8">
        <w:t>l’Article 4 de la Déclaration de l’UNESCO de 2001</w:t>
      </w:r>
      <w:r w:rsidR="00D11804">
        <w:t xml:space="preserve"> et de l’Article 5 de la Convention CEDAW, qui s’inscrivent dans le cadre plus large des droits de l’homme et des politiques culturelles. C’est d’ailleurs dans ce cadre que la Convention de 2003 a été élaborée. </w:t>
      </w:r>
    </w:p>
    <w:p w14:paraId="16C008D0" w14:textId="78A8D35E" w:rsidR="000670A1" w:rsidRPr="005F02E7" w:rsidRDefault="00B85B71" w:rsidP="00871B69">
      <w:pPr>
        <w:pStyle w:val="Soustitre"/>
        <w:rPr>
          <w:noProof w:val="0"/>
        </w:rPr>
      </w:pPr>
      <w:r w:rsidRPr="005F02E7">
        <w:rPr>
          <w:noProof w:val="0"/>
        </w:rPr>
        <w:t>Note</w:t>
      </w:r>
      <w:r w:rsidR="001E3990">
        <w:rPr>
          <w:noProof w:val="0"/>
        </w:rPr>
        <w:t xml:space="preserve"> destinée au</w:t>
      </w:r>
      <w:r w:rsidR="00D11804">
        <w:rPr>
          <w:noProof w:val="0"/>
        </w:rPr>
        <w:t xml:space="preserve"> facilitateur sur l’Article 5 de la Convention CEDAW :</w:t>
      </w:r>
    </w:p>
    <w:p w14:paraId="601EC5D6" w14:textId="43FA94EE" w:rsidR="000670A1" w:rsidRPr="005F02E7" w:rsidRDefault="00D11804" w:rsidP="00894E94">
      <w:pPr>
        <w:pStyle w:val="Texte1"/>
      </w:pPr>
      <w:r>
        <w:t xml:space="preserve">Dans cette approche, ce ne sont pas les attitudes et pratiques culturelles traditionnelles en tant que telles </w:t>
      </w:r>
      <w:r w:rsidR="001E3990">
        <w:t>(ni</w:t>
      </w:r>
      <w:r w:rsidR="00905462">
        <w:t xml:space="preserve"> même les </w:t>
      </w:r>
      <w:r w:rsidR="001E3990">
        <w:t xml:space="preserve">potentiels </w:t>
      </w:r>
      <w:r w:rsidR="00905462">
        <w:t xml:space="preserve">rôles séparés que l’on attribue aux hommes et aux femmes) qui sont perçues comme problématiques mais touts les conséquences négatives qui peuvent en résulter. Parmi ces conséquences, on pourra citer le fait de considérer les femmes comme inférieures aux hommes, ou le recours à des rôles stéréotypés qui dépossèdent les femmes de leur pouvoir </w:t>
      </w:r>
      <w:r w:rsidR="006A54F6">
        <w:t xml:space="preserve">ou portent atteinte à leurs intérêts. Par ailleurs, obligation est faite aux États parties de prendre des mesures spécifiques pour y mettre fin. </w:t>
      </w:r>
    </w:p>
    <w:p w14:paraId="61D6D5EF" w14:textId="0E30D6F9" w:rsidR="004B7421" w:rsidRDefault="006A54F6" w:rsidP="00222388">
      <w:pPr>
        <w:pStyle w:val="Texte1"/>
        <w:rPr>
          <w:szCs w:val="20"/>
        </w:rPr>
      </w:pPr>
      <w:r>
        <w:t xml:space="preserve">De la même </w:t>
      </w:r>
      <w:r w:rsidR="004B7421">
        <w:t xml:space="preserve">façon, </w:t>
      </w:r>
      <w:r w:rsidR="004B7421" w:rsidRPr="004B7421">
        <w:rPr>
          <w:szCs w:val="20"/>
        </w:rPr>
        <w:t>s’agissant</w:t>
      </w:r>
      <w:r w:rsidR="004B7421">
        <w:rPr>
          <w:szCs w:val="20"/>
        </w:rPr>
        <w:t xml:space="preserve"> du genre et du PCI, le travail à entreprendre doit s’inscrire dans la même volonté d’éviter ces aspects négatifs tout en favorisant les retombées positives de l’</w:t>
      </w:r>
      <w:r w:rsidR="004B7421" w:rsidRPr="004B7421">
        <w:rPr>
          <w:szCs w:val="20"/>
        </w:rPr>
        <w:t>interprétation</w:t>
      </w:r>
      <w:r w:rsidR="004B7421">
        <w:rPr>
          <w:szCs w:val="20"/>
        </w:rPr>
        <w:t>, de la pratique et de la représentation du PCI pour les femmes et les p</w:t>
      </w:r>
      <w:r w:rsidR="001E3990">
        <w:rPr>
          <w:szCs w:val="20"/>
        </w:rPr>
        <w:t>ersonnes dont le rôle de</w:t>
      </w:r>
      <w:r w:rsidR="004B7421">
        <w:rPr>
          <w:szCs w:val="20"/>
        </w:rPr>
        <w:t xml:space="preserve"> g</w:t>
      </w:r>
      <w:r w:rsidR="00222388">
        <w:rPr>
          <w:szCs w:val="20"/>
        </w:rPr>
        <w:t>enre n’est pas dominant.</w:t>
      </w:r>
    </w:p>
    <w:p w14:paraId="6EF72C91" w14:textId="79F76ECF" w:rsidR="004B7421" w:rsidRPr="004B7421" w:rsidRDefault="004B7421" w:rsidP="004B7421">
      <w:pPr>
        <w:pStyle w:val="Heading6"/>
        <w:rPr>
          <w:lang w:val="fr-FR"/>
        </w:rPr>
      </w:pPr>
      <w:r w:rsidRPr="004B7421">
        <w:rPr>
          <w:lang w:val="fr-FR"/>
        </w:rPr>
        <w:t>diapositive 7</w:t>
      </w:r>
    </w:p>
    <w:p w14:paraId="4FC4C2B3" w14:textId="46F56A8C" w:rsidR="004B7421" w:rsidRPr="004B7421" w:rsidRDefault="004B7421" w:rsidP="004B7421">
      <w:pPr>
        <w:pStyle w:val="diapo2"/>
        <w:rPr>
          <w:noProof w:val="0"/>
        </w:rPr>
      </w:pPr>
      <w:r w:rsidRPr="004B7421">
        <w:rPr>
          <w:noProof w:val="0"/>
        </w:rPr>
        <w:t>Égalité des genres et sauvegarde</w:t>
      </w:r>
      <w:r w:rsidR="00222388">
        <w:rPr>
          <w:noProof w:val="0"/>
        </w:rPr>
        <w:t xml:space="preserve"> du PCI</w:t>
      </w:r>
    </w:p>
    <w:p w14:paraId="0D910BF1" w14:textId="419A6C60" w:rsidR="004B7421" w:rsidRDefault="004B7421" w:rsidP="004B7421">
      <w:pPr>
        <w:pStyle w:val="Soustitre"/>
        <w:rPr>
          <w:noProof w:val="0"/>
        </w:rPr>
      </w:pPr>
      <w:r>
        <w:rPr>
          <w:noProof w:val="0"/>
        </w:rPr>
        <w:t>Exercice 2 (Imprimé 2) :</w:t>
      </w:r>
    </w:p>
    <w:p w14:paraId="39D04C0A" w14:textId="757A951E" w:rsidR="007A1EEC" w:rsidRDefault="007A1EEC" w:rsidP="00353ED1">
      <w:pPr>
        <w:pStyle w:val="Texte1"/>
      </w:pPr>
      <w:r>
        <w:t>Dans cet exercice, le lien entre égalité des genres et sauvegarde du PCI est étudié plus avant grâce à une discussion entre tous les participants et une mise en avant des différences potentielles entre l’égalité des genres et la sauvegarde du PCI d’un</w:t>
      </w:r>
      <w:r w:rsidR="008305D2">
        <w:t>e part</w:t>
      </w:r>
      <w:r>
        <w:t xml:space="preserve"> et la dynamique des genres du PCI</w:t>
      </w:r>
      <w:r w:rsidR="008305D2">
        <w:t>, précédemment évoquée, d’</w:t>
      </w:r>
      <w:r>
        <w:t>autre</w:t>
      </w:r>
      <w:r w:rsidR="008305D2">
        <w:t xml:space="preserve"> part</w:t>
      </w:r>
      <w:r w:rsidR="00222388">
        <w:t>.</w:t>
      </w:r>
    </w:p>
    <w:p w14:paraId="2B579E87" w14:textId="3FEA3908" w:rsidR="007A1EEC" w:rsidRDefault="007A1EEC" w:rsidP="00353ED1">
      <w:pPr>
        <w:pStyle w:val="Texte1"/>
      </w:pPr>
      <w:r>
        <w:t xml:space="preserve">Cet exercice introduit également </w:t>
      </w:r>
      <w:r w:rsidR="00E30D42">
        <w:t xml:space="preserve">deux </w:t>
      </w:r>
      <w:r>
        <w:t>qu</w:t>
      </w:r>
      <w:r w:rsidR="00E30D42">
        <w:t>estions importantes : de quelle manière</w:t>
      </w:r>
      <w:r>
        <w:t xml:space="preserve"> les aspects du PCI liés au genre peuvent</w:t>
      </w:r>
      <w:r w:rsidR="00E30D42">
        <w:t>-ils</w:t>
      </w:r>
      <w:r>
        <w:t xml:space="preserve"> être </w:t>
      </w:r>
      <w:r>
        <w:rPr>
          <w:szCs w:val="20"/>
          <w:lang w:eastAsia="en-US"/>
        </w:rPr>
        <w:t>potentiellement discriminatoires</w:t>
      </w:r>
      <w:r w:rsidR="00E30D42">
        <w:rPr>
          <w:szCs w:val="20"/>
          <w:lang w:eastAsia="en-US"/>
        </w:rPr>
        <w:t> ?</w:t>
      </w:r>
      <w:r w:rsidR="00FB2405">
        <w:rPr>
          <w:szCs w:val="20"/>
          <w:lang w:eastAsia="en-US"/>
        </w:rPr>
        <w:t xml:space="preserve"> C</w:t>
      </w:r>
      <w:r>
        <w:rPr>
          <w:szCs w:val="20"/>
          <w:lang w:eastAsia="en-US"/>
        </w:rPr>
        <w:t>omment cette réalité peut</w:t>
      </w:r>
      <w:r w:rsidR="00E30D42">
        <w:rPr>
          <w:szCs w:val="20"/>
          <w:lang w:eastAsia="en-US"/>
        </w:rPr>
        <w:t>-elle</w:t>
      </w:r>
      <w:r>
        <w:rPr>
          <w:szCs w:val="20"/>
          <w:lang w:eastAsia="en-US"/>
        </w:rPr>
        <w:t xml:space="preserve"> être prise en compte dans les approches de </w:t>
      </w:r>
      <w:r w:rsidRPr="007A1EEC">
        <w:rPr>
          <w:szCs w:val="20"/>
          <w:lang w:eastAsia="en-US"/>
        </w:rPr>
        <w:t>sauvegarde</w:t>
      </w:r>
      <w:r>
        <w:rPr>
          <w:szCs w:val="20"/>
          <w:lang w:eastAsia="en-US"/>
        </w:rPr>
        <w:t xml:space="preserve"> du PCI</w:t>
      </w:r>
      <w:r w:rsidR="00E30D42">
        <w:rPr>
          <w:szCs w:val="20"/>
          <w:lang w:eastAsia="en-US"/>
        </w:rPr>
        <w:t> ?</w:t>
      </w:r>
    </w:p>
    <w:p w14:paraId="3F7295C0" w14:textId="30695DF2" w:rsidR="00093CAE" w:rsidRPr="004B7421" w:rsidRDefault="007A1EEC" w:rsidP="00353ED1">
      <w:pPr>
        <w:pStyle w:val="Texte1"/>
      </w:pPr>
      <w:r>
        <w:t xml:space="preserve">Selon le temps disponible et le contexte de l’atelier, les questions suivantes peuvent être </w:t>
      </w:r>
      <w:r w:rsidR="00E30D42">
        <w:t>soulevées dans le cadre de l’exercice :</w:t>
      </w:r>
    </w:p>
    <w:p w14:paraId="179AB84F" w14:textId="7E5392D6" w:rsidR="00FB2405" w:rsidRPr="004B7421" w:rsidRDefault="00A73874" w:rsidP="00F4219C">
      <w:pPr>
        <w:pStyle w:val="Txtpucegras"/>
      </w:pPr>
      <w:r w:rsidRPr="00A73874">
        <w:rPr>
          <w:szCs w:val="20"/>
        </w:rPr>
        <w:t>S’agissant de</w:t>
      </w:r>
      <w:r>
        <w:t xml:space="preserve"> la sauvegarde du PCI, c</w:t>
      </w:r>
      <w:r w:rsidR="00FB2405">
        <w:t xml:space="preserve">omment des approches « insensibles au genre » peuvent-elles </w:t>
      </w:r>
      <w:r>
        <w:t xml:space="preserve">conduire à </w:t>
      </w:r>
      <w:r w:rsidR="00FB2405">
        <w:t xml:space="preserve">ignorer </w:t>
      </w:r>
      <w:r>
        <w:t xml:space="preserve">l’existence </w:t>
      </w:r>
      <w:r w:rsidR="008305D2">
        <w:t>de pratiques discriminatoire</w:t>
      </w:r>
      <w:r w:rsidR="001D5593">
        <w:t>s</w:t>
      </w:r>
      <w:r w:rsidR="00FB2405">
        <w:t xml:space="preserve"> </w:t>
      </w:r>
      <w:r w:rsidR="001E3990">
        <w:t xml:space="preserve">ou, au contraire, </w:t>
      </w:r>
      <w:r>
        <w:t xml:space="preserve">à négliger un élément spécifique du PCI qui encourage l’égalité des genres ? </w:t>
      </w:r>
    </w:p>
    <w:p w14:paraId="3C0204F3" w14:textId="385AF8DE" w:rsidR="00093CAE" w:rsidRPr="004B7421" w:rsidRDefault="00A73874" w:rsidP="00F4219C">
      <w:pPr>
        <w:pStyle w:val="Txtpucegras"/>
      </w:pPr>
      <w:r>
        <w:t>Comment juger qu’un élément du PCI est d</w:t>
      </w:r>
      <w:r w:rsidR="008305D2">
        <w:t xml:space="preserve">iscriminatoire, </w:t>
      </w:r>
      <w:r>
        <w:t>et qui doit porter ce jugement ? (Étudiez succinctement le cas (1) pour répondre à cette question)</w:t>
      </w:r>
    </w:p>
    <w:p w14:paraId="3484ACF4" w14:textId="222D0B00" w:rsidR="00026018" w:rsidRPr="004B7421" w:rsidRDefault="00A73874" w:rsidP="00F4219C">
      <w:pPr>
        <w:pStyle w:val="Txtpucegras"/>
        <w:rPr>
          <w:color w:val="8064A2" w:themeColor="accent4"/>
        </w:rPr>
      </w:pPr>
      <w:r>
        <w:lastRenderedPageBreak/>
        <w:t>S’agissant du PCI, quel est son potentiel d’é</w:t>
      </w:r>
      <w:r w:rsidR="008305D2">
        <w:t>volution au fil du temps afin de pouvoir</w:t>
      </w:r>
      <w:r>
        <w:t xml:space="preserve"> répondre aux nouveaux besoins d</w:t>
      </w:r>
      <w:r w:rsidR="001D5593">
        <w:t>e la société (notamment en matière d’</w:t>
      </w:r>
      <w:r>
        <w:t>égalité des genres) ?</w:t>
      </w:r>
    </w:p>
    <w:p w14:paraId="60EBDBD7" w14:textId="338A39C5" w:rsidR="00F317B1" w:rsidRPr="004B7421" w:rsidRDefault="007B57A4" w:rsidP="00F4219C">
      <w:pPr>
        <w:pStyle w:val="Txtpucegras"/>
        <w:numPr>
          <w:ilvl w:val="0"/>
          <w:numId w:val="0"/>
        </w:numPr>
        <w:ind w:left="1021"/>
        <w:rPr>
          <w:color w:val="8064A2" w:themeColor="accent4"/>
        </w:rPr>
      </w:pPr>
      <w:r w:rsidRPr="004B7421">
        <w:t>(</w:t>
      </w:r>
      <w:r w:rsidR="00A73874">
        <w:t>Faites référence ici aux cas (2) et (3))</w:t>
      </w:r>
    </w:p>
    <w:p w14:paraId="535DA0B8" w14:textId="7A13B4F4" w:rsidR="00026018" w:rsidRPr="004B7421" w:rsidRDefault="00A73874" w:rsidP="00F4219C">
      <w:pPr>
        <w:pStyle w:val="Txtpucegras"/>
      </w:pPr>
      <w:r>
        <w:t>C</w:t>
      </w:r>
      <w:r w:rsidR="00821EA3">
        <w:t>omment la discrimination fondée sur le</w:t>
      </w:r>
      <w:r>
        <w:t xml:space="preserve"> genre interagit-elle avec d’autres formes de discrimination (</w:t>
      </w:r>
      <w:r w:rsidR="001E3990">
        <w:t xml:space="preserve">fondées </w:t>
      </w:r>
      <w:r>
        <w:t>sur l’âge, la classe sociale, la caste</w:t>
      </w:r>
      <w:r w:rsidR="008305D2">
        <w:t>, l’ethnie, les conditions économiques, le niveau d’éducation, le handicap, etc.)</w:t>
      </w:r>
    </w:p>
    <w:p w14:paraId="49EB95F9" w14:textId="14AB9C08" w:rsidR="00E13BFF" w:rsidRPr="004B7421" w:rsidRDefault="007B57A4" w:rsidP="00F4219C">
      <w:pPr>
        <w:pStyle w:val="Txtpucegras"/>
        <w:numPr>
          <w:ilvl w:val="0"/>
          <w:numId w:val="0"/>
        </w:numPr>
        <w:ind w:left="1021"/>
        <w:rPr>
          <w:color w:val="8064A2" w:themeColor="accent4"/>
        </w:rPr>
      </w:pPr>
      <w:r w:rsidRPr="004B7421">
        <w:t>(</w:t>
      </w:r>
      <w:r w:rsidR="008305D2">
        <w:t>Faites référence ici au cas (4))</w:t>
      </w:r>
    </w:p>
    <w:p w14:paraId="6DE55735" w14:textId="323DFC52" w:rsidR="00013D67" w:rsidRPr="004B7421" w:rsidRDefault="008305D2" w:rsidP="00871B69">
      <w:pPr>
        <w:pStyle w:val="Soustitre"/>
        <w:rPr>
          <w:noProof w:val="0"/>
        </w:rPr>
      </w:pPr>
      <w:r>
        <w:rPr>
          <w:noProof w:val="0"/>
        </w:rPr>
        <w:t>Exercice 3 : Jeu de rôle</w:t>
      </w:r>
    </w:p>
    <w:p w14:paraId="124F7FB9" w14:textId="78485D59" w:rsidR="00D05BF5" w:rsidRPr="004B7421" w:rsidRDefault="008305D2" w:rsidP="00894E94">
      <w:pPr>
        <w:pStyle w:val="Texte1"/>
        <w:rPr>
          <w:rFonts w:asciiTheme="minorBidi" w:hAnsiTheme="minorBidi"/>
          <w:szCs w:val="20"/>
        </w:rPr>
      </w:pPr>
      <w:r>
        <w:rPr>
          <w:rFonts w:asciiTheme="minorBidi" w:hAnsiTheme="minorBidi"/>
          <w:szCs w:val="20"/>
        </w:rPr>
        <w:t>Ce jeu de rôle met en scène un individu dont le « droit de choisir qui bon lui semble » entre</w:t>
      </w:r>
      <w:r w:rsidR="001633A3">
        <w:rPr>
          <w:rFonts w:asciiTheme="minorBidi" w:hAnsiTheme="minorBidi"/>
          <w:szCs w:val="20"/>
        </w:rPr>
        <w:t xml:space="preserve"> en conflit avec le</w:t>
      </w:r>
      <w:r w:rsidR="001D5593">
        <w:rPr>
          <w:rFonts w:asciiTheme="minorBidi" w:hAnsiTheme="minorBidi"/>
          <w:szCs w:val="20"/>
        </w:rPr>
        <w:t>s sentiments de dignité et d</w:t>
      </w:r>
      <w:r>
        <w:rPr>
          <w:rFonts w:asciiTheme="minorBidi" w:hAnsiTheme="minorBidi"/>
          <w:szCs w:val="20"/>
        </w:rPr>
        <w:t xml:space="preserve">’identité culturelle </w:t>
      </w:r>
      <w:r w:rsidR="001D5593">
        <w:rPr>
          <w:rFonts w:asciiTheme="minorBidi" w:hAnsiTheme="minorBidi"/>
          <w:szCs w:val="20"/>
        </w:rPr>
        <w:t xml:space="preserve">partagés par la </w:t>
      </w:r>
      <w:r w:rsidR="001D5593" w:rsidRPr="008305D2">
        <w:rPr>
          <w:rFonts w:asciiTheme="minorBidi" w:hAnsiTheme="minorBidi"/>
          <w:szCs w:val="20"/>
        </w:rPr>
        <w:t>communauté</w:t>
      </w:r>
      <w:r w:rsidR="001633A3">
        <w:rPr>
          <w:rFonts w:asciiTheme="minorBidi" w:hAnsiTheme="minorBidi"/>
          <w:szCs w:val="20"/>
        </w:rPr>
        <w:t>. Choisis</w:t>
      </w:r>
      <w:r w:rsidR="001D5593">
        <w:rPr>
          <w:rFonts w:asciiTheme="minorBidi" w:hAnsiTheme="minorBidi"/>
          <w:szCs w:val="20"/>
        </w:rPr>
        <w:t>sez deux participants qui joue</w:t>
      </w:r>
      <w:r w:rsidR="001633A3">
        <w:rPr>
          <w:rFonts w:asciiTheme="minorBidi" w:hAnsiTheme="minorBidi"/>
          <w:szCs w:val="20"/>
        </w:rPr>
        <w:t xml:space="preserve">nt </w:t>
      </w:r>
      <w:r w:rsidR="001D5593">
        <w:rPr>
          <w:rFonts w:asciiTheme="minorBidi" w:hAnsiTheme="minorBidi"/>
          <w:szCs w:val="20"/>
        </w:rPr>
        <w:t>les rôles d</w:t>
      </w:r>
      <w:r w:rsidR="001633A3">
        <w:rPr>
          <w:rFonts w:asciiTheme="minorBidi" w:hAnsiTheme="minorBidi"/>
          <w:szCs w:val="20"/>
        </w:rPr>
        <w:t xml:space="preserve">es deux époux (probablement un homme et une femme mais pas nécessairement, cela dépend beaucoup de vos participants), l’un appartenant à un groupe particulier (culturel, religieux, etc.), l’autre étant « extérieur » à ce groupe. Le reste des participants jouent les rôles de différents membres de la </w:t>
      </w:r>
      <w:r w:rsidR="001633A3" w:rsidRPr="001633A3">
        <w:rPr>
          <w:rFonts w:asciiTheme="minorBidi" w:hAnsiTheme="minorBidi"/>
          <w:szCs w:val="20"/>
        </w:rPr>
        <w:t>communauté</w:t>
      </w:r>
      <w:r w:rsidR="001633A3">
        <w:rPr>
          <w:rFonts w:asciiTheme="minorBidi" w:hAnsiTheme="minorBidi"/>
          <w:szCs w:val="20"/>
        </w:rPr>
        <w:t xml:space="preserve"> (</w:t>
      </w:r>
      <w:r w:rsidR="001633A3" w:rsidRPr="001633A3">
        <w:rPr>
          <w:rFonts w:asciiTheme="minorBidi" w:hAnsiTheme="minorBidi"/>
          <w:szCs w:val="20"/>
        </w:rPr>
        <w:t>par exemple</w:t>
      </w:r>
      <w:r w:rsidR="001633A3">
        <w:rPr>
          <w:rFonts w:asciiTheme="minorBidi" w:hAnsiTheme="minorBidi"/>
          <w:szCs w:val="20"/>
        </w:rPr>
        <w:t xml:space="preserve">, les anciens de la tribu, ou un rôle similaire) qui sont, à différents niveaux, opposés au mariage pour </w:t>
      </w:r>
      <w:r w:rsidR="001D5593">
        <w:rPr>
          <w:rFonts w:asciiTheme="minorBidi" w:hAnsiTheme="minorBidi"/>
          <w:szCs w:val="20"/>
        </w:rPr>
        <w:t xml:space="preserve">des raisons culturelles ou par fidélité à </w:t>
      </w:r>
      <w:r w:rsidR="001633A3">
        <w:rPr>
          <w:rFonts w:asciiTheme="minorBidi" w:hAnsiTheme="minorBidi"/>
          <w:szCs w:val="20"/>
        </w:rPr>
        <w:t>la tradition.</w:t>
      </w:r>
    </w:p>
    <w:p w14:paraId="0EE38C3D" w14:textId="2FDACF56" w:rsidR="000719FC" w:rsidRPr="004B7421" w:rsidRDefault="005632F1" w:rsidP="00894E94">
      <w:pPr>
        <w:pStyle w:val="Texte1"/>
        <w:rPr>
          <w:rFonts w:asciiTheme="minorBidi" w:eastAsiaTheme="minorEastAsia" w:hAnsiTheme="minorBidi"/>
          <w:szCs w:val="20"/>
        </w:rPr>
      </w:pPr>
      <w:r>
        <w:rPr>
          <w:rFonts w:asciiTheme="minorBidi" w:hAnsiTheme="minorBidi"/>
          <w:szCs w:val="20"/>
        </w:rPr>
        <w:t xml:space="preserve">Si vous souhaitez complexifier la situation, vous pouvez </w:t>
      </w:r>
      <w:r w:rsidR="001D5593">
        <w:rPr>
          <w:rFonts w:asciiTheme="minorBidi" w:hAnsiTheme="minorBidi"/>
          <w:szCs w:val="20"/>
        </w:rPr>
        <w:t xml:space="preserve">ajouter </w:t>
      </w:r>
      <w:r>
        <w:rPr>
          <w:rFonts w:asciiTheme="minorBidi" w:hAnsiTheme="minorBidi"/>
          <w:szCs w:val="20"/>
        </w:rPr>
        <w:t xml:space="preserve">à votre scénario des éléments relatifs à la caste ou au handicap d’un des deux époux </w:t>
      </w:r>
      <w:r>
        <w:rPr>
          <w:rFonts w:asciiTheme="minorBidi" w:hAnsiTheme="minorBidi"/>
          <w:szCs w:val="20"/>
          <w:lang w:eastAsia="en-US"/>
        </w:rPr>
        <w:t>potentiels</w:t>
      </w:r>
      <w:r>
        <w:rPr>
          <w:rFonts w:asciiTheme="minorBidi" w:hAnsiTheme="minorBidi"/>
          <w:szCs w:val="20"/>
        </w:rPr>
        <w:t xml:space="preserve">. </w:t>
      </w:r>
    </w:p>
    <w:p w14:paraId="4A87C432" w14:textId="7A8A6533" w:rsidR="00B85B71" w:rsidRPr="005632F1" w:rsidRDefault="00F6491D" w:rsidP="007063B0">
      <w:pPr>
        <w:pStyle w:val="Titcoul"/>
        <w:rPr>
          <w:rFonts w:eastAsia="SimSun"/>
          <w:noProof w:val="0"/>
        </w:rPr>
      </w:pPr>
      <w:r w:rsidRPr="005632F1">
        <w:rPr>
          <w:rFonts w:eastAsia="SimSun"/>
          <w:noProof w:val="0"/>
        </w:rPr>
        <w:t>SESSION</w:t>
      </w:r>
      <w:r w:rsidR="00FE0DB0" w:rsidRPr="005632F1">
        <w:rPr>
          <w:rFonts w:eastAsia="SimSun"/>
          <w:noProof w:val="0"/>
        </w:rPr>
        <w:t xml:space="preserve"> </w:t>
      </w:r>
      <w:r w:rsidR="00321BB4">
        <w:rPr>
          <w:rFonts w:eastAsia="SimSun"/>
          <w:noProof w:val="0"/>
        </w:rPr>
        <w:t xml:space="preserve">3 : Approfondir notre </w:t>
      </w:r>
      <w:r w:rsidR="00321BB4" w:rsidRPr="00321BB4">
        <w:rPr>
          <w:rFonts w:eastAsia="SimSun"/>
          <w:noProof w:val="0"/>
        </w:rPr>
        <w:t>connaissance</w:t>
      </w:r>
      <w:r w:rsidR="00321BB4">
        <w:rPr>
          <w:rFonts w:eastAsia="SimSun"/>
          <w:noProof w:val="0"/>
        </w:rPr>
        <w:t xml:space="preserve"> de la dynamique des genres au moyen d’études de cas</w:t>
      </w:r>
    </w:p>
    <w:p w14:paraId="557E894E" w14:textId="01C3D914" w:rsidR="00E13BFF" w:rsidRPr="005632F1" w:rsidRDefault="00321BB4" w:rsidP="007063B0">
      <w:pPr>
        <w:pStyle w:val="Heading6"/>
        <w:rPr>
          <w:lang w:val="fr-FR"/>
        </w:rPr>
      </w:pPr>
      <w:r w:rsidRPr="00321BB4">
        <w:rPr>
          <w:lang w:val="fr-FR"/>
        </w:rPr>
        <w:t>diapositive</w:t>
      </w:r>
      <w:r>
        <w:rPr>
          <w:lang w:val="fr-FR"/>
        </w:rPr>
        <w:t xml:space="preserve"> 8</w:t>
      </w:r>
    </w:p>
    <w:p w14:paraId="46DEAD46" w14:textId="268B06F5" w:rsidR="00AE4C60" w:rsidRPr="005632F1" w:rsidRDefault="00321BB4" w:rsidP="00AE4C60">
      <w:pPr>
        <w:pStyle w:val="diapo2"/>
        <w:rPr>
          <w:noProof w:val="0"/>
        </w:rPr>
      </w:pPr>
      <w:r>
        <w:rPr>
          <w:noProof w:val="0"/>
        </w:rPr>
        <w:t>Présentation des études de cas</w:t>
      </w:r>
    </w:p>
    <w:p w14:paraId="358FDA0A" w14:textId="6ECB568A" w:rsidR="00321BB4" w:rsidRDefault="00321BB4" w:rsidP="00894E94">
      <w:pPr>
        <w:pStyle w:val="Texte1"/>
      </w:pPr>
      <w:r>
        <w:t>Ces études de cas de différentes pratiques du PCI sont destinées à analyser les rôles s</w:t>
      </w:r>
      <w:r w:rsidR="00110738">
        <w:t xml:space="preserve">pécifiques assignés aux genres, </w:t>
      </w:r>
      <w:r>
        <w:t>les relations entre les groupes de genre et les problèmes liés au genre</w:t>
      </w:r>
      <w:r w:rsidR="00453CEC">
        <w:t xml:space="preserve"> révélés par la pratique : </w:t>
      </w:r>
      <w:r w:rsidR="00453CEC" w:rsidRPr="00110738">
        <w:t xml:space="preserve">(i) </w:t>
      </w:r>
      <w:r w:rsidR="0063328C" w:rsidRPr="00110738">
        <w:t xml:space="preserve">Étude </w:t>
      </w:r>
      <w:r w:rsidR="00DD7394" w:rsidRPr="00110738">
        <w:t xml:space="preserve">de </w:t>
      </w:r>
      <w:r w:rsidR="0063328C" w:rsidRPr="00110738">
        <w:t>cas 40 </w:t>
      </w:r>
      <w:r w:rsidR="0063328C">
        <w:t xml:space="preserve">: </w:t>
      </w:r>
      <w:r w:rsidR="00453CEC">
        <w:t>PCI (artisanat ou production alimentaire) dans lequel les femmes et les hommes ont des rôles spécifiques – analyse des modèles de par</w:t>
      </w:r>
      <w:r w:rsidR="00110738">
        <w:t>ticipation spécifique au genre</w:t>
      </w:r>
      <w:r w:rsidR="00BC71EB">
        <w:t xml:space="preserve"> ; </w:t>
      </w:r>
      <w:r w:rsidR="00BC71EB" w:rsidRPr="00110738">
        <w:t xml:space="preserve">(ii) </w:t>
      </w:r>
      <w:r w:rsidR="00DD7394" w:rsidRPr="00110738">
        <w:t>Étude de cas 41 </w:t>
      </w:r>
      <w:r w:rsidR="00DD7394">
        <w:t xml:space="preserve">: </w:t>
      </w:r>
      <w:r w:rsidR="00BC71EB">
        <w:t xml:space="preserve">PCI (prévention/résolution des conflits) ; (iii) </w:t>
      </w:r>
      <w:r w:rsidR="00DD7394">
        <w:t xml:space="preserve">Étude de cas 42 : </w:t>
      </w:r>
      <w:r w:rsidR="00BC71EB">
        <w:t>PCI (expression artistique) dont la représentation est exclusivement réservée à un groupe de genre spécifique qui n’est cependant pas pleinement accepté dans la société mais qui, dans le contexte de cette pratique, dispose d’un statut reconnu et d’une p</w:t>
      </w:r>
      <w:r w:rsidR="0054245B">
        <w:t>ossibilité de subvenir à ses besoins</w:t>
      </w:r>
      <w:r w:rsidR="0063328C">
        <w:t xml:space="preserve"> ; </w:t>
      </w:r>
      <w:r w:rsidR="00DD7394">
        <w:t xml:space="preserve">Étude de cas 43 : </w:t>
      </w:r>
      <w:r w:rsidR="0063328C">
        <w:t>(iv) PCI (expression artistique) dans lequel les relations entre les genres sont une des composantes de l’interprétation ; et (</w:t>
      </w:r>
      <w:r w:rsidR="00BC71EB">
        <w:t xml:space="preserve">v) </w:t>
      </w:r>
      <w:r w:rsidR="00DD7394">
        <w:t xml:space="preserve">Étude de cas 44 : </w:t>
      </w:r>
      <w:r w:rsidR="00BC71EB">
        <w:t>PCI dans lequel les rôles trad</w:t>
      </w:r>
      <w:r w:rsidR="0063328C">
        <w:t>itionnels liés au genre sont remis en question, et qui interroge sur la portée des changements induits par cet élément dans les relations sociales en général. Les études de cas sont présentées dans des dossiers séparés, il est toutefois important de les soumettre aux participants et des les utiliser ensemble afin d’illustrer de façon comparative di</w:t>
      </w:r>
      <w:r w:rsidR="00222388">
        <w:t>fférentes dynamique des genres.</w:t>
      </w:r>
    </w:p>
    <w:p w14:paraId="23478063" w14:textId="17798238" w:rsidR="001F671B" w:rsidRPr="005632F1" w:rsidRDefault="0063328C" w:rsidP="001F671B">
      <w:pPr>
        <w:keepNext/>
        <w:spacing w:before="200" w:after="60" w:line="280" w:lineRule="exact"/>
        <w:rPr>
          <w:rFonts w:ascii="Arial" w:eastAsia="SimSun" w:hAnsi="Arial" w:cs="Arial"/>
          <w:b/>
          <w:bCs/>
          <w:i/>
          <w:sz w:val="20"/>
          <w:szCs w:val="20"/>
          <w:lang w:eastAsia="zh-CN"/>
        </w:rPr>
      </w:pPr>
      <w:r>
        <w:rPr>
          <w:rFonts w:ascii="Arial" w:eastAsia="SimSun" w:hAnsi="Arial" w:cs="Arial"/>
          <w:b/>
          <w:bCs/>
          <w:i/>
          <w:sz w:val="20"/>
          <w:szCs w:val="20"/>
          <w:lang w:eastAsia="zh-CN"/>
        </w:rPr>
        <w:lastRenderedPageBreak/>
        <w:t>Note importante sur l’étude de cas 42 :</w:t>
      </w:r>
    </w:p>
    <w:p w14:paraId="59C6A525" w14:textId="28FB105F" w:rsidR="001F671B" w:rsidRPr="00CC7B24" w:rsidRDefault="00F44547" w:rsidP="00CC7B24">
      <w:pPr>
        <w:pStyle w:val="Texte1"/>
        <w:rPr>
          <w:rFonts w:eastAsia="Times New Roman"/>
          <w:b/>
          <w:bCs/>
          <w:caps/>
          <w:color w:val="3366FF"/>
          <w:kern w:val="28"/>
          <w:szCs w:val="20"/>
        </w:rPr>
      </w:pPr>
      <w:r>
        <w:t>Ce cas concerne une représentation rituelle d’un groupe de genre non dominant et son contenu peut</w:t>
      </w:r>
      <w:r w:rsidR="00CC7B24">
        <w:t xml:space="preserve"> être matière à controverse. Dans certaines régions, le facilitateur devra faire </w:t>
      </w:r>
      <w:r w:rsidR="00CC7B24" w:rsidRPr="00CC7B24">
        <w:rPr>
          <w:szCs w:val="20"/>
        </w:rPr>
        <w:t xml:space="preserve">montre d’une certaine prudence lorsqu’il abordera le sujet du transgenre et prendre en considération les normes culturelles </w:t>
      </w:r>
      <w:r w:rsidR="00CC7B24">
        <w:rPr>
          <w:szCs w:val="20"/>
        </w:rPr>
        <w:t xml:space="preserve">locales. La </w:t>
      </w:r>
      <w:r w:rsidR="00CC7B24" w:rsidRPr="00CC7B24">
        <w:rPr>
          <w:szCs w:val="20"/>
        </w:rPr>
        <w:t>présentation</w:t>
      </w:r>
      <w:r w:rsidR="00E45BB2">
        <w:rPr>
          <w:szCs w:val="20"/>
        </w:rPr>
        <w:t xml:space="preserve"> d’un aspect</w:t>
      </w:r>
      <w:r w:rsidR="00CC7B24">
        <w:rPr>
          <w:szCs w:val="20"/>
        </w:rPr>
        <w:t xml:space="preserve"> </w:t>
      </w:r>
      <w:r w:rsidR="00F0292C">
        <w:rPr>
          <w:szCs w:val="20"/>
        </w:rPr>
        <w:t xml:space="preserve">du PCI </w:t>
      </w:r>
      <w:r w:rsidR="00CC7B24">
        <w:rPr>
          <w:szCs w:val="20"/>
        </w:rPr>
        <w:t xml:space="preserve">à des participants originaires d’une société qui </w:t>
      </w:r>
      <w:r w:rsidR="00F0292C">
        <w:rPr>
          <w:szCs w:val="20"/>
        </w:rPr>
        <w:t xml:space="preserve">considère un sujet comme </w:t>
      </w:r>
      <w:r w:rsidR="00CC7B24">
        <w:rPr>
          <w:szCs w:val="20"/>
        </w:rPr>
        <w:t>polémique, pourrait</w:t>
      </w:r>
      <w:r w:rsidR="00E45BB2">
        <w:rPr>
          <w:szCs w:val="20"/>
        </w:rPr>
        <w:t xml:space="preserve"> leur </w:t>
      </w:r>
      <w:r w:rsidR="00CC7B24">
        <w:rPr>
          <w:szCs w:val="20"/>
        </w:rPr>
        <w:t xml:space="preserve"> donner l’impression que </w:t>
      </w:r>
      <w:r w:rsidR="00E45BB2">
        <w:rPr>
          <w:szCs w:val="20"/>
        </w:rPr>
        <w:t>l’on tente d’</w:t>
      </w:r>
      <w:r w:rsidR="00CC7B24">
        <w:rPr>
          <w:szCs w:val="20"/>
        </w:rPr>
        <w:t xml:space="preserve">imposer un </w:t>
      </w:r>
      <w:r w:rsidR="00E45BB2">
        <w:rPr>
          <w:szCs w:val="20"/>
        </w:rPr>
        <w:t>point de vue international, ce qui s’avérer</w:t>
      </w:r>
      <w:r w:rsidR="00F0292C">
        <w:rPr>
          <w:szCs w:val="20"/>
        </w:rPr>
        <w:t>ait</w:t>
      </w:r>
      <w:r w:rsidR="00E45BB2">
        <w:rPr>
          <w:szCs w:val="20"/>
        </w:rPr>
        <w:t xml:space="preserve"> problématique pour engager le dialogue </w:t>
      </w:r>
      <w:r w:rsidR="00F0292C">
        <w:rPr>
          <w:szCs w:val="20"/>
        </w:rPr>
        <w:t>avec les participants. Cela pourrait</w:t>
      </w:r>
      <w:r w:rsidR="00E45BB2">
        <w:rPr>
          <w:szCs w:val="20"/>
        </w:rPr>
        <w:t xml:space="preserve"> porter préjudice, voire aller à l’encontre d’une approche plus gén</w:t>
      </w:r>
      <w:r w:rsidR="00F0292C">
        <w:rPr>
          <w:szCs w:val="20"/>
        </w:rPr>
        <w:t>érale des questions de</w:t>
      </w:r>
      <w:r w:rsidR="00E45BB2">
        <w:rPr>
          <w:szCs w:val="20"/>
        </w:rPr>
        <w:t xml:space="preserve"> genre. </w:t>
      </w:r>
      <w:r w:rsidR="00E45BB2" w:rsidRPr="00E45BB2">
        <w:rPr>
          <w:szCs w:val="20"/>
        </w:rPr>
        <w:t>En conséquence</w:t>
      </w:r>
      <w:r w:rsidR="00E45BB2">
        <w:rPr>
          <w:szCs w:val="20"/>
        </w:rPr>
        <w:t xml:space="preserve">, il revient au </w:t>
      </w:r>
      <w:r w:rsidR="00E45BB2" w:rsidRPr="00E45BB2">
        <w:rPr>
          <w:szCs w:val="20"/>
        </w:rPr>
        <w:t>facilitateur</w:t>
      </w:r>
      <w:r w:rsidR="00E45BB2">
        <w:rPr>
          <w:szCs w:val="20"/>
        </w:rPr>
        <w:t xml:space="preserve"> d’estimer le caractère approprié de cette étude de cas par rapport au contexte culturel et sociétal des participants. </w:t>
      </w:r>
      <w:r w:rsidR="003A61A7">
        <w:rPr>
          <w:szCs w:val="20"/>
        </w:rPr>
        <w:t xml:space="preserve">Si le </w:t>
      </w:r>
      <w:r w:rsidR="003A61A7" w:rsidRPr="003A61A7">
        <w:rPr>
          <w:szCs w:val="20"/>
        </w:rPr>
        <w:t>facilitateur</w:t>
      </w:r>
      <w:r w:rsidR="003A61A7">
        <w:rPr>
          <w:szCs w:val="20"/>
        </w:rPr>
        <w:t xml:space="preserve"> n’a pas recours à l’étude de cas 42, il devra </w:t>
      </w:r>
      <w:r w:rsidR="003A61A7" w:rsidRPr="003A61A7">
        <w:rPr>
          <w:szCs w:val="20"/>
        </w:rPr>
        <w:t>également</w:t>
      </w:r>
      <w:r w:rsidR="003A61A7">
        <w:rPr>
          <w:szCs w:val="20"/>
        </w:rPr>
        <w:t xml:space="preserve"> </w:t>
      </w:r>
      <w:r w:rsidR="0054245B">
        <w:rPr>
          <w:szCs w:val="20"/>
        </w:rPr>
        <w:t xml:space="preserve">faire attention </w:t>
      </w:r>
      <w:r w:rsidR="003A61A7">
        <w:rPr>
          <w:szCs w:val="20"/>
        </w:rPr>
        <w:t xml:space="preserve">à la </w:t>
      </w:r>
      <w:r w:rsidR="003A61A7" w:rsidRPr="003A61A7">
        <w:rPr>
          <w:szCs w:val="20"/>
        </w:rPr>
        <w:t>diapositive</w:t>
      </w:r>
      <w:r w:rsidR="003A61A7">
        <w:rPr>
          <w:szCs w:val="20"/>
        </w:rPr>
        <w:t xml:space="preserve"> 8 de la </w:t>
      </w:r>
      <w:r w:rsidR="003A61A7" w:rsidRPr="003A61A7">
        <w:rPr>
          <w:szCs w:val="20"/>
        </w:rPr>
        <w:t>présentation</w:t>
      </w:r>
      <w:r w:rsidR="003A61A7">
        <w:rPr>
          <w:szCs w:val="20"/>
        </w:rPr>
        <w:t xml:space="preserve"> PowerPoint (le point 3 évoque le cas</w:t>
      </w:r>
      <w:r w:rsidR="0054245B">
        <w:rPr>
          <w:szCs w:val="20"/>
        </w:rPr>
        <w:t xml:space="preserve"> 42</w:t>
      </w:r>
      <w:r w:rsidR="003A61A7">
        <w:rPr>
          <w:szCs w:val="20"/>
        </w:rPr>
        <w:t>).</w:t>
      </w:r>
    </w:p>
    <w:p w14:paraId="5B655298" w14:textId="0B8F224D" w:rsidR="00E13BFF" w:rsidRPr="00B14919" w:rsidRDefault="00915327" w:rsidP="007063B0">
      <w:pPr>
        <w:pStyle w:val="Heading6"/>
        <w:rPr>
          <w:lang w:val="fr-FR"/>
        </w:rPr>
      </w:pPr>
      <w:r w:rsidRPr="00915327">
        <w:rPr>
          <w:lang w:val="fr-FR"/>
        </w:rPr>
        <w:t>diapositive</w:t>
      </w:r>
      <w:r w:rsidR="00EC7CD8" w:rsidRPr="00B14919">
        <w:rPr>
          <w:lang w:val="fr-FR"/>
        </w:rPr>
        <w:t xml:space="preserve"> 9</w:t>
      </w:r>
    </w:p>
    <w:p w14:paraId="096BFD53" w14:textId="444EBEDB" w:rsidR="00AE4C60" w:rsidRPr="00B14919" w:rsidRDefault="00B14919" w:rsidP="00AE4C60">
      <w:pPr>
        <w:pStyle w:val="diapo2"/>
        <w:rPr>
          <w:noProof w:val="0"/>
        </w:rPr>
      </w:pPr>
      <w:r w:rsidRPr="00B14919">
        <w:rPr>
          <w:noProof w:val="0"/>
        </w:rPr>
        <w:t xml:space="preserve">Envisager </w:t>
      </w:r>
      <w:r w:rsidR="001633BF">
        <w:rPr>
          <w:noProof w:val="0"/>
        </w:rPr>
        <w:t>chaque cas à travers un</w:t>
      </w:r>
      <w:r w:rsidRPr="00B14919">
        <w:rPr>
          <w:noProof w:val="0"/>
        </w:rPr>
        <w:t xml:space="preserve"> </w:t>
      </w:r>
      <w:r>
        <w:rPr>
          <w:noProof w:val="0"/>
        </w:rPr>
        <w:t>« prisme du</w:t>
      </w:r>
      <w:r w:rsidRPr="00B14919">
        <w:rPr>
          <w:noProof w:val="0"/>
        </w:rPr>
        <w:t xml:space="preserve"> genre</w:t>
      </w:r>
      <w:r>
        <w:rPr>
          <w:noProof w:val="0"/>
        </w:rPr>
        <w:t> »</w:t>
      </w:r>
    </w:p>
    <w:p w14:paraId="591E7865" w14:textId="6D218DB6" w:rsidR="00B85B71" w:rsidRPr="00B14919" w:rsidRDefault="007C7906" w:rsidP="00894E94">
      <w:pPr>
        <w:pStyle w:val="Texte1"/>
      </w:pPr>
      <w:r>
        <w:t xml:space="preserve">Chaque cas fera l’objet d’une analyse et d’un débat au cours desquels il conviendra d’avoir recours à un « prisme de genre » </w:t>
      </w:r>
      <w:r w:rsidR="00915327">
        <w:t>qui prenne en compte le</w:t>
      </w:r>
      <w:r>
        <w:t xml:space="preserve"> contexte. Il sera </w:t>
      </w:r>
      <w:r w:rsidR="00915327">
        <w:t xml:space="preserve">également </w:t>
      </w:r>
      <w:r>
        <w:t>demandé aux participants d’illustrer leur discours d’exemples pe</w:t>
      </w:r>
      <w:r w:rsidR="00915327">
        <w:t>rtinents tirés de leur expérience ou pris dans leur pays. Plusieurs questions doivent être abordées au cours de cette session, en se souvenant des éléments évoqués lors du brainstorming (session 1, exercice 2)</w:t>
      </w:r>
    </w:p>
    <w:p w14:paraId="00FD991B" w14:textId="11CD2313" w:rsidR="00B85B71" w:rsidRPr="00B14919" w:rsidRDefault="006A3D19" w:rsidP="00F4219C">
      <w:pPr>
        <w:pStyle w:val="Txtpucegras"/>
      </w:pPr>
      <w:r>
        <w:t xml:space="preserve">Quelle est la </w:t>
      </w:r>
      <w:r w:rsidR="00915327">
        <w:t xml:space="preserve">dynamique des genres </w:t>
      </w:r>
      <w:r>
        <w:t>en jeu dans chaque cas ? Y-a-t-il, dans certains cas, une dynamique des genres cachée ?</w:t>
      </w:r>
    </w:p>
    <w:p w14:paraId="1BE74F31" w14:textId="732C535F" w:rsidR="00B85B71" w:rsidRPr="00B14919" w:rsidRDefault="006A3D19" w:rsidP="00F4219C">
      <w:pPr>
        <w:pStyle w:val="Txtpucegras"/>
      </w:pPr>
      <w:r>
        <w:t>Quelle est l’importance de cette dynamique pour le PCI en question ?</w:t>
      </w:r>
    </w:p>
    <w:p w14:paraId="13D5CEFD" w14:textId="5BC007BF" w:rsidR="00B85B71" w:rsidRPr="00B14919" w:rsidRDefault="006A3D19" w:rsidP="00F4219C">
      <w:pPr>
        <w:pStyle w:val="Txtpucegras"/>
      </w:pPr>
      <w:r>
        <w:t xml:space="preserve">Quelles sont les </w:t>
      </w:r>
      <w:r w:rsidR="00C60914">
        <w:t>conséquences, dans</w:t>
      </w:r>
      <w:r>
        <w:t xml:space="preserve"> chacun de ces cas</w:t>
      </w:r>
      <w:r w:rsidR="00C60914">
        <w:t>,</w:t>
      </w:r>
      <w:r w:rsidR="00F73A32">
        <w:t xml:space="preserve"> pour les rôles de genre</w:t>
      </w:r>
      <w:r>
        <w:t xml:space="preserve"> et les relations sociales (y compris p</w:t>
      </w:r>
      <w:r w:rsidR="00F73A32">
        <w:t xml:space="preserve">our le pouvoir social </w:t>
      </w:r>
      <w:r>
        <w:t>des différents acteurs) ?</w:t>
      </w:r>
    </w:p>
    <w:p w14:paraId="0C728A21" w14:textId="077CE249" w:rsidR="008B3525" w:rsidRPr="00B14919" w:rsidRDefault="00D24BA2" w:rsidP="00F4219C">
      <w:pPr>
        <w:pStyle w:val="Txtpucegras"/>
      </w:pPr>
      <w:r>
        <w:t xml:space="preserve">Comment, dans les cas étudiés, </w:t>
      </w:r>
      <w:r w:rsidR="006A3D19">
        <w:t>d’autres facteurs (âge, ethnicité, etc.) peuvent-ils interagir avec le genre ? </w:t>
      </w:r>
    </w:p>
    <w:p w14:paraId="2129D763" w14:textId="67388E0D" w:rsidR="000719FC" w:rsidRPr="00B14919" w:rsidRDefault="00D24BA2" w:rsidP="00F4219C">
      <w:pPr>
        <w:pStyle w:val="Txtpucegras"/>
      </w:pPr>
      <w:r>
        <w:t xml:space="preserve">Quelles conséquences </w:t>
      </w:r>
      <w:r w:rsidR="00FC715C">
        <w:t xml:space="preserve">ont-ils </w:t>
      </w:r>
      <w:r w:rsidR="00F1529F">
        <w:t xml:space="preserve">sur </w:t>
      </w:r>
      <w:r>
        <w:t>l’identification, la reconnaissance et la sauvegarde du PCI ?</w:t>
      </w:r>
    </w:p>
    <w:p w14:paraId="5D38C66B" w14:textId="67A52ED4" w:rsidR="000719FC" w:rsidRDefault="005B33B6" w:rsidP="00894E94">
      <w:pPr>
        <w:pStyle w:val="Texte1"/>
      </w:pPr>
      <w:r>
        <w:t>Il sera ensuite demandé aux</w:t>
      </w:r>
      <w:r w:rsidR="00D24BA2">
        <w:t xml:space="preserve"> participants </w:t>
      </w:r>
      <w:r>
        <w:t>de donner leurs propres exemples de PCI qui appartiennent à l’un</w:t>
      </w:r>
      <w:r w:rsidR="003B6792">
        <w:t>e</w:t>
      </w:r>
      <w:r>
        <w:t xml:space="preserve"> des catégories </w:t>
      </w:r>
      <w:r w:rsidR="003B6792">
        <w:t xml:space="preserve">déjà </w:t>
      </w:r>
      <w:r>
        <w:t>citées de PCI</w:t>
      </w:r>
      <w:r w:rsidR="003B6792">
        <w:t xml:space="preserve"> sexospécifique, de les situer sur une carte et d’expliquer l’équilibre et la dynamique des genres en jeu.</w:t>
      </w:r>
    </w:p>
    <w:p w14:paraId="47027A05" w14:textId="77DD9233" w:rsidR="003B6792" w:rsidRPr="00B14919" w:rsidRDefault="003B6792" w:rsidP="00894E94">
      <w:pPr>
        <w:pStyle w:val="Texte1"/>
        <w:rPr>
          <w:b/>
          <w:bCs/>
          <w:caps/>
        </w:rPr>
      </w:pPr>
      <w:r>
        <w:t>Demandez aux participants d’identifier des cas dans l</w:t>
      </w:r>
      <w:r w:rsidR="00F73A32">
        <w:t>esquels les femmes sont, au regard</w:t>
      </w:r>
      <w:r>
        <w:t xml:space="preserve"> du PCI, « dominantes », d’autres dans lesquels les hommes sont « dominants » et enfin des cas dans lesquels d’autres groupes définis par le</w:t>
      </w:r>
      <w:r w:rsidR="00F73A32">
        <w:t xml:space="preserve">ur genre sont « dominants ». Demandez ensuite aux participants </w:t>
      </w:r>
      <w:r>
        <w:t>d’essayer d’en interpréter la signification.</w:t>
      </w:r>
    </w:p>
    <w:p w14:paraId="17C0ABFA" w14:textId="3CD86AC8" w:rsidR="00EF4193" w:rsidRPr="00B14919" w:rsidRDefault="00FD4065" w:rsidP="00894E94">
      <w:pPr>
        <w:pStyle w:val="Texte1"/>
        <w:rPr>
          <w:rFonts w:cstheme="minorBidi"/>
          <w:b/>
          <w:bCs/>
          <w:caps/>
        </w:rPr>
      </w:pPr>
      <w:r>
        <w:rPr>
          <w:rFonts w:cstheme="minorBidi"/>
        </w:rPr>
        <w:t xml:space="preserve">Il est </w:t>
      </w:r>
      <w:r w:rsidRPr="00FD4065">
        <w:rPr>
          <w:rFonts w:cstheme="minorBidi"/>
        </w:rPr>
        <w:t>également</w:t>
      </w:r>
      <w:r>
        <w:rPr>
          <w:rFonts w:cstheme="minorBidi"/>
        </w:rPr>
        <w:t xml:space="preserve"> intéressant pour les participants d’envisager des cas dans lesquels le PCI </w:t>
      </w:r>
      <w:r w:rsidR="00F73A32">
        <w:rPr>
          <w:rFonts w:cstheme="minorBidi"/>
        </w:rPr>
        <w:t xml:space="preserve">détenu par </w:t>
      </w:r>
      <w:r>
        <w:rPr>
          <w:rFonts w:cstheme="minorBidi"/>
        </w:rPr>
        <w:t>de</w:t>
      </w:r>
      <w:r w:rsidR="00F73A32">
        <w:rPr>
          <w:rFonts w:cstheme="minorBidi"/>
        </w:rPr>
        <w:t>s</w:t>
      </w:r>
      <w:r>
        <w:rPr>
          <w:rFonts w:cstheme="minorBidi"/>
        </w:rPr>
        <w:t xml:space="preserve"> groupes de genre spécifique n’a pas été identifié ou reconnu officiellement (au niveau national ou international) ou dans lesquels d’importants aspects du PCI liés au genre ont été ignorés lors de l’</w:t>
      </w:r>
      <w:r w:rsidRPr="00FD4065">
        <w:rPr>
          <w:rFonts w:cstheme="minorBidi"/>
        </w:rPr>
        <w:t>identification</w:t>
      </w:r>
      <w:r>
        <w:rPr>
          <w:rFonts w:cstheme="minorBidi"/>
        </w:rPr>
        <w:t xml:space="preserve"> ou de la </w:t>
      </w:r>
      <w:r w:rsidRPr="00FD4065">
        <w:rPr>
          <w:rFonts w:cstheme="minorBidi"/>
        </w:rPr>
        <w:t>reconnaissance</w:t>
      </w:r>
      <w:r w:rsidR="00F73A32">
        <w:rPr>
          <w:rFonts w:cstheme="minorBidi"/>
        </w:rPr>
        <w:t>. Les participants sont ensuite invités à</w:t>
      </w:r>
      <w:r>
        <w:rPr>
          <w:rFonts w:cstheme="minorBidi"/>
        </w:rPr>
        <w:t xml:space="preserve"> réfléchir (a) aux raisons de cette situation et (b) à l’impact sur les grou</w:t>
      </w:r>
      <w:r w:rsidR="00222388">
        <w:rPr>
          <w:rFonts w:cstheme="minorBidi"/>
        </w:rPr>
        <w:t>pes et communautés en question.</w:t>
      </w:r>
    </w:p>
    <w:p w14:paraId="38DE8B97" w14:textId="5978FA41" w:rsidR="00EF4193" w:rsidRPr="00FD4065" w:rsidRDefault="00FD4065" w:rsidP="007063B0">
      <w:pPr>
        <w:pStyle w:val="Titcoul"/>
        <w:rPr>
          <w:rFonts w:eastAsia="SimSun"/>
          <w:noProof w:val="0"/>
        </w:rPr>
      </w:pPr>
      <w:r w:rsidRPr="00FD4065">
        <w:rPr>
          <w:rFonts w:eastAsia="SimSun"/>
          <w:noProof w:val="0"/>
        </w:rPr>
        <w:lastRenderedPageBreak/>
        <w:t>SESSION 4</w:t>
      </w:r>
      <w:r>
        <w:rPr>
          <w:rFonts w:eastAsia="SimSun"/>
          <w:noProof w:val="0"/>
        </w:rPr>
        <w:t> : session de conclusion</w:t>
      </w:r>
    </w:p>
    <w:p w14:paraId="2E9D3328" w14:textId="771B7CE6" w:rsidR="00AE4C60" w:rsidRPr="00FD4065" w:rsidRDefault="00222388" w:rsidP="00AE4C60">
      <w:pPr>
        <w:pStyle w:val="diapo2"/>
        <w:rPr>
          <w:noProof w:val="0"/>
        </w:rPr>
      </w:pPr>
      <w:r>
        <w:rPr>
          <w:noProof w:val="0"/>
        </w:rPr>
        <w:t>Conclusion</w:t>
      </w:r>
    </w:p>
    <w:p w14:paraId="4C9DE1B8" w14:textId="1018C193" w:rsidR="00E13BFF" w:rsidRPr="00FD4065" w:rsidRDefault="00FD4065" w:rsidP="007063B0">
      <w:pPr>
        <w:pStyle w:val="Heading6"/>
        <w:rPr>
          <w:lang w:val="fr-FR"/>
        </w:rPr>
      </w:pPr>
      <w:r w:rsidRPr="00FD4065">
        <w:rPr>
          <w:lang w:val="fr-FR"/>
        </w:rPr>
        <w:t>diapositive</w:t>
      </w:r>
      <w:r>
        <w:rPr>
          <w:lang w:val="fr-FR"/>
        </w:rPr>
        <w:t xml:space="preserve"> 10</w:t>
      </w:r>
    </w:p>
    <w:p w14:paraId="5FE91CB8" w14:textId="6540843D" w:rsidR="0091432E" w:rsidRPr="00FD4065" w:rsidRDefault="00457DFC" w:rsidP="00894E94">
      <w:pPr>
        <w:pStyle w:val="Texte1"/>
        <w:rPr>
          <w:b/>
          <w:bCs/>
          <w:caps/>
        </w:rPr>
      </w:pPr>
      <w:r>
        <w:t xml:space="preserve">La dernière partie de l’unité </w:t>
      </w:r>
      <w:r w:rsidR="00F1529F">
        <w:t xml:space="preserve">est une session de conclusion </w:t>
      </w:r>
      <w:r w:rsidR="00FC715C">
        <w:t>construite autour d’</w:t>
      </w:r>
      <w:r w:rsidR="00F1529F">
        <w:t xml:space="preserve">une série de questions qui peuvent </w:t>
      </w:r>
      <w:r w:rsidR="00FC715C">
        <w:t xml:space="preserve">être </w:t>
      </w:r>
      <w:r w:rsidR="00F1529F">
        <w:t>utilisées dans le cadre d’une discussion guidée. Elle est conçue afin d</w:t>
      </w:r>
      <w:r w:rsidR="00FC715C">
        <w:t xml:space="preserve">e tester la prise de conscience, </w:t>
      </w:r>
      <w:r w:rsidR="00F1529F">
        <w:t>par les participants</w:t>
      </w:r>
      <w:r w:rsidR="00FC715C">
        <w:t>,</w:t>
      </w:r>
      <w:r w:rsidR="00F1529F">
        <w:t xml:space="preserve"> des questions de genre dans le domaine du PCI et de sa sauvegarde. Vous pouvez décider de la présentation de ces questions aux participants</w:t>
      </w:r>
      <w:r>
        <w:t xml:space="preserve">, et éventuellement choisir parmi toutes les questions celles que vous souhaitez aborder. En effet, toutes ne sont peut-être pas adaptées au groupe en question et elles sont certainement trop nombreuses pour être toutes posées. </w:t>
      </w:r>
    </w:p>
    <w:p w14:paraId="0CFFA69F" w14:textId="2C426436" w:rsidR="000726E5" w:rsidRPr="00FD4065" w:rsidRDefault="00457DFC" w:rsidP="00035E0C">
      <w:pPr>
        <w:pStyle w:val="Soustitre"/>
        <w:rPr>
          <w:noProof w:val="0"/>
        </w:rPr>
      </w:pPr>
      <w:r>
        <w:rPr>
          <w:noProof w:val="0"/>
        </w:rPr>
        <w:t>Éléments de discussion</w:t>
      </w:r>
    </w:p>
    <w:p w14:paraId="46A7EB31" w14:textId="1FF57104" w:rsidR="000726E5" w:rsidRPr="00FD4065" w:rsidRDefault="00457DFC" w:rsidP="007063B0">
      <w:pPr>
        <w:pStyle w:val="Texte1"/>
      </w:pPr>
      <w:r>
        <w:t>Les questions suivantes peuvent constituer des éléments de discussion pour cette dernière session :</w:t>
      </w:r>
    </w:p>
    <w:p w14:paraId="32F690F1" w14:textId="6547F633" w:rsidR="000726E5" w:rsidRPr="00FD4065" w:rsidRDefault="00457DFC" w:rsidP="00F4219C">
      <w:pPr>
        <w:pStyle w:val="Txtpucegras"/>
        <w:rPr>
          <w:rStyle w:val="hps"/>
          <w:rFonts w:asciiTheme="minorBidi" w:hAnsiTheme="minorBidi"/>
          <w:szCs w:val="20"/>
        </w:rPr>
      </w:pPr>
      <w:r>
        <w:rPr>
          <w:rStyle w:val="hps"/>
          <w:rFonts w:asciiTheme="minorBidi" w:hAnsiTheme="minorBidi"/>
          <w:szCs w:val="20"/>
        </w:rPr>
        <w:t>Toutes les sociétés partagent-elles la même conception du genre ?</w:t>
      </w:r>
    </w:p>
    <w:p w14:paraId="18C5F48F" w14:textId="1B38CAE4" w:rsidR="00457DFC" w:rsidRPr="00FD4065" w:rsidRDefault="00457DFC" w:rsidP="00457DFC">
      <w:pPr>
        <w:pStyle w:val="Txtpucegras"/>
        <w:rPr>
          <w:rFonts w:eastAsiaTheme="minorEastAsia" w:cstheme="minorBidi"/>
        </w:rPr>
      </w:pPr>
      <w:r>
        <w:t>Comment le PCI contribue-t-il à la création et à l’expression de la construction de l’identité de genre, et inversement ? Pouvez-vous donner des exemples d’implication du genre dans la création, la pratique, l’int</w:t>
      </w:r>
      <w:r w:rsidR="00921C20">
        <w:t xml:space="preserve">erprétation et la transmission </w:t>
      </w:r>
      <w:r>
        <w:t>et/ou la sauvegarde du patrimoine culturel immatériel ?</w:t>
      </w:r>
    </w:p>
    <w:p w14:paraId="6A5B6F9D" w14:textId="7F1D048E" w:rsidR="000726E5" w:rsidRPr="00FD4065" w:rsidRDefault="00921C20" w:rsidP="00F4219C">
      <w:pPr>
        <w:pStyle w:val="Txtpucegras"/>
        <w:rPr>
          <w:rFonts w:eastAsiaTheme="minorEastAsia"/>
        </w:rPr>
      </w:pPr>
      <w:r>
        <w:rPr>
          <w:rFonts w:eastAsiaTheme="minorEastAsia"/>
        </w:rPr>
        <w:t xml:space="preserve">Pouvez-vous donner des exemples de la façon dont divers groupes de genre dans votre société ont des fonctions et des rôles différents en ce qui concerne le PCI ? </w:t>
      </w:r>
    </w:p>
    <w:p w14:paraId="32E95876" w14:textId="70F3AE82" w:rsidR="000726E5" w:rsidRPr="00FD4065" w:rsidRDefault="00921C20" w:rsidP="00F4219C">
      <w:pPr>
        <w:pStyle w:val="Txtpucegras"/>
        <w:rPr>
          <w:rFonts w:eastAsiaTheme="minorEastAsia"/>
        </w:rPr>
      </w:pPr>
      <w:r>
        <w:t xml:space="preserve">Pensez-vous que le texte de la Convention prenne effectivement en considération la dynamique des genres du PCI ?  </w:t>
      </w:r>
    </w:p>
    <w:p w14:paraId="3CF368E1" w14:textId="549467C1" w:rsidR="000726E5" w:rsidRPr="00FD4065" w:rsidRDefault="00921C20" w:rsidP="00F4219C">
      <w:pPr>
        <w:pStyle w:val="Txtpucegras"/>
        <w:rPr>
          <w:rFonts w:cstheme="minorBidi"/>
        </w:rPr>
      </w:pPr>
      <w:r>
        <w:rPr>
          <w:rFonts w:cstheme="minorBidi"/>
        </w:rPr>
        <w:t xml:space="preserve">De quelle façon le PCI peut-il conforter les rôles </w:t>
      </w:r>
      <w:r w:rsidR="00FC715C">
        <w:rPr>
          <w:rFonts w:cstheme="minorBidi"/>
        </w:rPr>
        <w:t xml:space="preserve">de genre </w:t>
      </w:r>
      <w:r>
        <w:rPr>
          <w:rFonts w:cstheme="minorBidi"/>
        </w:rPr>
        <w:t xml:space="preserve">et les stéréotypes ? </w:t>
      </w:r>
    </w:p>
    <w:p w14:paraId="610B5A8D" w14:textId="063A49B7" w:rsidR="000726E5" w:rsidRPr="00FD4065" w:rsidRDefault="00921C20" w:rsidP="00F4219C">
      <w:pPr>
        <w:pStyle w:val="Txtpucegras"/>
        <w:rPr>
          <w:rFonts w:eastAsia="Calibri"/>
        </w:rPr>
      </w:pPr>
      <w:r>
        <w:rPr>
          <w:rFonts w:eastAsia="Calibri"/>
        </w:rPr>
        <w:t>Dans le ca</w:t>
      </w:r>
      <w:r w:rsidR="00FC715C">
        <w:rPr>
          <w:rFonts w:eastAsia="Calibri"/>
        </w:rPr>
        <w:t>dre du PCI, la ségrégation selon le genre</w:t>
      </w:r>
      <w:r>
        <w:rPr>
          <w:rFonts w:eastAsia="Calibri"/>
        </w:rPr>
        <w:t xml:space="preserve"> est-elle nécessairement discriminatoire ? Merci de donner 1 ou 2 exemples pour illustrer votre propos.</w:t>
      </w:r>
    </w:p>
    <w:p w14:paraId="0B9DB2C2" w14:textId="64900C56" w:rsidR="000726E5" w:rsidRPr="00FD4065" w:rsidRDefault="00C93D0B" w:rsidP="00F4219C">
      <w:pPr>
        <w:pStyle w:val="Txtpucegras"/>
      </w:pPr>
      <w:r>
        <w:t>Comment l’asp</w:t>
      </w:r>
      <w:r w:rsidR="00E62BD2">
        <w:t xml:space="preserve">ect de la sauvegarde du PCI relatif </w:t>
      </w:r>
      <w:r>
        <w:t>aux</w:t>
      </w:r>
      <w:r w:rsidR="00921C20">
        <w:t xml:space="preserve"> </w:t>
      </w:r>
      <w:r>
        <w:t>droits de l’homme opère-t-il dans le cadre de la Convention de 2003 ?</w:t>
      </w:r>
    </w:p>
    <w:p w14:paraId="093DAE21" w14:textId="5496317B" w:rsidR="000726E5" w:rsidRDefault="00C93D0B" w:rsidP="00F4219C">
      <w:pPr>
        <w:pStyle w:val="Txtpucegras"/>
      </w:pPr>
      <w:r>
        <w:t>Pouvez-vous citer un cas dans lequel le libre arbitre d’un individu entre en conflit avec le sentiment de dignité et d’identité culturelle partagé par toute une communauté ?</w:t>
      </w:r>
    </w:p>
    <w:p w14:paraId="1E4DEC53" w14:textId="1CAC925A" w:rsidR="000726E5" w:rsidRPr="00E62BD2" w:rsidRDefault="00C93D0B" w:rsidP="00E62BD2">
      <w:pPr>
        <w:pStyle w:val="Txtpucegras"/>
      </w:pPr>
      <w:r>
        <w:t>Quelle question essentielle faut-il se poser lorsqu’on envisage la sauvegarde du PCI à travers un « prisme de genre » ?</w:t>
      </w:r>
    </w:p>
    <w:p w14:paraId="2E6FF8CE" w14:textId="1AF18EC3" w:rsidR="000726E5" w:rsidRPr="00FD4065" w:rsidRDefault="00C93D0B" w:rsidP="00F4219C">
      <w:pPr>
        <w:pStyle w:val="Txtpucegras"/>
        <w:rPr>
          <w:rStyle w:val="hps"/>
          <w:rFonts w:asciiTheme="minorBidi" w:hAnsiTheme="minorBidi"/>
          <w:szCs w:val="20"/>
        </w:rPr>
      </w:pPr>
      <w:r>
        <w:rPr>
          <w:rStyle w:val="hps"/>
          <w:rFonts w:asciiTheme="minorBidi" w:hAnsiTheme="minorBidi"/>
          <w:szCs w:val="20"/>
        </w:rPr>
        <w:t xml:space="preserve">Pensez-vous que la </w:t>
      </w:r>
      <w:r w:rsidR="00813F32">
        <w:rPr>
          <w:rStyle w:val="hps"/>
          <w:rFonts w:asciiTheme="minorBidi" w:hAnsiTheme="minorBidi"/>
          <w:szCs w:val="20"/>
        </w:rPr>
        <w:t>dynamique des genres du PCI puisse</w:t>
      </w:r>
      <w:r>
        <w:rPr>
          <w:rStyle w:val="hps"/>
          <w:rFonts w:asciiTheme="minorBidi" w:hAnsiTheme="minorBidi"/>
          <w:szCs w:val="20"/>
        </w:rPr>
        <w:t xml:space="preserve"> évoluer au cours du temps ? </w:t>
      </w:r>
    </w:p>
    <w:p w14:paraId="18A8C9B6" w14:textId="58885BF4" w:rsidR="0005133D" w:rsidRPr="00FD4065" w:rsidRDefault="00C93D0B" w:rsidP="00F4219C">
      <w:pPr>
        <w:pStyle w:val="Txtpucegras"/>
        <w:rPr>
          <w:rFonts w:cstheme="minorBidi"/>
        </w:rPr>
      </w:pPr>
      <w:r>
        <w:rPr>
          <w:rStyle w:val="hps"/>
          <w:rFonts w:asciiTheme="minorBidi" w:hAnsiTheme="minorBidi"/>
          <w:szCs w:val="20"/>
        </w:rPr>
        <w:t xml:space="preserve">Quel est le </w:t>
      </w:r>
      <w:r w:rsidR="00A539A2">
        <w:rPr>
          <w:rStyle w:val="hps"/>
          <w:rFonts w:asciiTheme="minorBidi" w:hAnsiTheme="minorBidi"/>
          <w:szCs w:val="20"/>
        </w:rPr>
        <w:t xml:space="preserve">moment le plus approprié </w:t>
      </w:r>
      <w:r>
        <w:rPr>
          <w:rStyle w:val="hps"/>
          <w:rFonts w:asciiTheme="minorBidi" w:hAnsiTheme="minorBidi"/>
          <w:szCs w:val="20"/>
        </w:rPr>
        <w:t xml:space="preserve">pour </w:t>
      </w:r>
      <w:r w:rsidR="00A539A2">
        <w:rPr>
          <w:rStyle w:val="hps"/>
          <w:rFonts w:asciiTheme="minorBidi" w:hAnsiTheme="minorBidi"/>
          <w:szCs w:val="20"/>
        </w:rPr>
        <w:t xml:space="preserve">tenter de changer la dynamique des genres du PCI ? Comment ce changement peut-il être délibérément amené ? </w:t>
      </w:r>
    </w:p>
    <w:sectPr w:rsidR="0005133D" w:rsidRPr="00FD4065" w:rsidSect="009B5C1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9B0D" w14:textId="77777777" w:rsidR="00FC715C" w:rsidRDefault="00FC715C" w:rsidP="00CD20DF">
      <w:pPr>
        <w:spacing w:after="0" w:line="240" w:lineRule="auto"/>
      </w:pPr>
      <w:r>
        <w:separator/>
      </w:r>
    </w:p>
  </w:endnote>
  <w:endnote w:type="continuationSeparator" w:id="0">
    <w:p w14:paraId="3ED04A2B" w14:textId="77777777" w:rsidR="00FC715C" w:rsidRDefault="00FC715C"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D1D2" w14:textId="5CDF0FBE" w:rsidR="00FC715C" w:rsidRPr="007E42E5" w:rsidRDefault="00137BA9" w:rsidP="00E31D97">
    <w:pPr>
      <w:pStyle w:val="Footer"/>
      <w:rPr>
        <w:rFonts w:asciiTheme="minorBidi" w:hAnsiTheme="minorBidi"/>
        <w:sz w:val="16"/>
        <w:szCs w:val="16"/>
      </w:rPr>
    </w:pPr>
    <w:r>
      <w:rPr>
        <w:rFonts w:eastAsia="Calibri" w:cs="Times New Roman"/>
        <w:noProof/>
        <w:sz w:val="16"/>
        <w:lang w:eastAsia="ja-JP"/>
      </w:rPr>
      <w:drawing>
        <wp:anchor distT="0" distB="0" distL="114300" distR="114300" simplePos="0" relativeHeight="251682816" behindDoc="0" locked="0" layoutInCell="1" allowOverlap="1" wp14:anchorId="175F2DD6" wp14:editId="746BE1E2">
          <wp:simplePos x="0" y="0"/>
          <wp:positionH relativeFrom="column">
            <wp:posOffset>2566670</wp:posOffset>
          </wp:positionH>
          <wp:positionV relativeFrom="paragraph">
            <wp:posOffset>-27940</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F222F">
      <w:rPr>
        <w:rFonts w:asciiTheme="minorBidi" w:hAnsiTheme="minorBidi"/>
        <w:noProof/>
        <w:sz w:val="16"/>
        <w:szCs w:val="16"/>
        <w:lang w:eastAsia="ja-JP"/>
      </w:rPr>
      <w:drawing>
        <wp:anchor distT="0" distB="0" distL="114300" distR="114300" simplePos="0" relativeHeight="251670528" behindDoc="0" locked="0" layoutInCell="1" allowOverlap="1" wp14:anchorId="782D44D6" wp14:editId="0E454E02">
          <wp:simplePos x="0" y="0"/>
          <wp:positionH relativeFrom="margin">
            <wp:align>left</wp:align>
          </wp:positionH>
          <wp:positionV relativeFrom="paragraph">
            <wp:posOffset>-295275</wp:posOffset>
          </wp:positionV>
          <wp:extent cx="719667" cy="5397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667" cy="539750"/>
                  </a:xfrm>
                  <a:prstGeom prst="rect">
                    <a:avLst/>
                  </a:prstGeom>
                </pic:spPr>
              </pic:pic>
            </a:graphicData>
          </a:graphic>
          <wp14:sizeRelH relativeFrom="page">
            <wp14:pctWidth>0</wp14:pctWidth>
          </wp14:sizeRelH>
          <wp14:sizeRelV relativeFrom="page">
            <wp14:pctHeight>0</wp14:pctHeight>
          </wp14:sizeRelV>
        </wp:anchor>
      </w:drawing>
    </w:r>
    <w:r>
      <w:rPr>
        <w:rFonts w:asciiTheme="minorBidi" w:hAnsiTheme="minorBidi"/>
        <w:sz w:val="16"/>
        <w:szCs w:val="16"/>
      </w:rPr>
      <w:tab/>
    </w:r>
    <w:r w:rsidR="00FC715C" w:rsidRPr="007E42E5">
      <w:rPr>
        <w:rFonts w:asciiTheme="minorBidi" w:hAnsiTheme="minorBidi"/>
        <w:sz w:val="16"/>
        <w:szCs w:val="16"/>
      </w:rPr>
      <w:tab/>
      <w:t>U048-v1.0-FN-FR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C5C1" w14:textId="63BC4FF3" w:rsidR="00FC715C" w:rsidRPr="004531FA" w:rsidRDefault="00137BA9" w:rsidP="00E31D97">
    <w:pPr>
      <w:pStyle w:val="Footer"/>
      <w:rPr>
        <w:rFonts w:asciiTheme="minorBidi" w:hAnsiTheme="minorBidi"/>
        <w:sz w:val="16"/>
        <w:szCs w:val="16"/>
      </w:rPr>
    </w:pPr>
    <w:r>
      <w:rPr>
        <w:rFonts w:eastAsia="Calibri" w:cs="Times New Roman"/>
        <w:noProof/>
        <w:sz w:val="16"/>
        <w:lang w:eastAsia="ja-JP"/>
      </w:rPr>
      <w:drawing>
        <wp:anchor distT="0" distB="0" distL="114300" distR="114300" simplePos="0" relativeHeight="251684864" behindDoc="0" locked="0" layoutInCell="1" allowOverlap="1" wp14:anchorId="4A541A42" wp14:editId="03696E4A">
          <wp:simplePos x="0" y="0"/>
          <wp:positionH relativeFrom="column">
            <wp:posOffset>2804795</wp:posOffset>
          </wp:positionH>
          <wp:positionV relativeFrom="paragraph">
            <wp:posOffset>-46990</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F222F">
      <w:rPr>
        <w:rFonts w:asciiTheme="minorBidi" w:hAnsiTheme="minorBidi"/>
        <w:noProof/>
        <w:sz w:val="16"/>
        <w:szCs w:val="16"/>
        <w:lang w:eastAsia="ja-JP"/>
      </w:rPr>
      <w:drawing>
        <wp:anchor distT="0" distB="0" distL="114300" distR="114300" simplePos="0" relativeHeight="251672576" behindDoc="0" locked="0" layoutInCell="1" allowOverlap="1" wp14:anchorId="2D3706F4" wp14:editId="24E441C8">
          <wp:simplePos x="0" y="0"/>
          <wp:positionH relativeFrom="margin">
            <wp:posOffset>5173980</wp:posOffset>
          </wp:positionH>
          <wp:positionV relativeFrom="paragraph">
            <wp:posOffset>-295275</wp:posOffset>
          </wp:positionV>
          <wp:extent cx="719455" cy="5397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FC715C" w:rsidRPr="007E42E5">
      <w:rPr>
        <w:rFonts w:asciiTheme="minorBidi" w:hAnsiTheme="minorBidi"/>
        <w:sz w:val="16"/>
        <w:szCs w:val="16"/>
      </w:rPr>
      <w:t>U048-v1.0-FN-FR</w:t>
    </w:r>
    <w:r w:rsidR="00FC715C" w:rsidRPr="007E42E5">
      <w:rPr>
        <w:rFonts w:asciiTheme="minorBidi" w:hAnsiTheme="minorBidi"/>
        <w:sz w:val="16"/>
        <w:szCs w:val="16"/>
      </w:rPr>
      <w:tab/>
    </w:r>
    <w:r w:rsidR="00FC715C" w:rsidRPr="007E42E5">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76E6" w14:textId="360B04D9" w:rsidR="00FC715C" w:rsidRPr="004531FA" w:rsidRDefault="00137BA9" w:rsidP="00E31D97">
    <w:pPr>
      <w:pStyle w:val="Footer"/>
      <w:rPr>
        <w:rFonts w:asciiTheme="minorBidi" w:hAnsiTheme="minorBidi"/>
        <w:sz w:val="16"/>
        <w:szCs w:val="16"/>
      </w:rPr>
    </w:pPr>
    <w:r>
      <w:rPr>
        <w:rFonts w:eastAsia="Calibri" w:cs="Times New Roman"/>
        <w:noProof/>
        <w:sz w:val="16"/>
        <w:lang w:eastAsia="ja-JP"/>
      </w:rPr>
      <w:drawing>
        <wp:anchor distT="0" distB="0" distL="114300" distR="114300" simplePos="0" relativeHeight="251680768" behindDoc="0" locked="0" layoutInCell="1" allowOverlap="1" wp14:anchorId="5FC5D943" wp14:editId="17A04ACE">
          <wp:simplePos x="0" y="0"/>
          <wp:positionH relativeFrom="column">
            <wp:posOffset>2852420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1F222F">
      <w:rPr>
        <w:rFonts w:asciiTheme="minorBidi" w:hAnsiTheme="minorBidi"/>
        <w:noProof/>
        <w:sz w:val="16"/>
        <w:szCs w:val="16"/>
        <w:lang w:eastAsia="ja-JP"/>
      </w:rPr>
      <w:drawing>
        <wp:anchor distT="0" distB="0" distL="114300" distR="114300" simplePos="0" relativeHeight="251668480" behindDoc="0" locked="0" layoutInCell="1" allowOverlap="1" wp14:anchorId="79E39829" wp14:editId="3E574BFD">
          <wp:simplePos x="0" y="0"/>
          <wp:positionH relativeFrom="margin">
            <wp:posOffset>5173980</wp:posOffset>
          </wp:positionH>
          <wp:positionV relativeFrom="paragraph">
            <wp:posOffset>-295275</wp:posOffset>
          </wp:positionV>
          <wp:extent cx="719455" cy="539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FC715C" w:rsidRPr="007E42E5">
      <w:rPr>
        <w:rFonts w:asciiTheme="minorBidi" w:hAnsiTheme="minorBidi"/>
        <w:sz w:val="16"/>
        <w:szCs w:val="16"/>
      </w:rPr>
      <w:t>U048-v1.0-FN-FR</w:t>
    </w:r>
    <w:r w:rsidR="00FC715C" w:rsidRPr="007E42E5">
      <w:rPr>
        <w:rFonts w:asciiTheme="minorBidi" w:hAnsiTheme="minorBidi"/>
        <w:sz w:val="16"/>
        <w:szCs w:val="16"/>
      </w:rPr>
      <w:tab/>
    </w:r>
    <w:r w:rsidR="00FC715C" w:rsidRPr="007E42E5">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8600" w14:textId="77777777" w:rsidR="00FC715C" w:rsidRDefault="00FC715C" w:rsidP="00CD20DF">
      <w:pPr>
        <w:spacing w:after="0" w:line="240" w:lineRule="auto"/>
      </w:pPr>
      <w:r>
        <w:separator/>
      </w:r>
    </w:p>
  </w:footnote>
  <w:footnote w:type="continuationSeparator" w:id="0">
    <w:p w14:paraId="690CDFB3" w14:textId="77777777" w:rsidR="00FC715C" w:rsidRDefault="00FC715C" w:rsidP="00CD20DF">
      <w:pPr>
        <w:spacing w:after="0" w:line="240" w:lineRule="auto"/>
      </w:pPr>
      <w:r>
        <w:continuationSeparator/>
      </w:r>
    </w:p>
  </w:footnote>
  <w:footnote w:id="1">
    <w:p w14:paraId="2BC281F3" w14:textId="1BD31CD1" w:rsidR="00FC715C" w:rsidRPr="004531FA" w:rsidRDefault="00FC715C" w:rsidP="00222388">
      <w:pPr>
        <w:pStyle w:val="FootnoteText"/>
        <w:rPr>
          <w:lang w:val="fr-FR"/>
        </w:rPr>
      </w:pPr>
      <w:r w:rsidRPr="00222388">
        <w:rPr>
          <w:rStyle w:val="FootnoteReference"/>
          <w:vertAlign w:val="baseline"/>
        </w:rPr>
        <w:footnoteRef/>
      </w:r>
      <w:r w:rsidRPr="004531FA">
        <w:rPr>
          <w:lang w:val="fr-FR"/>
        </w:rPr>
        <w:t xml:space="preserve"> </w:t>
      </w:r>
      <w:r w:rsidR="00222388" w:rsidRPr="004531FA">
        <w:rPr>
          <w:lang w:val="fr-FR"/>
        </w:rPr>
        <w:tab/>
      </w:r>
      <w:r w:rsidRPr="004531FA">
        <w:rPr>
          <w:lang w:val="fr-FR"/>
        </w:rPr>
        <w:t xml:space="preserve">UNESCO. Textes fondamentaux de la Convention de 2003 pour la sauvegarde du patrimoine culturel immatériel (Dans cette unité, il est fait référence à ce document sous le nom de « Textes fondamentaux »). Paris, UNESCO. Document consultable en ligne : </w:t>
      </w:r>
      <w:hyperlink r:id="rId1" w:history="1">
        <w:r w:rsidRPr="004531FA">
          <w:rPr>
            <w:rStyle w:val="Hyperlink"/>
            <w:color w:val="auto"/>
            <w:u w:val="none"/>
            <w:lang w:val="fr-FR"/>
          </w:rPr>
          <w:t>http://www.unesco.org/culture/ich/index.php?lg=fr&amp;pg=00503</w:t>
        </w:r>
      </w:hyperlink>
      <w:r w:rsidRPr="004531FA">
        <w:rPr>
          <w:lang w:val="fr-FR"/>
        </w:rPr>
        <w:t>).</w:t>
      </w:r>
    </w:p>
  </w:footnote>
  <w:footnote w:id="2">
    <w:p w14:paraId="4A968894" w14:textId="01079A6A" w:rsidR="00FC715C" w:rsidRPr="004531FA" w:rsidRDefault="00FC715C" w:rsidP="00222388">
      <w:pPr>
        <w:pStyle w:val="FootnoteText"/>
        <w:rPr>
          <w:lang w:val="fr-FR"/>
        </w:rPr>
      </w:pPr>
      <w:r w:rsidRPr="00222388">
        <w:rPr>
          <w:rStyle w:val="FootnoteReference"/>
          <w:vertAlign w:val="baseline"/>
        </w:rPr>
        <w:footnoteRef/>
      </w:r>
      <w:r w:rsidR="00222388" w:rsidRPr="004531FA">
        <w:rPr>
          <w:lang w:val="fr-FR"/>
        </w:rPr>
        <w:t>.</w:t>
      </w:r>
      <w:r w:rsidRPr="004531FA">
        <w:rPr>
          <w:lang w:val="fr-FR"/>
        </w:rPr>
        <w:tab/>
        <w:t>Il est souvent fait référence à cette Convention sous le nom de « Convention du patrimoine immatériel », « Convention de 2003 » et, dans cette unité, simplement sous le nom de «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AF24" w14:textId="68B8A6CF" w:rsidR="00FC715C" w:rsidRPr="007E42E5" w:rsidRDefault="00FC715C" w:rsidP="00E31D97">
    <w:pPr>
      <w:pStyle w:val="Header"/>
      <w:rPr>
        <w:rFonts w:asciiTheme="minorBidi" w:hAnsiTheme="minorBidi"/>
        <w:sz w:val="16"/>
        <w:szCs w:val="16"/>
      </w:rPr>
    </w:pPr>
    <w:r w:rsidRPr="007E42E5">
      <w:rPr>
        <w:rStyle w:val="PageNumber"/>
        <w:rFonts w:asciiTheme="minorBidi" w:hAnsiTheme="minorBidi"/>
        <w:sz w:val="16"/>
        <w:szCs w:val="16"/>
      </w:rPr>
      <w:fldChar w:fldCharType="begin"/>
    </w:r>
    <w:r w:rsidRPr="007E42E5">
      <w:rPr>
        <w:rStyle w:val="PageNumber"/>
        <w:rFonts w:asciiTheme="minorBidi" w:hAnsiTheme="minorBidi"/>
        <w:sz w:val="16"/>
        <w:szCs w:val="16"/>
      </w:rPr>
      <w:instrText xml:space="preserve"> PAGE </w:instrText>
    </w:r>
    <w:r w:rsidRPr="007E42E5">
      <w:rPr>
        <w:rStyle w:val="PageNumber"/>
        <w:rFonts w:asciiTheme="minorBidi" w:hAnsiTheme="minorBidi"/>
        <w:sz w:val="16"/>
        <w:szCs w:val="16"/>
      </w:rPr>
      <w:fldChar w:fldCharType="separate"/>
    </w:r>
    <w:r w:rsidR="00AF5B87">
      <w:rPr>
        <w:rStyle w:val="PageNumber"/>
        <w:rFonts w:asciiTheme="minorBidi" w:hAnsiTheme="minorBidi"/>
        <w:noProof/>
        <w:sz w:val="16"/>
        <w:szCs w:val="16"/>
      </w:rPr>
      <w:t>2</w:t>
    </w:r>
    <w:r w:rsidRPr="007E42E5">
      <w:rPr>
        <w:rStyle w:val="PageNumber"/>
        <w:rFonts w:asciiTheme="minorBidi" w:hAnsiTheme="minorBidi"/>
        <w:sz w:val="16"/>
        <w:szCs w:val="16"/>
      </w:rPr>
      <w:fldChar w:fldCharType="end"/>
    </w:r>
    <w:r w:rsidRPr="007E42E5">
      <w:rPr>
        <w:rStyle w:val="PageNumber"/>
        <w:rFonts w:asciiTheme="minorBidi" w:hAnsiTheme="minorBidi"/>
        <w:sz w:val="16"/>
        <w:szCs w:val="16"/>
      </w:rPr>
      <w:tab/>
    </w:r>
    <w:r w:rsidRPr="007E42E5">
      <w:rPr>
        <w:rFonts w:asciiTheme="minorBidi" w:hAnsiTheme="minorBidi"/>
        <w:sz w:val="16"/>
        <w:szCs w:val="16"/>
      </w:rPr>
      <w:t xml:space="preserve">Unité 48 : Genre et PCI </w:t>
    </w:r>
    <w:r w:rsidRPr="007E42E5">
      <w:rPr>
        <w:rFonts w:asciiTheme="minorBidi" w:hAnsiTheme="minorBidi"/>
        <w:sz w:val="16"/>
        <w:szCs w:val="16"/>
      </w:rPr>
      <w:tab/>
      <w:t>Notes du facilitateur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4C25" w14:textId="7945D8A1" w:rsidR="00FC715C" w:rsidRPr="007E42E5" w:rsidRDefault="00FC715C" w:rsidP="00E31D97">
    <w:pPr>
      <w:pStyle w:val="Header"/>
      <w:rPr>
        <w:rFonts w:asciiTheme="minorBidi" w:hAnsiTheme="minorBidi"/>
        <w:sz w:val="16"/>
        <w:szCs w:val="16"/>
      </w:rPr>
    </w:pPr>
    <w:r w:rsidRPr="007E42E5">
      <w:rPr>
        <w:rFonts w:asciiTheme="minorBidi" w:hAnsiTheme="minorBidi"/>
        <w:sz w:val="16"/>
        <w:szCs w:val="16"/>
      </w:rPr>
      <w:t>Notes du facilitateur</w:t>
    </w:r>
    <w:r w:rsidRPr="007E42E5">
      <w:rPr>
        <w:rFonts w:asciiTheme="minorBidi" w:hAnsiTheme="minorBidi"/>
        <w:sz w:val="16"/>
        <w:szCs w:val="16"/>
      </w:rPr>
      <w:tab/>
      <w:t>Unité 48 : Genre et PCI</w:t>
    </w:r>
    <w:r w:rsidRPr="007E42E5" w:rsidDel="006831F2">
      <w:rPr>
        <w:rStyle w:val="PageNumber"/>
        <w:rFonts w:asciiTheme="minorBidi" w:hAnsiTheme="minorBidi"/>
        <w:sz w:val="16"/>
        <w:szCs w:val="16"/>
      </w:rPr>
      <w:t xml:space="preserve"> </w:t>
    </w:r>
    <w:r w:rsidRPr="007E42E5">
      <w:rPr>
        <w:rFonts w:asciiTheme="minorBidi" w:hAnsiTheme="minorBidi"/>
        <w:sz w:val="16"/>
        <w:szCs w:val="16"/>
      </w:rPr>
      <w:tab/>
    </w:r>
    <w:r w:rsidRPr="007E42E5">
      <w:rPr>
        <w:rStyle w:val="PageNumber"/>
        <w:rFonts w:asciiTheme="minorBidi" w:hAnsiTheme="minorBidi"/>
        <w:sz w:val="16"/>
        <w:szCs w:val="16"/>
      </w:rPr>
      <w:fldChar w:fldCharType="begin"/>
    </w:r>
    <w:r w:rsidRPr="007E42E5">
      <w:rPr>
        <w:rStyle w:val="PageNumber"/>
        <w:rFonts w:asciiTheme="minorBidi" w:hAnsiTheme="minorBidi"/>
        <w:sz w:val="16"/>
        <w:szCs w:val="16"/>
      </w:rPr>
      <w:instrText xml:space="preserve"> PAGE </w:instrText>
    </w:r>
    <w:r w:rsidRPr="007E42E5">
      <w:rPr>
        <w:rStyle w:val="PageNumber"/>
        <w:rFonts w:asciiTheme="minorBidi" w:hAnsiTheme="minorBidi"/>
        <w:sz w:val="16"/>
        <w:szCs w:val="16"/>
      </w:rPr>
      <w:fldChar w:fldCharType="separate"/>
    </w:r>
    <w:r w:rsidR="00AF5B87">
      <w:rPr>
        <w:rStyle w:val="PageNumber"/>
        <w:rFonts w:asciiTheme="minorBidi" w:hAnsiTheme="minorBidi"/>
        <w:noProof/>
        <w:sz w:val="16"/>
        <w:szCs w:val="16"/>
      </w:rPr>
      <w:t>15</w:t>
    </w:r>
    <w:r w:rsidRPr="007E42E5">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70AB" w14:textId="7DA4C830" w:rsidR="00FC715C" w:rsidRPr="00E31D97" w:rsidRDefault="00FC715C" w:rsidP="00E31D97">
    <w:pPr>
      <w:pStyle w:val="Header"/>
      <w:jc w:val="center"/>
      <w:rPr>
        <w:rFonts w:asciiTheme="minorBidi" w:hAnsiTheme="minorBidi"/>
        <w:sz w:val="16"/>
        <w:szCs w:val="16"/>
      </w:rPr>
    </w:pPr>
    <w:r>
      <w:rPr>
        <w:rFonts w:asciiTheme="minorBidi" w:hAnsiTheme="minorBidi"/>
        <w:sz w:val="16"/>
        <w:szCs w:val="16"/>
      </w:rPr>
      <w:t xml:space="preserve">Notes du </w:t>
    </w:r>
    <w:r w:rsidRPr="00F038AA">
      <w:rPr>
        <w:rFonts w:asciiTheme="minorBidi" w:hAnsiTheme="minorBidi"/>
        <w:sz w:val="16"/>
        <w:szCs w:val="16"/>
      </w:rPr>
      <w:t>facilitateur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9"/>
  </w:num>
  <w:num w:numId="7">
    <w:abstractNumId w:val="10"/>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3D"/>
    <w:rsid w:val="00004C48"/>
    <w:rsid w:val="00004CCD"/>
    <w:rsid w:val="00005872"/>
    <w:rsid w:val="00011B0C"/>
    <w:rsid w:val="00013D67"/>
    <w:rsid w:val="00016BF0"/>
    <w:rsid w:val="00020DD9"/>
    <w:rsid w:val="00021C76"/>
    <w:rsid w:val="00026018"/>
    <w:rsid w:val="00033FA5"/>
    <w:rsid w:val="00035E0C"/>
    <w:rsid w:val="000454AC"/>
    <w:rsid w:val="0005133D"/>
    <w:rsid w:val="000563DC"/>
    <w:rsid w:val="000670A1"/>
    <w:rsid w:val="000719FC"/>
    <w:rsid w:val="000726E5"/>
    <w:rsid w:val="00080EB8"/>
    <w:rsid w:val="00081BAB"/>
    <w:rsid w:val="00084627"/>
    <w:rsid w:val="00087950"/>
    <w:rsid w:val="000910FE"/>
    <w:rsid w:val="00093CAE"/>
    <w:rsid w:val="000A6805"/>
    <w:rsid w:val="000A7FB8"/>
    <w:rsid w:val="000B5904"/>
    <w:rsid w:val="000B7B13"/>
    <w:rsid w:val="000C6C6B"/>
    <w:rsid w:val="000D6333"/>
    <w:rsid w:val="00100949"/>
    <w:rsid w:val="001071DB"/>
    <w:rsid w:val="00110738"/>
    <w:rsid w:val="00122D76"/>
    <w:rsid w:val="00126FD6"/>
    <w:rsid w:val="0012722B"/>
    <w:rsid w:val="00137BA9"/>
    <w:rsid w:val="00140792"/>
    <w:rsid w:val="00142305"/>
    <w:rsid w:val="00160902"/>
    <w:rsid w:val="001625F6"/>
    <w:rsid w:val="001633A3"/>
    <w:rsid w:val="001633BF"/>
    <w:rsid w:val="00181322"/>
    <w:rsid w:val="00182AF4"/>
    <w:rsid w:val="00182D07"/>
    <w:rsid w:val="00192499"/>
    <w:rsid w:val="00193005"/>
    <w:rsid w:val="001B23FC"/>
    <w:rsid w:val="001C0315"/>
    <w:rsid w:val="001C46C9"/>
    <w:rsid w:val="001C72EC"/>
    <w:rsid w:val="001D5593"/>
    <w:rsid w:val="001E3990"/>
    <w:rsid w:val="001F091E"/>
    <w:rsid w:val="001F222F"/>
    <w:rsid w:val="001F2F49"/>
    <w:rsid w:val="001F671B"/>
    <w:rsid w:val="00203DC5"/>
    <w:rsid w:val="0020746A"/>
    <w:rsid w:val="002126BC"/>
    <w:rsid w:val="00222388"/>
    <w:rsid w:val="0023447A"/>
    <w:rsid w:val="002576CE"/>
    <w:rsid w:val="00266C17"/>
    <w:rsid w:val="00281F4B"/>
    <w:rsid w:val="00287D7F"/>
    <w:rsid w:val="00296BD1"/>
    <w:rsid w:val="002B3D0A"/>
    <w:rsid w:val="002C04B0"/>
    <w:rsid w:val="002C150F"/>
    <w:rsid w:val="002C6022"/>
    <w:rsid w:val="002E50F7"/>
    <w:rsid w:val="002F3F80"/>
    <w:rsid w:val="00302AF5"/>
    <w:rsid w:val="00303D25"/>
    <w:rsid w:val="003136F7"/>
    <w:rsid w:val="0032179B"/>
    <w:rsid w:val="00321BB4"/>
    <w:rsid w:val="003240A8"/>
    <w:rsid w:val="003318D0"/>
    <w:rsid w:val="00333D70"/>
    <w:rsid w:val="003354DD"/>
    <w:rsid w:val="003458FA"/>
    <w:rsid w:val="00347478"/>
    <w:rsid w:val="00352F8B"/>
    <w:rsid w:val="003537B4"/>
    <w:rsid w:val="00353ED1"/>
    <w:rsid w:val="00362E84"/>
    <w:rsid w:val="003661A9"/>
    <w:rsid w:val="003746A0"/>
    <w:rsid w:val="00384258"/>
    <w:rsid w:val="00390297"/>
    <w:rsid w:val="003A61A7"/>
    <w:rsid w:val="003A72EB"/>
    <w:rsid w:val="003A7B34"/>
    <w:rsid w:val="003B1093"/>
    <w:rsid w:val="003B419D"/>
    <w:rsid w:val="003B6792"/>
    <w:rsid w:val="003C3C54"/>
    <w:rsid w:val="003D362E"/>
    <w:rsid w:val="003E154B"/>
    <w:rsid w:val="003E5B0E"/>
    <w:rsid w:val="003E7CB2"/>
    <w:rsid w:val="003F436D"/>
    <w:rsid w:val="003F64C7"/>
    <w:rsid w:val="00401399"/>
    <w:rsid w:val="00405078"/>
    <w:rsid w:val="004126E8"/>
    <w:rsid w:val="00412756"/>
    <w:rsid w:val="0042521E"/>
    <w:rsid w:val="0044333F"/>
    <w:rsid w:val="00450AA8"/>
    <w:rsid w:val="004531FA"/>
    <w:rsid w:val="00453CEC"/>
    <w:rsid w:val="00453FDD"/>
    <w:rsid w:val="004576C6"/>
    <w:rsid w:val="00457DFC"/>
    <w:rsid w:val="00467DFE"/>
    <w:rsid w:val="00471E7D"/>
    <w:rsid w:val="0047466C"/>
    <w:rsid w:val="004905AE"/>
    <w:rsid w:val="004B3550"/>
    <w:rsid w:val="004B6447"/>
    <w:rsid w:val="004B7421"/>
    <w:rsid w:val="004B75CA"/>
    <w:rsid w:val="004C7314"/>
    <w:rsid w:val="004D461F"/>
    <w:rsid w:val="004F0450"/>
    <w:rsid w:val="00505C8C"/>
    <w:rsid w:val="00523F4D"/>
    <w:rsid w:val="00526318"/>
    <w:rsid w:val="0054040F"/>
    <w:rsid w:val="0054245B"/>
    <w:rsid w:val="00554170"/>
    <w:rsid w:val="005542C4"/>
    <w:rsid w:val="005569DC"/>
    <w:rsid w:val="005632F1"/>
    <w:rsid w:val="00596D1F"/>
    <w:rsid w:val="005A0D13"/>
    <w:rsid w:val="005A285B"/>
    <w:rsid w:val="005A3575"/>
    <w:rsid w:val="005B33B6"/>
    <w:rsid w:val="005D60DE"/>
    <w:rsid w:val="005E3AB7"/>
    <w:rsid w:val="005E7CDF"/>
    <w:rsid w:val="005F02E7"/>
    <w:rsid w:val="005F199A"/>
    <w:rsid w:val="00600E46"/>
    <w:rsid w:val="006024C8"/>
    <w:rsid w:val="006027C6"/>
    <w:rsid w:val="00604FAF"/>
    <w:rsid w:val="0061300A"/>
    <w:rsid w:val="00615E04"/>
    <w:rsid w:val="00623F9B"/>
    <w:rsid w:val="00627136"/>
    <w:rsid w:val="00627CEE"/>
    <w:rsid w:val="006305D7"/>
    <w:rsid w:val="0063328C"/>
    <w:rsid w:val="00633308"/>
    <w:rsid w:val="00637983"/>
    <w:rsid w:val="00647C7B"/>
    <w:rsid w:val="0067147C"/>
    <w:rsid w:val="006824DC"/>
    <w:rsid w:val="00693744"/>
    <w:rsid w:val="006953E6"/>
    <w:rsid w:val="006A3D19"/>
    <w:rsid w:val="006A4425"/>
    <w:rsid w:val="006A54F6"/>
    <w:rsid w:val="006A5E4F"/>
    <w:rsid w:val="006B2315"/>
    <w:rsid w:val="006B550C"/>
    <w:rsid w:val="006C272A"/>
    <w:rsid w:val="006C6C48"/>
    <w:rsid w:val="006D1832"/>
    <w:rsid w:val="006D3C03"/>
    <w:rsid w:val="006E2BCA"/>
    <w:rsid w:val="006E3C37"/>
    <w:rsid w:val="006F0CAE"/>
    <w:rsid w:val="006F1FA2"/>
    <w:rsid w:val="00701371"/>
    <w:rsid w:val="0070508B"/>
    <w:rsid w:val="007063B0"/>
    <w:rsid w:val="00722896"/>
    <w:rsid w:val="00724839"/>
    <w:rsid w:val="00742112"/>
    <w:rsid w:val="007509FF"/>
    <w:rsid w:val="00751844"/>
    <w:rsid w:val="0075218E"/>
    <w:rsid w:val="00753282"/>
    <w:rsid w:val="007577E7"/>
    <w:rsid w:val="00761C1D"/>
    <w:rsid w:val="00762A52"/>
    <w:rsid w:val="0076497E"/>
    <w:rsid w:val="007670DA"/>
    <w:rsid w:val="007927E4"/>
    <w:rsid w:val="00796622"/>
    <w:rsid w:val="00796832"/>
    <w:rsid w:val="007A0EE0"/>
    <w:rsid w:val="007A1DFB"/>
    <w:rsid w:val="007A1EEC"/>
    <w:rsid w:val="007B57A4"/>
    <w:rsid w:val="007B5852"/>
    <w:rsid w:val="007C7906"/>
    <w:rsid w:val="007D3C88"/>
    <w:rsid w:val="007E3457"/>
    <w:rsid w:val="007E3CF2"/>
    <w:rsid w:val="007E42E5"/>
    <w:rsid w:val="007F0868"/>
    <w:rsid w:val="00810311"/>
    <w:rsid w:val="00813F32"/>
    <w:rsid w:val="008144AC"/>
    <w:rsid w:val="00816CE1"/>
    <w:rsid w:val="00821EA3"/>
    <w:rsid w:val="00824C80"/>
    <w:rsid w:val="00825038"/>
    <w:rsid w:val="00825F37"/>
    <w:rsid w:val="008305D2"/>
    <w:rsid w:val="00831D00"/>
    <w:rsid w:val="00832774"/>
    <w:rsid w:val="00834281"/>
    <w:rsid w:val="0086475E"/>
    <w:rsid w:val="00871B69"/>
    <w:rsid w:val="008825D4"/>
    <w:rsid w:val="0088510F"/>
    <w:rsid w:val="008864B3"/>
    <w:rsid w:val="00893501"/>
    <w:rsid w:val="00894E94"/>
    <w:rsid w:val="008B30E8"/>
    <w:rsid w:val="008B3525"/>
    <w:rsid w:val="008C4F7A"/>
    <w:rsid w:val="008D2D2D"/>
    <w:rsid w:val="008E669B"/>
    <w:rsid w:val="008F4A0B"/>
    <w:rsid w:val="008F635C"/>
    <w:rsid w:val="008F7282"/>
    <w:rsid w:val="00905462"/>
    <w:rsid w:val="00910FAA"/>
    <w:rsid w:val="009122AD"/>
    <w:rsid w:val="0091432E"/>
    <w:rsid w:val="00915327"/>
    <w:rsid w:val="00915F46"/>
    <w:rsid w:val="00920933"/>
    <w:rsid w:val="00920E0C"/>
    <w:rsid w:val="00921C20"/>
    <w:rsid w:val="00932DEB"/>
    <w:rsid w:val="009335BD"/>
    <w:rsid w:val="00951F64"/>
    <w:rsid w:val="00952AE8"/>
    <w:rsid w:val="00952CBF"/>
    <w:rsid w:val="00957144"/>
    <w:rsid w:val="0096623B"/>
    <w:rsid w:val="00971B76"/>
    <w:rsid w:val="00987CD0"/>
    <w:rsid w:val="00993523"/>
    <w:rsid w:val="00996BA9"/>
    <w:rsid w:val="009B2FEC"/>
    <w:rsid w:val="009B3FA2"/>
    <w:rsid w:val="009B5C10"/>
    <w:rsid w:val="009C40F1"/>
    <w:rsid w:val="009D0AA9"/>
    <w:rsid w:val="009D4233"/>
    <w:rsid w:val="009E08BD"/>
    <w:rsid w:val="009E545F"/>
    <w:rsid w:val="009E5F15"/>
    <w:rsid w:val="009E7E11"/>
    <w:rsid w:val="009F44CF"/>
    <w:rsid w:val="00A1798E"/>
    <w:rsid w:val="00A21D93"/>
    <w:rsid w:val="00A26144"/>
    <w:rsid w:val="00A262E0"/>
    <w:rsid w:val="00A539A2"/>
    <w:rsid w:val="00A5787F"/>
    <w:rsid w:val="00A73874"/>
    <w:rsid w:val="00A77D76"/>
    <w:rsid w:val="00A814BC"/>
    <w:rsid w:val="00A83126"/>
    <w:rsid w:val="00A83A85"/>
    <w:rsid w:val="00A920EF"/>
    <w:rsid w:val="00AA6DDD"/>
    <w:rsid w:val="00AB30EF"/>
    <w:rsid w:val="00AC175F"/>
    <w:rsid w:val="00AD1CC7"/>
    <w:rsid w:val="00AE47E4"/>
    <w:rsid w:val="00AE4C60"/>
    <w:rsid w:val="00AF05C3"/>
    <w:rsid w:val="00AF5B87"/>
    <w:rsid w:val="00B0556A"/>
    <w:rsid w:val="00B1031F"/>
    <w:rsid w:val="00B14919"/>
    <w:rsid w:val="00B24654"/>
    <w:rsid w:val="00B27A0C"/>
    <w:rsid w:val="00B37841"/>
    <w:rsid w:val="00B4112D"/>
    <w:rsid w:val="00B41A01"/>
    <w:rsid w:val="00B620BC"/>
    <w:rsid w:val="00B710E9"/>
    <w:rsid w:val="00B71E7C"/>
    <w:rsid w:val="00B8202A"/>
    <w:rsid w:val="00B84DFA"/>
    <w:rsid w:val="00B85B71"/>
    <w:rsid w:val="00BB4BA7"/>
    <w:rsid w:val="00BC71EB"/>
    <w:rsid w:val="00BD4C60"/>
    <w:rsid w:val="00BE0BE5"/>
    <w:rsid w:val="00BE50AD"/>
    <w:rsid w:val="00BE69F6"/>
    <w:rsid w:val="00C07EF0"/>
    <w:rsid w:val="00C138AC"/>
    <w:rsid w:val="00C41A39"/>
    <w:rsid w:val="00C53022"/>
    <w:rsid w:val="00C54316"/>
    <w:rsid w:val="00C60914"/>
    <w:rsid w:val="00C61E37"/>
    <w:rsid w:val="00C92150"/>
    <w:rsid w:val="00C93D0B"/>
    <w:rsid w:val="00C956CA"/>
    <w:rsid w:val="00CB325E"/>
    <w:rsid w:val="00CB6411"/>
    <w:rsid w:val="00CC7B24"/>
    <w:rsid w:val="00CD20DF"/>
    <w:rsid w:val="00CE4DE8"/>
    <w:rsid w:val="00CF213F"/>
    <w:rsid w:val="00CF356B"/>
    <w:rsid w:val="00CF6128"/>
    <w:rsid w:val="00CF7082"/>
    <w:rsid w:val="00D05BF5"/>
    <w:rsid w:val="00D076AD"/>
    <w:rsid w:val="00D07F9A"/>
    <w:rsid w:val="00D11804"/>
    <w:rsid w:val="00D13298"/>
    <w:rsid w:val="00D14C09"/>
    <w:rsid w:val="00D23E2F"/>
    <w:rsid w:val="00D24BA2"/>
    <w:rsid w:val="00D30715"/>
    <w:rsid w:val="00D37FAD"/>
    <w:rsid w:val="00D47990"/>
    <w:rsid w:val="00D76512"/>
    <w:rsid w:val="00DC2EA7"/>
    <w:rsid w:val="00DC47F5"/>
    <w:rsid w:val="00DC6A51"/>
    <w:rsid w:val="00DD0D87"/>
    <w:rsid w:val="00DD196A"/>
    <w:rsid w:val="00DD456B"/>
    <w:rsid w:val="00DD7394"/>
    <w:rsid w:val="00E000D1"/>
    <w:rsid w:val="00E02B2B"/>
    <w:rsid w:val="00E13BFF"/>
    <w:rsid w:val="00E153DA"/>
    <w:rsid w:val="00E22710"/>
    <w:rsid w:val="00E30D42"/>
    <w:rsid w:val="00E31545"/>
    <w:rsid w:val="00E31D97"/>
    <w:rsid w:val="00E45BB2"/>
    <w:rsid w:val="00E62BD2"/>
    <w:rsid w:val="00E64AF6"/>
    <w:rsid w:val="00E75ECF"/>
    <w:rsid w:val="00E83CB1"/>
    <w:rsid w:val="00E87803"/>
    <w:rsid w:val="00E97D83"/>
    <w:rsid w:val="00EB15E0"/>
    <w:rsid w:val="00EB1ECE"/>
    <w:rsid w:val="00EB7744"/>
    <w:rsid w:val="00EC7CD8"/>
    <w:rsid w:val="00ED1C06"/>
    <w:rsid w:val="00ED743F"/>
    <w:rsid w:val="00EF4193"/>
    <w:rsid w:val="00EF4D0A"/>
    <w:rsid w:val="00F0292C"/>
    <w:rsid w:val="00F038AA"/>
    <w:rsid w:val="00F07123"/>
    <w:rsid w:val="00F1529F"/>
    <w:rsid w:val="00F23AC0"/>
    <w:rsid w:val="00F317B1"/>
    <w:rsid w:val="00F40F8D"/>
    <w:rsid w:val="00F4219C"/>
    <w:rsid w:val="00F44547"/>
    <w:rsid w:val="00F47B5F"/>
    <w:rsid w:val="00F5145E"/>
    <w:rsid w:val="00F56B0F"/>
    <w:rsid w:val="00F6491D"/>
    <w:rsid w:val="00F674B9"/>
    <w:rsid w:val="00F73A32"/>
    <w:rsid w:val="00F979AD"/>
    <w:rsid w:val="00FA149E"/>
    <w:rsid w:val="00FA61CA"/>
    <w:rsid w:val="00FA7B06"/>
    <w:rsid w:val="00FB0DB4"/>
    <w:rsid w:val="00FB2405"/>
    <w:rsid w:val="00FB67EF"/>
    <w:rsid w:val="00FC02CE"/>
    <w:rsid w:val="00FC05AD"/>
    <w:rsid w:val="00FC134A"/>
    <w:rsid w:val="00FC1AE7"/>
    <w:rsid w:val="00FC5AD8"/>
    <w:rsid w:val="00FC715C"/>
    <w:rsid w:val="00FC7701"/>
    <w:rsid w:val="00FD4065"/>
    <w:rsid w:val="00FD4977"/>
    <w:rsid w:val="00FD5DDD"/>
    <w:rsid w:val="00FE0DB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9CE099E"/>
  <w15:docId w15:val="{004F2089-A031-42FC-BE00-A2A666DE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lang w:val="it-IT" w:eastAsia="en-US"/>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lang w:eastAsia="zh-CN"/>
    </w:rPr>
  </w:style>
  <w:style w:type="character" w:customStyle="1" w:styleId="UTxtCar">
    <w:name w:val="UTxt Car"/>
    <w:basedOn w:val="DefaultParagraphFont"/>
    <w:link w:val="UTxt"/>
    <w:rsid w:val="00FB67EF"/>
    <w:rPr>
      <w:rFonts w:ascii="Arial" w:eastAsia="SimSun" w:hAnsi="Arial" w:cs="Arial"/>
      <w:sz w:val="20"/>
      <w:szCs w:val="24"/>
      <w:lang w:eastAsia="zh-CN"/>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zh-CN"/>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2C6022"/>
    <w:rPr>
      <w:rFonts w:ascii="Arial" w:eastAsia="SimSun" w:hAnsi="Arial" w:cs="Arial"/>
      <w:snapToGrid w:val="0"/>
      <w:sz w:val="16"/>
      <w:szCs w:val="20"/>
      <w:lang w:val="en-US" w:eastAsia="zh-CN"/>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iPriority w:val="99"/>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it-IT" w:eastAsia="en-U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362E84"/>
    <w:rPr>
      <w:rFonts w:ascii="Arial" w:eastAsia="SimSun" w:hAnsi="Arial" w:cs="Arial"/>
      <w:sz w:val="20"/>
      <w:szCs w:val="24"/>
      <w:lang w:val="fr-FR" w:eastAsia="zh-CN"/>
    </w:rPr>
  </w:style>
  <w:style w:type="paragraph" w:customStyle="1" w:styleId="Txtpucegras">
    <w:name w:val="Txtpucegras"/>
    <w:basedOn w:val="Texte1"/>
    <w:rsid w:val="0061300A"/>
    <w:pPr>
      <w:numPr>
        <w:numId w:val="8"/>
      </w:numPr>
      <w:tabs>
        <w:tab w:val="clear" w:pos="851"/>
        <w:tab w:val="num" w:pos="360"/>
      </w:tabs>
      <w:ind w:left="1021" w:hanging="170"/>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fr-FR"/>
    </w:rPr>
  </w:style>
  <w:style w:type="character" w:customStyle="1" w:styleId="Heading4Char">
    <w:name w:val="Heading 4 Char"/>
    <w:link w:val="Heading4"/>
    <w:rsid w:val="00C07EF0"/>
    <w:rPr>
      <w:rFonts w:ascii="Arial" w:eastAsia="SimSun" w:hAnsi="Arial" w:cs="Times New Roman"/>
      <w:b/>
      <w:bCs/>
      <w:caps/>
      <w:sz w:val="20"/>
      <w:szCs w:val="24"/>
      <w:lang w:val="it-IT" w:eastAsia="en-U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it-IT" w:eastAsia="en-U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lang w:eastAsia="en-US"/>
    </w:rPr>
  </w:style>
  <w:style w:type="character" w:customStyle="1" w:styleId="diapo2Car">
    <w:name w:val="diapo2 Car"/>
    <w:link w:val="diapo2"/>
    <w:rsid w:val="00F674B9"/>
    <w:rPr>
      <w:rFonts w:ascii="Arial" w:eastAsia="SimSun" w:hAnsi="Arial" w:cs="Arial"/>
      <w:b/>
      <w:noProof/>
      <w:snapToGrid w:val="0"/>
      <w:sz w:val="24"/>
      <w:lang w:eastAsia="en-US"/>
    </w:rPr>
  </w:style>
  <w:style w:type="character" w:styleId="FootnoteReference">
    <w:name w:val="footnote reference"/>
    <w:basedOn w:val="DefaultParagraphFont"/>
    <w:uiPriority w:val="99"/>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character" w:styleId="FollowedHyperlink">
    <w:name w:val="FollowedHyperlink"/>
    <w:basedOn w:val="DefaultParagraphFont"/>
    <w:uiPriority w:val="99"/>
    <w:semiHidden/>
    <w:unhideWhenUsed/>
    <w:rsid w:val="00966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culture/ich/index.php?lg=fr&amp;pg=00473" TargetMode="External"/><Relationship Id="rId18" Type="http://schemas.openxmlformats.org/officeDocument/2006/relationships/hyperlink" Target="http://www.unesco.org/new/fr/culture/gender-and-culture/gender-equality-and-culture/the-re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new/fr/culture/gender-and-culture/gender-equality-and-culture/the-report/" TargetMode="External"/><Relationship Id="rId17" Type="http://schemas.openxmlformats.org/officeDocument/2006/relationships/hyperlink" Target="http://www.unesco.org/culture/ich/index.php?lg=fr&amp;pg=00184"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esco.org/culture/ich/index.php?lg=fr&amp;pg=005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esco.org/culture/ich/doc/src/ITH-14-9.COM-13.b-FR.doc" TargetMode="External"/><Relationship Id="rId23" Type="http://schemas.openxmlformats.org/officeDocument/2006/relationships/footer" Target="footer2.xml"/><Relationship Id="rId10" Type="http://schemas.openxmlformats.org/officeDocument/2006/relationships/hyperlink" Target="http://www.unesco.org/open-access/terms-use-ccbysa-fr" TargetMode="External"/><Relationship Id="rId19" Type="http://schemas.openxmlformats.org/officeDocument/2006/relationships/hyperlink" Target="http://www.theguardian.com/music/2010/oct/11/two-spirit-people-north-america"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new/fileadmin/MULTIMEDIA/HQ/BSP/GENDER/GE%20Guidelines%20December%202_FINAL.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fr&amp;pg=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D996-6D37-4C97-8427-87FB5B4A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6264</Words>
  <Characters>34455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dc:creator>
  <cp:lastModifiedBy>Kim, Dain</cp:lastModifiedBy>
  <cp:revision>11</cp:revision>
  <dcterms:created xsi:type="dcterms:W3CDTF">2015-09-24T13:03:00Z</dcterms:created>
  <dcterms:modified xsi:type="dcterms:W3CDTF">2018-04-23T12:23:00Z</dcterms:modified>
</cp:coreProperties>
</file>