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38D02" w14:textId="67303DBE" w:rsidR="009F28BC" w:rsidRPr="004936EF" w:rsidRDefault="009F28BC" w:rsidP="009F28BC">
      <w:pPr>
        <w:pStyle w:val="Chapitre"/>
      </w:pPr>
      <w:bookmarkStart w:id="0" w:name="_Toc241229778"/>
      <w:bookmarkStart w:id="1" w:name="_Toc241229982"/>
      <w:bookmarkStart w:id="2" w:name="_Toc242165676"/>
      <w:r>
        <w:t>Unidad 49</w:t>
      </w:r>
    </w:p>
    <w:p w14:paraId="46C994E5" w14:textId="5152E388" w:rsidR="006C700E" w:rsidRDefault="006C700E" w:rsidP="006C700E">
      <w:pPr>
        <w:pStyle w:val="HO1"/>
      </w:pPr>
      <w:r>
        <w:t>Folleto 5:</w:t>
      </w:r>
    </w:p>
    <w:bookmarkEnd w:id="0"/>
    <w:bookmarkEnd w:id="1"/>
    <w:bookmarkEnd w:id="2"/>
    <w:p w14:paraId="0A32421E" w14:textId="63E39A90" w:rsidR="0031587B" w:rsidRDefault="00CA3097" w:rsidP="00C73E9C">
      <w:pPr>
        <w:pStyle w:val="HO2"/>
      </w:pPr>
      <w:r>
        <w:t>Preparación de los expedientes de candidaturas para la Lista Representativa (1)</w:t>
      </w:r>
    </w:p>
    <w:p w14:paraId="4A38CAC8" w14:textId="388C6F09" w:rsidR="00CA3097" w:rsidRPr="00BF3079" w:rsidRDefault="00CA3097" w:rsidP="00CA3097">
      <w:pPr>
        <w:pStyle w:val="Texte1"/>
        <w:rPr>
          <w:rFonts w:eastAsiaTheme="minorHAnsi"/>
        </w:rPr>
      </w:pPr>
      <w:bookmarkStart w:id="3" w:name="_Toc391561629"/>
      <w:r>
        <w:rPr>
          <w:rFonts w:eastAsiaTheme="minorHAnsi"/>
          <w:b/>
        </w:rPr>
        <w:t>(1)</w:t>
      </w:r>
      <w:r>
        <w:t xml:space="preserve"> </w:t>
      </w:r>
      <w:r>
        <w:rPr>
          <w:rFonts w:eastAsiaTheme="minorHAnsi"/>
          <w:b/>
          <w:i/>
        </w:rPr>
        <w:t>Nota sobre el “Carácter heterogéneo de las comunidades</w:t>
      </w:r>
      <w:bookmarkEnd w:id="3"/>
      <w:r>
        <w:rPr>
          <w:rFonts w:eastAsiaTheme="minorHAnsi"/>
          <w:b/>
          <w:i/>
        </w:rPr>
        <w:t>”</w:t>
      </w:r>
      <w:r>
        <w:rPr>
          <w:rFonts w:eastAsiaTheme="minorHAnsi"/>
          <w:b/>
        </w:rPr>
        <w:t xml:space="preserve"> extraída del memorándum para completar los formularios de presentación de candidaturas a la Lista Representativa del patrimonio cultural inmaterial:</w:t>
      </w:r>
    </w:p>
    <w:p w14:paraId="7EC57A42" w14:textId="00FC0062" w:rsidR="00CA3097" w:rsidRPr="00CA3097" w:rsidRDefault="00CA3097" w:rsidP="00CA3097">
      <w:pPr>
        <w:pStyle w:val="Texte1"/>
        <w:rPr>
          <w:b/>
          <w:bCs/>
          <w:caps/>
        </w:rPr>
      </w:pPr>
      <w:r>
        <w:t xml:space="preserve">… [La] </w:t>
      </w:r>
      <w:r w:rsidR="007D1083" w:rsidRPr="007D1083">
        <w:t>cuestión de la diversidad, tanto en el seno de las comunidades interesadas que poseen un elemento propuesto para la Lista Representativa como entre ellas, también ha sido abordada con frecuencia por los organismos de evaluación.</w:t>
      </w:r>
      <w:r>
        <w:t xml:space="preserve"> El Organismo Consultivo, por ejemplo, recordó que “las comunidades no </w:t>
      </w:r>
      <w:r w:rsidR="007D1083">
        <w:t>son</w:t>
      </w:r>
      <w:r>
        <w:t xml:space="preserve"> monolític</w:t>
      </w:r>
      <w:r w:rsidR="007D1083">
        <w:t>as</w:t>
      </w:r>
      <w:r>
        <w:t xml:space="preserve"> ni homog</w:t>
      </w:r>
      <w:r w:rsidR="007D1083">
        <w:t>éneas</w:t>
      </w:r>
      <w:r>
        <w:t xml:space="preserve">, sino que están estratificadas por edad, </w:t>
      </w:r>
      <w:r>
        <w:rPr>
          <w:i/>
        </w:rPr>
        <w:t>género</w:t>
      </w:r>
      <w:r>
        <w:t xml:space="preserve"> y otros factores” (documento 6 de la séptima reunión del Comité Intergubernamental) y alentó a los “</w:t>
      </w:r>
      <w:r>
        <w:rPr>
          <w:rStyle w:val="hps"/>
          <w:rFonts w:asciiTheme="minorBidi" w:hAnsiTheme="minorBidi" w:cstheme="minorBidi"/>
        </w:rPr>
        <w:t xml:space="preserve">Estados Partes a </w:t>
      </w:r>
      <w:r w:rsidR="007D1083">
        <w:rPr>
          <w:rStyle w:val="hps"/>
          <w:rFonts w:asciiTheme="minorBidi" w:hAnsiTheme="minorBidi" w:cstheme="minorBidi"/>
        </w:rPr>
        <w:t>no</w:t>
      </w:r>
      <w:r>
        <w:t xml:space="preserve"> </w:t>
      </w:r>
      <w:r>
        <w:rPr>
          <w:rStyle w:val="hps"/>
          <w:rFonts w:asciiTheme="minorBidi" w:hAnsiTheme="minorBidi" w:cstheme="minorBidi"/>
        </w:rPr>
        <w:t>simplificar</w:t>
      </w:r>
      <w:r>
        <w:t xml:space="preserve"> </w:t>
      </w:r>
      <w:r>
        <w:rPr>
          <w:rStyle w:val="hps"/>
          <w:rFonts w:asciiTheme="minorBidi" w:hAnsiTheme="minorBidi" w:cstheme="minorBidi"/>
        </w:rPr>
        <w:t>la descripción de las</w:t>
      </w:r>
      <w:r>
        <w:t xml:space="preserve"> </w:t>
      </w:r>
      <w:r>
        <w:rPr>
          <w:rStyle w:val="hps"/>
          <w:rFonts w:asciiTheme="minorBidi" w:hAnsiTheme="minorBidi" w:cstheme="minorBidi"/>
        </w:rPr>
        <w:t xml:space="preserve">comunidades interesadas, </w:t>
      </w:r>
      <w:r>
        <w:t xml:space="preserve">sino procurar en </w:t>
      </w:r>
      <w:r>
        <w:rPr>
          <w:rStyle w:val="hps"/>
          <w:rFonts w:asciiTheme="minorBidi" w:hAnsiTheme="minorBidi" w:cstheme="minorBidi"/>
        </w:rPr>
        <w:t>cambio</w:t>
      </w:r>
      <w:r>
        <w:t xml:space="preserve"> </w:t>
      </w:r>
      <w:r>
        <w:rPr>
          <w:rStyle w:val="hps"/>
          <w:rFonts w:asciiTheme="minorBidi" w:hAnsiTheme="minorBidi" w:cstheme="minorBidi"/>
        </w:rPr>
        <w:t>describir la diversidad de</w:t>
      </w:r>
      <w:r>
        <w:t xml:space="preserve"> </w:t>
      </w:r>
      <w:r>
        <w:rPr>
          <w:rStyle w:val="hps"/>
          <w:rFonts w:asciiTheme="minorBidi" w:hAnsiTheme="minorBidi" w:cstheme="minorBidi"/>
        </w:rPr>
        <w:t>los actores y sus</w:t>
      </w:r>
      <w:r>
        <w:t xml:space="preserve"> </w:t>
      </w:r>
      <w:r>
        <w:rPr>
          <w:rStyle w:val="hps"/>
          <w:rFonts w:asciiTheme="minorBidi" w:hAnsiTheme="minorBidi" w:cstheme="minorBidi"/>
        </w:rPr>
        <w:t>funciones en relación</w:t>
      </w:r>
      <w:r>
        <w:t xml:space="preserve"> </w:t>
      </w:r>
      <w:r>
        <w:rPr>
          <w:rStyle w:val="hps"/>
          <w:rFonts w:asciiTheme="minorBidi" w:hAnsiTheme="minorBidi" w:cstheme="minorBidi"/>
        </w:rPr>
        <w:t>con el elemento específico del patrimonio cultural inmaterial</w:t>
      </w:r>
      <w:r>
        <w:t xml:space="preserve"> </w:t>
      </w:r>
      <w:r>
        <w:rPr>
          <w:rStyle w:val="hps"/>
          <w:rFonts w:asciiTheme="minorBidi" w:hAnsiTheme="minorBidi" w:cstheme="minorBidi"/>
        </w:rPr>
        <w:t xml:space="preserve">y las dinámicas sociales que genera, </w:t>
      </w:r>
      <w:r>
        <w:rPr>
          <w:rStyle w:val="alt-edited"/>
          <w:rFonts w:asciiTheme="minorBidi" w:hAnsiTheme="minorBidi" w:cstheme="minorBidi"/>
        </w:rPr>
        <w:t>otorgando la debida atención a las</w:t>
      </w:r>
      <w:r>
        <w:t xml:space="preserve"> </w:t>
      </w:r>
      <w:r>
        <w:rPr>
          <w:rStyle w:val="hps"/>
          <w:rFonts w:asciiTheme="minorBidi" w:hAnsiTheme="minorBidi" w:cstheme="minorBidi"/>
        </w:rPr>
        <w:t>consideraciones de género</w:t>
      </w:r>
      <w:r>
        <w:t xml:space="preserve"> </w:t>
      </w:r>
      <w:r>
        <w:rPr>
          <w:rStyle w:val="hps"/>
          <w:rFonts w:asciiTheme="minorBidi" w:hAnsiTheme="minorBidi" w:cstheme="minorBidi"/>
        </w:rPr>
        <w:t>cuando</w:t>
      </w:r>
      <w:r>
        <w:t xml:space="preserve"> </w:t>
      </w:r>
      <w:r>
        <w:rPr>
          <w:rStyle w:val="hps"/>
          <w:rFonts w:asciiTheme="minorBidi" w:hAnsiTheme="minorBidi" w:cstheme="minorBidi"/>
        </w:rPr>
        <w:t>proceda” (</w:t>
      </w:r>
      <w:r>
        <w:t>documento 8 de la séptima reunión del Comité Intergubernamental</w:t>
      </w:r>
      <w:r w:rsidR="005E11B3">
        <w:rPr>
          <w:rStyle w:val="hps"/>
          <w:rFonts w:asciiTheme="minorBidi" w:hAnsiTheme="minorBidi" w:cstheme="minorBidi"/>
        </w:rPr>
        <w:t>).</w:t>
      </w:r>
    </w:p>
    <w:sectPr w:rsidR="00CA3097" w:rsidRPr="00CA3097" w:rsidSect="009B3A94">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5981D" w14:textId="77777777" w:rsidR="008432E4" w:rsidRDefault="008432E4" w:rsidP="000A699C">
      <w:pPr>
        <w:spacing w:before="0" w:after="0"/>
      </w:pPr>
      <w:r>
        <w:separator/>
      </w:r>
    </w:p>
  </w:endnote>
  <w:endnote w:type="continuationSeparator" w:id="0">
    <w:p w14:paraId="70960CA5" w14:textId="77777777" w:rsidR="008432E4" w:rsidRDefault="008432E4"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430B2F50" w:rsidR="00044005" w:rsidRDefault="00044005" w:rsidP="004936EF">
    <w:pPr>
      <w:pStyle w:val="Footer"/>
    </w:pPr>
    <w:r>
      <w:rPr>
        <w:noProof/>
        <w:lang w:val="fr-FR" w:eastAsia="ja-JP" w:bidi="ar-SA"/>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UNESCO • No se debe reproducir sin permiso</w:t>
    </w:r>
    <w:r>
      <w:tab/>
      <w:t>U006-v1.0-HO-ES</w:t>
    </w:r>
    <w:r>
      <w:rPr>
        <w:rStyle w:val="PageNumber"/>
      </w:rPr>
      <w:t xml:space="preserve"> </w:t>
    </w:r>
  </w:p>
  <w:p w14:paraId="43055D74" w14:textId="77777777" w:rsidR="00044005" w:rsidRDefault="000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1F22F225" w:rsidR="00044005" w:rsidRPr="007D60D5" w:rsidRDefault="00044005">
    <w:pPr>
      <w:pStyle w:val="Footer"/>
    </w:pPr>
    <w:r>
      <w:t>U006-v1.0-HO-ES</w:t>
    </w:r>
    <w:r>
      <w:tab/>
      <w:t>© UNESCO • No se debe reproducir sin permiso</w:t>
    </w:r>
    <w:r>
      <w:tab/>
    </w:r>
    <w:r>
      <w:rPr>
        <w:noProof/>
        <w:lang w:val="fr-FR" w:eastAsia="ja-JP" w:bidi="ar-SA"/>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E157" w14:textId="4014981E" w:rsidR="005B432B" w:rsidRDefault="00831522" w:rsidP="00D35D32">
    <w:pPr>
      <w:pStyle w:val="Footer"/>
      <w:tabs>
        <w:tab w:val="left" w:pos="2530"/>
      </w:tabs>
    </w:pPr>
    <w:bookmarkStart w:id="4" w:name="_GoBack"/>
    <w:r>
      <w:rPr>
        <w:noProof/>
        <w:lang w:eastAsia="ja-JP"/>
      </w:rPr>
      <w:drawing>
        <wp:anchor distT="0" distB="0" distL="114300" distR="114300" simplePos="0" relativeHeight="251658240" behindDoc="0" locked="0" layoutInCell="1" allowOverlap="1" wp14:anchorId="711C88F1" wp14:editId="20F1DA18">
          <wp:simplePos x="0" y="0"/>
          <wp:positionH relativeFrom="column">
            <wp:posOffset>2457450</wp:posOffset>
          </wp:positionH>
          <wp:positionV relativeFrom="paragraph">
            <wp:posOffset>8890</wp:posOffset>
          </wp:positionV>
          <wp:extent cx="542290" cy="189230"/>
          <wp:effectExtent l="0" t="0" r="0" b="1270"/>
          <wp:wrapThrough wrapText="bothSides">
            <wp:wrapPolygon edited="0">
              <wp:start x="0" y="0"/>
              <wp:lineTo x="0" y="19570"/>
              <wp:lineTo x="20487" y="19570"/>
              <wp:lineTo x="2048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bookmarkEnd w:id="4"/>
    <w:r w:rsidR="00D35D32">
      <w:rPr>
        <w:rFonts w:asciiTheme="minorBidi" w:hAnsiTheme="minorBidi"/>
        <w:noProof/>
        <w:szCs w:val="16"/>
        <w:lang w:val="fr-FR" w:eastAsia="ja-JP" w:bidi="ar-SA"/>
      </w:rPr>
      <w:drawing>
        <wp:anchor distT="0" distB="0" distL="114300" distR="114300" simplePos="0" relativeHeight="251776000" behindDoc="0" locked="0" layoutInCell="1" allowOverlap="1" wp14:anchorId="2B6A0171" wp14:editId="6DBB28AE">
          <wp:simplePos x="0" y="0"/>
          <wp:positionH relativeFrom="column">
            <wp:posOffset>4680558</wp:posOffset>
          </wp:positionH>
          <wp:positionV relativeFrom="paragraph">
            <wp:posOffset>-306705</wp:posOffset>
          </wp:positionV>
          <wp:extent cx="956310" cy="693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956310" cy="693420"/>
                  </a:xfrm>
                  <a:prstGeom prst="rect">
                    <a:avLst/>
                  </a:prstGeom>
                </pic:spPr>
              </pic:pic>
            </a:graphicData>
          </a:graphic>
          <wp14:sizeRelH relativeFrom="page">
            <wp14:pctWidth>0</wp14:pctWidth>
          </wp14:sizeRelH>
          <wp14:sizeRelV relativeFrom="page">
            <wp14:pctHeight>0</wp14:pctHeight>
          </wp14:sizeRelV>
        </wp:anchor>
      </w:drawing>
    </w:r>
    <w:r w:rsidR="00CA3097">
      <w:t>U049-v1.0-HO5-ES</w:t>
    </w:r>
    <w:r w:rsidR="00CA3097">
      <w:tab/>
    </w:r>
    <w:r w:rsidR="00CF3265">
      <w:tab/>
    </w:r>
    <w:r w:rsidR="00CA309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F4AD5" w14:textId="77777777" w:rsidR="008432E4" w:rsidRDefault="008432E4" w:rsidP="000A699C">
      <w:pPr>
        <w:spacing w:before="0" w:after="0"/>
      </w:pPr>
      <w:r>
        <w:separator/>
      </w:r>
    </w:p>
  </w:footnote>
  <w:footnote w:type="continuationSeparator" w:id="0">
    <w:p w14:paraId="15923C11" w14:textId="77777777" w:rsidR="008432E4" w:rsidRDefault="008432E4" w:rsidP="000A69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6A5A327A"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6</w:t>
    </w:r>
    <w:r>
      <w:rPr>
        <w:rStyle w:val="PageNumber"/>
      </w:rPr>
      <w:fldChar w:fldCharType="end"/>
    </w:r>
    <w:r>
      <w:tab/>
    </w:r>
    <w:r>
      <w:rPr>
        <w:rStyle w:val="PageNumber"/>
      </w:rPr>
      <w:t>Unidad 6: Identificación y confección de inventarios</w:t>
    </w:r>
    <w:r>
      <w:tab/>
      <w:t>Folleto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65F6AB01" w:rsidR="00044005" w:rsidRPr="004A4AD6" w:rsidRDefault="00044005" w:rsidP="00D25BBB">
    <w:pPr>
      <w:pStyle w:val="Header"/>
    </w:pPr>
    <w:r>
      <w:t>Folleto</w:t>
    </w:r>
    <w:r>
      <w:tab/>
    </w:r>
    <w:r>
      <w:rPr>
        <w:rStyle w:val="PageNumber"/>
      </w:rPr>
      <w:t xml:space="preserve">Unidad 6: Identificación y confección de inventarios </w:t>
    </w:r>
    <w:r>
      <w:tab/>
    </w:r>
    <w:r>
      <w:rPr>
        <w:rStyle w:val="PageNumber"/>
      </w:rPr>
      <w:fldChar w:fldCharType="begin"/>
    </w:r>
    <w:r>
      <w:rPr>
        <w:rStyle w:val="PageNumber"/>
      </w:rPr>
      <w:instrText xml:space="preserve"> PAGE </w:instrText>
    </w:r>
    <w:r>
      <w:rPr>
        <w:rStyle w:val="PageNumber"/>
      </w:rPr>
      <w:fldChar w:fldCharType="separate"/>
    </w:r>
    <w:r w:rsidR="000C100A">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2F4594A5" w:rsidR="00044005" w:rsidRPr="002305AA" w:rsidRDefault="00254C5C">
    <w:pPr>
      <w:pStyle w:val="Header"/>
    </w:pPr>
    <w:r>
      <w:tab/>
      <w:t>Folleto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7FE77FC"/>
    <w:multiLevelType w:val="hybridMultilevel"/>
    <w:tmpl w:val="E2347250"/>
    <w:lvl w:ilvl="0" w:tplc="D3DAFB4A">
      <w:start w:val="30"/>
      <w:numFmt w:val="decimal"/>
      <w:pStyle w:val="paragraph1"/>
      <w:lvlText w:val="%1."/>
      <w:lvlJc w:val="left"/>
      <w:pPr>
        <w:ind w:left="720" w:hanging="360"/>
      </w:pPr>
      <w:rPr>
        <w:rFonts w:hint="default"/>
        <w:b w:val="0"/>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80"/>
  </w:num>
  <w:num w:numId="5">
    <w:abstractNumId w:val="11"/>
  </w:num>
  <w:num w:numId="6">
    <w:abstractNumId w:val="58"/>
  </w:num>
  <w:num w:numId="7">
    <w:abstractNumId w:val="57"/>
  </w:num>
  <w:num w:numId="8">
    <w:abstractNumId w:val="9"/>
  </w:num>
  <w:num w:numId="9">
    <w:abstractNumId w:val="28"/>
  </w:num>
  <w:num w:numId="10">
    <w:abstractNumId w:val="8"/>
  </w:num>
  <w:num w:numId="11">
    <w:abstractNumId w:val="13"/>
  </w:num>
  <w:num w:numId="12">
    <w:abstractNumId w:val="67"/>
  </w:num>
  <w:num w:numId="13">
    <w:abstractNumId w:val="77"/>
  </w:num>
  <w:num w:numId="14">
    <w:abstractNumId w:val="30"/>
  </w:num>
  <w:num w:numId="15">
    <w:abstractNumId w:val="70"/>
  </w:num>
  <w:num w:numId="16">
    <w:abstractNumId w:val="17"/>
  </w:num>
  <w:num w:numId="17">
    <w:abstractNumId w:val="43"/>
  </w:num>
  <w:num w:numId="18">
    <w:abstractNumId w:val="38"/>
  </w:num>
  <w:num w:numId="19">
    <w:abstractNumId w:val="68"/>
  </w:num>
  <w:num w:numId="20">
    <w:abstractNumId w:val="50"/>
  </w:num>
  <w:num w:numId="21">
    <w:abstractNumId w:val="10"/>
  </w:num>
  <w:num w:numId="22">
    <w:abstractNumId w:val="5"/>
  </w:num>
  <w:num w:numId="23">
    <w:abstractNumId w:val="62"/>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4"/>
  </w:num>
  <w:num w:numId="31">
    <w:abstractNumId w:val="69"/>
  </w:num>
  <w:num w:numId="32">
    <w:abstractNumId w:val="72"/>
  </w:num>
  <w:num w:numId="33">
    <w:abstractNumId w:val="19"/>
  </w:num>
  <w:num w:numId="34">
    <w:abstractNumId w:val="0"/>
  </w:num>
  <w:num w:numId="35">
    <w:abstractNumId w:val="76"/>
  </w:num>
  <w:num w:numId="36">
    <w:abstractNumId w:val="27"/>
  </w:num>
  <w:num w:numId="37">
    <w:abstractNumId w:val="65"/>
  </w:num>
  <w:num w:numId="38">
    <w:abstractNumId w:val="76"/>
  </w:num>
  <w:num w:numId="39">
    <w:abstractNumId w:val="2"/>
  </w:num>
  <w:num w:numId="40">
    <w:abstractNumId w:val="60"/>
  </w:num>
  <w:num w:numId="41">
    <w:abstractNumId w:val="27"/>
    <w:lvlOverride w:ilvl="0">
      <w:startOverride w:val="1"/>
    </w:lvlOverride>
  </w:num>
  <w:num w:numId="42">
    <w:abstractNumId w:val="14"/>
  </w:num>
  <w:num w:numId="43">
    <w:abstractNumId w:val="42"/>
  </w:num>
  <w:num w:numId="44">
    <w:abstractNumId w:val="75"/>
  </w:num>
  <w:num w:numId="45">
    <w:abstractNumId w:val="31"/>
  </w:num>
  <w:num w:numId="46">
    <w:abstractNumId w:val="64"/>
  </w:num>
  <w:num w:numId="47">
    <w:abstractNumId w:val="31"/>
    <w:lvlOverride w:ilvl="0">
      <w:startOverride w:val="1"/>
    </w:lvlOverride>
  </w:num>
  <w:num w:numId="48">
    <w:abstractNumId w:val="41"/>
  </w:num>
  <w:num w:numId="49">
    <w:abstractNumId w:val="73"/>
  </w:num>
  <w:num w:numId="50">
    <w:abstractNumId w:val="31"/>
    <w:lvlOverride w:ilvl="0">
      <w:startOverride w:val="1"/>
    </w:lvlOverride>
  </w:num>
  <w:num w:numId="51">
    <w:abstractNumId w:val="25"/>
  </w:num>
  <w:num w:numId="52">
    <w:abstractNumId w:val="31"/>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9"/>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6"/>
  </w:num>
  <w:num w:numId="94">
    <w:abstractNumId w:val="53"/>
  </w:num>
  <w:num w:numId="95">
    <w:abstractNumId w:val="44"/>
    <w:lvlOverride w:ilvl="0">
      <w:startOverride w:val="2"/>
    </w:lvlOverride>
  </w:num>
  <w:num w:numId="96">
    <w:abstractNumId w:val="51"/>
  </w:num>
  <w:num w:numId="97">
    <w:abstractNumId w:val="66"/>
  </w:num>
  <w:num w:numId="98">
    <w:abstractNumId w:val="63"/>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4"/>
  </w:num>
  <w:num w:numId="113">
    <w:abstractNumId w:val="79"/>
  </w:num>
  <w:num w:numId="114">
    <w:abstractNumId w:val="71"/>
  </w:num>
  <w:num w:numId="115">
    <w:abstractNumId w:val="34"/>
    <w:lvlOverride w:ilvl="0">
      <w:startOverride w:val="1"/>
    </w:lvlOverride>
  </w:num>
  <w:num w:numId="116">
    <w:abstractNumId w:val="52"/>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8"/>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4"/>
    <w:lvlOverride w:ilvl="0">
      <w:startOverride w:val="1"/>
    </w:lvlOverride>
  </w:num>
  <w:num w:numId="142">
    <w:abstractNumId w:val="63"/>
  </w:num>
  <w:num w:numId="143">
    <w:abstractNumId w:val="39"/>
  </w:num>
  <w:num w:numId="144">
    <w:abstractNumId w:val="23"/>
  </w:num>
  <w:num w:numId="145">
    <w:abstractNumId w:val="15"/>
  </w:num>
  <w:num w:numId="146">
    <w:abstractNumId w:val="34"/>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49"/>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00A"/>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9E1"/>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95"/>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2F8F"/>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5AA"/>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5C"/>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445"/>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27E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32B"/>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1B3"/>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59E"/>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2C74"/>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473A"/>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083"/>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6EE1"/>
    <w:rsid w:val="007D71E9"/>
    <w:rsid w:val="007D7566"/>
    <w:rsid w:val="007D7A40"/>
    <w:rsid w:val="007D7A77"/>
    <w:rsid w:val="007D7F0C"/>
    <w:rsid w:val="007E00AA"/>
    <w:rsid w:val="007E0BBE"/>
    <w:rsid w:val="007E0C78"/>
    <w:rsid w:val="007E11AF"/>
    <w:rsid w:val="007E12F6"/>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522"/>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2E4"/>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8AD"/>
    <w:rsid w:val="008C4BC4"/>
    <w:rsid w:val="008C4DF2"/>
    <w:rsid w:val="008C4F88"/>
    <w:rsid w:val="008C5235"/>
    <w:rsid w:val="008C5865"/>
    <w:rsid w:val="008C595C"/>
    <w:rsid w:val="008C5BAD"/>
    <w:rsid w:val="008C63CD"/>
    <w:rsid w:val="008C65A8"/>
    <w:rsid w:val="008C6CFE"/>
    <w:rsid w:val="008C6F60"/>
    <w:rsid w:val="008C724A"/>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6F9"/>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41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325"/>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6FD2"/>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079"/>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3E9C"/>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097"/>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265"/>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5E92"/>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5D32"/>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B36"/>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275"/>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2FEC"/>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4204"/>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rPr>
  </w:style>
  <w:style w:type="character" w:customStyle="1" w:styleId="HeaderChar">
    <w:name w:val="Header Char"/>
    <w:link w:val="Header"/>
    <w:uiPriority w:val="99"/>
    <w:rsid w:val="006A23D9"/>
    <w:rPr>
      <w:rFonts w:ascii="Arial" w:hAnsi="Arial"/>
      <w:sz w:val="16"/>
      <w:szCs w:val="22"/>
      <w:lang w:val="es-ES" w:eastAsia="es-E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rPr>
  </w:style>
  <w:style w:type="character" w:customStyle="1" w:styleId="FooterChar">
    <w:name w:val="Footer Char"/>
    <w:link w:val="Footer"/>
    <w:rsid w:val="006A23D9"/>
    <w:rPr>
      <w:rFonts w:ascii="Arial" w:hAnsi="Arial"/>
      <w:sz w:val="16"/>
      <w:szCs w:val="22"/>
      <w:lang w:val="es-ES" w:eastAsia="es-E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s-ES" w:eastAsia="es-ES"/>
    </w:rPr>
  </w:style>
  <w:style w:type="character" w:customStyle="1" w:styleId="Heading2Char">
    <w:name w:val="Heading 2 Char"/>
    <w:link w:val="Heading2"/>
    <w:uiPriority w:val="9"/>
    <w:rsid w:val="006A23D9"/>
    <w:rPr>
      <w:rFonts w:ascii="Arial Bold" w:eastAsia="SimSun" w:hAnsi="Arial Bold"/>
      <w:bCs/>
      <w:color w:val="000000"/>
      <w:sz w:val="22"/>
      <w:szCs w:val="26"/>
      <w:lang w:val="es-ES" w:eastAsia="es-ES"/>
    </w:rPr>
  </w:style>
  <w:style w:type="character" w:customStyle="1" w:styleId="Heading3Char">
    <w:name w:val="Heading 3 Char"/>
    <w:link w:val="Heading3"/>
    <w:uiPriority w:val="9"/>
    <w:rsid w:val="00F4305C"/>
    <w:rPr>
      <w:rFonts w:ascii="Arial" w:eastAsia="SimSun" w:hAnsi="Arial"/>
      <w:b/>
      <w:bCs/>
      <w:caps/>
      <w:color w:val="000000"/>
      <w:sz w:val="18"/>
      <w:szCs w:val="18"/>
      <w:lang w:val="es-ES" w:eastAsia="es-ES"/>
    </w:rPr>
  </w:style>
  <w:style w:type="character" w:customStyle="1" w:styleId="Heading4Char">
    <w:name w:val="Heading 4 Char"/>
    <w:link w:val="Heading4"/>
    <w:rsid w:val="006A23D9"/>
    <w:rPr>
      <w:rFonts w:ascii="Arial" w:eastAsia="SimSun" w:hAnsi="Arial"/>
      <w:b/>
      <w:bCs/>
      <w:caps/>
      <w:szCs w:val="24"/>
      <w:lang w:val="es-ES" w:eastAsia="es-ES"/>
    </w:rPr>
  </w:style>
  <w:style w:type="character" w:customStyle="1" w:styleId="Heading5Char">
    <w:name w:val="Heading 5 Char"/>
    <w:link w:val="Heading5"/>
    <w:uiPriority w:val="9"/>
    <w:rsid w:val="006A23D9"/>
    <w:rPr>
      <w:rFonts w:ascii="Cambria" w:eastAsia="Times New Roman" w:hAnsi="Cambria"/>
      <w:color w:val="243F60"/>
      <w:sz w:val="22"/>
      <w:szCs w:val="24"/>
      <w:lang w:eastAsia="es-ES"/>
    </w:rPr>
  </w:style>
  <w:style w:type="character" w:customStyle="1" w:styleId="Heading6Char">
    <w:name w:val="Heading 6 Char"/>
    <w:link w:val="Heading6"/>
    <w:rsid w:val="00970C59"/>
    <w:rPr>
      <w:rFonts w:ascii="Arial" w:eastAsia="SimSun" w:hAnsi="Arial"/>
      <w:b/>
      <w:bCs/>
      <w:caps/>
      <w:color w:val="008000"/>
      <w:sz w:val="24"/>
      <w:szCs w:val="22"/>
      <w:lang w:val="es-ES" w:eastAsia="es-E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s-ES" w:eastAsia="es-ES"/>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s-ES"/>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rPr>
  </w:style>
  <w:style w:type="character" w:customStyle="1" w:styleId="NoSpacingChar">
    <w:name w:val="No Spacing Char"/>
    <w:link w:val="NoSpacing1"/>
    <w:uiPriority w:val="1"/>
    <w:rsid w:val="0007153C"/>
    <w:rPr>
      <w:rFonts w:ascii="Arial" w:hAnsi="Arial"/>
      <w:sz w:val="22"/>
      <w:szCs w:val="22"/>
      <w:lang w:val="es-ES" w:eastAsia="es-ES" w:bidi="es-ES"/>
    </w:rPr>
  </w:style>
  <w:style w:type="paragraph" w:customStyle="1" w:styleId="ListParagraph1">
    <w:name w:val="List Paragraph1"/>
    <w:basedOn w:val="Normal"/>
    <w:uiPriority w:val="34"/>
    <w:qFormat/>
    <w:rsid w:val="003544CF"/>
    <w:pPr>
      <w:numPr>
        <w:numId w:val="5"/>
      </w:numPr>
      <w:tabs>
        <w:tab w:val="clear" w:pos="567"/>
        <w:tab w:val="left" w:pos="709"/>
      </w:tabs>
    </w:pPr>
    <w:rPr>
      <w:snapToGrid/>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s-ES" w:eastAsia="es-ES"/>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ar Char Char,fn,footnote text,5_G"/>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aliases w:val="Footnote Text Char Char Char Char Char Char,Footnote Text Char Char Char Char Char1, Char Char, Char Char Char Char Char,fn Char,footnote text Char,5_G Char"/>
    <w:link w:val="FootnoteText"/>
    <w:rsid w:val="006A23D9"/>
    <w:rPr>
      <w:rFonts w:ascii="Arial" w:eastAsia="SimSun" w:hAnsi="Arial" w:cs="Arial"/>
      <w:snapToGrid w:val="0"/>
      <w:sz w:val="16"/>
      <w:lang w:val="es-ES" w:eastAsia="es-ES"/>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s-ES" w:eastAsia="es-ES"/>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s-ES" w:eastAsia="es-ES"/>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s-ES" w:eastAsia="es-ES"/>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rPr>
  </w:style>
  <w:style w:type="table" w:customStyle="1" w:styleId="TableGrid3">
    <w:name w:val="Table Grid3"/>
    <w:basedOn w:val="TableNormal"/>
    <w:next w:val="TableGrid"/>
    <w:rsid w:val="00175B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s-ES" w:eastAsia="es-ES"/>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es-ES"/>
    </w:rPr>
  </w:style>
  <w:style w:type="paragraph" w:customStyle="1" w:styleId="SsTit">
    <w:name w:val="SsTit"/>
    <w:basedOn w:val="Normal"/>
    <w:rsid w:val="000E78BD"/>
    <w:pPr>
      <w:widowControl w:val="0"/>
      <w:spacing w:before="0" w:after="480" w:line="440" w:lineRule="exact"/>
      <w:jc w:val="left"/>
    </w:pPr>
    <w:rPr>
      <w:b/>
      <w:caps/>
      <w:sz w:val="36"/>
      <w:szCs w:val="36"/>
    </w:rPr>
  </w:style>
  <w:style w:type="paragraph" w:customStyle="1" w:styleId="Texte1">
    <w:name w:val="Texte1"/>
    <w:basedOn w:val="Normal"/>
    <w:link w:val="Texte1Car"/>
    <w:rsid w:val="006A23D9"/>
    <w:pPr>
      <w:spacing w:before="0" w:after="60" w:line="280" w:lineRule="exact"/>
      <w:ind w:left="851"/>
    </w:pPr>
    <w:rPr>
      <w:snapToGrid/>
      <w:sz w:val="20"/>
    </w:rPr>
  </w:style>
  <w:style w:type="character" w:customStyle="1" w:styleId="Texte1Car">
    <w:name w:val="Texte1 Car"/>
    <w:link w:val="Texte1"/>
    <w:rsid w:val="006A23D9"/>
    <w:rPr>
      <w:rFonts w:ascii="Arial" w:eastAsia="SimSun" w:hAnsi="Arial" w:cs="Arial"/>
      <w:szCs w:val="24"/>
      <w:lang w:eastAsia="es-ES"/>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s-ES" w:eastAsia="es-ES"/>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s-E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rPr>
  </w:style>
  <w:style w:type="paragraph" w:customStyle="1" w:styleId="Numrosance">
    <w:name w:val="Numéroséance"/>
    <w:basedOn w:val="Normal"/>
    <w:rsid w:val="00867240"/>
    <w:pPr>
      <w:numPr>
        <w:numId w:val="59"/>
      </w:numPr>
      <w:spacing w:before="0" w:after="60" w:line="280" w:lineRule="exact"/>
    </w:pPr>
    <w:rPr>
      <w:bCs/>
      <w:snapToGrid/>
      <w:sz w:val="20"/>
      <w:szCs w:val="20"/>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rPr>
  </w:style>
  <w:style w:type="character" w:customStyle="1" w:styleId="informationsCar">
    <w:name w:val="informations Car"/>
    <w:link w:val="informations"/>
    <w:rsid w:val="0062066C"/>
    <w:rPr>
      <w:rFonts w:ascii="Arial" w:eastAsia="Times New Roman" w:hAnsi="Arial" w:cs="Arial"/>
      <w:i/>
      <w:iCs/>
      <w:color w:val="4F81BD"/>
      <w:spacing w:val="15"/>
      <w:lang w:val="es-ES" w:eastAsia="es-E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rPr>
  </w:style>
  <w:style w:type="character" w:customStyle="1" w:styleId="InformationsCar0">
    <w:name w:val="Informations Car"/>
    <w:link w:val="Informations0"/>
    <w:rsid w:val="00EE0E82"/>
    <w:rPr>
      <w:rFonts w:ascii="Arial" w:eastAsia="SimSun" w:hAnsi="Arial" w:cs="Arial"/>
      <w:i/>
      <w:color w:val="3366FF"/>
      <w:lang w:eastAsia="es-ES"/>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rPr>
  </w:style>
  <w:style w:type="character" w:customStyle="1" w:styleId="diapo2Car">
    <w:name w:val="diapo2 Car"/>
    <w:link w:val="diapo2"/>
    <w:rsid w:val="00EE0E82"/>
    <w:rPr>
      <w:rFonts w:ascii="Arial" w:eastAsia="SimSun" w:hAnsi="Arial" w:cs="Arial"/>
      <w:b/>
      <w:noProof/>
      <w:snapToGrid w:val="0"/>
      <w:sz w:val="24"/>
      <w:szCs w:val="22"/>
      <w:lang w:eastAsia="es-E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style>
  <w:style w:type="character" w:customStyle="1" w:styleId="enuiCar">
    <w:name w:val="enu(i) Car"/>
    <w:link w:val="enui"/>
    <w:rsid w:val="00100691"/>
    <w:rPr>
      <w:rFonts w:ascii="Arial" w:eastAsia="SimSun" w:hAnsi="Arial" w:cs="Arial"/>
      <w:szCs w:val="24"/>
      <w:lang w:eastAsia="es-ES"/>
    </w:rPr>
  </w:style>
  <w:style w:type="paragraph" w:customStyle="1" w:styleId="DOa">
    <w:name w:val="DOa"/>
    <w:basedOn w:val="numrationa"/>
    <w:rsid w:val="002915CA"/>
    <w:pPr>
      <w:ind w:left="2325"/>
    </w:p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es-ES"/>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es-ES"/>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rPr>
  </w:style>
  <w:style w:type="character" w:customStyle="1" w:styleId="EvaluationCar">
    <w:name w:val="Evaluation Car"/>
    <w:link w:val="Evaluation"/>
    <w:rsid w:val="005224A2"/>
    <w:rPr>
      <w:rFonts w:ascii="Arial" w:eastAsia="SimSun" w:hAnsi="Arial" w:cs="Arial"/>
      <w:lang w:eastAsia="es-ES"/>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s-ES" w:eastAsia="es-ES"/>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s-ES" w:eastAsia="es-ES"/>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rPr>
  </w:style>
  <w:style w:type="character" w:customStyle="1" w:styleId="EnutiretCar">
    <w:name w:val="Enutiret Car"/>
    <w:link w:val="Enutiret"/>
    <w:rsid w:val="002C2CEF"/>
    <w:rPr>
      <w:rFonts w:ascii="Arial" w:hAnsi="Arial" w:cs="Arial"/>
      <w:noProof/>
      <w:snapToGrid w:val="0"/>
      <w:lang w:eastAsia="es-E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rPr>
  </w:style>
  <w:style w:type="paragraph" w:customStyle="1" w:styleId="Tabltetiere">
    <w:name w:val="Tabltetiere"/>
    <w:basedOn w:val="Normal"/>
    <w:rsid w:val="006A23D9"/>
    <w:pPr>
      <w:keepNext/>
      <w:spacing w:before="60" w:after="60" w:line="200" w:lineRule="exact"/>
      <w:jc w:val="center"/>
    </w:pPr>
    <w:rPr>
      <w:b/>
      <w:snapToGrid/>
      <w:sz w:val="18"/>
      <w:szCs w:val="20"/>
    </w:rPr>
  </w:style>
  <w:style w:type="paragraph" w:customStyle="1" w:styleId="Tabtit">
    <w:name w:val="Tabtit"/>
    <w:basedOn w:val="Normal"/>
    <w:rsid w:val="006A23D9"/>
    <w:pPr>
      <w:spacing w:before="240" w:line="280" w:lineRule="exact"/>
    </w:pPr>
    <w:rPr>
      <w:b/>
      <w:snapToGrid/>
      <w:sz w:val="20"/>
      <w:szCs w:val="20"/>
    </w:rPr>
  </w:style>
  <w:style w:type="paragraph" w:customStyle="1" w:styleId="Tabtxt">
    <w:name w:val="Tabtxt"/>
    <w:basedOn w:val="Normal"/>
    <w:rsid w:val="006A23D9"/>
    <w:pPr>
      <w:keepNext/>
      <w:spacing w:before="60" w:after="60" w:line="200" w:lineRule="exact"/>
      <w:jc w:val="center"/>
    </w:pPr>
    <w:rPr>
      <w:snapToGrid/>
      <w:sz w:val="18"/>
      <w:szCs w:val="18"/>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s-ES" w:eastAsia="es-ES"/>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s-ES" w:eastAsia="es-ES"/>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es-ES" w:eastAsia="es-E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es-ES"/>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es-ES"/>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rPr>
  </w:style>
  <w:style w:type="paragraph" w:customStyle="1" w:styleId="Extract">
    <w:name w:val="Extract"/>
    <w:basedOn w:val="Normal"/>
    <w:qFormat/>
    <w:rsid w:val="00F15E7C"/>
    <w:pPr>
      <w:spacing w:before="240" w:after="240"/>
      <w:ind w:left="567"/>
    </w:pPr>
    <w:rPr>
      <w:sz w:val="20"/>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s-ES" w:eastAsia="es-ES"/>
    </w:rPr>
  </w:style>
  <w:style w:type="paragraph" w:customStyle="1" w:styleId="HO1">
    <w:name w:val="HO1"/>
    <w:basedOn w:val="Titcoul"/>
    <w:link w:val="HO1Car"/>
    <w:rsid w:val="00A215BE"/>
    <w:pPr>
      <w:spacing w:after="0"/>
    </w:pPr>
    <w:rPr>
      <w:caps w:val="0"/>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s-ES" w:eastAsia="es-ES"/>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s-ES" w:eastAsia="es-ES"/>
    </w:rPr>
  </w:style>
  <w:style w:type="character" w:customStyle="1" w:styleId="shortdesc1">
    <w:name w:val="short_desc1"/>
    <w:basedOn w:val="DefaultParagraphFont"/>
    <w:rsid w:val="000C100A"/>
    <w:rPr>
      <w:rFonts w:ascii="Verdana" w:hAnsi="Verdana" w:hint="default"/>
      <w:strike w:val="0"/>
      <w:dstrike w:val="0"/>
      <w:color w:val="000000"/>
      <w:sz w:val="15"/>
      <w:szCs w:val="15"/>
      <w:u w:val="none"/>
      <w:effect w:val="none"/>
    </w:rPr>
  </w:style>
  <w:style w:type="character" w:customStyle="1" w:styleId="longdesc1">
    <w:name w:val="long_desc1"/>
    <w:basedOn w:val="DefaultParagraphFont"/>
    <w:rsid w:val="000C100A"/>
    <w:rPr>
      <w:rFonts w:ascii="Verdana" w:hAnsi="Verdana" w:hint="default"/>
      <w:strike w:val="0"/>
      <w:dstrike w:val="0"/>
      <w:color w:val="000000"/>
      <w:sz w:val="15"/>
      <w:szCs w:val="15"/>
      <w:u w:val="none"/>
      <w:effect w:val="none"/>
    </w:rPr>
  </w:style>
  <w:style w:type="character" w:customStyle="1" w:styleId="alt-edited">
    <w:name w:val="alt-edited"/>
    <w:rsid w:val="00CA3097"/>
  </w:style>
  <w:style w:type="paragraph" w:customStyle="1" w:styleId="paragraph1">
    <w:name w:val="paragraph 1"/>
    <w:basedOn w:val="Normal"/>
    <w:link w:val="paragraph1Char"/>
    <w:qFormat/>
    <w:rsid w:val="00CA3097"/>
    <w:pPr>
      <w:numPr>
        <w:numId w:val="159"/>
      </w:numPr>
      <w:tabs>
        <w:tab w:val="clear" w:pos="567"/>
      </w:tabs>
      <w:spacing w:before="0" w:after="60" w:line="280" w:lineRule="exact"/>
    </w:pPr>
    <w:rPr>
      <w:snapToGrid/>
      <w:sz w:val="20"/>
      <w:szCs w:val="22"/>
    </w:rPr>
  </w:style>
  <w:style w:type="character" w:customStyle="1" w:styleId="paragraph1Char">
    <w:name w:val="paragraph 1 Char"/>
    <w:link w:val="paragraph1"/>
    <w:rsid w:val="00CA3097"/>
    <w:rPr>
      <w:rFonts w:ascii="Arial" w:eastAsia="SimSun" w:hAnsi="Arial" w:cs="Arial"/>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F785-414C-4E68-9A38-60C42418F0EC}">
  <ds:schemaRefs>
    <ds:schemaRef ds:uri="http://schemas.openxmlformats.org/officeDocument/2006/bibliography"/>
  </ds:schemaRefs>
</ds:datastoreItem>
</file>

<file path=customXml/itemProps2.xml><?xml version="1.0" encoding="utf-8"?>
<ds:datastoreItem xmlns:ds="http://schemas.openxmlformats.org/officeDocument/2006/customXml" ds:itemID="{E98892DC-6BBE-4B0C-8418-0848F3FB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1022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1205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2016-05-17T16:26:00Z</dcterms:created>
  <dcterms:modified xsi:type="dcterms:W3CDTF">2018-03-23T12:57:00Z</dcterms:modified>
</cp:coreProperties>
</file>