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05DA" w14:textId="77777777" w:rsidR="009B67CA" w:rsidRPr="00990C24" w:rsidRDefault="009B67CA" w:rsidP="009B67CA">
      <w:pPr>
        <w:spacing w:before="1440"/>
        <w:jc w:val="center"/>
        <w:rPr>
          <w:rFonts w:ascii="Arial" w:hAnsi="Arial" w:cs="Arial"/>
          <w:b/>
          <w:sz w:val="22"/>
          <w:szCs w:val="22"/>
        </w:rPr>
      </w:pPr>
      <w:r w:rsidRPr="00990C24">
        <w:rPr>
          <w:rFonts w:ascii="Arial" w:hAnsi="Arial" w:cs="Arial"/>
          <w:b/>
          <w:sz w:val="22"/>
          <w:szCs w:val="22"/>
        </w:rPr>
        <w:t>保护非物质文化遗产公约</w:t>
      </w:r>
    </w:p>
    <w:p w14:paraId="658864B8" w14:textId="77777777" w:rsidR="009B67CA" w:rsidRPr="00990C24" w:rsidRDefault="009B67CA" w:rsidP="009B67CA">
      <w:pPr>
        <w:spacing w:before="1200"/>
        <w:jc w:val="center"/>
        <w:rPr>
          <w:rFonts w:ascii="Arial" w:hAnsi="Arial" w:cs="Arial"/>
          <w:b/>
          <w:sz w:val="22"/>
          <w:szCs w:val="22"/>
        </w:rPr>
      </w:pPr>
      <w:r w:rsidRPr="00990C24">
        <w:rPr>
          <w:rFonts w:ascii="Arial" w:hAnsi="Arial" w:cs="Arial"/>
          <w:b/>
          <w:sz w:val="22"/>
          <w:szCs w:val="22"/>
        </w:rPr>
        <w:t>《保护非物质文化遗产公约》缔约国大会</w:t>
      </w:r>
    </w:p>
    <w:p w14:paraId="3C8CCF98" w14:textId="77777777" w:rsidR="009B67CA" w:rsidRPr="00990C24" w:rsidRDefault="009B67CA" w:rsidP="009B67CA">
      <w:pPr>
        <w:spacing w:before="840"/>
        <w:jc w:val="center"/>
        <w:rPr>
          <w:rFonts w:ascii="Arial" w:hAnsi="Arial" w:cs="Arial"/>
          <w:b/>
          <w:sz w:val="22"/>
          <w:szCs w:val="22"/>
        </w:rPr>
      </w:pPr>
      <w:r w:rsidRPr="00990C24">
        <w:rPr>
          <w:rFonts w:ascii="Arial" w:hAnsi="Arial" w:cs="Arial"/>
          <w:b/>
          <w:sz w:val="22"/>
          <w:szCs w:val="22"/>
        </w:rPr>
        <w:t>第八届会议</w:t>
      </w:r>
    </w:p>
    <w:p w14:paraId="0104D184" w14:textId="77777777" w:rsidR="009B67CA" w:rsidRPr="00990C24" w:rsidRDefault="009B67CA" w:rsidP="009B67CA">
      <w:pPr>
        <w:jc w:val="center"/>
        <w:rPr>
          <w:rFonts w:ascii="Arial" w:hAnsi="Arial" w:cs="Arial"/>
          <w:b/>
          <w:sz w:val="22"/>
          <w:szCs w:val="22"/>
        </w:rPr>
      </w:pPr>
      <w:r w:rsidRPr="00990C24">
        <w:rPr>
          <w:rFonts w:ascii="Arial" w:hAnsi="Arial" w:cs="Arial"/>
          <w:b/>
          <w:sz w:val="22"/>
          <w:szCs w:val="22"/>
        </w:rPr>
        <w:t>教科文组织总部，一号会议厅</w:t>
      </w:r>
    </w:p>
    <w:p w14:paraId="30E65985" w14:textId="77777777" w:rsidR="009B67CA" w:rsidRPr="00990C24" w:rsidRDefault="009B67CA" w:rsidP="009B67CA">
      <w:pPr>
        <w:jc w:val="center"/>
        <w:rPr>
          <w:rFonts w:ascii="Arial" w:hAnsi="Arial" w:cs="Arial"/>
          <w:b/>
          <w:sz w:val="22"/>
          <w:szCs w:val="22"/>
        </w:rPr>
      </w:pPr>
      <w:r w:rsidRPr="00990C24">
        <w:rPr>
          <w:rFonts w:ascii="Arial" w:hAnsi="Arial" w:cs="Arial"/>
          <w:b/>
          <w:sz w:val="22"/>
          <w:szCs w:val="22"/>
        </w:rPr>
        <w:t>2020</w:t>
      </w:r>
      <w:r w:rsidRPr="00990C24">
        <w:rPr>
          <w:rFonts w:ascii="Arial" w:hAnsi="Arial" w:cs="Arial"/>
          <w:b/>
          <w:sz w:val="22"/>
          <w:szCs w:val="22"/>
        </w:rPr>
        <w:t>年</w:t>
      </w:r>
      <w:r w:rsidRPr="00990C24">
        <w:rPr>
          <w:rFonts w:ascii="Arial" w:hAnsi="Arial" w:cs="Arial"/>
          <w:b/>
          <w:sz w:val="22"/>
          <w:szCs w:val="22"/>
        </w:rPr>
        <w:t>9</w:t>
      </w:r>
      <w:r w:rsidRPr="00990C24">
        <w:rPr>
          <w:rFonts w:ascii="Arial" w:hAnsi="Arial" w:cs="Arial"/>
          <w:b/>
          <w:sz w:val="22"/>
          <w:szCs w:val="22"/>
        </w:rPr>
        <w:t>月</w:t>
      </w:r>
      <w:r w:rsidRPr="00990C24">
        <w:rPr>
          <w:rFonts w:ascii="Arial" w:hAnsi="Arial" w:cs="Arial"/>
          <w:b/>
          <w:sz w:val="22"/>
          <w:szCs w:val="22"/>
        </w:rPr>
        <w:t>8</w:t>
      </w:r>
      <w:r w:rsidRPr="00990C24">
        <w:rPr>
          <w:rFonts w:ascii="Arial" w:hAnsi="Arial" w:cs="Arial"/>
          <w:b/>
          <w:sz w:val="22"/>
          <w:szCs w:val="22"/>
        </w:rPr>
        <w:t>日至</w:t>
      </w:r>
      <w:r w:rsidRPr="00990C24">
        <w:rPr>
          <w:rFonts w:ascii="Arial" w:hAnsi="Arial" w:cs="Arial"/>
          <w:b/>
          <w:sz w:val="22"/>
          <w:szCs w:val="22"/>
        </w:rPr>
        <w:t>10</w:t>
      </w:r>
      <w:r w:rsidRPr="00990C24">
        <w:rPr>
          <w:rFonts w:ascii="Arial" w:hAnsi="Arial" w:cs="Arial"/>
          <w:b/>
          <w:sz w:val="22"/>
          <w:szCs w:val="22"/>
        </w:rPr>
        <w:t>日</w:t>
      </w:r>
    </w:p>
    <w:p w14:paraId="10050F60" w14:textId="01A57624" w:rsidR="009B67CA" w:rsidRPr="00990C24" w:rsidRDefault="009B67CA" w:rsidP="009B67CA">
      <w:pPr>
        <w:pStyle w:val="Sansinterligne2"/>
        <w:spacing w:before="1200"/>
        <w:jc w:val="center"/>
        <w:rPr>
          <w:rFonts w:ascii="Arial" w:hAnsi="Arial" w:cs="Arial"/>
          <w:b/>
          <w:sz w:val="22"/>
          <w:szCs w:val="22"/>
          <w:u w:val="thick"/>
        </w:rPr>
      </w:pPr>
      <w:r w:rsidRPr="00990C24">
        <w:rPr>
          <w:rFonts w:ascii="Arial" w:hAnsi="Arial" w:cs="Arial"/>
          <w:b/>
          <w:sz w:val="22"/>
          <w:szCs w:val="22"/>
          <w:u w:val="thick"/>
        </w:rPr>
        <w:t>临时议程项目</w:t>
      </w:r>
      <w:r w:rsidR="008517F3" w:rsidRPr="00990C24">
        <w:rPr>
          <w:rFonts w:ascii="Arial" w:hAnsi="Arial" w:cs="Arial"/>
          <w:b/>
          <w:sz w:val="22"/>
          <w:szCs w:val="22"/>
          <w:u w:val="thick"/>
        </w:rPr>
        <w:t>10</w:t>
      </w:r>
      <w:r w:rsidRPr="00990C24">
        <w:rPr>
          <w:rFonts w:ascii="Arial" w:hAnsi="Arial" w:cs="Arial"/>
          <w:b/>
          <w:sz w:val="22"/>
          <w:szCs w:val="22"/>
          <w:u w:val="thick"/>
        </w:rPr>
        <w:t>：</w:t>
      </w:r>
    </w:p>
    <w:p w14:paraId="2D2B7C81" w14:textId="77777777" w:rsidR="009B67CA" w:rsidRPr="00990C24" w:rsidRDefault="009B67CA" w:rsidP="009B67CA">
      <w:pPr>
        <w:pStyle w:val="Sansinterligne2"/>
        <w:spacing w:after="1200"/>
        <w:jc w:val="center"/>
        <w:rPr>
          <w:rFonts w:ascii="Arial" w:hAnsi="Arial" w:cs="Arial"/>
          <w:b/>
          <w:sz w:val="22"/>
          <w:szCs w:val="22"/>
        </w:rPr>
      </w:pPr>
      <w:r w:rsidRPr="00990C24">
        <w:rPr>
          <w:rFonts w:ascii="Arial" w:hAnsi="Arial" w:cs="Arial"/>
          <w:b/>
          <w:sz w:val="22"/>
          <w:szCs w:val="22"/>
        </w:rPr>
        <w:t>对实施《公约》操作指南的修订</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B67CA" w:rsidRPr="00990C24" w14:paraId="5CA3CF53" w14:textId="77777777" w:rsidTr="009E3DA1">
        <w:trPr>
          <w:jc w:val="center"/>
        </w:trPr>
        <w:tc>
          <w:tcPr>
            <w:tcW w:w="5670" w:type="dxa"/>
            <w:vAlign w:val="center"/>
          </w:tcPr>
          <w:p w14:paraId="7854198B" w14:textId="30C69C2C" w:rsidR="009B67CA" w:rsidRPr="00990C24" w:rsidRDefault="004940AA" w:rsidP="009E3DA1">
            <w:pPr>
              <w:pStyle w:val="Sansinterligne1"/>
              <w:spacing w:before="200" w:after="200"/>
              <w:jc w:val="center"/>
              <w:rPr>
                <w:rFonts w:ascii="Arial" w:hAnsi="Arial" w:cs="Arial"/>
                <w:b/>
                <w:sz w:val="22"/>
                <w:szCs w:val="22"/>
              </w:rPr>
            </w:pPr>
            <w:r>
              <w:rPr>
                <w:rFonts w:ascii="Arial" w:hAnsi="Arial" w:cs="Arial" w:hint="eastAsia"/>
                <w:b/>
                <w:sz w:val="22"/>
                <w:szCs w:val="22"/>
              </w:rPr>
              <w:t>概述</w:t>
            </w:r>
          </w:p>
          <w:p w14:paraId="4D64E64A" w14:textId="6BB16B09" w:rsidR="009B67CA" w:rsidRPr="00990C24" w:rsidRDefault="009B67CA" w:rsidP="009E3DA1">
            <w:pPr>
              <w:pStyle w:val="Sansinterligne1"/>
              <w:jc w:val="both"/>
              <w:rPr>
                <w:rFonts w:ascii="Arial" w:hAnsi="Arial" w:cs="Arial"/>
                <w:bCs/>
                <w:sz w:val="22"/>
                <w:szCs w:val="22"/>
              </w:rPr>
            </w:pPr>
            <w:r w:rsidRPr="00990C24">
              <w:rPr>
                <w:rFonts w:ascii="Arial" w:hAnsi="Arial" w:cs="Arial"/>
                <w:sz w:val="22"/>
                <w:szCs w:val="22"/>
              </w:rPr>
              <w:t>政府间委员会在其第十四届会议上以实验</w:t>
            </w:r>
            <w:r w:rsidR="004B39C1" w:rsidRPr="00990C24">
              <w:rPr>
                <w:rFonts w:ascii="Arial" w:hAnsi="Arial" w:cs="Arial"/>
                <w:sz w:val="22"/>
                <w:szCs w:val="22"/>
              </w:rPr>
              <w:t>性</w:t>
            </w:r>
            <w:r w:rsidRPr="00990C24">
              <w:rPr>
                <w:rFonts w:ascii="Arial" w:hAnsi="Arial" w:cs="Arial"/>
                <w:sz w:val="22"/>
                <w:szCs w:val="22"/>
              </w:rPr>
              <w:t>方式总结了为</w:t>
            </w:r>
            <w:r w:rsidRPr="00990C24">
              <w:rPr>
                <w:rFonts w:ascii="Arial" w:hAnsi="Arial" w:cs="Arial"/>
                <w:sz w:val="22"/>
                <w:szCs w:val="22"/>
              </w:rPr>
              <w:t>2019</w:t>
            </w:r>
            <w:r w:rsidRPr="00990C24">
              <w:rPr>
                <w:rFonts w:ascii="Arial" w:hAnsi="Arial" w:cs="Arial"/>
                <w:sz w:val="22"/>
                <w:szCs w:val="22"/>
              </w:rPr>
              <w:t>年申报周期启动的临时对话</w:t>
            </w:r>
            <w:r w:rsidR="004B39C1" w:rsidRPr="00990C24">
              <w:rPr>
                <w:rFonts w:ascii="Arial" w:hAnsi="Arial" w:cs="Arial"/>
                <w:sz w:val="22"/>
                <w:szCs w:val="22"/>
              </w:rPr>
              <w:t>过程</w:t>
            </w:r>
            <w:r w:rsidRPr="00990C24">
              <w:rPr>
                <w:rFonts w:ascii="Arial" w:hAnsi="Arial" w:cs="Arial"/>
                <w:sz w:val="22"/>
                <w:szCs w:val="22"/>
              </w:rPr>
              <w:t>。委员会感谢该机制为评估和列入名录流程带来的积极经验，并建议大会修订实施《公约》操作指南，</w:t>
            </w:r>
            <w:r w:rsidR="004B39C1" w:rsidRPr="00990C24">
              <w:rPr>
                <w:rFonts w:ascii="Arial" w:hAnsi="Arial" w:cs="Arial"/>
                <w:sz w:val="22"/>
                <w:szCs w:val="22"/>
              </w:rPr>
              <w:t>将</w:t>
            </w:r>
            <w:r w:rsidRPr="00990C24">
              <w:rPr>
                <w:rFonts w:ascii="Arial" w:hAnsi="Arial" w:cs="Arial"/>
                <w:sz w:val="22"/>
                <w:szCs w:val="22"/>
              </w:rPr>
              <w:t>该对话过程</w:t>
            </w:r>
            <w:r w:rsidR="004B39C1" w:rsidRPr="00990C24">
              <w:rPr>
                <w:rFonts w:ascii="Arial" w:hAnsi="Arial" w:cs="Arial"/>
                <w:sz w:val="22"/>
                <w:szCs w:val="22"/>
              </w:rPr>
              <w:t>形成正式文件</w:t>
            </w:r>
            <w:r w:rsidRPr="00990C24">
              <w:rPr>
                <w:rFonts w:ascii="Arial" w:hAnsi="Arial" w:cs="Arial"/>
                <w:sz w:val="22"/>
                <w:szCs w:val="22"/>
              </w:rPr>
              <w:t>（</w:t>
            </w:r>
            <w:hyperlink r:id="rId7" w:history="1">
              <w:r w:rsidRPr="00990C24">
                <w:rPr>
                  <w:rFonts w:ascii="Arial" w:hAnsi="Arial" w:cs="Arial"/>
                  <w:color w:val="0000FF"/>
                  <w:sz w:val="22"/>
                  <w:szCs w:val="22"/>
                  <w:u w:val="single"/>
                </w:rPr>
                <w:t>第</w:t>
              </w:r>
              <w:r w:rsidRPr="00990C24">
                <w:rPr>
                  <w:rFonts w:ascii="Arial" w:hAnsi="Arial" w:cs="Arial"/>
                  <w:color w:val="0000FF"/>
                  <w:sz w:val="22"/>
                  <w:szCs w:val="22"/>
                  <w:u w:val="single"/>
                </w:rPr>
                <w:t>14.COM</w:t>
              </w:r>
              <w:r w:rsidR="006F0FEB" w:rsidRPr="00990C24">
                <w:rPr>
                  <w:rFonts w:ascii="Arial" w:hAnsi="Arial" w:cs="Arial"/>
                  <w:color w:val="0000FF"/>
                  <w:sz w:val="22"/>
                  <w:szCs w:val="22"/>
                  <w:u w:val="single"/>
                </w:rPr>
                <w:t> </w:t>
              </w:r>
              <w:r w:rsidRPr="00990C24">
                <w:rPr>
                  <w:rFonts w:ascii="Arial" w:hAnsi="Arial" w:cs="Arial"/>
                  <w:color w:val="0000FF"/>
                  <w:sz w:val="22"/>
                  <w:szCs w:val="22"/>
                  <w:u w:val="single"/>
                </w:rPr>
                <w:t>14</w:t>
              </w:r>
              <w:r w:rsidRPr="00990C24">
                <w:rPr>
                  <w:rFonts w:ascii="Arial" w:hAnsi="Arial" w:cs="Arial"/>
                  <w:color w:val="0000FF"/>
                  <w:sz w:val="22"/>
                  <w:szCs w:val="22"/>
                  <w:u w:val="single"/>
                </w:rPr>
                <w:t>号决定</w:t>
              </w:r>
            </w:hyperlink>
            <w:r w:rsidRPr="00990C24">
              <w:rPr>
                <w:rFonts w:ascii="Arial" w:hAnsi="Arial" w:cs="Arial"/>
                <w:sz w:val="22"/>
                <w:szCs w:val="22"/>
              </w:rPr>
              <w:t>），载于本文件附件中。</w:t>
            </w:r>
          </w:p>
          <w:p w14:paraId="32E37F9F" w14:textId="0EDC38D2" w:rsidR="009B67CA" w:rsidRPr="00990C24" w:rsidRDefault="006F0FEB" w:rsidP="009E3DA1">
            <w:pPr>
              <w:pStyle w:val="Sansinterligne2"/>
              <w:spacing w:before="200" w:after="120"/>
              <w:jc w:val="both"/>
              <w:rPr>
                <w:rFonts w:ascii="Arial" w:hAnsi="Arial" w:cs="Arial"/>
                <w:b/>
                <w:sz w:val="22"/>
                <w:szCs w:val="22"/>
              </w:rPr>
            </w:pPr>
            <w:r w:rsidRPr="00990C24">
              <w:rPr>
                <w:rFonts w:ascii="Arial" w:hAnsi="Arial" w:cs="Arial"/>
                <w:b/>
                <w:sz w:val="22"/>
                <w:szCs w:val="22"/>
                <w:lang w:val="zh-CN"/>
              </w:rPr>
              <w:t>需要做出的决定：</w:t>
            </w:r>
            <w:r w:rsidR="009B67CA" w:rsidRPr="00990C24">
              <w:rPr>
                <w:rFonts w:ascii="Arial" w:hAnsi="Arial" w:cs="Arial"/>
                <w:bCs/>
                <w:sz w:val="22"/>
                <w:szCs w:val="22"/>
              </w:rPr>
              <w:t>第</w:t>
            </w:r>
            <w:r w:rsidR="009B67CA" w:rsidRPr="00990C24">
              <w:rPr>
                <w:rFonts w:ascii="Arial" w:hAnsi="Arial" w:cs="Arial"/>
                <w:bCs/>
                <w:sz w:val="22"/>
                <w:szCs w:val="22"/>
              </w:rPr>
              <w:t>7</w:t>
            </w:r>
            <w:r w:rsidR="009B67CA" w:rsidRPr="00990C24">
              <w:rPr>
                <w:rFonts w:ascii="Arial" w:hAnsi="Arial" w:cs="Arial"/>
                <w:bCs/>
                <w:sz w:val="22"/>
                <w:szCs w:val="22"/>
              </w:rPr>
              <w:t>段</w:t>
            </w:r>
          </w:p>
        </w:tc>
      </w:tr>
    </w:tbl>
    <w:p w14:paraId="135597D2" w14:textId="77777777" w:rsidR="009B67CA" w:rsidRPr="00990C24" w:rsidRDefault="009B67CA" w:rsidP="009B67CA">
      <w:pPr>
        <w:pStyle w:val="GAPara"/>
        <w:numPr>
          <w:ilvl w:val="0"/>
          <w:numId w:val="0"/>
        </w:numPr>
        <w:jc w:val="both"/>
        <w:rPr>
          <w:lang w:val="fr-FR"/>
        </w:rPr>
      </w:pPr>
      <w:r w:rsidRPr="00990C24">
        <w:rPr>
          <w:lang w:val="fr-FR"/>
        </w:rPr>
        <w:br w:type="page"/>
      </w:r>
    </w:p>
    <w:p w14:paraId="55ADFFA5" w14:textId="1B9CB87A" w:rsidR="009B67CA" w:rsidRPr="00990C24" w:rsidRDefault="009B67CA" w:rsidP="00187B08">
      <w:pPr>
        <w:pStyle w:val="COMPara"/>
        <w:numPr>
          <w:ilvl w:val="0"/>
          <w:numId w:val="3"/>
        </w:numPr>
        <w:ind w:left="540" w:hanging="540"/>
        <w:jc w:val="both"/>
      </w:pPr>
      <w:r w:rsidRPr="00990C24">
        <w:lastRenderedPageBreak/>
        <w:t>委员会在其</w:t>
      </w:r>
      <w:r w:rsidRPr="00990C24">
        <w:rPr>
          <w:lang w:val="fr-FR"/>
        </w:rPr>
        <w:t>2016</w:t>
      </w:r>
      <w:r w:rsidRPr="00990C24">
        <w:t>年第十一届会议上认识到有必要在申报周期中增加一个环节</w:t>
      </w:r>
      <w:r w:rsidRPr="00990C24">
        <w:rPr>
          <w:lang w:val="fr-FR"/>
        </w:rPr>
        <w:t>，</w:t>
      </w:r>
      <w:r w:rsidRPr="00990C24">
        <w:t>使评估机构与</w:t>
      </w:r>
      <w:proofErr w:type="gramStart"/>
      <w:r w:rsidRPr="00990C24">
        <w:t>提交国</w:t>
      </w:r>
      <w:proofErr w:type="gramEnd"/>
      <w:r w:rsidRPr="00990C24">
        <w:t>之间可以开展对话。委员会要求秘书处在这方面提出适当的程序，同时设立一个非正式特设工作组来讨论此事（</w:t>
      </w:r>
      <w:hyperlink r:id="rId8" w:history="1">
        <w:r w:rsidRPr="00990C24">
          <w:rPr>
            <w:rStyle w:val="Hyperlink"/>
          </w:rPr>
          <w:t>第</w:t>
        </w:r>
        <w:r w:rsidRPr="00990C24">
          <w:rPr>
            <w:rStyle w:val="Hyperlink"/>
          </w:rPr>
          <w:t>11.COM 10</w:t>
        </w:r>
        <w:r w:rsidRPr="00990C24">
          <w:rPr>
            <w:rStyle w:val="Hyperlink"/>
          </w:rPr>
          <w:t>号决定</w:t>
        </w:r>
      </w:hyperlink>
      <w:r w:rsidRPr="00990C24">
        <w:t>）。在此之前，委员会推翻了评估机构关于申报、提案及请求的各项建议，</w:t>
      </w:r>
      <w:r w:rsidR="009B38EA" w:rsidRPr="00990C24">
        <w:t>做出</w:t>
      </w:r>
      <w:r w:rsidRPr="00990C24">
        <w:t>了有史以来数量最多的决定，而该决定就是在这样的背景下</w:t>
      </w:r>
      <w:r w:rsidR="009B38EA" w:rsidRPr="00990C24">
        <w:t>做出</w:t>
      </w:r>
      <w:r w:rsidRPr="00990C24">
        <w:t>的。该对话过程旨在使那些因存在技术性小问题而原本要向委员会转交文件的缔约国有机会在申报周期期间处理这些文件，而不必再等两年让委员会再次审查其文件。</w:t>
      </w:r>
    </w:p>
    <w:p w14:paraId="0F354B2A" w14:textId="1D1706D1" w:rsidR="009B67CA" w:rsidRPr="00990C24" w:rsidRDefault="009B67CA" w:rsidP="00187B08">
      <w:pPr>
        <w:pStyle w:val="COMPara"/>
        <w:numPr>
          <w:ilvl w:val="0"/>
          <w:numId w:val="3"/>
        </w:numPr>
        <w:ind w:left="540" w:hanging="540"/>
        <w:jc w:val="both"/>
      </w:pPr>
      <w:r w:rsidRPr="00990C24">
        <w:t>委员会在其</w:t>
      </w:r>
      <w:r w:rsidRPr="00990C24">
        <w:t>2017</w:t>
      </w:r>
      <w:r w:rsidRPr="00990C24">
        <w:t>年第十二届会议上的立场（</w:t>
      </w:r>
      <w:hyperlink r:id="rId9" w:history="1">
        <w:r w:rsidRPr="00990C24">
          <w:rPr>
            <w:rStyle w:val="Hyperlink"/>
          </w:rPr>
          <w:t>第</w:t>
        </w:r>
        <w:r w:rsidRPr="00990C24">
          <w:rPr>
            <w:rStyle w:val="Hyperlink"/>
          </w:rPr>
          <w:t>12.COM 13</w:t>
        </w:r>
        <w:r w:rsidRPr="00990C24">
          <w:rPr>
            <w:rStyle w:val="Hyperlink"/>
          </w:rPr>
          <w:t>号决定</w:t>
        </w:r>
      </w:hyperlink>
      <w:r w:rsidRPr="00990C24">
        <w:t>）是将花费更多时间使评估方法中引入的多项调整生效（特别是申请表格中部分标准的指导性问题方面），然后建立正式的</w:t>
      </w:r>
      <w:r w:rsidR="00990C24">
        <w:rPr>
          <w:rFonts w:hint="eastAsia"/>
        </w:rPr>
        <w:t>“</w:t>
      </w:r>
      <w:r w:rsidRPr="00990C24">
        <w:t>对话</w:t>
      </w:r>
      <w:r w:rsidR="00990C24">
        <w:rPr>
          <w:rFonts w:hint="eastAsia"/>
        </w:rPr>
        <w:t>”</w:t>
      </w:r>
      <w:r w:rsidRPr="00990C24">
        <w:t>过程。在同一会议上，委员会决定将非正式特设工作组延续到</w:t>
      </w:r>
      <w:r w:rsidRPr="00990C24">
        <w:t>2018</w:t>
      </w:r>
      <w:r w:rsidRPr="00990C24">
        <w:t>年，并向所有缔约国开放。作为其任务的一部分，要求该工作组与评估机构共同磋商，对相应的</w:t>
      </w:r>
      <w:r w:rsidR="00990C24">
        <w:rPr>
          <w:rFonts w:hint="eastAsia"/>
        </w:rPr>
        <w:t>“</w:t>
      </w:r>
      <w:r w:rsidRPr="00990C24">
        <w:t>对话</w:t>
      </w:r>
      <w:r w:rsidR="00990C24">
        <w:rPr>
          <w:rFonts w:hint="eastAsia"/>
        </w:rPr>
        <w:t>”</w:t>
      </w:r>
      <w:r w:rsidRPr="00990C24">
        <w:t>机制进行深入反思，并将</w:t>
      </w:r>
      <w:r w:rsidRPr="00990C24">
        <w:t>2018</w:t>
      </w:r>
      <w:r w:rsidRPr="00990C24">
        <w:t>年</w:t>
      </w:r>
      <w:r w:rsidRPr="00990C24">
        <w:t>6</w:t>
      </w:r>
      <w:r w:rsidRPr="00990C24">
        <w:t>月大会第七届会议通过的各项决议考虑在内。在同一届会议上，大会充分认识到对话对于加强评估过程的透明度和公信力的重要性，并要求工作组向</w:t>
      </w:r>
      <w:r w:rsidRPr="00990C24">
        <w:t>2018</w:t>
      </w:r>
      <w:r w:rsidRPr="00990C24">
        <w:t>年</w:t>
      </w:r>
      <w:r w:rsidRPr="00990C24">
        <w:t>11</w:t>
      </w:r>
      <w:r w:rsidRPr="00990C24">
        <w:t>月</w:t>
      </w:r>
      <w:r w:rsidRPr="00990C24">
        <w:t>/12</w:t>
      </w:r>
      <w:r w:rsidRPr="00990C24">
        <w:t>月委员会第十三届会议提交其审议和建议（</w:t>
      </w:r>
      <w:hyperlink r:id="rId10" w:history="1">
        <w:r w:rsidRPr="00990C24">
          <w:rPr>
            <w:rStyle w:val="Hyperlink"/>
          </w:rPr>
          <w:t>第</w:t>
        </w:r>
        <w:r w:rsidRPr="00990C24">
          <w:rPr>
            <w:rStyle w:val="Hyperlink"/>
          </w:rPr>
          <w:t>7.GA 6</w:t>
        </w:r>
        <w:r w:rsidRPr="00990C24">
          <w:rPr>
            <w:rStyle w:val="Hyperlink"/>
          </w:rPr>
          <w:t>号决议</w:t>
        </w:r>
      </w:hyperlink>
      <w:r w:rsidRPr="00990C24">
        <w:t>）。</w:t>
      </w:r>
    </w:p>
    <w:p w14:paraId="0A914528" w14:textId="5DCA2A2A" w:rsidR="009B67CA" w:rsidRPr="00990C24" w:rsidRDefault="009B67CA" w:rsidP="00187B08">
      <w:pPr>
        <w:pStyle w:val="COMPara"/>
        <w:numPr>
          <w:ilvl w:val="0"/>
          <w:numId w:val="3"/>
        </w:numPr>
        <w:ind w:left="540" w:hanging="540"/>
        <w:jc w:val="both"/>
      </w:pPr>
      <w:r w:rsidRPr="00990C24">
        <w:t>在其第十三届会议上，委员会审查了之前经过长时间审议后而转交的几项申请，然后重申其希望看到与列入名录、遴选以及所提交文件的批准有关的评估和决策程序有所改进。一方面，委员会决定在日本的资金支持下，开始对列入机制进行长期性的全局反思，</w:t>
      </w:r>
      <w:r w:rsidR="007D13E4" w:rsidRPr="00990C24">
        <w:t>这一反思</w:t>
      </w:r>
      <w:r w:rsidRPr="00990C24">
        <w:t>将持续到至少</w:t>
      </w:r>
      <w:r w:rsidRPr="00990C24">
        <w:t>2022</w:t>
      </w:r>
      <w:r w:rsidRPr="00990C24">
        <w:t>年（请参阅第</w:t>
      </w:r>
      <w:hyperlink r:id="rId11" w:history="1">
        <w:r w:rsidRPr="00990C24">
          <w:rPr>
            <w:rStyle w:val="Hyperlink"/>
          </w:rPr>
          <w:t>LHE/20/8.GA/</w:t>
        </w:r>
        <w:r w:rsidR="00187B08" w:rsidRPr="00990C24">
          <w:rPr>
            <w:rStyle w:val="Hyperlink"/>
          </w:rPr>
          <w:t>11</w:t>
        </w:r>
      </w:hyperlink>
      <w:r w:rsidRPr="00990C24">
        <w:t>号文件）。另一方面，委员会希望在下一个周期中试行可能的对话过程，作为全局反思</w:t>
      </w:r>
      <w:r w:rsidR="00990C24">
        <w:rPr>
          <w:rFonts w:hint="eastAsia"/>
        </w:rPr>
        <w:t>“</w:t>
      </w:r>
      <w:r w:rsidRPr="00990C24">
        <w:t>早期收获一揽子计划</w:t>
      </w:r>
      <w:r w:rsidR="00990C24">
        <w:rPr>
          <w:rFonts w:hint="eastAsia"/>
        </w:rPr>
        <w:t>”</w:t>
      </w:r>
      <w:r w:rsidRPr="00990C24">
        <w:t>的一部分，可以在提交大会第八届会议通过的《操作指南》修订中予以反思（</w:t>
      </w:r>
      <w:hyperlink r:id="rId12" w:history="1">
        <w:r w:rsidRPr="00990C24">
          <w:rPr>
            <w:rStyle w:val="Hyperlink"/>
            <w:bCs/>
          </w:rPr>
          <w:t>第</w:t>
        </w:r>
        <w:r w:rsidRPr="00990C24">
          <w:rPr>
            <w:rStyle w:val="Hyperlink"/>
            <w:bCs/>
          </w:rPr>
          <w:t>13.COM 10</w:t>
        </w:r>
        <w:r w:rsidRPr="00990C24">
          <w:rPr>
            <w:rStyle w:val="Hyperlink"/>
            <w:bCs/>
          </w:rPr>
          <w:t>号决定</w:t>
        </w:r>
      </w:hyperlink>
      <w:r w:rsidRPr="00990C24">
        <w:t>：第</w:t>
      </w:r>
      <w:r w:rsidRPr="00990C24">
        <w:t>14</w:t>
      </w:r>
      <w:r w:rsidRPr="00990C24">
        <w:t>至</w:t>
      </w:r>
      <w:r w:rsidRPr="00990C24">
        <w:t>18</w:t>
      </w:r>
      <w:r w:rsidRPr="00990C24">
        <w:t>段）。同时，不限成员名额非正式特设工作组的任期再次延长至</w:t>
      </w:r>
      <w:r w:rsidRPr="00990C24">
        <w:t>2019</w:t>
      </w:r>
      <w:r w:rsidRPr="00990C24">
        <w:t>年，旨在同样</w:t>
      </w:r>
      <w:r w:rsidR="00990C24">
        <w:rPr>
          <w:rFonts w:hint="eastAsia"/>
        </w:rPr>
        <w:t>“</w:t>
      </w:r>
      <w:r w:rsidRPr="00990C24">
        <w:t>与秘书处和评估机构就实验性对话机制的实施进行交流</w:t>
      </w:r>
      <w:r w:rsidR="00990C24">
        <w:rPr>
          <w:rFonts w:hint="eastAsia"/>
        </w:rPr>
        <w:t>”</w:t>
      </w:r>
      <w:r w:rsidRPr="00990C24">
        <w:t>（</w:t>
      </w:r>
      <w:hyperlink r:id="rId13" w:history="1">
        <w:r w:rsidRPr="00990C24">
          <w:rPr>
            <w:rStyle w:val="Hyperlink"/>
          </w:rPr>
          <w:t>第</w:t>
        </w:r>
        <w:r w:rsidRPr="00990C24">
          <w:rPr>
            <w:rStyle w:val="Hyperlink"/>
          </w:rPr>
          <w:t>13.COM 16</w:t>
        </w:r>
        <w:r w:rsidRPr="00990C24">
          <w:rPr>
            <w:rStyle w:val="Hyperlink"/>
          </w:rPr>
          <w:t>号决定</w:t>
        </w:r>
      </w:hyperlink>
      <w:r w:rsidRPr="00990C24">
        <w:t>）。</w:t>
      </w:r>
    </w:p>
    <w:p w14:paraId="0216BA2B" w14:textId="4671842B" w:rsidR="009B67CA" w:rsidRPr="00990C24" w:rsidRDefault="009B67CA" w:rsidP="00187B08">
      <w:pPr>
        <w:pStyle w:val="COMPara"/>
        <w:numPr>
          <w:ilvl w:val="0"/>
          <w:numId w:val="3"/>
        </w:numPr>
        <w:ind w:left="540" w:hanging="540"/>
        <w:jc w:val="both"/>
      </w:pPr>
      <w:r w:rsidRPr="00990C24">
        <w:t>具体而言，评估机构受权通过对</w:t>
      </w:r>
      <w:r w:rsidRPr="00990C24">
        <w:t>2019</w:t>
      </w:r>
      <w:r w:rsidRPr="00990C24">
        <w:t>年周期提交的文件进行评估，从而开展临时对话（</w:t>
      </w:r>
      <w:hyperlink r:id="rId14" w:history="1">
        <w:r w:rsidRPr="00990C24">
          <w:rPr>
            <w:rStyle w:val="Hyperlink"/>
          </w:rPr>
          <w:t>第</w:t>
        </w:r>
        <w:r w:rsidR="00187B08" w:rsidRPr="00990C24">
          <w:rPr>
            <w:rStyle w:val="Hyperlink"/>
          </w:rPr>
          <w:t> </w:t>
        </w:r>
        <w:r w:rsidRPr="00990C24">
          <w:rPr>
            <w:rStyle w:val="Hyperlink"/>
          </w:rPr>
          <w:t>13.COM 14</w:t>
        </w:r>
        <w:r w:rsidRPr="00990C24">
          <w:rPr>
            <w:rStyle w:val="Hyperlink"/>
          </w:rPr>
          <w:t>号决定</w:t>
        </w:r>
      </w:hyperlink>
      <w:r w:rsidRPr="00990C24">
        <w:t>；附件第</w:t>
      </w:r>
      <w:r w:rsidRPr="00990C24">
        <w:t>6</w:t>
      </w:r>
      <w:r w:rsidRPr="00990C24">
        <w:t>段）。无论何时，只要评估机构认为文件中包含的信息虽不足以评估是否满足标准（转交文件），但与</w:t>
      </w:r>
      <w:proofErr w:type="gramStart"/>
      <w:r w:rsidRPr="00990C24">
        <w:t>提交国</w:t>
      </w:r>
      <w:proofErr w:type="gramEnd"/>
      <w:r w:rsidRPr="00990C24">
        <w:t>开展简短问答后可能会影响其评估结果时，评估机构便会启动临时对话程序。要求秘书处在</w:t>
      </w:r>
      <w:r w:rsidRPr="00990C24">
        <w:t>2019</w:t>
      </w:r>
      <w:r w:rsidRPr="00990C24">
        <w:t>年评估机构第二次会议之后将评估机构的问题转交有关缔约国。要求有关缔约国在</w:t>
      </w:r>
      <w:r w:rsidRPr="00990C24">
        <w:t>2019</w:t>
      </w:r>
      <w:r w:rsidRPr="00990C24">
        <w:t>年评估机构第三次会议之前提交说明。</w:t>
      </w:r>
      <w:r w:rsidRPr="00990C24">
        <w:rPr>
          <w:color w:val="000000" w:themeColor="text1"/>
        </w:rPr>
        <w:t>由此</w:t>
      </w:r>
      <w:r w:rsidRPr="00990C24">
        <w:rPr>
          <w:rStyle w:val="Hyperlink"/>
          <w:color w:val="000000" w:themeColor="text1"/>
          <w:u w:val="none"/>
        </w:rPr>
        <w:t>，评估机构</w:t>
      </w:r>
      <w:r w:rsidRPr="00990C24">
        <w:rPr>
          <w:color w:val="000000" w:themeColor="text1"/>
        </w:rPr>
        <w:t>在</w:t>
      </w:r>
      <w:r w:rsidRPr="00990C24">
        <w:rPr>
          <w:color w:val="000000" w:themeColor="text1"/>
        </w:rPr>
        <w:t>2019</w:t>
      </w:r>
      <w:r w:rsidRPr="00990C24">
        <w:rPr>
          <w:color w:val="000000" w:themeColor="text1"/>
        </w:rPr>
        <w:t>年周期内对六项申请</w:t>
      </w:r>
      <w:r w:rsidRPr="00990C24">
        <w:rPr>
          <w:rStyle w:val="Hyperlink"/>
          <w:color w:val="000000" w:themeColor="text1"/>
          <w:u w:val="none"/>
        </w:rPr>
        <w:t>适用了</w:t>
      </w:r>
      <w:r w:rsidRPr="00990C24">
        <w:rPr>
          <w:color w:val="000000" w:themeColor="text1"/>
        </w:rPr>
        <w:t>临时上游对话程序。</w:t>
      </w:r>
    </w:p>
    <w:p w14:paraId="3CF0C4A9" w14:textId="6958305B" w:rsidR="009B67CA" w:rsidRPr="00990C24" w:rsidRDefault="009B67CA" w:rsidP="00187B08">
      <w:pPr>
        <w:pStyle w:val="COMPara"/>
        <w:numPr>
          <w:ilvl w:val="0"/>
          <w:numId w:val="3"/>
        </w:numPr>
        <w:ind w:left="540" w:hanging="540"/>
        <w:jc w:val="both"/>
      </w:pPr>
      <w:r w:rsidRPr="00990C24">
        <w:t>考虑到上游对话的临时性质以及为了确保遵守《操作指南》</w:t>
      </w:r>
      <w:r w:rsidR="002C6D9B" w:rsidRPr="00990C24">
        <w:t>——</w:t>
      </w:r>
      <w:r w:rsidRPr="00990C24">
        <w:t>尤其是第</w:t>
      </w:r>
      <w:r w:rsidRPr="00990C24">
        <w:t>55</w:t>
      </w:r>
      <w:r w:rsidRPr="00990C24">
        <w:t>段，采用了在</w:t>
      </w:r>
      <w:r w:rsidRPr="00990C24">
        <w:t>2019</w:t>
      </w:r>
      <w:r w:rsidRPr="00990C24">
        <w:t>年</w:t>
      </w:r>
      <w:r w:rsidRPr="00990C24">
        <w:t>3</w:t>
      </w:r>
      <w:r w:rsidRPr="00990C24">
        <w:t>月</w:t>
      </w:r>
      <w:r w:rsidRPr="00990C24">
        <w:t>1</w:t>
      </w:r>
      <w:r w:rsidRPr="00990C24">
        <w:t>日举行的信息和交流会上向缔约国介绍的具体方法。由于评估机构于</w:t>
      </w:r>
      <w:r w:rsidRPr="00990C24">
        <w:t>6</w:t>
      </w:r>
      <w:r w:rsidRPr="00990C24">
        <w:t>月举行的第二次会议的结论被认为是终决，因此</w:t>
      </w:r>
      <w:r w:rsidRPr="00990C24">
        <w:t>2019</w:t>
      </w:r>
      <w:r w:rsidRPr="00990C24">
        <w:t>年评估机构的对话案件意见已作为信息文件发布，与关于个人申请的建议分开发布。</w:t>
      </w:r>
      <w:r w:rsidRPr="00990C24">
        <w:rPr>
          <w:color w:val="000000" w:themeColor="text1"/>
        </w:rPr>
        <w:t>这样，即使在评估机构于</w:t>
      </w:r>
      <w:r w:rsidRPr="00990C24">
        <w:rPr>
          <w:color w:val="000000" w:themeColor="text1"/>
        </w:rPr>
        <w:t>2019</w:t>
      </w:r>
      <w:r w:rsidRPr="00990C24">
        <w:rPr>
          <w:color w:val="000000" w:themeColor="text1"/>
        </w:rPr>
        <w:t>年</w:t>
      </w:r>
      <w:r w:rsidRPr="00990C24">
        <w:rPr>
          <w:color w:val="000000" w:themeColor="text1"/>
        </w:rPr>
        <w:t>6</w:t>
      </w:r>
      <w:r w:rsidRPr="00990C24">
        <w:rPr>
          <w:color w:val="000000" w:themeColor="text1"/>
        </w:rPr>
        <w:t>月完成评估后，委员会也可以利用评估机构的对话案例意见。</w:t>
      </w:r>
      <w:r w:rsidRPr="00990C24">
        <w:t>评估机构认为，对话过程使其对决定更加确信。反过来，委员会</w:t>
      </w:r>
      <w:r w:rsidR="002C6D9B" w:rsidRPr="00990C24">
        <w:t>也可确保那些从</w:t>
      </w:r>
      <w:r w:rsidRPr="00990C24">
        <w:t>对话过程中受益的申请国不必再等两年的时间来重新评估。</w:t>
      </w:r>
    </w:p>
    <w:p w14:paraId="7BB55458" w14:textId="476B5D64" w:rsidR="009B67CA" w:rsidRPr="00990C24" w:rsidRDefault="009B67CA" w:rsidP="00187B08">
      <w:pPr>
        <w:pStyle w:val="COMPara"/>
        <w:numPr>
          <w:ilvl w:val="0"/>
          <w:numId w:val="3"/>
        </w:numPr>
        <w:ind w:left="540" w:hanging="540"/>
        <w:jc w:val="both"/>
        <w:rPr>
          <w:color w:val="000000" w:themeColor="text1"/>
        </w:rPr>
      </w:pPr>
      <w:r w:rsidRPr="00990C24">
        <w:t>根据</w:t>
      </w:r>
      <w:r w:rsidRPr="00990C24">
        <w:t>2019</w:t>
      </w:r>
      <w:r w:rsidRPr="00990C24">
        <w:t>年周期在对话过程方面的积极经验，委员会在其第十四届会议上决定向大会第八届会议提交针对决议草案附件《操作指南》第</w:t>
      </w:r>
      <w:r w:rsidRPr="00990C24">
        <w:t>I.15</w:t>
      </w:r>
      <w:r w:rsidRPr="00990C24">
        <w:t>章的一系列修正提案（</w:t>
      </w:r>
      <w:hyperlink r:id="rId15" w:history="1">
        <w:r w:rsidRPr="00990C24">
          <w:rPr>
            <w:rStyle w:val="Hyperlink"/>
          </w:rPr>
          <w:t>第</w:t>
        </w:r>
        <w:r w:rsidRPr="00990C24">
          <w:rPr>
            <w:rStyle w:val="Hyperlink"/>
          </w:rPr>
          <w:t>14.COM 14</w:t>
        </w:r>
        <w:r w:rsidRPr="00990C24">
          <w:rPr>
            <w:rStyle w:val="Hyperlink"/>
          </w:rPr>
          <w:t>号决定</w:t>
        </w:r>
      </w:hyperlink>
      <w:r w:rsidRPr="00990C24">
        <w:t>和</w:t>
      </w:r>
      <w:hyperlink r:id="rId16" w:history="1">
        <w:r w:rsidRPr="00990C24">
          <w:rPr>
            <w:rStyle w:val="Hyperlink"/>
          </w:rPr>
          <w:t>第</w:t>
        </w:r>
        <w:r w:rsidRPr="00990C24">
          <w:rPr>
            <w:rStyle w:val="Hyperlink"/>
          </w:rPr>
          <w:t>14.COM 16</w:t>
        </w:r>
        <w:r w:rsidRPr="00990C24">
          <w:rPr>
            <w:rStyle w:val="Hyperlink"/>
          </w:rPr>
          <w:t>号决定</w:t>
        </w:r>
      </w:hyperlink>
      <w:r w:rsidRPr="00990C24">
        <w:t>）。</w:t>
      </w:r>
      <w:r w:rsidRPr="00990C24">
        <w:rPr>
          <w:color w:val="000000" w:themeColor="text1"/>
        </w:rPr>
        <w:t>在评估周期中纳入这一中间环节，将使评估机构在其第三次也就是最后一次会议上，可以改变并最终确定关于对话过程相关文件的建议。但是，对于对话过程非相关文件，评估机构将继续遵循现有的评估程序和时间表，在其第二次会议期间完成评估。</w:t>
      </w:r>
    </w:p>
    <w:p w14:paraId="7671B9B6" w14:textId="77777777" w:rsidR="009B67CA" w:rsidRPr="00990C24" w:rsidRDefault="009B67CA" w:rsidP="00187B08">
      <w:pPr>
        <w:pStyle w:val="COMPara"/>
        <w:numPr>
          <w:ilvl w:val="0"/>
          <w:numId w:val="3"/>
        </w:numPr>
        <w:ind w:left="540" w:hanging="540"/>
        <w:jc w:val="both"/>
      </w:pPr>
      <w:proofErr w:type="gramStart"/>
      <w:r w:rsidRPr="00990C24">
        <w:t>谨建议</w:t>
      </w:r>
      <w:proofErr w:type="gramEnd"/>
      <w:r w:rsidRPr="00990C24">
        <w:rPr>
          <w:color w:val="000000" w:themeColor="text1"/>
        </w:rPr>
        <w:t>大会</w:t>
      </w:r>
      <w:r w:rsidRPr="00990C24">
        <w:t>通过如下决议：</w:t>
      </w:r>
    </w:p>
    <w:p w14:paraId="03EE842A" w14:textId="5054F95E" w:rsidR="009B67CA" w:rsidRPr="00990C24" w:rsidRDefault="009B67CA" w:rsidP="009B67CA">
      <w:pPr>
        <w:pStyle w:val="GATitleResolution"/>
      </w:pPr>
      <w:r w:rsidRPr="00990C24">
        <w:t>第</w:t>
      </w:r>
      <w:r w:rsidR="008517F3" w:rsidRPr="00990C24">
        <w:t>8.GA 10</w:t>
      </w:r>
      <w:r w:rsidRPr="00990C24">
        <w:t>号决议草案</w:t>
      </w:r>
    </w:p>
    <w:p w14:paraId="7050FB46" w14:textId="77777777" w:rsidR="009B67CA" w:rsidRPr="00990C24" w:rsidRDefault="009B67CA" w:rsidP="009B67CA">
      <w:pPr>
        <w:pStyle w:val="GAPreambulaResolution"/>
      </w:pPr>
      <w:r w:rsidRPr="00990C24">
        <w:t>大会，</w:t>
      </w:r>
    </w:p>
    <w:p w14:paraId="6DC49939" w14:textId="11DA94EC" w:rsidR="009B67CA" w:rsidRPr="00990C24" w:rsidRDefault="009B67CA" w:rsidP="009B67CA">
      <w:pPr>
        <w:pStyle w:val="COMParaDecision"/>
        <w:numPr>
          <w:ilvl w:val="0"/>
          <w:numId w:val="2"/>
        </w:numPr>
        <w:ind w:left="1134" w:hanging="567"/>
        <w:jc w:val="left"/>
        <w:rPr>
          <w:color w:val="000000" w:themeColor="text1"/>
        </w:rPr>
      </w:pPr>
      <w:r w:rsidRPr="00990C24">
        <w:rPr>
          <w:color w:val="000000" w:themeColor="text1"/>
        </w:rPr>
        <w:t>审议了</w:t>
      </w:r>
      <w:r w:rsidRPr="00990C24">
        <w:rPr>
          <w:color w:val="000000" w:themeColor="text1"/>
          <w:u w:val="none"/>
        </w:rPr>
        <w:t>第</w:t>
      </w:r>
      <w:r w:rsidR="008517F3" w:rsidRPr="00990C24">
        <w:rPr>
          <w:color w:val="000000" w:themeColor="text1"/>
          <w:u w:val="none"/>
        </w:rPr>
        <w:t>LHE/20/8.GA/10</w:t>
      </w:r>
      <w:r w:rsidRPr="00990C24">
        <w:rPr>
          <w:color w:val="000000" w:themeColor="text1"/>
          <w:u w:val="none"/>
        </w:rPr>
        <w:t>号文件，</w:t>
      </w:r>
    </w:p>
    <w:p w14:paraId="2A371605" w14:textId="3D0EBD3A" w:rsidR="009B67CA" w:rsidRPr="00990C24" w:rsidRDefault="009B67CA" w:rsidP="009B67CA">
      <w:pPr>
        <w:pStyle w:val="COMParaDecision"/>
        <w:numPr>
          <w:ilvl w:val="0"/>
          <w:numId w:val="2"/>
        </w:numPr>
        <w:ind w:left="1134" w:hanging="567"/>
        <w:rPr>
          <w:color w:val="000000" w:themeColor="text1"/>
          <w:u w:val="none"/>
        </w:rPr>
      </w:pPr>
      <w:r w:rsidRPr="00990C24">
        <w:rPr>
          <w:color w:val="000000" w:themeColor="text1"/>
        </w:rPr>
        <w:t>承认</w:t>
      </w:r>
      <w:r w:rsidRPr="00990C24">
        <w:rPr>
          <w:color w:val="000000" w:themeColor="text1"/>
          <w:u w:val="none"/>
        </w:rPr>
        <w:t>2019</w:t>
      </w:r>
      <w:r w:rsidRPr="00990C24">
        <w:rPr>
          <w:color w:val="000000" w:themeColor="text1"/>
          <w:u w:val="none"/>
        </w:rPr>
        <w:t>年周期的</w:t>
      </w:r>
      <w:r w:rsidR="00990C24">
        <w:rPr>
          <w:rFonts w:hint="eastAsia"/>
          <w:color w:val="000000" w:themeColor="text1"/>
          <w:u w:val="none"/>
        </w:rPr>
        <w:t>“</w:t>
      </w:r>
      <w:r w:rsidRPr="00990C24">
        <w:rPr>
          <w:color w:val="000000" w:themeColor="text1"/>
          <w:u w:val="none"/>
        </w:rPr>
        <w:t>临时上游对话</w:t>
      </w:r>
      <w:r w:rsidR="00990C24">
        <w:rPr>
          <w:rFonts w:hint="eastAsia"/>
          <w:color w:val="000000" w:themeColor="text1"/>
          <w:u w:val="none"/>
        </w:rPr>
        <w:t>”</w:t>
      </w:r>
      <w:r w:rsidRPr="00990C24">
        <w:rPr>
          <w:color w:val="000000" w:themeColor="text1"/>
          <w:u w:val="none"/>
        </w:rPr>
        <w:t>过程为评估和列名过程带来了积极经验，并</w:t>
      </w:r>
      <w:r w:rsidRPr="00990C24">
        <w:rPr>
          <w:color w:val="000000" w:themeColor="text1"/>
        </w:rPr>
        <w:t>同意</w:t>
      </w:r>
      <w:r w:rsidRPr="00990C24">
        <w:rPr>
          <w:color w:val="000000" w:themeColor="text1"/>
          <w:u w:val="none"/>
        </w:rPr>
        <w:t>在申请周期中增加一个中间对话过程的提案；</w:t>
      </w:r>
    </w:p>
    <w:p w14:paraId="1E549077" w14:textId="77777777" w:rsidR="009B67CA" w:rsidRPr="00990C24" w:rsidRDefault="009B67CA" w:rsidP="009B67CA">
      <w:pPr>
        <w:pStyle w:val="COMParaDecision"/>
        <w:numPr>
          <w:ilvl w:val="0"/>
          <w:numId w:val="2"/>
        </w:numPr>
        <w:ind w:left="1134" w:hanging="567"/>
        <w:jc w:val="left"/>
        <w:rPr>
          <w:color w:val="000000" w:themeColor="text1"/>
        </w:rPr>
      </w:pPr>
      <w:r w:rsidRPr="00990C24">
        <w:rPr>
          <w:color w:val="000000" w:themeColor="text1"/>
        </w:rPr>
        <w:t>批准</w:t>
      </w:r>
      <w:r w:rsidRPr="00990C24">
        <w:rPr>
          <w:color w:val="000000" w:themeColor="text1"/>
          <w:u w:val="none"/>
        </w:rPr>
        <w:t>列于本决议附件的对《操作指南》的修订。</w:t>
      </w:r>
    </w:p>
    <w:p w14:paraId="2E26F247" w14:textId="77777777" w:rsidR="009B67CA" w:rsidRDefault="009B67CA" w:rsidP="009B67CA">
      <w:pPr>
        <w:spacing w:after="120"/>
        <w:jc w:val="both"/>
        <w:rPr>
          <w:rFonts w:ascii="Arial" w:hAnsi="Arial" w:cs="Arial"/>
          <w:snapToGrid w:val="0"/>
          <w:sz w:val="22"/>
          <w:szCs w:val="22"/>
          <w:lang w:val="en-GB"/>
        </w:rPr>
        <w:sectPr w:rsidR="009B67CA" w:rsidSect="00187B08">
          <w:headerReference w:type="even" r:id="rId17"/>
          <w:headerReference w:type="default" r:id="rId18"/>
          <w:headerReference w:type="first" r:id="rId19"/>
          <w:pgSz w:w="11906" w:h="16838" w:code="9"/>
          <w:pgMar w:top="1620" w:right="1134" w:bottom="630" w:left="1134" w:header="397" w:footer="284" w:gutter="0"/>
          <w:cols w:space="708"/>
          <w:titlePg/>
          <w:docGrid w:linePitch="360"/>
        </w:sectPr>
      </w:pPr>
    </w:p>
    <w:p w14:paraId="7917F36D" w14:textId="042BB127" w:rsidR="009B67CA" w:rsidRPr="008517F3" w:rsidRDefault="009B67CA" w:rsidP="00A0795B">
      <w:pPr>
        <w:pStyle w:val="Marge"/>
        <w:spacing w:before="480" w:after="480"/>
        <w:jc w:val="center"/>
        <w:rPr>
          <w:rFonts w:cs="Arial"/>
          <w:iCs/>
          <w:szCs w:val="22"/>
          <w:lang w:val="en-GB"/>
        </w:rPr>
      </w:pPr>
      <w:r>
        <w:rPr>
          <w:rFonts w:hint="eastAsia"/>
          <w:b/>
          <w:bCs/>
        </w:rPr>
        <w:lastRenderedPageBreak/>
        <w:t>附件</w:t>
      </w:r>
      <w:bookmarkStart w:id="0" w:name="_GoBack"/>
      <w:bookmarkEnd w:id="0"/>
      <w:r w:rsidRPr="008517F3">
        <w:rPr>
          <w:rFonts w:hint="eastAsia"/>
          <w:lang w:val="en-GB"/>
        </w:rPr>
        <w:br/>
      </w:r>
      <w:r>
        <w:rPr>
          <w:rFonts w:hint="eastAsia"/>
        </w:rPr>
        <w:t>对实施《公约》</w:t>
      </w:r>
      <w:r w:rsidR="00990C24">
        <w:rPr>
          <w:rFonts w:hint="eastAsia"/>
        </w:rPr>
        <w:t>《</w:t>
      </w:r>
      <w:r>
        <w:rPr>
          <w:rFonts w:hint="eastAsia"/>
        </w:rPr>
        <w:t>操作指南</w:t>
      </w:r>
      <w:r w:rsidR="00990C24">
        <w:rPr>
          <w:rFonts w:hint="eastAsia"/>
        </w:rPr>
        <w:t>》</w:t>
      </w:r>
      <w:r>
        <w:rPr>
          <w:rFonts w:hint="eastAsia"/>
        </w:rPr>
        <w:t>的提议修订</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90"/>
        <w:gridCol w:w="4585"/>
        <w:gridCol w:w="597"/>
        <w:gridCol w:w="2113"/>
        <w:gridCol w:w="4357"/>
      </w:tblGrid>
      <w:tr w:rsidR="009B67CA" w:rsidRPr="00510637" w14:paraId="170A44E5" w14:textId="77777777" w:rsidTr="009E3DA1">
        <w:tc>
          <w:tcPr>
            <w:tcW w:w="222" w:type="pct"/>
            <w:shd w:val="clear" w:color="auto" w:fill="BFBFBF" w:themeFill="background1" w:themeFillShade="BF"/>
          </w:tcPr>
          <w:p w14:paraId="5FCE48F9" w14:textId="77777777" w:rsidR="009B67CA" w:rsidRPr="00510637" w:rsidRDefault="009B67CA" w:rsidP="009E3DA1">
            <w:pPr>
              <w:spacing w:after="120"/>
              <w:jc w:val="both"/>
              <w:rPr>
                <w:rFonts w:ascii="Arial" w:hAnsi="Arial" w:cs="Arial"/>
                <w:b/>
                <w:snapToGrid w:val="0"/>
                <w:sz w:val="22"/>
                <w:szCs w:val="22"/>
                <w:lang w:val="en-GB"/>
              </w:rPr>
            </w:pPr>
          </w:p>
        </w:tc>
        <w:tc>
          <w:tcPr>
            <w:tcW w:w="2303" w:type="pct"/>
            <w:gridSpan w:val="2"/>
            <w:shd w:val="clear" w:color="auto" w:fill="BFBFBF" w:themeFill="background1" w:themeFillShade="BF"/>
          </w:tcPr>
          <w:p w14:paraId="07D25D50" w14:textId="77777777" w:rsidR="009B67CA" w:rsidRPr="005660AE" w:rsidRDefault="009B67CA" w:rsidP="009E3DA1">
            <w:pPr>
              <w:spacing w:after="120"/>
              <w:jc w:val="both"/>
              <w:rPr>
                <w:rFonts w:ascii="Arial" w:hAnsi="Arial" w:cs="Arial"/>
                <w:b/>
                <w:snapToGrid w:val="0"/>
                <w:sz w:val="22"/>
                <w:szCs w:val="22"/>
                <w:u w:val="thick"/>
              </w:rPr>
            </w:pPr>
            <w:r w:rsidRPr="005660AE">
              <w:rPr>
                <w:rFonts w:ascii="Arial" w:hAnsi="Arial" w:hint="eastAsia"/>
                <w:b/>
                <w:snapToGrid w:val="0"/>
                <w:sz w:val="22"/>
                <w:szCs w:val="22"/>
                <w:u w:val="thick"/>
              </w:rPr>
              <w:t>《操作指南》</w:t>
            </w:r>
          </w:p>
        </w:tc>
        <w:tc>
          <w:tcPr>
            <w:tcW w:w="209" w:type="pct"/>
            <w:shd w:val="clear" w:color="auto" w:fill="BFBFBF" w:themeFill="background1" w:themeFillShade="BF"/>
          </w:tcPr>
          <w:p w14:paraId="2C528C46" w14:textId="77777777" w:rsidR="009B67CA" w:rsidRPr="00510637" w:rsidRDefault="009B67CA" w:rsidP="009E3DA1">
            <w:pPr>
              <w:spacing w:after="120"/>
              <w:jc w:val="both"/>
              <w:rPr>
                <w:rFonts w:ascii="Arial" w:hAnsi="Arial" w:cs="Arial"/>
                <w:b/>
                <w:snapToGrid w:val="0"/>
                <w:sz w:val="22"/>
                <w:szCs w:val="22"/>
                <w:lang w:val="en-GB" w:eastAsia="en-US"/>
              </w:rPr>
            </w:pPr>
          </w:p>
        </w:tc>
        <w:tc>
          <w:tcPr>
            <w:tcW w:w="2266" w:type="pct"/>
            <w:gridSpan w:val="2"/>
            <w:shd w:val="clear" w:color="auto" w:fill="BFBFBF" w:themeFill="background1" w:themeFillShade="BF"/>
          </w:tcPr>
          <w:p w14:paraId="75DC1478" w14:textId="77777777" w:rsidR="009B67CA" w:rsidRPr="005660AE" w:rsidRDefault="009B67CA" w:rsidP="009E3DA1">
            <w:pPr>
              <w:spacing w:after="120"/>
              <w:jc w:val="both"/>
              <w:rPr>
                <w:rFonts w:ascii="Arial" w:hAnsi="Arial" w:cs="Arial"/>
                <w:b/>
                <w:snapToGrid w:val="0"/>
                <w:sz w:val="22"/>
                <w:szCs w:val="22"/>
                <w:u w:val="thick"/>
              </w:rPr>
            </w:pPr>
            <w:r w:rsidRPr="005660AE">
              <w:rPr>
                <w:rFonts w:ascii="Arial" w:hAnsi="Arial" w:hint="eastAsia"/>
                <w:b/>
                <w:snapToGrid w:val="0"/>
                <w:sz w:val="22"/>
                <w:szCs w:val="22"/>
                <w:u w:val="thick"/>
              </w:rPr>
              <w:t>提议修订</w:t>
            </w:r>
          </w:p>
        </w:tc>
      </w:tr>
      <w:tr w:rsidR="009B67CA" w:rsidRPr="00510637" w14:paraId="253939F3" w14:textId="77777777" w:rsidTr="009E3DA1">
        <w:tc>
          <w:tcPr>
            <w:tcW w:w="222" w:type="pct"/>
          </w:tcPr>
          <w:p w14:paraId="0001BE11" w14:textId="77777777" w:rsidR="009B67CA" w:rsidRPr="00510637" w:rsidRDefault="009B67CA" w:rsidP="009E3DA1">
            <w:pPr>
              <w:spacing w:after="120"/>
              <w:jc w:val="both"/>
              <w:rPr>
                <w:rFonts w:ascii="Arial" w:hAnsi="Arial" w:cs="Arial"/>
                <w:b/>
                <w:snapToGrid w:val="0"/>
                <w:sz w:val="22"/>
                <w:szCs w:val="22"/>
              </w:rPr>
            </w:pPr>
            <w:r>
              <w:rPr>
                <w:rFonts w:ascii="Arial" w:hAnsi="Arial" w:hint="eastAsia"/>
                <w:b/>
                <w:snapToGrid w:val="0"/>
                <w:sz w:val="22"/>
                <w:szCs w:val="22"/>
              </w:rPr>
              <w:t>I.15</w:t>
            </w:r>
          </w:p>
        </w:tc>
        <w:tc>
          <w:tcPr>
            <w:tcW w:w="2303" w:type="pct"/>
            <w:gridSpan w:val="2"/>
          </w:tcPr>
          <w:p w14:paraId="5DE5407B" w14:textId="77777777" w:rsidR="009B67CA" w:rsidRPr="00510637" w:rsidRDefault="009B67CA" w:rsidP="009E3DA1">
            <w:pPr>
              <w:spacing w:after="120"/>
              <w:jc w:val="both"/>
              <w:rPr>
                <w:rFonts w:ascii="Arial" w:hAnsi="Arial" w:cs="Arial"/>
                <w:b/>
                <w:snapToGrid w:val="0"/>
                <w:sz w:val="22"/>
                <w:szCs w:val="22"/>
              </w:rPr>
            </w:pPr>
            <w:r>
              <w:rPr>
                <w:rFonts w:ascii="Arial" w:hAnsi="Arial" w:hint="eastAsia"/>
                <w:b/>
                <w:snapToGrid w:val="0"/>
                <w:sz w:val="22"/>
                <w:szCs w:val="22"/>
              </w:rPr>
              <w:t>时间表–程序概述</w:t>
            </w:r>
          </w:p>
        </w:tc>
        <w:tc>
          <w:tcPr>
            <w:tcW w:w="209" w:type="pct"/>
          </w:tcPr>
          <w:p w14:paraId="3EE79244" w14:textId="77777777" w:rsidR="009B67CA" w:rsidRPr="00510637" w:rsidRDefault="009B67CA" w:rsidP="009E3DA1">
            <w:pPr>
              <w:spacing w:after="120"/>
              <w:jc w:val="both"/>
              <w:rPr>
                <w:rFonts w:ascii="Arial" w:hAnsi="Arial" w:cs="Arial"/>
                <w:b/>
                <w:snapToGrid w:val="0"/>
                <w:sz w:val="22"/>
                <w:szCs w:val="22"/>
              </w:rPr>
            </w:pPr>
            <w:r>
              <w:rPr>
                <w:rFonts w:ascii="Arial" w:hAnsi="Arial" w:hint="eastAsia"/>
                <w:b/>
                <w:snapToGrid w:val="0"/>
                <w:sz w:val="22"/>
                <w:szCs w:val="22"/>
              </w:rPr>
              <w:t>I.15</w:t>
            </w:r>
          </w:p>
        </w:tc>
        <w:tc>
          <w:tcPr>
            <w:tcW w:w="2266" w:type="pct"/>
            <w:gridSpan w:val="2"/>
          </w:tcPr>
          <w:p w14:paraId="54E30B66" w14:textId="77777777" w:rsidR="009B67CA" w:rsidRPr="00510637" w:rsidRDefault="009B67CA" w:rsidP="009E3DA1">
            <w:pPr>
              <w:spacing w:after="120"/>
              <w:jc w:val="both"/>
              <w:rPr>
                <w:rFonts w:ascii="Arial" w:hAnsi="Arial" w:cs="Arial"/>
                <w:b/>
                <w:snapToGrid w:val="0"/>
                <w:sz w:val="22"/>
                <w:szCs w:val="22"/>
                <w:u w:val="single"/>
              </w:rPr>
            </w:pPr>
            <w:r>
              <w:rPr>
                <w:rFonts w:ascii="Arial" w:hAnsi="Arial" w:hint="eastAsia"/>
                <w:snapToGrid w:val="0"/>
                <w:sz w:val="22"/>
                <w:szCs w:val="22"/>
              </w:rPr>
              <w:t>[</w:t>
            </w:r>
            <w:proofErr w:type="gramStart"/>
            <w:r>
              <w:rPr>
                <w:rFonts w:ascii="Arial" w:hAnsi="Arial" w:hint="eastAsia"/>
                <w:snapToGrid w:val="0"/>
                <w:sz w:val="22"/>
                <w:szCs w:val="22"/>
              </w:rPr>
              <w:t>无变动</w:t>
            </w:r>
            <w:proofErr w:type="gramEnd"/>
            <w:r>
              <w:rPr>
                <w:rFonts w:ascii="Arial" w:hAnsi="Arial" w:hint="eastAsia"/>
                <w:snapToGrid w:val="0"/>
                <w:sz w:val="22"/>
                <w:szCs w:val="22"/>
              </w:rPr>
              <w:t>。</w:t>
            </w:r>
            <w:r>
              <w:rPr>
                <w:rFonts w:ascii="Arial" w:hAnsi="Arial" w:hint="eastAsia"/>
                <w:snapToGrid w:val="0"/>
                <w:sz w:val="22"/>
                <w:szCs w:val="22"/>
              </w:rPr>
              <w:t>]</w:t>
            </w:r>
          </w:p>
        </w:tc>
      </w:tr>
      <w:tr w:rsidR="009B67CA" w:rsidRPr="00510637" w14:paraId="48FB0076" w14:textId="77777777" w:rsidTr="009E3DA1">
        <w:tc>
          <w:tcPr>
            <w:tcW w:w="222" w:type="pct"/>
          </w:tcPr>
          <w:p w14:paraId="1F70D65A" w14:textId="77777777" w:rsidR="009B67CA" w:rsidRPr="00510637" w:rsidRDefault="009B67CA" w:rsidP="009E3DA1">
            <w:pPr>
              <w:spacing w:after="120"/>
              <w:jc w:val="both"/>
              <w:rPr>
                <w:rFonts w:ascii="Arial" w:hAnsi="Arial" w:cs="Arial"/>
                <w:snapToGrid w:val="0"/>
                <w:sz w:val="22"/>
                <w:szCs w:val="22"/>
                <w:lang w:val="en-GB" w:eastAsia="en-US"/>
              </w:rPr>
            </w:pPr>
          </w:p>
        </w:tc>
        <w:tc>
          <w:tcPr>
            <w:tcW w:w="697" w:type="pct"/>
          </w:tcPr>
          <w:p w14:paraId="46DC0194" w14:textId="77777777" w:rsidR="009B67CA" w:rsidRPr="00510637" w:rsidRDefault="009B67CA" w:rsidP="009E3DA1">
            <w:pPr>
              <w:spacing w:after="120"/>
              <w:jc w:val="both"/>
              <w:rPr>
                <w:rFonts w:ascii="Arial" w:hAnsi="Arial" w:cs="Arial"/>
                <w:snapToGrid w:val="0"/>
                <w:sz w:val="22"/>
                <w:szCs w:val="22"/>
                <w:lang w:val="en-GB" w:eastAsia="en-US"/>
              </w:rPr>
            </w:pPr>
          </w:p>
        </w:tc>
        <w:tc>
          <w:tcPr>
            <w:tcW w:w="1606" w:type="pct"/>
          </w:tcPr>
          <w:p w14:paraId="01355E2A" w14:textId="77777777" w:rsidR="009B67CA" w:rsidRPr="00510637" w:rsidRDefault="009B67CA" w:rsidP="009E3DA1">
            <w:pPr>
              <w:spacing w:after="120"/>
              <w:jc w:val="both"/>
              <w:rPr>
                <w:rFonts w:ascii="Arial" w:hAnsi="Arial" w:cs="Arial"/>
                <w:snapToGrid w:val="0"/>
                <w:sz w:val="22"/>
                <w:szCs w:val="22"/>
                <w:lang w:val="en-GB" w:eastAsia="en-US"/>
              </w:rPr>
            </w:pPr>
          </w:p>
        </w:tc>
        <w:tc>
          <w:tcPr>
            <w:tcW w:w="209" w:type="pct"/>
          </w:tcPr>
          <w:p w14:paraId="776A2B19"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54.</w:t>
            </w:r>
          </w:p>
        </w:tc>
        <w:tc>
          <w:tcPr>
            <w:tcW w:w="740" w:type="pct"/>
          </w:tcPr>
          <w:p w14:paraId="3F0466FA"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w:t>
            </w:r>
            <w:proofErr w:type="gramStart"/>
            <w:r>
              <w:rPr>
                <w:rFonts w:ascii="Arial" w:hAnsi="Arial" w:hint="eastAsia"/>
                <w:snapToGrid w:val="0"/>
                <w:sz w:val="22"/>
                <w:szCs w:val="22"/>
              </w:rPr>
              <w:t>无变动</w:t>
            </w:r>
            <w:proofErr w:type="gramEnd"/>
            <w:r>
              <w:rPr>
                <w:rFonts w:ascii="Arial" w:hAnsi="Arial" w:hint="eastAsia"/>
                <w:snapToGrid w:val="0"/>
                <w:sz w:val="22"/>
                <w:szCs w:val="22"/>
              </w:rPr>
              <w:t>。</w:t>
            </w:r>
            <w:r>
              <w:rPr>
                <w:rFonts w:ascii="Arial" w:hAnsi="Arial" w:hint="eastAsia"/>
                <w:snapToGrid w:val="0"/>
                <w:sz w:val="22"/>
                <w:szCs w:val="22"/>
              </w:rPr>
              <w:t>]</w:t>
            </w:r>
          </w:p>
        </w:tc>
        <w:tc>
          <w:tcPr>
            <w:tcW w:w="1526" w:type="pct"/>
          </w:tcPr>
          <w:p w14:paraId="26EF64CE" w14:textId="77777777" w:rsidR="009B67CA" w:rsidRPr="00510637" w:rsidRDefault="009B67CA" w:rsidP="009E3DA1">
            <w:pPr>
              <w:spacing w:after="120"/>
              <w:jc w:val="both"/>
              <w:rPr>
                <w:rFonts w:ascii="Arial" w:hAnsi="Arial" w:cs="Arial"/>
                <w:snapToGrid w:val="0"/>
                <w:sz w:val="22"/>
                <w:szCs w:val="22"/>
                <w:lang w:val="en-GB" w:eastAsia="en-US"/>
              </w:rPr>
            </w:pPr>
          </w:p>
        </w:tc>
      </w:tr>
      <w:tr w:rsidR="009B67CA" w:rsidRPr="00510637" w14:paraId="0FF68022" w14:textId="77777777" w:rsidTr="009E3DA1">
        <w:tc>
          <w:tcPr>
            <w:tcW w:w="222" w:type="pct"/>
          </w:tcPr>
          <w:p w14:paraId="604D8F99"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55.</w:t>
            </w:r>
          </w:p>
        </w:tc>
        <w:tc>
          <w:tcPr>
            <w:tcW w:w="697" w:type="pct"/>
          </w:tcPr>
          <w:p w14:paraId="1A8ACD88"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w:t>
            </w:r>
            <w:r>
              <w:rPr>
                <w:rFonts w:ascii="Arial" w:hAnsi="Arial" w:hint="eastAsia"/>
                <w:snapToGrid w:val="0"/>
                <w:sz w:val="22"/>
                <w:szCs w:val="22"/>
              </w:rPr>
              <w:t>2</w:t>
            </w:r>
            <w:r>
              <w:rPr>
                <w:rFonts w:ascii="Arial" w:hAnsi="Arial" w:hint="eastAsia"/>
                <w:snapToGrid w:val="0"/>
                <w:sz w:val="22"/>
                <w:szCs w:val="22"/>
              </w:rPr>
              <w:t>阶段：</w:t>
            </w:r>
          </w:p>
        </w:tc>
        <w:tc>
          <w:tcPr>
            <w:tcW w:w="1606" w:type="pct"/>
          </w:tcPr>
          <w:p w14:paraId="59FB91ED"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评估</w:t>
            </w:r>
          </w:p>
        </w:tc>
        <w:tc>
          <w:tcPr>
            <w:tcW w:w="209" w:type="pct"/>
          </w:tcPr>
          <w:p w14:paraId="231A21CB"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55.</w:t>
            </w:r>
          </w:p>
        </w:tc>
        <w:tc>
          <w:tcPr>
            <w:tcW w:w="740" w:type="pct"/>
          </w:tcPr>
          <w:p w14:paraId="3C8F236A"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w:t>
            </w:r>
            <w:r>
              <w:rPr>
                <w:rFonts w:ascii="Arial" w:hAnsi="Arial" w:hint="eastAsia"/>
                <w:snapToGrid w:val="0"/>
                <w:sz w:val="22"/>
                <w:szCs w:val="22"/>
              </w:rPr>
              <w:t>2</w:t>
            </w:r>
            <w:r>
              <w:rPr>
                <w:rFonts w:ascii="Arial" w:hAnsi="Arial" w:hint="eastAsia"/>
                <w:snapToGrid w:val="0"/>
                <w:sz w:val="22"/>
                <w:szCs w:val="22"/>
              </w:rPr>
              <w:t>阶段：</w:t>
            </w:r>
          </w:p>
        </w:tc>
        <w:tc>
          <w:tcPr>
            <w:tcW w:w="1526" w:type="pct"/>
          </w:tcPr>
          <w:p w14:paraId="5A4E7BF6"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评估</w:t>
            </w:r>
          </w:p>
        </w:tc>
      </w:tr>
      <w:tr w:rsidR="009B67CA" w:rsidRPr="0041353C" w14:paraId="44017984" w14:textId="77777777" w:rsidTr="009E3DA1">
        <w:tc>
          <w:tcPr>
            <w:tcW w:w="222" w:type="pct"/>
          </w:tcPr>
          <w:p w14:paraId="7E9E642D" w14:textId="77777777" w:rsidR="009B67CA" w:rsidRPr="00510637" w:rsidRDefault="009B67CA" w:rsidP="009E3DA1">
            <w:pPr>
              <w:spacing w:after="120"/>
              <w:jc w:val="both"/>
              <w:rPr>
                <w:rFonts w:ascii="Arial" w:hAnsi="Arial" w:cs="Arial"/>
                <w:snapToGrid w:val="0"/>
                <w:sz w:val="22"/>
                <w:szCs w:val="22"/>
                <w:lang w:val="en-GB" w:eastAsia="en-US"/>
              </w:rPr>
            </w:pPr>
          </w:p>
        </w:tc>
        <w:tc>
          <w:tcPr>
            <w:tcW w:w="697" w:type="pct"/>
          </w:tcPr>
          <w:p w14:paraId="1D760BA9"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第一年</w:t>
            </w:r>
            <w:r>
              <w:rPr>
                <w:rFonts w:ascii="Arial" w:hAnsi="Arial" w:hint="eastAsia"/>
                <w:snapToGrid w:val="0"/>
                <w:sz w:val="22"/>
                <w:szCs w:val="22"/>
              </w:rPr>
              <w:t>12</w:t>
            </w:r>
            <w:r>
              <w:rPr>
                <w:rFonts w:ascii="Arial" w:hAnsi="Arial" w:hint="eastAsia"/>
                <w:snapToGrid w:val="0"/>
                <w:sz w:val="22"/>
                <w:szCs w:val="22"/>
              </w:rPr>
              <w:t>月</w:t>
            </w:r>
            <w:r>
              <w:rPr>
                <w:rFonts w:ascii="Arial" w:hAnsi="Arial" w:hint="eastAsia"/>
                <w:snapToGrid w:val="0"/>
                <w:sz w:val="22"/>
                <w:szCs w:val="22"/>
              </w:rPr>
              <w:br/>
            </w:r>
            <w:r>
              <w:rPr>
                <w:rFonts w:ascii="Arial" w:hAnsi="Arial" w:hint="eastAsia"/>
                <w:snapToGrid w:val="0"/>
                <w:sz w:val="22"/>
                <w:szCs w:val="22"/>
              </w:rPr>
              <w:t>至第二年</w:t>
            </w:r>
            <w:r>
              <w:rPr>
                <w:rFonts w:ascii="Arial" w:hAnsi="Arial" w:hint="eastAsia"/>
                <w:snapToGrid w:val="0"/>
                <w:sz w:val="22"/>
                <w:szCs w:val="22"/>
              </w:rPr>
              <w:t>5</w:t>
            </w:r>
            <w:r>
              <w:rPr>
                <w:rFonts w:ascii="Arial" w:hAnsi="Arial" w:hint="eastAsia"/>
                <w:snapToGrid w:val="0"/>
                <w:sz w:val="22"/>
                <w:szCs w:val="22"/>
              </w:rPr>
              <w:t>月</w:t>
            </w:r>
          </w:p>
        </w:tc>
        <w:tc>
          <w:tcPr>
            <w:tcW w:w="1606" w:type="pct"/>
          </w:tcPr>
          <w:p w14:paraId="54AA08DE"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评估机构对文件进行评估。</w:t>
            </w:r>
          </w:p>
        </w:tc>
        <w:tc>
          <w:tcPr>
            <w:tcW w:w="209" w:type="pct"/>
          </w:tcPr>
          <w:p w14:paraId="1A230883" w14:textId="77777777" w:rsidR="009B67CA" w:rsidRPr="00A0795B" w:rsidRDefault="009B67CA" w:rsidP="009E3DA1">
            <w:pPr>
              <w:spacing w:after="120"/>
              <w:jc w:val="both"/>
              <w:rPr>
                <w:rFonts w:ascii="Arial" w:hAnsi="Arial" w:cs="Arial"/>
                <w:snapToGrid w:val="0"/>
                <w:sz w:val="22"/>
                <w:szCs w:val="22"/>
              </w:rPr>
            </w:pPr>
          </w:p>
        </w:tc>
        <w:tc>
          <w:tcPr>
            <w:tcW w:w="740" w:type="pct"/>
          </w:tcPr>
          <w:p w14:paraId="4D0A5797"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第一年</w:t>
            </w:r>
            <w:r>
              <w:rPr>
                <w:rFonts w:ascii="Arial" w:hAnsi="Arial" w:hint="eastAsia"/>
                <w:snapToGrid w:val="0"/>
                <w:sz w:val="22"/>
                <w:szCs w:val="22"/>
              </w:rPr>
              <w:t>12</w:t>
            </w:r>
            <w:r>
              <w:rPr>
                <w:rFonts w:ascii="Arial" w:hAnsi="Arial" w:hint="eastAsia"/>
                <w:snapToGrid w:val="0"/>
                <w:sz w:val="22"/>
                <w:szCs w:val="22"/>
              </w:rPr>
              <w:t>月</w:t>
            </w:r>
            <w:r>
              <w:rPr>
                <w:rFonts w:ascii="Arial" w:hAnsi="Arial" w:hint="eastAsia"/>
                <w:snapToGrid w:val="0"/>
                <w:sz w:val="22"/>
                <w:szCs w:val="22"/>
              </w:rPr>
              <w:br/>
            </w:r>
            <w:r>
              <w:rPr>
                <w:rFonts w:ascii="Arial" w:hAnsi="Arial" w:hint="eastAsia"/>
                <w:snapToGrid w:val="0"/>
                <w:sz w:val="22"/>
                <w:szCs w:val="22"/>
              </w:rPr>
              <w:t>至第二年</w:t>
            </w:r>
            <w:r>
              <w:rPr>
                <w:rFonts w:ascii="Arial" w:hAnsi="Arial" w:hint="eastAsia"/>
                <w:snapToGrid w:val="0"/>
                <w:sz w:val="22"/>
                <w:szCs w:val="22"/>
              </w:rPr>
              <w:t>5</w:t>
            </w:r>
            <w:r>
              <w:rPr>
                <w:rFonts w:ascii="Arial" w:hAnsi="Arial" w:hint="eastAsia"/>
                <w:snapToGrid w:val="0"/>
                <w:sz w:val="22"/>
                <w:szCs w:val="22"/>
              </w:rPr>
              <w:t>月</w:t>
            </w:r>
          </w:p>
        </w:tc>
        <w:tc>
          <w:tcPr>
            <w:tcW w:w="1526" w:type="pct"/>
          </w:tcPr>
          <w:p w14:paraId="20CF1912"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评估机构</w:t>
            </w:r>
            <w:r w:rsidRPr="005660AE">
              <w:rPr>
                <w:rFonts w:ascii="Arial" w:hAnsi="Arial" w:hint="eastAsia"/>
                <w:b/>
                <w:snapToGrid w:val="0"/>
                <w:sz w:val="22"/>
                <w:szCs w:val="22"/>
                <w:u w:val="thick"/>
              </w:rPr>
              <w:t>成员</w:t>
            </w:r>
            <w:r>
              <w:rPr>
                <w:rFonts w:ascii="Arial" w:hAnsi="Arial" w:hint="eastAsia"/>
                <w:snapToGrid w:val="0"/>
                <w:sz w:val="22"/>
                <w:szCs w:val="22"/>
              </w:rPr>
              <w:t>对文件进行</w:t>
            </w:r>
            <w:r w:rsidRPr="005660AE">
              <w:rPr>
                <w:rFonts w:ascii="Arial" w:hAnsi="Arial" w:hint="eastAsia"/>
                <w:b/>
                <w:snapToGrid w:val="0"/>
                <w:sz w:val="22"/>
                <w:szCs w:val="22"/>
                <w:u w:val="thick"/>
              </w:rPr>
              <w:t>单独</w:t>
            </w:r>
            <w:r>
              <w:rPr>
                <w:rFonts w:ascii="Arial" w:hAnsi="Arial" w:hint="eastAsia"/>
                <w:snapToGrid w:val="0"/>
                <w:sz w:val="22"/>
                <w:szCs w:val="22"/>
              </w:rPr>
              <w:t>评估。</w:t>
            </w:r>
          </w:p>
        </w:tc>
      </w:tr>
      <w:tr w:rsidR="009B67CA" w:rsidRPr="0041353C" w14:paraId="287361EB" w14:textId="77777777" w:rsidTr="009E3DA1">
        <w:tc>
          <w:tcPr>
            <w:tcW w:w="222" w:type="pct"/>
          </w:tcPr>
          <w:p w14:paraId="079F9CB7" w14:textId="77777777" w:rsidR="009B67CA" w:rsidRPr="00A0795B" w:rsidRDefault="009B67CA" w:rsidP="009E3DA1">
            <w:pPr>
              <w:spacing w:after="120"/>
              <w:jc w:val="both"/>
              <w:rPr>
                <w:rFonts w:ascii="Arial" w:hAnsi="Arial" w:cs="Arial"/>
                <w:snapToGrid w:val="0"/>
                <w:sz w:val="22"/>
                <w:szCs w:val="22"/>
              </w:rPr>
            </w:pPr>
          </w:p>
        </w:tc>
        <w:tc>
          <w:tcPr>
            <w:tcW w:w="697" w:type="pct"/>
          </w:tcPr>
          <w:p w14:paraId="114BD134"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第二年</w:t>
            </w:r>
            <w:r>
              <w:rPr>
                <w:rFonts w:ascii="Arial" w:hAnsi="Arial" w:hint="eastAsia"/>
                <w:snapToGrid w:val="0"/>
                <w:sz w:val="22"/>
                <w:szCs w:val="22"/>
              </w:rPr>
              <w:br/>
              <w:t>4</w:t>
            </w:r>
            <w:r>
              <w:rPr>
                <w:rFonts w:ascii="Arial" w:hAnsi="Arial" w:hint="eastAsia"/>
                <w:snapToGrid w:val="0"/>
                <w:sz w:val="22"/>
                <w:szCs w:val="22"/>
              </w:rPr>
              <w:t>月</w:t>
            </w:r>
            <w:r>
              <w:rPr>
                <w:rFonts w:ascii="Arial" w:hAnsi="Arial" w:hint="eastAsia"/>
                <w:snapToGrid w:val="0"/>
                <w:sz w:val="22"/>
                <w:szCs w:val="22"/>
              </w:rPr>
              <w:t>-6</w:t>
            </w:r>
            <w:r>
              <w:rPr>
                <w:rFonts w:ascii="Arial" w:hAnsi="Arial" w:hint="eastAsia"/>
                <w:snapToGrid w:val="0"/>
                <w:sz w:val="22"/>
                <w:szCs w:val="22"/>
              </w:rPr>
              <w:t>月</w:t>
            </w:r>
          </w:p>
        </w:tc>
        <w:tc>
          <w:tcPr>
            <w:tcW w:w="1606" w:type="pct"/>
          </w:tcPr>
          <w:p w14:paraId="24A57EA0"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评估机构开会进行最终评估。</w:t>
            </w:r>
          </w:p>
        </w:tc>
        <w:tc>
          <w:tcPr>
            <w:tcW w:w="209" w:type="pct"/>
          </w:tcPr>
          <w:p w14:paraId="7BF78595" w14:textId="77777777" w:rsidR="009B67CA" w:rsidRPr="00A0795B" w:rsidRDefault="009B67CA" w:rsidP="009E3DA1">
            <w:pPr>
              <w:spacing w:after="120"/>
              <w:jc w:val="both"/>
              <w:rPr>
                <w:rFonts w:ascii="Arial" w:hAnsi="Arial" w:cs="Arial"/>
                <w:snapToGrid w:val="0"/>
                <w:sz w:val="22"/>
                <w:szCs w:val="22"/>
              </w:rPr>
            </w:pPr>
          </w:p>
        </w:tc>
        <w:tc>
          <w:tcPr>
            <w:tcW w:w="740" w:type="pct"/>
          </w:tcPr>
          <w:p w14:paraId="61CC8D94"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第二年</w:t>
            </w:r>
            <w:r>
              <w:rPr>
                <w:rFonts w:ascii="Arial" w:hAnsi="Arial" w:hint="eastAsia"/>
                <w:snapToGrid w:val="0"/>
                <w:sz w:val="22"/>
                <w:szCs w:val="22"/>
              </w:rPr>
              <w:br/>
              <w:t>6</w:t>
            </w:r>
            <w:r>
              <w:rPr>
                <w:rFonts w:ascii="Arial" w:hAnsi="Arial" w:hint="eastAsia"/>
                <w:snapToGrid w:val="0"/>
                <w:sz w:val="22"/>
                <w:szCs w:val="22"/>
              </w:rPr>
              <w:t>月</w:t>
            </w:r>
          </w:p>
        </w:tc>
        <w:tc>
          <w:tcPr>
            <w:tcW w:w="1526" w:type="pct"/>
          </w:tcPr>
          <w:p w14:paraId="7F6048B1" w14:textId="28FB3993" w:rsidR="009B67CA" w:rsidRPr="005660AE" w:rsidRDefault="009B67CA" w:rsidP="009E3DA1">
            <w:pPr>
              <w:spacing w:after="120"/>
              <w:jc w:val="both"/>
              <w:rPr>
                <w:rFonts w:ascii="Arial" w:hAnsi="Arial" w:cs="Arial"/>
                <w:b/>
                <w:snapToGrid w:val="0"/>
                <w:sz w:val="22"/>
                <w:szCs w:val="22"/>
                <w:u w:val="thick"/>
              </w:rPr>
            </w:pPr>
            <w:proofErr w:type="gramStart"/>
            <w:r w:rsidRPr="005660AE">
              <w:rPr>
                <w:rFonts w:ascii="Arial" w:hAnsi="Arial" w:hint="eastAsia"/>
                <w:b/>
                <w:snapToGrid w:val="0"/>
                <w:sz w:val="22"/>
                <w:szCs w:val="22"/>
                <w:u w:val="thick"/>
              </w:rPr>
              <w:t>评估机构</w:t>
            </w:r>
            <w:r w:rsidR="00A93AE5">
              <w:rPr>
                <w:rFonts w:ascii="Arial" w:hAnsi="Arial" w:hint="eastAsia"/>
                <w:strike/>
                <w:snapToGrid w:val="0"/>
                <w:sz w:val="22"/>
                <w:szCs w:val="22"/>
              </w:rPr>
              <w:t>评估机构</w:t>
            </w:r>
            <w:proofErr w:type="gramEnd"/>
            <w:r w:rsidR="00A93AE5" w:rsidRPr="00A93AE5">
              <w:rPr>
                <w:rFonts w:ascii="Arial" w:hAnsi="Arial" w:hint="eastAsia"/>
                <w:snapToGrid w:val="0"/>
                <w:sz w:val="22"/>
                <w:szCs w:val="22"/>
              </w:rPr>
              <w:t>开会</w:t>
            </w:r>
            <w:r w:rsidR="00A93AE5">
              <w:rPr>
                <w:rFonts w:ascii="Arial" w:hAnsi="Arial" w:hint="eastAsia"/>
                <w:strike/>
                <w:snapToGrid w:val="0"/>
                <w:sz w:val="22"/>
                <w:szCs w:val="22"/>
              </w:rPr>
              <w:t>进行最终评估</w:t>
            </w:r>
            <w:r w:rsidR="00A93AE5" w:rsidRPr="005660AE">
              <w:rPr>
                <w:rFonts w:ascii="Arial" w:hAnsi="Arial" w:hint="eastAsia"/>
                <w:b/>
                <w:snapToGrid w:val="0"/>
                <w:sz w:val="22"/>
                <w:szCs w:val="22"/>
                <w:u w:val="thick"/>
              </w:rPr>
              <w:t>，</w:t>
            </w:r>
            <w:r w:rsidRPr="005660AE">
              <w:rPr>
                <w:rFonts w:ascii="Arial" w:hAnsi="Arial" w:hint="eastAsia"/>
                <w:b/>
                <w:snapToGrid w:val="0"/>
                <w:sz w:val="22"/>
                <w:szCs w:val="22"/>
                <w:u w:val="thick"/>
              </w:rPr>
              <w:t>共同完成对文件的评估，并确定将哪些文件纳入对话过程中。只有纳入对话过程中的那些文件才会继续进行评估，直到评估机构最后一次会议为止。</w:t>
            </w:r>
          </w:p>
          <w:p w14:paraId="2BD1BE04" w14:textId="7D6360D6" w:rsidR="002E284B" w:rsidRPr="002E284B" w:rsidRDefault="009B67CA" w:rsidP="009E3DA1">
            <w:pPr>
              <w:spacing w:after="120"/>
              <w:jc w:val="both"/>
              <w:rPr>
                <w:rFonts w:ascii="Arial" w:hAnsi="Arial"/>
                <w:b/>
                <w:snapToGrid w:val="0"/>
                <w:sz w:val="22"/>
                <w:szCs w:val="22"/>
                <w:u w:val="single"/>
              </w:rPr>
            </w:pPr>
            <w:r w:rsidRPr="005660AE">
              <w:rPr>
                <w:rFonts w:ascii="Arial" w:hAnsi="Arial" w:hint="eastAsia"/>
                <w:b/>
                <w:snapToGrid w:val="0"/>
                <w:sz w:val="22"/>
                <w:szCs w:val="22"/>
                <w:u w:val="thick"/>
              </w:rPr>
              <w:t>当评估机构认为通过秘书处以书面形式与</w:t>
            </w:r>
            <w:proofErr w:type="gramStart"/>
            <w:r w:rsidRPr="005660AE">
              <w:rPr>
                <w:rFonts w:ascii="Arial" w:hAnsi="Arial" w:hint="eastAsia"/>
                <w:b/>
                <w:snapToGrid w:val="0"/>
                <w:sz w:val="22"/>
                <w:szCs w:val="22"/>
                <w:u w:val="thick"/>
              </w:rPr>
              <w:t>提交国</w:t>
            </w:r>
            <w:proofErr w:type="gramEnd"/>
            <w:r w:rsidRPr="005660AE">
              <w:rPr>
                <w:rFonts w:ascii="Arial" w:hAnsi="Arial" w:hint="eastAsia"/>
                <w:b/>
                <w:snapToGrid w:val="0"/>
                <w:sz w:val="22"/>
                <w:szCs w:val="22"/>
                <w:u w:val="thick"/>
              </w:rPr>
              <w:t>进行简短问答过程可能会影响其评估结果时，便会启动对话过程。</w:t>
            </w:r>
          </w:p>
        </w:tc>
      </w:tr>
      <w:tr w:rsidR="007D5D66" w:rsidRPr="0041353C" w14:paraId="01DD5CEC" w14:textId="77777777" w:rsidTr="009E3DA1">
        <w:tc>
          <w:tcPr>
            <w:tcW w:w="222" w:type="pct"/>
          </w:tcPr>
          <w:p w14:paraId="6D802C44" w14:textId="77777777" w:rsidR="007D5D66" w:rsidRPr="00A0795B" w:rsidRDefault="007D5D66" w:rsidP="009E3DA1">
            <w:pPr>
              <w:spacing w:after="120"/>
              <w:jc w:val="both"/>
              <w:rPr>
                <w:rFonts w:ascii="Arial" w:hAnsi="Arial" w:cs="Arial"/>
                <w:snapToGrid w:val="0"/>
                <w:sz w:val="22"/>
                <w:szCs w:val="22"/>
              </w:rPr>
            </w:pPr>
          </w:p>
        </w:tc>
        <w:tc>
          <w:tcPr>
            <w:tcW w:w="697" w:type="pct"/>
          </w:tcPr>
          <w:p w14:paraId="692F19DF" w14:textId="77777777" w:rsidR="007D5D66" w:rsidRPr="00A0795B" w:rsidRDefault="007D5D66" w:rsidP="009E3DA1">
            <w:pPr>
              <w:spacing w:after="120"/>
              <w:jc w:val="both"/>
              <w:rPr>
                <w:rFonts w:ascii="Arial" w:hAnsi="Arial" w:cs="Arial"/>
                <w:snapToGrid w:val="0"/>
                <w:sz w:val="22"/>
                <w:szCs w:val="22"/>
              </w:rPr>
            </w:pPr>
          </w:p>
        </w:tc>
        <w:tc>
          <w:tcPr>
            <w:tcW w:w="1606" w:type="pct"/>
          </w:tcPr>
          <w:p w14:paraId="4F0072E0" w14:textId="77777777" w:rsidR="007D5D66" w:rsidRPr="00A0795B" w:rsidRDefault="007D5D66" w:rsidP="009E3DA1">
            <w:pPr>
              <w:spacing w:after="120"/>
              <w:jc w:val="both"/>
              <w:rPr>
                <w:rFonts w:ascii="Arial" w:hAnsi="Arial" w:cs="Arial"/>
                <w:snapToGrid w:val="0"/>
                <w:sz w:val="22"/>
                <w:szCs w:val="22"/>
              </w:rPr>
            </w:pPr>
          </w:p>
        </w:tc>
        <w:tc>
          <w:tcPr>
            <w:tcW w:w="209" w:type="pct"/>
          </w:tcPr>
          <w:p w14:paraId="5F43E6AC" w14:textId="77777777" w:rsidR="007D5D66" w:rsidRPr="00A0795B" w:rsidRDefault="007D5D66" w:rsidP="009E3DA1">
            <w:pPr>
              <w:spacing w:after="120"/>
              <w:jc w:val="both"/>
              <w:rPr>
                <w:rFonts w:ascii="Arial" w:hAnsi="Arial" w:cs="Arial"/>
                <w:snapToGrid w:val="0"/>
                <w:sz w:val="22"/>
                <w:szCs w:val="22"/>
              </w:rPr>
            </w:pPr>
          </w:p>
        </w:tc>
        <w:tc>
          <w:tcPr>
            <w:tcW w:w="740" w:type="pct"/>
            <w:vMerge w:val="restart"/>
          </w:tcPr>
          <w:p w14:paraId="4AF53285" w14:textId="77777777" w:rsidR="007D5D66" w:rsidRPr="005660AE" w:rsidRDefault="007D5D66" w:rsidP="009E3DA1">
            <w:pPr>
              <w:spacing w:after="120"/>
              <w:jc w:val="both"/>
              <w:rPr>
                <w:rFonts w:ascii="Arial" w:hAnsi="Arial" w:cs="Arial"/>
                <w:b/>
                <w:snapToGrid w:val="0"/>
                <w:sz w:val="22"/>
                <w:szCs w:val="22"/>
                <w:u w:val="thick"/>
              </w:rPr>
            </w:pPr>
            <w:r w:rsidRPr="005660AE">
              <w:rPr>
                <w:rFonts w:ascii="Arial" w:hAnsi="Arial" w:hint="eastAsia"/>
                <w:b/>
                <w:snapToGrid w:val="0"/>
                <w:sz w:val="22"/>
                <w:szCs w:val="22"/>
                <w:u w:val="thick"/>
              </w:rPr>
              <w:t>第二年</w:t>
            </w:r>
            <w:r w:rsidRPr="005660AE">
              <w:rPr>
                <w:rFonts w:ascii="Arial" w:hAnsi="Arial" w:hint="eastAsia"/>
                <w:b/>
                <w:snapToGrid w:val="0"/>
                <w:sz w:val="22"/>
                <w:szCs w:val="22"/>
                <w:u w:val="thick"/>
              </w:rPr>
              <w:br/>
              <w:t>6</w:t>
            </w:r>
            <w:r w:rsidRPr="005660AE">
              <w:rPr>
                <w:rFonts w:ascii="Arial" w:hAnsi="Arial" w:hint="eastAsia"/>
                <w:b/>
                <w:snapToGrid w:val="0"/>
                <w:sz w:val="22"/>
                <w:szCs w:val="22"/>
                <w:u w:val="thick"/>
              </w:rPr>
              <w:t>月会议后两周</w:t>
            </w:r>
          </w:p>
        </w:tc>
        <w:tc>
          <w:tcPr>
            <w:tcW w:w="1526" w:type="pct"/>
            <w:vMerge w:val="restart"/>
          </w:tcPr>
          <w:p w14:paraId="5504A146" w14:textId="77777777" w:rsidR="007D5D66" w:rsidRPr="005660AE" w:rsidRDefault="007D5D66" w:rsidP="009E3DA1">
            <w:pPr>
              <w:spacing w:after="120"/>
              <w:jc w:val="both"/>
              <w:rPr>
                <w:rFonts w:ascii="Arial" w:hAnsi="Arial" w:cs="Arial"/>
                <w:b/>
                <w:snapToGrid w:val="0"/>
                <w:sz w:val="22"/>
                <w:szCs w:val="22"/>
                <w:u w:val="thick"/>
              </w:rPr>
            </w:pPr>
            <w:r w:rsidRPr="005660AE">
              <w:rPr>
                <w:rFonts w:ascii="Arial" w:hAnsi="Arial" w:hint="eastAsia"/>
                <w:b/>
                <w:snapToGrid w:val="0"/>
                <w:sz w:val="22"/>
                <w:szCs w:val="22"/>
                <w:u w:val="thick"/>
              </w:rPr>
              <w:t>评估机构通过秘书处，以《公约》两种工作语言之一，将其问题转交给对话过程相关缔约国的最后期限。</w:t>
            </w:r>
          </w:p>
          <w:p w14:paraId="3B9FF095" w14:textId="15D41E6D" w:rsidR="007D5D66" w:rsidRPr="005660AE" w:rsidRDefault="007D5D66" w:rsidP="009E3DA1">
            <w:pPr>
              <w:spacing w:after="120"/>
              <w:jc w:val="both"/>
              <w:rPr>
                <w:rFonts w:ascii="Arial" w:hAnsi="Arial" w:cs="Arial"/>
                <w:b/>
                <w:snapToGrid w:val="0"/>
                <w:sz w:val="22"/>
                <w:szCs w:val="22"/>
                <w:u w:val="thick"/>
              </w:rPr>
            </w:pPr>
            <w:r w:rsidRPr="005660AE">
              <w:rPr>
                <w:rFonts w:ascii="Arial" w:hAnsi="Arial" w:hint="eastAsia"/>
                <w:b/>
                <w:snapToGrid w:val="0"/>
                <w:sz w:val="22"/>
                <w:szCs w:val="22"/>
                <w:u w:val="thick"/>
              </w:rPr>
              <w:t>在收到信函后四周内</w:t>
            </w:r>
            <w:r w:rsidRPr="00002C2C">
              <w:rPr>
                <w:rFonts w:ascii="Arial" w:hAnsi="Arial" w:hint="eastAsia"/>
                <w:b/>
                <w:snapToGrid w:val="0"/>
                <w:sz w:val="22"/>
                <w:szCs w:val="22"/>
                <w:u w:val="thick"/>
              </w:rPr>
              <w:t>，</w:t>
            </w:r>
            <w:r w:rsidRPr="005660AE">
              <w:rPr>
                <w:rFonts w:ascii="Arial" w:hAnsi="Arial" w:hint="eastAsia"/>
                <w:b/>
                <w:snapToGrid w:val="0"/>
                <w:sz w:val="22"/>
                <w:szCs w:val="22"/>
                <w:u w:val="thick"/>
              </w:rPr>
              <w:t>缔约国应通过秘书处</w:t>
            </w:r>
            <w:r w:rsidRPr="00002C2C">
              <w:rPr>
                <w:rFonts w:ascii="Arial" w:hAnsi="Arial" w:hint="eastAsia"/>
                <w:b/>
                <w:snapToGrid w:val="0"/>
                <w:sz w:val="22"/>
                <w:szCs w:val="22"/>
                <w:u w:val="thick"/>
              </w:rPr>
              <w:t>，</w:t>
            </w:r>
            <w:r w:rsidRPr="005660AE">
              <w:rPr>
                <w:rFonts w:ascii="Arial" w:hAnsi="Arial" w:hint="eastAsia"/>
                <w:b/>
                <w:snapToGrid w:val="0"/>
                <w:sz w:val="22"/>
                <w:szCs w:val="22"/>
                <w:u w:val="thick"/>
              </w:rPr>
              <w:t>以《公约》两种工作语言对评估机构的要求</w:t>
            </w:r>
            <w:proofErr w:type="gramStart"/>
            <w:r w:rsidRPr="005660AE">
              <w:rPr>
                <w:rFonts w:ascii="Arial" w:hAnsi="Arial" w:hint="eastAsia"/>
                <w:b/>
                <w:snapToGrid w:val="0"/>
                <w:sz w:val="22"/>
                <w:szCs w:val="22"/>
                <w:u w:val="thick"/>
              </w:rPr>
              <w:t>作出</w:t>
            </w:r>
            <w:proofErr w:type="gramEnd"/>
            <w:r w:rsidRPr="005660AE">
              <w:rPr>
                <w:rFonts w:ascii="Arial" w:hAnsi="Arial" w:hint="eastAsia"/>
                <w:b/>
                <w:snapToGrid w:val="0"/>
                <w:sz w:val="22"/>
                <w:szCs w:val="22"/>
                <w:u w:val="thick"/>
              </w:rPr>
              <w:t>答复。</w:t>
            </w:r>
          </w:p>
        </w:tc>
      </w:tr>
      <w:tr w:rsidR="007D5D66" w:rsidRPr="008517F3" w14:paraId="5D1F3C1B" w14:textId="77777777" w:rsidTr="009E3DA1">
        <w:tc>
          <w:tcPr>
            <w:tcW w:w="222" w:type="pct"/>
          </w:tcPr>
          <w:p w14:paraId="24428694" w14:textId="77777777" w:rsidR="007D5D66" w:rsidRPr="008517F3" w:rsidRDefault="007D5D66" w:rsidP="009E3DA1">
            <w:pPr>
              <w:spacing w:after="120"/>
              <w:jc w:val="both"/>
              <w:rPr>
                <w:rFonts w:ascii="Arial" w:hAnsi="Arial" w:cs="Arial"/>
                <w:snapToGrid w:val="0"/>
                <w:sz w:val="22"/>
                <w:szCs w:val="22"/>
              </w:rPr>
            </w:pPr>
          </w:p>
        </w:tc>
        <w:tc>
          <w:tcPr>
            <w:tcW w:w="697" w:type="pct"/>
          </w:tcPr>
          <w:p w14:paraId="2731A221" w14:textId="77777777" w:rsidR="007D5D66" w:rsidRPr="008517F3" w:rsidRDefault="007D5D66" w:rsidP="009E3DA1">
            <w:pPr>
              <w:spacing w:after="120"/>
              <w:jc w:val="both"/>
              <w:rPr>
                <w:rFonts w:ascii="Arial" w:hAnsi="Arial" w:cs="Arial"/>
                <w:snapToGrid w:val="0"/>
                <w:sz w:val="22"/>
                <w:szCs w:val="22"/>
              </w:rPr>
            </w:pPr>
          </w:p>
        </w:tc>
        <w:tc>
          <w:tcPr>
            <w:tcW w:w="1606" w:type="pct"/>
          </w:tcPr>
          <w:p w14:paraId="3625859C" w14:textId="77777777" w:rsidR="007D5D66" w:rsidRPr="008517F3" w:rsidRDefault="007D5D66" w:rsidP="009E3DA1">
            <w:pPr>
              <w:spacing w:after="120"/>
              <w:jc w:val="both"/>
              <w:rPr>
                <w:rFonts w:ascii="Arial" w:hAnsi="Arial" w:cs="Arial"/>
                <w:snapToGrid w:val="0"/>
                <w:sz w:val="22"/>
                <w:szCs w:val="22"/>
              </w:rPr>
            </w:pPr>
          </w:p>
        </w:tc>
        <w:tc>
          <w:tcPr>
            <w:tcW w:w="209" w:type="pct"/>
          </w:tcPr>
          <w:p w14:paraId="58837F4C" w14:textId="77777777" w:rsidR="007D5D66" w:rsidRPr="008517F3" w:rsidRDefault="007D5D66" w:rsidP="009E3DA1">
            <w:pPr>
              <w:spacing w:after="120"/>
              <w:jc w:val="both"/>
              <w:rPr>
                <w:rFonts w:ascii="Arial" w:hAnsi="Arial" w:cs="Arial"/>
                <w:snapToGrid w:val="0"/>
                <w:sz w:val="22"/>
                <w:szCs w:val="22"/>
              </w:rPr>
            </w:pPr>
          </w:p>
        </w:tc>
        <w:tc>
          <w:tcPr>
            <w:tcW w:w="740" w:type="pct"/>
            <w:vMerge/>
          </w:tcPr>
          <w:p w14:paraId="47B76757" w14:textId="77777777" w:rsidR="007D5D66" w:rsidRPr="008517F3" w:rsidRDefault="007D5D66" w:rsidP="009E3DA1">
            <w:pPr>
              <w:spacing w:after="120"/>
              <w:jc w:val="both"/>
              <w:rPr>
                <w:rFonts w:ascii="Arial" w:hAnsi="Arial" w:cs="Arial"/>
                <w:b/>
                <w:snapToGrid w:val="0"/>
                <w:sz w:val="22"/>
                <w:szCs w:val="22"/>
                <w:u w:val="thick"/>
              </w:rPr>
            </w:pPr>
          </w:p>
        </w:tc>
        <w:tc>
          <w:tcPr>
            <w:tcW w:w="1526" w:type="pct"/>
            <w:vMerge/>
          </w:tcPr>
          <w:p w14:paraId="6204618D" w14:textId="3481075F" w:rsidR="007D5D66" w:rsidRPr="00002C2C" w:rsidRDefault="007D5D66" w:rsidP="009E3DA1">
            <w:pPr>
              <w:spacing w:after="120"/>
              <w:jc w:val="both"/>
              <w:rPr>
                <w:rFonts w:ascii="Arial" w:hAnsi="Arial" w:cs="Arial"/>
                <w:b/>
                <w:snapToGrid w:val="0"/>
                <w:sz w:val="22"/>
                <w:szCs w:val="22"/>
                <w:u w:val="thick"/>
              </w:rPr>
            </w:pPr>
          </w:p>
        </w:tc>
      </w:tr>
      <w:tr w:rsidR="009B67CA" w:rsidRPr="0041353C" w14:paraId="0D1B30A5" w14:textId="77777777" w:rsidTr="009E3DA1">
        <w:tc>
          <w:tcPr>
            <w:tcW w:w="222" w:type="pct"/>
          </w:tcPr>
          <w:p w14:paraId="1251C881" w14:textId="77777777" w:rsidR="009B67CA" w:rsidRPr="00002C2C" w:rsidRDefault="009B67CA" w:rsidP="009E3DA1">
            <w:pPr>
              <w:spacing w:after="120"/>
              <w:jc w:val="both"/>
              <w:rPr>
                <w:rFonts w:ascii="Arial" w:hAnsi="Arial" w:cs="Arial"/>
                <w:snapToGrid w:val="0"/>
                <w:sz w:val="22"/>
                <w:szCs w:val="22"/>
              </w:rPr>
            </w:pPr>
          </w:p>
        </w:tc>
        <w:tc>
          <w:tcPr>
            <w:tcW w:w="697" w:type="pct"/>
          </w:tcPr>
          <w:p w14:paraId="6685B788" w14:textId="77777777" w:rsidR="009B67CA" w:rsidRPr="00002C2C" w:rsidRDefault="009B67CA" w:rsidP="009E3DA1">
            <w:pPr>
              <w:spacing w:after="120"/>
              <w:jc w:val="both"/>
              <w:rPr>
                <w:rFonts w:ascii="Arial" w:hAnsi="Arial" w:cs="Arial"/>
                <w:snapToGrid w:val="0"/>
                <w:sz w:val="22"/>
                <w:szCs w:val="22"/>
              </w:rPr>
            </w:pPr>
          </w:p>
        </w:tc>
        <w:tc>
          <w:tcPr>
            <w:tcW w:w="1606" w:type="pct"/>
          </w:tcPr>
          <w:p w14:paraId="32DEBEDD" w14:textId="77777777" w:rsidR="009B67CA" w:rsidRPr="00002C2C" w:rsidRDefault="009B67CA" w:rsidP="009E3DA1">
            <w:pPr>
              <w:spacing w:after="120"/>
              <w:jc w:val="both"/>
              <w:rPr>
                <w:rFonts w:ascii="Arial" w:hAnsi="Arial" w:cs="Arial"/>
                <w:snapToGrid w:val="0"/>
                <w:sz w:val="22"/>
                <w:szCs w:val="22"/>
              </w:rPr>
            </w:pPr>
          </w:p>
        </w:tc>
        <w:tc>
          <w:tcPr>
            <w:tcW w:w="209" w:type="pct"/>
          </w:tcPr>
          <w:p w14:paraId="264CF1B0" w14:textId="77777777" w:rsidR="009B67CA" w:rsidRPr="00002C2C" w:rsidRDefault="009B67CA" w:rsidP="009E3DA1">
            <w:pPr>
              <w:spacing w:after="120"/>
              <w:jc w:val="both"/>
              <w:rPr>
                <w:rFonts w:ascii="Arial" w:hAnsi="Arial" w:cs="Arial"/>
                <w:snapToGrid w:val="0"/>
                <w:sz w:val="22"/>
                <w:szCs w:val="22"/>
              </w:rPr>
            </w:pPr>
          </w:p>
        </w:tc>
        <w:tc>
          <w:tcPr>
            <w:tcW w:w="740" w:type="pct"/>
          </w:tcPr>
          <w:p w14:paraId="70E0B8C3" w14:textId="77777777" w:rsidR="009B67CA" w:rsidRPr="005660AE" w:rsidRDefault="009B67CA" w:rsidP="009E3DA1">
            <w:pPr>
              <w:spacing w:after="120"/>
              <w:rPr>
                <w:rFonts w:ascii="Arial" w:hAnsi="Arial" w:cs="Arial"/>
                <w:b/>
                <w:snapToGrid w:val="0"/>
                <w:sz w:val="22"/>
                <w:szCs w:val="22"/>
                <w:u w:val="thick"/>
              </w:rPr>
            </w:pPr>
            <w:r w:rsidRPr="005660AE">
              <w:rPr>
                <w:rFonts w:ascii="Arial" w:hAnsi="Arial" w:hint="eastAsia"/>
                <w:b/>
                <w:snapToGrid w:val="0"/>
                <w:sz w:val="22"/>
                <w:szCs w:val="22"/>
                <w:u w:val="thick"/>
              </w:rPr>
              <w:t>最迟第二年</w:t>
            </w:r>
            <w:r w:rsidRPr="005660AE">
              <w:rPr>
                <w:rFonts w:ascii="Arial" w:hAnsi="Arial" w:hint="eastAsia"/>
                <w:b/>
                <w:snapToGrid w:val="0"/>
                <w:sz w:val="22"/>
                <w:szCs w:val="22"/>
                <w:u w:val="thick"/>
              </w:rPr>
              <w:t>9</w:t>
            </w:r>
            <w:r w:rsidRPr="005660AE">
              <w:rPr>
                <w:rFonts w:ascii="Arial" w:hAnsi="Arial" w:hint="eastAsia"/>
                <w:b/>
                <w:snapToGrid w:val="0"/>
                <w:sz w:val="22"/>
                <w:szCs w:val="22"/>
                <w:u w:val="thick"/>
              </w:rPr>
              <w:t>月份之前</w:t>
            </w:r>
          </w:p>
        </w:tc>
        <w:tc>
          <w:tcPr>
            <w:tcW w:w="1526" w:type="pct"/>
          </w:tcPr>
          <w:p w14:paraId="781D0A25" w14:textId="77777777" w:rsidR="009B67CA" w:rsidRPr="005660AE" w:rsidRDefault="009B67CA" w:rsidP="009E3DA1">
            <w:pPr>
              <w:spacing w:after="120"/>
              <w:jc w:val="both"/>
              <w:rPr>
                <w:rFonts w:ascii="Arial" w:hAnsi="Arial" w:cs="Arial"/>
                <w:b/>
                <w:snapToGrid w:val="0"/>
                <w:sz w:val="22"/>
                <w:szCs w:val="22"/>
                <w:u w:val="thick"/>
              </w:rPr>
            </w:pPr>
            <w:r w:rsidRPr="005660AE">
              <w:rPr>
                <w:rFonts w:ascii="Arial" w:hAnsi="Arial" w:hint="eastAsia"/>
                <w:b/>
                <w:snapToGrid w:val="0"/>
                <w:sz w:val="22"/>
                <w:szCs w:val="22"/>
                <w:u w:val="thick"/>
              </w:rPr>
              <w:t>评估机构召开会议，最终完成对对话过程相关文件的评估并形成关于所有文件评估的报告。</w:t>
            </w:r>
          </w:p>
        </w:tc>
      </w:tr>
      <w:tr w:rsidR="009B67CA" w:rsidRPr="0041353C" w14:paraId="45489C05" w14:textId="77777777" w:rsidTr="009E3DA1">
        <w:tc>
          <w:tcPr>
            <w:tcW w:w="222" w:type="pct"/>
          </w:tcPr>
          <w:p w14:paraId="6725DF83" w14:textId="77777777" w:rsidR="009B67CA" w:rsidRPr="00A0795B" w:rsidRDefault="009B67CA" w:rsidP="009E3DA1">
            <w:pPr>
              <w:spacing w:after="120"/>
              <w:jc w:val="both"/>
              <w:rPr>
                <w:rFonts w:ascii="Arial" w:hAnsi="Arial" w:cs="Arial"/>
                <w:snapToGrid w:val="0"/>
                <w:sz w:val="22"/>
                <w:szCs w:val="22"/>
              </w:rPr>
            </w:pPr>
          </w:p>
        </w:tc>
        <w:tc>
          <w:tcPr>
            <w:tcW w:w="697" w:type="pct"/>
          </w:tcPr>
          <w:p w14:paraId="32FC9FEC"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委员会届会前四周</w:t>
            </w:r>
          </w:p>
        </w:tc>
        <w:tc>
          <w:tcPr>
            <w:tcW w:w="1606" w:type="pct"/>
          </w:tcPr>
          <w:p w14:paraId="208FF9D4"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秘书处将评估报告转交给委员会委员，并在线提供这些报告以供磋商。</w:t>
            </w:r>
          </w:p>
        </w:tc>
        <w:tc>
          <w:tcPr>
            <w:tcW w:w="209" w:type="pct"/>
          </w:tcPr>
          <w:p w14:paraId="4E6FEC5E" w14:textId="77777777" w:rsidR="009B67CA" w:rsidRPr="00A0795B" w:rsidRDefault="009B67CA" w:rsidP="009E3DA1">
            <w:pPr>
              <w:spacing w:after="120"/>
              <w:jc w:val="both"/>
              <w:rPr>
                <w:rFonts w:ascii="Arial" w:hAnsi="Arial" w:cs="Arial"/>
                <w:snapToGrid w:val="0"/>
                <w:sz w:val="22"/>
                <w:szCs w:val="22"/>
              </w:rPr>
            </w:pPr>
          </w:p>
        </w:tc>
        <w:tc>
          <w:tcPr>
            <w:tcW w:w="740" w:type="pct"/>
          </w:tcPr>
          <w:p w14:paraId="36CBAE63"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委员会届会前四周</w:t>
            </w:r>
          </w:p>
        </w:tc>
        <w:tc>
          <w:tcPr>
            <w:tcW w:w="1526" w:type="pct"/>
          </w:tcPr>
          <w:p w14:paraId="3EEDD672"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秘书处将评估报告转交给委员会委员，并在线提供这些报告以供磋商。</w:t>
            </w:r>
          </w:p>
        </w:tc>
      </w:tr>
      <w:tr w:rsidR="009B67CA" w:rsidRPr="00510637" w14:paraId="0FC8166D" w14:textId="77777777" w:rsidTr="009E3DA1">
        <w:tc>
          <w:tcPr>
            <w:tcW w:w="222" w:type="pct"/>
          </w:tcPr>
          <w:p w14:paraId="0D964609"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56.</w:t>
            </w:r>
          </w:p>
        </w:tc>
        <w:tc>
          <w:tcPr>
            <w:tcW w:w="697" w:type="pct"/>
          </w:tcPr>
          <w:p w14:paraId="59096F0E"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第</w:t>
            </w:r>
            <w:r>
              <w:rPr>
                <w:rFonts w:ascii="Arial" w:hAnsi="Arial" w:hint="eastAsia"/>
                <w:snapToGrid w:val="0"/>
                <w:sz w:val="22"/>
                <w:szCs w:val="22"/>
              </w:rPr>
              <w:t>3</w:t>
            </w:r>
            <w:r>
              <w:rPr>
                <w:rFonts w:ascii="Arial" w:hAnsi="Arial" w:hint="eastAsia"/>
                <w:snapToGrid w:val="0"/>
                <w:sz w:val="22"/>
                <w:szCs w:val="22"/>
              </w:rPr>
              <w:t>阶段：</w:t>
            </w:r>
          </w:p>
        </w:tc>
        <w:tc>
          <w:tcPr>
            <w:tcW w:w="1606" w:type="pct"/>
          </w:tcPr>
          <w:p w14:paraId="59F6573B"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审查</w:t>
            </w:r>
          </w:p>
        </w:tc>
        <w:tc>
          <w:tcPr>
            <w:tcW w:w="209" w:type="pct"/>
          </w:tcPr>
          <w:p w14:paraId="5A7D68E5"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56.</w:t>
            </w:r>
          </w:p>
        </w:tc>
        <w:tc>
          <w:tcPr>
            <w:tcW w:w="740" w:type="pct"/>
          </w:tcPr>
          <w:p w14:paraId="182DF9B4" w14:textId="77777777" w:rsidR="009B67CA" w:rsidRPr="00510637" w:rsidRDefault="009B67CA" w:rsidP="009E3DA1">
            <w:pPr>
              <w:spacing w:after="120"/>
              <w:jc w:val="both"/>
              <w:rPr>
                <w:rFonts w:ascii="Arial" w:hAnsi="Arial" w:cs="Arial"/>
                <w:snapToGrid w:val="0"/>
                <w:sz w:val="22"/>
                <w:szCs w:val="22"/>
              </w:rPr>
            </w:pPr>
            <w:r>
              <w:rPr>
                <w:rFonts w:ascii="Arial" w:hAnsi="Arial" w:hint="eastAsia"/>
                <w:snapToGrid w:val="0"/>
                <w:sz w:val="22"/>
                <w:szCs w:val="22"/>
              </w:rPr>
              <w:t>[</w:t>
            </w:r>
            <w:proofErr w:type="gramStart"/>
            <w:r>
              <w:rPr>
                <w:rFonts w:ascii="Arial" w:hAnsi="Arial" w:hint="eastAsia"/>
                <w:snapToGrid w:val="0"/>
                <w:sz w:val="22"/>
                <w:szCs w:val="22"/>
              </w:rPr>
              <w:t>无变动</w:t>
            </w:r>
            <w:proofErr w:type="gramEnd"/>
            <w:r>
              <w:rPr>
                <w:rFonts w:ascii="Arial" w:hAnsi="Arial" w:hint="eastAsia"/>
                <w:snapToGrid w:val="0"/>
                <w:sz w:val="22"/>
                <w:szCs w:val="22"/>
              </w:rPr>
              <w:t>。</w:t>
            </w:r>
            <w:r>
              <w:rPr>
                <w:rFonts w:ascii="Arial" w:hAnsi="Arial" w:hint="eastAsia"/>
                <w:snapToGrid w:val="0"/>
                <w:sz w:val="22"/>
                <w:szCs w:val="22"/>
              </w:rPr>
              <w:t>]</w:t>
            </w:r>
          </w:p>
        </w:tc>
        <w:tc>
          <w:tcPr>
            <w:tcW w:w="1526" w:type="pct"/>
          </w:tcPr>
          <w:p w14:paraId="36D12012" w14:textId="77777777" w:rsidR="009B67CA" w:rsidRPr="00510637" w:rsidRDefault="009B67CA" w:rsidP="009E3DA1">
            <w:pPr>
              <w:spacing w:after="120"/>
              <w:jc w:val="both"/>
              <w:rPr>
                <w:rFonts w:ascii="Arial" w:hAnsi="Arial" w:cs="Arial"/>
                <w:snapToGrid w:val="0"/>
                <w:sz w:val="22"/>
                <w:szCs w:val="22"/>
                <w:u w:val="single"/>
                <w:lang w:val="en-GB" w:eastAsia="en-US"/>
              </w:rPr>
            </w:pPr>
          </w:p>
        </w:tc>
      </w:tr>
    </w:tbl>
    <w:p w14:paraId="0A111CCE" w14:textId="77777777" w:rsidR="009B67CA" w:rsidRPr="008A1ED4" w:rsidRDefault="009B67CA" w:rsidP="009B67CA">
      <w:pPr>
        <w:spacing w:after="120"/>
        <w:jc w:val="both"/>
        <w:rPr>
          <w:rFonts w:ascii="Arial" w:hAnsi="Arial" w:cs="Arial"/>
          <w:snapToGrid w:val="0"/>
          <w:sz w:val="22"/>
          <w:szCs w:val="22"/>
          <w:lang w:val="en-GB" w:eastAsia="en-US"/>
        </w:rPr>
      </w:pPr>
    </w:p>
    <w:sectPr w:rsidR="009B67CA" w:rsidRPr="008A1ED4" w:rsidSect="003F76A9">
      <w:headerReference w:type="default" r:id="rId20"/>
      <w:headerReference w:type="first" r:id="rId21"/>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6E58" w14:textId="77777777" w:rsidR="00B01CEE" w:rsidRDefault="00B01CEE">
      <w:r>
        <w:separator/>
      </w:r>
    </w:p>
  </w:endnote>
  <w:endnote w:type="continuationSeparator" w:id="0">
    <w:p w14:paraId="5C136E8C" w14:textId="77777777" w:rsidR="00B01CEE" w:rsidRDefault="00B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A20C" w14:textId="77777777" w:rsidR="00B01CEE" w:rsidRDefault="00B01CEE">
      <w:r>
        <w:separator/>
      </w:r>
    </w:p>
  </w:footnote>
  <w:footnote w:type="continuationSeparator" w:id="0">
    <w:p w14:paraId="7691F607" w14:textId="77777777" w:rsidR="00B01CEE" w:rsidRDefault="00B0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D012" w14:textId="6C6B1BF6" w:rsidR="00956A8A" w:rsidRPr="00FB4971" w:rsidRDefault="00FB4971" w:rsidP="00FB4971">
    <w:pPr>
      <w:pStyle w:val="Header"/>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Pr>
        <w:rFonts w:ascii="Arial" w:hAnsi="Arial" w:cs="Arial"/>
        <w:sz w:val="20"/>
        <w:szCs w:val="20"/>
        <w:lang w:val="en-GB"/>
      </w:rPr>
      <w:t>10</w:t>
    </w:r>
    <w:r w:rsidRPr="00C23A97">
      <w:rPr>
        <w:rFonts w:ascii="Arial" w:hAnsi="Arial" w:cs="Arial"/>
        <w:sz w:val="20"/>
        <w:szCs w:val="20"/>
        <w:lang w:val="en-GB"/>
      </w:rPr>
      <w:t xml:space="preserve"> –</w:t>
    </w:r>
    <w:r>
      <w:rPr>
        <w:rFonts w:ascii="Arial" w:hAnsi="Arial" w:cs="Arial"/>
        <w:sz w:val="20"/>
        <w:szCs w:val="20"/>
        <w:lang w:val="en-GB"/>
      </w:rPr>
      <w:t xml:space="preserve"> </w:t>
    </w:r>
    <w:r>
      <w:rPr>
        <w:rFonts w:ascii="Arial" w:hAnsi="Arial" w:hint="eastAsia"/>
        <w:sz w:val="20"/>
        <w:szCs w:val="20"/>
      </w:rPr>
      <w:t>第</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A0795B">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r>
      <w:rPr>
        <w:rFonts w:ascii="Arial" w:hAnsi="Arial"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11C6" w14:textId="50FB14B2" w:rsidR="00956A8A" w:rsidRPr="0063300C" w:rsidRDefault="008517F3" w:rsidP="0063300C">
    <w:pPr>
      <w:pStyle w:val="Header"/>
      <w:jc w:val="right"/>
      <w:rPr>
        <w:rFonts w:ascii="Arial" w:hAnsi="Arial" w:cs="Arial"/>
      </w:rPr>
    </w:pPr>
    <w:r>
      <w:rPr>
        <w:rFonts w:ascii="Arial" w:hAnsi="Arial" w:hint="eastAsia"/>
        <w:sz w:val="20"/>
        <w:szCs w:val="20"/>
      </w:rPr>
      <w:t>LHE/20/8.GA/10</w:t>
    </w:r>
    <w:r w:rsidR="009B67CA">
      <w:rPr>
        <w:rFonts w:ascii="Arial" w:hAnsi="Arial" w:hint="eastAsia"/>
        <w:sz w:val="20"/>
        <w:szCs w:val="20"/>
      </w:rPr>
      <w:t xml:space="preserve"> </w:t>
    </w:r>
    <w:r w:rsidR="009B67CA">
      <w:rPr>
        <w:rFonts w:ascii="Arial" w:hAnsi="Arial" w:hint="eastAsia"/>
        <w:sz w:val="20"/>
        <w:szCs w:val="20"/>
      </w:rPr>
      <w:t>–</w:t>
    </w:r>
    <w:r w:rsidR="009B67CA">
      <w:rPr>
        <w:rFonts w:ascii="Arial" w:hAnsi="Arial" w:hint="eastAsia"/>
        <w:sz w:val="20"/>
        <w:szCs w:val="20"/>
      </w:rPr>
      <w:t xml:space="preserve"> </w:t>
    </w:r>
    <w:r w:rsidR="009B67CA">
      <w:rPr>
        <w:rFonts w:ascii="Arial" w:hAnsi="Arial" w:hint="eastAsia"/>
        <w:sz w:val="20"/>
        <w:szCs w:val="20"/>
      </w:rPr>
      <w:t>第</w:t>
    </w:r>
    <w:r w:rsidR="006F0FEB">
      <w:rPr>
        <w:rStyle w:val="PageNumber"/>
        <w:rFonts w:ascii="Arial" w:hAnsi="Arial"/>
        <w:sz w:val="20"/>
        <w:szCs w:val="20"/>
      </w:rPr>
      <w:t>5</w:t>
    </w:r>
    <w:r w:rsidR="009B67CA">
      <w:rPr>
        <w:rFonts w:ascii="Arial" w:hAnsi="Arial"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4076" w14:textId="2B147034" w:rsidR="00956A8A" w:rsidRPr="008724E5" w:rsidRDefault="006F0FEB">
    <w:pPr>
      <w:pStyle w:val="Header"/>
    </w:pPr>
    <w:r>
      <w:rPr>
        <w:noProof/>
        <w:lang w:eastAsia="fr-FR"/>
      </w:rPr>
      <w:drawing>
        <wp:anchor distT="0" distB="0" distL="114300" distR="114300" simplePos="0" relativeHeight="251660288" behindDoc="0" locked="0" layoutInCell="1" allowOverlap="1" wp14:anchorId="4A213F00" wp14:editId="787AC11B">
          <wp:simplePos x="0" y="0"/>
          <wp:positionH relativeFrom="page">
            <wp:posOffset>152400</wp:posOffset>
          </wp:positionH>
          <wp:positionV relativeFrom="page">
            <wp:posOffset>257175</wp:posOffset>
          </wp:positionV>
          <wp:extent cx="2394000" cy="1450800"/>
          <wp:effectExtent l="0" t="0" r="6350" b="0"/>
          <wp:wrapNone/>
          <wp:docPr id="14" name="图片 2"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67CA">
      <w:rPr>
        <w:rFonts w:hint="eastAsia"/>
        <w:noProof/>
        <w:lang w:eastAsia="fr-FR"/>
      </w:rPr>
      <w:drawing>
        <wp:anchor distT="0" distB="0" distL="114300" distR="114300" simplePos="0" relativeHeight="251657216" behindDoc="0" locked="0" layoutInCell="1" allowOverlap="1" wp14:anchorId="573AB01B" wp14:editId="0182CD1C">
          <wp:simplePos x="0" y="0"/>
          <wp:positionH relativeFrom="column">
            <wp:posOffset>-567690</wp:posOffset>
          </wp:positionH>
          <wp:positionV relativeFrom="paragraph">
            <wp:posOffset>3810</wp:posOffset>
          </wp:positionV>
          <wp:extent cx="2228215" cy="1367790"/>
          <wp:effectExtent l="0" t="0" r="635" b="3810"/>
          <wp:wrapNone/>
          <wp:docPr id="15"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CD5E5" w14:textId="77777777" w:rsidR="00956A8A" w:rsidRPr="00187B08" w:rsidRDefault="009B67CA" w:rsidP="00655736">
    <w:pPr>
      <w:pStyle w:val="Header"/>
      <w:spacing w:after="520"/>
      <w:jc w:val="right"/>
      <w:rPr>
        <w:rFonts w:ascii="Arial" w:hAnsi="Arial" w:cs="Arial"/>
        <w:b/>
        <w:sz w:val="44"/>
        <w:szCs w:val="44"/>
        <w:lang w:val="pt-PT"/>
      </w:rPr>
    </w:pPr>
    <w:r w:rsidRPr="00187B08">
      <w:rPr>
        <w:rFonts w:ascii="Arial" w:hAnsi="Arial" w:hint="eastAsia"/>
        <w:b/>
        <w:sz w:val="44"/>
        <w:szCs w:val="44"/>
        <w:lang w:val="pt-PT"/>
      </w:rPr>
      <w:t>8 GA</w:t>
    </w:r>
  </w:p>
  <w:p w14:paraId="0AC682AB" w14:textId="36875479" w:rsidR="00956A8A" w:rsidRPr="00187B08" w:rsidRDefault="008517F3" w:rsidP="00655736">
    <w:pPr>
      <w:jc w:val="right"/>
      <w:rPr>
        <w:rFonts w:ascii="Arial" w:hAnsi="Arial" w:cs="Arial"/>
        <w:b/>
        <w:sz w:val="22"/>
        <w:szCs w:val="22"/>
        <w:lang w:val="pt-PT"/>
      </w:rPr>
    </w:pPr>
    <w:r w:rsidRPr="00187B08">
      <w:rPr>
        <w:rFonts w:ascii="Arial" w:hAnsi="Arial" w:hint="eastAsia"/>
        <w:b/>
        <w:sz w:val="22"/>
        <w:szCs w:val="22"/>
        <w:lang w:val="pt-PT"/>
      </w:rPr>
      <w:t>LHE/20/8.GA/1</w:t>
    </w:r>
    <w:r w:rsidRPr="00187B08">
      <w:rPr>
        <w:rFonts w:ascii="Arial" w:hAnsi="Arial"/>
        <w:b/>
        <w:sz w:val="22"/>
        <w:szCs w:val="22"/>
        <w:lang w:val="pt-PT"/>
      </w:rPr>
      <w:t>0</w:t>
    </w:r>
  </w:p>
  <w:p w14:paraId="7C8F90BE" w14:textId="77777777" w:rsidR="00956A8A" w:rsidRPr="00187B08" w:rsidRDefault="009B67CA" w:rsidP="00655736">
    <w:pPr>
      <w:jc w:val="right"/>
      <w:rPr>
        <w:rFonts w:ascii="Arial" w:hAnsi="Arial" w:cs="Arial"/>
        <w:b/>
        <w:sz w:val="22"/>
        <w:szCs w:val="22"/>
        <w:lang w:val="pt-PT"/>
      </w:rPr>
    </w:pPr>
    <w:r>
      <w:rPr>
        <w:rFonts w:ascii="Arial" w:hAnsi="Arial" w:hint="eastAsia"/>
        <w:b/>
        <w:sz w:val="22"/>
        <w:szCs w:val="22"/>
      </w:rPr>
      <w:t>巴黎</w:t>
    </w:r>
    <w:r w:rsidRPr="00187B08">
      <w:rPr>
        <w:rFonts w:ascii="Arial" w:hAnsi="Arial" w:hint="eastAsia"/>
        <w:b/>
        <w:sz w:val="22"/>
        <w:szCs w:val="22"/>
        <w:lang w:val="pt-PT"/>
      </w:rPr>
      <w:t>，</w:t>
    </w:r>
    <w:r w:rsidRPr="00187B08">
      <w:rPr>
        <w:rFonts w:ascii="Arial" w:hAnsi="Arial" w:hint="eastAsia"/>
        <w:b/>
        <w:sz w:val="22"/>
        <w:szCs w:val="22"/>
        <w:lang w:val="pt-PT"/>
      </w:rPr>
      <w:t>2020</w:t>
    </w:r>
    <w:r w:rsidRPr="00187B08">
      <w:rPr>
        <w:rFonts w:ascii="Arial" w:hAnsi="Arial" w:hint="eastAsia"/>
        <w:b/>
        <w:sz w:val="22"/>
        <w:szCs w:val="22"/>
      </w:rPr>
      <w:t>年</w:t>
    </w:r>
    <w:r w:rsidRPr="00187B08">
      <w:rPr>
        <w:rFonts w:ascii="Arial" w:hAnsi="Arial" w:hint="eastAsia"/>
        <w:b/>
        <w:sz w:val="22"/>
        <w:szCs w:val="22"/>
        <w:lang w:val="pt-PT"/>
      </w:rPr>
      <w:t>8</w:t>
    </w:r>
    <w:r w:rsidRPr="00187B08">
      <w:rPr>
        <w:rFonts w:ascii="Arial" w:hAnsi="Arial" w:hint="eastAsia"/>
        <w:b/>
        <w:sz w:val="22"/>
        <w:szCs w:val="22"/>
      </w:rPr>
      <w:t>月</w:t>
    </w:r>
    <w:r w:rsidRPr="00187B08">
      <w:rPr>
        <w:rFonts w:ascii="Arial" w:hAnsi="Arial" w:hint="eastAsia"/>
        <w:b/>
        <w:sz w:val="22"/>
        <w:szCs w:val="22"/>
        <w:lang w:val="pt-PT"/>
      </w:rPr>
      <w:t>7</w:t>
    </w:r>
    <w:r w:rsidRPr="00187B08">
      <w:rPr>
        <w:rFonts w:ascii="Arial" w:hAnsi="Arial" w:hint="eastAsia"/>
        <w:b/>
        <w:sz w:val="22"/>
        <w:szCs w:val="22"/>
      </w:rPr>
      <w:t>日</w:t>
    </w:r>
  </w:p>
  <w:p w14:paraId="2AB0B2D3" w14:textId="58ECB80B" w:rsidR="00956A8A" w:rsidRDefault="009B67CA" w:rsidP="00703FBF">
    <w:pPr>
      <w:jc w:val="right"/>
      <w:rPr>
        <w:rFonts w:ascii="Arial" w:hAnsi="Arial" w:cs="Arial"/>
        <w:b/>
        <w:sz w:val="22"/>
        <w:szCs w:val="22"/>
      </w:rPr>
    </w:pPr>
    <w:r>
      <w:rPr>
        <w:rFonts w:ascii="Arial" w:hAnsi="Arial" w:hint="eastAsia"/>
        <w:b/>
        <w:sz w:val="22"/>
        <w:szCs w:val="22"/>
      </w:rPr>
      <w:t>原</w:t>
    </w:r>
    <w:r w:rsidR="004940AA">
      <w:rPr>
        <w:rFonts w:ascii="Arial" w:hAnsi="Arial" w:hint="eastAsia"/>
        <w:b/>
        <w:sz w:val="22"/>
        <w:szCs w:val="22"/>
      </w:rPr>
      <w:t>文</w:t>
    </w:r>
    <w:r>
      <w:rPr>
        <w:rFonts w:ascii="Arial" w:hAnsi="Arial" w:hint="eastAsia"/>
        <w:b/>
        <w:sz w:val="22"/>
        <w:szCs w:val="22"/>
      </w:rPr>
      <w:t>：英文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E2C3" w14:textId="34A13BFA" w:rsidR="006F0FEB" w:rsidRPr="0063300C" w:rsidRDefault="006F0FEB" w:rsidP="0063300C">
    <w:pPr>
      <w:pStyle w:val="Header"/>
      <w:jc w:val="right"/>
      <w:rPr>
        <w:rFonts w:ascii="Arial" w:hAnsi="Arial" w:cs="Arial"/>
      </w:rPr>
    </w:pPr>
    <w:r>
      <w:rPr>
        <w:rFonts w:ascii="Arial" w:hAnsi="Arial" w:hint="eastAsia"/>
        <w:sz w:val="20"/>
        <w:szCs w:val="20"/>
      </w:rPr>
      <w:t>LHE/20/8.GA/1</w:t>
    </w:r>
    <w:r w:rsidR="001402DE">
      <w:rPr>
        <w:rFonts w:ascii="Arial" w:hAnsi="Arial" w:hint="eastAsia"/>
        <w:sz w:val="20"/>
        <w:szCs w:val="20"/>
      </w:rPr>
      <w:t>0</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sidR="00FB4971">
      <w:rPr>
        <w:rStyle w:val="PageNumber"/>
        <w:rFonts w:ascii="Arial" w:hAnsi="Arial"/>
        <w:sz w:val="20"/>
        <w:szCs w:val="20"/>
      </w:rPr>
      <w:t>3</w:t>
    </w:r>
    <w:r>
      <w:rPr>
        <w:rFonts w:ascii="Arial" w:hAnsi="Arial" w:hint="eastAsia"/>
        <w:sz w:val="20"/>
        <w:szCs w:val="20"/>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61B9" w14:textId="77777777" w:rsidR="003F76A9" w:rsidRPr="008724E5" w:rsidRDefault="009B67CA">
    <w:pPr>
      <w:pStyle w:val="Header"/>
    </w:pPr>
    <w:r>
      <w:rPr>
        <w:rFonts w:hint="eastAsia"/>
        <w:noProof/>
        <w:lang w:eastAsia="fr-FR"/>
      </w:rPr>
      <w:drawing>
        <wp:anchor distT="0" distB="0" distL="114300" distR="114300" simplePos="0" relativeHeight="251658240" behindDoc="0" locked="0" layoutInCell="1" allowOverlap="1" wp14:anchorId="7479AEC3" wp14:editId="7B32734F">
          <wp:simplePos x="0" y="0"/>
          <wp:positionH relativeFrom="column">
            <wp:posOffset>-567690</wp:posOffset>
          </wp:positionH>
          <wp:positionV relativeFrom="paragraph">
            <wp:posOffset>3810</wp:posOffset>
          </wp:positionV>
          <wp:extent cx="2228215" cy="1367790"/>
          <wp:effectExtent l="0" t="0" r="635" b="3810"/>
          <wp:wrapNone/>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8B2AD" w14:textId="77777777" w:rsidR="003F76A9" w:rsidRPr="00187B08" w:rsidRDefault="009B67CA" w:rsidP="00655736">
    <w:pPr>
      <w:pStyle w:val="Header"/>
      <w:spacing w:after="520"/>
      <w:jc w:val="right"/>
      <w:rPr>
        <w:rFonts w:ascii="Arial" w:hAnsi="Arial" w:cs="Arial"/>
        <w:b/>
        <w:sz w:val="44"/>
        <w:szCs w:val="44"/>
        <w:lang w:val="pt-PT"/>
      </w:rPr>
    </w:pPr>
    <w:r w:rsidRPr="00187B08">
      <w:rPr>
        <w:rFonts w:ascii="Arial" w:hAnsi="Arial" w:hint="eastAsia"/>
        <w:b/>
        <w:sz w:val="44"/>
        <w:szCs w:val="44"/>
        <w:lang w:val="pt-PT"/>
      </w:rPr>
      <w:t>8 GA</w:t>
    </w:r>
  </w:p>
  <w:p w14:paraId="7C7B6C3A" w14:textId="77777777" w:rsidR="003F76A9" w:rsidRPr="00187B08" w:rsidRDefault="009B67CA" w:rsidP="00655736">
    <w:pPr>
      <w:jc w:val="right"/>
      <w:rPr>
        <w:rFonts w:ascii="Arial" w:hAnsi="Arial" w:cs="Arial"/>
        <w:b/>
        <w:sz w:val="22"/>
        <w:szCs w:val="22"/>
        <w:lang w:val="pt-PT"/>
      </w:rPr>
    </w:pPr>
    <w:r w:rsidRPr="00187B08">
      <w:rPr>
        <w:rFonts w:ascii="Arial" w:hAnsi="Arial" w:hint="eastAsia"/>
        <w:b/>
        <w:sz w:val="22"/>
        <w:szCs w:val="22"/>
        <w:lang w:val="pt-PT"/>
      </w:rPr>
      <w:t>LHE/20/8.GA/11</w:t>
    </w:r>
  </w:p>
  <w:p w14:paraId="25F3D94E" w14:textId="77777777" w:rsidR="003F76A9" w:rsidRPr="00187B08" w:rsidRDefault="009B67CA" w:rsidP="00655736">
    <w:pPr>
      <w:jc w:val="right"/>
      <w:rPr>
        <w:rFonts w:ascii="Arial" w:hAnsi="Arial" w:cs="Arial"/>
        <w:b/>
        <w:sz w:val="22"/>
        <w:szCs w:val="22"/>
        <w:lang w:val="pt-PT"/>
      </w:rPr>
    </w:pPr>
    <w:r>
      <w:rPr>
        <w:rFonts w:ascii="Arial" w:hAnsi="Arial" w:hint="eastAsia"/>
        <w:b/>
        <w:sz w:val="22"/>
        <w:szCs w:val="22"/>
      </w:rPr>
      <w:t>巴黎</w:t>
    </w:r>
    <w:r w:rsidRPr="00187B08">
      <w:rPr>
        <w:rFonts w:ascii="Arial" w:hAnsi="Arial" w:hint="eastAsia"/>
        <w:b/>
        <w:sz w:val="22"/>
        <w:szCs w:val="22"/>
        <w:lang w:val="pt-PT"/>
      </w:rPr>
      <w:t>，</w:t>
    </w:r>
    <w:r w:rsidRPr="00187B08">
      <w:rPr>
        <w:rFonts w:ascii="Arial" w:hAnsi="Arial" w:hint="eastAsia"/>
        <w:b/>
        <w:sz w:val="22"/>
        <w:szCs w:val="22"/>
        <w:lang w:val="pt-PT"/>
      </w:rPr>
      <w:t>2020</w:t>
    </w:r>
    <w:r>
      <w:rPr>
        <w:rFonts w:ascii="Arial" w:hAnsi="Arial" w:hint="eastAsia"/>
        <w:b/>
        <w:sz w:val="22"/>
        <w:szCs w:val="22"/>
      </w:rPr>
      <w:t>年</w:t>
    </w:r>
    <w:r w:rsidRPr="00187B08">
      <w:rPr>
        <w:rFonts w:ascii="Arial" w:hAnsi="Arial" w:hint="eastAsia"/>
        <w:b/>
        <w:sz w:val="22"/>
        <w:szCs w:val="22"/>
        <w:lang w:val="pt-PT"/>
      </w:rPr>
      <w:t>5</w:t>
    </w:r>
    <w:r>
      <w:rPr>
        <w:rFonts w:ascii="Arial" w:hAnsi="Arial" w:hint="eastAsia"/>
        <w:b/>
        <w:sz w:val="22"/>
        <w:szCs w:val="22"/>
      </w:rPr>
      <w:t>月</w:t>
    </w:r>
    <w:proofErr w:type="spellStart"/>
    <w:r w:rsidRPr="00187B08">
      <w:rPr>
        <w:rFonts w:ascii="Arial" w:hAnsi="Arial" w:hint="eastAsia"/>
        <w:b/>
        <w:sz w:val="22"/>
        <w:szCs w:val="22"/>
        <w:highlight w:val="yellow"/>
        <w:lang w:val="pt-PT"/>
      </w:rPr>
      <w:t>xx</w:t>
    </w:r>
    <w:proofErr w:type="spellEnd"/>
    <w:r>
      <w:rPr>
        <w:rFonts w:ascii="Arial" w:hAnsi="Arial" w:hint="eastAsia"/>
        <w:b/>
        <w:sz w:val="22"/>
        <w:szCs w:val="22"/>
      </w:rPr>
      <w:t>日</w:t>
    </w:r>
  </w:p>
  <w:p w14:paraId="16E45AAF" w14:textId="77777777" w:rsidR="003F76A9" w:rsidRDefault="009B67CA" w:rsidP="00703FBF">
    <w:pPr>
      <w:jc w:val="right"/>
      <w:rPr>
        <w:rFonts w:ascii="Arial" w:hAnsi="Arial" w:cs="Arial"/>
        <w:b/>
        <w:sz w:val="22"/>
        <w:szCs w:val="22"/>
      </w:rPr>
    </w:pPr>
    <w:r>
      <w:rPr>
        <w:rFonts w:ascii="Arial" w:hAnsi="Arial" w:hint="eastAsia"/>
        <w:b/>
        <w:sz w:val="22"/>
        <w:szCs w:val="22"/>
      </w:rPr>
      <w:t>原件：法文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54025282"/>
    <w:lvl w:ilvl="0" w:tplc="AE986C5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CA"/>
    <w:rsid w:val="00002C2C"/>
    <w:rsid w:val="001402DE"/>
    <w:rsid w:val="00187B08"/>
    <w:rsid w:val="001B5318"/>
    <w:rsid w:val="002C6D9B"/>
    <w:rsid w:val="002E284B"/>
    <w:rsid w:val="004940AA"/>
    <w:rsid w:val="004B39C1"/>
    <w:rsid w:val="005660AE"/>
    <w:rsid w:val="00596CC6"/>
    <w:rsid w:val="005C1B3F"/>
    <w:rsid w:val="006F0FEB"/>
    <w:rsid w:val="007D13E4"/>
    <w:rsid w:val="007D5D66"/>
    <w:rsid w:val="008517F3"/>
    <w:rsid w:val="00926C9F"/>
    <w:rsid w:val="00990C24"/>
    <w:rsid w:val="009B38EA"/>
    <w:rsid w:val="009B67CA"/>
    <w:rsid w:val="00A0795B"/>
    <w:rsid w:val="00A93AE5"/>
    <w:rsid w:val="00B01CEE"/>
    <w:rsid w:val="00B478D8"/>
    <w:rsid w:val="00C94F03"/>
    <w:rsid w:val="00E81EAF"/>
    <w:rsid w:val="00FB49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2E5D62"/>
  <w15:chartTrackingRefBased/>
  <w15:docId w15:val="{D028D5BE-2E07-4C58-B77A-F0A3D8BE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B67CA"/>
    <w:rPr>
      <w:rFonts w:ascii="Times New Roman" w:eastAsia="SimSun" w:hAnsi="Times New Roman" w:cs="Times New Roman"/>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7CA"/>
    <w:pPr>
      <w:tabs>
        <w:tab w:val="center" w:pos="4536"/>
        <w:tab w:val="right" w:pos="9072"/>
      </w:tabs>
    </w:pPr>
  </w:style>
  <w:style w:type="character" w:customStyle="1" w:styleId="HeaderChar">
    <w:name w:val="Header Char"/>
    <w:basedOn w:val="DefaultParagraphFont"/>
    <w:link w:val="Header"/>
    <w:rsid w:val="009B67CA"/>
    <w:rPr>
      <w:rFonts w:ascii="Times New Roman" w:eastAsia="SimSun" w:hAnsi="Times New Roman" w:cs="Times New Roman"/>
      <w:kern w:val="0"/>
      <w:sz w:val="24"/>
      <w:szCs w:val="24"/>
      <w:lang w:val="fr-FR" w:eastAsia="zh-CN"/>
    </w:rPr>
  </w:style>
  <w:style w:type="paragraph" w:customStyle="1" w:styleId="Sansinterligne2">
    <w:name w:val="Sans interligne2"/>
    <w:uiPriority w:val="1"/>
    <w:rsid w:val="009B67CA"/>
    <w:rPr>
      <w:rFonts w:ascii="Times New Roman" w:eastAsia="SimSun" w:hAnsi="Times New Roman" w:cs="Times New Roman"/>
      <w:kern w:val="0"/>
      <w:sz w:val="24"/>
      <w:szCs w:val="24"/>
      <w:lang w:val="fr-FR"/>
    </w:rPr>
  </w:style>
  <w:style w:type="table" w:styleId="TableGrid">
    <w:name w:val="Table Grid"/>
    <w:basedOn w:val="TableNormal"/>
    <w:uiPriority w:val="59"/>
    <w:rsid w:val="009B67CA"/>
    <w:rPr>
      <w:rFonts w:ascii="Calibri" w:eastAsia="SimSun" w:hAnsi="Calibri" w:cs="Times New Roman"/>
      <w:kern w:val="0"/>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9B67CA"/>
  </w:style>
  <w:style w:type="paragraph" w:customStyle="1" w:styleId="Marge">
    <w:name w:val="Marge"/>
    <w:basedOn w:val="Normal"/>
    <w:rsid w:val="009B67CA"/>
    <w:pPr>
      <w:tabs>
        <w:tab w:val="left" w:pos="567"/>
      </w:tabs>
      <w:snapToGrid w:val="0"/>
      <w:spacing w:after="240"/>
      <w:jc w:val="both"/>
    </w:pPr>
    <w:rPr>
      <w:rFonts w:ascii="Arial" w:hAnsi="Arial"/>
      <w:snapToGrid w:val="0"/>
      <w:sz w:val="22"/>
    </w:rPr>
  </w:style>
  <w:style w:type="paragraph" w:customStyle="1" w:styleId="Sansinterligne1">
    <w:name w:val="Sans interligne1"/>
    <w:uiPriority w:val="1"/>
    <w:rsid w:val="009B67CA"/>
    <w:rPr>
      <w:rFonts w:ascii="Times New Roman" w:eastAsia="SimSun" w:hAnsi="Times New Roman" w:cs="Times New Roman"/>
      <w:kern w:val="0"/>
      <w:sz w:val="24"/>
      <w:szCs w:val="24"/>
      <w:lang w:val="fr-FR"/>
    </w:rPr>
  </w:style>
  <w:style w:type="paragraph" w:customStyle="1" w:styleId="GAPara">
    <w:name w:val="GA Para"/>
    <w:qFormat/>
    <w:rsid w:val="009B67CA"/>
    <w:pPr>
      <w:numPr>
        <w:numId w:val="1"/>
      </w:numPr>
      <w:spacing w:after="120"/>
      <w:ind w:left="567" w:hanging="567"/>
    </w:pPr>
    <w:rPr>
      <w:rFonts w:ascii="Arial" w:eastAsia="SimSun" w:hAnsi="Arial" w:cs="Arial"/>
      <w:snapToGrid w:val="0"/>
      <w:kern w:val="0"/>
      <w:sz w:val="22"/>
      <w:lang w:val="en-GB"/>
    </w:rPr>
  </w:style>
  <w:style w:type="paragraph" w:customStyle="1" w:styleId="GATitleResolution">
    <w:name w:val="GA Title Resolution"/>
    <w:basedOn w:val="Normal"/>
    <w:qFormat/>
    <w:rsid w:val="009B67CA"/>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9B67CA"/>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9B67CA"/>
    <w:pPr>
      <w:numPr>
        <w:numId w:val="2"/>
      </w:numPr>
      <w:autoSpaceDE w:val="0"/>
      <w:autoSpaceDN w:val="0"/>
      <w:adjustRightInd w:val="0"/>
      <w:spacing w:after="120"/>
      <w:jc w:val="both"/>
    </w:pPr>
    <w:rPr>
      <w:rFonts w:ascii="Arial" w:hAnsi="Arial" w:cs="Arial"/>
      <w:sz w:val="22"/>
      <w:szCs w:val="22"/>
      <w:u w:val="single"/>
      <w:lang w:val="en-GB"/>
    </w:rPr>
  </w:style>
  <w:style w:type="paragraph" w:customStyle="1" w:styleId="COMParaDecision">
    <w:name w:val="COM Para Decision"/>
    <w:basedOn w:val="Normal"/>
    <w:qFormat/>
    <w:rsid w:val="009B67CA"/>
    <w:pPr>
      <w:autoSpaceDE w:val="0"/>
      <w:autoSpaceDN w:val="0"/>
      <w:adjustRightInd w:val="0"/>
      <w:spacing w:after="120"/>
      <w:ind w:left="1134" w:hanging="567"/>
      <w:jc w:val="both"/>
    </w:pPr>
    <w:rPr>
      <w:rFonts w:ascii="Arial" w:hAnsi="Arial" w:cs="Arial"/>
      <w:sz w:val="22"/>
      <w:szCs w:val="22"/>
      <w:u w:val="single"/>
      <w:lang w:val="en-GB"/>
    </w:rPr>
  </w:style>
  <w:style w:type="paragraph" w:customStyle="1" w:styleId="COMPara">
    <w:name w:val="COM Para"/>
    <w:qFormat/>
    <w:rsid w:val="009B67CA"/>
    <w:pPr>
      <w:spacing w:after="120"/>
      <w:ind w:left="567" w:hanging="567"/>
    </w:pPr>
    <w:rPr>
      <w:rFonts w:ascii="Arial" w:eastAsia="SimSun" w:hAnsi="Arial" w:cs="Arial"/>
      <w:snapToGrid w:val="0"/>
      <w:kern w:val="0"/>
      <w:sz w:val="22"/>
      <w:lang w:val="en-GB"/>
    </w:rPr>
  </w:style>
  <w:style w:type="character" w:styleId="Hyperlink">
    <w:name w:val="Hyperlink"/>
    <w:basedOn w:val="DefaultParagraphFont"/>
    <w:uiPriority w:val="99"/>
    <w:unhideWhenUsed/>
    <w:rsid w:val="009B67CA"/>
    <w:rPr>
      <w:color w:val="0563C1" w:themeColor="hyperlink"/>
      <w:u w:val="single"/>
    </w:rPr>
  </w:style>
  <w:style w:type="paragraph" w:styleId="Footer">
    <w:name w:val="footer"/>
    <w:basedOn w:val="Normal"/>
    <w:link w:val="FooterChar"/>
    <w:uiPriority w:val="99"/>
    <w:unhideWhenUsed/>
    <w:rsid w:val="004B39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39C1"/>
    <w:rPr>
      <w:rFonts w:ascii="Times New Roman" w:eastAsia="SimSun" w:hAnsi="Times New Roman" w:cs="Times New Roman"/>
      <w:kern w:val="0"/>
      <w:sz w:val="18"/>
      <w:szCs w:val="18"/>
      <w:lang w:val="fr-FR"/>
    </w:rPr>
  </w:style>
  <w:style w:type="character" w:customStyle="1" w:styleId="UnresolvedMention1">
    <w:name w:val="Unresolved Mention1"/>
    <w:basedOn w:val="DefaultParagraphFont"/>
    <w:uiPriority w:val="99"/>
    <w:semiHidden/>
    <w:unhideWhenUsed/>
    <w:rsid w:val="0018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0" TargetMode="External"/><Relationship Id="rId13" Type="http://schemas.openxmlformats.org/officeDocument/2006/relationships/hyperlink" Target="https://ich.unesco.org/en/Decisions/13.COM/1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about:blank" TargetMode="External"/><Relationship Id="rId12" Type="http://schemas.openxmlformats.org/officeDocument/2006/relationships/hyperlink" Target="https://ich.unesco.org/en/Decisions/13.COM/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h.unesco.org/en/Decisions/14.COM/16"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doc/src/LHE-20-8.GA-11-ZH.docx" TargetMode="External"/><Relationship Id="rId5" Type="http://schemas.openxmlformats.org/officeDocument/2006/relationships/footnotes" Target="footnotes.xml"/><Relationship Id="rId15" Type="http://schemas.openxmlformats.org/officeDocument/2006/relationships/hyperlink" Target="https://ich.unesco.org/en/Decisions/14.COM/14" TargetMode="External"/><Relationship Id="rId23" Type="http://schemas.openxmlformats.org/officeDocument/2006/relationships/theme" Target="theme/theme1.xml"/><Relationship Id="rId10" Type="http://schemas.openxmlformats.org/officeDocument/2006/relationships/hyperlink" Target="https://ich.unesco.org/en/Decisions/7.GA/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h.unesco.org/en/Decisions/12.COM/13" TargetMode="External"/><Relationship Id="rId14" Type="http://schemas.openxmlformats.org/officeDocument/2006/relationships/hyperlink" Target="https://ich.unesco.org/en/Decisions/13.COM/1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Shen, Yue</cp:lastModifiedBy>
  <cp:revision>10</cp:revision>
  <dcterms:created xsi:type="dcterms:W3CDTF">2020-08-04T20:54:00Z</dcterms:created>
  <dcterms:modified xsi:type="dcterms:W3CDTF">2020-08-07T14:22:00Z</dcterms:modified>
</cp:coreProperties>
</file>