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433E3" w14:textId="77777777" w:rsidR="005F3310" w:rsidRDefault="00EC6F8D" w:rsidP="00A53C89">
      <w:pPr>
        <w:spacing w:before="1800" w:after="100" w:afterAutospacing="1"/>
        <w:jc w:val="center"/>
        <w:rPr>
          <w:rFonts w:ascii="Arial" w:hAnsi="Arial" w:cs="Arial"/>
          <w:b/>
          <w:sz w:val="22"/>
          <w:szCs w:val="22"/>
          <w:lang w:val="en-GB"/>
        </w:rPr>
      </w:pPr>
      <w:r w:rsidRPr="00524C74">
        <w:rPr>
          <w:rFonts w:ascii="Arial" w:hAnsi="Arial" w:cs="Arial"/>
          <w:b/>
          <w:sz w:val="22"/>
          <w:szCs w:val="22"/>
          <w:lang w:val="en-GB"/>
        </w:rPr>
        <w:t>CONVENTION FOR THE SAFEGUARDING OF THE</w:t>
      </w:r>
      <w:r w:rsidRPr="00524C74">
        <w:rPr>
          <w:rFonts w:ascii="Arial" w:hAnsi="Arial" w:cs="Arial"/>
          <w:b/>
          <w:sz w:val="22"/>
          <w:szCs w:val="22"/>
          <w:lang w:val="en-GB"/>
        </w:rPr>
        <w:br/>
        <w:t>INTANGIBLE CULTURAL HERITAGE</w:t>
      </w:r>
    </w:p>
    <w:p w14:paraId="2BB41F8F" w14:textId="77777777" w:rsidR="00B152BF" w:rsidRDefault="00B152BF" w:rsidP="00B152BF">
      <w:pPr>
        <w:spacing w:after="100" w:afterAutospacing="1"/>
        <w:jc w:val="center"/>
        <w:rPr>
          <w:rFonts w:ascii="Arial" w:hAnsi="Arial" w:cs="Arial"/>
          <w:b/>
          <w:sz w:val="22"/>
          <w:szCs w:val="22"/>
          <w:lang w:val="en-GB"/>
        </w:rPr>
      </w:pPr>
    </w:p>
    <w:p w14:paraId="381F0D40" w14:textId="2A0F6576" w:rsidR="00EC6F8D" w:rsidRPr="00524C74" w:rsidRDefault="00EC6F8D" w:rsidP="00B152BF">
      <w:pPr>
        <w:spacing w:after="100" w:afterAutospacing="1"/>
        <w:jc w:val="center"/>
        <w:rPr>
          <w:rFonts w:ascii="Arial" w:hAnsi="Arial" w:cs="Arial"/>
          <w:b/>
          <w:sz w:val="22"/>
          <w:szCs w:val="22"/>
          <w:lang w:val="en-GB"/>
        </w:rPr>
      </w:pPr>
      <w:r w:rsidRPr="00524C74">
        <w:rPr>
          <w:rFonts w:ascii="Arial" w:hAnsi="Arial" w:cs="Arial"/>
          <w:b/>
          <w:sz w:val="22"/>
          <w:szCs w:val="22"/>
          <w:lang w:val="en-GB"/>
        </w:rPr>
        <w:t>INTERGOVERNMENTAL COMMITTEE FOR THE</w:t>
      </w:r>
      <w:r w:rsidRPr="00524C74">
        <w:rPr>
          <w:rFonts w:ascii="Arial" w:hAnsi="Arial" w:cs="Arial"/>
          <w:b/>
          <w:sz w:val="22"/>
          <w:szCs w:val="22"/>
          <w:lang w:val="en-GB"/>
        </w:rPr>
        <w:br/>
        <w:t>SAFEGUARDING OF THE INTANGIBLE CULTURAL HERITAGE</w:t>
      </w:r>
    </w:p>
    <w:p w14:paraId="731CBB65" w14:textId="77777777" w:rsidR="00B152BF" w:rsidRDefault="00B152BF" w:rsidP="00B152BF">
      <w:pPr>
        <w:jc w:val="center"/>
        <w:rPr>
          <w:rFonts w:ascii="Arial" w:hAnsi="Arial" w:cs="Arial"/>
          <w:b/>
          <w:sz w:val="22"/>
          <w:szCs w:val="22"/>
          <w:lang w:val="en-GB"/>
        </w:rPr>
      </w:pPr>
    </w:p>
    <w:p w14:paraId="1A4C2260" w14:textId="0AAEE891" w:rsidR="00A22630" w:rsidRPr="00524C74" w:rsidRDefault="00A22630" w:rsidP="00B152BF">
      <w:pPr>
        <w:jc w:val="center"/>
        <w:rPr>
          <w:rFonts w:ascii="Arial" w:hAnsi="Arial" w:cs="Arial"/>
          <w:b/>
          <w:sz w:val="22"/>
          <w:szCs w:val="22"/>
          <w:lang w:val="en-GB"/>
        </w:rPr>
      </w:pPr>
      <w:r w:rsidRPr="00524C74">
        <w:rPr>
          <w:rFonts w:ascii="Arial" w:hAnsi="Arial" w:cs="Arial"/>
          <w:b/>
          <w:sz w:val="22"/>
          <w:szCs w:val="22"/>
          <w:lang w:val="en-GB"/>
        </w:rPr>
        <w:t>Meeting of the Bureau</w:t>
      </w:r>
    </w:p>
    <w:tbl>
      <w:tblPr>
        <w:tblpPr w:leftFromText="141" w:rightFromText="141" w:vertAnchor="text" w:horzAnchor="page" w:tblpX="2683" w:tblpY="2735"/>
        <w:tblW w:w="6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2"/>
      </w:tblGrid>
      <w:tr w:rsidR="005F3310" w:rsidRPr="00A53C89" w14:paraId="4172A2E2" w14:textId="77777777" w:rsidTr="00B152BF">
        <w:trPr>
          <w:trHeight w:val="29"/>
        </w:trPr>
        <w:tc>
          <w:tcPr>
            <w:tcW w:w="6492" w:type="dxa"/>
            <w:vAlign w:val="center"/>
          </w:tcPr>
          <w:p w14:paraId="6AF026BF" w14:textId="77777777" w:rsidR="005F3310" w:rsidRPr="00524C74" w:rsidRDefault="005F3310" w:rsidP="00B152BF">
            <w:pPr>
              <w:pStyle w:val="Sansinterligne1"/>
              <w:spacing w:before="200"/>
              <w:jc w:val="center"/>
              <w:rPr>
                <w:rFonts w:ascii="Arial" w:hAnsi="Arial" w:cs="Arial"/>
                <w:b/>
                <w:sz w:val="22"/>
                <w:szCs w:val="22"/>
                <w:lang w:val="en-GB"/>
              </w:rPr>
            </w:pPr>
            <w:r w:rsidRPr="00524C74">
              <w:rPr>
                <w:rFonts w:ascii="Arial" w:hAnsi="Arial" w:cs="Arial"/>
                <w:b/>
                <w:sz w:val="22"/>
                <w:szCs w:val="22"/>
                <w:lang w:val="en-GB"/>
              </w:rPr>
              <w:t>Summary</w:t>
            </w:r>
          </w:p>
          <w:p w14:paraId="1A0B601B" w14:textId="77777777" w:rsidR="005F3310" w:rsidRPr="00524C74" w:rsidRDefault="005F3310" w:rsidP="00A53C89">
            <w:pPr>
              <w:pStyle w:val="NoSpacing"/>
              <w:spacing w:before="120" w:after="120"/>
              <w:jc w:val="both"/>
              <w:rPr>
                <w:rFonts w:ascii="Arial" w:hAnsi="Arial" w:cs="Arial"/>
                <w:sz w:val="22"/>
                <w:szCs w:val="22"/>
                <w:lang w:val="en-GB"/>
              </w:rPr>
            </w:pPr>
            <w:r w:rsidRPr="00524C74">
              <w:rPr>
                <w:rFonts w:ascii="Arial" w:hAnsi="Arial" w:cs="Arial"/>
                <w:sz w:val="22"/>
                <w:szCs w:val="22"/>
                <w:lang w:val="en-GB"/>
              </w:rPr>
              <w:t>The Plan for the use of the resources of the Intangible Cultural Heritage Fund approved by the General Assembly for the period of 1 January 2016 to 31 December 2017 provided that 20</w:t>
            </w:r>
            <w:r>
              <w:rPr>
                <w:rFonts w:ascii="Arial" w:hAnsi="Arial" w:cs="Arial"/>
                <w:sz w:val="22"/>
                <w:szCs w:val="22"/>
                <w:lang w:val="en-GB"/>
              </w:rPr>
              <w:t xml:space="preserve"> per cent</w:t>
            </w:r>
            <w:r w:rsidRPr="00524C74">
              <w:rPr>
                <w:rFonts w:ascii="Arial" w:hAnsi="Arial" w:cs="Arial"/>
                <w:sz w:val="22"/>
                <w:szCs w:val="22"/>
                <w:lang w:val="en-GB"/>
              </w:rPr>
              <w:t xml:space="preserve"> of the resources be allocated to ‘other functions of the Committee’ as described in Article 7 of the Convention and the Operational Directives. Exercising the authority delegated to it by the Committee, the Bureau decided upon the utilization of these funds and requested </w:t>
            </w:r>
            <w:r>
              <w:rPr>
                <w:rFonts w:ascii="Arial" w:hAnsi="Arial" w:cs="Arial"/>
                <w:sz w:val="22"/>
                <w:szCs w:val="22"/>
                <w:lang w:val="en-GB"/>
              </w:rPr>
              <w:t xml:space="preserve">that </w:t>
            </w:r>
            <w:r w:rsidRPr="00524C74">
              <w:rPr>
                <w:rFonts w:ascii="Arial" w:hAnsi="Arial" w:cs="Arial"/>
                <w:sz w:val="22"/>
                <w:szCs w:val="22"/>
                <w:lang w:val="en-GB"/>
              </w:rPr>
              <w:t>the Secretariat report on the progress of implementation and the way the funds are spent. The present document provides an Implementation Report for the period 1 January to 31 December 2016.</w:t>
            </w:r>
          </w:p>
        </w:tc>
      </w:tr>
    </w:tbl>
    <w:p w14:paraId="75CF7358" w14:textId="77777777" w:rsidR="00A22630" w:rsidRPr="00524C74" w:rsidRDefault="00A22630" w:rsidP="00B152BF">
      <w:pPr>
        <w:jc w:val="center"/>
        <w:rPr>
          <w:rFonts w:ascii="Arial" w:hAnsi="Arial" w:cs="Arial"/>
          <w:b/>
          <w:sz w:val="22"/>
          <w:szCs w:val="22"/>
          <w:lang w:val="en-GB"/>
        </w:rPr>
      </w:pPr>
      <w:r w:rsidRPr="00524C74">
        <w:rPr>
          <w:rFonts w:ascii="Arial" w:hAnsi="Arial" w:cs="Arial"/>
          <w:b/>
          <w:sz w:val="22"/>
          <w:szCs w:val="22"/>
          <w:lang w:val="en-GB"/>
        </w:rPr>
        <w:t xml:space="preserve">UNESCO Headquarters, Paris, Room </w:t>
      </w:r>
      <w:r w:rsidR="000C6AF7" w:rsidRPr="00524C74">
        <w:rPr>
          <w:rFonts w:ascii="Arial" w:hAnsi="Arial" w:cs="Arial"/>
          <w:b/>
          <w:sz w:val="22"/>
          <w:szCs w:val="22"/>
          <w:lang w:val="en-GB"/>
        </w:rPr>
        <w:t>XIV</w:t>
      </w:r>
    </w:p>
    <w:p w14:paraId="3288F932" w14:textId="77777777" w:rsidR="00EC6F8D" w:rsidRPr="00524C74" w:rsidRDefault="00970C61" w:rsidP="00B152BF">
      <w:pPr>
        <w:jc w:val="center"/>
        <w:rPr>
          <w:rFonts w:ascii="Arial" w:hAnsi="Arial" w:cs="Arial"/>
          <w:b/>
          <w:sz w:val="22"/>
          <w:szCs w:val="22"/>
          <w:lang w:val="en-GB"/>
        </w:rPr>
      </w:pPr>
      <w:r w:rsidRPr="00524C74">
        <w:rPr>
          <w:rFonts w:ascii="Arial" w:hAnsi="Arial" w:cs="Arial"/>
          <w:b/>
          <w:sz w:val="22"/>
          <w:szCs w:val="22"/>
          <w:lang w:val="en-GB"/>
        </w:rPr>
        <w:t>24</w:t>
      </w:r>
      <w:r w:rsidR="00A22630" w:rsidRPr="00524C74">
        <w:rPr>
          <w:rFonts w:ascii="Arial" w:hAnsi="Arial" w:cs="Arial"/>
          <w:b/>
          <w:sz w:val="22"/>
          <w:szCs w:val="22"/>
          <w:lang w:val="en-GB"/>
        </w:rPr>
        <w:t xml:space="preserve"> May 2017</w:t>
      </w:r>
    </w:p>
    <w:p w14:paraId="44317D4F" w14:textId="77777777" w:rsidR="00B152BF" w:rsidRDefault="00B152BF" w:rsidP="00B152BF">
      <w:pPr>
        <w:pStyle w:val="Sansinterligne2"/>
        <w:spacing w:after="100" w:afterAutospacing="1"/>
        <w:jc w:val="center"/>
        <w:rPr>
          <w:rFonts w:ascii="Arial" w:hAnsi="Arial" w:cs="Arial"/>
          <w:b/>
          <w:sz w:val="22"/>
          <w:szCs w:val="22"/>
          <w:u w:val="single"/>
          <w:lang w:val="en-GB"/>
        </w:rPr>
      </w:pPr>
    </w:p>
    <w:p w14:paraId="2554A156" w14:textId="0837151C" w:rsidR="005F3310" w:rsidRDefault="005F3310" w:rsidP="00B152BF">
      <w:pPr>
        <w:pStyle w:val="Sansinterligne2"/>
        <w:spacing w:after="100" w:afterAutospacing="1"/>
        <w:jc w:val="center"/>
        <w:rPr>
          <w:rFonts w:ascii="Arial" w:hAnsi="Arial" w:cs="Arial"/>
          <w:b/>
          <w:caps/>
          <w:sz w:val="22"/>
          <w:szCs w:val="22"/>
          <w:u w:val="single"/>
          <w:lang w:val="en-GB"/>
        </w:rPr>
      </w:pPr>
      <w:r>
        <w:rPr>
          <w:rFonts w:ascii="Arial" w:hAnsi="Arial" w:cs="Arial"/>
          <w:b/>
          <w:sz w:val="22"/>
          <w:szCs w:val="22"/>
          <w:u w:val="single"/>
          <w:lang w:val="en-GB"/>
        </w:rPr>
        <w:t xml:space="preserve">IMPLEMENTATION </w:t>
      </w:r>
      <w:r w:rsidRPr="00524C74">
        <w:rPr>
          <w:rFonts w:ascii="Arial" w:hAnsi="Arial" w:cs="Arial"/>
          <w:b/>
          <w:sz w:val="22"/>
          <w:szCs w:val="22"/>
          <w:u w:val="single"/>
          <w:lang w:val="en-GB"/>
        </w:rPr>
        <w:t>REPORT OF THE SPENDING PLAN</w:t>
      </w:r>
      <w:r w:rsidRPr="00524C74">
        <w:rPr>
          <w:rFonts w:ascii="Arial" w:hAnsi="Arial" w:cs="Arial"/>
          <w:b/>
          <w:sz w:val="22"/>
          <w:szCs w:val="22"/>
          <w:u w:val="single"/>
          <w:lang w:val="en-GB"/>
        </w:rPr>
        <w:br/>
        <w:t>FOR THE ‘OTHER FUNCTIONS OF THE COMMITTEE’</w:t>
      </w:r>
      <w:r w:rsidRPr="00524C74">
        <w:rPr>
          <w:rFonts w:ascii="Arial" w:hAnsi="Arial" w:cs="Arial"/>
          <w:b/>
          <w:sz w:val="22"/>
          <w:szCs w:val="22"/>
          <w:u w:val="single"/>
          <w:lang w:val="en-GB"/>
        </w:rPr>
        <w:br/>
      </w:r>
      <w:r w:rsidRPr="00524C74">
        <w:rPr>
          <w:rFonts w:ascii="Arial" w:hAnsi="Arial" w:cs="Arial"/>
          <w:b/>
          <w:caps/>
          <w:sz w:val="22"/>
          <w:szCs w:val="22"/>
          <w:u w:val="single"/>
          <w:lang w:val="en-GB"/>
        </w:rPr>
        <w:t>1 January 2016 – 31 December 2016</w:t>
      </w:r>
    </w:p>
    <w:p w14:paraId="63F506B8" w14:textId="77777777" w:rsidR="00B152BF" w:rsidRPr="0030444F" w:rsidRDefault="00B152BF" w:rsidP="005F3310">
      <w:pPr>
        <w:pStyle w:val="Sansinterligne2"/>
        <w:spacing w:before="1200" w:after="1200"/>
        <w:jc w:val="center"/>
        <w:rPr>
          <w:rFonts w:ascii="Arial" w:hAnsi="Arial" w:cs="Arial"/>
          <w:b/>
          <w:caps/>
          <w:sz w:val="22"/>
          <w:szCs w:val="22"/>
          <w:u w:val="single"/>
          <w:lang w:val="en-GB"/>
        </w:rPr>
      </w:pPr>
    </w:p>
    <w:p w14:paraId="030FE214" w14:textId="7900AA19" w:rsidR="00E84F98" w:rsidRDefault="00E84F98" w:rsidP="0030444F">
      <w:pPr>
        <w:pStyle w:val="Sansinterligne2"/>
        <w:spacing w:before="1200" w:after="1200"/>
        <w:jc w:val="center"/>
        <w:rPr>
          <w:rFonts w:ascii="Arial" w:hAnsi="Arial" w:cs="Arial"/>
          <w:b/>
          <w:sz w:val="22"/>
          <w:szCs w:val="22"/>
          <w:u w:val="single"/>
          <w:lang w:val="en-GB"/>
        </w:rPr>
      </w:pPr>
    </w:p>
    <w:p w14:paraId="298A694F" w14:textId="77777777" w:rsidR="00A53C89" w:rsidRPr="005F3310" w:rsidRDefault="00A53C89" w:rsidP="0030444F">
      <w:pPr>
        <w:pStyle w:val="Sansinterligne2"/>
        <w:spacing w:before="1200" w:after="1200"/>
        <w:jc w:val="center"/>
        <w:rPr>
          <w:rFonts w:ascii="Arial" w:hAnsi="Arial" w:cs="Arial"/>
          <w:b/>
          <w:sz w:val="22"/>
          <w:szCs w:val="22"/>
          <w:u w:val="single"/>
          <w:lang w:val="en-GB"/>
        </w:rPr>
      </w:pPr>
    </w:p>
    <w:p w14:paraId="503FD877" w14:textId="77777777" w:rsidR="005F3310" w:rsidRDefault="005F3310">
      <w:pPr>
        <w:rPr>
          <w:rFonts w:ascii="Arial" w:hAnsi="Arial" w:cs="Arial"/>
          <w:bCs/>
          <w:snapToGrid w:val="0"/>
          <w:sz w:val="22"/>
          <w:szCs w:val="22"/>
          <w:lang w:val="en-GB" w:eastAsia="en-US"/>
        </w:rPr>
      </w:pPr>
      <w:r w:rsidRPr="005F3310">
        <w:rPr>
          <w:lang w:val="en-US"/>
        </w:rPr>
        <w:br w:type="page"/>
      </w:r>
    </w:p>
    <w:p w14:paraId="179FD5F4" w14:textId="0D7EB058" w:rsidR="007729FF" w:rsidRPr="00524C74" w:rsidRDefault="007729FF" w:rsidP="00613A5E">
      <w:pPr>
        <w:pStyle w:val="5GAparabodytext"/>
        <w:numPr>
          <w:ilvl w:val="0"/>
          <w:numId w:val="36"/>
        </w:numPr>
        <w:tabs>
          <w:tab w:val="left" w:pos="567"/>
        </w:tabs>
        <w:spacing w:before="0" w:after="120"/>
        <w:ind w:left="567" w:hanging="567"/>
      </w:pPr>
      <w:r w:rsidRPr="00524C74">
        <w:lastRenderedPageBreak/>
        <w:t xml:space="preserve">The General Assembly, in its </w:t>
      </w:r>
      <w:hyperlink r:id="rId8" w:history="1">
        <w:r w:rsidR="00076302" w:rsidRPr="00524C74">
          <w:rPr>
            <w:rStyle w:val="Hyperlink"/>
          </w:rPr>
          <w:t>Resolution 6</w:t>
        </w:r>
        <w:bookmarkStart w:id="0" w:name="_GoBack"/>
        <w:bookmarkEnd w:id="0"/>
        <w:r w:rsidRPr="00524C74">
          <w:rPr>
            <w:rStyle w:val="Hyperlink"/>
          </w:rPr>
          <w:t>.GA </w:t>
        </w:r>
        <w:r w:rsidR="00076302" w:rsidRPr="00524C74">
          <w:rPr>
            <w:rStyle w:val="Hyperlink"/>
          </w:rPr>
          <w:t>9</w:t>
        </w:r>
      </w:hyperlink>
      <w:r w:rsidRPr="00524C74">
        <w:t xml:space="preserve">, approved a Plan for the use of the resources of the </w:t>
      </w:r>
      <w:r w:rsidR="003D12B5" w:rsidRPr="00524C74">
        <w:t xml:space="preserve">Intangible Cultural Heritage </w:t>
      </w:r>
      <w:r w:rsidRPr="00524C74">
        <w:t xml:space="preserve">Fund </w:t>
      </w:r>
      <w:r w:rsidR="003D12B5" w:rsidRPr="00524C74">
        <w:t xml:space="preserve">[hereafter the Fund] </w:t>
      </w:r>
      <w:r w:rsidR="006A0FDF" w:rsidRPr="00524C74">
        <w:t>for the period</w:t>
      </w:r>
      <w:r w:rsidR="00906482">
        <w:t xml:space="preserve"> of</w:t>
      </w:r>
      <w:r w:rsidR="006A0FDF" w:rsidRPr="00524C74">
        <w:t xml:space="preserve"> 1 </w:t>
      </w:r>
      <w:r w:rsidRPr="00524C74">
        <w:t>January</w:t>
      </w:r>
      <w:r w:rsidR="00BB3419" w:rsidRPr="00524C74">
        <w:t> </w:t>
      </w:r>
      <w:r w:rsidRPr="00524C74">
        <w:t>201</w:t>
      </w:r>
      <w:r w:rsidR="00076302" w:rsidRPr="00524C74">
        <w:t>6</w:t>
      </w:r>
      <w:r w:rsidRPr="00524C74">
        <w:t xml:space="preserve"> to 31</w:t>
      </w:r>
      <w:r w:rsidR="00BB3419" w:rsidRPr="00524C74">
        <w:t> </w:t>
      </w:r>
      <w:r w:rsidRPr="00524C74">
        <w:t>December</w:t>
      </w:r>
      <w:r w:rsidR="00BB3419" w:rsidRPr="00524C74">
        <w:t> </w:t>
      </w:r>
      <w:r w:rsidRPr="00524C74">
        <w:t>201</w:t>
      </w:r>
      <w:r w:rsidR="00076302" w:rsidRPr="00524C74">
        <w:t>7</w:t>
      </w:r>
      <w:r w:rsidR="007F0F34">
        <w:t>.</w:t>
      </w:r>
      <w:r w:rsidRPr="00524C74">
        <w:t xml:space="preserve"> </w:t>
      </w:r>
      <w:r w:rsidR="007F0F34">
        <w:t>The Plan</w:t>
      </w:r>
      <w:r w:rsidR="007F0F34" w:rsidRPr="00524C74">
        <w:t xml:space="preserve"> </w:t>
      </w:r>
      <w:r w:rsidRPr="00524C74">
        <w:t xml:space="preserve">devoted </w:t>
      </w:r>
      <w:r w:rsidR="003C1A1C" w:rsidRPr="00524C74">
        <w:t>20</w:t>
      </w:r>
      <w:r w:rsidR="007F0F34">
        <w:t xml:space="preserve"> per cent</w:t>
      </w:r>
      <w:r w:rsidR="007F0F34" w:rsidRPr="00524C74">
        <w:t xml:space="preserve"> </w:t>
      </w:r>
      <w:r w:rsidR="003C1A1C" w:rsidRPr="00524C74">
        <w:t xml:space="preserve">of </w:t>
      </w:r>
      <w:r w:rsidRPr="00524C74">
        <w:t>the budget (US$</w:t>
      </w:r>
      <w:r w:rsidR="00305564" w:rsidRPr="00524C74">
        <w:t>1,590,746)</w:t>
      </w:r>
      <w:r w:rsidRPr="00524C74">
        <w:t xml:space="preserve"> to the ‘other functions of the Committee’</w:t>
      </w:r>
      <w:r w:rsidR="007F0F34">
        <w:t>,</w:t>
      </w:r>
      <w:r w:rsidRPr="00524C74">
        <w:t xml:space="preserve"> as laid down in Article 7 of the Convention and </w:t>
      </w:r>
      <w:r w:rsidR="006A0FDF" w:rsidRPr="00524C74">
        <w:t>its</w:t>
      </w:r>
      <w:r w:rsidRPr="00524C74">
        <w:t xml:space="preserve"> Operational Directives. By delegation of authority from the Committee (</w:t>
      </w:r>
      <w:hyperlink r:id="rId9" w:history="1">
        <w:r w:rsidRPr="00524C74">
          <w:rPr>
            <w:rStyle w:val="Hyperlink"/>
          </w:rPr>
          <w:t xml:space="preserve">Decision </w:t>
        </w:r>
        <w:r w:rsidR="00A1735E" w:rsidRPr="00524C74">
          <w:rPr>
            <w:rStyle w:val="Hyperlink"/>
          </w:rPr>
          <w:t>10</w:t>
        </w:r>
        <w:r w:rsidRPr="00524C74">
          <w:rPr>
            <w:rStyle w:val="Hyperlink"/>
          </w:rPr>
          <w:t xml:space="preserve">.COM </w:t>
        </w:r>
        <w:r w:rsidR="00A1735E" w:rsidRPr="00524C74">
          <w:rPr>
            <w:rStyle w:val="Hyperlink"/>
          </w:rPr>
          <w:t>8</w:t>
        </w:r>
      </w:hyperlink>
      <w:r w:rsidRPr="00524C74">
        <w:t xml:space="preserve">), the Bureau was requested to decide on a specific proposal prepared by the Secretariat for the use of the funds under </w:t>
      </w:r>
      <w:r w:rsidR="00906482">
        <w:t>this</w:t>
      </w:r>
      <w:r w:rsidR="007F0F34" w:rsidRPr="00524C74">
        <w:t xml:space="preserve"> </w:t>
      </w:r>
      <w:r w:rsidRPr="00524C74">
        <w:t>category for the above-mentioned period (</w:t>
      </w:r>
      <w:hyperlink r:id="rId10" w:history="1">
        <w:r w:rsidR="00181B17" w:rsidRPr="00524C74">
          <w:rPr>
            <w:rStyle w:val="Hyperlink"/>
          </w:rPr>
          <w:t>Decision 11.COM 2.BUR 2.1</w:t>
        </w:r>
      </w:hyperlink>
      <w:r w:rsidRPr="00524C74">
        <w:t>)</w:t>
      </w:r>
      <w:r w:rsidR="00BB3419" w:rsidRPr="00524C74">
        <w:t xml:space="preserve">. In </w:t>
      </w:r>
      <w:r w:rsidR="007F0F34" w:rsidRPr="00524C74">
        <w:t>th</w:t>
      </w:r>
      <w:r w:rsidR="007F0F34">
        <w:t>e</w:t>
      </w:r>
      <w:r w:rsidR="007F0F34" w:rsidRPr="00524C74">
        <w:t xml:space="preserve"> </w:t>
      </w:r>
      <w:r w:rsidR="00BB3419" w:rsidRPr="00524C74">
        <w:t>same decision, the Bureau requested</w:t>
      </w:r>
      <w:r w:rsidR="007F0F34">
        <w:t xml:space="preserve"> that</w:t>
      </w:r>
      <w:r w:rsidR="00BB3419" w:rsidRPr="00524C74">
        <w:t xml:space="preserve"> </w:t>
      </w:r>
      <w:r w:rsidR="005D229E" w:rsidRPr="00524C74">
        <w:t>the Secretariat ‘report on the progress of implementation an</w:t>
      </w:r>
      <w:r w:rsidR="00181B17" w:rsidRPr="00524C74">
        <w:t>d the way the funds are spent’.</w:t>
      </w:r>
      <w:r w:rsidR="001B0620" w:rsidRPr="00524C74">
        <w:t xml:space="preserve"> In line with 38C/5 and the Organization’s shift towards </w:t>
      </w:r>
      <w:r w:rsidR="001B0620" w:rsidRPr="00524C74">
        <w:rPr>
          <w:rStyle w:val="hps"/>
        </w:rPr>
        <w:t xml:space="preserve">integrating the </w:t>
      </w:r>
      <w:r w:rsidR="001B0620" w:rsidRPr="00613A5E">
        <w:t>principles</w:t>
      </w:r>
      <w:r w:rsidR="001B0620" w:rsidRPr="00524C74">
        <w:rPr>
          <w:rStyle w:val="hps"/>
        </w:rPr>
        <w:t xml:space="preserve"> of results-</w:t>
      </w:r>
      <w:r w:rsidR="001B0620" w:rsidRPr="00524C74">
        <w:t>based</w:t>
      </w:r>
      <w:r w:rsidR="001B0620" w:rsidRPr="00524C74">
        <w:rPr>
          <w:rStyle w:val="hps"/>
        </w:rPr>
        <w:t xml:space="preserve"> management and results-based budgeting, </w:t>
      </w:r>
      <w:r w:rsidR="001B0620" w:rsidRPr="00524C74">
        <w:t>the Bureau approved, on that occasion, a proposal that integrated a results framework with financial allocations for each result.</w:t>
      </w:r>
    </w:p>
    <w:p w14:paraId="69DFB586" w14:textId="77777777" w:rsidR="005D229E" w:rsidRPr="00524C74" w:rsidRDefault="005D229E" w:rsidP="001B0620">
      <w:pPr>
        <w:pStyle w:val="5GAparabodytext"/>
        <w:numPr>
          <w:ilvl w:val="0"/>
          <w:numId w:val="36"/>
        </w:numPr>
        <w:tabs>
          <w:tab w:val="left" w:pos="567"/>
        </w:tabs>
        <w:spacing w:before="0" w:after="120"/>
        <w:ind w:left="567" w:hanging="567"/>
      </w:pPr>
      <w:r w:rsidRPr="00524C74">
        <w:t xml:space="preserve">The present document </w:t>
      </w:r>
      <w:r w:rsidR="00A573D8" w:rsidRPr="00524C74">
        <w:t>is intended to inform States Parties, in particular States Members of the Bureau, of progress in the execution of the spending plan adopted in June 201</w:t>
      </w:r>
      <w:r w:rsidR="00076302" w:rsidRPr="00524C74">
        <w:t>6</w:t>
      </w:r>
      <w:r w:rsidR="00A573D8" w:rsidRPr="00524C74">
        <w:t xml:space="preserve"> </w:t>
      </w:r>
      <w:r w:rsidR="001B0620" w:rsidRPr="00524C74">
        <w:t xml:space="preserve">during 2016 </w:t>
      </w:r>
      <w:r w:rsidR="00056942" w:rsidRPr="00524C74">
        <w:t>(</w:t>
      </w:r>
      <w:hyperlink r:id="rId11" w:history="1">
        <w:r w:rsidR="00056942" w:rsidRPr="00524C74">
          <w:rPr>
            <w:rStyle w:val="Hyperlink"/>
          </w:rPr>
          <w:t>Decision</w:t>
        </w:r>
        <w:r w:rsidR="00580B48" w:rsidRPr="00524C74">
          <w:rPr>
            <w:rStyle w:val="Hyperlink"/>
          </w:rPr>
          <w:t> </w:t>
        </w:r>
        <w:r w:rsidR="00A1735E" w:rsidRPr="00524C74">
          <w:rPr>
            <w:rStyle w:val="Hyperlink"/>
          </w:rPr>
          <w:t>11</w:t>
        </w:r>
        <w:r w:rsidR="00056942" w:rsidRPr="00524C74">
          <w:rPr>
            <w:rStyle w:val="Hyperlink"/>
          </w:rPr>
          <w:t>.COM</w:t>
        </w:r>
        <w:r w:rsidR="00580B48" w:rsidRPr="00524C74">
          <w:rPr>
            <w:rStyle w:val="Hyperlink"/>
          </w:rPr>
          <w:t> </w:t>
        </w:r>
        <w:r w:rsidR="00056942" w:rsidRPr="00524C74">
          <w:rPr>
            <w:rStyle w:val="Hyperlink"/>
          </w:rPr>
          <w:t>2.BUR</w:t>
        </w:r>
        <w:r w:rsidR="00580B48" w:rsidRPr="00524C74">
          <w:rPr>
            <w:rStyle w:val="Hyperlink"/>
          </w:rPr>
          <w:t> </w:t>
        </w:r>
        <w:r w:rsidR="00A1735E" w:rsidRPr="00524C74">
          <w:rPr>
            <w:rStyle w:val="Hyperlink"/>
          </w:rPr>
          <w:t>2.</w:t>
        </w:r>
        <w:r w:rsidR="00056942" w:rsidRPr="00524C74">
          <w:rPr>
            <w:rStyle w:val="Hyperlink"/>
          </w:rPr>
          <w:t>1</w:t>
        </w:r>
      </w:hyperlink>
      <w:r w:rsidR="00056942" w:rsidRPr="00524C74">
        <w:t>)</w:t>
      </w:r>
      <w:r w:rsidR="00A573D8" w:rsidRPr="00524C74">
        <w:t xml:space="preserve">. </w:t>
      </w:r>
      <w:r w:rsidR="00181B17" w:rsidRPr="00524C74">
        <w:t xml:space="preserve">In line with </w:t>
      </w:r>
      <w:r w:rsidR="001B0620" w:rsidRPr="00524C74">
        <w:t>the format of reporting to UNESCO’s Executive Board on programme implementation (PIR)</w:t>
      </w:r>
      <w:r w:rsidR="007F0F34">
        <w:t>,</w:t>
      </w:r>
      <w:r w:rsidR="001B0620" w:rsidRPr="00524C74">
        <w:t xml:space="preserve"> as adopted by the 38</w:t>
      </w:r>
      <w:r w:rsidR="001B0620" w:rsidRPr="00524C74">
        <w:rPr>
          <w:vertAlign w:val="superscript"/>
        </w:rPr>
        <w:t>th</w:t>
      </w:r>
      <w:r w:rsidR="001B0620" w:rsidRPr="00524C74">
        <w:t> session of the General Conference (38 C/Resolution 99)</w:t>
      </w:r>
      <w:r w:rsidR="00181B17" w:rsidRPr="00524C74">
        <w:t>, i</w:t>
      </w:r>
      <w:r w:rsidR="00A573D8" w:rsidRPr="00524C74">
        <w:t xml:space="preserve">t provides an analytical assessment of programme implementation and progress in the delivery of outputs approved by the Bureau. Progress is assessed against benchmarks </w:t>
      </w:r>
      <w:r w:rsidR="00906482">
        <w:t xml:space="preserve">that are </w:t>
      </w:r>
      <w:r w:rsidR="00A573D8" w:rsidRPr="00524C74">
        <w:t xml:space="preserve">also approved by the Bureau. </w:t>
      </w:r>
    </w:p>
    <w:p w14:paraId="4643C53F" w14:textId="77777777" w:rsidR="00A74D6C" w:rsidRPr="00524C74" w:rsidRDefault="00A74D6C" w:rsidP="00826FE8">
      <w:pPr>
        <w:pStyle w:val="Heading4"/>
        <w:ind w:left="567" w:hanging="567"/>
      </w:pPr>
      <w:r w:rsidRPr="00524C74">
        <w:t>Overall strategic assessment</w:t>
      </w:r>
    </w:p>
    <w:p w14:paraId="30F2ED7C" w14:textId="77777777" w:rsidR="007729FF" w:rsidRPr="00524C74" w:rsidRDefault="00A573D8" w:rsidP="00A573D8">
      <w:pPr>
        <w:spacing w:before="240" w:after="240"/>
        <w:ind w:left="851" w:hanging="851"/>
        <w:rPr>
          <w:rFonts w:ascii="Arial" w:hAnsi="Arial" w:cs="Arial"/>
          <w:b/>
          <w:bCs/>
          <w:sz w:val="22"/>
          <w:szCs w:val="22"/>
          <w:lang w:val="en-GB"/>
        </w:rPr>
      </w:pPr>
      <w:r w:rsidRPr="00524C74">
        <w:rPr>
          <w:rFonts w:ascii="Arial" w:hAnsi="Arial" w:cs="Arial"/>
          <w:b/>
          <w:bCs/>
          <w:sz w:val="22"/>
          <w:szCs w:val="22"/>
          <w:lang w:val="en-GB"/>
        </w:rPr>
        <w:t>Key achievements</w:t>
      </w:r>
    </w:p>
    <w:p w14:paraId="728D8197" w14:textId="77777777" w:rsidR="00B52891" w:rsidRPr="00524C74" w:rsidRDefault="00B52891" w:rsidP="001B0620">
      <w:pPr>
        <w:pStyle w:val="COMPara"/>
      </w:pPr>
      <w:r w:rsidRPr="00524C74">
        <w:t xml:space="preserve">The resources allocated by the General Assembly to the </w:t>
      </w:r>
      <w:r w:rsidR="001E124E" w:rsidRPr="00524C74">
        <w:t>‘</w:t>
      </w:r>
      <w:r w:rsidRPr="00524C74">
        <w:t>other functions of the Committee</w:t>
      </w:r>
      <w:r w:rsidR="001E124E" w:rsidRPr="00524C74">
        <w:t>’</w:t>
      </w:r>
      <w:r w:rsidRPr="00524C74">
        <w:t xml:space="preserve"> continue to provide unique and irreplaceable support for the implementation of the programme, especially considering the modest resources available </w:t>
      </w:r>
      <w:r w:rsidR="007F0F34">
        <w:t>i</w:t>
      </w:r>
      <w:r w:rsidR="007F0F34" w:rsidRPr="00524C74">
        <w:t xml:space="preserve">n </w:t>
      </w:r>
      <w:r w:rsidRPr="00524C74">
        <w:t xml:space="preserve">the regular programme. </w:t>
      </w:r>
      <w:r w:rsidR="00D3625D" w:rsidRPr="00524C74">
        <w:t>Moreover,</w:t>
      </w:r>
      <w:r w:rsidR="00D3625D" w:rsidRPr="00524C74">
        <w:rPr>
          <w:rStyle w:val="hps"/>
        </w:rPr>
        <w:t xml:space="preserve"> a number of </w:t>
      </w:r>
      <w:r w:rsidR="00524C74" w:rsidRPr="00524C74">
        <w:t>decisions adopted by the Committee</w:t>
      </w:r>
      <w:r w:rsidR="00524C74" w:rsidRPr="00524C74">
        <w:rPr>
          <w:rFonts w:eastAsia="SimSun"/>
          <w:lang w:bidi="en-US"/>
        </w:rPr>
        <w:t xml:space="preserve">, stemming from the </w:t>
      </w:r>
      <w:r w:rsidR="00D3625D" w:rsidRPr="00524C74">
        <w:t xml:space="preserve">recommendations of </w:t>
      </w:r>
      <w:r w:rsidR="00D3625D" w:rsidRPr="00524C74">
        <w:rPr>
          <w:rFonts w:eastAsia="SimSun"/>
          <w:lang w:bidi="en-US"/>
        </w:rPr>
        <w:t xml:space="preserve">UNESCO’s Internal Oversight Service (IOS) on UNESCO’s standard-setting work </w:t>
      </w:r>
      <w:r w:rsidR="007F0F34">
        <w:rPr>
          <w:rFonts w:eastAsia="SimSun"/>
          <w:lang w:bidi="en-US"/>
        </w:rPr>
        <w:t>in</w:t>
      </w:r>
      <w:r w:rsidR="007F0F34" w:rsidRPr="00524C74">
        <w:rPr>
          <w:rFonts w:eastAsia="SimSun"/>
          <w:lang w:bidi="en-US"/>
        </w:rPr>
        <w:t xml:space="preserve"> </w:t>
      </w:r>
      <w:r w:rsidR="00D3625D" w:rsidRPr="00524C74">
        <w:rPr>
          <w:rFonts w:eastAsia="SimSun"/>
          <w:lang w:bidi="en-US"/>
        </w:rPr>
        <w:t>the Culture Sector concerning the Convention</w:t>
      </w:r>
      <w:r w:rsidR="00D3625D" w:rsidRPr="00524C74">
        <w:t xml:space="preserve"> </w:t>
      </w:r>
      <w:r w:rsidR="00AA36AE" w:rsidRPr="00524C74">
        <w:rPr>
          <w:rFonts w:eastAsia="SimSun"/>
          <w:snapToGrid/>
          <w:lang w:bidi="en-US"/>
        </w:rPr>
        <w:t>(</w:t>
      </w:r>
      <w:hyperlink r:id="rId12" w:history="1">
        <w:r w:rsidR="00AA36AE" w:rsidRPr="00524C74">
          <w:rPr>
            <w:rStyle w:val="Hyperlink"/>
            <w:rFonts w:eastAsia="SimSun"/>
            <w:snapToGrid/>
            <w:lang w:bidi="en-US"/>
          </w:rPr>
          <w:t>Document IOS/EVS/PI/129 REV.</w:t>
        </w:r>
      </w:hyperlink>
      <w:r w:rsidR="00AA36AE" w:rsidRPr="00524C74">
        <w:rPr>
          <w:rFonts w:eastAsia="SimSun"/>
          <w:snapToGrid/>
          <w:lang w:bidi="en-US"/>
        </w:rPr>
        <w:t>)</w:t>
      </w:r>
      <w:r w:rsidR="007F0F34">
        <w:rPr>
          <w:rFonts w:eastAsia="SimSun"/>
          <w:snapToGrid/>
          <w:lang w:bidi="en-US"/>
        </w:rPr>
        <w:t>,</w:t>
      </w:r>
      <w:r w:rsidR="00AA36AE" w:rsidRPr="00524C74">
        <w:rPr>
          <w:rFonts w:eastAsia="SimSun"/>
          <w:snapToGrid/>
          <w:lang w:bidi="en-US"/>
        </w:rPr>
        <w:t xml:space="preserve"> </w:t>
      </w:r>
      <w:r w:rsidR="00D3625D" w:rsidRPr="00524C74">
        <w:rPr>
          <w:rFonts w:eastAsia="SimSun"/>
          <w:lang w:bidi="en-US"/>
        </w:rPr>
        <w:t>are only possible thanks to the support of this budget line</w:t>
      </w:r>
      <w:r w:rsidR="00524C74" w:rsidRPr="00524C74">
        <w:rPr>
          <w:rFonts w:eastAsia="SimSun"/>
          <w:lang w:bidi="en-US"/>
        </w:rPr>
        <w:t xml:space="preserve"> of the Intangible Cultural Heritage Fund</w:t>
      </w:r>
      <w:r w:rsidR="00D3625D" w:rsidRPr="00524C74">
        <w:rPr>
          <w:rFonts w:eastAsia="SimSun"/>
          <w:lang w:bidi="en-US"/>
        </w:rPr>
        <w:t>.</w:t>
      </w:r>
      <w:r w:rsidR="00D3625D" w:rsidRPr="00524C74">
        <w:t xml:space="preserve"> During the reporting period, efforts continued to implement this multi-faceted activity in accordance with the spending plan approved by the Bureau of the Committee for the period from 1</w:t>
      </w:r>
      <w:r w:rsidR="00613A5E">
        <w:t> </w:t>
      </w:r>
      <w:r w:rsidR="00D3625D" w:rsidRPr="00524C74">
        <w:t>January</w:t>
      </w:r>
      <w:r w:rsidR="00613A5E">
        <w:t> </w:t>
      </w:r>
      <w:r w:rsidR="00D3625D" w:rsidRPr="00524C74">
        <w:t xml:space="preserve">2016 to </w:t>
      </w:r>
      <w:r w:rsidR="00613A5E" w:rsidRPr="00524C74">
        <w:t>31</w:t>
      </w:r>
      <w:r w:rsidR="00613A5E">
        <w:t> </w:t>
      </w:r>
      <w:r w:rsidR="00613A5E" w:rsidRPr="00524C74">
        <w:t>December</w:t>
      </w:r>
      <w:r w:rsidR="00613A5E">
        <w:t> </w:t>
      </w:r>
      <w:r w:rsidR="00D3625D" w:rsidRPr="00524C74">
        <w:t>2017.</w:t>
      </w:r>
    </w:p>
    <w:p w14:paraId="39B16C00" w14:textId="09D8D411" w:rsidR="00AC5CA1" w:rsidRPr="00524C74" w:rsidRDefault="00613A5E" w:rsidP="00D12A35">
      <w:pPr>
        <w:pStyle w:val="COMPara"/>
      </w:pPr>
      <w:r w:rsidRPr="00613A5E">
        <w:t xml:space="preserve">Knowledge management services continued to play a key role in facilitating some of the processes </w:t>
      </w:r>
      <w:r w:rsidR="009A5EAA" w:rsidRPr="00613A5E">
        <w:t xml:space="preserve">core </w:t>
      </w:r>
      <w:r w:rsidR="009A5EAA">
        <w:t xml:space="preserve">to the </w:t>
      </w:r>
      <w:r w:rsidRPr="00613A5E">
        <w:t>Convention</w:t>
      </w:r>
      <w:r w:rsidR="009A5EAA">
        <w:t>’s good governance</w:t>
      </w:r>
      <w:r w:rsidRPr="00613A5E">
        <w:t xml:space="preserve"> (</w:t>
      </w:r>
      <w:r w:rsidR="009A5EAA" w:rsidRPr="00613A5E">
        <w:t>e.g.</w:t>
      </w:r>
      <w:r w:rsidRPr="00613A5E">
        <w:t xml:space="preserve"> </w:t>
      </w:r>
      <w:r w:rsidR="007F0F34">
        <w:t xml:space="preserve">the </w:t>
      </w:r>
      <w:r w:rsidR="009A5EAA">
        <w:t xml:space="preserve">evaluation and examination of files, </w:t>
      </w:r>
      <w:r w:rsidR="007F0F34">
        <w:t xml:space="preserve">the </w:t>
      </w:r>
      <w:r w:rsidR="009A5EAA" w:rsidRPr="00613A5E">
        <w:t>consultation of statutory document</w:t>
      </w:r>
      <w:r w:rsidR="00353BFA">
        <w:t xml:space="preserve">s and </w:t>
      </w:r>
      <w:r w:rsidR="007F0F34">
        <w:t xml:space="preserve">the </w:t>
      </w:r>
      <w:r w:rsidRPr="00613A5E">
        <w:t>registration of participants</w:t>
      </w:r>
      <w:r w:rsidR="009A5EAA">
        <w:t xml:space="preserve"> </w:t>
      </w:r>
      <w:r w:rsidR="007F0F34">
        <w:t>in</w:t>
      </w:r>
      <w:r w:rsidR="009A5EAA">
        <w:t xml:space="preserve"> statutory meetings,</w:t>
      </w:r>
      <w:r w:rsidRPr="00613A5E">
        <w:t xml:space="preserve"> etc.)</w:t>
      </w:r>
      <w:r w:rsidR="00353BFA">
        <w:t xml:space="preserve">. They were also central in </w:t>
      </w:r>
      <w:r w:rsidR="009A5EAA">
        <w:t>ensuring</w:t>
      </w:r>
      <w:r w:rsidR="009A5EAA" w:rsidRPr="009A5EAA">
        <w:t xml:space="preserve"> </w:t>
      </w:r>
      <w:r w:rsidR="007F0F34">
        <w:t>the improved</w:t>
      </w:r>
      <w:r w:rsidR="009A5EAA" w:rsidRPr="009A5EAA">
        <w:t xml:space="preserve"> visibility of </w:t>
      </w:r>
      <w:r w:rsidR="009A5EAA">
        <w:t>a wide range</w:t>
      </w:r>
      <w:r w:rsidR="009A5EAA" w:rsidRPr="009A5EAA">
        <w:t xml:space="preserve"> </w:t>
      </w:r>
      <w:r w:rsidR="009A5EAA">
        <w:t>of</w:t>
      </w:r>
      <w:r w:rsidR="009A5EAA" w:rsidRPr="009A5EAA">
        <w:t xml:space="preserve"> initiatives carried out around the world </w:t>
      </w:r>
      <w:r w:rsidR="007F0F34">
        <w:t xml:space="preserve">under the auspices of the Convention </w:t>
      </w:r>
      <w:r w:rsidR="00015F5D">
        <w:t>– in particular u</w:t>
      </w:r>
      <w:r w:rsidR="00015F5D" w:rsidRPr="00015F5D">
        <w:t>nder the capacity-building program</w:t>
      </w:r>
      <w:r w:rsidR="00015F5D">
        <w:t>me</w:t>
      </w:r>
      <w:r w:rsidR="00015F5D" w:rsidRPr="00015F5D">
        <w:t xml:space="preserve"> or with the Fund</w:t>
      </w:r>
      <w:r w:rsidR="00015F5D">
        <w:t>’</w:t>
      </w:r>
      <w:r w:rsidR="00015F5D" w:rsidRPr="00015F5D">
        <w:t xml:space="preserve">s </w:t>
      </w:r>
      <w:r w:rsidR="00015F5D">
        <w:t>I</w:t>
      </w:r>
      <w:r w:rsidR="00015F5D" w:rsidRPr="00015F5D">
        <w:t xml:space="preserve">nternational </w:t>
      </w:r>
      <w:r w:rsidR="00015F5D">
        <w:t>A</w:t>
      </w:r>
      <w:r w:rsidR="00015F5D" w:rsidRPr="00015F5D">
        <w:t>ssistance support</w:t>
      </w:r>
      <w:r w:rsidR="00015F5D">
        <w:t xml:space="preserve"> –</w:t>
      </w:r>
      <w:r w:rsidR="007F0F34">
        <w:t xml:space="preserve"> </w:t>
      </w:r>
      <w:r w:rsidR="009A5EAA" w:rsidRPr="009A5EAA">
        <w:t>a</w:t>
      </w:r>
      <w:r w:rsidR="00353BFA">
        <w:t>s well as</w:t>
      </w:r>
      <w:r w:rsidR="009A5EAA" w:rsidRPr="009A5EAA">
        <w:t xml:space="preserve"> easier access to information on them.</w:t>
      </w:r>
      <w:r w:rsidR="009A5EAA">
        <w:t xml:space="preserve"> </w:t>
      </w:r>
      <w:r w:rsidR="00415F4F" w:rsidRPr="00524C74">
        <w:t>With nearly 3,200,000 page views in 2016, which corresponds to an increase of almost 50</w:t>
      </w:r>
      <w:r w:rsidR="00353BFA">
        <w:t xml:space="preserve"> per cent</w:t>
      </w:r>
      <w:r w:rsidR="00353BFA" w:rsidRPr="00524C74">
        <w:t>,</w:t>
      </w:r>
      <w:r w:rsidR="00353BFA" w:rsidRPr="004A6E00">
        <w:rPr>
          <w:rFonts w:eastAsia="Calibri"/>
          <w:sz w:val="20"/>
          <w:szCs w:val="20"/>
        </w:rPr>
        <w:t xml:space="preserve"> </w:t>
      </w:r>
      <w:r w:rsidR="00415F4F" w:rsidRPr="00524C74">
        <w:t xml:space="preserve">the enhancement of the website of the Convention </w:t>
      </w:r>
      <w:r w:rsidR="00015F5D">
        <w:t xml:space="preserve">continued throughout the reporting period to maintain its unique status as </w:t>
      </w:r>
      <w:r w:rsidR="00353BFA">
        <w:t>the</w:t>
      </w:r>
      <w:r w:rsidR="00AC5CA1" w:rsidRPr="00524C74">
        <w:rPr>
          <w:rStyle w:val="hps"/>
        </w:rPr>
        <w:t xml:space="preserve"> repository of </w:t>
      </w:r>
      <w:r w:rsidR="00015F5D">
        <w:rPr>
          <w:rStyle w:val="hps"/>
        </w:rPr>
        <w:t xml:space="preserve">a large amount of </w:t>
      </w:r>
      <w:r w:rsidR="00AC5CA1" w:rsidRPr="00524C74">
        <w:rPr>
          <w:rStyle w:val="hps"/>
        </w:rPr>
        <w:t>information available to all interested parties</w:t>
      </w:r>
      <w:r w:rsidR="00415F4F" w:rsidRPr="00524C74">
        <w:rPr>
          <w:rStyle w:val="hps"/>
        </w:rPr>
        <w:t xml:space="preserve">. </w:t>
      </w:r>
      <w:r w:rsidR="00970C61" w:rsidRPr="00524C74">
        <w:rPr>
          <w:rStyle w:val="hps"/>
        </w:rPr>
        <w:t xml:space="preserve">This is the result of </w:t>
      </w:r>
      <w:r w:rsidR="00353BFA">
        <w:rPr>
          <w:rStyle w:val="hps"/>
        </w:rPr>
        <w:t>a</w:t>
      </w:r>
      <w:r w:rsidR="00353BFA" w:rsidRPr="00524C74">
        <w:rPr>
          <w:rStyle w:val="hps"/>
        </w:rPr>
        <w:t xml:space="preserve"> </w:t>
      </w:r>
      <w:r w:rsidR="00AC5CA1" w:rsidRPr="00524C74">
        <w:rPr>
          <w:rStyle w:val="hps"/>
        </w:rPr>
        <w:t xml:space="preserve">steady improvement in knowledge and </w:t>
      </w:r>
      <w:r w:rsidR="00524C74" w:rsidRPr="00524C74">
        <w:rPr>
          <w:rStyle w:val="hps"/>
        </w:rPr>
        <w:t>information</w:t>
      </w:r>
      <w:r w:rsidR="00353BFA">
        <w:rPr>
          <w:rStyle w:val="hps"/>
        </w:rPr>
        <w:t xml:space="preserve"> management</w:t>
      </w:r>
      <w:r w:rsidR="00524C74" w:rsidRPr="00524C74">
        <w:rPr>
          <w:rStyle w:val="hps"/>
        </w:rPr>
        <w:t>, which</w:t>
      </w:r>
      <w:r w:rsidR="00970C61" w:rsidRPr="00524C74">
        <w:rPr>
          <w:rStyle w:val="hps"/>
        </w:rPr>
        <w:t xml:space="preserve"> </w:t>
      </w:r>
      <w:r w:rsidR="00415F4F" w:rsidRPr="00524C74">
        <w:rPr>
          <w:rStyle w:val="hps"/>
        </w:rPr>
        <w:t xml:space="preserve">remains </w:t>
      </w:r>
      <w:r w:rsidR="00AC5CA1" w:rsidRPr="00524C74">
        <w:rPr>
          <w:rStyle w:val="hps"/>
        </w:rPr>
        <w:t>a prerequisite for ensuring the good governance of the Convention</w:t>
      </w:r>
      <w:r w:rsidR="00970C61" w:rsidRPr="00524C74">
        <w:rPr>
          <w:rStyle w:val="hps"/>
        </w:rPr>
        <w:t>, in</w:t>
      </w:r>
      <w:r w:rsidR="00AC0598" w:rsidRPr="00524C74">
        <w:rPr>
          <w:rStyle w:val="hps"/>
        </w:rPr>
        <w:t>cluding</w:t>
      </w:r>
      <w:r w:rsidR="00970C61" w:rsidRPr="00524C74">
        <w:rPr>
          <w:rStyle w:val="hps"/>
        </w:rPr>
        <w:t xml:space="preserve"> by </w:t>
      </w:r>
      <w:r w:rsidR="00970C61" w:rsidRPr="00524C74">
        <w:t xml:space="preserve">allowing the Secretariat to continue to deliver services to </w:t>
      </w:r>
      <w:r w:rsidR="00EA233D">
        <w:t xml:space="preserve">the </w:t>
      </w:r>
      <w:r w:rsidR="00970C61" w:rsidRPr="00524C74">
        <w:t>States Parties and governing bodies of the Convention in a timely and accurate manner</w:t>
      </w:r>
      <w:r w:rsidR="00AC5CA1" w:rsidRPr="00524C74">
        <w:rPr>
          <w:rStyle w:val="hps"/>
        </w:rPr>
        <w:t xml:space="preserve">. </w:t>
      </w:r>
      <w:r w:rsidR="00F728B8">
        <w:rPr>
          <w:rStyle w:val="hps"/>
          <w:rFonts w:eastAsiaTheme="minorEastAsia" w:hint="eastAsia"/>
          <w:lang w:eastAsia="ko-KR"/>
        </w:rPr>
        <w:t>In this regard</w:t>
      </w:r>
      <w:r w:rsidR="00015F5D">
        <w:rPr>
          <w:rStyle w:val="hps"/>
        </w:rPr>
        <w:t xml:space="preserve"> 2016 </w:t>
      </w:r>
      <w:r w:rsidR="00F728B8">
        <w:rPr>
          <w:rStyle w:val="hps"/>
          <w:rFonts w:eastAsiaTheme="minorEastAsia" w:hint="eastAsia"/>
          <w:lang w:eastAsia="ko-KR"/>
        </w:rPr>
        <w:t xml:space="preserve">saw </w:t>
      </w:r>
      <w:r w:rsidR="00AC5CA1" w:rsidRPr="00524C74">
        <w:rPr>
          <w:rStyle w:val="hps"/>
        </w:rPr>
        <w:t xml:space="preserve">the release of a </w:t>
      </w:r>
      <w:hyperlink r:id="rId13" w:history="1">
        <w:r w:rsidR="00AC5CA1" w:rsidRPr="00015F5D">
          <w:rPr>
            <w:rStyle w:val="Hyperlink"/>
          </w:rPr>
          <w:t>monitoring interface for periodic reports</w:t>
        </w:r>
      </w:hyperlink>
      <w:r w:rsidR="00015F5D">
        <w:rPr>
          <w:rStyle w:val="FootnoteReference"/>
        </w:rPr>
        <w:footnoteReference w:id="1"/>
      </w:r>
      <w:r w:rsidR="00AC5CA1" w:rsidRPr="00524C74">
        <w:rPr>
          <w:rStyle w:val="hps"/>
        </w:rPr>
        <w:t xml:space="preserve"> </w:t>
      </w:r>
      <w:r w:rsidR="00015F5D">
        <w:rPr>
          <w:rStyle w:val="hps"/>
        </w:rPr>
        <w:t>from</w:t>
      </w:r>
      <w:r w:rsidR="00015F5D" w:rsidRPr="00524C74">
        <w:rPr>
          <w:rStyle w:val="hps"/>
        </w:rPr>
        <w:t xml:space="preserve"> </w:t>
      </w:r>
      <w:r w:rsidR="00AC5CA1" w:rsidRPr="00524C74">
        <w:rPr>
          <w:rStyle w:val="hps"/>
        </w:rPr>
        <w:t xml:space="preserve">States Parties </w:t>
      </w:r>
      <w:r w:rsidR="00015F5D">
        <w:rPr>
          <w:rStyle w:val="hps"/>
        </w:rPr>
        <w:t>both on the</w:t>
      </w:r>
      <w:r w:rsidR="00AC5CA1" w:rsidRPr="00524C74">
        <w:rPr>
          <w:rStyle w:val="hps"/>
        </w:rPr>
        <w:t xml:space="preserve"> measures taken </w:t>
      </w:r>
      <w:r w:rsidR="00015F5D">
        <w:rPr>
          <w:rStyle w:val="hps"/>
        </w:rPr>
        <w:t>for the</w:t>
      </w:r>
      <w:r w:rsidR="00015F5D" w:rsidRPr="00524C74">
        <w:rPr>
          <w:rStyle w:val="hps"/>
        </w:rPr>
        <w:t xml:space="preserve"> </w:t>
      </w:r>
      <w:r w:rsidR="00AC5CA1" w:rsidRPr="00524C74">
        <w:rPr>
          <w:rStyle w:val="hps"/>
        </w:rPr>
        <w:t>implement</w:t>
      </w:r>
      <w:r w:rsidR="00015F5D">
        <w:rPr>
          <w:rStyle w:val="hps"/>
        </w:rPr>
        <w:t>ation of</w:t>
      </w:r>
      <w:r w:rsidR="00AC5CA1" w:rsidRPr="00524C74">
        <w:rPr>
          <w:rStyle w:val="hps"/>
        </w:rPr>
        <w:t xml:space="preserve"> the Convention and</w:t>
      </w:r>
      <w:r w:rsidR="00015F5D">
        <w:rPr>
          <w:rStyle w:val="hps"/>
        </w:rPr>
        <w:t xml:space="preserve"> on the current </w:t>
      </w:r>
      <w:r w:rsidR="00AC5CA1" w:rsidRPr="00524C74">
        <w:rPr>
          <w:rStyle w:val="hps"/>
        </w:rPr>
        <w:t>status of elements of intangible cultural heritage inscribed on the Lists</w:t>
      </w:r>
      <w:r w:rsidR="00015F5D">
        <w:rPr>
          <w:rStyle w:val="hps"/>
        </w:rPr>
        <w:t xml:space="preserve">. </w:t>
      </w:r>
      <w:r w:rsidR="00D12A35">
        <w:rPr>
          <w:rStyle w:val="hps"/>
        </w:rPr>
        <w:t xml:space="preserve">By allowing </w:t>
      </w:r>
      <w:r w:rsidR="00353BFA">
        <w:rPr>
          <w:rStyle w:val="hps"/>
        </w:rPr>
        <w:t xml:space="preserve">for a </w:t>
      </w:r>
      <w:r w:rsidR="00AC5CA1" w:rsidRPr="00524C74">
        <w:rPr>
          <w:rStyle w:val="hps"/>
        </w:rPr>
        <w:t xml:space="preserve">better </w:t>
      </w:r>
      <w:r w:rsidR="00D12A35">
        <w:rPr>
          <w:rStyle w:val="hps"/>
        </w:rPr>
        <w:t>visualization of</w:t>
      </w:r>
      <w:r w:rsidR="00D12A35" w:rsidRPr="00524C74">
        <w:rPr>
          <w:rStyle w:val="hps"/>
        </w:rPr>
        <w:t xml:space="preserve"> </w:t>
      </w:r>
      <w:r w:rsidR="00AC5CA1" w:rsidRPr="00524C74">
        <w:rPr>
          <w:rStyle w:val="hps"/>
        </w:rPr>
        <w:t xml:space="preserve">the situation </w:t>
      </w:r>
      <w:r w:rsidR="00D12A35">
        <w:rPr>
          <w:rStyle w:val="hps"/>
        </w:rPr>
        <w:t xml:space="preserve">of each State Party </w:t>
      </w:r>
      <w:r w:rsidR="00AC5CA1" w:rsidRPr="00524C74">
        <w:rPr>
          <w:rStyle w:val="hps"/>
        </w:rPr>
        <w:t xml:space="preserve">vis-à-vis </w:t>
      </w:r>
      <w:r w:rsidR="00353BFA">
        <w:rPr>
          <w:rStyle w:val="hps"/>
        </w:rPr>
        <w:t>their</w:t>
      </w:r>
      <w:r w:rsidR="00D12A35">
        <w:rPr>
          <w:rStyle w:val="hps"/>
        </w:rPr>
        <w:t xml:space="preserve"> </w:t>
      </w:r>
      <w:r w:rsidR="00AC5CA1" w:rsidRPr="00524C74">
        <w:rPr>
          <w:rStyle w:val="hps"/>
        </w:rPr>
        <w:t xml:space="preserve">periodic </w:t>
      </w:r>
      <w:r w:rsidR="00D12A35">
        <w:rPr>
          <w:rStyle w:val="hps"/>
        </w:rPr>
        <w:t xml:space="preserve">reports (submitted or due), this interface is expected </w:t>
      </w:r>
      <w:r w:rsidR="00D12A35">
        <w:rPr>
          <w:rStyle w:val="hps"/>
        </w:rPr>
        <w:lastRenderedPageBreak/>
        <w:t>to contribute</w:t>
      </w:r>
      <w:r w:rsidR="00D12A35" w:rsidRPr="00524C74">
        <w:rPr>
          <w:rStyle w:val="hps"/>
        </w:rPr>
        <w:t xml:space="preserve"> </w:t>
      </w:r>
      <w:r w:rsidR="00D12A35">
        <w:rPr>
          <w:rStyle w:val="hps"/>
        </w:rPr>
        <w:t>to the overall efforts initiated by the Secretariat to improve the periodic reporting mechanism as a whole</w:t>
      </w:r>
      <w:r w:rsidR="00353BFA">
        <w:rPr>
          <w:rStyle w:val="hps"/>
        </w:rPr>
        <w:t xml:space="preserve">. </w:t>
      </w:r>
      <w:r w:rsidR="00EA233D">
        <w:rPr>
          <w:rStyle w:val="hps"/>
        </w:rPr>
        <w:t>T</w:t>
      </w:r>
      <w:r w:rsidR="00D12A35">
        <w:rPr>
          <w:rStyle w:val="hps"/>
        </w:rPr>
        <w:t>he generous contribution of the Republic of Korea to the Intangible Cultural Heritage Fund</w:t>
      </w:r>
      <w:r w:rsidR="00353BFA">
        <w:rPr>
          <w:rStyle w:val="hps"/>
        </w:rPr>
        <w:t>,</w:t>
      </w:r>
      <w:r w:rsidR="00D12A35">
        <w:rPr>
          <w:rStyle w:val="hps"/>
        </w:rPr>
        <w:t xml:space="preserve"> as accepted by the eleventh session of Committee</w:t>
      </w:r>
      <w:r w:rsidR="00D12A35">
        <w:rPr>
          <w:rStyle w:val="FootnoteReference"/>
        </w:rPr>
        <w:footnoteReference w:id="2"/>
      </w:r>
      <w:r w:rsidR="00EA233D">
        <w:rPr>
          <w:rStyle w:val="hps"/>
        </w:rPr>
        <w:t>, has given a new impetus to these efforts</w:t>
      </w:r>
      <w:r w:rsidR="00D12A35">
        <w:rPr>
          <w:rStyle w:val="hps"/>
        </w:rPr>
        <w:t>.</w:t>
      </w:r>
      <w:r w:rsidR="00AC5CA1" w:rsidRPr="00524C74">
        <w:rPr>
          <w:rStyle w:val="hps"/>
        </w:rPr>
        <w:t xml:space="preserve"> </w:t>
      </w:r>
    </w:p>
    <w:p w14:paraId="66891670" w14:textId="17956E7E" w:rsidR="00965CE0" w:rsidRPr="00524C74" w:rsidRDefault="00965CE0" w:rsidP="008B1EFF">
      <w:pPr>
        <w:pStyle w:val="COMPara"/>
      </w:pPr>
      <w:r w:rsidRPr="00524C74">
        <w:t xml:space="preserve">During the reporting period, </w:t>
      </w:r>
      <w:r w:rsidR="007D450F" w:rsidRPr="00524C74">
        <w:t>capacity</w:t>
      </w:r>
      <w:r w:rsidR="007D450F">
        <w:t>-</w:t>
      </w:r>
      <w:r w:rsidRPr="00524C74">
        <w:t xml:space="preserve">building for the implementation of the Convention at </w:t>
      </w:r>
      <w:r w:rsidR="00EA233D">
        <w:t xml:space="preserve">the </w:t>
      </w:r>
      <w:r w:rsidRPr="00524C74">
        <w:t xml:space="preserve">national level </w:t>
      </w:r>
      <w:r w:rsidR="00EA233D">
        <w:t>remained a</w:t>
      </w:r>
      <w:r w:rsidR="00EA233D" w:rsidRPr="00524C74">
        <w:t xml:space="preserve"> </w:t>
      </w:r>
      <w:r w:rsidRPr="00524C74">
        <w:t xml:space="preserve">high priority. </w:t>
      </w:r>
      <w:r w:rsidR="00970C61" w:rsidRPr="00524C74">
        <w:t>W</w:t>
      </w:r>
      <w:r w:rsidR="00970C61" w:rsidRPr="00524C74">
        <w:rPr>
          <w:rStyle w:val="hps"/>
        </w:rPr>
        <w:t xml:space="preserve">hile actual implementation at </w:t>
      </w:r>
      <w:r w:rsidR="00EA233D">
        <w:rPr>
          <w:rStyle w:val="hps"/>
        </w:rPr>
        <w:t xml:space="preserve">the </w:t>
      </w:r>
      <w:r w:rsidR="00970C61" w:rsidRPr="00524C74">
        <w:rPr>
          <w:rStyle w:val="hps"/>
        </w:rPr>
        <w:t xml:space="preserve">country level is made possible </w:t>
      </w:r>
      <w:r w:rsidR="00EA233D" w:rsidRPr="00524C74">
        <w:rPr>
          <w:rStyle w:val="hps"/>
        </w:rPr>
        <w:t>t</w:t>
      </w:r>
      <w:r w:rsidR="00EA233D">
        <w:rPr>
          <w:rStyle w:val="hps"/>
        </w:rPr>
        <w:t>hanks to</w:t>
      </w:r>
      <w:r w:rsidR="00EA233D" w:rsidRPr="00524C74">
        <w:rPr>
          <w:rStyle w:val="hps"/>
        </w:rPr>
        <w:t xml:space="preserve"> </w:t>
      </w:r>
      <w:r w:rsidR="00970C61" w:rsidRPr="00524C74">
        <w:rPr>
          <w:rStyle w:val="hps"/>
        </w:rPr>
        <w:t>earmarked contributions to the Intangible Cultural Heritage Fund and Funds-in-Trust arrangements</w:t>
      </w:r>
      <w:r w:rsidR="001105E4" w:rsidRPr="00524C74">
        <w:rPr>
          <w:rStyle w:val="hps"/>
        </w:rPr>
        <w:t xml:space="preserve">, </w:t>
      </w:r>
      <w:r w:rsidRPr="00524C74">
        <w:rPr>
          <w:rStyle w:val="hps"/>
        </w:rPr>
        <w:t xml:space="preserve">the funds allocated to ‘other functions of the Committee’ </w:t>
      </w:r>
      <w:r w:rsidR="007D450F">
        <w:rPr>
          <w:rStyle w:val="hps"/>
        </w:rPr>
        <w:t>remain</w:t>
      </w:r>
      <w:r w:rsidR="007D450F" w:rsidRPr="00524C74">
        <w:rPr>
          <w:rStyle w:val="hps"/>
        </w:rPr>
        <w:t xml:space="preserve"> </w:t>
      </w:r>
      <w:r w:rsidRPr="00524C74">
        <w:rPr>
          <w:rStyle w:val="hps"/>
        </w:rPr>
        <w:t xml:space="preserve">instrumental </w:t>
      </w:r>
      <w:r w:rsidR="00EA233D">
        <w:rPr>
          <w:rStyle w:val="hps"/>
        </w:rPr>
        <w:t>in</w:t>
      </w:r>
      <w:r w:rsidR="00EA233D" w:rsidRPr="00524C74">
        <w:rPr>
          <w:rStyle w:val="hps"/>
        </w:rPr>
        <w:t xml:space="preserve"> </w:t>
      </w:r>
      <w:r w:rsidR="00EA233D">
        <w:rPr>
          <w:rStyle w:val="hps"/>
        </w:rPr>
        <w:t xml:space="preserve">ensuring that </w:t>
      </w:r>
      <w:r w:rsidRPr="00524C74">
        <w:rPr>
          <w:rStyle w:val="hps"/>
        </w:rPr>
        <w:t xml:space="preserve">the capacity-building programme </w:t>
      </w:r>
      <w:r w:rsidR="00EA233D">
        <w:rPr>
          <w:rStyle w:val="hps"/>
        </w:rPr>
        <w:t>is sufficiently equipped to guarantee the effective delivery of</w:t>
      </w:r>
      <w:r w:rsidR="00EA233D" w:rsidRPr="00524C74">
        <w:rPr>
          <w:rStyle w:val="hps"/>
        </w:rPr>
        <w:t xml:space="preserve"> </w:t>
      </w:r>
      <w:r w:rsidRPr="00524C74">
        <w:rPr>
          <w:rStyle w:val="hps"/>
        </w:rPr>
        <w:t>the programme</w:t>
      </w:r>
      <w:r w:rsidR="00EA233D">
        <w:rPr>
          <w:rStyle w:val="hps"/>
        </w:rPr>
        <w:t xml:space="preserve"> </w:t>
      </w:r>
      <w:r w:rsidR="00970C61" w:rsidRPr="00524C74">
        <w:rPr>
          <w:rStyle w:val="hps"/>
        </w:rPr>
        <w:t>and that it adequately responds to demand</w:t>
      </w:r>
      <w:r w:rsidRPr="00524C74">
        <w:rPr>
          <w:rStyle w:val="hps"/>
        </w:rPr>
        <w:t xml:space="preserve">. </w:t>
      </w:r>
      <w:r w:rsidR="007D450F">
        <w:rPr>
          <w:rStyle w:val="hps"/>
        </w:rPr>
        <w:t xml:space="preserve">During the reporting period, the expansion of the programme to </w:t>
      </w:r>
      <w:r w:rsidR="00EA233D">
        <w:rPr>
          <w:rStyle w:val="hps"/>
        </w:rPr>
        <w:t>include</w:t>
      </w:r>
      <w:r w:rsidR="007D450F">
        <w:rPr>
          <w:rStyle w:val="hps"/>
        </w:rPr>
        <w:t xml:space="preserve"> the provision of </w:t>
      </w:r>
      <w:r w:rsidRPr="00524C74">
        <w:rPr>
          <w:rStyle w:val="hps"/>
        </w:rPr>
        <w:t xml:space="preserve">policy </w:t>
      </w:r>
      <w:r w:rsidR="007D450F">
        <w:rPr>
          <w:rStyle w:val="hps"/>
        </w:rPr>
        <w:t xml:space="preserve">support and support for </w:t>
      </w:r>
      <w:r w:rsidRPr="00524C74">
        <w:rPr>
          <w:rStyle w:val="hps"/>
        </w:rPr>
        <w:t>the elaboration of safeguarding plans</w:t>
      </w:r>
      <w:r w:rsidR="007D450F">
        <w:rPr>
          <w:rStyle w:val="hps"/>
        </w:rPr>
        <w:t xml:space="preserve"> was consolidated</w:t>
      </w:r>
      <w:r w:rsidRPr="00524C74">
        <w:rPr>
          <w:rStyle w:val="hps"/>
        </w:rPr>
        <w:t xml:space="preserve">. </w:t>
      </w:r>
      <w:r w:rsidR="00E755E0">
        <w:rPr>
          <w:rStyle w:val="hps"/>
        </w:rPr>
        <w:t>The workshop for members of th</w:t>
      </w:r>
      <w:r w:rsidR="00732E13">
        <w:rPr>
          <w:rStyle w:val="hps"/>
        </w:rPr>
        <w:t xml:space="preserve">e </w:t>
      </w:r>
      <w:r w:rsidR="00E755E0">
        <w:t>f</w:t>
      </w:r>
      <w:r w:rsidRPr="00524C74">
        <w:t>acilitators</w:t>
      </w:r>
      <w:r w:rsidR="00E755E0">
        <w:t>’</w:t>
      </w:r>
      <w:r w:rsidRPr="00524C74">
        <w:t xml:space="preserve"> </w:t>
      </w:r>
      <w:r w:rsidR="00E755E0">
        <w:t xml:space="preserve">network </w:t>
      </w:r>
      <w:r w:rsidRPr="00524C74">
        <w:t xml:space="preserve">from Latin America </w:t>
      </w:r>
      <w:r w:rsidR="001105E4" w:rsidRPr="00524C74">
        <w:t xml:space="preserve">and the Caribbean </w:t>
      </w:r>
      <w:r w:rsidR="00E755E0">
        <w:t xml:space="preserve">on supporting policy development in the field of safeguarding intangible cultural heritage in the region </w:t>
      </w:r>
      <w:r w:rsidR="004C2611">
        <w:t>provided a valuable</w:t>
      </w:r>
      <w:r w:rsidR="004C2611" w:rsidRPr="004C2611">
        <w:t xml:space="preserve"> opportunity </w:t>
      </w:r>
      <w:r w:rsidR="00EA233D">
        <w:t>to carry out</w:t>
      </w:r>
      <w:r w:rsidR="004C2611" w:rsidRPr="004C2611">
        <w:t xml:space="preserve"> an i</w:t>
      </w:r>
      <w:r w:rsidR="004C2611">
        <w:t>n-depth analysis of the programme’</w:t>
      </w:r>
      <w:r w:rsidR="004C2611" w:rsidRPr="004C2611">
        <w:t xml:space="preserve">s approach to </w:t>
      </w:r>
      <w:r w:rsidR="009678CD">
        <w:t>this area</w:t>
      </w:r>
      <w:r w:rsidR="004C2611" w:rsidRPr="004C2611">
        <w:t xml:space="preserve">, </w:t>
      </w:r>
      <w:r w:rsidR="004C2611">
        <w:t xml:space="preserve">the </w:t>
      </w:r>
      <w:r w:rsidR="004C2611" w:rsidRPr="004C2611">
        <w:t>supporting materials developed</w:t>
      </w:r>
      <w:r w:rsidR="004C2611">
        <w:t xml:space="preserve"> for this purpose</w:t>
      </w:r>
      <w:r w:rsidR="004C2611" w:rsidRPr="004C2611">
        <w:t xml:space="preserve"> and</w:t>
      </w:r>
      <w:r w:rsidR="004C2611">
        <w:t xml:space="preserve"> the </w:t>
      </w:r>
      <w:r w:rsidR="004C2611" w:rsidRPr="004C2611">
        <w:t xml:space="preserve">more complex </w:t>
      </w:r>
      <w:r w:rsidR="00A46EA6">
        <w:t xml:space="preserve">roles of facilitators </w:t>
      </w:r>
      <w:r w:rsidR="005C7BD8">
        <w:t xml:space="preserve">as </w:t>
      </w:r>
      <w:r w:rsidR="00A46EA6">
        <w:t>compared to</w:t>
      </w:r>
      <w:r w:rsidR="004C2611" w:rsidRPr="004C2611">
        <w:t xml:space="preserve"> </w:t>
      </w:r>
      <w:r w:rsidR="00A46EA6">
        <w:t>that</w:t>
      </w:r>
      <w:r w:rsidR="004C2611" w:rsidRPr="004C2611">
        <w:t xml:space="preserve"> of trainers.</w:t>
      </w:r>
      <w:r w:rsidR="00D64601">
        <w:t xml:space="preserve"> </w:t>
      </w:r>
      <w:r w:rsidR="00EA233D">
        <w:t>The a</w:t>
      </w:r>
      <w:r w:rsidR="00D64601">
        <w:t>nalys</w:t>
      </w:r>
      <w:r w:rsidR="00EA233D">
        <w:t>e</w:t>
      </w:r>
      <w:r w:rsidR="00D64601">
        <w:t xml:space="preserve">s and discussions were </w:t>
      </w:r>
      <w:r w:rsidR="00D64601" w:rsidRPr="00D64601">
        <w:t xml:space="preserve">enriched by the perspectives of </w:t>
      </w:r>
      <w:r w:rsidR="00D64601" w:rsidRPr="0030444F">
        <w:t>officials</w:t>
      </w:r>
      <w:r w:rsidR="005C7BD8">
        <w:t xml:space="preserve"> and other stakeholders</w:t>
      </w:r>
      <w:r w:rsidR="00D64601" w:rsidRPr="00D64601">
        <w:t xml:space="preserve"> involved in the </w:t>
      </w:r>
      <w:r w:rsidR="00D64601">
        <w:t>planning</w:t>
      </w:r>
      <w:r w:rsidR="00D64601" w:rsidRPr="00D64601">
        <w:t xml:space="preserve"> and implementation of policies in their </w:t>
      </w:r>
      <w:r w:rsidR="008B1EFF">
        <w:t xml:space="preserve">respective </w:t>
      </w:r>
      <w:r w:rsidR="00D64601" w:rsidRPr="00D64601">
        <w:t xml:space="preserve">countries and who </w:t>
      </w:r>
      <w:r w:rsidR="00D64601">
        <w:t>had participated in the capacity-</w:t>
      </w:r>
      <w:r w:rsidR="00D64601" w:rsidRPr="00D64601">
        <w:t>building program</w:t>
      </w:r>
      <w:r w:rsidR="00D64601">
        <w:t>me</w:t>
      </w:r>
      <w:r w:rsidR="00D64601" w:rsidRPr="00D64601">
        <w:t xml:space="preserve"> as</w:t>
      </w:r>
      <w:r w:rsidR="00D64601">
        <w:t xml:space="preserve"> </w:t>
      </w:r>
      <w:r w:rsidR="00D64601" w:rsidRPr="00524C74">
        <w:t>national counterparts</w:t>
      </w:r>
      <w:r w:rsidR="00D64601" w:rsidRPr="00D64601">
        <w:t>.</w:t>
      </w:r>
      <w:r w:rsidR="00D64601">
        <w:t xml:space="preserve"> </w:t>
      </w:r>
      <w:r w:rsidR="00D64601" w:rsidRPr="00D64601">
        <w:t xml:space="preserve">The workshop </w:t>
      </w:r>
      <w:r w:rsidR="00EA233D">
        <w:t>therefore contributed significantly</w:t>
      </w:r>
      <w:r w:rsidR="00D64601" w:rsidRPr="00D64601">
        <w:t xml:space="preserve"> to </w:t>
      </w:r>
      <w:r w:rsidR="00EA233D">
        <w:t xml:space="preserve">refining </w:t>
      </w:r>
      <w:r w:rsidR="00D64601" w:rsidRPr="00D64601">
        <w:t xml:space="preserve">the </w:t>
      </w:r>
      <w:r w:rsidR="00D64601">
        <w:t xml:space="preserve">general </w:t>
      </w:r>
      <w:r w:rsidR="00D64601" w:rsidRPr="00D64601">
        <w:t xml:space="preserve">approach to policy-advice </w:t>
      </w:r>
      <w:r w:rsidR="00D64601">
        <w:t xml:space="preserve">within the capacity-building programme </w:t>
      </w:r>
      <w:r w:rsidR="00D64601" w:rsidRPr="00D64601">
        <w:t xml:space="preserve">and, </w:t>
      </w:r>
      <w:r w:rsidR="00D64601">
        <w:t>more specifically</w:t>
      </w:r>
      <w:r w:rsidR="00D64601" w:rsidRPr="00D64601">
        <w:t xml:space="preserve">, to </w:t>
      </w:r>
      <w:r w:rsidR="00732E13">
        <w:t>developing</w:t>
      </w:r>
      <w:r w:rsidR="00D64601" w:rsidRPr="00D64601">
        <w:t xml:space="preserve"> the concept of a video tutorial </w:t>
      </w:r>
      <w:r w:rsidR="00D64601">
        <w:t>on</w:t>
      </w:r>
      <w:r w:rsidR="00D64601" w:rsidRPr="00D64601">
        <w:t xml:space="preserve"> </w:t>
      </w:r>
      <w:r w:rsidR="00732E13">
        <w:t>the provision of</w:t>
      </w:r>
      <w:r w:rsidR="00D64601" w:rsidRPr="00D64601">
        <w:t xml:space="preserve"> policy support</w:t>
      </w:r>
      <w:r w:rsidR="00732E13">
        <w:t>. T</w:t>
      </w:r>
      <w:r w:rsidR="00D64601" w:rsidRPr="00D64601">
        <w:t xml:space="preserve">he Secretariat </w:t>
      </w:r>
      <w:r w:rsidR="00D64601">
        <w:t>intends to strengthen</w:t>
      </w:r>
      <w:r w:rsidR="00D64601" w:rsidRPr="00D64601">
        <w:t xml:space="preserve"> </w:t>
      </w:r>
      <w:r w:rsidR="00732E13">
        <w:t xml:space="preserve">this methodology for training facilitators in order </w:t>
      </w:r>
      <w:r w:rsidR="00687019" w:rsidRPr="00524C74">
        <w:t>to complement face-to-face workshops</w:t>
      </w:r>
      <w:r w:rsidR="00D64601">
        <w:t xml:space="preserve">. </w:t>
      </w:r>
    </w:p>
    <w:p w14:paraId="342EA9BE" w14:textId="5ABC8AF3" w:rsidR="00D76393" w:rsidRPr="002110A4" w:rsidRDefault="00732E13" w:rsidP="004A6E00">
      <w:pPr>
        <w:pStyle w:val="COMPara"/>
        <w:rPr>
          <w:rFonts w:eastAsia="SimSun"/>
          <w:lang w:eastAsia="zh-CN"/>
        </w:rPr>
      </w:pPr>
      <w:r>
        <w:rPr>
          <w:rStyle w:val="hps"/>
        </w:rPr>
        <w:t>S</w:t>
      </w:r>
      <w:r w:rsidR="008B1EFF">
        <w:rPr>
          <w:rStyle w:val="hps"/>
        </w:rPr>
        <w:t>upport</w:t>
      </w:r>
      <w:r>
        <w:rPr>
          <w:rStyle w:val="hps"/>
        </w:rPr>
        <w:t xml:space="preserve"> for</w:t>
      </w:r>
      <w:r w:rsidR="008B1EFF">
        <w:rPr>
          <w:rStyle w:val="hps"/>
        </w:rPr>
        <w:t xml:space="preserve"> the implementation of the Convention in Member States was also to take the form of guidance on safeguarding measures and good practices, </w:t>
      </w:r>
      <w:r w:rsidR="00DA3BBD">
        <w:rPr>
          <w:rStyle w:val="hps"/>
        </w:rPr>
        <w:t>starting with</w:t>
      </w:r>
      <w:r w:rsidR="008B1EFF">
        <w:rPr>
          <w:rStyle w:val="hps"/>
        </w:rPr>
        <w:t xml:space="preserve"> specific subjects on which the Committee ha</w:t>
      </w:r>
      <w:r w:rsidR="00D76393">
        <w:rPr>
          <w:rStyle w:val="hps"/>
        </w:rPr>
        <w:t xml:space="preserve">d chosen to focus its attention. </w:t>
      </w:r>
      <w:r w:rsidR="003E67E0">
        <w:rPr>
          <w:rStyle w:val="hps"/>
        </w:rPr>
        <w:t xml:space="preserve">Although </w:t>
      </w:r>
      <w:r>
        <w:rPr>
          <w:rStyle w:val="hps"/>
        </w:rPr>
        <w:t xml:space="preserve">the </w:t>
      </w:r>
      <w:r w:rsidR="003E67E0">
        <w:rPr>
          <w:rStyle w:val="hps"/>
        </w:rPr>
        <w:t xml:space="preserve">final products were not finalized during the reporting period, a draft of </w:t>
      </w:r>
      <w:r w:rsidR="003E67E0" w:rsidRPr="003E67E0">
        <w:rPr>
          <w:rStyle w:val="hps"/>
        </w:rPr>
        <w:t>guideline</w:t>
      </w:r>
      <w:r>
        <w:rPr>
          <w:rStyle w:val="hps"/>
        </w:rPr>
        <w:t>s</w:t>
      </w:r>
      <w:r w:rsidR="003E67E0" w:rsidRPr="003E67E0">
        <w:rPr>
          <w:rStyle w:val="hps"/>
        </w:rPr>
        <w:t xml:space="preserve"> on inventories for the States Parties</w:t>
      </w:r>
      <w:r w:rsidR="003E67E0">
        <w:rPr>
          <w:rStyle w:val="hps"/>
        </w:rPr>
        <w:t xml:space="preserve"> was elaborated in response to the Committee’s request</w:t>
      </w:r>
      <w:r w:rsidR="003E67E0">
        <w:rPr>
          <w:rStyle w:val="FootnoteReference"/>
        </w:rPr>
        <w:footnoteReference w:id="3"/>
      </w:r>
      <w:r w:rsidR="003E67E0">
        <w:rPr>
          <w:rStyle w:val="hps"/>
        </w:rPr>
        <w:t xml:space="preserve">. </w:t>
      </w:r>
      <w:r w:rsidR="003E67E0">
        <w:rPr>
          <w:shd w:val="clear" w:color="auto" w:fill="FFFFFF"/>
        </w:rPr>
        <w:t>I</w:t>
      </w:r>
      <w:r w:rsidR="00D76393" w:rsidRPr="002110A4">
        <w:rPr>
          <w:rFonts w:eastAsia="SimSun"/>
          <w:lang w:bidi="en-US"/>
        </w:rPr>
        <w:t xml:space="preserve">ntended to synthesize </w:t>
      </w:r>
      <w:r>
        <w:rPr>
          <w:rFonts w:eastAsia="SimSun"/>
          <w:lang w:bidi="en-US"/>
        </w:rPr>
        <w:t xml:space="preserve">the </w:t>
      </w:r>
      <w:r w:rsidR="00D76393" w:rsidRPr="002110A4">
        <w:rPr>
          <w:rFonts w:eastAsia="SimSun"/>
          <w:lang w:bidi="en-US"/>
        </w:rPr>
        <w:t>past decisions and recommendations of the Committee and its advisory bodies</w:t>
      </w:r>
      <w:r w:rsidR="00DA3BBD">
        <w:rPr>
          <w:rFonts w:eastAsia="SimSun"/>
          <w:lang w:bidi="en-US"/>
        </w:rPr>
        <w:t>,</w:t>
      </w:r>
      <w:r w:rsidR="00D76393" w:rsidRPr="002110A4">
        <w:rPr>
          <w:rFonts w:eastAsia="SimSun"/>
          <w:lang w:bidi="en-US"/>
        </w:rPr>
        <w:t xml:space="preserve"> </w:t>
      </w:r>
      <w:r w:rsidR="00D76393" w:rsidRPr="002110A4">
        <w:rPr>
          <w:shd w:val="clear" w:color="auto" w:fill="FFFFFF"/>
        </w:rPr>
        <w:t>while taking into account the freedom that States Parties have in drawing up their inventories</w:t>
      </w:r>
      <w:r w:rsidR="003E67E0">
        <w:rPr>
          <w:shd w:val="clear" w:color="auto" w:fill="FFFFFF"/>
        </w:rPr>
        <w:t xml:space="preserve">, </w:t>
      </w:r>
      <w:r w:rsidR="003E67E0">
        <w:rPr>
          <w:rFonts w:eastAsia="SimSun"/>
          <w:lang w:bidi="en-US"/>
        </w:rPr>
        <w:t>the note</w:t>
      </w:r>
      <w:r w:rsidR="00D76393" w:rsidRPr="002110A4">
        <w:rPr>
          <w:rFonts w:eastAsia="SimSun"/>
          <w:lang w:bidi="en-US"/>
        </w:rPr>
        <w:t xml:space="preserve"> </w:t>
      </w:r>
      <w:r w:rsidR="00DC458B">
        <w:rPr>
          <w:rFonts w:eastAsia="SimSun"/>
          <w:lang w:bidi="en-US"/>
        </w:rPr>
        <w:t>r</w:t>
      </w:r>
      <w:r w:rsidR="00DC458B" w:rsidRPr="00DC458B">
        <w:rPr>
          <w:rFonts w:eastAsia="SimSun"/>
          <w:lang w:bidi="en-US"/>
        </w:rPr>
        <w:t>eflects effort</w:t>
      </w:r>
      <w:r w:rsidR="00DC458B">
        <w:rPr>
          <w:rFonts w:eastAsia="SimSun"/>
          <w:lang w:bidi="en-US"/>
        </w:rPr>
        <w:t>s</w:t>
      </w:r>
      <w:r w:rsidR="00DC458B" w:rsidRPr="00DC458B">
        <w:rPr>
          <w:rFonts w:eastAsia="SimSun"/>
          <w:lang w:bidi="en-US"/>
        </w:rPr>
        <w:t xml:space="preserve"> to develop an easy-to-use resource that can serve </w:t>
      </w:r>
      <w:r w:rsidR="00185209" w:rsidRPr="00DC458B">
        <w:rPr>
          <w:rFonts w:eastAsia="SimSun"/>
          <w:lang w:bidi="en-US"/>
        </w:rPr>
        <w:t xml:space="preserve">as a reference </w:t>
      </w:r>
      <w:r w:rsidR="00DC458B" w:rsidRPr="00DC458B">
        <w:rPr>
          <w:rFonts w:eastAsia="SimSun"/>
          <w:lang w:bidi="en-US"/>
        </w:rPr>
        <w:t xml:space="preserve">for States </w:t>
      </w:r>
      <w:r>
        <w:rPr>
          <w:rFonts w:eastAsia="SimSun"/>
          <w:lang w:bidi="en-US"/>
        </w:rPr>
        <w:t>in their establishment</w:t>
      </w:r>
      <w:r w:rsidR="00DC458B" w:rsidRPr="00DC458B">
        <w:rPr>
          <w:rFonts w:eastAsia="SimSun"/>
          <w:lang w:bidi="en-US"/>
        </w:rPr>
        <w:t xml:space="preserve"> or updating </w:t>
      </w:r>
      <w:r>
        <w:rPr>
          <w:rFonts w:eastAsia="SimSun"/>
          <w:lang w:bidi="en-US"/>
        </w:rPr>
        <w:t xml:space="preserve">of </w:t>
      </w:r>
      <w:r w:rsidR="00DC458B" w:rsidRPr="00DC458B">
        <w:rPr>
          <w:rFonts w:eastAsia="SimSun"/>
          <w:lang w:bidi="en-US"/>
        </w:rPr>
        <w:t xml:space="preserve">inventories </w:t>
      </w:r>
      <w:r w:rsidR="00DA3BBD">
        <w:rPr>
          <w:rFonts w:eastAsia="SimSun"/>
          <w:lang w:bidi="en-US"/>
        </w:rPr>
        <w:t>as well as</w:t>
      </w:r>
      <w:r w:rsidR="00185209">
        <w:rPr>
          <w:rFonts w:eastAsia="SimSun"/>
          <w:lang w:bidi="en-US"/>
        </w:rPr>
        <w:t xml:space="preserve"> for States </w:t>
      </w:r>
      <w:r w:rsidR="00DA3BBD">
        <w:rPr>
          <w:rFonts w:eastAsia="SimSun"/>
          <w:lang w:bidi="en-US"/>
        </w:rPr>
        <w:t>preparing</w:t>
      </w:r>
      <w:r w:rsidR="00185209">
        <w:rPr>
          <w:rFonts w:eastAsia="SimSun"/>
          <w:lang w:bidi="en-US"/>
        </w:rPr>
        <w:t xml:space="preserve"> nominations to the Convention’s Lists, for which inclusion in an inventory as defined in Articles 11 and 12 of the Convention is </w:t>
      </w:r>
      <w:r w:rsidR="00D76393" w:rsidRPr="002110A4">
        <w:rPr>
          <w:rFonts w:eastAsia="SimSun"/>
          <w:lang w:bidi="en-US"/>
        </w:rPr>
        <w:t xml:space="preserve">a prerequisite. </w:t>
      </w:r>
    </w:p>
    <w:p w14:paraId="7D32BCCE" w14:textId="77777777" w:rsidR="00B52891" w:rsidRPr="00524C74" w:rsidRDefault="00B77FFB" w:rsidP="00EA233D">
      <w:pPr>
        <w:pStyle w:val="COMPara"/>
      </w:pPr>
      <w:r>
        <w:rPr>
          <w:rStyle w:val="hps"/>
        </w:rPr>
        <w:t xml:space="preserve">In an effort to equip the Convention with </w:t>
      </w:r>
      <w:r w:rsidR="008D6B8A">
        <w:rPr>
          <w:rStyle w:val="hps"/>
        </w:rPr>
        <w:t xml:space="preserve">an efficient </w:t>
      </w:r>
      <w:r w:rsidR="00462B9E">
        <w:rPr>
          <w:rStyle w:val="hps"/>
        </w:rPr>
        <w:t xml:space="preserve">and relevant tool to monitor </w:t>
      </w:r>
      <w:r>
        <w:rPr>
          <w:rStyle w:val="hps"/>
        </w:rPr>
        <w:t>its</w:t>
      </w:r>
      <w:r w:rsidR="00462B9E">
        <w:rPr>
          <w:rStyle w:val="hps"/>
        </w:rPr>
        <w:t xml:space="preserve"> implementation, the reporting period wa</w:t>
      </w:r>
      <w:r w:rsidR="00786729">
        <w:rPr>
          <w:rStyle w:val="hps"/>
        </w:rPr>
        <w:t xml:space="preserve">s </w:t>
      </w:r>
      <w:r w:rsidR="00462B9E">
        <w:rPr>
          <w:rStyle w:val="hps"/>
        </w:rPr>
        <w:t xml:space="preserve">marked by the elaboration of a ‘results map’ that the Committee considered </w:t>
      </w:r>
      <w:r w:rsidR="00786729">
        <w:rPr>
          <w:rStyle w:val="hps"/>
        </w:rPr>
        <w:t>as</w:t>
      </w:r>
      <w:r w:rsidR="00462B9E" w:rsidRPr="00462B9E">
        <w:rPr>
          <w:rStyle w:val="hps"/>
        </w:rPr>
        <w:t xml:space="preserve"> a thinking tool for developing</w:t>
      </w:r>
      <w:r w:rsidR="00462B9E">
        <w:rPr>
          <w:rStyle w:val="hps"/>
        </w:rPr>
        <w:t xml:space="preserve"> </w:t>
      </w:r>
      <w:r w:rsidR="00462B9E" w:rsidRPr="00462B9E">
        <w:rPr>
          <w:rStyle w:val="hps"/>
        </w:rPr>
        <w:t>an overall results framework for the Convention</w:t>
      </w:r>
      <w:r>
        <w:rPr>
          <w:rStyle w:val="FootnoteReference"/>
        </w:rPr>
        <w:footnoteReference w:id="4"/>
      </w:r>
      <w:r w:rsidR="00786729">
        <w:rPr>
          <w:rStyle w:val="hps"/>
        </w:rPr>
        <w:t xml:space="preserve">. </w:t>
      </w:r>
      <w:r>
        <w:rPr>
          <w:rStyle w:val="hps"/>
        </w:rPr>
        <w:t xml:space="preserve">The results map </w:t>
      </w:r>
      <w:r w:rsidR="00825F36">
        <w:rPr>
          <w:rStyle w:val="hps"/>
        </w:rPr>
        <w:t xml:space="preserve">sets </w:t>
      </w:r>
      <w:r w:rsidR="00732E13">
        <w:rPr>
          <w:rStyle w:val="hps"/>
        </w:rPr>
        <w:t xml:space="preserve">out </w:t>
      </w:r>
      <w:r w:rsidR="00825F36">
        <w:rPr>
          <w:rStyle w:val="hps"/>
        </w:rPr>
        <w:t xml:space="preserve">a logical sequence of the main steps in achieving </w:t>
      </w:r>
      <w:r w:rsidR="00825F36">
        <w:t>a shared vision of what constitutes success in implementing the Convention, namely ‘</w:t>
      </w:r>
      <w:r w:rsidR="00825F36" w:rsidRPr="00825F36">
        <w:t>Intangible cultural heritage is safeguarded by communities, groups and individuals who exercise active and ongoing stewardship over it, thereby contributing to sustainable development for human well-being, dignity and creativity in peaceful and inclusive societies</w:t>
      </w:r>
      <w:r w:rsidR="00825F36">
        <w:t xml:space="preserve">’. This initial step towards developing an overall results framework was the result of </w:t>
      </w:r>
      <w:r w:rsidR="00B52891" w:rsidRPr="00524C74">
        <w:t xml:space="preserve">a preliminary expert meeting </w:t>
      </w:r>
      <w:r w:rsidR="00E314F8">
        <w:t xml:space="preserve">held in Beijing, China, from 7 to 9 September 2016 with the support of the Intangible Cultural Heritage Fund, thanks to an earmarked contribution from </w:t>
      </w:r>
      <w:r w:rsidR="00E314F8" w:rsidRPr="00524C74">
        <w:t>the National Commission of the People’s Republic of China</w:t>
      </w:r>
      <w:r w:rsidR="00E314F8">
        <w:rPr>
          <w:rStyle w:val="FootnoteReference"/>
        </w:rPr>
        <w:footnoteReference w:id="5"/>
      </w:r>
      <w:r w:rsidR="00E314F8" w:rsidRPr="00524C74">
        <w:t xml:space="preserve"> and complemented by </w:t>
      </w:r>
      <w:r w:rsidR="00E314F8">
        <w:t xml:space="preserve">the budget line for ‘other functions of the Committee’. </w:t>
      </w:r>
      <w:r w:rsidR="00E314F8">
        <w:rPr>
          <w:rStyle w:val="hps"/>
        </w:rPr>
        <w:t xml:space="preserve">The </w:t>
      </w:r>
      <w:r w:rsidR="00B52891" w:rsidRPr="00524C74">
        <w:t xml:space="preserve">results map </w:t>
      </w:r>
      <w:r w:rsidR="00732E13">
        <w:t>was already the subject of</w:t>
      </w:r>
      <w:r w:rsidR="00B52891" w:rsidRPr="00524C74">
        <w:t xml:space="preserve"> </w:t>
      </w:r>
      <w:r w:rsidR="00B52891" w:rsidRPr="00524C74">
        <w:lastRenderedPageBreak/>
        <w:t>a first intergovernmental debate within the Committee, at its eleventh session</w:t>
      </w:r>
      <w:r w:rsidR="00331CBB">
        <w:t>.</w:t>
      </w:r>
      <w:r w:rsidR="00E314F8">
        <w:t xml:space="preserve"> </w:t>
      </w:r>
      <w:r w:rsidR="00331CBB">
        <w:t>It will</w:t>
      </w:r>
      <w:r w:rsidR="00E314F8" w:rsidRPr="00524C74">
        <w:rPr>
          <w:rStyle w:val="hps"/>
        </w:rPr>
        <w:t xml:space="preserve"> </w:t>
      </w:r>
      <w:r w:rsidR="007F424A" w:rsidRPr="00524C74">
        <w:rPr>
          <w:rStyle w:val="hps"/>
        </w:rPr>
        <w:t xml:space="preserve">serve as a basis </w:t>
      </w:r>
      <w:r w:rsidR="00AA5528">
        <w:rPr>
          <w:rStyle w:val="hps"/>
        </w:rPr>
        <w:t>for the development</w:t>
      </w:r>
      <w:r w:rsidR="00AA5528" w:rsidRPr="00AA5528">
        <w:t xml:space="preserve"> </w:t>
      </w:r>
      <w:r w:rsidR="00AA5528">
        <w:t xml:space="preserve">of </w:t>
      </w:r>
      <w:r w:rsidR="00AA5528" w:rsidRPr="00F10723">
        <w:t xml:space="preserve">suitable qualitative or quantitative indicators for measuring progress towards achieving the </w:t>
      </w:r>
      <w:r w:rsidR="00AA5528">
        <w:t xml:space="preserve">agreed </w:t>
      </w:r>
      <w:r w:rsidR="00AA5528" w:rsidRPr="00F10723">
        <w:t>vision</w:t>
      </w:r>
      <w:r w:rsidR="00AA5528">
        <w:t xml:space="preserve"> that will complement the overall results framework to be discussed by the </w:t>
      </w:r>
      <w:r w:rsidR="00AA5528">
        <w:rPr>
          <w:rStyle w:val="hps"/>
        </w:rPr>
        <w:t>open-ended</w:t>
      </w:r>
      <w:r w:rsidR="007F424A" w:rsidRPr="00524C74">
        <w:rPr>
          <w:rStyle w:val="hps"/>
        </w:rPr>
        <w:t xml:space="preserve"> </w:t>
      </w:r>
      <w:r w:rsidR="000F4094" w:rsidRPr="00524C74">
        <w:rPr>
          <w:rStyle w:val="hps"/>
        </w:rPr>
        <w:t xml:space="preserve">intergovernmental </w:t>
      </w:r>
      <w:r w:rsidR="00A62574" w:rsidRPr="00524C74">
        <w:rPr>
          <w:rStyle w:val="hps"/>
        </w:rPr>
        <w:t>working group</w:t>
      </w:r>
      <w:r w:rsidR="00AA5528">
        <w:rPr>
          <w:rStyle w:val="hps"/>
        </w:rPr>
        <w:t xml:space="preserve"> convene</w:t>
      </w:r>
      <w:r w:rsidR="00CF678B">
        <w:rPr>
          <w:rStyle w:val="hps"/>
        </w:rPr>
        <w:t>d</w:t>
      </w:r>
      <w:r w:rsidR="00AA5528">
        <w:rPr>
          <w:rStyle w:val="hps"/>
        </w:rPr>
        <w:t xml:space="preserve"> for this purpose </w:t>
      </w:r>
      <w:r w:rsidR="007F424A" w:rsidRPr="00524C74">
        <w:rPr>
          <w:rStyle w:val="hps"/>
        </w:rPr>
        <w:t xml:space="preserve">in </w:t>
      </w:r>
      <w:r w:rsidR="00AA5528">
        <w:rPr>
          <w:rStyle w:val="hps"/>
        </w:rPr>
        <w:t xml:space="preserve">Chengdu, China, from 11 to 13 </w:t>
      </w:r>
      <w:r w:rsidR="007F424A" w:rsidRPr="00524C74">
        <w:rPr>
          <w:rStyle w:val="hps"/>
        </w:rPr>
        <w:t>June 2017.</w:t>
      </w:r>
    </w:p>
    <w:p w14:paraId="1E82226D" w14:textId="1D411ADA" w:rsidR="00AC2E44" w:rsidRDefault="00213273" w:rsidP="00EA233D">
      <w:pPr>
        <w:pStyle w:val="COMPara"/>
      </w:pPr>
      <w:r w:rsidRPr="00353BFA">
        <w:t>D</w:t>
      </w:r>
      <w:r w:rsidR="006D7FCD" w:rsidRPr="00EA233D">
        <w:t xml:space="preserve">esigning a </w:t>
      </w:r>
      <w:r w:rsidR="00364052" w:rsidRPr="00EA233D">
        <w:t xml:space="preserve">robust </w:t>
      </w:r>
      <w:r w:rsidRPr="00732E13">
        <w:t xml:space="preserve">outreach and communications </w:t>
      </w:r>
      <w:r w:rsidR="006D7FCD" w:rsidRPr="00732E13">
        <w:t xml:space="preserve">strategy </w:t>
      </w:r>
      <w:r w:rsidR="00364052" w:rsidRPr="00732E13">
        <w:t>a</w:t>
      </w:r>
      <w:r w:rsidR="00364052" w:rsidRPr="003006FE">
        <w:t xml:space="preserve">nd establishing partnerships </w:t>
      </w:r>
      <w:r w:rsidR="003006FE">
        <w:t xml:space="preserve">both </w:t>
      </w:r>
      <w:r w:rsidRPr="003006FE">
        <w:t xml:space="preserve">within and outside the culture sector </w:t>
      </w:r>
      <w:r w:rsidR="00812A0A">
        <w:t>are</w:t>
      </w:r>
      <w:r w:rsidR="006D7FCD" w:rsidRPr="003006FE">
        <w:t xml:space="preserve"> essential </w:t>
      </w:r>
      <w:r w:rsidR="003006FE">
        <w:t>for</w:t>
      </w:r>
      <w:r w:rsidR="003006FE" w:rsidRPr="003006FE">
        <w:t xml:space="preserve"> </w:t>
      </w:r>
      <w:r w:rsidR="006D7FCD" w:rsidRPr="003006FE">
        <w:t>promoting the objectives of the Convention</w:t>
      </w:r>
      <w:r w:rsidR="00AC2E44">
        <w:t xml:space="preserve">. </w:t>
      </w:r>
      <w:r w:rsidR="004A6E00" w:rsidRPr="00A46EA6">
        <w:t xml:space="preserve">Efforts in this regard took two complementary directions. </w:t>
      </w:r>
      <w:r w:rsidR="00812A0A">
        <w:t xml:space="preserve">On the one hand, the reporting period was marked by the identification of the partner company with which </w:t>
      </w:r>
      <w:r w:rsidR="00812A0A" w:rsidRPr="00524C74">
        <w:t>a communications and outreach strategy for the Convention</w:t>
      </w:r>
      <w:r w:rsidR="00812A0A">
        <w:t xml:space="preserve"> will be developed. This will be directed at helping various stakeholders to enhance knowledge of intangible cultural heritage and its safeguarding, raising</w:t>
      </w:r>
      <w:r w:rsidR="00812A0A" w:rsidRPr="00904AEB">
        <w:t xml:space="preserve"> awareness about </w:t>
      </w:r>
      <w:r w:rsidR="00812A0A">
        <w:t>its</w:t>
      </w:r>
      <w:r w:rsidR="00812A0A" w:rsidRPr="00904AEB">
        <w:t xml:space="preserve"> importance and ensur</w:t>
      </w:r>
      <w:r w:rsidR="00812A0A">
        <w:t>ing</w:t>
      </w:r>
      <w:r w:rsidR="00812A0A" w:rsidRPr="00904AEB">
        <w:t xml:space="preserve"> mutual appreciation thereof</w:t>
      </w:r>
      <w:r w:rsidR="00812A0A">
        <w:t>,</w:t>
      </w:r>
      <w:r w:rsidR="00812A0A" w:rsidRPr="00904AEB">
        <w:t xml:space="preserve"> in accordance with the </w:t>
      </w:r>
      <w:r w:rsidR="00812A0A">
        <w:t xml:space="preserve">letter and spirit of the Convention. </w:t>
      </w:r>
      <w:r w:rsidR="004A6E00" w:rsidRPr="00A46EA6">
        <w:t xml:space="preserve">On the </w:t>
      </w:r>
      <w:r w:rsidR="00812A0A">
        <w:t>other</w:t>
      </w:r>
      <w:r w:rsidR="00812A0A" w:rsidRPr="00A46EA6">
        <w:t xml:space="preserve"> </w:t>
      </w:r>
      <w:r w:rsidR="004A6E00" w:rsidRPr="00A46EA6">
        <w:t>hand</w:t>
      </w:r>
      <w:r w:rsidR="004A6E00" w:rsidRPr="0032638E">
        <w:t>, the</w:t>
      </w:r>
      <w:r w:rsidR="00FE46E1" w:rsidRPr="0032638E">
        <w:t xml:space="preserve"> establish</w:t>
      </w:r>
      <w:r w:rsidR="004A6E00" w:rsidRPr="0032638E">
        <w:t>ment of</w:t>
      </w:r>
      <w:r w:rsidR="00FE46E1" w:rsidRPr="0032638E">
        <w:t xml:space="preserve"> partnerships with education institutes and programmes</w:t>
      </w:r>
      <w:r w:rsidR="00BD2CA0" w:rsidRPr="0032638E">
        <w:t xml:space="preserve"> was </w:t>
      </w:r>
      <w:r w:rsidR="004A6E00" w:rsidRPr="0032638E">
        <w:t xml:space="preserve">initiated through a joint initiative with </w:t>
      </w:r>
      <w:r w:rsidR="00FE46E1" w:rsidRPr="0032638E">
        <w:t xml:space="preserve">the International Capacity-Building Institute for Education in Africa (IICBA) to organize a roundtable side event on ‘Learning with intangible cultural heritage in education’ at the </w:t>
      </w:r>
      <w:r w:rsidR="004A6E00" w:rsidRPr="0032638E">
        <w:t xml:space="preserve">eleventh </w:t>
      </w:r>
      <w:r w:rsidR="00F0753B" w:rsidRPr="0032638E">
        <w:t>session of the Committee</w:t>
      </w:r>
      <w:r w:rsidR="00FE46E1" w:rsidRPr="0032638E">
        <w:t>.</w:t>
      </w:r>
      <w:r w:rsidR="009B04D6" w:rsidRPr="0032638E">
        <w:t xml:space="preserve"> </w:t>
      </w:r>
      <w:r w:rsidR="00BD2CA0" w:rsidRPr="0032638E">
        <w:t xml:space="preserve">By raising awareness </w:t>
      </w:r>
      <w:r w:rsidR="003006FE">
        <w:t>among</w:t>
      </w:r>
      <w:r w:rsidR="00BD2CA0" w:rsidRPr="003006FE">
        <w:t xml:space="preserve"> the Committee’s audience</w:t>
      </w:r>
      <w:r w:rsidR="003006FE">
        <w:t xml:space="preserve"> about</w:t>
      </w:r>
      <w:r w:rsidR="00BD2CA0" w:rsidRPr="003006FE">
        <w:t xml:space="preserve"> the potential of </w:t>
      </w:r>
      <w:r w:rsidR="00FE46E1" w:rsidRPr="00A46EA6">
        <w:t xml:space="preserve">education programmes </w:t>
      </w:r>
      <w:r w:rsidR="003006FE">
        <w:t>to provide</w:t>
      </w:r>
      <w:r w:rsidR="00FE46E1" w:rsidRPr="003006FE">
        <w:t xml:space="preserve"> spaces for transmitting intangible cultural heritage and </w:t>
      </w:r>
      <w:r w:rsidR="00BD2CA0" w:rsidRPr="00906482">
        <w:t xml:space="preserve">that of </w:t>
      </w:r>
      <w:r w:rsidR="00FE46E1" w:rsidRPr="00A46EA6">
        <w:t xml:space="preserve">cultural heritage </w:t>
      </w:r>
      <w:r w:rsidR="00BD2CA0" w:rsidRPr="0032638E">
        <w:t>to</w:t>
      </w:r>
      <w:r w:rsidR="00FE46E1" w:rsidRPr="0032638E">
        <w:t xml:space="preserve"> improve the relevance and quality of education</w:t>
      </w:r>
      <w:r w:rsidR="001F2154" w:rsidRPr="0032638E">
        <w:t>, this activity laid the foundations for a more comprehensive and articulated</w:t>
      </w:r>
      <w:r w:rsidR="001F2154" w:rsidRPr="003006FE">
        <w:t xml:space="preserve"> cooperati</w:t>
      </w:r>
      <w:r w:rsidR="003006FE">
        <w:t>ve</w:t>
      </w:r>
      <w:r w:rsidR="001F2154" w:rsidRPr="003006FE">
        <w:t xml:space="preserve"> effort with </w:t>
      </w:r>
      <w:r w:rsidR="00AC0598" w:rsidRPr="0032638E">
        <w:t xml:space="preserve">UNESCO’s </w:t>
      </w:r>
      <w:r w:rsidR="003E347B" w:rsidRPr="0032638E">
        <w:t xml:space="preserve">Education </w:t>
      </w:r>
      <w:r w:rsidR="00AC0598" w:rsidRPr="0032638E">
        <w:t>Sector</w:t>
      </w:r>
      <w:r w:rsidR="003006FE">
        <w:t>. This</w:t>
      </w:r>
      <w:r w:rsidR="00A5064C" w:rsidRPr="00A5064C">
        <w:t xml:space="preserve"> is expected to </w:t>
      </w:r>
      <w:r w:rsidR="003006FE">
        <w:t xml:space="preserve">be further expanded </w:t>
      </w:r>
      <w:r w:rsidR="00A5064C" w:rsidRPr="00A5064C">
        <w:t>in the next biennium.</w:t>
      </w:r>
      <w:r w:rsidR="003E347B" w:rsidRPr="0032638E">
        <w:t xml:space="preserve"> </w:t>
      </w:r>
    </w:p>
    <w:p w14:paraId="016F5F2E" w14:textId="77777777" w:rsidR="00A74D6C" w:rsidRPr="00524C74" w:rsidRDefault="00A74D6C" w:rsidP="00473C13">
      <w:pPr>
        <w:keepNext/>
        <w:spacing w:before="240" w:after="240"/>
        <w:ind w:left="851" w:hanging="851"/>
        <w:rPr>
          <w:rFonts w:ascii="Arial" w:hAnsi="Arial" w:cs="Arial"/>
          <w:b/>
          <w:bCs/>
          <w:sz w:val="22"/>
          <w:szCs w:val="22"/>
          <w:lang w:val="en-GB"/>
        </w:rPr>
      </w:pPr>
      <w:r w:rsidRPr="00524C74">
        <w:rPr>
          <w:rFonts w:ascii="Arial" w:hAnsi="Arial" w:cs="Arial"/>
          <w:b/>
          <w:bCs/>
          <w:sz w:val="22"/>
          <w:szCs w:val="22"/>
          <w:lang w:val="en-GB"/>
        </w:rPr>
        <w:t>Overall challenges encountered in implementation and remedial actions</w:t>
      </w:r>
    </w:p>
    <w:p w14:paraId="28A3284D" w14:textId="2DE64EB4" w:rsidR="00002FAE" w:rsidRPr="0032638E" w:rsidRDefault="00002FAE" w:rsidP="00CF678B">
      <w:pPr>
        <w:pStyle w:val="COMPara"/>
      </w:pPr>
      <w:r w:rsidRPr="0032638E">
        <w:t>With the Regular Programme of the biennium entirely dedicated to cover</w:t>
      </w:r>
      <w:r w:rsidR="003006FE">
        <w:t>ing</w:t>
      </w:r>
      <w:r w:rsidRPr="0032638E">
        <w:t xml:space="preserve"> the costs of the statutory requirements of the Convention, </w:t>
      </w:r>
      <w:r w:rsidR="003006FE">
        <w:t xml:space="preserve">the </w:t>
      </w:r>
      <w:r w:rsidRPr="0032638E">
        <w:t xml:space="preserve">support of this budget line of the Fund </w:t>
      </w:r>
      <w:r w:rsidR="00CF678B" w:rsidRPr="0032638E">
        <w:t xml:space="preserve">remains </w:t>
      </w:r>
      <w:r w:rsidRPr="0032638E">
        <w:t xml:space="preserve">essential to give the work of the Committee greater outreach in terms of impact and visibility. However, the severe mismatch between </w:t>
      </w:r>
      <w:r w:rsidR="003006FE">
        <w:t xml:space="preserve">the </w:t>
      </w:r>
      <w:r w:rsidRPr="0032638E">
        <w:t xml:space="preserve">human resources </w:t>
      </w:r>
      <w:r w:rsidR="003006FE">
        <w:t xml:space="preserve">available </w:t>
      </w:r>
      <w:r w:rsidRPr="0032638E">
        <w:t xml:space="preserve">and the steady increase in </w:t>
      </w:r>
      <w:r w:rsidR="003006FE">
        <w:t xml:space="preserve">the </w:t>
      </w:r>
      <w:r w:rsidRPr="0032638E">
        <w:t>workload and expectations on the part of States Parties remains the greatest challenge</w:t>
      </w:r>
      <w:r w:rsidR="003006FE">
        <w:t xml:space="preserve"> for the Secretariat, regardless of the source of funding for its activities, be it the Regular </w:t>
      </w:r>
      <w:r w:rsidR="0094465E">
        <w:t>P</w:t>
      </w:r>
      <w:r w:rsidR="003006FE">
        <w:t>rogramme or the Fund</w:t>
      </w:r>
      <w:r w:rsidR="00F728B8">
        <w:rPr>
          <w:rFonts w:eastAsiaTheme="minorEastAsia" w:hint="eastAsia"/>
          <w:lang w:eastAsia="ko-KR"/>
        </w:rPr>
        <w:t>,</w:t>
      </w:r>
      <w:r w:rsidR="00CF678B" w:rsidRPr="0032638E">
        <w:t xml:space="preserve"> </w:t>
      </w:r>
      <w:r w:rsidRPr="0032638E">
        <w:t xml:space="preserve">highlighted in </w:t>
      </w:r>
      <w:r w:rsidR="00CF678B">
        <w:t xml:space="preserve">2013 by </w:t>
      </w:r>
      <w:r w:rsidRPr="0032638E">
        <w:t>the IOS Audit of Working Methods of the Culture Conventions</w:t>
      </w:r>
      <w:r w:rsidR="00F728B8">
        <w:rPr>
          <w:rFonts w:eastAsiaTheme="minorEastAsia" w:hint="eastAsia"/>
          <w:lang w:eastAsia="ko-KR"/>
        </w:rPr>
        <w:t>.</w:t>
      </w:r>
    </w:p>
    <w:p w14:paraId="164DDB7B" w14:textId="2A8D092B" w:rsidR="006E7962" w:rsidRDefault="00065CFA" w:rsidP="00614FA8">
      <w:pPr>
        <w:pStyle w:val="COMPara"/>
      </w:pPr>
      <w:r w:rsidRPr="00696A00">
        <w:rPr>
          <w:rStyle w:val="hps"/>
        </w:rPr>
        <w:t xml:space="preserve">The Convention’s knowledge management system </w:t>
      </w:r>
      <w:r w:rsidR="003006FE">
        <w:rPr>
          <w:rStyle w:val="hps"/>
        </w:rPr>
        <w:t xml:space="preserve">is </w:t>
      </w:r>
      <w:r w:rsidRPr="00696A00">
        <w:rPr>
          <w:rStyle w:val="hps"/>
        </w:rPr>
        <w:t>a fundamental working tool for both its governing and advisory bodies and its Secretariat</w:t>
      </w:r>
      <w:r>
        <w:rPr>
          <w:rStyle w:val="hps"/>
        </w:rPr>
        <w:t xml:space="preserve">. </w:t>
      </w:r>
      <w:r w:rsidRPr="00065CFA">
        <w:rPr>
          <w:rStyle w:val="hps"/>
        </w:rPr>
        <w:t>However, it also serves as an invisible structure for the Convention</w:t>
      </w:r>
      <w:r w:rsidR="003006FE">
        <w:rPr>
          <w:rStyle w:val="hps"/>
        </w:rPr>
        <w:t>’s</w:t>
      </w:r>
      <w:r w:rsidRPr="00065CFA">
        <w:rPr>
          <w:rStyle w:val="hps"/>
        </w:rPr>
        <w:t xml:space="preserve"> website, which aims to offer a </w:t>
      </w:r>
      <w:r>
        <w:rPr>
          <w:rStyle w:val="hps"/>
        </w:rPr>
        <w:t>wealth</w:t>
      </w:r>
      <w:r w:rsidRPr="00065CFA">
        <w:rPr>
          <w:rStyle w:val="hps"/>
        </w:rPr>
        <w:t xml:space="preserve"> of information to </w:t>
      </w:r>
      <w:r w:rsidR="003006FE">
        <w:rPr>
          <w:rStyle w:val="hps"/>
        </w:rPr>
        <w:t xml:space="preserve">its </w:t>
      </w:r>
      <w:r w:rsidRPr="00065CFA">
        <w:rPr>
          <w:rStyle w:val="hps"/>
        </w:rPr>
        <w:t xml:space="preserve">wide range of </w:t>
      </w:r>
      <w:r>
        <w:rPr>
          <w:rStyle w:val="hps"/>
        </w:rPr>
        <w:t>stakeholders</w:t>
      </w:r>
      <w:r w:rsidRPr="00065CFA">
        <w:rPr>
          <w:rStyle w:val="hps"/>
        </w:rPr>
        <w:t xml:space="preserve"> and publics.</w:t>
      </w:r>
      <w:r w:rsidRPr="00696A00">
        <w:rPr>
          <w:rStyle w:val="hps"/>
        </w:rPr>
        <w:t xml:space="preserve"> </w:t>
      </w:r>
      <w:r>
        <w:t>This</w:t>
      </w:r>
      <w:r w:rsidR="00FA7FAD" w:rsidRPr="00524C74">
        <w:t xml:space="preserve"> two-pron</w:t>
      </w:r>
      <w:r>
        <w:t>g</w:t>
      </w:r>
      <w:r w:rsidR="00FA7FAD" w:rsidRPr="00524C74">
        <w:t>e</w:t>
      </w:r>
      <w:r>
        <w:t>d</w:t>
      </w:r>
      <w:r w:rsidR="00FA7FAD" w:rsidRPr="00524C74">
        <w:t xml:space="preserve"> objective</w:t>
      </w:r>
      <w:r>
        <w:t xml:space="preserve"> </w:t>
      </w:r>
      <w:r w:rsidRPr="00065CFA">
        <w:t>is difficult to reconcile because the needs and expectations of users of the site are not necessarily the same</w:t>
      </w:r>
      <w:r w:rsidR="00562523" w:rsidRPr="00524C74">
        <w:t xml:space="preserve">. </w:t>
      </w:r>
      <w:r w:rsidR="003006FE">
        <w:t>T</w:t>
      </w:r>
      <w:r w:rsidR="006E7962">
        <w:t xml:space="preserve">he </w:t>
      </w:r>
      <w:r w:rsidR="006E7962" w:rsidRPr="00696A00">
        <w:rPr>
          <w:rStyle w:val="hps"/>
        </w:rPr>
        <w:t>knowledge management system</w:t>
      </w:r>
      <w:r w:rsidR="006E7962">
        <w:rPr>
          <w:rStyle w:val="hps"/>
        </w:rPr>
        <w:t xml:space="preserve"> seems to respond satisfactorily to the needs of the statutory functioning of the Convention</w:t>
      </w:r>
      <w:r w:rsidR="003006FE">
        <w:rPr>
          <w:rStyle w:val="hps"/>
        </w:rPr>
        <w:t>. However,</w:t>
      </w:r>
      <w:r w:rsidR="006E7962">
        <w:rPr>
          <w:rStyle w:val="hps"/>
        </w:rPr>
        <w:t xml:space="preserve"> further work and reflections are needed </w:t>
      </w:r>
      <w:r w:rsidR="003006FE">
        <w:rPr>
          <w:rStyle w:val="hps"/>
        </w:rPr>
        <w:t>to ensure</w:t>
      </w:r>
      <w:r w:rsidR="006E7962">
        <w:rPr>
          <w:rStyle w:val="hps"/>
        </w:rPr>
        <w:t xml:space="preserve"> that its window to the outside, i.e. the Convention’s website, becomes a useful and easy-to-use resource for the different constituencies involved in safeguarding intangible cultural heritage worldwide, some of which are not necessarily interested in </w:t>
      </w:r>
      <w:r w:rsidR="003006FE">
        <w:rPr>
          <w:rStyle w:val="hps"/>
        </w:rPr>
        <w:t xml:space="preserve">the </w:t>
      </w:r>
      <w:r w:rsidR="006E7962">
        <w:rPr>
          <w:rStyle w:val="hps"/>
        </w:rPr>
        <w:t>statutory processes of the Convention.</w:t>
      </w:r>
      <w:r w:rsidR="00CC6A05">
        <w:rPr>
          <w:rStyle w:val="hps"/>
        </w:rPr>
        <w:t xml:space="preserve"> The </w:t>
      </w:r>
      <w:r w:rsidR="00CC6A05" w:rsidRPr="00904AEB">
        <w:t>outreach and communications strategy</w:t>
      </w:r>
      <w:r w:rsidR="00CC6A05">
        <w:t xml:space="preserve"> is expected to help meet this challenge.</w:t>
      </w:r>
      <w:r w:rsidR="00842051">
        <w:t xml:space="preserve"> However, the development of the strategy poses its own challenges, starting with the identification of a suitable partner. During the reporting period, this </w:t>
      </w:r>
      <w:r w:rsidR="007E5106">
        <w:t>required</w:t>
      </w:r>
      <w:r w:rsidR="00842051">
        <w:t xml:space="preserve"> a </w:t>
      </w:r>
      <w:r w:rsidR="00842051" w:rsidRPr="00842051">
        <w:t>long and rigorous selection process</w:t>
      </w:r>
      <w:r w:rsidR="00614FA8">
        <w:t xml:space="preserve">. </w:t>
      </w:r>
      <w:r w:rsidR="00842051" w:rsidRPr="00842051">
        <w:t xml:space="preserve"> </w:t>
      </w:r>
      <w:r w:rsidR="00614FA8">
        <w:t>T</w:t>
      </w:r>
      <w:r w:rsidR="00842051" w:rsidRPr="00842051">
        <w:t xml:space="preserve">o find a partner </w:t>
      </w:r>
      <w:r w:rsidR="00614FA8">
        <w:t xml:space="preserve">able to think globally, to target an audience with varied horizons and background and to show acute </w:t>
      </w:r>
      <w:r w:rsidR="00842051" w:rsidRPr="00842051">
        <w:t>sensitivity to the notions and spirit of the Convention</w:t>
      </w:r>
      <w:r w:rsidR="00614FA8">
        <w:t xml:space="preserve"> </w:t>
      </w:r>
      <w:r w:rsidR="00614FA8" w:rsidRPr="00614FA8">
        <w:t>proved to be a challenge</w:t>
      </w:r>
      <w:r w:rsidR="00842051">
        <w:t xml:space="preserve">. </w:t>
      </w:r>
    </w:p>
    <w:p w14:paraId="43E9C3EE" w14:textId="47860ABE" w:rsidR="007E5202" w:rsidRPr="0032638E" w:rsidRDefault="00233D9A" w:rsidP="00732E13">
      <w:pPr>
        <w:pStyle w:val="COMPara"/>
        <w:rPr>
          <w:rFonts w:eastAsia="Calibri"/>
        </w:rPr>
      </w:pPr>
      <w:r w:rsidRPr="00353BFA">
        <w:t xml:space="preserve">While the Secretariat was able to support several Member States in different regions of the world in the implementation of the Convention thanks to the resources of the Intangible Cultural Heritage Fund, throughout 2016, as in the past, such support was provided under the capacity-building programme </w:t>
      </w:r>
      <w:r w:rsidR="007E5106">
        <w:t xml:space="preserve">rather </w:t>
      </w:r>
      <w:r w:rsidRPr="00353BFA">
        <w:t xml:space="preserve">than through guidance on safeguarding measures and good practices. The latter </w:t>
      </w:r>
      <w:r w:rsidR="00A226E6" w:rsidRPr="0032638E">
        <w:t xml:space="preserve">remains </w:t>
      </w:r>
      <w:r w:rsidR="00002FAE" w:rsidRPr="0032638E">
        <w:t xml:space="preserve">an area where the Secretariat </w:t>
      </w:r>
      <w:r w:rsidR="00364052" w:rsidRPr="0032638E">
        <w:t>face</w:t>
      </w:r>
      <w:r w:rsidR="00562523" w:rsidRPr="0032638E">
        <w:t xml:space="preserve">s </w:t>
      </w:r>
      <w:r w:rsidR="00002FAE" w:rsidRPr="0032638E">
        <w:t xml:space="preserve">one of its greatest challenges. </w:t>
      </w:r>
      <w:r w:rsidR="00EA2BC9" w:rsidRPr="0032638E">
        <w:t xml:space="preserve">The Secretariat has not yet found the most appropriate </w:t>
      </w:r>
      <w:r w:rsidR="007E5106">
        <w:t>way</w:t>
      </w:r>
      <w:r w:rsidR="00EA2BC9" w:rsidRPr="0032638E">
        <w:t xml:space="preserve"> </w:t>
      </w:r>
      <w:r w:rsidR="00A226E6" w:rsidRPr="00353BFA">
        <w:t xml:space="preserve">to respond </w:t>
      </w:r>
      <w:r w:rsidR="00A226E6" w:rsidRPr="00353BFA">
        <w:lastRenderedPageBreak/>
        <w:t>to the call of t</w:t>
      </w:r>
      <w:r w:rsidR="00002FAE" w:rsidRPr="00EA233D">
        <w:t xml:space="preserve">he Committee </w:t>
      </w:r>
      <w:r w:rsidR="00A226E6" w:rsidRPr="00EA233D">
        <w:t>to develop ‘</w:t>
      </w:r>
      <w:r w:rsidR="00002FAE" w:rsidRPr="00732E13">
        <w:t>alternate, lighter ways of sharing safeguarding experiences’ (</w:t>
      </w:r>
      <w:hyperlink r:id="rId14" w:history="1">
        <w:r w:rsidR="00002FAE" w:rsidRPr="0032638E">
          <w:rPr>
            <w:rStyle w:val="Hyperlink"/>
          </w:rPr>
          <w:t>Decision 8.COM 5.c.1</w:t>
        </w:r>
      </w:hyperlink>
      <w:r w:rsidR="00002FAE" w:rsidRPr="0032638E">
        <w:rPr>
          <w:rStyle w:val="Hyperlink"/>
        </w:rPr>
        <w:t>)</w:t>
      </w:r>
      <w:r w:rsidR="00EA2BC9">
        <w:rPr>
          <w:rStyle w:val="Hyperlink"/>
          <w:color w:val="auto"/>
          <w:u w:val="none"/>
        </w:rPr>
        <w:t xml:space="preserve"> and continues to explore several possibilities. </w:t>
      </w:r>
      <w:r w:rsidR="00082649">
        <w:rPr>
          <w:rStyle w:val="Hyperlink"/>
          <w:color w:val="auto"/>
          <w:u w:val="none"/>
        </w:rPr>
        <w:t>T</w:t>
      </w:r>
      <w:r w:rsidRPr="00524C74">
        <w:rPr>
          <w:rFonts w:eastAsia="Calibri"/>
        </w:rPr>
        <w:t>he elaboration of the guidance note on inventorying intangible cultural heritage</w:t>
      </w:r>
      <w:r w:rsidR="00082649">
        <w:rPr>
          <w:rFonts w:eastAsia="Calibri"/>
        </w:rPr>
        <w:t xml:space="preserve">, even </w:t>
      </w:r>
      <w:r w:rsidR="00CF0596">
        <w:rPr>
          <w:rFonts w:eastAsia="Calibri"/>
        </w:rPr>
        <w:t xml:space="preserve">though </w:t>
      </w:r>
      <w:r w:rsidR="00CF0596" w:rsidRPr="00524C74">
        <w:rPr>
          <w:rFonts w:eastAsia="Calibri"/>
        </w:rPr>
        <w:t>it</w:t>
      </w:r>
      <w:r w:rsidR="00082649">
        <w:rPr>
          <w:rFonts w:eastAsia="Calibri"/>
        </w:rPr>
        <w:t xml:space="preserve"> </w:t>
      </w:r>
      <w:r w:rsidR="00082649" w:rsidRPr="00524C74">
        <w:t>builds on experiences in various regions</w:t>
      </w:r>
      <w:r w:rsidR="00082649">
        <w:t xml:space="preserve">, responds only partly to this request. </w:t>
      </w:r>
      <w:r w:rsidR="00CB4A29">
        <w:t>Although</w:t>
      </w:r>
      <w:r w:rsidR="00CB4A29" w:rsidRPr="00CB4A29">
        <w:t xml:space="preserve"> this note was requested by the Committee in the specific context of </w:t>
      </w:r>
      <w:r w:rsidR="00CB4A29">
        <w:t xml:space="preserve">the </w:t>
      </w:r>
      <w:r w:rsidR="00CB4A29" w:rsidRPr="00CB4A29">
        <w:t xml:space="preserve">requirements for </w:t>
      </w:r>
      <w:r w:rsidR="00CB4A29">
        <w:t>nominations</w:t>
      </w:r>
      <w:r w:rsidR="00CB4A29" w:rsidRPr="00CB4A29">
        <w:t xml:space="preserve"> to the Lists of the Convention</w:t>
      </w:r>
      <w:r w:rsidR="00FF3509">
        <w:t xml:space="preserve"> </w:t>
      </w:r>
      <w:r w:rsidR="00FF3509" w:rsidRPr="00524C74">
        <w:t>(</w:t>
      </w:r>
      <w:hyperlink r:id="rId15" w:history="1">
        <w:r w:rsidR="00FF3509" w:rsidRPr="00524C74">
          <w:rPr>
            <w:rStyle w:val="Hyperlink"/>
          </w:rPr>
          <w:t>Decision 10.COM 10</w:t>
        </w:r>
      </w:hyperlink>
      <w:r w:rsidR="00FF3509" w:rsidRPr="00524C74">
        <w:t>)</w:t>
      </w:r>
      <w:r w:rsidR="00CB4A29" w:rsidRPr="00CB4A29">
        <w:t xml:space="preserve">, it was also an opportunity to offer modest support to States </w:t>
      </w:r>
      <w:r w:rsidR="00CB4A29">
        <w:t xml:space="preserve">drawing up or updating inventories, </w:t>
      </w:r>
      <w:r w:rsidR="00CB4A29" w:rsidRPr="00CB4A29">
        <w:t xml:space="preserve">irrespective of the </w:t>
      </w:r>
      <w:r w:rsidR="00CB4A29">
        <w:t>preparation</w:t>
      </w:r>
      <w:r w:rsidR="00CB4A29" w:rsidRPr="00CB4A29">
        <w:t xml:space="preserve"> of </w:t>
      </w:r>
      <w:r w:rsidR="00CB4A29">
        <w:t>nominations</w:t>
      </w:r>
      <w:r w:rsidR="00CB4A29" w:rsidRPr="00CB4A29">
        <w:t>.</w:t>
      </w:r>
      <w:r w:rsidR="00FF3509">
        <w:t xml:space="preserve"> </w:t>
      </w:r>
    </w:p>
    <w:p w14:paraId="7A0E532B" w14:textId="77777777" w:rsidR="003C2E2E" w:rsidRPr="00524C74" w:rsidRDefault="00F41FBC" w:rsidP="0044796A">
      <w:pPr>
        <w:pStyle w:val="COMPara"/>
      </w:pPr>
      <w:r>
        <w:t xml:space="preserve">Even though the Secretariat </w:t>
      </w:r>
      <w:r w:rsidR="007E5106">
        <w:t>is implementing</w:t>
      </w:r>
      <w:r>
        <w:t xml:space="preserve"> the capacity-building programme more systematically and under the umbrella of a well-established strategy, it raises its own challenges. During the reporting period, </w:t>
      </w:r>
      <w:r w:rsidR="005745D8">
        <w:t xml:space="preserve">the major challenge </w:t>
      </w:r>
      <w:r w:rsidR="007E5106">
        <w:t>lay in</w:t>
      </w:r>
      <w:r w:rsidR="005745D8">
        <w:t xml:space="preserve"> training the network </w:t>
      </w:r>
      <w:r w:rsidR="00977B77">
        <w:t xml:space="preserve">of </w:t>
      </w:r>
      <w:r w:rsidR="005745D8">
        <w:t xml:space="preserve">expert-facilitators in the provision of </w:t>
      </w:r>
      <w:r w:rsidR="00CC1992">
        <w:t>policy</w:t>
      </w:r>
      <w:r w:rsidR="005745D8">
        <w:t xml:space="preserve"> services. </w:t>
      </w:r>
      <w:r w:rsidR="007E5106">
        <w:t>R</w:t>
      </w:r>
      <w:r w:rsidR="003C2E2E" w:rsidRPr="00524C74">
        <w:t xml:space="preserve">egional training for </w:t>
      </w:r>
      <w:r w:rsidR="00CC1992">
        <w:t>expert-</w:t>
      </w:r>
      <w:r w:rsidR="003C2E2E" w:rsidRPr="00524C74">
        <w:t xml:space="preserve">facilitators from Latin America and the Caribbean </w:t>
      </w:r>
      <w:r w:rsidR="00242FDE">
        <w:t xml:space="preserve">revealed the need for further clarification of </w:t>
      </w:r>
      <w:r w:rsidR="003C2E2E" w:rsidRPr="00524C74">
        <w:t xml:space="preserve">UNESCO’s approach to policy support in the field of intangible cultural heritage. </w:t>
      </w:r>
      <w:r w:rsidR="00977B77">
        <w:t>E</w:t>
      </w:r>
      <w:r w:rsidR="00F37BFA" w:rsidRPr="00524C74">
        <w:t>xchange</w:t>
      </w:r>
      <w:r w:rsidR="007E5106">
        <w:t>s</w:t>
      </w:r>
      <w:r w:rsidR="00F37BFA" w:rsidRPr="00524C74">
        <w:t xml:space="preserve"> with </w:t>
      </w:r>
      <w:r w:rsidR="00F37BFA">
        <w:t xml:space="preserve">participants helped clarify </w:t>
      </w:r>
      <w:r w:rsidR="00977B77">
        <w:t xml:space="preserve">the </w:t>
      </w:r>
      <w:r w:rsidR="007E5106">
        <w:t xml:space="preserve">role of the </w:t>
      </w:r>
      <w:r w:rsidR="00977B77">
        <w:t>experts</w:t>
      </w:r>
      <w:r w:rsidR="00F37BFA">
        <w:t xml:space="preserve"> as facilitators of </w:t>
      </w:r>
      <w:r w:rsidR="003C2E2E" w:rsidRPr="00524C74">
        <w:t>discussion and dialogue</w:t>
      </w:r>
      <w:r w:rsidR="00F37BFA">
        <w:t>,</w:t>
      </w:r>
      <w:r w:rsidR="003C2E2E" w:rsidRPr="00524C74">
        <w:t xml:space="preserve"> with and among national counterparts</w:t>
      </w:r>
      <w:r w:rsidR="00F37BFA">
        <w:t>,</w:t>
      </w:r>
      <w:r w:rsidR="003C2E2E" w:rsidRPr="00524C74">
        <w:t xml:space="preserve"> to </w:t>
      </w:r>
      <w:r w:rsidR="00F37BFA">
        <w:t xml:space="preserve">assist them in </w:t>
      </w:r>
      <w:r w:rsidR="003C2E2E" w:rsidRPr="00524C74">
        <w:t>develop</w:t>
      </w:r>
      <w:r w:rsidR="00F37BFA">
        <w:t>ing</w:t>
      </w:r>
      <w:r w:rsidR="003C2E2E" w:rsidRPr="00524C74">
        <w:t xml:space="preserve"> possible policy options</w:t>
      </w:r>
      <w:r w:rsidR="009B04D6" w:rsidRPr="00524C74">
        <w:t xml:space="preserve"> as</w:t>
      </w:r>
      <w:r w:rsidR="003C2E2E" w:rsidRPr="00524C74">
        <w:t xml:space="preserve"> the basis for informed decision-making</w:t>
      </w:r>
      <w:r w:rsidR="00562DC9" w:rsidRPr="00524C74">
        <w:t xml:space="preserve"> by national authorities</w:t>
      </w:r>
      <w:r w:rsidR="00977B77">
        <w:t xml:space="preserve">. However, it became </w:t>
      </w:r>
      <w:r w:rsidR="00977B77" w:rsidRPr="00977B77">
        <w:t>clear that the implement</w:t>
      </w:r>
      <w:r w:rsidR="00977B77">
        <w:t xml:space="preserve">ation of projects with a policy-advice </w:t>
      </w:r>
      <w:r w:rsidR="00977B77" w:rsidRPr="00977B77">
        <w:t xml:space="preserve">component should be accompanied by a transparent dialogue with countries requesting such support in order to clarify the role and tasks of UNESCO </w:t>
      </w:r>
      <w:r w:rsidR="00977B77">
        <w:t>–</w:t>
      </w:r>
      <w:r w:rsidR="00977B77" w:rsidRPr="00977B77">
        <w:t xml:space="preserve"> and</w:t>
      </w:r>
      <w:r w:rsidR="00977B77">
        <w:t xml:space="preserve"> </w:t>
      </w:r>
      <w:r w:rsidR="00977B77" w:rsidRPr="00977B77">
        <w:t xml:space="preserve">hence </w:t>
      </w:r>
      <w:r w:rsidR="00977B77">
        <w:t xml:space="preserve">of its consultants – </w:t>
      </w:r>
      <w:r w:rsidR="007E5106">
        <w:t>and</w:t>
      </w:r>
      <w:r w:rsidR="00631B64" w:rsidRPr="00524C74">
        <w:t xml:space="preserve"> </w:t>
      </w:r>
      <w:r w:rsidR="007E5106">
        <w:t xml:space="preserve">thereby </w:t>
      </w:r>
      <w:r w:rsidR="00631B64" w:rsidRPr="00524C74">
        <w:t xml:space="preserve">avoid </w:t>
      </w:r>
      <w:r w:rsidR="00A55D6E" w:rsidRPr="00524C74">
        <w:t xml:space="preserve">false </w:t>
      </w:r>
      <w:r w:rsidR="00631B64" w:rsidRPr="00524C74">
        <w:t>expectations of ready-made solutions and documents.</w:t>
      </w:r>
      <w:r w:rsidR="0044796A">
        <w:t xml:space="preserve"> </w:t>
      </w:r>
      <w:r w:rsidR="0044796A" w:rsidRPr="0044796A">
        <w:t>However, this major effort to provide upstream support to the capacity-building program</w:t>
      </w:r>
      <w:r w:rsidR="0044796A">
        <w:t>me</w:t>
      </w:r>
      <w:r w:rsidR="0044796A" w:rsidRPr="0044796A">
        <w:t xml:space="preserve"> faces a major </w:t>
      </w:r>
      <w:r w:rsidR="007049B4">
        <w:t>obstacle to</w:t>
      </w:r>
      <w:r w:rsidR="0044796A" w:rsidRPr="0044796A">
        <w:t xml:space="preserve"> </w:t>
      </w:r>
      <w:r w:rsidR="007049B4">
        <w:t>its roll-out</w:t>
      </w:r>
      <w:r w:rsidR="0044796A" w:rsidRPr="0044796A">
        <w:t>, namely the alarming decline in extrabudgetary resources on which the operationalization of the program</w:t>
      </w:r>
      <w:r w:rsidR="007049B4">
        <w:t>me</w:t>
      </w:r>
      <w:r w:rsidR="0044796A" w:rsidRPr="0044796A">
        <w:t xml:space="preserve"> </w:t>
      </w:r>
      <w:r w:rsidR="007049B4">
        <w:t>relies</w:t>
      </w:r>
      <w:r w:rsidR="0044796A" w:rsidRPr="0044796A">
        <w:t xml:space="preserve"> exclusively.</w:t>
      </w:r>
    </w:p>
    <w:p w14:paraId="129988B8" w14:textId="77777777" w:rsidR="008C462B" w:rsidRPr="00524C74" w:rsidRDefault="00D40005" w:rsidP="00D37DDC">
      <w:pPr>
        <w:pStyle w:val="COMPara"/>
      </w:pPr>
      <w:r w:rsidRPr="00D40005">
        <w:t xml:space="preserve">The work of developing a results framework for the Convention that began during the reporting period posed challenges </w:t>
      </w:r>
      <w:r>
        <w:t xml:space="preserve">that are </w:t>
      </w:r>
      <w:r w:rsidRPr="00D40005">
        <w:t>commensurate with its ambition: namely,</w:t>
      </w:r>
      <w:r>
        <w:t xml:space="preserve"> to define the lines against which the Convention’s impact </w:t>
      </w:r>
      <w:r w:rsidR="007E5106">
        <w:t>will</w:t>
      </w:r>
      <w:r>
        <w:t xml:space="preserve"> be measured in the coming years. </w:t>
      </w:r>
      <w:r w:rsidR="00861A16" w:rsidRPr="007773D7">
        <w:t xml:space="preserve">Specific challenges arise from developing an overall results framework for an international normative instrument such as </w:t>
      </w:r>
      <w:r w:rsidR="00D37DDC" w:rsidRPr="007773D7">
        <w:t>the Convention</w:t>
      </w:r>
      <w:r w:rsidR="00861A16" w:rsidRPr="007773D7">
        <w:t>, which is atypical of the kind of organizations and programmes on which monitoring and evaluation work typically focuses. Like much of the United Nations’ normative work, the Convention ‘involves numerous actors, many potential causes and just as many possible effects’</w:t>
      </w:r>
      <w:r w:rsidR="00861A16" w:rsidRPr="007773D7">
        <w:rPr>
          <w:vertAlign w:val="superscript"/>
        </w:rPr>
        <w:footnoteReference w:id="6"/>
      </w:r>
      <w:r w:rsidR="00861A16" w:rsidRPr="007773D7">
        <w:rPr>
          <w:vertAlign w:val="superscript"/>
        </w:rPr>
        <w:t xml:space="preserve"> </w:t>
      </w:r>
      <w:r w:rsidR="00861A16" w:rsidRPr="007773D7">
        <w:t xml:space="preserve">and ‘success’ may not look the same to each actor. </w:t>
      </w:r>
      <w:r w:rsidR="00D37DDC" w:rsidRPr="00D37DDC">
        <w:t>The purpose of the expert meeting held in Beijing to prepare the work of the intergovernmental discussions to follow</w:t>
      </w:r>
      <w:r w:rsidR="00310E10">
        <w:t xml:space="preserve"> </w:t>
      </w:r>
      <w:r w:rsidR="00D37DDC">
        <w:t xml:space="preserve">therefore </w:t>
      </w:r>
      <w:r w:rsidR="00310E10">
        <w:t xml:space="preserve">needed </w:t>
      </w:r>
      <w:r w:rsidR="00D37DDC" w:rsidRPr="007773D7">
        <w:t xml:space="preserve">to </w:t>
      </w:r>
      <w:r w:rsidR="00310E10">
        <w:t xml:space="preserve">be to </w:t>
      </w:r>
      <w:r w:rsidR="00D37DDC" w:rsidRPr="007773D7">
        <w:t xml:space="preserve">find the common denominator of the different expectations placed on the Convention and </w:t>
      </w:r>
      <w:r w:rsidR="00310E10">
        <w:t xml:space="preserve">to </w:t>
      </w:r>
      <w:r w:rsidR="00D37DDC" w:rsidRPr="007773D7">
        <w:t>begin to outline a ‘shared’ vision of the Convention</w:t>
      </w:r>
      <w:r w:rsidR="00D37DDC">
        <w:t xml:space="preserve">. The </w:t>
      </w:r>
      <w:r w:rsidR="00622D78">
        <w:t xml:space="preserve">shared </w:t>
      </w:r>
      <w:r w:rsidR="00D37DDC">
        <w:t>vision</w:t>
      </w:r>
      <w:r w:rsidR="003B664F">
        <w:rPr>
          <w:rStyle w:val="FootnoteReference"/>
        </w:rPr>
        <w:footnoteReference w:id="7"/>
      </w:r>
      <w:r w:rsidR="00D37DDC">
        <w:t xml:space="preserve"> </w:t>
      </w:r>
      <w:r w:rsidR="00310E10">
        <w:t>needed</w:t>
      </w:r>
      <w:r w:rsidR="00D37DDC">
        <w:t xml:space="preserve"> to accommodate </w:t>
      </w:r>
      <w:r w:rsidR="00622D78">
        <w:t>two different</w:t>
      </w:r>
      <w:r w:rsidR="00D37DDC">
        <w:t xml:space="preserve"> perspectives</w:t>
      </w:r>
      <w:r w:rsidR="00622D78">
        <w:t>: on the one hand,</w:t>
      </w:r>
      <w:r w:rsidR="00D37DDC">
        <w:t xml:space="preserve"> of those </w:t>
      </w:r>
      <w:r w:rsidR="00622D78">
        <w:t>who considered</w:t>
      </w:r>
      <w:r w:rsidR="00D37DDC" w:rsidRPr="005611EC">
        <w:t xml:space="preserve"> achieving the purposes of the Convention set out in Article 1 </w:t>
      </w:r>
      <w:r w:rsidR="00622D78">
        <w:t>to be the ultimate result</w:t>
      </w:r>
      <w:r w:rsidR="00D37DDC" w:rsidRPr="005611EC">
        <w:t xml:space="preserve"> </w:t>
      </w:r>
      <w:r w:rsidR="00622D78">
        <w:t xml:space="preserve">of </w:t>
      </w:r>
      <w:r w:rsidR="00D37DDC" w:rsidRPr="005611EC">
        <w:t>the Con</w:t>
      </w:r>
      <w:r w:rsidR="00D37DDC">
        <w:t>vention</w:t>
      </w:r>
      <w:r w:rsidR="00622D78">
        <w:t>;</w:t>
      </w:r>
      <w:r w:rsidR="00D37DDC">
        <w:t xml:space="preserve"> </w:t>
      </w:r>
      <w:r w:rsidR="00622D78">
        <w:t>and, on the other,</w:t>
      </w:r>
      <w:r w:rsidR="00D37DDC" w:rsidRPr="005611EC">
        <w:t xml:space="preserve"> </w:t>
      </w:r>
      <w:r w:rsidR="00622D78">
        <w:t xml:space="preserve">of those </w:t>
      </w:r>
      <w:r w:rsidR="00D37DDC">
        <w:t>who</w:t>
      </w:r>
      <w:r w:rsidR="00D37DDC" w:rsidRPr="005611EC">
        <w:t xml:space="preserve"> saw the achievement of the</w:t>
      </w:r>
      <w:r w:rsidR="00310E10">
        <w:t xml:space="preserve">se purposes </w:t>
      </w:r>
      <w:r w:rsidR="00D37DDC" w:rsidRPr="005611EC">
        <w:t xml:space="preserve">as </w:t>
      </w:r>
      <w:r w:rsidR="00D37DDC" w:rsidRPr="003E3A6A">
        <w:t>long-term</w:t>
      </w:r>
      <w:r w:rsidR="00D37DDC" w:rsidRPr="005611EC">
        <w:t xml:space="preserve"> outcomes </w:t>
      </w:r>
      <w:r w:rsidR="00622D78">
        <w:t xml:space="preserve">that </w:t>
      </w:r>
      <w:r w:rsidR="00D37DDC" w:rsidRPr="005611EC">
        <w:t>contribut</w:t>
      </w:r>
      <w:r w:rsidR="00622D78">
        <w:t>e</w:t>
      </w:r>
      <w:r w:rsidR="00310E10">
        <w:t>,</w:t>
      </w:r>
      <w:r w:rsidR="00D37DDC" w:rsidRPr="005611EC">
        <w:t xml:space="preserve"> in their turn</w:t>
      </w:r>
      <w:r w:rsidR="00310E10">
        <w:t>,</w:t>
      </w:r>
      <w:r w:rsidR="00D37DDC" w:rsidRPr="005611EC">
        <w:t xml:space="preserve"> to </w:t>
      </w:r>
      <w:r w:rsidR="00310E10">
        <w:t xml:space="preserve">broader </w:t>
      </w:r>
      <w:r w:rsidR="00D37DDC" w:rsidRPr="005611EC">
        <w:t>impacts as set out in the Preamble</w:t>
      </w:r>
      <w:r w:rsidR="00D37DDC">
        <w:t>.</w:t>
      </w:r>
      <w:r w:rsidR="00D37DDC" w:rsidRPr="00524C74" w:rsidDel="00D40005">
        <w:rPr>
          <w:highlight w:val="yellow"/>
        </w:rPr>
        <w:t xml:space="preserve"> </w:t>
      </w:r>
    </w:p>
    <w:p w14:paraId="271EA422" w14:textId="77777777" w:rsidR="00A74D6C" w:rsidRPr="00524C74" w:rsidRDefault="00A74D6C" w:rsidP="00826FE8">
      <w:pPr>
        <w:pStyle w:val="Heading4"/>
        <w:ind w:left="567" w:hanging="567"/>
      </w:pPr>
      <w:r w:rsidRPr="00524C74">
        <w:lastRenderedPageBreak/>
        <w:t>Assessment by Expected Result</w:t>
      </w:r>
    </w:p>
    <w:tbl>
      <w:tblPr>
        <w:tblW w:w="4991"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4210"/>
        <w:gridCol w:w="1709"/>
      </w:tblGrid>
      <w:tr w:rsidR="0032638E" w:rsidRPr="00904AEB" w14:paraId="06513377" w14:textId="77777777" w:rsidTr="00FE3A07">
        <w:tc>
          <w:tcPr>
            <w:tcW w:w="1991" w:type="pct"/>
            <w:shd w:val="clear" w:color="auto" w:fill="C6D9F1"/>
          </w:tcPr>
          <w:p w14:paraId="5D8B630C" w14:textId="77777777" w:rsidR="0032638E" w:rsidRPr="00904AEB" w:rsidRDefault="0032638E" w:rsidP="00FE3A07">
            <w:pPr>
              <w:keepNext/>
              <w:spacing w:before="120" w:after="120"/>
              <w:jc w:val="center"/>
              <w:rPr>
                <w:rFonts w:ascii="Arial" w:eastAsia="Calibri" w:hAnsi="Arial" w:cs="Arial"/>
                <w:b/>
                <w:sz w:val="20"/>
                <w:szCs w:val="20"/>
                <w:lang w:val="en-GB"/>
              </w:rPr>
            </w:pPr>
            <w:r w:rsidRPr="00904AEB">
              <w:rPr>
                <w:rFonts w:ascii="Arial" w:eastAsia="Calibri" w:hAnsi="Arial" w:cs="Arial"/>
                <w:b/>
                <w:sz w:val="20"/>
                <w:szCs w:val="20"/>
                <w:lang w:val="en-GB"/>
              </w:rPr>
              <w:t>Allocation</w:t>
            </w:r>
          </w:p>
        </w:tc>
        <w:tc>
          <w:tcPr>
            <w:tcW w:w="2140" w:type="pct"/>
            <w:shd w:val="clear" w:color="auto" w:fill="C6D9F1"/>
          </w:tcPr>
          <w:p w14:paraId="4763B420" w14:textId="77777777" w:rsidR="0032638E" w:rsidRPr="00904AEB" w:rsidRDefault="0032638E" w:rsidP="00FE3A07">
            <w:pPr>
              <w:keepNext/>
              <w:spacing w:before="120" w:after="120"/>
              <w:jc w:val="center"/>
              <w:rPr>
                <w:rFonts w:ascii="Arial" w:eastAsia="Calibri" w:hAnsi="Arial" w:cs="Arial"/>
                <w:b/>
                <w:sz w:val="20"/>
                <w:szCs w:val="20"/>
                <w:lang w:val="en-GB"/>
              </w:rPr>
            </w:pPr>
            <w:r w:rsidRPr="00904AEB">
              <w:rPr>
                <w:rFonts w:ascii="Arial" w:eastAsia="Calibri" w:hAnsi="Arial" w:cs="Arial"/>
                <w:b/>
                <w:sz w:val="20"/>
                <w:szCs w:val="20"/>
                <w:lang w:val="en-GB"/>
              </w:rPr>
              <w:t>Expenditures</w:t>
            </w:r>
          </w:p>
        </w:tc>
        <w:tc>
          <w:tcPr>
            <w:tcW w:w="869" w:type="pct"/>
            <w:shd w:val="clear" w:color="auto" w:fill="C6D9F1"/>
          </w:tcPr>
          <w:p w14:paraId="570217A0" w14:textId="77777777" w:rsidR="0032638E" w:rsidRPr="00904AEB" w:rsidRDefault="0032638E" w:rsidP="00FE3A07">
            <w:pPr>
              <w:keepNext/>
              <w:spacing w:before="120" w:after="120"/>
              <w:jc w:val="center"/>
              <w:rPr>
                <w:rFonts w:ascii="Arial" w:eastAsia="Calibri" w:hAnsi="Arial" w:cs="Arial"/>
                <w:b/>
                <w:sz w:val="20"/>
                <w:szCs w:val="20"/>
                <w:lang w:val="en-GB"/>
              </w:rPr>
            </w:pPr>
            <w:r w:rsidRPr="00904AEB">
              <w:rPr>
                <w:rFonts w:ascii="Arial" w:eastAsia="Calibri" w:hAnsi="Arial" w:cs="Arial"/>
                <w:b/>
                <w:sz w:val="20"/>
                <w:szCs w:val="20"/>
                <w:lang w:val="en-GB"/>
              </w:rPr>
              <w:t>Exp. Rate %</w:t>
            </w:r>
          </w:p>
        </w:tc>
      </w:tr>
      <w:tr w:rsidR="0032638E" w:rsidRPr="00524C74" w14:paraId="02966171" w14:textId="77777777" w:rsidTr="00FE3A07">
        <w:tc>
          <w:tcPr>
            <w:tcW w:w="1991" w:type="pct"/>
            <w:shd w:val="clear" w:color="auto" w:fill="auto"/>
          </w:tcPr>
          <w:p w14:paraId="743003A4" w14:textId="77777777" w:rsidR="0032638E" w:rsidRPr="00904AEB" w:rsidRDefault="0032638E" w:rsidP="00FE3A07">
            <w:pPr>
              <w:keepNext/>
              <w:spacing w:before="120" w:after="120"/>
              <w:jc w:val="center"/>
              <w:rPr>
                <w:rFonts w:ascii="Arial" w:eastAsia="Calibri" w:hAnsi="Arial" w:cs="Arial"/>
                <w:sz w:val="20"/>
                <w:szCs w:val="20"/>
                <w:lang w:val="en-GB"/>
              </w:rPr>
            </w:pPr>
            <w:r w:rsidRPr="00904AEB">
              <w:rPr>
                <w:rFonts w:ascii="Arial" w:eastAsia="Calibri" w:hAnsi="Arial" w:cs="Arial"/>
                <w:sz w:val="20"/>
                <w:szCs w:val="20"/>
                <w:lang w:val="en-GB"/>
              </w:rPr>
              <w:t>1,590,746.00</w:t>
            </w:r>
            <w:r w:rsidRPr="00904AEB">
              <w:rPr>
                <w:rFonts w:ascii="Arial" w:hAnsi="Arial" w:cs="Arial"/>
                <w:b/>
                <w:bCs/>
                <w:sz w:val="22"/>
                <w:szCs w:val="22"/>
                <w:lang w:val="en-GB"/>
              </w:rPr>
              <w:t xml:space="preserve"> </w:t>
            </w:r>
            <w:r w:rsidRPr="00904AEB">
              <w:rPr>
                <w:rStyle w:val="FootnoteReference"/>
                <w:rFonts w:ascii="Arial" w:eastAsia="Calibri" w:hAnsi="Arial" w:cs="Arial"/>
                <w:sz w:val="20"/>
                <w:szCs w:val="20"/>
                <w:lang w:val="en-GB"/>
              </w:rPr>
              <w:footnoteReference w:id="8"/>
            </w:r>
          </w:p>
        </w:tc>
        <w:tc>
          <w:tcPr>
            <w:tcW w:w="2140" w:type="pct"/>
            <w:shd w:val="clear" w:color="auto" w:fill="auto"/>
          </w:tcPr>
          <w:p w14:paraId="7108993F" w14:textId="77777777" w:rsidR="0032638E" w:rsidRPr="00904AEB" w:rsidRDefault="0032638E" w:rsidP="00FE3A07">
            <w:pPr>
              <w:keepNext/>
              <w:spacing w:before="120" w:after="120"/>
              <w:jc w:val="center"/>
              <w:rPr>
                <w:rFonts w:ascii="Arial" w:eastAsia="Calibri" w:hAnsi="Arial" w:cs="Arial"/>
                <w:sz w:val="20"/>
                <w:szCs w:val="20"/>
                <w:lang w:val="en-GB"/>
              </w:rPr>
            </w:pPr>
            <w:r w:rsidRPr="00904AEB">
              <w:rPr>
                <w:rFonts w:ascii="Arial" w:eastAsia="Calibri" w:hAnsi="Arial" w:cs="Arial"/>
                <w:sz w:val="20"/>
                <w:szCs w:val="20"/>
                <w:lang w:val="en-GB"/>
              </w:rPr>
              <w:t>611,989</w:t>
            </w:r>
            <w:r>
              <w:rPr>
                <w:rFonts w:ascii="Arial" w:eastAsia="Calibri" w:hAnsi="Arial" w:cs="Arial"/>
                <w:sz w:val="20"/>
                <w:szCs w:val="20"/>
                <w:lang w:val="en-GB"/>
              </w:rPr>
              <w:t>.00</w:t>
            </w:r>
          </w:p>
        </w:tc>
        <w:tc>
          <w:tcPr>
            <w:tcW w:w="869" w:type="pct"/>
            <w:shd w:val="clear" w:color="auto" w:fill="auto"/>
          </w:tcPr>
          <w:p w14:paraId="71EBEAAA" w14:textId="77777777" w:rsidR="0032638E" w:rsidRPr="00904AEB" w:rsidRDefault="0032638E" w:rsidP="00FE3A07">
            <w:pPr>
              <w:keepNext/>
              <w:spacing w:before="120" w:after="120"/>
              <w:jc w:val="center"/>
              <w:rPr>
                <w:rFonts w:ascii="Arial" w:eastAsia="Calibri" w:hAnsi="Arial" w:cs="Arial"/>
                <w:sz w:val="20"/>
                <w:szCs w:val="20"/>
                <w:lang w:val="en-GB"/>
              </w:rPr>
            </w:pPr>
            <w:r w:rsidRPr="00904AEB">
              <w:rPr>
                <w:rFonts w:ascii="Arial" w:eastAsia="Calibri" w:hAnsi="Arial" w:cs="Arial"/>
                <w:sz w:val="20"/>
                <w:szCs w:val="20"/>
                <w:lang w:val="en-GB"/>
              </w:rPr>
              <w:t>38.5%</w:t>
            </w:r>
          </w:p>
        </w:tc>
      </w:tr>
    </w:tbl>
    <w:p w14:paraId="5E24CBE5" w14:textId="77777777" w:rsidR="00A74D6C" w:rsidRPr="00524C74" w:rsidRDefault="00A74D6C" w:rsidP="00C02163">
      <w:pPr>
        <w:keepNext/>
        <w:spacing w:before="240" w:after="120"/>
        <w:ind w:left="851" w:hanging="851"/>
        <w:jc w:val="both"/>
        <w:rPr>
          <w:rFonts w:ascii="Arial" w:hAnsi="Arial" w:cs="Arial"/>
          <w:b/>
          <w:bCs/>
          <w:sz w:val="22"/>
          <w:szCs w:val="22"/>
          <w:lang w:val="en-GB"/>
        </w:rPr>
      </w:pPr>
      <w:r w:rsidRPr="00524C74">
        <w:rPr>
          <w:rFonts w:ascii="Arial" w:hAnsi="Arial" w:cs="Arial"/>
          <w:b/>
          <w:sz w:val="22"/>
          <w:szCs w:val="22"/>
          <w:lang w:val="en-GB"/>
        </w:rPr>
        <w:t>ER 1:</w:t>
      </w:r>
      <w:r w:rsidRPr="00524C74">
        <w:rPr>
          <w:rFonts w:ascii="Arial" w:hAnsi="Arial" w:cs="Arial"/>
          <w:b/>
          <w:sz w:val="22"/>
          <w:szCs w:val="22"/>
          <w:lang w:val="en-GB"/>
        </w:rPr>
        <w:tab/>
      </w:r>
      <w:r w:rsidR="008A057C" w:rsidRPr="00524C74">
        <w:rPr>
          <w:rFonts w:ascii="Arial" w:hAnsi="Arial" w:cs="Arial"/>
          <w:b/>
          <w:bCs/>
          <w:sz w:val="22"/>
          <w:szCs w:val="22"/>
          <w:lang w:val="en-GB"/>
        </w:rPr>
        <w:t>Sound governance of the 2003 Convention facilitated by enhanced knowledge management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4176"/>
        <w:gridCol w:w="1711"/>
      </w:tblGrid>
      <w:tr w:rsidR="0032638E" w:rsidRPr="00524C74" w14:paraId="2492AEAC" w14:textId="77777777" w:rsidTr="00FE3A07">
        <w:tc>
          <w:tcPr>
            <w:tcW w:w="2013" w:type="pct"/>
            <w:shd w:val="clear" w:color="auto" w:fill="C6D9F1"/>
          </w:tcPr>
          <w:p w14:paraId="44AEF19A" w14:textId="77777777" w:rsidR="0032638E" w:rsidRPr="00524C74" w:rsidRDefault="0032638E" w:rsidP="00FE3A07">
            <w:pPr>
              <w:keepNext/>
              <w:spacing w:before="120" w:after="120"/>
              <w:jc w:val="center"/>
              <w:rPr>
                <w:rFonts w:ascii="Arial" w:eastAsia="Calibri" w:hAnsi="Arial" w:cs="Arial"/>
                <w:b/>
                <w:sz w:val="20"/>
                <w:szCs w:val="20"/>
                <w:lang w:val="en-GB"/>
              </w:rPr>
            </w:pPr>
            <w:r w:rsidRPr="00524C74">
              <w:rPr>
                <w:rFonts w:ascii="Arial" w:eastAsia="Calibri" w:hAnsi="Arial" w:cs="Arial"/>
                <w:b/>
                <w:sz w:val="20"/>
                <w:szCs w:val="20"/>
                <w:lang w:val="en-GB"/>
              </w:rPr>
              <w:t>Allocation</w:t>
            </w:r>
          </w:p>
        </w:tc>
        <w:tc>
          <w:tcPr>
            <w:tcW w:w="2119" w:type="pct"/>
            <w:shd w:val="clear" w:color="auto" w:fill="C6D9F1"/>
          </w:tcPr>
          <w:p w14:paraId="06777086" w14:textId="77777777" w:rsidR="0032638E" w:rsidRPr="00524C74" w:rsidRDefault="0032638E" w:rsidP="00FE3A07">
            <w:pPr>
              <w:spacing w:before="120" w:after="120"/>
              <w:jc w:val="center"/>
              <w:rPr>
                <w:rFonts w:ascii="Arial" w:eastAsia="Calibri" w:hAnsi="Arial" w:cs="Arial"/>
                <w:b/>
                <w:sz w:val="20"/>
                <w:szCs w:val="20"/>
                <w:lang w:val="en-GB"/>
              </w:rPr>
            </w:pPr>
            <w:r w:rsidRPr="00524C74">
              <w:rPr>
                <w:rFonts w:ascii="Arial" w:eastAsia="Calibri" w:hAnsi="Arial" w:cs="Arial"/>
                <w:b/>
                <w:sz w:val="20"/>
                <w:szCs w:val="20"/>
                <w:lang w:val="en-GB"/>
              </w:rPr>
              <w:t>Expenditures</w:t>
            </w:r>
          </w:p>
        </w:tc>
        <w:tc>
          <w:tcPr>
            <w:tcW w:w="868" w:type="pct"/>
            <w:shd w:val="clear" w:color="auto" w:fill="C6D9F1"/>
          </w:tcPr>
          <w:p w14:paraId="2F247469" w14:textId="77777777" w:rsidR="0032638E" w:rsidRPr="00524C74" w:rsidRDefault="0032638E" w:rsidP="00FE3A07">
            <w:pPr>
              <w:spacing w:before="120" w:after="120"/>
              <w:jc w:val="center"/>
              <w:rPr>
                <w:rFonts w:ascii="Arial" w:eastAsia="Calibri" w:hAnsi="Arial" w:cs="Arial"/>
                <w:b/>
                <w:sz w:val="20"/>
                <w:szCs w:val="20"/>
                <w:lang w:val="en-GB"/>
              </w:rPr>
            </w:pPr>
            <w:r w:rsidRPr="00524C74">
              <w:rPr>
                <w:rFonts w:ascii="Arial" w:eastAsia="Calibri" w:hAnsi="Arial" w:cs="Arial"/>
                <w:b/>
                <w:sz w:val="20"/>
                <w:szCs w:val="20"/>
                <w:lang w:val="en-GB"/>
              </w:rPr>
              <w:t>Exp. Rate %</w:t>
            </w:r>
          </w:p>
        </w:tc>
      </w:tr>
      <w:tr w:rsidR="0032638E" w:rsidRPr="00524C74" w14:paraId="799380B6" w14:textId="77777777" w:rsidTr="00FE3A07">
        <w:tc>
          <w:tcPr>
            <w:tcW w:w="2013" w:type="pct"/>
            <w:shd w:val="clear" w:color="auto" w:fill="auto"/>
          </w:tcPr>
          <w:p w14:paraId="2A43BDC0" w14:textId="77777777" w:rsidR="0032638E" w:rsidRPr="00524C74" w:rsidRDefault="0032638E" w:rsidP="00FE3A07">
            <w:pPr>
              <w:spacing w:before="120" w:after="120"/>
              <w:jc w:val="center"/>
              <w:rPr>
                <w:rFonts w:ascii="Arial" w:eastAsia="Calibri" w:hAnsi="Arial" w:cs="Arial"/>
                <w:sz w:val="20"/>
                <w:szCs w:val="20"/>
                <w:lang w:val="en-GB"/>
              </w:rPr>
            </w:pPr>
            <w:r w:rsidRPr="00524C74">
              <w:rPr>
                <w:rFonts w:ascii="Arial" w:eastAsia="Calibri" w:hAnsi="Arial" w:cs="Arial"/>
                <w:sz w:val="20"/>
                <w:szCs w:val="20"/>
                <w:lang w:val="en-GB"/>
              </w:rPr>
              <w:t>386,900.00</w:t>
            </w:r>
          </w:p>
        </w:tc>
        <w:tc>
          <w:tcPr>
            <w:tcW w:w="2119" w:type="pct"/>
            <w:shd w:val="clear" w:color="auto" w:fill="auto"/>
          </w:tcPr>
          <w:p w14:paraId="03D32A3F" w14:textId="77777777" w:rsidR="0032638E" w:rsidRPr="00524C74" w:rsidRDefault="0032638E" w:rsidP="00FE3A07">
            <w:pPr>
              <w:spacing w:before="120" w:after="120"/>
              <w:jc w:val="center"/>
              <w:rPr>
                <w:rFonts w:ascii="Arial" w:eastAsia="Calibri" w:hAnsi="Arial" w:cs="Arial"/>
                <w:sz w:val="20"/>
                <w:szCs w:val="20"/>
                <w:lang w:val="en-GB"/>
              </w:rPr>
            </w:pPr>
            <w:r>
              <w:rPr>
                <w:rFonts w:ascii="Arial" w:eastAsia="Calibri" w:hAnsi="Arial" w:cs="Arial"/>
                <w:sz w:val="20"/>
                <w:szCs w:val="20"/>
                <w:lang w:val="en-GB"/>
              </w:rPr>
              <w:t>200,180.18</w:t>
            </w:r>
          </w:p>
        </w:tc>
        <w:tc>
          <w:tcPr>
            <w:tcW w:w="868" w:type="pct"/>
            <w:shd w:val="clear" w:color="auto" w:fill="auto"/>
          </w:tcPr>
          <w:p w14:paraId="57086EE7" w14:textId="77777777" w:rsidR="0032638E" w:rsidRPr="00524C74" w:rsidRDefault="0032638E" w:rsidP="00FE3A07">
            <w:pPr>
              <w:spacing w:before="120" w:after="120"/>
              <w:jc w:val="center"/>
              <w:rPr>
                <w:rFonts w:ascii="Arial" w:eastAsia="Calibri" w:hAnsi="Arial" w:cs="Arial"/>
                <w:sz w:val="20"/>
                <w:szCs w:val="20"/>
                <w:lang w:val="en-GB"/>
              </w:rPr>
            </w:pPr>
            <w:r>
              <w:rPr>
                <w:rFonts w:ascii="Arial" w:eastAsia="Calibri" w:hAnsi="Arial" w:cs="Arial"/>
                <w:sz w:val="20"/>
                <w:szCs w:val="20"/>
                <w:lang w:val="en-GB"/>
              </w:rPr>
              <w:t>51.7</w:t>
            </w:r>
            <w:r w:rsidRPr="00524C74">
              <w:rPr>
                <w:rFonts w:ascii="Arial" w:eastAsia="Calibri" w:hAnsi="Arial" w:cs="Arial"/>
                <w:sz w:val="20"/>
                <w:szCs w:val="20"/>
                <w:lang w:val="en-GB"/>
              </w:rPr>
              <w:t>%</w:t>
            </w:r>
          </w:p>
        </w:tc>
      </w:tr>
    </w:tbl>
    <w:p w14:paraId="2ABDBC6E" w14:textId="77777777" w:rsidR="00A74D6C" w:rsidRPr="00524C74" w:rsidRDefault="00A74D6C" w:rsidP="005F7CB2">
      <w:pPr>
        <w:spacing w:before="120" w:after="120"/>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4025"/>
        <w:gridCol w:w="1796"/>
      </w:tblGrid>
      <w:tr w:rsidR="00C2282C" w:rsidRPr="00524C74" w14:paraId="1BAB7924" w14:textId="77777777" w:rsidTr="0032638E">
        <w:trPr>
          <w:tblHeader/>
        </w:trPr>
        <w:tc>
          <w:tcPr>
            <w:tcW w:w="0" w:type="auto"/>
            <w:shd w:val="clear" w:color="auto" w:fill="D9D9D9"/>
            <w:vAlign w:val="center"/>
          </w:tcPr>
          <w:p w14:paraId="4BF29A9B" w14:textId="77777777" w:rsidR="00C2282C" w:rsidRPr="00524C74" w:rsidRDefault="00C2282C" w:rsidP="0032638E">
            <w:pPr>
              <w:spacing w:before="60" w:after="60"/>
              <w:jc w:val="center"/>
              <w:rPr>
                <w:rFonts w:ascii="Arial" w:eastAsia="Calibri" w:hAnsi="Arial" w:cs="Arial"/>
                <w:b/>
                <w:sz w:val="20"/>
                <w:szCs w:val="20"/>
                <w:lang w:val="en-GB"/>
              </w:rPr>
            </w:pPr>
            <w:r w:rsidRPr="00524C74">
              <w:rPr>
                <w:rFonts w:ascii="Arial" w:eastAsia="Calibri" w:hAnsi="Arial" w:cs="Arial"/>
                <w:b/>
                <w:sz w:val="20"/>
                <w:szCs w:val="20"/>
                <w:lang w:val="en-GB"/>
              </w:rPr>
              <w:t>Output (O)</w:t>
            </w:r>
            <w:r w:rsidRPr="00524C74">
              <w:rPr>
                <w:rFonts w:ascii="Arial" w:eastAsia="Calibri" w:hAnsi="Arial" w:cs="Arial"/>
                <w:b/>
                <w:sz w:val="20"/>
                <w:szCs w:val="20"/>
                <w:lang w:val="en-GB"/>
              </w:rPr>
              <w:br/>
              <w:t>Indicators/Benchmark (B)</w:t>
            </w:r>
          </w:p>
        </w:tc>
        <w:tc>
          <w:tcPr>
            <w:tcW w:w="4025" w:type="dxa"/>
            <w:shd w:val="clear" w:color="auto" w:fill="D9D9D9"/>
            <w:vAlign w:val="center"/>
          </w:tcPr>
          <w:p w14:paraId="35221390" w14:textId="77777777" w:rsidR="00C2282C" w:rsidRPr="00524C74" w:rsidRDefault="00C2282C" w:rsidP="0032638E">
            <w:pPr>
              <w:spacing w:before="60" w:after="60"/>
              <w:jc w:val="center"/>
              <w:rPr>
                <w:rFonts w:ascii="Arial" w:eastAsia="Calibri" w:hAnsi="Arial" w:cs="Arial"/>
                <w:b/>
                <w:sz w:val="20"/>
                <w:szCs w:val="20"/>
                <w:lang w:val="en-GB"/>
              </w:rPr>
            </w:pPr>
            <w:r w:rsidRPr="00524C74">
              <w:rPr>
                <w:rFonts w:ascii="Arial" w:eastAsia="Calibri" w:hAnsi="Arial" w:cs="Arial"/>
                <w:b/>
                <w:sz w:val="20"/>
                <w:szCs w:val="20"/>
                <w:lang w:val="en-GB"/>
              </w:rPr>
              <w:t>Assessment of progress:</w:t>
            </w:r>
            <w:r w:rsidRPr="00524C74">
              <w:rPr>
                <w:rFonts w:ascii="Arial" w:eastAsia="Calibri" w:hAnsi="Arial" w:cs="Arial"/>
                <w:b/>
                <w:sz w:val="20"/>
                <w:szCs w:val="20"/>
                <w:lang w:val="en-GB"/>
              </w:rPr>
              <w:br/>
              <w:t>01/01/201</w:t>
            </w:r>
            <w:r w:rsidR="006408A8" w:rsidRPr="00524C74">
              <w:rPr>
                <w:rFonts w:ascii="Arial" w:eastAsia="Calibri" w:hAnsi="Arial" w:cs="Arial"/>
                <w:b/>
                <w:sz w:val="20"/>
                <w:szCs w:val="20"/>
                <w:lang w:val="en-GB"/>
              </w:rPr>
              <w:t>6</w:t>
            </w:r>
            <w:r w:rsidRPr="00524C74">
              <w:rPr>
                <w:rFonts w:ascii="Arial" w:eastAsia="Calibri" w:hAnsi="Arial" w:cs="Arial"/>
                <w:b/>
                <w:sz w:val="20"/>
                <w:szCs w:val="20"/>
                <w:lang w:val="en-GB"/>
              </w:rPr>
              <w:t xml:space="preserve"> to 31/12/201</w:t>
            </w:r>
            <w:r w:rsidR="006408A8" w:rsidRPr="00524C74">
              <w:rPr>
                <w:rFonts w:ascii="Arial" w:eastAsia="Calibri" w:hAnsi="Arial" w:cs="Arial"/>
                <w:b/>
                <w:sz w:val="20"/>
                <w:szCs w:val="20"/>
                <w:lang w:val="en-GB"/>
              </w:rPr>
              <w:t>6</w:t>
            </w:r>
          </w:p>
        </w:tc>
        <w:tc>
          <w:tcPr>
            <w:tcW w:w="1796" w:type="dxa"/>
            <w:shd w:val="clear" w:color="auto" w:fill="D9D9D9"/>
            <w:vAlign w:val="center"/>
          </w:tcPr>
          <w:p w14:paraId="77553A53" w14:textId="77777777" w:rsidR="00C2282C" w:rsidRPr="00524C74" w:rsidRDefault="00C2282C" w:rsidP="0032638E">
            <w:pPr>
              <w:spacing w:before="60" w:after="60"/>
              <w:jc w:val="center"/>
              <w:rPr>
                <w:rFonts w:ascii="Arial" w:eastAsia="Calibri" w:hAnsi="Arial" w:cs="Arial"/>
                <w:b/>
                <w:sz w:val="20"/>
                <w:szCs w:val="20"/>
                <w:lang w:val="en-GB"/>
              </w:rPr>
            </w:pPr>
            <w:r w:rsidRPr="00524C74">
              <w:rPr>
                <w:rFonts w:ascii="Arial" w:eastAsia="Calibri" w:hAnsi="Arial" w:cs="Arial"/>
                <w:b/>
                <w:sz w:val="20"/>
                <w:szCs w:val="20"/>
                <w:lang w:val="en-GB"/>
              </w:rPr>
              <w:t>Assessment of implementation</w:t>
            </w:r>
          </w:p>
        </w:tc>
      </w:tr>
      <w:tr w:rsidR="0032638E" w:rsidRPr="00524C74" w14:paraId="2CE51E86" w14:textId="77777777" w:rsidTr="0032638E">
        <w:tc>
          <w:tcPr>
            <w:tcW w:w="0" w:type="auto"/>
            <w:shd w:val="clear" w:color="auto" w:fill="auto"/>
          </w:tcPr>
          <w:p w14:paraId="1C531EA4" w14:textId="77777777" w:rsidR="0032638E" w:rsidRPr="00524C74" w:rsidRDefault="0032638E" w:rsidP="0032638E">
            <w:pPr>
              <w:spacing w:before="60" w:after="60"/>
              <w:rPr>
                <w:rFonts w:ascii="Arial" w:eastAsia="Calibri" w:hAnsi="Arial" w:cs="Arial"/>
                <w:b/>
                <w:sz w:val="20"/>
                <w:szCs w:val="20"/>
                <w:lang w:val="en-GB"/>
              </w:rPr>
            </w:pPr>
            <w:r w:rsidRPr="00524C74">
              <w:rPr>
                <w:rFonts w:ascii="Arial" w:eastAsia="Calibri" w:hAnsi="Arial" w:cs="Arial"/>
                <w:b/>
                <w:sz w:val="20"/>
                <w:szCs w:val="20"/>
                <w:lang w:val="en-GB"/>
              </w:rPr>
              <w:t>O:</w:t>
            </w:r>
          </w:p>
          <w:p w14:paraId="3BCB34C6" w14:textId="77777777" w:rsidR="0032638E" w:rsidRPr="00524C74" w:rsidRDefault="0032638E" w:rsidP="0032638E">
            <w:pPr>
              <w:spacing w:before="60" w:after="60"/>
              <w:rPr>
                <w:rFonts w:ascii="Arial" w:eastAsia="Calibri" w:hAnsi="Arial" w:cs="Arial"/>
                <w:sz w:val="20"/>
                <w:szCs w:val="20"/>
                <w:lang w:val="en-GB"/>
              </w:rPr>
            </w:pPr>
            <w:r w:rsidRPr="00524C74">
              <w:rPr>
                <w:rFonts w:ascii="Arial" w:eastAsia="Calibri" w:hAnsi="Arial" w:cs="Arial"/>
                <w:sz w:val="20"/>
                <w:szCs w:val="20"/>
                <w:lang w:val="en-GB"/>
              </w:rPr>
              <w:t>External and internal access to information increased and processes, workflows and response time optimized thanks to monitoring interfaces</w:t>
            </w:r>
          </w:p>
          <w:p w14:paraId="7DB4566F" w14:textId="77777777" w:rsidR="0032638E" w:rsidRPr="00524C74" w:rsidRDefault="0032638E" w:rsidP="0032638E">
            <w:pPr>
              <w:spacing w:before="60" w:after="60"/>
              <w:rPr>
                <w:rFonts w:ascii="Arial" w:hAnsi="Arial" w:cs="Arial"/>
                <w:b/>
                <w:sz w:val="20"/>
                <w:szCs w:val="20"/>
                <w:lang w:val="en-GB"/>
              </w:rPr>
            </w:pPr>
            <w:r w:rsidRPr="00524C74">
              <w:rPr>
                <w:rFonts w:ascii="Arial" w:hAnsi="Arial" w:cs="Arial"/>
                <w:b/>
                <w:sz w:val="20"/>
                <w:szCs w:val="20"/>
                <w:lang w:val="en-GB"/>
              </w:rPr>
              <w:t>B 2016-2017:</w:t>
            </w:r>
          </w:p>
          <w:p w14:paraId="0A64DD9C" w14:textId="77777777" w:rsidR="0032638E" w:rsidRPr="00524C74" w:rsidRDefault="0032638E" w:rsidP="0032638E">
            <w:pPr>
              <w:spacing w:before="60" w:after="60"/>
              <w:rPr>
                <w:rFonts w:ascii="Arial" w:eastAsia="Calibri" w:hAnsi="Arial" w:cs="Arial"/>
                <w:sz w:val="20"/>
                <w:szCs w:val="20"/>
                <w:lang w:val="en-GB"/>
              </w:rPr>
            </w:pPr>
            <w:r w:rsidRPr="00524C74">
              <w:rPr>
                <w:rFonts w:ascii="Arial" w:eastAsia="Calibri" w:hAnsi="Arial" w:cs="Arial"/>
                <w:sz w:val="20"/>
                <w:szCs w:val="20"/>
                <w:lang w:val="en-GB"/>
              </w:rPr>
              <w:t>Number of monitoring interfaces (B=3)</w:t>
            </w:r>
          </w:p>
        </w:tc>
        <w:tc>
          <w:tcPr>
            <w:tcW w:w="4025" w:type="dxa"/>
            <w:shd w:val="clear" w:color="auto" w:fill="auto"/>
          </w:tcPr>
          <w:p w14:paraId="5A9651C2" w14:textId="77777777" w:rsidR="0032638E" w:rsidRPr="00904AEB" w:rsidRDefault="0032638E" w:rsidP="0032638E">
            <w:pPr>
              <w:pStyle w:val="ListParagraph"/>
              <w:numPr>
                <w:ilvl w:val="0"/>
                <w:numId w:val="27"/>
              </w:numPr>
              <w:spacing w:before="60" w:after="60"/>
              <w:ind w:left="357" w:hanging="357"/>
              <w:contextualSpacing w:val="0"/>
              <w:rPr>
                <w:rFonts w:ascii="Arial" w:eastAsia="Calibri" w:hAnsi="Arial" w:cs="Arial"/>
                <w:sz w:val="20"/>
                <w:szCs w:val="20"/>
                <w:lang w:val="en-GB"/>
              </w:rPr>
            </w:pPr>
            <w:r w:rsidRPr="00904AEB">
              <w:rPr>
                <w:rFonts w:ascii="Arial" w:eastAsia="Calibri" w:hAnsi="Arial" w:cs="Arial"/>
                <w:sz w:val="20"/>
                <w:szCs w:val="20"/>
                <w:lang w:val="en-GB"/>
              </w:rPr>
              <w:t xml:space="preserve">Periodic reporting monitoring interface released including general overview, summaries, upcoming deadlines, link to the pages of </w:t>
            </w:r>
            <w:r w:rsidRPr="00CC30BD">
              <w:rPr>
                <w:rFonts w:ascii="Arial" w:eastAsia="Calibri" w:hAnsi="Arial" w:cs="Arial"/>
                <w:sz w:val="20"/>
                <w:szCs w:val="20"/>
                <w:lang w:val="en-GB"/>
              </w:rPr>
              <w:t xml:space="preserve">inscribed </w:t>
            </w:r>
            <w:r w:rsidRPr="00904AEB">
              <w:rPr>
                <w:rFonts w:ascii="Arial" w:eastAsia="Calibri" w:hAnsi="Arial" w:cs="Arial"/>
                <w:sz w:val="20"/>
                <w:szCs w:val="20"/>
                <w:lang w:val="en-GB"/>
              </w:rPr>
              <w:t xml:space="preserve">elements, Committee thematic analyses </w:t>
            </w:r>
          </w:p>
          <w:p w14:paraId="53CB6022" w14:textId="77777777" w:rsidR="0032638E" w:rsidRPr="00524C74" w:rsidRDefault="0032638E" w:rsidP="0032638E">
            <w:pPr>
              <w:pStyle w:val="ListParagraph"/>
              <w:numPr>
                <w:ilvl w:val="0"/>
                <w:numId w:val="27"/>
              </w:numPr>
              <w:spacing w:before="60" w:after="60"/>
              <w:ind w:left="357" w:hanging="357"/>
              <w:contextualSpacing w:val="0"/>
              <w:rPr>
                <w:rFonts w:ascii="Arial" w:eastAsia="Calibri" w:hAnsi="Arial" w:cs="Arial"/>
                <w:sz w:val="20"/>
                <w:szCs w:val="20"/>
                <w:lang w:val="en-GB"/>
              </w:rPr>
            </w:pPr>
            <w:r>
              <w:rPr>
                <w:rFonts w:ascii="Arial" w:eastAsia="Calibri" w:hAnsi="Arial" w:cs="Arial"/>
                <w:sz w:val="20"/>
                <w:szCs w:val="20"/>
                <w:lang w:val="en-GB"/>
              </w:rPr>
              <w:t>D</w:t>
            </w:r>
            <w:r w:rsidRPr="00377291">
              <w:rPr>
                <w:rFonts w:ascii="Arial" w:eastAsia="Calibri" w:hAnsi="Arial" w:cs="Arial"/>
                <w:sz w:val="20"/>
                <w:szCs w:val="20"/>
                <w:lang w:val="en-GB"/>
              </w:rPr>
              <w:t>ashboard consolidating information on diverse tasks to be performed by the Secretariat</w:t>
            </w:r>
          </w:p>
        </w:tc>
        <w:tc>
          <w:tcPr>
            <w:tcW w:w="1796" w:type="dxa"/>
          </w:tcPr>
          <w:p w14:paraId="3C33DE54" w14:textId="77777777" w:rsidR="0032638E" w:rsidRPr="00524C74" w:rsidRDefault="0032638E" w:rsidP="0032638E">
            <w:pPr>
              <w:pStyle w:val="ListParagraph"/>
              <w:spacing w:before="60" w:after="60"/>
              <w:ind w:left="19"/>
              <w:contextualSpacing w:val="0"/>
              <w:jc w:val="center"/>
              <w:rPr>
                <w:rFonts w:ascii="Arial" w:eastAsia="Calibri" w:hAnsi="Arial" w:cs="Arial"/>
                <w:sz w:val="20"/>
                <w:szCs w:val="20"/>
                <w:lang w:val="en-GB"/>
              </w:rPr>
            </w:pPr>
            <w:r w:rsidRPr="00524C74">
              <w:rPr>
                <w:rFonts w:ascii="Arial" w:eastAsia="Calibri" w:hAnsi="Arial" w:cs="Arial"/>
                <w:sz w:val="20"/>
                <w:szCs w:val="20"/>
                <w:lang w:val="en-GB"/>
              </w:rPr>
              <w:t>Partially accomplished</w:t>
            </w:r>
          </w:p>
        </w:tc>
      </w:tr>
      <w:tr w:rsidR="0032638E" w:rsidRPr="00524C74" w14:paraId="54DBD66B" w14:textId="77777777" w:rsidTr="0032638E">
        <w:tc>
          <w:tcPr>
            <w:tcW w:w="0" w:type="auto"/>
            <w:shd w:val="clear" w:color="auto" w:fill="auto"/>
          </w:tcPr>
          <w:p w14:paraId="6CD0C4A2" w14:textId="77777777" w:rsidR="0032638E" w:rsidRPr="00524C74" w:rsidRDefault="0032638E" w:rsidP="0032638E">
            <w:pPr>
              <w:spacing w:before="60" w:after="60"/>
              <w:rPr>
                <w:rFonts w:ascii="Arial" w:eastAsia="Calibri" w:hAnsi="Arial" w:cs="Arial"/>
                <w:b/>
                <w:sz w:val="20"/>
                <w:szCs w:val="20"/>
                <w:lang w:val="en-GB"/>
              </w:rPr>
            </w:pPr>
            <w:r w:rsidRPr="00524C74">
              <w:rPr>
                <w:rFonts w:ascii="Arial" w:eastAsia="Calibri" w:hAnsi="Arial" w:cs="Arial"/>
                <w:b/>
                <w:sz w:val="20"/>
                <w:szCs w:val="20"/>
                <w:lang w:val="en-GB"/>
              </w:rPr>
              <w:t>O:</w:t>
            </w:r>
          </w:p>
          <w:p w14:paraId="20145F68" w14:textId="77777777" w:rsidR="0032638E" w:rsidRPr="00524C74" w:rsidRDefault="0032638E" w:rsidP="0032638E">
            <w:pPr>
              <w:spacing w:before="60" w:after="60"/>
              <w:rPr>
                <w:rFonts w:ascii="Arial" w:eastAsia="Calibri" w:hAnsi="Arial" w:cs="Arial"/>
                <w:sz w:val="20"/>
                <w:szCs w:val="20"/>
                <w:lang w:val="en-GB"/>
              </w:rPr>
            </w:pPr>
            <w:r w:rsidRPr="00524C74">
              <w:rPr>
                <w:rFonts w:ascii="Arial" w:eastAsia="Calibri" w:hAnsi="Arial" w:cs="Arial"/>
                <w:sz w:val="20"/>
                <w:szCs w:val="20"/>
                <w:lang w:val="en-GB"/>
              </w:rPr>
              <w:t>Improved accessibility and usability of Convention documents and decisions; better indexing and improved search capacities</w:t>
            </w:r>
          </w:p>
          <w:p w14:paraId="489CE9A1" w14:textId="77777777" w:rsidR="0032638E" w:rsidRPr="00524C74" w:rsidRDefault="0032638E" w:rsidP="0032638E">
            <w:pPr>
              <w:spacing w:before="60" w:after="60"/>
              <w:rPr>
                <w:rFonts w:ascii="Arial" w:hAnsi="Arial" w:cs="Arial"/>
                <w:b/>
                <w:sz w:val="20"/>
                <w:szCs w:val="20"/>
                <w:lang w:val="en-GB"/>
              </w:rPr>
            </w:pPr>
            <w:r w:rsidRPr="00524C74">
              <w:rPr>
                <w:rFonts w:ascii="Arial" w:hAnsi="Arial" w:cs="Arial"/>
                <w:b/>
                <w:sz w:val="20"/>
                <w:szCs w:val="20"/>
                <w:lang w:val="en-GB"/>
              </w:rPr>
              <w:t>B 2016-2017:</w:t>
            </w:r>
          </w:p>
          <w:p w14:paraId="46BB9EF4" w14:textId="77777777" w:rsidR="0032638E" w:rsidRPr="00524C74" w:rsidRDefault="0032638E" w:rsidP="0032638E">
            <w:pPr>
              <w:spacing w:before="60" w:after="60"/>
              <w:rPr>
                <w:rFonts w:ascii="Arial" w:eastAsia="Calibri" w:hAnsi="Arial" w:cs="Arial"/>
                <w:sz w:val="20"/>
                <w:szCs w:val="20"/>
                <w:lang w:val="en-GB"/>
              </w:rPr>
            </w:pPr>
            <w:r w:rsidRPr="00524C74">
              <w:rPr>
                <w:rFonts w:ascii="Arial" w:eastAsia="Calibri" w:hAnsi="Arial" w:cs="Arial"/>
                <w:sz w:val="20"/>
                <w:szCs w:val="20"/>
                <w:lang w:val="en-GB"/>
              </w:rPr>
              <w:t>Number of additional decision documents loaded in UNESDOC (B=8)</w:t>
            </w:r>
          </w:p>
          <w:p w14:paraId="26CDCBD6" w14:textId="77777777" w:rsidR="0032638E" w:rsidRPr="00524C74" w:rsidRDefault="0032638E" w:rsidP="0032638E">
            <w:pPr>
              <w:spacing w:before="60" w:after="60"/>
              <w:rPr>
                <w:rFonts w:ascii="Arial" w:eastAsia="Calibri" w:hAnsi="Arial" w:cs="Arial"/>
                <w:sz w:val="20"/>
                <w:szCs w:val="20"/>
                <w:lang w:val="en-GB"/>
              </w:rPr>
            </w:pPr>
            <w:r w:rsidRPr="00524C74">
              <w:rPr>
                <w:rFonts w:ascii="Arial" w:eastAsia="Calibri" w:hAnsi="Arial" w:cs="Arial"/>
                <w:sz w:val="20"/>
                <w:szCs w:val="20"/>
                <w:lang w:val="en-GB"/>
              </w:rPr>
              <w:t>Number of additional decisions/resolutions referenced in the KMS (B=70)</w:t>
            </w:r>
          </w:p>
        </w:tc>
        <w:tc>
          <w:tcPr>
            <w:tcW w:w="4025" w:type="dxa"/>
            <w:shd w:val="clear" w:color="auto" w:fill="auto"/>
          </w:tcPr>
          <w:p w14:paraId="40119860" w14:textId="77777777" w:rsidR="0032638E" w:rsidRPr="00524C74" w:rsidRDefault="0032638E" w:rsidP="0032638E">
            <w:pPr>
              <w:pStyle w:val="ListParagraph"/>
              <w:numPr>
                <w:ilvl w:val="0"/>
                <w:numId w:val="27"/>
              </w:numPr>
              <w:spacing w:before="60" w:after="60"/>
              <w:ind w:left="357" w:hanging="357"/>
              <w:contextualSpacing w:val="0"/>
              <w:rPr>
                <w:rFonts w:ascii="Arial" w:eastAsia="Calibri" w:hAnsi="Arial" w:cs="Arial"/>
                <w:sz w:val="20"/>
                <w:szCs w:val="20"/>
                <w:lang w:val="en-GB"/>
              </w:rPr>
            </w:pPr>
            <w:r w:rsidRPr="00524C74">
              <w:rPr>
                <w:rFonts w:ascii="Arial" w:eastAsia="Calibri" w:hAnsi="Arial" w:cs="Arial"/>
                <w:sz w:val="20"/>
                <w:szCs w:val="20"/>
                <w:lang w:val="en-GB"/>
              </w:rPr>
              <w:t>4 additional decision documents loaded in UNESDOC (4.EXT.COM</w:t>
            </w:r>
            <w:r>
              <w:rPr>
                <w:rFonts w:ascii="Arial" w:eastAsia="Calibri" w:hAnsi="Arial" w:cs="Arial"/>
                <w:sz w:val="20"/>
                <w:szCs w:val="20"/>
                <w:lang w:val="en-GB"/>
              </w:rPr>
              <w:t>;</w:t>
            </w:r>
            <w:r w:rsidRPr="00524C74">
              <w:rPr>
                <w:rFonts w:ascii="Arial" w:eastAsia="Calibri" w:hAnsi="Arial" w:cs="Arial"/>
                <w:sz w:val="20"/>
                <w:szCs w:val="20"/>
                <w:lang w:val="en-GB"/>
              </w:rPr>
              <w:t xml:space="preserve"> 7.COM</w:t>
            </w:r>
            <w:r>
              <w:rPr>
                <w:rFonts w:ascii="Arial" w:eastAsia="Calibri" w:hAnsi="Arial" w:cs="Arial"/>
                <w:sz w:val="20"/>
                <w:szCs w:val="20"/>
                <w:lang w:val="en-GB"/>
              </w:rPr>
              <w:t xml:space="preserve">; </w:t>
            </w:r>
            <w:r w:rsidRPr="00524C74">
              <w:rPr>
                <w:rFonts w:ascii="Arial" w:eastAsia="Calibri" w:hAnsi="Arial" w:cs="Arial"/>
                <w:sz w:val="20"/>
                <w:szCs w:val="20"/>
                <w:lang w:val="en-GB"/>
              </w:rPr>
              <w:t>4.GA</w:t>
            </w:r>
            <w:r>
              <w:rPr>
                <w:rFonts w:ascii="Arial" w:eastAsia="Calibri" w:hAnsi="Arial" w:cs="Arial"/>
                <w:sz w:val="20"/>
                <w:szCs w:val="20"/>
                <w:lang w:val="en-GB"/>
              </w:rPr>
              <w:t xml:space="preserve"> and </w:t>
            </w:r>
            <w:r w:rsidRPr="00524C74">
              <w:rPr>
                <w:rFonts w:ascii="Arial" w:eastAsia="Calibri" w:hAnsi="Arial" w:cs="Arial"/>
                <w:sz w:val="20"/>
                <w:szCs w:val="20"/>
                <w:lang w:val="en-GB"/>
              </w:rPr>
              <w:t xml:space="preserve">5.GA) </w:t>
            </w:r>
          </w:p>
          <w:p w14:paraId="7E0F6739" w14:textId="77777777" w:rsidR="0032638E" w:rsidRPr="00524C74" w:rsidRDefault="0032638E" w:rsidP="0032638E">
            <w:pPr>
              <w:pStyle w:val="ListParagraph"/>
              <w:numPr>
                <w:ilvl w:val="0"/>
                <w:numId w:val="27"/>
              </w:numPr>
              <w:spacing w:before="60" w:after="60"/>
              <w:ind w:left="357" w:hanging="357"/>
              <w:contextualSpacing w:val="0"/>
              <w:rPr>
                <w:rFonts w:ascii="Arial" w:eastAsia="Calibri" w:hAnsi="Arial" w:cs="Arial"/>
                <w:sz w:val="20"/>
                <w:szCs w:val="20"/>
                <w:lang w:val="en-GB"/>
              </w:rPr>
            </w:pPr>
            <w:r w:rsidRPr="00524C74">
              <w:rPr>
                <w:rFonts w:ascii="Arial" w:eastAsia="Calibri" w:hAnsi="Arial" w:cs="Arial"/>
                <w:sz w:val="20"/>
                <w:szCs w:val="20"/>
                <w:lang w:val="en-GB"/>
              </w:rPr>
              <w:t xml:space="preserve">82 decisions individually referenced in the knowledge management system (11.COM </w:t>
            </w:r>
            <w:r>
              <w:rPr>
                <w:rFonts w:ascii="Arial" w:eastAsia="Calibri" w:hAnsi="Arial" w:cs="Arial"/>
                <w:sz w:val="20"/>
                <w:szCs w:val="20"/>
                <w:lang w:val="en-GB"/>
              </w:rPr>
              <w:t>and</w:t>
            </w:r>
            <w:r w:rsidRPr="00524C74">
              <w:rPr>
                <w:rFonts w:ascii="Arial" w:eastAsia="Calibri" w:hAnsi="Arial" w:cs="Arial"/>
                <w:sz w:val="20"/>
                <w:szCs w:val="20"/>
                <w:lang w:val="en-GB"/>
              </w:rPr>
              <w:t xml:space="preserve"> 6.GA)</w:t>
            </w:r>
          </w:p>
        </w:tc>
        <w:tc>
          <w:tcPr>
            <w:tcW w:w="1796" w:type="dxa"/>
            <w:shd w:val="clear" w:color="auto" w:fill="auto"/>
          </w:tcPr>
          <w:p w14:paraId="2FF7F96F" w14:textId="77777777" w:rsidR="0032638E" w:rsidRPr="00524C74" w:rsidRDefault="0032638E" w:rsidP="0032638E">
            <w:pPr>
              <w:spacing w:before="60" w:after="60"/>
              <w:jc w:val="center"/>
              <w:rPr>
                <w:rFonts w:ascii="Arial" w:eastAsia="Calibri" w:hAnsi="Arial" w:cs="Arial"/>
                <w:sz w:val="20"/>
                <w:szCs w:val="20"/>
                <w:lang w:val="en-GB"/>
              </w:rPr>
            </w:pPr>
            <w:r w:rsidRPr="00524C74">
              <w:rPr>
                <w:rFonts w:ascii="Arial" w:eastAsia="Calibri" w:hAnsi="Arial" w:cs="Arial"/>
                <w:sz w:val="20"/>
                <w:szCs w:val="20"/>
                <w:lang w:val="en-GB"/>
              </w:rPr>
              <w:t>Partially accomplished</w:t>
            </w:r>
          </w:p>
          <w:p w14:paraId="5728D763" w14:textId="77777777" w:rsidR="0032638E" w:rsidRPr="00524C74" w:rsidRDefault="0032638E" w:rsidP="0032638E">
            <w:pPr>
              <w:spacing w:before="60" w:after="60"/>
              <w:rPr>
                <w:rFonts w:ascii="Arial" w:eastAsia="Calibri" w:hAnsi="Arial" w:cs="Arial"/>
                <w:sz w:val="20"/>
                <w:szCs w:val="20"/>
                <w:lang w:val="en-GB"/>
              </w:rPr>
            </w:pPr>
          </w:p>
        </w:tc>
      </w:tr>
      <w:tr w:rsidR="00C2282C" w:rsidRPr="00524C74" w14:paraId="7B0B1562" w14:textId="77777777" w:rsidTr="0032638E">
        <w:tc>
          <w:tcPr>
            <w:tcW w:w="0" w:type="auto"/>
            <w:shd w:val="clear" w:color="auto" w:fill="auto"/>
          </w:tcPr>
          <w:p w14:paraId="10BD9E77" w14:textId="77777777" w:rsidR="00C2282C" w:rsidRPr="00524C74" w:rsidRDefault="00C2282C" w:rsidP="0032638E">
            <w:pPr>
              <w:spacing w:before="60" w:after="60"/>
              <w:rPr>
                <w:rFonts w:ascii="Arial" w:eastAsia="Calibri" w:hAnsi="Arial" w:cs="Arial"/>
                <w:b/>
                <w:sz w:val="20"/>
                <w:szCs w:val="20"/>
                <w:lang w:val="en-GB"/>
              </w:rPr>
            </w:pPr>
            <w:r w:rsidRPr="00524C74">
              <w:rPr>
                <w:rFonts w:ascii="Arial" w:eastAsia="Calibri" w:hAnsi="Arial" w:cs="Arial"/>
                <w:b/>
                <w:sz w:val="20"/>
                <w:szCs w:val="20"/>
                <w:lang w:val="en-GB"/>
              </w:rPr>
              <w:t>O:</w:t>
            </w:r>
          </w:p>
          <w:p w14:paraId="5574FBAB" w14:textId="77777777" w:rsidR="00C2282C" w:rsidRPr="00524C74" w:rsidRDefault="0098372B" w:rsidP="0032638E">
            <w:pPr>
              <w:spacing w:before="60" w:after="60"/>
              <w:rPr>
                <w:rFonts w:ascii="Arial" w:eastAsia="Calibri" w:hAnsi="Arial" w:cs="Arial"/>
                <w:sz w:val="20"/>
                <w:szCs w:val="20"/>
                <w:lang w:val="en-GB"/>
              </w:rPr>
            </w:pPr>
            <w:r w:rsidRPr="00524C74">
              <w:rPr>
                <w:rFonts w:ascii="Arial" w:eastAsia="Calibri" w:hAnsi="Arial" w:cs="Arial"/>
                <w:sz w:val="20"/>
                <w:szCs w:val="20"/>
                <w:lang w:val="en-GB"/>
              </w:rPr>
              <w:t>New online functionalities for external stakeholders</w:t>
            </w:r>
          </w:p>
          <w:p w14:paraId="03E7B10E" w14:textId="77777777" w:rsidR="00C2282C" w:rsidRPr="00524C74" w:rsidRDefault="0098372B" w:rsidP="0032638E">
            <w:pPr>
              <w:keepNext/>
              <w:spacing w:before="60" w:after="60"/>
              <w:rPr>
                <w:rFonts w:ascii="Arial" w:hAnsi="Arial" w:cs="Arial"/>
                <w:b/>
                <w:sz w:val="20"/>
                <w:szCs w:val="20"/>
                <w:lang w:val="en-GB"/>
              </w:rPr>
            </w:pPr>
            <w:r w:rsidRPr="00524C74">
              <w:rPr>
                <w:rFonts w:ascii="Arial" w:hAnsi="Arial" w:cs="Arial"/>
                <w:b/>
                <w:sz w:val="20"/>
                <w:szCs w:val="20"/>
                <w:lang w:val="en-GB"/>
              </w:rPr>
              <w:t>B 2016-2017</w:t>
            </w:r>
            <w:r w:rsidR="00C2282C" w:rsidRPr="00524C74">
              <w:rPr>
                <w:rFonts w:ascii="Arial" w:hAnsi="Arial" w:cs="Arial"/>
                <w:b/>
                <w:sz w:val="20"/>
                <w:szCs w:val="20"/>
                <w:lang w:val="en-GB"/>
              </w:rPr>
              <w:t xml:space="preserve">: </w:t>
            </w:r>
          </w:p>
          <w:p w14:paraId="6A802912" w14:textId="77777777" w:rsidR="00C2282C" w:rsidRPr="00524C74" w:rsidRDefault="0098372B" w:rsidP="0032638E">
            <w:pPr>
              <w:spacing w:before="60" w:after="60"/>
              <w:rPr>
                <w:rFonts w:ascii="Arial" w:eastAsia="Calibri" w:hAnsi="Arial" w:cs="Arial"/>
                <w:sz w:val="20"/>
                <w:szCs w:val="20"/>
                <w:lang w:val="en-GB"/>
              </w:rPr>
            </w:pPr>
            <w:r w:rsidRPr="00524C74">
              <w:rPr>
                <w:rFonts w:ascii="Arial" w:eastAsia="Calibri" w:hAnsi="Arial" w:cs="Arial"/>
                <w:sz w:val="20"/>
                <w:szCs w:val="20"/>
                <w:lang w:val="en-GB"/>
              </w:rPr>
              <w:t>Number of new online processes (B=3)</w:t>
            </w:r>
          </w:p>
        </w:tc>
        <w:tc>
          <w:tcPr>
            <w:tcW w:w="4025" w:type="dxa"/>
            <w:shd w:val="clear" w:color="auto" w:fill="auto"/>
          </w:tcPr>
          <w:p w14:paraId="51B48037" w14:textId="320A70C8" w:rsidR="0090044D" w:rsidRPr="00524C74" w:rsidRDefault="00F71F1D" w:rsidP="00EB55AB">
            <w:pPr>
              <w:pStyle w:val="ListParagraph"/>
              <w:numPr>
                <w:ilvl w:val="0"/>
                <w:numId w:val="27"/>
              </w:numPr>
              <w:spacing w:before="60" w:after="60"/>
              <w:ind w:left="357" w:hanging="357"/>
              <w:contextualSpacing w:val="0"/>
              <w:rPr>
                <w:rFonts w:ascii="Arial" w:eastAsia="Calibri" w:hAnsi="Arial" w:cs="Arial"/>
                <w:sz w:val="20"/>
                <w:szCs w:val="20"/>
                <w:lang w:val="en-GB"/>
              </w:rPr>
            </w:pPr>
            <w:r w:rsidRPr="00524C74">
              <w:rPr>
                <w:rFonts w:ascii="Arial" w:hAnsi="Arial" w:cs="Arial"/>
                <w:sz w:val="20"/>
                <w:szCs w:val="20"/>
                <w:lang w:val="en-GB"/>
              </w:rPr>
              <w:t xml:space="preserve">Core functionalities for online submission of forms developed to avoid constant redevelopments and in particular to meet the </w:t>
            </w:r>
            <w:r w:rsidR="00316CCB">
              <w:rPr>
                <w:rFonts w:ascii="Arial" w:hAnsi="Arial" w:cs="Arial"/>
                <w:sz w:val="20"/>
                <w:szCs w:val="20"/>
                <w:lang w:val="en-GB"/>
              </w:rPr>
              <w:t>requirements</w:t>
            </w:r>
            <w:r w:rsidR="00316CCB" w:rsidRPr="00524C74">
              <w:rPr>
                <w:rFonts w:ascii="Arial" w:hAnsi="Arial" w:cs="Arial"/>
                <w:sz w:val="20"/>
                <w:szCs w:val="20"/>
                <w:lang w:val="en-GB"/>
              </w:rPr>
              <w:t xml:space="preserve"> </w:t>
            </w:r>
            <w:r w:rsidRPr="00524C74">
              <w:rPr>
                <w:rFonts w:ascii="Arial" w:hAnsi="Arial" w:cs="Arial"/>
                <w:sz w:val="20"/>
                <w:szCs w:val="20"/>
                <w:lang w:val="en-GB"/>
              </w:rPr>
              <w:t xml:space="preserve">for periodic reporting, </w:t>
            </w:r>
            <w:r w:rsidR="00316CCB">
              <w:rPr>
                <w:rFonts w:ascii="Arial" w:hAnsi="Arial" w:cs="Arial"/>
                <w:sz w:val="20"/>
                <w:szCs w:val="20"/>
                <w:lang w:val="en-GB"/>
              </w:rPr>
              <w:t>I</w:t>
            </w:r>
            <w:r w:rsidR="00316CCB" w:rsidRPr="00524C74">
              <w:rPr>
                <w:rFonts w:ascii="Arial" w:hAnsi="Arial" w:cs="Arial"/>
                <w:sz w:val="20"/>
                <w:szCs w:val="20"/>
                <w:lang w:val="en-GB"/>
              </w:rPr>
              <w:t xml:space="preserve">nternational </w:t>
            </w:r>
            <w:r w:rsidR="00316CCB">
              <w:rPr>
                <w:rFonts w:ascii="Arial" w:hAnsi="Arial" w:cs="Arial"/>
                <w:sz w:val="20"/>
                <w:szCs w:val="20"/>
                <w:lang w:val="en-GB"/>
              </w:rPr>
              <w:t>A</w:t>
            </w:r>
            <w:r w:rsidR="00316CCB" w:rsidRPr="00524C74">
              <w:rPr>
                <w:rFonts w:ascii="Arial" w:hAnsi="Arial" w:cs="Arial"/>
                <w:sz w:val="20"/>
                <w:szCs w:val="20"/>
                <w:lang w:val="en-GB"/>
              </w:rPr>
              <w:t xml:space="preserve">ssistance </w:t>
            </w:r>
            <w:r w:rsidRPr="00524C74">
              <w:rPr>
                <w:rFonts w:ascii="Arial" w:hAnsi="Arial" w:cs="Arial"/>
                <w:sz w:val="20"/>
                <w:szCs w:val="20"/>
                <w:lang w:val="en-GB"/>
              </w:rPr>
              <w:t>and NGO accreditation processes</w:t>
            </w:r>
          </w:p>
        </w:tc>
        <w:tc>
          <w:tcPr>
            <w:tcW w:w="1796" w:type="dxa"/>
          </w:tcPr>
          <w:p w14:paraId="14A78E4E" w14:textId="77777777" w:rsidR="00C2282C" w:rsidRPr="00524C74" w:rsidRDefault="0098372B" w:rsidP="0032638E">
            <w:pPr>
              <w:spacing w:before="60" w:after="60"/>
              <w:jc w:val="center"/>
              <w:rPr>
                <w:rFonts w:ascii="Arial" w:eastAsia="Calibri" w:hAnsi="Arial" w:cs="Arial"/>
                <w:sz w:val="20"/>
                <w:szCs w:val="20"/>
                <w:lang w:val="en-GB"/>
              </w:rPr>
            </w:pPr>
            <w:r w:rsidRPr="00524C74">
              <w:rPr>
                <w:rFonts w:ascii="Arial" w:eastAsia="Calibri" w:hAnsi="Arial" w:cs="Arial"/>
                <w:sz w:val="20"/>
                <w:szCs w:val="20"/>
                <w:lang w:val="en-GB"/>
              </w:rPr>
              <w:t>Partially accomplished</w:t>
            </w:r>
          </w:p>
        </w:tc>
      </w:tr>
      <w:tr w:rsidR="00C2282C" w:rsidRPr="00524C74" w14:paraId="6E4C2868" w14:textId="77777777" w:rsidTr="0032638E">
        <w:tc>
          <w:tcPr>
            <w:tcW w:w="0" w:type="auto"/>
            <w:shd w:val="clear" w:color="auto" w:fill="auto"/>
          </w:tcPr>
          <w:p w14:paraId="734042A4" w14:textId="77777777" w:rsidR="00C2282C" w:rsidRPr="00524C74" w:rsidRDefault="00C2282C" w:rsidP="0032638E">
            <w:pPr>
              <w:spacing w:before="60" w:after="60"/>
              <w:rPr>
                <w:rFonts w:ascii="Arial" w:eastAsia="Calibri" w:hAnsi="Arial" w:cs="Arial"/>
                <w:b/>
                <w:sz w:val="20"/>
                <w:szCs w:val="20"/>
                <w:lang w:val="en-GB"/>
              </w:rPr>
            </w:pPr>
            <w:r w:rsidRPr="00524C74">
              <w:rPr>
                <w:rFonts w:ascii="Arial" w:eastAsia="Calibri" w:hAnsi="Arial" w:cs="Arial"/>
                <w:b/>
                <w:sz w:val="20"/>
                <w:szCs w:val="20"/>
                <w:lang w:val="en-GB"/>
              </w:rPr>
              <w:t xml:space="preserve">O: </w:t>
            </w:r>
          </w:p>
          <w:p w14:paraId="0349791B" w14:textId="77777777" w:rsidR="00C2282C" w:rsidRPr="00524C74" w:rsidRDefault="0098372B" w:rsidP="0032638E">
            <w:pPr>
              <w:spacing w:before="60" w:after="60"/>
              <w:rPr>
                <w:rFonts w:ascii="Arial" w:eastAsia="Calibri" w:hAnsi="Arial" w:cs="Arial"/>
                <w:sz w:val="20"/>
                <w:szCs w:val="20"/>
                <w:lang w:val="en-GB"/>
              </w:rPr>
            </w:pPr>
            <w:r w:rsidRPr="00524C74">
              <w:rPr>
                <w:rFonts w:ascii="Arial" w:eastAsia="Calibri" w:hAnsi="Arial" w:cs="Arial"/>
                <w:sz w:val="20"/>
                <w:szCs w:val="20"/>
                <w:lang w:val="en-GB"/>
              </w:rPr>
              <w:t>Convention website enhanced with improved navigation and ergonomics, search engine</w:t>
            </w:r>
            <w:r w:rsidRPr="00524C74">
              <w:rPr>
                <w:rFonts w:ascii="Arial" w:hAnsi="Arial" w:cs="Arial"/>
                <w:color w:val="000000"/>
                <w:sz w:val="22"/>
                <w:szCs w:val="22"/>
                <w:lang w:val="en-GB"/>
              </w:rPr>
              <w:t xml:space="preserve"> </w:t>
            </w:r>
            <w:r w:rsidRPr="00524C74">
              <w:rPr>
                <w:rFonts w:ascii="Arial" w:eastAsia="Calibri" w:hAnsi="Arial" w:cs="Arial"/>
                <w:sz w:val="20"/>
                <w:szCs w:val="20"/>
                <w:lang w:val="en-GB"/>
              </w:rPr>
              <w:t>optimization and additional multilingual web content</w:t>
            </w:r>
          </w:p>
          <w:p w14:paraId="34B7A719" w14:textId="77777777" w:rsidR="00C2282C" w:rsidRPr="00524C74" w:rsidRDefault="00C2282C" w:rsidP="0032638E">
            <w:pPr>
              <w:keepNext/>
              <w:spacing w:before="60" w:after="60"/>
              <w:rPr>
                <w:rFonts w:ascii="Arial" w:hAnsi="Arial" w:cs="Arial"/>
                <w:b/>
                <w:sz w:val="20"/>
                <w:szCs w:val="20"/>
                <w:lang w:val="en-GB"/>
              </w:rPr>
            </w:pPr>
            <w:r w:rsidRPr="00524C74">
              <w:rPr>
                <w:rFonts w:ascii="Arial" w:hAnsi="Arial" w:cs="Arial"/>
                <w:b/>
                <w:sz w:val="20"/>
                <w:szCs w:val="20"/>
                <w:lang w:val="en-GB"/>
              </w:rPr>
              <w:t>B 201</w:t>
            </w:r>
            <w:r w:rsidR="0098372B" w:rsidRPr="00524C74">
              <w:rPr>
                <w:rFonts w:ascii="Arial" w:hAnsi="Arial" w:cs="Arial"/>
                <w:b/>
                <w:sz w:val="20"/>
                <w:szCs w:val="20"/>
                <w:lang w:val="en-GB"/>
              </w:rPr>
              <w:t>6</w:t>
            </w:r>
            <w:r w:rsidRPr="00524C74">
              <w:rPr>
                <w:rFonts w:ascii="Arial" w:hAnsi="Arial" w:cs="Arial"/>
                <w:b/>
                <w:sz w:val="20"/>
                <w:szCs w:val="20"/>
                <w:lang w:val="en-GB"/>
              </w:rPr>
              <w:t>-201</w:t>
            </w:r>
            <w:r w:rsidR="0098372B" w:rsidRPr="00524C74">
              <w:rPr>
                <w:rFonts w:ascii="Arial" w:hAnsi="Arial" w:cs="Arial"/>
                <w:b/>
                <w:sz w:val="20"/>
                <w:szCs w:val="20"/>
                <w:lang w:val="en-GB"/>
              </w:rPr>
              <w:t>7</w:t>
            </w:r>
            <w:r w:rsidRPr="00524C74">
              <w:rPr>
                <w:rFonts w:ascii="Arial" w:hAnsi="Arial" w:cs="Arial"/>
                <w:b/>
                <w:sz w:val="20"/>
                <w:szCs w:val="20"/>
                <w:lang w:val="en-GB"/>
              </w:rPr>
              <w:t xml:space="preserve">: </w:t>
            </w:r>
          </w:p>
          <w:p w14:paraId="04923CF6" w14:textId="77777777" w:rsidR="0098372B" w:rsidRPr="00524C74" w:rsidRDefault="0098372B" w:rsidP="0032638E">
            <w:pPr>
              <w:spacing w:before="60" w:after="60"/>
              <w:rPr>
                <w:rFonts w:ascii="Arial" w:eastAsia="Calibri" w:hAnsi="Arial" w:cs="Arial"/>
                <w:sz w:val="20"/>
                <w:szCs w:val="20"/>
                <w:lang w:val="en-GB"/>
              </w:rPr>
            </w:pPr>
            <w:r w:rsidRPr="00524C74">
              <w:rPr>
                <w:rFonts w:ascii="Arial" w:eastAsia="Calibri" w:hAnsi="Arial" w:cs="Arial"/>
                <w:sz w:val="20"/>
                <w:szCs w:val="20"/>
                <w:lang w:val="en-GB"/>
              </w:rPr>
              <w:t>Number of page views (B=4,500,000)</w:t>
            </w:r>
          </w:p>
          <w:p w14:paraId="7939496F" w14:textId="77777777" w:rsidR="0098372B" w:rsidRPr="00524C74" w:rsidRDefault="0098372B" w:rsidP="0032638E">
            <w:pPr>
              <w:spacing w:before="60" w:after="60"/>
              <w:rPr>
                <w:rFonts w:ascii="Arial" w:eastAsia="Calibri" w:hAnsi="Arial" w:cs="Arial"/>
                <w:sz w:val="20"/>
                <w:szCs w:val="20"/>
                <w:lang w:val="en-GB"/>
              </w:rPr>
            </w:pPr>
            <w:r w:rsidRPr="00524C74">
              <w:rPr>
                <w:rFonts w:ascii="Arial" w:eastAsia="Calibri" w:hAnsi="Arial" w:cs="Arial"/>
                <w:sz w:val="20"/>
                <w:szCs w:val="20"/>
                <w:lang w:val="en-GB"/>
              </w:rPr>
              <w:t xml:space="preserve">Convention website crafted to provide optimal viewing and interaction from mobile devices (B=1) </w:t>
            </w:r>
          </w:p>
          <w:p w14:paraId="25C31DA3" w14:textId="77777777" w:rsidR="00C2282C" w:rsidRPr="00524C74" w:rsidRDefault="0098372B" w:rsidP="005563A5">
            <w:pPr>
              <w:keepLines/>
              <w:spacing w:before="60" w:after="60"/>
              <w:rPr>
                <w:rFonts w:ascii="Arial" w:eastAsia="Calibri" w:hAnsi="Arial" w:cs="Arial"/>
                <w:sz w:val="20"/>
                <w:szCs w:val="20"/>
                <w:lang w:val="en-GB"/>
              </w:rPr>
            </w:pPr>
            <w:r w:rsidRPr="00524C74">
              <w:rPr>
                <w:rFonts w:ascii="Arial" w:eastAsia="Calibri" w:hAnsi="Arial" w:cs="Arial"/>
                <w:sz w:val="20"/>
                <w:szCs w:val="20"/>
                <w:lang w:val="en-GB"/>
              </w:rPr>
              <w:t xml:space="preserve">Number of new web pages published in </w:t>
            </w:r>
            <w:r w:rsidRPr="00524C74">
              <w:rPr>
                <w:rFonts w:ascii="Arial" w:eastAsia="Calibri" w:hAnsi="Arial" w:cs="Arial"/>
                <w:sz w:val="20"/>
                <w:szCs w:val="20"/>
                <w:lang w:val="en-GB"/>
              </w:rPr>
              <w:lastRenderedPageBreak/>
              <w:t>English, Frenc</w:t>
            </w:r>
            <w:r w:rsidR="00316CCB">
              <w:rPr>
                <w:rFonts w:ascii="Arial" w:eastAsia="Calibri" w:hAnsi="Arial" w:cs="Arial"/>
                <w:sz w:val="20"/>
                <w:szCs w:val="20"/>
                <w:lang w:val="en-GB"/>
              </w:rPr>
              <w:t>h and</w:t>
            </w:r>
            <w:r w:rsidRPr="00524C74">
              <w:rPr>
                <w:rFonts w:ascii="Arial" w:eastAsia="Calibri" w:hAnsi="Arial" w:cs="Arial"/>
                <w:sz w:val="20"/>
                <w:szCs w:val="20"/>
                <w:lang w:val="en-GB"/>
              </w:rPr>
              <w:t xml:space="preserve"> Spanish (B=200)</w:t>
            </w:r>
          </w:p>
        </w:tc>
        <w:tc>
          <w:tcPr>
            <w:tcW w:w="4025" w:type="dxa"/>
            <w:shd w:val="clear" w:color="auto" w:fill="auto"/>
          </w:tcPr>
          <w:p w14:paraId="4954C8DC" w14:textId="77777777" w:rsidR="008A6593" w:rsidRPr="00524C74" w:rsidRDefault="008A6593" w:rsidP="0032638E">
            <w:pPr>
              <w:pStyle w:val="ListParagraph"/>
              <w:numPr>
                <w:ilvl w:val="0"/>
                <w:numId w:val="27"/>
              </w:numPr>
              <w:spacing w:before="60" w:after="60"/>
              <w:ind w:left="357" w:hanging="357"/>
              <w:contextualSpacing w:val="0"/>
              <w:rPr>
                <w:rFonts w:ascii="Arial" w:eastAsia="Calibri" w:hAnsi="Arial" w:cs="Arial"/>
                <w:sz w:val="20"/>
                <w:szCs w:val="20"/>
                <w:lang w:val="en-GB"/>
              </w:rPr>
            </w:pPr>
            <w:r w:rsidRPr="00524C74">
              <w:rPr>
                <w:rFonts w:ascii="Arial" w:eastAsia="Calibri" w:hAnsi="Arial" w:cs="Arial"/>
                <w:sz w:val="20"/>
                <w:szCs w:val="20"/>
                <w:lang w:val="en-GB"/>
              </w:rPr>
              <w:lastRenderedPageBreak/>
              <w:t>3,199,124 pages viewed in 2016, which correspond</w:t>
            </w:r>
            <w:r w:rsidR="00415F4F" w:rsidRPr="00524C74">
              <w:rPr>
                <w:rFonts w:ascii="Arial" w:eastAsia="Calibri" w:hAnsi="Arial" w:cs="Arial"/>
                <w:sz w:val="20"/>
                <w:szCs w:val="20"/>
                <w:lang w:val="en-GB"/>
              </w:rPr>
              <w:t>s</w:t>
            </w:r>
            <w:r w:rsidRPr="00524C74">
              <w:rPr>
                <w:rFonts w:ascii="Arial" w:eastAsia="Calibri" w:hAnsi="Arial" w:cs="Arial"/>
                <w:sz w:val="20"/>
                <w:szCs w:val="20"/>
                <w:lang w:val="en-GB"/>
              </w:rPr>
              <w:t xml:space="preserve"> to an increase of almost 50%</w:t>
            </w:r>
            <w:r w:rsidR="00EB55AB">
              <w:rPr>
                <w:rFonts w:ascii="Arial" w:eastAsia="Calibri" w:hAnsi="Arial" w:cs="Arial"/>
                <w:sz w:val="20"/>
                <w:szCs w:val="20"/>
                <w:lang w:val="en-GB"/>
              </w:rPr>
              <w:t xml:space="preserve"> compared to 2015</w:t>
            </w:r>
          </w:p>
          <w:p w14:paraId="54AA872C" w14:textId="77777777" w:rsidR="00C2282C" w:rsidRPr="00524C74" w:rsidRDefault="008A6593"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524C74">
              <w:rPr>
                <w:rFonts w:ascii="Arial" w:eastAsia="Calibri" w:hAnsi="Arial" w:cs="Arial"/>
                <w:sz w:val="20"/>
                <w:szCs w:val="20"/>
                <w:lang w:val="en-GB"/>
              </w:rPr>
              <w:t>134 new webpages published (43 elements, 45 news</w:t>
            </w:r>
            <w:r w:rsidR="00316CCB">
              <w:rPr>
                <w:rFonts w:ascii="Arial" w:eastAsia="Calibri" w:hAnsi="Arial" w:cs="Arial"/>
                <w:sz w:val="20"/>
                <w:szCs w:val="20"/>
                <w:lang w:val="en-GB"/>
              </w:rPr>
              <w:t xml:space="preserve"> items</w:t>
            </w:r>
            <w:r w:rsidRPr="00524C74">
              <w:rPr>
                <w:rFonts w:ascii="Arial" w:eastAsia="Calibri" w:hAnsi="Arial" w:cs="Arial"/>
                <w:sz w:val="20"/>
                <w:szCs w:val="20"/>
                <w:lang w:val="en-GB"/>
              </w:rPr>
              <w:t xml:space="preserve">, 31 meetings, 5 pages dedicated to </w:t>
            </w:r>
            <w:r w:rsidR="00AF1F1E">
              <w:rPr>
                <w:rFonts w:ascii="Arial" w:eastAsia="Calibri" w:hAnsi="Arial" w:cs="Arial"/>
                <w:sz w:val="20"/>
                <w:szCs w:val="20"/>
                <w:lang w:val="en-GB"/>
              </w:rPr>
              <w:t>p</w:t>
            </w:r>
            <w:r w:rsidR="00AF1F1E" w:rsidRPr="00524C74">
              <w:rPr>
                <w:rFonts w:ascii="Arial" w:eastAsia="Calibri" w:hAnsi="Arial" w:cs="Arial"/>
                <w:sz w:val="20"/>
                <w:szCs w:val="20"/>
                <w:lang w:val="en-GB"/>
              </w:rPr>
              <w:t xml:space="preserve">eriodic </w:t>
            </w:r>
            <w:r w:rsidRPr="00524C74">
              <w:rPr>
                <w:rFonts w:ascii="Arial" w:eastAsia="Calibri" w:hAnsi="Arial" w:cs="Arial"/>
                <w:sz w:val="20"/>
                <w:szCs w:val="20"/>
                <w:lang w:val="en-GB"/>
              </w:rPr>
              <w:t xml:space="preserve">reporting) in English and French, </w:t>
            </w:r>
            <w:r w:rsidR="005C38F1" w:rsidRPr="00524C74">
              <w:rPr>
                <w:rFonts w:ascii="Arial" w:eastAsia="Calibri" w:hAnsi="Arial" w:cs="Arial"/>
                <w:sz w:val="20"/>
                <w:szCs w:val="20"/>
                <w:lang w:val="en-GB"/>
              </w:rPr>
              <w:t xml:space="preserve">as well as Spanish for </w:t>
            </w:r>
            <w:r w:rsidR="00AF1F1E">
              <w:rPr>
                <w:rFonts w:ascii="Arial" w:eastAsia="Calibri" w:hAnsi="Arial" w:cs="Arial"/>
                <w:sz w:val="20"/>
                <w:szCs w:val="20"/>
                <w:lang w:val="en-GB"/>
              </w:rPr>
              <w:t xml:space="preserve">one </w:t>
            </w:r>
            <w:r w:rsidR="005C38F1" w:rsidRPr="00524C74">
              <w:rPr>
                <w:rFonts w:ascii="Arial" w:eastAsia="Calibri" w:hAnsi="Arial" w:cs="Arial"/>
                <w:sz w:val="20"/>
                <w:szCs w:val="20"/>
                <w:lang w:val="en-GB"/>
              </w:rPr>
              <w:t xml:space="preserve">third of the webpages </w:t>
            </w:r>
          </w:p>
        </w:tc>
        <w:tc>
          <w:tcPr>
            <w:tcW w:w="1796" w:type="dxa"/>
          </w:tcPr>
          <w:p w14:paraId="2D10885D" w14:textId="77777777" w:rsidR="00C2282C" w:rsidRPr="00524C74" w:rsidRDefault="0098372B" w:rsidP="005563A5">
            <w:pPr>
              <w:spacing w:before="60" w:after="60"/>
              <w:jc w:val="center"/>
              <w:rPr>
                <w:rFonts w:ascii="Arial" w:eastAsia="Calibri" w:hAnsi="Arial" w:cs="Arial"/>
                <w:sz w:val="20"/>
                <w:szCs w:val="20"/>
                <w:lang w:val="en-GB"/>
              </w:rPr>
            </w:pPr>
            <w:r w:rsidRPr="00524C74">
              <w:rPr>
                <w:rFonts w:ascii="Arial" w:eastAsia="Calibri" w:hAnsi="Arial" w:cs="Arial"/>
                <w:sz w:val="20"/>
                <w:szCs w:val="20"/>
                <w:lang w:val="en-GB"/>
              </w:rPr>
              <w:t>Partially accomplished</w:t>
            </w:r>
          </w:p>
        </w:tc>
      </w:tr>
      <w:tr w:rsidR="00C2282C" w:rsidRPr="00524C74" w14:paraId="4C32BE67" w14:textId="77777777" w:rsidTr="0032638E">
        <w:tc>
          <w:tcPr>
            <w:tcW w:w="0" w:type="auto"/>
            <w:shd w:val="clear" w:color="auto" w:fill="auto"/>
          </w:tcPr>
          <w:p w14:paraId="7AB708B3" w14:textId="77777777" w:rsidR="00C2282C" w:rsidRPr="00524C74" w:rsidRDefault="00C2282C" w:rsidP="00316CCB">
            <w:pPr>
              <w:spacing w:before="60" w:after="60"/>
              <w:rPr>
                <w:rFonts w:ascii="Arial" w:eastAsia="Calibri" w:hAnsi="Arial" w:cs="Arial"/>
                <w:b/>
                <w:sz w:val="20"/>
                <w:szCs w:val="20"/>
                <w:lang w:val="en-GB"/>
              </w:rPr>
            </w:pPr>
            <w:r w:rsidRPr="00524C74">
              <w:rPr>
                <w:rFonts w:ascii="Arial" w:eastAsia="Calibri" w:hAnsi="Arial" w:cs="Arial"/>
                <w:b/>
                <w:sz w:val="20"/>
                <w:szCs w:val="20"/>
                <w:lang w:val="en-GB"/>
              </w:rPr>
              <w:t>O:</w:t>
            </w:r>
          </w:p>
          <w:p w14:paraId="5AD5C305" w14:textId="77777777" w:rsidR="0098372B" w:rsidRPr="00524C74" w:rsidRDefault="0098372B" w:rsidP="009A1E0E">
            <w:pPr>
              <w:spacing w:before="60" w:after="60"/>
              <w:rPr>
                <w:rFonts w:ascii="Arial" w:eastAsia="Calibri" w:hAnsi="Arial" w:cs="Arial"/>
                <w:sz w:val="20"/>
                <w:szCs w:val="20"/>
                <w:lang w:val="en-GB"/>
              </w:rPr>
            </w:pPr>
            <w:r w:rsidRPr="00524C74">
              <w:rPr>
                <w:rFonts w:ascii="Arial" w:eastAsia="Calibri" w:hAnsi="Arial" w:cs="Arial"/>
                <w:sz w:val="20"/>
                <w:szCs w:val="20"/>
                <w:lang w:val="en-GB"/>
              </w:rPr>
              <w:t>Basic Texts of the Convention and other statutory publication</w:t>
            </w:r>
            <w:r w:rsidR="00316CCB">
              <w:rPr>
                <w:rFonts w:ascii="Arial" w:eastAsia="Calibri" w:hAnsi="Arial" w:cs="Arial"/>
                <w:sz w:val="20"/>
                <w:szCs w:val="20"/>
                <w:lang w:val="en-GB"/>
              </w:rPr>
              <w:t>s</w:t>
            </w:r>
            <w:r w:rsidRPr="00524C74">
              <w:rPr>
                <w:rFonts w:ascii="Arial" w:eastAsia="Calibri" w:hAnsi="Arial" w:cs="Arial"/>
                <w:sz w:val="20"/>
                <w:szCs w:val="20"/>
                <w:lang w:val="en-GB"/>
              </w:rPr>
              <w:t xml:space="preserve"> revised and published </w:t>
            </w:r>
          </w:p>
          <w:p w14:paraId="55A78ABB" w14:textId="77777777" w:rsidR="00C2282C" w:rsidRPr="00524C74" w:rsidRDefault="00C2282C" w:rsidP="008969C8">
            <w:pPr>
              <w:spacing w:before="60" w:after="60"/>
              <w:rPr>
                <w:rFonts w:ascii="Arial" w:hAnsi="Arial" w:cs="Arial"/>
                <w:b/>
                <w:sz w:val="20"/>
                <w:szCs w:val="20"/>
                <w:lang w:val="en-GB"/>
              </w:rPr>
            </w:pPr>
            <w:r w:rsidRPr="00524C74">
              <w:rPr>
                <w:rFonts w:ascii="Arial" w:hAnsi="Arial" w:cs="Arial"/>
                <w:b/>
                <w:sz w:val="20"/>
                <w:szCs w:val="20"/>
                <w:lang w:val="en-GB"/>
              </w:rPr>
              <w:t>B 201</w:t>
            </w:r>
            <w:r w:rsidR="0098372B" w:rsidRPr="00524C74">
              <w:rPr>
                <w:rFonts w:ascii="Arial" w:hAnsi="Arial" w:cs="Arial"/>
                <w:b/>
                <w:sz w:val="20"/>
                <w:szCs w:val="20"/>
                <w:lang w:val="en-GB"/>
              </w:rPr>
              <w:t>6</w:t>
            </w:r>
            <w:r w:rsidRPr="00524C74">
              <w:rPr>
                <w:rFonts w:ascii="Arial" w:hAnsi="Arial" w:cs="Arial"/>
                <w:b/>
                <w:sz w:val="20"/>
                <w:szCs w:val="20"/>
                <w:lang w:val="en-GB"/>
              </w:rPr>
              <w:t>-201</w:t>
            </w:r>
            <w:r w:rsidR="0098372B" w:rsidRPr="00524C74">
              <w:rPr>
                <w:rFonts w:ascii="Arial" w:hAnsi="Arial" w:cs="Arial"/>
                <w:b/>
                <w:sz w:val="20"/>
                <w:szCs w:val="20"/>
                <w:lang w:val="en-GB"/>
              </w:rPr>
              <w:t>7</w:t>
            </w:r>
            <w:r w:rsidRPr="00524C74">
              <w:rPr>
                <w:rFonts w:ascii="Arial" w:hAnsi="Arial" w:cs="Arial"/>
                <w:b/>
                <w:sz w:val="20"/>
                <w:szCs w:val="20"/>
                <w:lang w:val="en-GB"/>
              </w:rPr>
              <w:t xml:space="preserve">: </w:t>
            </w:r>
          </w:p>
          <w:p w14:paraId="178201B3" w14:textId="77777777" w:rsidR="0098372B" w:rsidRPr="00524C74" w:rsidRDefault="0098372B" w:rsidP="00D25FF7">
            <w:pPr>
              <w:spacing w:before="60" w:after="60"/>
              <w:rPr>
                <w:rFonts w:ascii="Arial" w:eastAsia="Calibri" w:hAnsi="Arial" w:cs="Arial"/>
                <w:sz w:val="20"/>
                <w:szCs w:val="20"/>
                <w:lang w:val="en-GB"/>
              </w:rPr>
            </w:pPr>
            <w:r w:rsidRPr="00524C74">
              <w:rPr>
                <w:rFonts w:ascii="Arial" w:eastAsia="Calibri" w:hAnsi="Arial" w:cs="Arial"/>
                <w:sz w:val="20"/>
                <w:szCs w:val="20"/>
                <w:lang w:val="en-GB"/>
              </w:rPr>
              <w:t>Publication of 2016 version of the Basic Texts (B=1)</w:t>
            </w:r>
          </w:p>
          <w:p w14:paraId="7187FABA" w14:textId="77777777" w:rsidR="00C2282C" w:rsidRPr="00524C74" w:rsidRDefault="0098372B" w:rsidP="00D25FF7">
            <w:pPr>
              <w:spacing w:before="60" w:after="60"/>
              <w:rPr>
                <w:rFonts w:ascii="Arial" w:eastAsia="Calibri" w:hAnsi="Arial" w:cs="Arial"/>
                <w:sz w:val="20"/>
                <w:szCs w:val="20"/>
                <w:lang w:val="en-GB"/>
              </w:rPr>
            </w:pPr>
            <w:r w:rsidRPr="00524C74">
              <w:rPr>
                <w:rFonts w:ascii="Arial" w:eastAsia="Calibri" w:hAnsi="Arial" w:cs="Arial"/>
                <w:sz w:val="20"/>
                <w:szCs w:val="20"/>
                <w:lang w:val="en-GB"/>
              </w:rPr>
              <w:t>2014-2015 Convention Lists published (B=1)</w:t>
            </w:r>
          </w:p>
        </w:tc>
        <w:tc>
          <w:tcPr>
            <w:tcW w:w="4025" w:type="dxa"/>
            <w:shd w:val="clear" w:color="auto" w:fill="auto"/>
          </w:tcPr>
          <w:p w14:paraId="08AAB573" w14:textId="77777777" w:rsidR="00AB42FF" w:rsidRPr="00524C74" w:rsidRDefault="00F4350E"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524C74">
              <w:rPr>
                <w:rFonts w:ascii="Arial" w:eastAsia="Calibri" w:hAnsi="Arial" w:cs="Arial"/>
                <w:sz w:val="20"/>
                <w:szCs w:val="20"/>
                <w:lang w:val="en-GB"/>
              </w:rPr>
              <w:t>The 2016 edition of the Basic Texts of the Convention – integrating the amendments to the Operational Directives adopted by the sixth session of the General Assembly and amendments to the Committee’s Rules of Procedure adopted at its tenth session – designed, edited and published in the six working languages of the General Assembly</w:t>
            </w:r>
          </w:p>
          <w:p w14:paraId="17FFA444" w14:textId="77777777" w:rsidR="00F4350E" w:rsidRPr="00524C74" w:rsidRDefault="00F4350E" w:rsidP="005563A5">
            <w:pPr>
              <w:pStyle w:val="ListParagraph"/>
              <w:spacing w:before="60" w:after="60"/>
              <w:ind w:left="357"/>
              <w:contextualSpacing w:val="0"/>
              <w:rPr>
                <w:rFonts w:ascii="Arial" w:eastAsia="Calibri" w:hAnsi="Arial" w:cs="Arial"/>
                <w:sz w:val="20"/>
                <w:szCs w:val="20"/>
                <w:lang w:val="en-GB"/>
              </w:rPr>
            </w:pPr>
          </w:p>
        </w:tc>
        <w:tc>
          <w:tcPr>
            <w:tcW w:w="1796" w:type="dxa"/>
          </w:tcPr>
          <w:p w14:paraId="454D93FA" w14:textId="77777777" w:rsidR="00C2282C" w:rsidRPr="00524C74" w:rsidRDefault="0049498B" w:rsidP="005563A5">
            <w:pPr>
              <w:spacing w:before="60" w:after="60"/>
              <w:jc w:val="center"/>
              <w:rPr>
                <w:rFonts w:ascii="Arial" w:eastAsia="Calibri" w:hAnsi="Arial" w:cs="Arial"/>
                <w:sz w:val="20"/>
                <w:szCs w:val="20"/>
                <w:lang w:val="en-GB"/>
              </w:rPr>
            </w:pPr>
            <w:r w:rsidRPr="00524C74">
              <w:rPr>
                <w:rFonts w:ascii="Arial" w:eastAsia="Calibri" w:hAnsi="Arial" w:cs="Arial"/>
                <w:sz w:val="20"/>
                <w:szCs w:val="20"/>
                <w:lang w:val="en-GB"/>
              </w:rPr>
              <w:t>Partially a</w:t>
            </w:r>
            <w:r w:rsidR="001A5BDE" w:rsidRPr="00524C74">
              <w:rPr>
                <w:rFonts w:ascii="Arial" w:eastAsia="Calibri" w:hAnsi="Arial" w:cs="Arial"/>
                <w:sz w:val="20"/>
                <w:szCs w:val="20"/>
                <w:lang w:val="en-GB"/>
              </w:rPr>
              <w:t>ccomplished</w:t>
            </w:r>
          </w:p>
        </w:tc>
      </w:tr>
    </w:tbl>
    <w:p w14:paraId="51BF546D" w14:textId="77777777" w:rsidR="00A74D6C" w:rsidRPr="00524C74" w:rsidRDefault="00A74D6C" w:rsidP="00C421B8">
      <w:pPr>
        <w:keepNext/>
        <w:spacing w:before="240" w:after="120"/>
        <w:rPr>
          <w:rFonts w:ascii="Arial" w:hAnsi="Arial" w:cs="Arial"/>
          <w:b/>
          <w:sz w:val="22"/>
          <w:szCs w:val="22"/>
          <w:lang w:val="en-GB"/>
        </w:rPr>
      </w:pPr>
      <w:r w:rsidRPr="00524C74">
        <w:rPr>
          <w:rFonts w:ascii="Arial" w:hAnsi="Arial" w:cs="Arial"/>
          <w:b/>
          <w:sz w:val="22"/>
          <w:szCs w:val="22"/>
          <w:lang w:val="en-GB"/>
        </w:rPr>
        <w:t>Challenges and risks in implementation and remedial actions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613A5E" w:rsidRPr="00524C74" w14:paraId="33CCF5E2" w14:textId="77777777" w:rsidTr="005563A5">
        <w:trPr>
          <w:tblHeader/>
        </w:trPr>
        <w:tc>
          <w:tcPr>
            <w:tcW w:w="2500" w:type="pct"/>
            <w:shd w:val="clear" w:color="auto" w:fill="D9D9D9"/>
            <w:vAlign w:val="center"/>
          </w:tcPr>
          <w:p w14:paraId="3416BFBA" w14:textId="77777777" w:rsidR="00A74D6C" w:rsidRPr="00D71D21" w:rsidRDefault="00A74D6C" w:rsidP="005563A5">
            <w:pPr>
              <w:keepNext/>
              <w:spacing w:before="60" w:after="60"/>
              <w:jc w:val="center"/>
              <w:rPr>
                <w:rFonts w:ascii="Arial" w:hAnsi="Arial" w:cs="Arial"/>
                <w:b/>
                <w:sz w:val="20"/>
                <w:szCs w:val="20"/>
                <w:lang w:val="en-GB"/>
              </w:rPr>
            </w:pPr>
            <w:r w:rsidRPr="00D71D21">
              <w:rPr>
                <w:rFonts w:ascii="Arial" w:hAnsi="Arial" w:cs="Arial"/>
                <w:b/>
                <w:sz w:val="20"/>
                <w:szCs w:val="20"/>
                <w:lang w:val="en-GB"/>
              </w:rPr>
              <w:t>Key challenges</w:t>
            </w:r>
          </w:p>
        </w:tc>
        <w:tc>
          <w:tcPr>
            <w:tcW w:w="2500" w:type="pct"/>
            <w:shd w:val="clear" w:color="auto" w:fill="D9D9D9"/>
            <w:vAlign w:val="center"/>
          </w:tcPr>
          <w:p w14:paraId="67C60C26" w14:textId="77777777" w:rsidR="00A74D6C" w:rsidRPr="00D71D21" w:rsidRDefault="00A74D6C" w:rsidP="005563A5">
            <w:pPr>
              <w:keepNext/>
              <w:spacing w:before="60" w:after="60"/>
              <w:jc w:val="center"/>
              <w:rPr>
                <w:rFonts w:ascii="Arial" w:hAnsi="Arial" w:cs="Arial"/>
                <w:b/>
                <w:sz w:val="20"/>
                <w:szCs w:val="20"/>
                <w:lang w:val="en-GB"/>
              </w:rPr>
            </w:pPr>
            <w:r w:rsidRPr="00D71D21">
              <w:rPr>
                <w:rFonts w:ascii="Arial" w:hAnsi="Arial" w:cs="Arial"/>
                <w:b/>
                <w:sz w:val="20"/>
                <w:szCs w:val="20"/>
                <w:lang w:val="en-GB"/>
              </w:rPr>
              <w:t>Remedial actions</w:t>
            </w:r>
          </w:p>
        </w:tc>
      </w:tr>
      <w:tr w:rsidR="005E3FCA" w:rsidRPr="00A53C89" w14:paraId="09C9305A" w14:textId="77777777" w:rsidTr="005563A5">
        <w:trPr>
          <w:tblHeader/>
        </w:trPr>
        <w:tc>
          <w:tcPr>
            <w:tcW w:w="2500" w:type="pct"/>
            <w:shd w:val="clear" w:color="auto" w:fill="auto"/>
          </w:tcPr>
          <w:p w14:paraId="59019E0A" w14:textId="77777777" w:rsidR="005E3FCA" w:rsidRPr="005563A5" w:rsidRDefault="005E3FCA" w:rsidP="005563A5">
            <w:pPr>
              <w:keepNext/>
              <w:spacing w:before="60" w:after="60"/>
              <w:rPr>
                <w:rFonts w:ascii="Arial" w:hAnsi="Arial" w:cs="Arial"/>
                <w:sz w:val="20"/>
                <w:szCs w:val="20"/>
                <w:lang w:val="en-GB"/>
              </w:rPr>
            </w:pPr>
            <w:r>
              <w:rPr>
                <w:rFonts w:ascii="Arial" w:hAnsi="Arial" w:cs="Arial"/>
                <w:sz w:val="20"/>
                <w:szCs w:val="20"/>
                <w:lang w:val="en-GB"/>
              </w:rPr>
              <w:t xml:space="preserve">The periodic report interface does not yet provide all the overviews that could </w:t>
            </w:r>
            <w:r w:rsidR="00316CCB">
              <w:rPr>
                <w:rFonts w:ascii="Arial" w:hAnsi="Arial" w:cs="Arial"/>
                <w:sz w:val="20"/>
                <w:szCs w:val="20"/>
                <w:lang w:val="en-GB"/>
              </w:rPr>
              <w:t xml:space="preserve">be </w:t>
            </w:r>
            <w:r w:rsidR="00FB1D5A">
              <w:rPr>
                <w:rFonts w:ascii="Arial" w:hAnsi="Arial" w:cs="Arial"/>
                <w:sz w:val="20"/>
                <w:szCs w:val="20"/>
                <w:lang w:val="en-GB"/>
              </w:rPr>
              <w:t>useful for its users</w:t>
            </w:r>
            <w:r w:rsidR="00316CCB">
              <w:rPr>
                <w:rFonts w:ascii="Arial" w:hAnsi="Arial" w:cs="Arial"/>
                <w:sz w:val="20"/>
                <w:szCs w:val="20"/>
                <w:lang w:val="en-GB"/>
              </w:rPr>
              <w:t>.</w:t>
            </w:r>
            <w:r>
              <w:rPr>
                <w:rFonts w:ascii="Arial" w:hAnsi="Arial" w:cs="Arial"/>
                <w:sz w:val="20"/>
                <w:szCs w:val="20"/>
                <w:lang w:val="en-GB"/>
              </w:rPr>
              <w:t xml:space="preserve"> </w:t>
            </w:r>
            <w:r w:rsidR="00316CCB">
              <w:rPr>
                <w:rFonts w:ascii="Arial" w:hAnsi="Arial" w:cs="Arial"/>
                <w:sz w:val="20"/>
                <w:szCs w:val="20"/>
                <w:lang w:val="en-GB"/>
              </w:rPr>
              <w:t>I</w:t>
            </w:r>
            <w:r>
              <w:rPr>
                <w:rFonts w:ascii="Arial" w:hAnsi="Arial" w:cs="Arial"/>
                <w:sz w:val="20"/>
                <w:szCs w:val="20"/>
                <w:lang w:val="en-GB"/>
              </w:rPr>
              <w:t>n particular</w:t>
            </w:r>
            <w:r w:rsidR="00316CCB">
              <w:rPr>
                <w:rFonts w:ascii="Arial" w:hAnsi="Arial" w:cs="Arial"/>
                <w:sz w:val="20"/>
                <w:szCs w:val="20"/>
                <w:lang w:val="en-GB"/>
              </w:rPr>
              <w:t>,</w:t>
            </w:r>
            <w:r>
              <w:rPr>
                <w:rFonts w:ascii="Arial" w:hAnsi="Arial" w:cs="Arial"/>
                <w:sz w:val="20"/>
                <w:szCs w:val="20"/>
                <w:lang w:val="en-GB"/>
              </w:rPr>
              <w:t xml:space="preserve"> it </w:t>
            </w:r>
            <w:r w:rsidRPr="005E3FCA">
              <w:rPr>
                <w:rFonts w:ascii="Arial" w:hAnsi="Arial" w:cs="Arial"/>
                <w:sz w:val="20"/>
                <w:szCs w:val="20"/>
                <w:lang w:val="en-GB"/>
              </w:rPr>
              <w:t xml:space="preserve">remains difficult to obtain a global overview of all </w:t>
            </w:r>
            <w:r w:rsidR="00316CCB">
              <w:rPr>
                <w:rFonts w:ascii="Arial" w:hAnsi="Arial" w:cs="Arial"/>
                <w:sz w:val="20"/>
                <w:szCs w:val="20"/>
                <w:lang w:val="en-GB"/>
              </w:rPr>
              <w:t xml:space="preserve">the </w:t>
            </w:r>
            <w:r w:rsidRPr="005E3FCA">
              <w:rPr>
                <w:rFonts w:ascii="Arial" w:hAnsi="Arial" w:cs="Arial"/>
                <w:sz w:val="20"/>
                <w:szCs w:val="20"/>
                <w:lang w:val="en-GB"/>
              </w:rPr>
              <w:t xml:space="preserve">reports due for a </w:t>
            </w:r>
            <w:r>
              <w:rPr>
                <w:rFonts w:ascii="Arial" w:hAnsi="Arial" w:cs="Arial"/>
                <w:sz w:val="20"/>
                <w:szCs w:val="20"/>
                <w:lang w:val="en-GB"/>
              </w:rPr>
              <w:t>given</w:t>
            </w:r>
            <w:r w:rsidRPr="005E3FCA">
              <w:rPr>
                <w:rFonts w:ascii="Arial" w:hAnsi="Arial" w:cs="Arial"/>
                <w:sz w:val="20"/>
                <w:szCs w:val="20"/>
                <w:lang w:val="en-GB"/>
              </w:rPr>
              <w:t xml:space="preserve"> cycle </w:t>
            </w:r>
            <w:r>
              <w:rPr>
                <w:rFonts w:ascii="Arial" w:hAnsi="Arial" w:cs="Arial"/>
                <w:sz w:val="20"/>
                <w:szCs w:val="20"/>
                <w:lang w:val="en-GB"/>
              </w:rPr>
              <w:t>or</w:t>
            </w:r>
            <w:r w:rsidRPr="005E3FCA">
              <w:rPr>
                <w:rFonts w:ascii="Arial" w:hAnsi="Arial" w:cs="Arial"/>
                <w:sz w:val="20"/>
                <w:szCs w:val="20"/>
                <w:lang w:val="en-GB"/>
              </w:rPr>
              <w:t xml:space="preserve"> to see immediately</w:t>
            </w:r>
            <w:r w:rsidR="00316CCB">
              <w:rPr>
                <w:rFonts w:ascii="Arial" w:hAnsi="Arial" w:cs="Arial"/>
                <w:sz w:val="20"/>
                <w:szCs w:val="20"/>
                <w:lang w:val="en-GB"/>
              </w:rPr>
              <w:t xml:space="preserve"> </w:t>
            </w:r>
            <w:r>
              <w:rPr>
                <w:rFonts w:ascii="Arial" w:hAnsi="Arial" w:cs="Arial"/>
                <w:sz w:val="20"/>
                <w:szCs w:val="20"/>
                <w:lang w:val="en-GB"/>
              </w:rPr>
              <w:t>w</w:t>
            </w:r>
            <w:r w:rsidRPr="005E3FCA">
              <w:rPr>
                <w:rFonts w:ascii="Arial" w:hAnsi="Arial" w:cs="Arial"/>
                <w:sz w:val="20"/>
                <w:szCs w:val="20"/>
                <w:lang w:val="en-GB"/>
              </w:rPr>
              <w:t xml:space="preserve">hen </w:t>
            </w:r>
            <w:r w:rsidR="00316CCB">
              <w:rPr>
                <w:rFonts w:ascii="Arial" w:hAnsi="Arial" w:cs="Arial"/>
                <w:sz w:val="20"/>
                <w:szCs w:val="20"/>
                <w:lang w:val="en-GB"/>
              </w:rPr>
              <w:t>a given country</w:t>
            </w:r>
            <w:r w:rsidRPr="005E3FCA">
              <w:rPr>
                <w:rFonts w:ascii="Arial" w:hAnsi="Arial" w:cs="Arial"/>
                <w:sz w:val="20"/>
                <w:szCs w:val="20"/>
                <w:lang w:val="en-GB"/>
              </w:rPr>
              <w:t xml:space="preserve"> should submit its report, when it would receive the Secretariat's reminder and when the report could be </w:t>
            </w:r>
            <w:r w:rsidR="00FB1D5A">
              <w:rPr>
                <w:rFonts w:ascii="Arial" w:hAnsi="Arial" w:cs="Arial"/>
                <w:sz w:val="20"/>
                <w:szCs w:val="20"/>
                <w:lang w:val="en-GB"/>
              </w:rPr>
              <w:t>examined</w:t>
            </w:r>
            <w:r w:rsidRPr="005E3FCA">
              <w:rPr>
                <w:rFonts w:ascii="Arial" w:hAnsi="Arial" w:cs="Arial"/>
                <w:sz w:val="20"/>
                <w:szCs w:val="20"/>
                <w:lang w:val="en-GB"/>
              </w:rPr>
              <w:t xml:space="preserve"> by the </w:t>
            </w:r>
            <w:r w:rsidR="00FB1D5A">
              <w:rPr>
                <w:rFonts w:ascii="Arial" w:hAnsi="Arial" w:cs="Arial"/>
                <w:sz w:val="20"/>
                <w:szCs w:val="20"/>
                <w:lang w:val="en-GB"/>
              </w:rPr>
              <w:t>Committee</w:t>
            </w:r>
            <w:r w:rsidRPr="005E3FCA">
              <w:rPr>
                <w:rFonts w:ascii="Arial" w:hAnsi="Arial" w:cs="Arial"/>
                <w:sz w:val="20"/>
                <w:szCs w:val="20"/>
                <w:lang w:val="en-GB"/>
              </w:rPr>
              <w:t>.</w:t>
            </w:r>
          </w:p>
        </w:tc>
        <w:tc>
          <w:tcPr>
            <w:tcW w:w="2500" w:type="pct"/>
            <w:shd w:val="clear" w:color="auto" w:fill="auto"/>
          </w:tcPr>
          <w:p w14:paraId="2E18D5A7" w14:textId="77777777" w:rsidR="005E3FCA" w:rsidRPr="005563A5" w:rsidRDefault="00FB1D5A" w:rsidP="005563A5">
            <w:pPr>
              <w:keepNext/>
              <w:spacing w:before="60" w:after="60"/>
              <w:rPr>
                <w:rFonts w:ascii="Arial" w:hAnsi="Arial" w:cs="Arial"/>
                <w:sz w:val="20"/>
                <w:szCs w:val="20"/>
                <w:lang w:val="en-GB"/>
              </w:rPr>
            </w:pPr>
            <w:r w:rsidRPr="00FB1D5A">
              <w:rPr>
                <w:rFonts w:ascii="Arial" w:hAnsi="Arial" w:cs="Arial"/>
                <w:sz w:val="20"/>
                <w:szCs w:val="20"/>
                <w:lang w:val="en-GB"/>
              </w:rPr>
              <w:t>Further improvements are planned with funding from the Republic of Korea through the Intangible Cultural Heritage Fund.</w:t>
            </w:r>
          </w:p>
        </w:tc>
      </w:tr>
      <w:tr w:rsidR="00613A5E" w:rsidRPr="00A53C89" w14:paraId="652B54B4" w14:textId="77777777" w:rsidTr="00D71D21">
        <w:tc>
          <w:tcPr>
            <w:tcW w:w="2500" w:type="pct"/>
            <w:shd w:val="clear" w:color="auto" w:fill="auto"/>
          </w:tcPr>
          <w:p w14:paraId="0650A785" w14:textId="77777777" w:rsidR="00B84606" w:rsidRPr="00D71D21" w:rsidRDefault="00F4350E" w:rsidP="005563A5">
            <w:pPr>
              <w:spacing w:before="60" w:after="60"/>
              <w:rPr>
                <w:rFonts w:ascii="Arial" w:hAnsi="Arial" w:cs="Arial"/>
                <w:sz w:val="20"/>
                <w:szCs w:val="20"/>
                <w:lang w:val="en-GB"/>
              </w:rPr>
            </w:pPr>
            <w:r w:rsidRPr="00D71D21">
              <w:rPr>
                <w:rFonts w:ascii="Arial" w:hAnsi="Arial" w:cs="Arial"/>
                <w:sz w:val="20"/>
                <w:szCs w:val="20"/>
                <w:lang w:val="en-GB"/>
              </w:rPr>
              <w:t xml:space="preserve">The Secretariat continues to invest tremendous </w:t>
            </w:r>
            <w:r w:rsidR="00316CCB">
              <w:rPr>
                <w:rFonts w:ascii="Arial" w:hAnsi="Arial" w:cs="Arial"/>
                <w:sz w:val="20"/>
                <w:szCs w:val="20"/>
                <w:lang w:val="en-GB"/>
              </w:rPr>
              <w:t xml:space="preserve">amounts of </w:t>
            </w:r>
            <w:r w:rsidRPr="00D71D21">
              <w:rPr>
                <w:rFonts w:ascii="Arial" w:hAnsi="Arial" w:cs="Arial"/>
                <w:sz w:val="20"/>
                <w:szCs w:val="20"/>
                <w:lang w:val="en-GB"/>
              </w:rPr>
              <w:t>time</w:t>
            </w:r>
            <w:r w:rsidR="00316CCB">
              <w:rPr>
                <w:rFonts w:ascii="Arial" w:hAnsi="Arial" w:cs="Arial"/>
                <w:sz w:val="20"/>
                <w:szCs w:val="20"/>
                <w:lang w:val="en-GB"/>
              </w:rPr>
              <w:t xml:space="preserve"> in</w:t>
            </w:r>
            <w:r w:rsidRPr="00D71D21">
              <w:rPr>
                <w:rFonts w:ascii="Arial" w:hAnsi="Arial" w:cs="Arial"/>
                <w:sz w:val="20"/>
                <w:szCs w:val="20"/>
                <w:lang w:val="en-GB"/>
              </w:rPr>
              <w:t xml:space="preserve"> the </w:t>
            </w:r>
            <w:r w:rsidR="00F806FC">
              <w:rPr>
                <w:rFonts w:ascii="Arial" w:hAnsi="Arial" w:cs="Arial"/>
                <w:sz w:val="20"/>
                <w:szCs w:val="20"/>
                <w:lang w:val="en-GB"/>
              </w:rPr>
              <w:t>publication</w:t>
            </w:r>
            <w:r w:rsidR="00F806FC" w:rsidRPr="00D71D21">
              <w:rPr>
                <w:rFonts w:ascii="Arial" w:hAnsi="Arial" w:cs="Arial"/>
                <w:sz w:val="20"/>
                <w:szCs w:val="20"/>
                <w:lang w:val="en-GB"/>
              </w:rPr>
              <w:t xml:space="preserve"> </w:t>
            </w:r>
            <w:r w:rsidRPr="00D71D21">
              <w:rPr>
                <w:rFonts w:ascii="Arial" w:hAnsi="Arial" w:cs="Arial"/>
                <w:sz w:val="20"/>
                <w:szCs w:val="20"/>
                <w:lang w:val="en-GB"/>
              </w:rPr>
              <w:t xml:space="preserve">of the Basic Texts of the Convention in </w:t>
            </w:r>
            <w:r w:rsidR="00316CCB">
              <w:rPr>
                <w:rFonts w:ascii="Arial" w:hAnsi="Arial" w:cs="Arial"/>
                <w:sz w:val="20"/>
                <w:szCs w:val="20"/>
                <w:lang w:val="en-GB"/>
              </w:rPr>
              <w:t xml:space="preserve">the </w:t>
            </w:r>
            <w:r w:rsidRPr="00D71D21">
              <w:rPr>
                <w:rFonts w:ascii="Arial" w:hAnsi="Arial" w:cs="Arial"/>
                <w:sz w:val="20"/>
                <w:szCs w:val="20"/>
                <w:lang w:val="en-GB"/>
              </w:rPr>
              <w:t xml:space="preserve">six languages, following </w:t>
            </w:r>
            <w:r w:rsidR="00316CCB">
              <w:rPr>
                <w:rFonts w:ascii="Arial" w:hAnsi="Arial" w:cs="Arial"/>
                <w:sz w:val="20"/>
                <w:szCs w:val="20"/>
                <w:lang w:val="en-GB"/>
              </w:rPr>
              <w:t xml:space="preserve">the </w:t>
            </w:r>
            <w:r w:rsidRPr="00D71D21">
              <w:rPr>
                <w:rFonts w:ascii="Arial" w:hAnsi="Arial" w:cs="Arial"/>
                <w:sz w:val="20"/>
                <w:szCs w:val="20"/>
                <w:lang w:val="en-GB"/>
              </w:rPr>
              <w:t>amendments adopted by the General Assembly</w:t>
            </w:r>
            <w:r w:rsidR="006722E8" w:rsidRPr="00D71D21">
              <w:rPr>
                <w:rFonts w:ascii="Arial" w:hAnsi="Arial" w:cs="Arial"/>
                <w:sz w:val="20"/>
                <w:szCs w:val="20"/>
                <w:lang w:val="en-GB"/>
              </w:rPr>
              <w:t xml:space="preserve"> and the Committee</w:t>
            </w:r>
            <w:r w:rsidRPr="00D71D21">
              <w:rPr>
                <w:rFonts w:ascii="Arial" w:hAnsi="Arial" w:cs="Arial"/>
                <w:sz w:val="20"/>
                <w:szCs w:val="20"/>
                <w:lang w:val="en-GB"/>
              </w:rPr>
              <w:t xml:space="preserve">. </w:t>
            </w:r>
            <w:r w:rsidR="00316CCB">
              <w:rPr>
                <w:rFonts w:ascii="Arial" w:hAnsi="Arial" w:cs="Arial"/>
                <w:sz w:val="20"/>
                <w:szCs w:val="20"/>
                <w:lang w:val="en-GB"/>
              </w:rPr>
              <w:t>This work</w:t>
            </w:r>
            <w:r w:rsidRPr="00D71D21">
              <w:rPr>
                <w:rFonts w:ascii="Arial" w:hAnsi="Arial" w:cs="Arial"/>
                <w:sz w:val="20"/>
                <w:szCs w:val="20"/>
                <w:lang w:val="en-GB"/>
              </w:rPr>
              <w:t xml:space="preserve"> requires not only language skills but also </w:t>
            </w:r>
            <w:r w:rsidR="00316CCB">
              <w:rPr>
                <w:rFonts w:ascii="Arial" w:hAnsi="Arial" w:cs="Arial"/>
                <w:sz w:val="20"/>
                <w:szCs w:val="20"/>
                <w:lang w:val="en-GB"/>
              </w:rPr>
              <w:t xml:space="preserve">an </w:t>
            </w:r>
            <w:r w:rsidRPr="00D71D21">
              <w:rPr>
                <w:rFonts w:ascii="Arial" w:hAnsi="Arial" w:cs="Arial"/>
                <w:sz w:val="20"/>
                <w:szCs w:val="20"/>
                <w:lang w:val="en-GB"/>
              </w:rPr>
              <w:t xml:space="preserve">excellent command of the </w:t>
            </w:r>
            <w:r w:rsidR="00316CCB">
              <w:rPr>
                <w:rFonts w:ascii="Arial" w:hAnsi="Arial" w:cs="Arial"/>
                <w:sz w:val="20"/>
                <w:szCs w:val="20"/>
                <w:lang w:val="en-GB"/>
              </w:rPr>
              <w:t xml:space="preserve">terminology of the </w:t>
            </w:r>
            <w:r w:rsidRPr="00D71D21">
              <w:rPr>
                <w:rFonts w:ascii="Arial" w:hAnsi="Arial" w:cs="Arial"/>
                <w:sz w:val="20"/>
                <w:szCs w:val="20"/>
                <w:lang w:val="en-GB"/>
              </w:rPr>
              <w:t>Convention, making it very difficult to outsource. While translations themselves are outsourced</w:t>
            </w:r>
            <w:r w:rsidR="006722E8" w:rsidRPr="00D71D21">
              <w:rPr>
                <w:rFonts w:ascii="Arial" w:hAnsi="Arial" w:cs="Arial"/>
                <w:sz w:val="20"/>
                <w:szCs w:val="20"/>
                <w:lang w:val="en-GB"/>
              </w:rPr>
              <w:t xml:space="preserve">, native speaking staff of </w:t>
            </w:r>
            <w:r w:rsidR="005E3FCA">
              <w:rPr>
                <w:rFonts w:ascii="Arial" w:hAnsi="Arial" w:cs="Arial"/>
                <w:sz w:val="20"/>
                <w:szCs w:val="20"/>
                <w:lang w:val="en-GB"/>
              </w:rPr>
              <w:t xml:space="preserve">the </w:t>
            </w:r>
            <w:r w:rsidR="006722E8" w:rsidRPr="00D71D21">
              <w:rPr>
                <w:rFonts w:ascii="Arial" w:hAnsi="Arial" w:cs="Arial"/>
                <w:sz w:val="20"/>
                <w:szCs w:val="20"/>
                <w:lang w:val="en-GB"/>
              </w:rPr>
              <w:t>Section undertake the revision work</w:t>
            </w:r>
            <w:r w:rsidRPr="00D71D21">
              <w:rPr>
                <w:rFonts w:ascii="Arial" w:hAnsi="Arial" w:cs="Arial"/>
                <w:sz w:val="20"/>
                <w:szCs w:val="20"/>
                <w:lang w:val="en-GB"/>
              </w:rPr>
              <w:t>.</w:t>
            </w:r>
            <w:r w:rsidR="006722E8" w:rsidRPr="00D71D21">
              <w:rPr>
                <w:rFonts w:ascii="Arial" w:hAnsi="Arial" w:cs="Arial"/>
                <w:sz w:val="20"/>
                <w:szCs w:val="20"/>
                <w:lang w:val="en-GB"/>
              </w:rPr>
              <w:t xml:space="preserve"> </w:t>
            </w:r>
          </w:p>
        </w:tc>
        <w:tc>
          <w:tcPr>
            <w:tcW w:w="2500" w:type="pct"/>
            <w:shd w:val="clear" w:color="auto" w:fill="auto"/>
          </w:tcPr>
          <w:p w14:paraId="5F373CFB" w14:textId="77777777" w:rsidR="00B84606" w:rsidRPr="00D71D21" w:rsidRDefault="006722E8" w:rsidP="009A1E0E">
            <w:pPr>
              <w:spacing w:before="60" w:after="60"/>
              <w:rPr>
                <w:rFonts w:ascii="Arial" w:eastAsia="Calibri" w:hAnsi="Arial" w:cs="Arial"/>
                <w:sz w:val="20"/>
                <w:szCs w:val="20"/>
                <w:lang w:val="en-GB"/>
              </w:rPr>
            </w:pPr>
            <w:r w:rsidRPr="00D71D21">
              <w:rPr>
                <w:rFonts w:ascii="Arial" w:hAnsi="Arial" w:cs="Arial"/>
                <w:sz w:val="20"/>
                <w:szCs w:val="20"/>
                <w:lang w:val="en-GB"/>
              </w:rPr>
              <w:t>The only possible remedial action, but which was not taken during the reporting period, would be to publish the Basic Texts in English and French</w:t>
            </w:r>
            <w:r w:rsidR="00316CCB">
              <w:rPr>
                <w:rFonts w:ascii="Arial" w:hAnsi="Arial" w:cs="Arial"/>
                <w:sz w:val="20"/>
                <w:szCs w:val="20"/>
                <w:lang w:val="en-GB"/>
              </w:rPr>
              <w:t xml:space="preserve"> only</w:t>
            </w:r>
            <w:r w:rsidRPr="00D71D21">
              <w:rPr>
                <w:rFonts w:ascii="Arial" w:hAnsi="Arial" w:cs="Arial"/>
                <w:sz w:val="20"/>
                <w:szCs w:val="20"/>
                <w:lang w:val="en-GB"/>
              </w:rPr>
              <w:t>.</w:t>
            </w:r>
          </w:p>
        </w:tc>
      </w:tr>
    </w:tbl>
    <w:p w14:paraId="4A5D7055" w14:textId="77777777" w:rsidR="00A74D6C" w:rsidRPr="00524C74" w:rsidRDefault="00A74D6C" w:rsidP="00143F74">
      <w:pPr>
        <w:keepNext/>
        <w:spacing w:before="240" w:after="120"/>
        <w:ind w:left="851" w:hanging="851"/>
        <w:rPr>
          <w:rFonts w:ascii="Arial" w:hAnsi="Arial" w:cs="Arial"/>
          <w:b/>
          <w:sz w:val="22"/>
          <w:szCs w:val="22"/>
          <w:lang w:val="en-GB"/>
        </w:rPr>
      </w:pPr>
      <w:r w:rsidRPr="00524C74">
        <w:rPr>
          <w:rFonts w:ascii="Arial" w:hAnsi="Arial" w:cs="Arial"/>
          <w:b/>
          <w:sz w:val="22"/>
          <w:szCs w:val="22"/>
          <w:lang w:val="en-GB"/>
        </w:rPr>
        <w:t>ER 2:</w:t>
      </w:r>
      <w:r w:rsidRPr="00524C74">
        <w:rPr>
          <w:rFonts w:ascii="Arial" w:hAnsi="Arial" w:cs="Arial"/>
          <w:b/>
          <w:sz w:val="22"/>
          <w:szCs w:val="22"/>
          <w:lang w:val="en-GB"/>
        </w:rPr>
        <w:tab/>
      </w:r>
      <w:r w:rsidR="0098372B" w:rsidRPr="00524C74">
        <w:rPr>
          <w:rFonts w:ascii="Arial" w:hAnsi="Arial" w:cs="Arial"/>
          <w:b/>
          <w:bCs/>
          <w:sz w:val="22"/>
          <w:szCs w:val="22"/>
          <w:lang w:val="en-GB"/>
        </w:rPr>
        <w:t>Implementation of the Convention in Member States encouraged through a strengthened capacity-building programme and guidance on safeguarding measures and good practices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67"/>
        <w:gridCol w:w="1920"/>
      </w:tblGrid>
      <w:tr w:rsidR="00A74D6C" w:rsidRPr="00524C74" w14:paraId="1DFB177B" w14:textId="77777777" w:rsidTr="00203F98">
        <w:tc>
          <w:tcPr>
            <w:tcW w:w="2013" w:type="pct"/>
            <w:shd w:val="clear" w:color="auto" w:fill="C6D9F1"/>
          </w:tcPr>
          <w:p w14:paraId="7DAB38C7" w14:textId="77777777" w:rsidR="00A74D6C" w:rsidRPr="00524C74" w:rsidRDefault="00A74D6C" w:rsidP="005F7CB2">
            <w:pPr>
              <w:spacing w:before="120" w:after="120"/>
              <w:jc w:val="center"/>
              <w:rPr>
                <w:rFonts w:ascii="Arial" w:eastAsia="Calibri" w:hAnsi="Arial" w:cs="Arial"/>
                <w:b/>
                <w:sz w:val="20"/>
                <w:szCs w:val="20"/>
                <w:lang w:val="en-GB"/>
              </w:rPr>
            </w:pPr>
            <w:r w:rsidRPr="00524C74">
              <w:rPr>
                <w:rFonts w:ascii="Arial" w:eastAsia="Calibri" w:hAnsi="Arial" w:cs="Arial"/>
                <w:b/>
                <w:sz w:val="20"/>
                <w:szCs w:val="20"/>
                <w:lang w:val="en-GB"/>
              </w:rPr>
              <w:t>Allocation</w:t>
            </w:r>
          </w:p>
        </w:tc>
        <w:tc>
          <w:tcPr>
            <w:tcW w:w="2013" w:type="pct"/>
            <w:shd w:val="clear" w:color="auto" w:fill="C6D9F1"/>
          </w:tcPr>
          <w:p w14:paraId="2CAE2A92" w14:textId="77777777" w:rsidR="00A74D6C" w:rsidRPr="00524C74" w:rsidRDefault="00A74D6C" w:rsidP="005F7CB2">
            <w:pPr>
              <w:spacing w:before="120" w:after="120"/>
              <w:jc w:val="center"/>
              <w:rPr>
                <w:rFonts w:ascii="Arial" w:eastAsia="Calibri" w:hAnsi="Arial" w:cs="Arial"/>
                <w:b/>
                <w:sz w:val="20"/>
                <w:szCs w:val="20"/>
                <w:lang w:val="en-GB"/>
              </w:rPr>
            </w:pPr>
            <w:r w:rsidRPr="00524C74">
              <w:rPr>
                <w:rFonts w:ascii="Arial" w:eastAsia="Calibri" w:hAnsi="Arial" w:cs="Arial"/>
                <w:b/>
                <w:sz w:val="20"/>
                <w:szCs w:val="20"/>
                <w:lang w:val="en-GB"/>
              </w:rPr>
              <w:t>Expenditures</w:t>
            </w:r>
          </w:p>
        </w:tc>
        <w:tc>
          <w:tcPr>
            <w:tcW w:w="974" w:type="pct"/>
            <w:shd w:val="clear" w:color="auto" w:fill="C6D9F1"/>
          </w:tcPr>
          <w:p w14:paraId="30A3FBAE" w14:textId="77777777" w:rsidR="00A74D6C" w:rsidRPr="00524C74" w:rsidRDefault="00A74D6C" w:rsidP="005F7CB2">
            <w:pPr>
              <w:spacing w:before="120" w:after="120"/>
              <w:jc w:val="center"/>
              <w:rPr>
                <w:rFonts w:ascii="Arial" w:eastAsia="Calibri" w:hAnsi="Arial" w:cs="Arial"/>
                <w:b/>
                <w:sz w:val="20"/>
                <w:szCs w:val="20"/>
                <w:lang w:val="en-GB"/>
              </w:rPr>
            </w:pPr>
            <w:r w:rsidRPr="00524C74">
              <w:rPr>
                <w:rFonts w:ascii="Arial" w:eastAsia="Calibri" w:hAnsi="Arial" w:cs="Arial"/>
                <w:b/>
                <w:sz w:val="20"/>
                <w:szCs w:val="20"/>
                <w:lang w:val="en-GB"/>
              </w:rPr>
              <w:t>Exp. Rate %</w:t>
            </w:r>
          </w:p>
        </w:tc>
      </w:tr>
      <w:tr w:rsidR="00A74D6C" w:rsidRPr="00524C74" w14:paraId="4E6C1ECD" w14:textId="77777777" w:rsidTr="00203F98">
        <w:tc>
          <w:tcPr>
            <w:tcW w:w="2013" w:type="pct"/>
            <w:shd w:val="clear" w:color="auto" w:fill="auto"/>
          </w:tcPr>
          <w:p w14:paraId="44C09849" w14:textId="77777777" w:rsidR="00A74D6C" w:rsidRPr="00524C74" w:rsidRDefault="0098372B" w:rsidP="005F7CB2">
            <w:pPr>
              <w:spacing w:before="120" w:after="120"/>
              <w:jc w:val="center"/>
              <w:rPr>
                <w:rFonts w:ascii="Arial" w:eastAsia="Calibri" w:hAnsi="Arial" w:cs="Arial"/>
                <w:sz w:val="20"/>
                <w:szCs w:val="20"/>
                <w:lang w:val="en-GB"/>
              </w:rPr>
            </w:pPr>
            <w:r w:rsidRPr="00524C74">
              <w:rPr>
                <w:rFonts w:ascii="Arial" w:eastAsia="Calibri" w:hAnsi="Arial" w:cs="Arial"/>
                <w:sz w:val="20"/>
                <w:szCs w:val="20"/>
                <w:lang w:val="en-GB"/>
              </w:rPr>
              <w:t>817,346</w:t>
            </w:r>
          </w:p>
        </w:tc>
        <w:tc>
          <w:tcPr>
            <w:tcW w:w="2013" w:type="pct"/>
            <w:shd w:val="clear" w:color="auto" w:fill="auto"/>
          </w:tcPr>
          <w:p w14:paraId="2B9EF0C1" w14:textId="77777777" w:rsidR="00A74D6C" w:rsidRPr="00524C74" w:rsidRDefault="009A7994" w:rsidP="005F7CB2">
            <w:pPr>
              <w:spacing w:before="120" w:after="120"/>
              <w:jc w:val="center"/>
              <w:rPr>
                <w:rFonts w:ascii="Arial" w:eastAsia="Calibri" w:hAnsi="Arial" w:cs="Arial"/>
                <w:sz w:val="20"/>
                <w:szCs w:val="20"/>
                <w:lang w:val="en-GB"/>
              </w:rPr>
            </w:pPr>
            <w:r>
              <w:rPr>
                <w:rFonts w:ascii="Arial" w:hAnsi="Arial" w:cs="Arial"/>
                <w:sz w:val="20"/>
                <w:szCs w:val="20"/>
                <w:lang w:val="en-GB"/>
              </w:rPr>
              <w:t>335,167.65</w:t>
            </w:r>
          </w:p>
        </w:tc>
        <w:tc>
          <w:tcPr>
            <w:tcW w:w="974" w:type="pct"/>
            <w:shd w:val="clear" w:color="auto" w:fill="auto"/>
          </w:tcPr>
          <w:p w14:paraId="0B86D37D" w14:textId="77777777" w:rsidR="00A74D6C" w:rsidRPr="00524C74" w:rsidRDefault="009A7994" w:rsidP="005F7CB2">
            <w:pPr>
              <w:spacing w:before="120" w:after="120"/>
              <w:jc w:val="center"/>
              <w:rPr>
                <w:rFonts w:ascii="Arial" w:eastAsia="Calibri" w:hAnsi="Arial" w:cs="Arial"/>
                <w:sz w:val="20"/>
                <w:szCs w:val="20"/>
                <w:lang w:val="en-GB"/>
              </w:rPr>
            </w:pPr>
            <w:r>
              <w:rPr>
                <w:rFonts w:ascii="Arial" w:eastAsia="Calibri" w:hAnsi="Arial" w:cs="Arial"/>
                <w:sz w:val="20"/>
                <w:szCs w:val="20"/>
                <w:lang w:val="en-GB"/>
              </w:rPr>
              <w:t>41</w:t>
            </w:r>
            <w:r w:rsidR="00A74D6C" w:rsidRPr="00524C74">
              <w:rPr>
                <w:rFonts w:ascii="Arial" w:eastAsia="Calibri" w:hAnsi="Arial" w:cs="Arial"/>
                <w:sz w:val="20"/>
                <w:szCs w:val="20"/>
                <w:lang w:val="en-GB"/>
              </w:rPr>
              <w:t>%</w:t>
            </w:r>
          </w:p>
        </w:tc>
      </w:tr>
    </w:tbl>
    <w:p w14:paraId="24E687C0" w14:textId="77777777" w:rsidR="00A74D6C" w:rsidRPr="00524C74" w:rsidRDefault="00A74D6C" w:rsidP="005F7CB2">
      <w:pPr>
        <w:spacing w:before="240" w:after="120"/>
        <w:rPr>
          <w:rFonts w:ascii="Arial" w:hAnsi="Arial" w:cs="Arial"/>
          <w:b/>
          <w:lang w:val="en-G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69"/>
        <w:gridCol w:w="1848"/>
      </w:tblGrid>
      <w:tr w:rsidR="00BA522B" w:rsidRPr="005563A5" w14:paraId="02520607" w14:textId="77777777" w:rsidTr="00D71D21">
        <w:trPr>
          <w:tblHeader/>
        </w:trPr>
        <w:tc>
          <w:tcPr>
            <w:tcW w:w="3823" w:type="dxa"/>
            <w:shd w:val="clear" w:color="auto" w:fill="D9D9D9"/>
          </w:tcPr>
          <w:p w14:paraId="3AF28C18" w14:textId="77777777" w:rsidR="00842D1A" w:rsidRPr="00316CCB" w:rsidRDefault="00842D1A" w:rsidP="00316CCB">
            <w:pPr>
              <w:spacing w:before="60" w:after="60"/>
              <w:jc w:val="center"/>
              <w:rPr>
                <w:rFonts w:ascii="Arial" w:eastAsia="Calibri" w:hAnsi="Arial" w:cs="Arial"/>
                <w:b/>
                <w:sz w:val="20"/>
                <w:szCs w:val="20"/>
                <w:lang w:val="en-GB"/>
              </w:rPr>
            </w:pPr>
            <w:r w:rsidRPr="00316CCB">
              <w:rPr>
                <w:rFonts w:ascii="Arial" w:eastAsia="Calibri" w:hAnsi="Arial" w:cs="Arial"/>
                <w:b/>
                <w:sz w:val="20"/>
                <w:szCs w:val="20"/>
                <w:lang w:val="en-GB"/>
              </w:rPr>
              <w:t>Output (O)</w:t>
            </w:r>
            <w:r w:rsidRPr="00316CCB">
              <w:rPr>
                <w:rFonts w:ascii="Arial" w:eastAsia="Calibri" w:hAnsi="Arial" w:cs="Arial"/>
                <w:b/>
                <w:sz w:val="20"/>
                <w:szCs w:val="20"/>
                <w:lang w:val="en-GB"/>
              </w:rPr>
              <w:br/>
              <w:t>Indicators/Benchmark (B)</w:t>
            </w:r>
          </w:p>
        </w:tc>
        <w:tc>
          <w:tcPr>
            <w:tcW w:w="3969" w:type="dxa"/>
            <w:shd w:val="clear" w:color="auto" w:fill="D9D9D9"/>
          </w:tcPr>
          <w:p w14:paraId="05F5492B" w14:textId="77777777" w:rsidR="00842D1A" w:rsidRPr="008969C8" w:rsidRDefault="00842D1A" w:rsidP="009A1E0E">
            <w:pPr>
              <w:spacing w:before="60" w:after="60"/>
              <w:jc w:val="center"/>
              <w:rPr>
                <w:rFonts w:ascii="Arial" w:eastAsia="Calibri" w:hAnsi="Arial" w:cs="Arial"/>
                <w:b/>
                <w:sz w:val="20"/>
                <w:szCs w:val="20"/>
                <w:lang w:val="en-GB"/>
              </w:rPr>
            </w:pPr>
            <w:r w:rsidRPr="009A1E0E">
              <w:rPr>
                <w:rFonts w:ascii="Arial" w:eastAsia="Calibri" w:hAnsi="Arial" w:cs="Arial"/>
                <w:b/>
                <w:sz w:val="20"/>
                <w:szCs w:val="20"/>
                <w:lang w:val="en-GB"/>
              </w:rPr>
              <w:t>Assessment of progress:</w:t>
            </w:r>
            <w:r w:rsidRPr="009A1E0E">
              <w:rPr>
                <w:rFonts w:ascii="Arial" w:eastAsia="Calibri" w:hAnsi="Arial" w:cs="Arial"/>
                <w:b/>
                <w:sz w:val="20"/>
                <w:szCs w:val="20"/>
                <w:lang w:val="en-GB"/>
              </w:rPr>
              <w:br/>
            </w:r>
            <w:r w:rsidR="006408A8" w:rsidRPr="008969C8">
              <w:rPr>
                <w:rFonts w:ascii="Arial" w:eastAsia="Calibri" w:hAnsi="Arial" w:cs="Arial"/>
                <w:b/>
                <w:sz w:val="20"/>
                <w:szCs w:val="20"/>
                <w:lang w:val="en-GB"/>
              </w:rPr>
              <w:t>01/01/2016 to 31/12/2016</w:t>
            </w:r>
          </w:p>
        </w:tc>
        <w:tc>
          <w:tcPr>
            <w:tcW w:w="1848" w:type="dxa"/>
            <w:shd w:val="clear" w:color="auto" w:fill="D9D9D9"/>
            <w:vAlign w:val="center"/>
          </w:tcPr>
          <w:p w14:paraId="2E049EEF" w14:textId="77777777" w:rsidR="00842D1A" w:rsidRPr="008969C8" w:rsidRDefault="00842D1A" w:rsidP="008969C8">
            <w:pPr>
              <w:spacing w:before="60" w:after="60"/>
              <w:jc w:val="center"/>
              <w:rPr>
                <w:rFonts w:ascii="Arial" w:eastAsia="Calibri" w:hAnsi="Arial" w:cs="Arial"/>
                <w:b/>
                <w:sz w:val="20"/>
                <w:szCs w:val="20"/>
                <w:lang w:val="en-GB"/>
              </w:rPr>
            </w:pPr>
            <w:r w:rsidRPr="008969C8">
              <w:rPr>
                <w:rFonts w:ascii="Arial" w:eastAsia="Calibri" w:hAnsi="Arial" w:cs="Arial"/>
                <w:b/>
                <w:sz w:val="20"/>
                <w:szCs w:val="20"/>
                <w:lang w:val="en-GB"/>
              </w:rPr>
              <w:t>Assessment of implementation</w:t>
            </w:r>
          </w:p>
        </w:tc>
      </w:tr>
      <w:tr w:rsidR="00996416" w:rsidRPr="005563A5" w14:paraId="2ED6F7B4" w14:textId="77777777" w:rsidTr="000156ED">
        <w:tc>
          <w:tcPr>
            <w:tcW w:w="3823" w:type="dxa"/>
            <w:shd w:val="clear" w:color="auto" w:fill="auto"/>
          </w:tcPr>
          <w:p w14:paraId="1FBDEDCC" w14:textId="77777777" w:rsidR="00996416" w:rsidRPr="00316CCB" w:rsidRDefault="00996416" w:rsidP="00316CCB">
            <w:pPr>
              <w:spacing w:before="60" w:after="60"/>
              <w:rPr>
                <w:rFonts w:ascii="Arial" w:eastAsia="Calibri" w:hAnsi="Arial" w:cs="Arial"/>
                <w:b/>
                <w:sz w:val="20"/>
                <w:szCs w:val="20"/>
                <w:lang w:val="en-GB"/>
              </w:rPr>
            </w:pPr>
            <w:r w:rsidRPr="00316CCB">
              <w:rPr>
                <w:rFonts w:ascii="Arial" w:eastAsia="Calibri" w:hAnsi="Arial" w:cs="Arial"/>
                <w:b/>
                <w:sz w:val="20"/>
                <w:szCs w:val="20"/>
                <w:lang w:val="en-GB"/>
              </w:rPr>
              <w:t xml:space="preserve">O: </w:t>
            </w:r>
          </w:p>
          <w:p w14:paraId="545867E1" w14:textId="77777777" w:rsidR="00996416" w:rsidRPr="009A1E0E" w:rsidRDefault="00996416" w:rsidP="009A1E0E">
            <w:pPr>
              <w:spacing w:before="60" w:after="60"/>
              <w:rPr>
                <w:rFonts w:ascii="Arial" w:eastAsia="Calibri" w:hAnsi="Arial" w:cs="Arial"/>
                <w:sz w:val="20"/>
                <w:szCs w:val="20"/>
                <w:lang w:val="en-GB"/>
              </w:rPr>
            </w:pPr>
            <w:r w:rsidRPr="009A1E0E">
              <w:rPr>
                <w:rFonts w:ascii="Arial" w:eastAsia="Calibri" w:hAnsi="Arial" w:cs="Arial"/>
                <w:sz w:val="20"/>
                <w:szCs w:val="20"/>
                <w:lang w:val="en-GB"/>
              </w:rPr>
              <w:t>Facilitators’ network strengthened</w:t>
            </w:r>
          </w:p>
          <w:p w14:paraId="5E95F921" w14:textId="77777777" w:rsidR="00996416" w:rsidRPr="008969C8" w:rsidRDefault="00996416" w:rsidP="008969C8">
            <w:pPr>
              <w:keepNext/>
              <w:spacing w:before="60" w:after="60"/>
              <w:rPr>
                <w:rFonts w:ascii="Arial" w:eastAsia="Calibri" w:hAnsi="Arial" w:cs="Arial"/>
                <w:b/>
                <w:sz w:val="20"/>
                <w:szCs w:val="20"/>
                <w:lang w:val="en-GB"/>
              </w:rPr>
            </w:pPr>
            <w:r w:rsidRPr="008969C8">
              <w:rPr>
                <w:rFonts w:ascii="Arial" w:eastAsia="Calibri" w:hAnsi="Arial" w:cs="Arial"/>
                <w:b/>
                <w:sz w:val="20"/>
                <w:szCs w:val="20"/>
                <w:lang w:val="en-GB"/>
              </w:rPr>
              <w:t>B 2016-2017:</w:t>
            </w:r>
          </w:p>
          <w:p w14:paraId="3A835163" w14:textId="77777777" w:rsidR="00996416" w:rsidRPr="00D25FF7" w:rsidRDefault="00996416" w:rsidP="00D25FF7">
            <w:pPr>
              <w:spacing w:before="60" w:after="60"/>
              <w:rPr>
                <w:rFonts w:ascii="Arial" w:eastAsia="Calibri" w:hAnsi="Arial" w:cs="Arial"/>
                <w:sz w:val="20"/>
                <w:szCs w:val="20"/>
                <w:lang w:val="en-GB"/>
              </w:rPr>
            </w:pPr>
            <w:r w:rsidRPr="00D25FF7">
              <w:rPr>
                <w:rFonts w:ascii="Arial" w:eastAsia="Calibri" w:hAnsi="Arial" w:cs="Arial"/>
                <w:sz w:val="20"/>
                <w:szCs w:val="20"/>
                <w:lang w:val="en-GB"/>
              </w:rPr>
              <w:t>Regional workshops to train facilitators and update skills</w:t>
            </w:r>
            <w:r w:rsidRPr="00D25FF7">
              <w:rPr>
                <w:rFonts w:ascii="Arial" w:eastAsia="Calibri" w:hAnsi="Arial" w:cs="Arial"/>
                <w:sz w:val="20"/>
                <w:szCs w:val="20"/>
                <w:lang w:val="en-GB"/>
              </w:rPr>
              <w:br/>
              <w:t>(B=4, contingent on host-country or partner support)</w:t>
            </w:r>
          </w:p>
          <w:p w14:paraId="5AD61A1B" w14:textId="77777777" w:rsidR="00996416" w:rsidRPr="009A1E0E" w:rsidRDefault="00996416" w:rsidP="00D25FF7">
            <w:pPr>
              <w:spacing w:before="60" w:after="60"/>
              <w:rPr>
                <w:rFonts w:ascii="Arial" w:eastAsia="Calibri" w:hAnsi="Arial" w:cs="Arial"/>
                <w:sz w:val="20"/>
                <w:szCs w:val="20"/>
                <w:lang w:val="en-GB"/>
              </w:rPr>
            </w:pPr>
            <w:r w:rsidRPr="00D25FF7">
              <w:rPr>
                <w:rFonts w:ascii="Arial" w:eastAsia="Calibri" w:hAnsi="Arial" w:cs="Arial"/>
                <w:sz w:val="20"/>
                <w:szCs w:val="20"/>
                <w:lang w:val="en-GB"/>
              </w:rPr>
              <w:lastRenderedPageBreak/>
              <w:t>Global workshop on</w:t>
            </w:r>
            <w:r w:rsidR="00316CCB">
              <w:rPr>
                <w:rFonts w:ascii="Arial" w:eastAsia="Calibri" w:hAnsi="Arial" w:cs="Arial"/>
                <w:sz w:val="20"/>
                <w:szCs w:val="20"/>
                <w:lang w:val="en-GB"/>
              </w:rPr>
              <w:t xml:space="preserve"> the</w:t>
            </w:r>
            <w:r w:rsidRPr="009A1E0E">
              <w:rPr>
                <w:rFonts w:ascii="Arial" w:eastAsia="Calibri" w:hAnsi="Arial" w:cs="Arial"/>
                <w:sz w:val="20"/>
                <w:szCs w:val="20"/>
                <w:lang w:val="en-GB"/>
              </w:rPr>
              <w:t xml:space="preserve"> review of the capacity-building programme and introduction to providing support for </w:t>
            </w:r>
            <w:r w:rsidR="00316CCB">
              <w:rPr>
                <w:rFonts w:ascii="Arial" w:eastAsia="Calibri" w:hAnsi="Arial" w:cs="Arial"/>
                <w:sz w:val="20"/>
                <w:szCs w:val="20"/>
                <w:lang w:val="en-GB"/>
              </w:rPr>
              <w:t>I</w:t>
            </w:r>
            <w:r w:rsidR="00316CCB" w:rsidRPr="009A1E0E">
              <w:rPr>
                <w:rFonts w:ascii="Arial" w:eastAsia="Calibri" w:hAnsi="Arial" w:cs="Arial"/>
                <w:sz w:val="20"/>
                <w:szCs w:val="20"/>
                <w:lang w:val="en-GB"/>
              </w:rPr>
              <w:t xml:space="preserve">nternational </w:t>
            </w:r>
            <w:r w:rsidR="00316CCB">
              <w:rPr>
                <w:rFonts w:ascii="Arial" w:eastAsia="Calibri" w:hAnsi="Arial" w:cs="Arial"/>
                <w:sz w:val="20"/>
                <w:szCs w:val="20"/>
                <w:lang w:val="en-GB"/>
              </w:rPr>
              <w:t>A</w:t>
            </w:r>
            <w:r w:rsidR="00316CCB" w:rsidRPr="009A1E0E">
              <w:rPr>
                <w:rFonts w:ascii="Arial" w:eastAsia="Calibri" w:hAnsi="Arial" w:cs="Arial"/>
                <w:sz w:val="20"/>
                <w:szCs w:val="20"/>
                <w:lang w:val="en-GB"/>
              </w:rPr>
              <w:t xml:space="preserve">ssistance </w:t>
            </w:r>
            <w:r w:rsidRPr="009A1E0E">
              <w:rPr>
                <w:rFonts w:ascii="Arial" w:eastAsia="Calibri" w:hAnsi="Arial" w:cs="Arial"/>
                <w:sz w:val="20"/>
                <w:szCs w:val="20"/>
                <w:lang w:val="en-GB"/>
              </w:rPr>
              <w:t>requests (B=1)</w:t>
            </w:r>
          </w:p>
          <w:p w14:paraId="62B46129" w14:textId="77777777" w:rsidR="00996416" w:rsidRPr="008969C8" w:rsidRDefault="00996416" w:rsidP="005563A5">
            <w:pPr>
              <w:spacing w:before="60" w:after="60"/>
              <w:rPr>
                <w:rFonts w:ascii="Arial" w:eastAsia="Calibri" w:hAnsi="Arial" w:cs="Arial"/>
                <w:sz w:val="20"/>
                <w:szCs w:val="20"/>
                <w:lang w:val="en-GB"/>
              </w:rPr>
            </w:pPr>
            <w:r w:rsidRPr="008969C8">
              <w:rPr>
                <w:rFonts w:ascii="Arial" w:eastAsia="Calibri" w:hAnsi="Arial" w:cs="Arial"/>
                <w:sz w:val="20"/>
                <w:szCs w:val="20"/>
                <w:lang w:val="en-GB"/>
              </w:rPr>
              <w:t>Audiovisual tutorials developed on selected topics (B=3)</w:t>
            </w:r>
          </w:p>
          <w:p w14:paraId="3D005C8D" w14:textId="77777777" w:rsidR="00996416" w:rsidRPr="00D25FF7" w:rsidRDefault="00996416" w:rsidP="005563A5">
            <w:pPr>
              <w:spacing w:before="60" w:after="60"/>
              <w:rPr>
                <w:rFonts w:ascii="Arial" w:eastAsia="Calibri" w:hAnsi="Arial" w:cs="Arial"/>
                <w:sz w:val="20"/>
                <w:szCs w:val="20"/>
                <w:lang w:val="en-GB"/>
              </w:rPr>
            </w:pPr>
            <w:r w:rsidRPr="00D25FF7">
              <w:rPr>
                <w:rFonts w:ascii="Arial" w:eastAsia="Calibri" w:hAnsi="Arial" w:cs="Arial"/>
                <w:sz w:val="20"/>
                <w:szCs w:val="20"/>
                <w:lang w:val="en-GB"/>
              </w:rPr>
              <w:t>IT functionalities updated for the capacity-building programme (B=1)</w:t>
            </w:r>
          </w:p>
        </w:tc>
        <w:tc>
          <w:tcPr>
            <w:tcW w:w="3969" w:type="dxa"/>
            <w:shd w:val="clear" w:color="auto" w:fill="auto"/>
          </w:tcPr>
          <w:p w14:paraId="51EB7453" w14:textId="77777777" w:rsidR="00996416" w:rsidRPr="005563A5" w:rsidRDefault="00996416"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D25FF7">
              <w:rPr>
                <w:rFonts w:ascii="Arial" w:eastAsia="Calibri" w:hAnsi="Arial" w:cs="Arial"/>
                <w:sz w:val="20"/>
                <w:szCs w:val="20"/>
                <w:lang w:val="en-GB"/>
              </w:rPr>
              <w:lastRenderedPageBreak/>
              <w:t xml:space="preserve">Regional workshop for UNESCO facilitators in Latin America and the Caribbean on supporting </w:t>
            </w:r>
            <w:r w:rsidRPr="005563A5">
              <w:rPr>
                <w:rFonts w:ascii="Arial" w:eastAsia="Calibri" w:hAnsi="Arial" w:cs="Arial"/>
                <w:sz w:val="20"/>
                <w:szCs w:val="20"/>
                <w:lang w:val="en-GB"/>
              </w:rPr>
              <w:t xml:space="preserve">policy development in the field of intangible cultural heritage held from 3 to 7 October 2016 in Lima, Peru, and co-hosted by the Regional Centre for the Safeguarding of the Intangible </w:t>
            </w:r>
            <w:r w:rsidRPr="005563A5">
              <w:rPr>
                <w:rFonts w:ascii="Arial" w:eastAsia="Calibri" w:hAnsi="Arial" w:cs="Arial"/>
                <w:sz w:val="20"/>
                <w:szCs w:val="20"/>
                <w:lang w:val="en-GB"/>
              </w:rPr>
              <w:lastRenderedPageBreak/>
              <w:t>Cultural Heritage of Latin America (CRESPIAL)</w:t>
            </w:r>
          </w:p>
          <w:p w14:paraId="50DA6B98" w14:textId="77777777" w:rsidR="00996416" w:rsidRPr="008969C8" w:rsidRDefault="00996416"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5563A5">
              <w:rPr>
                <w:rFonts w:ascii="Arial" w:eastAsia="Calibri" w:hAnsi="Arial" w:cs="Arial"/>
                <w:sz w:val="20"/>
                <w:szCs w:val="20"/>
                <w:lang w:val="en-GB"/>
              </w:rPr>
              <w:t>Mission undertaken from 31 August to 4 September to Bishkek, Kyrgyzstan</w:t>
            </w:r>
            <w:r w:rsidR="00101408">
              <w:rPr>
                <w:rFonts w:ascii="Arial" w:eastAsia="Calibri" w:hAnsi="Arial" w:cs="Arial"/>
                <w:sz w:val="20"/>
                <w:szCs w:val="20"/>
                <w:lang w:val="en-GB"/>
              </w:rPr>
              <w:t>,</w:t>
            </w:r>
            <w:r w:rsidRPr="009A1E0E">
              <w:rPr>
                <w:rFonts w:ascii="Arial" w:eastAsia="Calibri" w:hAnsi="Arial" w:cs="Arial"/>
                <w:sz w:val="20"/>
                <w:szCs w:val="20"/>
                <w:lang w:val="en-GB"/>
              </w:rPr>
              <w:t xml:space="preserve"> to prepare for a regional workshop for </w:t>
            </w:r>
            <w:r w:rsidR="00101408" w:rsidRPr="008969C8">
              <w:rPr>
                <w:rFonts w:ascii="Arial" w:eastAsia="Calibri" w:hAnsi="Arial" w:cs="Arial"/>
                <w:sz w:val="20"/>
                <w:szCs w:val="20"/>
                <w:lang w:val="en-GB"/>
              </w:rPr>
              <w:t>Russian</w:t>
            </w:r>
            <w:r w:rsidR="00101408">
              <w:rPr>
                <w:rFonts w:ascii="Arial" w:eastAsia="Calibri" w:hAnsi="Arial" w:cs="Arial"/>
                <w:sz w:val="20"/>
                <w:szCs w:val="20"/>
                <w:lang w:val="en-GB"/>
              </w:rPr>
              <w:t>-</w:t>
            </w:r>
            <w:r w:rsidRPr="009A1E0E">
              <w:rPr>
                <w:rFonts w:ascii="Arial" w:eastAsia="Calibri" w:hAnsi="Arial" w:cs="Arial"/>
                <w:sz w:val="20"/>
                <w:szCs w:val="20"/>
                <w:lang w:val="en-GB"/>
              </w:rPr>
              <w:t>speaking Central Asian countries to be held in Bishkek in June 2017 with the financial support of the International Training Centre for Intangible Cultural Heritage in the Asia-Pacific Region (CRIHAP)</w:t>
            </w:r>
          </w:p>
          <w:p w14:paraId="372FCB13" w14:textId="77777777" w:rsidR="00996416" w:rsidRPr="008969C8" w:rsidRDefault="00996416"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9A1E0E">
              <w:rPr>
                <w:rFonts w:ascii="Arial" w:eastAsia="Calibri" w:hAnsi="Arial" w:cs="Arial"/>
                <w:sz w:val="20"/>
                <w:szCs w:val="20"/>
                <w:lang w:val="en-GB"/>
              </w:rPr>
              <w:t>Short video tutorial (11 minutes) developed to familiarize UNESCO facilitators with the content and methodology of the training workshop on developing safeguarding plans</w:t>
            </w:r>
          </w:p>
          <w:p w14:paraId="5435F425" w14:textId="77777777" w:rsidR="00996416" w:rsidRPr="00316CCB" w:rsidRDefault="00996416"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5563A5">
              <w:rPr>
                <w:rFonts w:ascii="Arial" w:eastAsia="Calibri" w:hAnsi="Arial" w:cs="Arial"/>
                <w:sz w:val="20"/>
                <w:szCs w:val="20"/>
                <w:lang w:val="en-GB"/>
              </w:rPr>
              <w:t xml:space="preserve">Developments made on the online </w:t>
            </w:r>
            <w:r w:rsidR="009A7994" w:rsidRPr="005563A5">
              <w:rPr>
                <w:rFonts w:ascii="Arial" w:eastAsia="Calibri" w:hAnsi="Arial" w:cs="Arial"/>
                <w:sz w:val="20"/>
                <w:szCs w:val="20"/>
                <w:lang w:val="en-GB"/>
              </w:rPr>
              <w:t xml:space="preserve">workshop interface </w:t>
            </w:r>
            <w:r w:rsidR="00E708B2" w:rsidRPr="005563A5">
              <w:rPr>
                <w:rFonts w:ascii="Arial" w:eastAsia="Calibri" w:hAnsi="Arial" w:cs="Arial"/>
                <w:sz w:val="20"/>
                <w:szCs w:val="20"/>
                <w:lang w:val="en-GB"/>
              </w:rPr>
              <w:t xml:space="preserve">integrating </w:t>
            </w:r>
            <w:r w:rsidRPr="005563A5">
              <w:rPr>
                <w:rFonts w:ascii="Arial" w:eastAsia="Calibri" w:hAnsi="Arial" w:cs="Arial"/>
                <w:sz w:val="20"/>
                <w:szCs w:val="20"/>
                <w:lang w:val="en-GB"/>
              </w:rPr>
              <w:t>tools available to facilitators</w:t>
            </w:r>
          </w:p>
        </w:tc>
        <w:tc>
          <w:tcPr>
            <w:tcW w:w="1848" w:type="dxa"/>
          </w:tcPr>
          <w:p w14:paraId="34E4211C" w14:textId="77777777" w:rsidR="00996416" w:rsidRPr="009A1E0E" w:rsidRDefault="00996416" w:rsidP="005563A5">
            <w:pPr>
              <w:spacing w:before="60" w:after="60"/>
              <w:jc w:val="center"/>
              <w:rPr>
                <w:rFonts w:ascii="Arial" w:eastAsia="Calibri" w:hAnsi="Arial" w:cs="Arial"/>
                <w:sz w:val="20"/>
                <w:szCs w:val="20"/>
                <w:lang w:val="en-GB"/>
              </w:rPr>
            </w:pPr>
            <w:r w:rsidRPr="009A1E0E">
              <w:rPr>
                <w:rFonts w:ascii="Arial" w:eastAsia="Calibri" w:hAnsi="Arial" w:cs="Arial"/>
                <w:sz w:val="20"/>
                <w:szCs w:val="20"/>
                <w:lang w:val="en-GB"/>
              </w:rPr>
              <w:lastRenderedPageBreak/>
              <w:t>Partly accomplished</w:t>
            </w:r>
          </w:p>
        </w:tc>
      </w:tr>
      <w:tr w:rsidR="00996416" w:rsidRPr="005563A5" w14:paraId="500416E3" w14:textId="77777777" w:rsidTr="000156ED">
        <w:tc>
          <w:tcPr>
            <w:tcW w:w="3823" w:type="dxa"/>
            <w:shd w:val="clear" w:color="auto" w:fill="auto"/>
          </w:tcPr>
          <w:p w14:paraId="07E987A4" w14:textId="77777777" w:rsidR="00996416" w:rsidRPr="00316CCB" w:rsidRDefault="00996416" w:rsidP="00316CCB">
            <w:pPr>
              <w:spacing w:before="60" w:after="60"/>
              <w:rPr>
                <w:rFonts w:ascii="Arial" w:eastAsia="Calibri" w:hAnsi="Arial" w:cs="Arial"/>
                <w:b/>
                <w:sz w:val="20"/>
                <w:szCs w:val="20"/>
                <w:lang w:val="en-GB"/>
              </w:rPr>
            </w:pPr>
            <w:r w:rsidRPr="00316CCB">
              <w:rPr>
                <w:rFonts w:ascii="Arial" w:eastAsia="Calibri" w:hAnsi="Arial" w:cs="Arial"/>
                <w:b/>
                <w:sz w:val="20"/>
                <w:szCs w:val="20"/>
                <w:lang w:val="en-GB"/>
              </w:rPr>
              <w:t>O:</w:t>
            </w:r>
          </w:p>
          <w:p w14:paraId="25054A7D" w14:textId="77777777" w:rsidR="00996416" w:rsidRPr="009A1E0E" w:rsidRDefault="00996416" w:rsidP="009A1E0E">
            <w:pPr>
              <w:spacing w:before="60" w:after="60"/>
              <w:rPr>
                <w:rFonts w:ascii="Arial" w:eastAsia="Calibri" w:hAnsi="Arial" w:cs="Arial"/>
                <w:sz w:val="20"/>
                <w:szCs w:val="20"/>
                <w:lang w:val="en-GB"/>
              </w:rPr>
            </w:pPr>
            <w:r w:rsidRPr="009A1E0E">
              <w:rPr>
                <w:rFonts w:ascii="Arial" w:eastAsia="Calibri" w:hAnsi="Arial" w:cs="Arial"/>
                <w:sz w:val="20"/>
                <w:szCs w:val="20"/>
                <w:lang w:val="en-GB"/>
              </w:rPr>
              <w:t>Content and format of the capacity-building programme reviewed and adapted to respond to major implementation challenges</w:t>
            </w:r>
          </w:p>
          <w:p w14:paraId="570761D2" w14:textId="77777777" w:rsidR="00996416" w:rsidRPr="008969C8" w:rsidRDefault="00996416" w:rsidP="008969C8">
            <w:pPr>
              <w:spacing w:before="60" w:after="60"/>
              <w:rPr>
                <w:rFonts w:ascii="Arial" w:hAnsi="Arial" w:cs="Arial"/>
                <w:b/>
                <w:sz w:val="20"/>
                <w:szCs w:val="20"/>
                <w:lang w:val="en-GB"/>
              </w:rPr>
            </w:pPr>
            <w:r w:rsidRPr="008969C8">
              <w:rPr>
                <w:rFonts w:ascii="Arial" w:hAnsi="Arial" w:cs="Arial"/>
                <w:b/>
                <w:sz w:val="20"/>
                <w:szCs w:val="20"/>
                <w:lang w:val="en-GB"/>
              </w:rPr>
              <w:t>B 2016-2017</w:t>
            </w:r>
          </w:p>
          <w:p w14:paraId="514088E9" w14:textId="77777777" w:rsidR="00996416" w:rsidRPr="00D25FF7" w:rsidRDefault="00996416" w:rsidP="00D25FF7">
            <w:pPr>
              <w:spacing w:before="60" w:after="60"/>
              <w:rPr>
                <w:rFonts w:ascii="Arial" w:eastAsia="Calibri" w:hAnsi="Arial" w:cs="Arial"/>
                <w:sz w:val="20"/>
                <w:szCs w:val="20"/>
                <w:lang w:val="en-GB"/>
              </w:rPr>
            </w:pPr>
            <w:r w:rsidRPr="00D25FF7">
              <w:rPr>
                <w:rFonts w:ascii="Arial" w:eastAsia="Calibri" w:hAnsi="Arial" w:cs="Arial"/>
                <w:sz w:val="20"/>
                <w:szCs w:val="20"/>
                <w:lang w:val="en-GB"/>
              </w:rPr>
              <w:t>Core curriculum materials updated to reflect decisions of statutory meetings (B=20 units; 3 languages)</w:t>
            </w:r>
          </w:p>
          <w:p w14:paraId="33D12165" w14:textId="77777777" w:rsidR="00996416" w:rsidRPr="009A1E0E" w:rsidRDefault="00996416" w:rsidP="00D25FF7">
            <w:pPr>
              <w:spacing w:before="60" w:after="60"/>
              <w:rPr>
                <w:rFonts w:ascii="Arial" w:eastAsia="Calibri" w:hAnsi="Arial" w:cs="Arial"/>
                <w:sz w:val="20"/>
                <w:szCs w:val="20"/>
                <w:lang w:val="en-GB"/>
              </w:rPr>
            </w:pPr>
            <w:r w:rsidRPr="00D25FF7">
              <w:rPr>
                <w:rFonts w:ascii="Arial" w:eastAsia="Calibri" w:hAnsi="Arial" w:cs="Arial"/>
                <w:sz w:val="20"/>
                <w:szCs w:val="20"/>
                <w:lang w:val="en-GB"/>
              </w:rPr>
              <w:t xml:space="preserve">Core curriculum on preparing </w:t>
            </w:r>
            <w:r w:rsidR="00101408">
              <w:rPr>
                <w:rFonts w:ascii="Arial" w:eastAsia="Calibri" w:hAnsi="Arial" w:cs="Arial"/>
                <w:sz w:val="20"/>
                <w:szCs w:val="20"/>
                <w:lang w:val="en-GB"/>
              </w:rPr>
              <w:t>I</w:t>
            </w:r>
            <w:r w:rsidRPr="009A1E0E">
              <w:rPr>
                <w:rFonts w:ascii="Arial" w:eastAsia="Calibri" w:hAnsi="Arial" w:cs="Arial"/>
                <w:sz w:val="20"/>
                <w:szCs w:val="20"/>
                <w:lang w:val="en-GB"/>
              </w:rPr>
              <w:t xml:space="preserve">nternational </w:t>
            </w:r>
            <w:r w:rsidR="00101408">
              <w:rPr>
                <w:rFonts w:ascii="Arial" w:eastAsia="Calibri" w:hAnsi="Arial" w:cs="Arial"/>
                <w:sz w:val="20"/>
                <w:szCs w:val="20"/>
                <w:lang w:val="en-GB"/>
              </w:rPr>
              <w:t>A</w:t>
            </w:r>
            <w:r w:rsidRPr="009A1E0E">
              <w:rPr>
                <w:rFonts w:ascii="Arial" w:eastAsia="Calibri" w:hAnsi="Arial" w:cs="Arial"/>
                <w:sz w:val="20"/>
                <w:szCs w:val="20"/>
                <w:lang w:val="en-GB"/>
              </w:rPr>
              <w:t xml:space="preserve">ssistance requests available (B=1; 2 languages) </w:t>
            </w:r>
          </w:p>
          <w:p w14:paraId="78FAF5DB" w14:textId="77777777" w:rsidR="00996416" w:rsidRPr="008969C8" w:rsidRDefault="00996416" w:rsidP="005563A5">
            <w:pPr>
              <w:spacing w:before="60" w:after="60"/>
              <w:rPr>
                <w:rFonts w:ascii="Arial" w:eastAsia="Calibri" w:hAnsi="Arial" w:cs="Arial"/>
                <w:sz w:val="20"/>
                <w:szCs w:val="20"/>
                <w:lang w:val="en-GB"/>
              </w:rPr>
            </w:pPr>
            <w:r w:rsidRPr="008969C8">
              <w:rPr>
                <w:rFonts w:ascii="Arial" w:eastAsia="Calibri" w:hAnsi="Arial" w:cs="Arial"/>
                <w:sz w:val="20"/>
                <w:szCs w:val="20"/>
                <w:lang w:val="en-GB"/>
              </w:rPr>
              <w:t>New curricular content developed (B=7: one unit based on new ODs on intangible cultural heritage and sustainable development and six case studies on policy processes, intangible cultural heritage safeguarding in urban settings and gender; 1 language)</w:t>
            </w:r>
          </w:p>
          <w:p w14:paraId="4EB6CE6A" w14:textId="77777777" w:rsidR="00996416" w:rsidRPr="009A1E0E" w:rsidRDefault="00101408" w:rsidP="005563A5">
            <w:pPr>
              <w:spacing w:before="60" w:after="60"/>
              <w:rPr>
                <w:rFonts w:ascii="Arial" w:eastAsia="Calibri" w:hAnsi="Arial" w:cs="Arial"/>
                <w:sz w:val="20"/>
                <w:szCs w:val="20"/>
                <w:lang w:val="en-GB"/>
              </w:rPr>
            </w:pPr>
            <w:r>
              <w:rPr>
                <w:rFonts w:ascii="Arial" w:eastAsia="Calibri" w:hAnsi="Arial" w:cs="Arial"/>
                <w:sz w:val="20"/>
                <w:szCs w:val="20"/>
                <w:lang w:val="en-GB"/>
              </w:rPr>
              <w:t>F</w:t>
            </w:r>
            <w:r w:rsidR="00996416" w:rsidRPr="009A1E0E">
              <w:rPr>
                <w:rFonts w:ascii="Arial" w:eastAsia="Calibri" w:hAnsi="Arial" w:cs="Arial"/>
                <w:sz w:val="20"/>
                <w:szCs w:val="20"/>
                <w:lang w:val="en-GB"/>
              </w:rPr>
              <w:t>easibility study on using educational technology for online learning undertaken (B=1)</w:t>
            </w:r>
          </w:p>
          <w:p w14:paraId="56199C16" w14:textId="77777777" w:rsidR="00996416" w:rsidRPr="008969C8" w:rsidRDefault="00996416" w:rsidP="005563A5">
            <w:pPr>
              <w:spacing w:before="60" w:after="60"/>
              <w:rPr>
                <w:rFonts w:ascii="Arial" w:eastAsia="Calibri" w:hAnsi="Arial" w:cs="Arial"/>
                <w:sz w:val="20"/>
                <w:szCs w:val="20"/>
                <w:lang w:val="en-GB"/>
              </w:rPr>
            </w:pPr>
            <w:r w:rsidRPr="008969C8">
              <w:rPr>
                <w:rFonts w:ascii="Arial" w:eastAsia="Calibri" w:hAnsi="Arial" w:cs="Arial"/>
                <w:sz w:val="20"/>
                <w:szCs w:val="20"/>
                <w:lang w:val="en-GB"/>
              </w:rPr>
              <w:t>IT functionalities updated for the capacity-building programme (B=1)</w:t>
            </w:r>
          </w:p>
        </w:tc>
        <w:tc>
          <w:tcPr>
            <w:tcW w:w="3969" w:type="dxa"/>
            <w:shd w:val="clear" w:color="auto" w:fill="auto"/>
          </w:tcPr>
          <w:p w14:paraId="2F85E131" w14:textId="77777777" w:rsidR="00996416" w:rsidRPr="008969C8" w:rsidRDefault="00996416"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D25FF7">
              <w:rPr>
                <w:rFonts w:ascii="Arial" w:eastAsia="Calibri" w:hAnsi="Arial" w:cs="Arial"/>
                <w:sz w:val="20"/>
                <w:szCs w:val="20"/>
                <w:lang w:val="en-GB"/>
              </w:rPr>
              <w:t xml:space="preserve">Twenty training units updated to reflect </w:t>
            </w:r>
            <w:r w:rsidR="00101408">
              <w:rPr>
                <w:rFonts w:ascii="Arial" w:eastAsia="Calibri" w:hAnsi="Arial" w:cs="Arial"/>
                <w:sz w:val="20"/>
                <w:szCs w:val="20"/>
                <w:lang w:val="en-GB"/>
              </w:rPr>
              <w:t xml:space="preserve">the </w:t>
            </w:r>
            <w:r w:rsidRPr="009A1E0E">
              <w:rPr>
                <w:rFonts w:ascii="Arial" w:eastAsia="Calibri" w:hAnsi="Arial" w:cs="Arial"/>
                <w:sz w:val="20"/>
                <w:szCs w:val="20"/>
                <w:lang w:val="en-GB"/>
              </w:rPr>
              <w:t>decisions of 10.COM and 6.GA, along with gender mainstreaming</w:t>
            </w:r>
          </w:p>
          <w:p w14:paraId="3E1CEF8A" w14:textId="77777777" w:rsidR="00996416" w:rsidRPr="00D25FF7" w:rsidRDefault="00996416"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D25FF7">
              <w:rPr>
                <w:rFonts w:ascii="Arial" w:eastAsia="Calibri" w:hAnsi="Arial" w:cs="Arial"/>
                <w:sz w:val="20"/>
                <w:szCs w:val="20"/>
                <w:lang w:val="en-GB"/>
              </w:rPr>
              <w:t>Curricular content on developing safeguarding plans and on policy development for intangible cultural heritage safeguarding translated into French and Spanish</w:t>
            </w:r>
          </w:p>
          <w:p w14:paraId="771E59B2" w14:textId="77777777" w:rsidR="00996416" w:rsidRPr="008969C8" w:rsidRDefault="00996416"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D25FF7">
              <w:rPr>
                <w:rFonts w:ascii="Arial" w:eastAsia="Calibri" w:hAnsi="Arial" w:cs="Arial"/>
                <w:sz w:val="20"/>
                <w:szCs w:val="20"/>
                <w:lang w:val="en-GB"/>
              </w:rPr>
              <w:t>Draft curriculum on prepari</w:t>
            </w:r>
            <w:r w:rsidRPr="005563A5">
              <w:rPr>
                <w:rFonts w:ascii="Arial" w:eastAsia="Calibri" w:hAnsi="Arial" w:cs="Arial"/>
                <w:sz w:val="20"/>
                <w:szCs w:val="20"/>
                <w:lang w:val="en-GB"/>
              </w:rPr>
              <w:t xml:space="preserve">ng </w:t>
            </w:r>
            <w:r w:rsidR="00101408">
              <w:rPr>
                <w:rFonts w:ascii="Arial" w:eastAsia="Calibri" w:hAnsi="Arial" w:cs="Arial"/>
                <w:sz w:val="20"/>
                <w:szCs w:val="20"/>
                <w:lang w:val="en-GB"/>
              </w:rPr>
              <w:t>I</w:t>
            </w:r>
            <w:r w:rsidR="00101408" w:rsidRPr="009A1E0E">
              <w:rPr>
                <w:rFonts w:ascii="Arial" w:eastAsia="Calibri" w:hAnsi="Arial" w:cs="Arial"/>
                <w:sz w:val="20"/>
                <w:szCs w:val="20"/>
                <w:lang w:val="en-GB"/>
              </w:rPr>
              <w:t xml:space="preserve">nternational </w:t>
            </w:r>
            <w:r w:rsidR="00101408">
              <w:rPr>
                <w:rFonts w:ascii="Arial" w:eastAsia="Calibri" w:hAnsi="Arial" w:cs="Arial"/>
                <w:sz w:val="20"/>
                <w:szCs w:val="20"/>
                <w:lang w:val="en-GB"/>
              </w:rPr>
              <w:t>A</w:t>
            </w:r>
            <w:r w:rsidRPr="009A1E0E">
              <w:rPr>
                <w:rFonts w:ascii="Arial" w:eastAsia="Calibri" w:hAnsi="Arial" w:cs="Arial"/>
                <w:sz w:val="20"/>
                <w:szCs w:val="20"/>
                <w:lang w:val="en-GB"/>
              </w:rPr>
              <w:t>ssistance requests finalized and ready for peer review</w:t>
            </w:r>
            <w:r w:rsidRPr="008969C8">
              <w:rPr>
                <w:rFonts w:ascii="Arial" w:eastAsia="Calibri" w:hAnsi="Arial" w:cs="Arial"/>
                <w:sz w:val="20"/>
                <w:szCs w:val="20"/>
                <w:lang w:val="en-GB"/>
              </w:rPr>
              <w:t xml:space="preserve"> </w:t>
            </w:r>
          </w:p>
          <w:p w14:paraId="6263F653" w14:textId="77777777" w:rsidR="00996416" w:rsidRPr="00316CCB" w:rsidRDefault="001F5905"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Pr>
                <w:rFonts w:ascii="Arial" w:eastAsia="Calibri" w:hAnsi="Arial" w:cs="Arial"/>
                <w:sz w:val="20"/>
                <w:szCs w:val="20"/>
                <w:lang w:val="en-GB"/>
              </w:rPr>
              <w:t>N</w:t>
            </w:r>
            <w:r w:rsidR="00996416" w:rsidRPr="00316CCB">
              <w:rPr>
                <w:rFonts w:ascii="Arial" w:eastAsia="Calibri" w:hAnsi="Arial" w:cs="Arial"/>
                <w:sz w:val="20"/>
                <w:szCs w:val="20"/>
                <w:lang w:val="en-GB"/>
              </w:rPr>
              <w:t>ew case stud</w:t>
            </w:r>
            <w:r>
              <w:rPr>
                <w:rFonts w:ascii="Arial" w:eastAsia="Calibri" w:hAnsi="Arial" w:cs="Arial"/>
                <w:sz w:val="20"/>
                <w:szCs w:val="20"/>
                <w:lang w:val="en-GB"/>
              </w:rPr>
              <w:t>y</w:t>
            </w:r>
            <w:r w:rsidR="00996416" w:rsidRPr="00316CCB">
              <w:rPr>
                <w:rFonts w:ascii="Arial" w:eastAsia="Calibri" w:hAnsi="Arial" w:cs="Arial"/>
                <w:sz w:val="20"/>
                <w:szCs w:val="20"/>
                <w:lang w:val="en-GB"/>
              </w:rPr>
              <w:t xml:space="preserve"> </w:t>
            </w:r>
            <w:r w:rsidR="00996416" w:rsidRPr="009A1E0E">
              <w:rPr>
                <w:rFonts w:ascii="Arial" w:eastAsia="Calibri" w:hAnsi="Arial" w:cs="Arial"/>
                <w:sz w:val="20"/>
                <w:szCs w:val="20"/>
                <w:lang w:val="en-GB"/>
              </w:rPr>
              <w:t>on intangible cultural heritage and gender</w:t>
            </w:r>
            <w:r>
              <w:rPr>
                <w:rFonts w:ascii="Arial" w:eastAsia="Calibri" w:hAnsi="Arial" w:cs="Arial"/>
                <w:sz w:val="20"/>
                <w:szCs w:val="20"/>
                <w:lang w:val="en-GB"/>
              </w:rPr>
              <w:t xml:space="preserve"> developed</w:t>
            </w:r>
          </w:p>
        </w:tc>
        <w:tc>
          <w:tcPr>
            <w:tcW w:w="1848" w:type="dxa"/>
          </w:tcPr>
          <w:p w14:paraId="2FEDC750" w14:textId="77777777" w:rsidR="00996416" w:rsidRPr="009A1E0E" w:rsidRDefault="00996416" w:rsidP="005563A5">
            <w:pPr>
              <w:spacing w:before="60" w:after="60"/>
              <w:jc w:val="center"/>
              <w:rPr>
                <w:rFonts w:ascii="Arial" w:eastAsia="Calibri" w:hAnsi="Arial" w:cs="Arial"/>
                <w:sz w:val="20"/>
                <w:szCs w:val="20"/>
                <w:lang w:val="en-GB"/>
              </w:rPr>
            </w:pPr>
            <w:r w:rsidRPr="009A1E0E">
              <w:rPr>
                <w:rFonts w:ascii="Arial" w:eastAsia="Calibri" w:hAnsi="Arial" w:cs="Arial"/>
                <w:sz w:val="20"/>
                <w:szCs w:val="20"/>
                <w:lang w:val="en-GB"/>
              </w:rPr>
              <w:t>Partly accomplished</w:t>
            </w:r>
          </w:p>
        </w:tc>
      </w:tr>
      <w:tr w:rsidR="00996416" w:rsidRPr="005563A5" w14:paraId="287E27A5" w14:textId="77777777" w:rsidTr="000156ED">
        <w:tc>
          <w:tcPr>
            <w:tcW w:w="3823" w:type="dxa"/>
            <w:shd w:val="clear" w:color="auto" w:fill="auto"/>
          </w:tcPr>
          <w:p w14:paraId="47EEDF9A" w14:textId="77777777" w:rsidR="00996416" w:rsidRPr="00316CCB" w:rsidRDefault="00996416" w:rsidP="00316CCB">
            <w:pPr>
              <w:spacing w:before="60" w:after="60"/>
              <w:rPr>
                <w:rFonts w:ascii="Arial" w:eastAsia="Calibri" w:hAnsi="Arial" w:cs="Arial"/>
                <w:b/>
                <w:sz w:val="20"/>
                <w:szCs w:val="20"/>
                <w:lang w:val="en-GB"/>
              </w:rPr>
            </w:pPr>
            <w:r w:rsidRPr="00316CCB">
              <w:rPr>
                <w:rFonts w:ascii="Arial" w:eastAsia="Calibri" w:hAnsi="Arial" w:cs="Arial"/>
                <w:b/>
                <w:sz w:val="20"/>
                <w:szCs w:val="20"/>
                <w:lang w:val="en-GB"/>
              </w:rPr>
              <w:t>O:</w:t>
            </w:r>
          </w:p>
          <w:p w14:paraId="3204E852" w14:textId="77777777" w:rsidR="00996416" w:rsidRPr="009A1E0E" w:rsidRDefault="00996416" w:rsidP="009A1E0E">
            <w:pPr>
              <w:spacing w:before="60" w:after="60"/>
              <w:rPr>
                <w:rFonts w:ascii="Arial" w:eastAsia="Calibri" w:hAnsi="Arial" w:cs="Arial"/>
                <w:sz w:val="20"/>
                <w:szCs w:val="20"/>
                <w:lang w:val="en-GB"/>
              </w:rPr>
            </w:pPr>
            <w:r w:rsidRPr="009A1E0E">
              <w:rPr>
                <w:rFonts w:ascii="Arial" w:eastAsia="Calibri" w:hAnsi="Arial" w:cs="Arial"/>
                <w:sz w:val="20"/>
                <w:szCs w:val="20"/>
                <w:lang w:val="en-GB"/>
              </w:rPr>
              <w:t xml:space="preserve">Preliminary follow-up and evaluation mechanism for </w:t>
            </w:r>
            <w:r w:rsidR="00101408" w:rsidRPr="009A1E0E">
              <w:rPr>
                <w:rFonts w:ascii="Arial" w:eastAsia="Calibri" w:hAnsi="Arial" w:cs="Arial"/>
                <w:sz w:val="20"/>
                <w:szCs w:val="20"/>
                <w:lang w:val="en-GB"/>
              </w:rPr>
              <w:t>capacity</w:t>
            </w:r>
            <w:r w:rsidR="00101408">
              <w:rPr>
                <w:rFonts w:ascii="Arial" w:eastAsia="Calibri" w:hAnsi="Arial" w:cs="Arial"/>
                <w:sz w:val="20"/>
                <w:szCs w:val="20"/>
                <w:lang w:val="en-GB"/>
              </w:rPr>
              <w:t>-</w:t>
            </w:r>
            <w:r w:rsidRPr="009A1E0E">
              <w:rPr>
                <w:rFonts w:ascii="Arial" w:eastAsia="Calibri" w:hAnsi="Arial" w:cs="Arial"/>
                <w:sz w:val="20"/>
                <w:szCs w:val="20"/>
                <w:lang w:val="en-GB"/>
              </w:rPr>
              <w:t>building piloted</w:t>
            </w:r>
          </w:p>
          <w:p w14:paraId="01514F4F" w14:textId="77777777" w:rsidR="00996416" w:rsidRPr="008969C8" w:rsidRDefault="00996416" w:rsidP="008969C8">
            <w:pPr>
              <w:spacing w:before="60" w:after="60"/>
              <w:rPr>
                <w:rFonts w:ascii="Arial" w:hAnsi="Arial" w:cs="Arial"/>
                <w:b/>
                <w:sz w:val="20"/>
                <w:szCs w:val="20"/>
                <w:lang w:val="en-GB"/>
              </w:rPr>
            </w:pPr>
            <w:r w:rsidRPr="008969C8">
              <w:rPr>
                <w:rFonts w:ascii="Arial" w:hAnsi="Arial" w:cs="Arial"/>
                <w:b/>
                <w:sz w:val="20"/>
                <w:szCs w:val="20"/>
                <w:lang w:val="en-GB"/>
              </w:rPr>
              <w:t xml:space="preserve">B 2016-2017: </w:t>
            </w:r>
          </w:p>
          <w:p w14:paraId="275C420C" w14:textId="77777777" w:rsidR="00996416" w:rsidRPr="00D25FF7" w:rsidRDefault="00996416" w:rsidP="00D25FF7">
            <w:pPr>
              <w:spacing w:before="60" w:after="60"/>
              <w:rPr>
                <w:rFonts w:ascii="Arial" w:eastAsia="Calibri" w:hAnsi="Arial" w:cs="Arial"/>
                <w:sz w:val="20"/>
                <w:szCs w:val="20"/>
                <w:lang w:val="en-GB"/>
              </w:rPr>
            </w:pPr>
            <w:r w:rsidRPr="00D25FF7">
              <w:rPr>
                <w:rFonts w:ascii="Arial" w:eastAsia="Calibri" w:hAnsi="Arial" w:cs="Arial"/>
                <w:sz w:val="20"/>
                <w:szCs w:val="20"/>
                <w:lang w:val="en-GB"/>
              </w:rPr>
              <w:t>Pilot tracer studies conducted in beneficiary countries (B=3)</w:t>
            </w:r>
          </w:p>
          <w:p w14:paraId="195E909E" w14:textId="77777777" w:rsidR="00996416" w:rsidRPr="005563A5" w:rsidRDefault="00996416" w:rsidP="00D25FF7">
            <w:pPr>
              <w:spacing w:before="60" w:after="60"/>
              <w:rPr>
                <w:rFonts w:ascii="Arial" w:eastAsia="Calibri" w:hAnsi="Arial" w:cs="Arial"/>
                <w:sz w:val="20"/>
                <w:szCs w:val="20"/>
                <w:lang w:val="en-GB"/>
              </w:rPr>
            </w:pPr>
            <w:r w:rsidRPr="00D25FF7">
              <w:rPr>
                <w:rFonts w:ascii="Arial" w:eastAsia="Calibri" w:hAnsi="Arial" w:cs="Arial"/>
                <w:sz w:val="20"/>
                <w:szCs w:val="20"/>
                <w:lang w:val="en-GB"/>
              </w:rPr>
              <w:t>Survey on the use of UNESCO capacity</w:t>
            </w:r>
            <w:r w:rsidRPr="00D25FF7">
              <w:rPr>
                <w:rFonts w:ascii="Arial" w:eastAsia="Calibri" w:hAnsi="Arial" w:cs="Arial"/>
                <w:sz w:val="20"/>
                <w:szCs w:val="20"/>
                <w:lang w:val="en-GB"/>
              </w:rPr>
              <w:noBreakHyphen/>
              <w:t>building materials by other</w:t>
            </w:r>
            <w:r w:rsidRPr="005563A5">
              <w:rPr>
                <w:rFonts w:ascii="Arial" w:eastAsia="Calibri" w:hAnsi="Arial" w:cs="Arial"/>
                <w:sz w:val="20"/>
                <w:szCs w:val="20"/>
                <w:lang w:val="en-GB"/>
              </w:rPr>
              <w:t xml:space="preserve"> institutions (B=1)</w:t>
            </w:r>
          </w:p>
        </w:tc>
        <w:tc>
          <w:tcPr>
            <w:tcW w:w="3969" w:type="dxa"/>
            <w:shd w:val="clear" w:color="auto" w:fill="auto"/>
          </w:tcPr>
          <w:p w14:paraId="5BDEBC99" w14:textId="77777777" w:rsidR="00996416" w:rsidRPr="005563A5" w:rsidRDefault="00996416"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5563A5">
              <w:rPr>
                <w:rFonts w:ascii="Arial" w:eastAsia="Calibri" w:hAnsi="Arial" w:cs="Arial"/>
                <w:sz w:val="20"/>
                <w:szCs w:val="20"/>
                <w:lang w:val="en-GB"/>
              </w:rPr>
              <w:t>Methodology and questionnaire for pilot tracer study developed through pre-testing with facilitators at four workshops, including Curaçao, Mongolia, Laos and Mozambique</w:t>
            </w:r>
          </w:p>
          <w:p w14:paraId="0AF62ED0" w14:textId="77777777" w:rsidR="00996416" w:rsidRPr="005563A5" w:rsidRDefault="00996416"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5563A5">
              <w:rPr>
                <w:rFonts w:ascii="Arial" w:eastAsia="Calibri" w:hAnsi="Arial" w:cs="Arial"/>
                <w:sz w:val="20"/>
                <w:szCs w:val="20"/>
                <w:lang w:val="en-GB"/>
              </w:rPr>
              <w:t>Pilot tracer study conducted in two beneficiary countries (Namibia and Nepal) with a sample of 29 interviews completed</w:t>
            </w:r>
          </w:p>
        </w:tc>
        <w:tc>
          <w:tcPr>
            <w:tcW w:w="1848" w:type="dxa"/>
          </w:tcPr>
          <w:p w14:paraId="216E88AD" w14:textId="77777777" w:rsidR="00996416" w:rsidRPr="005563A5" w:rsidRDefault="00996416" w:rsidP="005563A5">
            <w:pPr>
              <w:spacing w:before="60" w:after="60"/>
              <w:jc w:val="center"/>
              <w:rPr>
                <w:rFonts w:ascii="Arial" w:eastAsia="Calibri" w:hAnsi="Arial" w:cs="Arial"/>
                <w:sz w:val="20"/>
                <w:szCs w:val="20"/>
                <w:lang w:val="en-GB"/>
              </w:rPr>
            </w:pPr>
            <w:r w:rsidRPr="005563A5">
              <w:rPr>
                <w:rFonts w:ascii="Arial" w:eastAsia="Calibri" w:hAnsi="Arial" w:cs="Arial"/>
                <w:sz w:val="20"/>
                <w:szCs w:val="20"/>
                <w:lang w:val="en-GB"/>
              </w:rPr>
              <w:t>Partly accomplished</w:t>
            </w:r>
          </w:p>
        </w:tc>
      </w:tr>
      <w:tr w:rsidR="00996416" w:rsidRPr="005563A5" w14:paraId="46A5CF23" w14:textId="77777777" w:rsidTr="000156ED">
        <w:tc>
          <w:tcPr>
            <w:tcW w:w="3823" w:type="dxa"/>
            <w:shd w:val="clear" w:color="auto" w:fill="auto"/>
          </w:tcPr>
          <w:p w14:paraId="0AC3B3C5" w14:textId="77777777" w:rsidR="00996416" w:rsidRPr="00316CCB" w:rsidRDefault="00996416" w:rsidP="00316CCB">
            <w:pPr>
              <w:spacing w:before="60" w:after="60"/>
              <w:rPr>
                <w:rFonts w:ascii="Arial" w:eastAsia="Calibri" w:hAnsi="Arial" w:cs="Arial"/>
                <w:b/>
                <w:sz w:val="20"/>
                <w:szCs w:val="20"/>
                <w:lang w:val="en-GB"/>
              </w:rPr>
            </w:pPr>
            <w:r w:rsidRPr="00316CCB">
              <w:rPr>
                <w:rFonts w:ascii="Arial" w:eastAsia="Calibri" w:hAnsi="Arial" w:cs="Arial"/>
                <w:b/>
                <w:sz w:val="20"/>
                <w:szCs w:val="20"/>
                <w:lang w:val="en-GB"/>
              </w:rPr>
              <w:t xml:space="preserve">O: </w:t>
            </w:r>
          </w:p>
          <w:p w14:paraId="10D44358" w14:textId="77777777" w:rsidR="00996416" w:rsidRPr="009A1E0E" w:rsidRDefault="00996416" w:rsidP="009A1E0E">
            <w:pPr>
              <w:spacing w:before="60" w:after="60"/>
              <w:rPr>
                <w:rFonts w:ascii="Arial" w:eastAsia="Calibri" w:hAnsi="Arial" w:cs="Arial"/>
                <w:sz w:val="20"/>
                <w:szCs w:val="20"/>
                <w:lang w:val="en-GB"/>
              </w:rPr>
            </w:pPr>
            <w:r w:rsidRPr="009A1E0E">
              <w:rPr>
                <w:rFonts w:ascii="Arial" w:eastAsia="Calibri" w:hAnsi="Arial" w:cs="Arial"/>
                <w:sz w:val="20"/>
                <w:szCs w:val="20"/>
                <w:lang w:val="en-GB"/>
              </w:rPr>
              <w:lastRenderedPageBreak/>
              <w:t>Guidance on safeguarding measures and good practices strengthened</w:t>
            </w:r>
          </w:p>
          <w:p w14:paraId="3A2831FA" w14:textId="77777777" w:rsidR="00996416" w:rsidRPr="008969C8" w:rsidRDefault="00996416" w:rsidP="008969C8">
            <w:pPr>
              <w:spacing w:before="60" w:after="60"/>
              <w:rPr>
                <w:rFonts w:ascii="Arial" w:hAnsi="Arial" w:cs="Arial"/>
                <w:b/>
                <w:sz w:val="20"/>
                <w:szCs w:val="20"/>
                <w:lang w:val="en-GB"/>
              </w:rPr>
            </w:pPr>
            <w:r w:rsidRPr="008969C8">
              <w:rPr>
                <w:rFonts w:ascii="Arial" w:hAnsi="Arial" w:cs="Arial"/>
                <w:b/>
                <w:sz w:val="20"/>
                <w:szCs w:val="20"/>
                <w:lang w:val="en-GB"/>
              </w:rPr>
              <w:t xml:space="preserve">B 2016-2017: </w:t>
            </w:r>
          </w:p>
          <w:p w14:paraId="331227B3" w14:textId="77777777" w:rsidR="00996416" w:rsidRPr="00D25FF7" w:rsidRDefault="00996416" w:rsidP="00D25FF7">
            <w:pPr>
              <w:spacing w:before="60" w:after="60"/>
              <w:rPr>
                <w:rFonts w:ascii="Arial" w:eastAsia="Calibri" w:hAnsi="Arial" w:cs="Arial"/>
                <w:sz w:val="20"/>
                <w:szCs w:val="20"/>
                <w:lang w:val="en-GB"/>
              </w:rPr>
            </w:pPr>
            <w:r w:rsidRPr="00D25FF7">
              <w:rPr>
                <w:rFonts w:ascii="Arial" w:eastAsia="Calibri" w:hAnsi="Arial" w:cs="Arial"/>
                <w:sz w:val="20"/>
                <w:szCs w:val="20"/>
                <w:lang w:val="en-GB"/>
              </w:rPr>
              <w:t>Guidelines on inventories for States Parties developed, taking into account the decisions and recommendations of the Convention’s regulatory bodies (B=1)</w:t>
            </w:r>
          </w:p>
          <w:p w14:paraId="5A89DCBC" w14:textId="77777777" w:rsidR="00996416" w:rsidRPr="00D25FF7" w:rsidRDefault="00996416" w:rsidP="00D25FF7">
            <w:pPr>
              <w:spacing w:before="60" w:after="60"/>
              <w:rPr>
                <w:rFonts w:ascii="Arial" w:eastAsia="Calibri" w:hAnsi="Arial" w:cs="Arial"/>
                <w:sz w:val="20"/>
                <w:szCs w:val="20"/>
                <w:lang w:val="en-GB"/>
              </w:rPr>
            </w:pPr>
            <w:r w:rsidRPr="00D25FF7">
              <w:rPr>
                <w:rFonts w:ascii="Arial" w:eastAsia="Calibri" w:hAnsi="Arial" w:cs="Arial"/>
                <w:sz w:val="20"/>
                <w:szCs w:val="20"/>
                <w:lang w:val="en-GB"/>
              </w:rPr>
              <w:t>Proposals collected for alternative, lighter ways of sharing safeguarding experiences to complement the Register of Best Safeguarding Practices (B=3)</w:t>
            </w:r>
          </w:p>
          <w:p w14:paraId="75E608E9" w14:textId="77777777" w:rsidR="00996416" w:rsidRPr="005563A5" w:rsidRDefault="00996416" w:rsidP="005563A5">
            <w:pPr>
              <w:spacing w:before="60" w:after="60"/>
              <w:rPr>
                <w:rFonts w:ascii="Arial" w:eastAsia="Calibri" w:hAnsi="Arial" w:cs="Arial"/>
                <w:sz w:val="20"/>
                <w:szCs w:val="20"/>
                <w:lang w:val="en-GB"/>
              </w:rPr>
            </w:pPr>
            <w:r w:rsidRPr="005563A5">
              <w:rPr>
                <w:rFonts w:ascii="Arial" w:eastAsia="Calibri" w:hAnsi="Arial" w:cs="Arial"/>
                <w:sz w:val="20"/>
                <w:szCs w:val="20"/>
                <w:lang w:val="en-GB"/>
              </w:rPr>
              <w:t xml:space="preserve">Training materials developed to sensitize governments, communities, groups and other relevant stakeholders and intermediaries to ethical concerns in the safeguarding of intangible cultural heritage (B=1) </w:t>
            </w:r>
          </w:p>
          <w:p w14:paraId="14F0D313" w14:textId="77777777" w:rsidR="00996416" w:rsidRPr="009A1E0E" w:rsidRDefault="00101408" w:rsidP="005563A5">
            <w:pPr>
              <w:spacing w:before="60" w:after="60"/>
              <w:rPr>
                <w:rFonts w:ascii="Arial" w:eastAsia="Calibri" w:hAnsi="Arial" w:cs="Arial"/>
                <w:sz w:val="20"/>
                <w:szCs w:val="20"/>
                <w:lang w:val="en-GB"/>
              </w:rPr>
            </w:pPr>
            <w:r>
              <w:rPr>
                <w:rFonts w:ascii="Arial" w:eastAsia="Calibri" w:hAnsi="Arial" w:cs="Arial"/>
                <w:sz w:val="20"/>
                <w:szCs w:val="20"/>
                <w:lang w:val="en-GB"/>
              </w:rPr>
              <w:t>S</w:t>
            </w:r>
            <w:r w:rsidR="00996416" w:rsidRPr="009A1E0E">
              <w:rPr>
                <w:rFonts w:ascii="Arial" w:eastAsia="Calibri" w:hAnsi="Arial" w:cs="Arial"/>
                <w:sz w:val="20"/>
                <w:szCs w:val="20"/>
                <w:lang w:val="en-GB"/>
              </w:rPr>
              <w:t>trategy designed for addressing intangible cultural heritage in emergency situations as described in OD50 (B=1)</w:t>
            </w:r>
          </w:p>
        </w:tc>
        <w:tc>
          <w:tcPr>
            <w:tcW w:w="3969" w:type="dxa"/>
            <w:shd w:val="clear" w:color="auto" w:fill="auto"/>
          </w:tcPr>
          <w:p w14:paraId="75DE4043" w14:textId="77777777" w:rsidR="00996416" w:rsidRPr="008969C8" w:rsidRDefault="00996416"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8969C8">
              <w:rPr>
                <w:rFonts w:ascii="Arial" w:eastAsia="Calibri" w:hAnsi="Arial" w:cs="Arial"/>
                <w:sz w:val="20"/>
                <w:szCs w:val="20"/>
                <w:lang w:val="en-GB"/>
              </w:rPr>
              <w:lastRenderedPageBreak/>
              <w:t xml:space="preserve">Draft for new unit on ethics for </w:t>
            </w:r>
            <w:r w:rsidRPr="008969C8">
              <w:rPr>
                <w:rFonts w:ascii="Arial" w:eastAsia="Calibri" w:hAnsi="Arial" w:cs="Arial"/>
                <w:sz w:val="20"/>
                <w:szCs w:val="20"/>
                <w:lang w:val="en-GB"/>
              </w:rPr>
              <w:lastRenderedPageBreak/>
              <w:t>safeguarding intangible cultural heritage developed, including two new case studies</w:t>
            </w:r>
          </w:p>
          <w:p w14:paraId="6A544BAA" w14:textId="77777777" w:rsidR="00996416" w:rsidRPr="005563A5" w:rsidRDefault="00996416"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D25FF7">
              <w:rPr>
                <w:rFonts w:ascii="Arial" w:eastAsia="Calibri" w:hAnsi="Arial" w:cs="Arial"/>
                <w:sz w:val="20"/>
                <w:szCs w:val="20"/>
                <w:lang w:val="en-GB"/>
              </w:rPr>
              <w:t>Draft guidelines on inventories for States Parties developed</w:t>
            </w:r>
          </w:p>
          <w:p w14:paraId="3EE7A661" w14:textId="77777777" w:rsidR="00996416" w:rsidRPr="005563A5" w:rsidRDefault="00996416" w:rsidP="005563A5">
            <w:pPr>
              <w:spacing w:before="60" w:after="60"/>
              <w:rPr>
                <w:rFonts w:ascii="Arial" w:eastAsia="Calibri" w:hAnsi="Arial" w:cs="Arial"/>
                <w:sz w:val="20"/>
                <w:szCs w:val="20"/>
                <w:lang w:val="en-GB"/>
              </w:rPr>
            </w:pPr>
          </w:p>
        </w:tc>
        <w:tc>
          <w:tcPr>
            <w:tcW w:w="1848" w:type="dxa"/>
          </w:tcPr>
          <w:p w14:paraId="57E6A71C" w14:textId="77777777" w:rsidR="00996416" w:rsidRPr="005563A5" w:rsidRDefault="00996416" w:rsidP="005563A5">
            <w:pPr>
              <w:spacing w:before="60" w:after="60"/>
              <w:jc w:val="center"/>
              <w:rPr>
                <w:rFonts w:ascii="Arial" w:eastAsia="Calibri" w:hAnsi="Arial" w:cs="Arial"/>
                <w:sz w:val="20"/>
                <w:szCs w:val="20"/>
                <w:lang w:val="en-GB"/>
              </w:rPr>
            </w:pPr>
            <w:r w:rsidRPr="005563A5">
              <w:rPr>
                <w:rFonts w:ascii="Arial" w:eastAsia="Calibri" w:hAnsi="Arial" w:cs="Arial"/>
                <w:sz w:val="20"/>
                <w:szCs w:val="20"/>
                <w:lang w:val="en-GB"/>
              </w:rPr>
              <w:lastRenderedPageBreak/>
              <w:t xml:space="preserve">Partly </w:t>
            </w:r>
            <w:r w:rsidRPr="005563A5">
              <w:rPr>
                <w:rFonts w:ascii="Arial" w:eastAsia="Calibri" w:hAnsi="Arial" w:cs="Arial"/>
                <w:sz w:val="20"/>
                <w:szCs w:val="20"/>
                <w:lang w:val="en-GB"/>
              </w:rPr>
              <w:lastRenderedPageBreak/>
              <w:t>accomplished</w:t>
            </w:r>
          </w:p>
        </w:tc>
      </w:tr>
    </w:tbl>
    <w:p w14:paraId="6208561E" w14:textId="77777777" w:rsidR="00A74D6C" w:rsidRPr="00524C74" w:rsidRDefault="00A74D6C" w:rsidP="005F7CB2">
      <w:pPr>
        <w:keepNext/>
        <w:spacing w:before="240" w:after="120"/>
        <w:rPr>
          <w:rFonts w:ascii="Arial" w:hAnsi="Arial" w:cs="Arial"/>
          <w:b/>
          <w:sz w:val="22"/>
          <w:szCs w:val="22"/>
          <w:lang w:val="en-GB"/>
        </w:rPr>
      </w:pPr>
      <w:r w:rsidRPr="00524C74">
        <w:rPr>
          <w:rFonts w:ascii="Arial" w:hAnsi="Arial" w:cs="Arial"/>
          <w:b/>
          <w:sz w:val="22"/>
          <w:szCs w:val="22"/>
          <w:lang w:val="en-GB"/>
        </w:rPr>
        <w:lastRenderedPageBreak/>
        <w:t>Challenges and risks in implementation and remedial actions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613A5E" w:rsidRPr="00524C74" w14:paraId="7A6FD21C" w14:textId="77777777" w:rsidTr="00756644">
        <w:trPr>
          <w:tblHeader/>
        </w:trPr>
        <w:tc>
          <w:tcPr>
            <w:tcW w:w="2500" w:type="pct"/>
            <w:shd w:val="clear" w:color="auto" w:fill="D9D9D9"/>
          </w:tcPr>
          <w:p w14:paraId="74DCA605" w14:textId="77777777" w:rsidR="00A74D6C" w:rsidRPr="00D71D21" w:rsidRDefault="00A74D6C" w:rsidP="00D71D21">
            <w:pPr>
              <w:keepNext/>
              <w:spacing w:before="120" w:after="120"/>
              <w:jc w:val="center"/>
              <w:rPr>
                <w:rFonts w:ascii="Arial" w:hAnsi="Arial" w:cs="Arial"/>
                <w:b/>
                <w:sz w:val="20"/>
                <w:szCs w:val="20"/>
                <w:lang w:val="en-GB"/>
              </w:rPr>
            </w:pPr>
            <w:r w:rsidRPr="00D71D21">
              <w:rPr>
                <w:rFonts w:ascii="Arial" w:hAnsi="Arial" w:cs="Arial"/>
                <w:b/>
                <w:sz w:val="20"/>
                <w:szCs w:val="20"/>
                <w:lang w:val="en-GB"/>
              </w:rPr>
              <w:t>Key challenges</w:t>
            </w:r>
          </w:p>
        </w:tc>
        <w:tc>
          <w:tcPr>
            <w:tcW w:w="2500" w:type="pct"/>
            <w:shd w:val="clear" w:color="auto" w:fill="D9D9D9"/>
          </w:tcPr>
          <w:p w14:paraId="4FDA07F3" w14:textId="77777777" w:rsidR="00A74D6C" w:rsidRPr="00D71D21" w:rsidRDefault="00A74D6C" w:rsidP="00D71D21">
            <w:pPr>
              <w:keepNext/>
              <w:spacing w:before="120" w:after="120"/>
              <w:jc w:val="center"/>
              <w:rPr>
                <w:rFonts w:ascii="Arial" w:hAnsi="Arial" w:cs="Arial"/>
                <w:b/>
                <w:sz w:val="20"/>
                <w:szCs w:val="20"/>
                <w:lang w:val="en-GB"/>
              </w:rPr>
            </w:pPr>
            <w:r w:rsidRPr="00D71D21">
              <w:rPr>
                <w:rFonts w:ascii="Arial" w:hAnsi="Arial" w:cs="Arial"/>
                <w:b/>
                <w:sz w:val="20"/>
                <w:szCs w:val="20"/>
                <w:lang w:val="en-GB"/>
              </w:rPr>
              <w:t>Remedial actions</w:t>
            </w:r>
          </w:p>
        </w:tc>
      </w:tr>
      <w:tr w:rsidR="00613A5E" w:rsidRPr="00A53C89" w14:paraId="35D7FF0A" w14:textId="77777777" w:rsidTr="00756644">
        <w:tc>
          <w:tcPr>
            <w:tcW w:w="2500" w:type="pct"/>
            <w:shd w:val="clear" w:color="auto" w:fill="auto"/>
          </w:tcPr>
          <w:p w14:paraId="2EDC7E66" w14:textId="77777777" w:rsidR="000C6AF7" w:rsidRPr="005563A5" w:rsidRDefault="00101408" w:rsidP="009A1E0E">
            <w:pPr>
              <w:spacing w:before="60" w:after="60"/>
              <w:rPr>
                <w:rFonts w:ascii="Arial" w:eastAsia="Calibri" w:hAnsi="Arial" w:cs="Arial"/>
                <w:sz w:val="20"/>
                <w:szCs w:val="20"/>
                <w:lang w:val="en-GB"/>
              </w:rPr>
            </w:pPr>
            <w:r>
              <w:rPr>
                <w:rFonts w:ascii="Arial" w:eastAsia="Calibri" w:hAnsi="Arial" w:cs="Arial"/>
                <w:sz w:val="20"/>
                <w:szCs w:val="20"/>
                <w:lang w:val="en-GB"/>
              </w:rPr>
              <w:t>One</w:t>
            </w:r>
            <w:r w:rsidRPr="00D71D21">
              <w:rPr>
                <w:rFonts w:ascii="Arial" w:eastAsia="Calibri" w:hAnsi="Arial" w:cs="Arial"/>
                <w:sz w:val="20"/>
                <w:szCs w:val="20"/>
                <w:lang w:val="en-GB"/>
              </w:rPr>
              <w:t xml:space="preserve"> </w:t>
            </w:r>
            <w:r w:rsidR="000C6AF7" w:rsidRPr="00D71D21">
              <w:rPr>
                <w:rFonts w:ascii="Arial" w:eastAsia="Calibri" w:hAnsi="Arial" w:cs="Arial"/>
                <w:sz w:val="20"/>
                <w:szCs w:val="20"/>
                <w:lang w:val="en-GB"/>
              </w:rPr>
              <w:t xml:space="preserve">challenge </w:t>
            </w:r>
            <w:r w:rsidR="009A1E0E">
              <w:rPr>
                <w:rFonts w:ascii="Arial" w:eastAsia="Calibri" w:hAnsi="Arial" w:cs="Arial"/>
                <w:sz w:val="20"/>
                <w:szCs w:val="20"/>
                <w:lang w:val="en-GB"/>
              </w:rPr>
              <w:t>when</w:t>
            </w:r>
            <w:r w:rsidR="000C6AF7" w:rsidRPr="00D71D21">
              <w:rPr>
                <w:rFonts w:ascii="Arial" w:eastAsia="Calibri" w:hAnsi="Arial" w:cs="Arial"/>
                <w:sz w:val="20"/>
                <w:szCs w:val="20"/>
                <w:lang w:val="en-GB"/>
              </w:rPr>
              <w:t xml:space="preserve"> developing</w:t>
            </w:r>
            <w:r w:rsidR="00ED5FF1">
              <w:rPr>
                <w:rFonts w:ascii="Arial" w:eastAsia="Calibri" w:hAnsi="Arial" w:cs="Arial"/>
                <w:sz w:val="20"/>
                <w:szCs w:val="20"/>
                <w:lang w:val="en-GB"/>
              </w:rPr>
              <w:t>/updating</w:t>
            </w:r>
            <w:r w:rsidR="000C6AF7" w:rsidRPr="00D71D21">
              <w:rPr>
                <w:rFonts w:ascii="Arial" w:eastAsia="Calibri" w:hAnsi="Arial" w:cs="Arial"/>
                <w:sz w:val="20"/>
                <w:szCs w:val="20"/>
                <w:lang w:val="en-GB"/>
              </w:rPr>
              <w:t xml:space="preserve"> curriculum content </w:t>
            </w:r>
            <w:r w:rsidR="00ED5FF1" w:rsidRPr="00ED5FF1">
              <w:rPr>
                <w:rFonts w:ascii="Arial" w:eastAsia="Calibri" w:hAnsi="Arial" w:cs="Arial"/>
                <w:sz w:val="20"/>
                <w:szCs w:val="20"/>
                <w:lang w:val="en-GB"/>
              </w:rPr>
              <w:t xml:space="preserve">is to identify appropriate profiles of experts </w:t>
            </w:r>
            <w:r w:rsidR="009A1E0E">
              <w:rPr>
                <w:rFonts w:ascii="Arial" w:eastAsia="Calibri" w:hAnsi="Arial" w:cs="Arial"/>
                <w:sz w:val="20"/>
                <w:szCs w:val="20"/>
                <w:lang w:val="en-GB"/>
              </w:rPr>
              <w:t xml:space="preserve">who </w:t>
            </w:r>
            <w:r w:rsidR="00ED5FF1" w:rsidRPr="00ED5FF1">
              <w:rPr>
                <w:rFonts w:ascii="Arial" w:eastAsia="Calibri" w:hAnsi="Arial" w:cs="Arial"/>
                <w:sz w:val="20"/>
                <w:szCs w:val="20"/>
                <w:lang w:val="en-GB"/>
              </w:rPr>
              <w:t xml:space="preserve">not only </w:t>
            </w:r>
            <w:r w:rsidR="009A1E0E">
              <w:rPr>
                <w:rFonts w:ascii="Arial" w:eastAsia="Calibri" w:hAnsi="Arial" w:cs="Arial"/>
                <w:sz w:val="20"/>
                <w:szCs w:val="20"/>
                <w:lang w:val="en-GB"/>
              </w:rPr>
              <w:t>possess</w:t>
            </w:r>
            <w:r w:rsidR="00ED5FF1" w:rsidRPr="00ED5FF1">
              <w:rPr>
                <w:rFonts w:ascii="Arial" w:eastAsia="Calibri" w:hAnsi="Arial" w:cs="Arial"/>
                <w:sz w:val="20"/>
                <w:szCs w:val="20"/>
                <w:lang w:val="en-GB"/>
              </w:rPr>
              <w:t xml:space="preserve"> expertise in </w:t>
            </w:r>
            <w:r w:rsidR="009A1E0E">
              <w:rPr>
                <w:rFonts w:ascii="Arial" w:eastAsia="Calibri" w:hAnsi="Arial" w:cs="Arial"/>
                <w:sz w:val="20"/>
                <w:szCs w:val="20"/>
                <w:lang w:val="en-GB"/>
              </w:rPr>
              <w:t xml:space="preserve">the </w:t>
            </w:r>
            <w:r w:rsidR="00ED5FF1" w:rsidRPr="00ED5FF1">
              <w:rPr>
                <w:rFonts w:ascii="Arial" w:eastAsia="Calibri" w:hAnsi="Arial" w:cs="Arial"/>
                <w:sz w:val="20"/>
                <w:szCs w:val="20"/>
                <w:lang w:val="en-GB"/>
              </w:rPr>
              <w:t xml:space="preserve">subject matter, but also meet the requirements in terms of pedagogy and format. In some cases, the time-investment </w:t>
            </w:r>
            <w:r w:rsidR="009A1E0E">
              <w:rPr>
                <w:rFonts w:ascii="Arial" w:eastAsia="Calibri" w:hAnsi="Arial" w:cs="Arial"/>
                <w:sz w:val="20"/>
                <w:szCs w:val="20"/>
                <w:lang w:val="en-GB"/>
              </w:rPr>
              <w:t>required of</w:t>
            </w:r>
            <w:r w:rsidR="00ED5FF1" w:rsidRPr="00ED5FF1">
              <w:rPr>
                <w:rFonts w:ascii="Arial" w:eastAsia="Calibri" w:hAnsi="Arial" w:cs="Arial"/>
                <w:sz w:val="20"/>
                <w:szCs w:val="20"/>
                <w:lang w:val="en-GB"/>
              </w:rPr>
              <w:t xml:space="preserve"> the Secretariat to finalize the training material content to fit the format and purpose of the capacity-building programme was higher than initially expected.</w:t>
            </w:r>
            <w:r w:rsidR="00CE61DD">
              <w:rPr>
                <w:rFonts w:ascii="Arial" w:eastAsia="Calibri" w:hAnsi="Arial" w:cs="Arial"/>
                <w:sz w:val="20"/>
                <w:szCs w:val="20"/>
                <w:lang w:val="en-GB"/>
              </w:rPr>
              <w:t xml:space="preserve"> A</w:t>
            </w:r>
            <w:r w:rsidR="00CE61DD" w:rsidRPr="00CE61DD">
              <w:rPr>
                <w:rFonts w:ascii="Arial" w:eastAsia="Calibri" w:hAnsi="Arial" w:cs="Arial"/>
                <w:sz w:val="20"/>
                <w:szCs w:val="20"/>
                <w:lang w:val="en-GB"/>
              </w:rPr>
              <w:t xml:space="preserve"> specific challenge </w:t>
            </w:r>
            <w:r w:rsidR="00CE61DD">
              <w:rPr>
                <w:rFonts w:ascii="Arial" w:eastAsia="Calibri" w:hAnsi="Arial" w:cs="Arial"/>
                <w:sz w:val="20"/>
                <w:szCs w:val="20"/>
                <w:lang w:val="en-GB"/>
              </w:rPr>
              <w:t xml:space="preserve">was faced </w:t>
            </w:r>
            <w:r w:rsidR="00CE61DD" w:rsidRPr="00CE61DD">
              <w:rPr>
                <w:rFonts w:ascii="Arial" w:eastAsia="Calibri" w:hAnsi="Arial" w:cs="Arial"/>
                <w:sz w:val="20"/>
                <w:szCs w:val="20"/>
                <w:lang w:val="en-GB"/>
              </w:rPr>
              <w:t xml:space="preserve">when developing an additional case study focused on </w:t>
            </w:r>
            <w:r w:rsidR="009A1E0E">
              <w:rPr>
                <w:rFonts w:ascii="Arial" w:eastAsia="Calibri" w:hAnsi="Arial" w:cs="Arial"/>
                <w:sz w:val="20"/>
                <w:szCs w:val="20"/>
                <w:lang w:val="en-GB"/>
              </w:rPr>
              <w:t xml:space="preserve">the safeguarding of </w:t>
            </w:r>
            <w:r w:rsidR="00CE61DD" w:rsidRPr="00CE61DD">
              <w:rPr>
                <w:rFonts w:ascii="Arial" w:eastAsia="Calibri" w:hAnsi="Arial" w:cs="Arial"/>
                <w:sz w:val="20"/>
                <w:szCs w:val="20"/>
                <w:lang w:val="en-GB"/>
              </w:rPr>
              <w:t>intangible cultural heritage in urban settings.</w:t>
            </w:r>
            <w:r w:rsidR="00CE61DD" w:rsidRPr="005563A5">
              <w:rPr>
                <w:lang w:val="en-US"/>
              </w:rPr>
              <w:t xml:space="preserve"> </w:t>
            </w:r>
            <w:r w:rsidR="00CE61DD" w:rsidRPr="00CE61DD">
              <w:rPr>
                <w:rFonts w:ascii="Arial" w:eastAsia="Calibri" w:hAnsi="Arial" w:cs="Arial"/>
                <w:sz w:val="20"/>
                <w:szCs w:val="20"/>
                <w:lang w:val="en-GB"/>
              </w:rPr>
              <w:t>It became clear that research on intangible cultural heritage in urban settings needed to be</w:t>
            </w:r>
            <w:r w:rsidR="009A1E0E">
              <w:rPr>
                <w:rFonts w:ascii="Arial" w:eastAsia="Calibri" w:hAnsi="Arial" w:cs="Arial"/>
                <w:sz w:val="20"/>
                <w:szCs w:val="20"/>
                <w:lang w:val="en-GB"/>
              </w:rPr>
              <w:t xml:space="preserve"> </w:t>
            </w:r>
            <w:r w:rsidR="00CE61DD" w:rsidRPr="00CE61DD">
              <w:rPr>
                <w:rFonts w:ascii="Arial" w:eastAsia="Calibri" w:hAnsi="Arial" w:cs="Arial"/>
                <w:sz w:val="20"/>
                <w:szCs w:val="20"/>
                <w:lang w:val="en-GB"/>
              </w:rPr>
              <w:t>further explored in order to gather more knowledge and experience</w:t>
            </w:r>
            <w:r w:rsidR="007E32A1">
              <w:rPr>
                <w:rFonts w:ascii="Arial" w:eastAsia="Calibri" w:hAnsi="Arial" w:cs="Arial"/>
                <w:sz w:val="20"/>
                <w:szCs w:val="20"/>
                <w:lang w:val="en-GB"/>
              </w:rPr>
              <w:t>.</w:t>
            </w:r>
          </w:p>
        </w:tc>
        <w:tc>
          <w:tcPr>
            <w:tcW w:w="2500" w:type="pct"/>
            <w:shd w:val="clear" w:color="auto" w:fill="auto"/>
          </w:tcPr>
          <w:p w14:paraId="5BE9DD34" w14:textId="271D018E" w:rsidR="000C6AF7" w:rsidRPr="00D71D21" w:rsidRDefault="000C6AF7" w:rsidP="00531E84">
            <w:pPr>
              <w:spacing w:before="60" w:after="60"/>
              <w:rPr>
                <w:rFonts w:ascii="Arial" w:hAnsi="Arial" w:cs="Arial"/>
                <w:sz w:val="20"/>
                <w:szCs w:val="20"/>
                <w:lang w:val="en-GB"/>
              </w:rPr>
            </w:pPr>
            <w:r w:rsidRPr="00D71D21">
              <w:rPr>
                <w:rFonts w:ascii="Arial" w:eastAsia="Calibri" w:hAnsi="Arial" w:cs="Arial"/>
                <w:sz w:val="20"/>
                <w:szCs w:val="20"/>
                <w:lang w:val="en-GB"/>
              </w:rPr>
              <w:t>The Secretariat tapped into the resourceful network of UNESCO-trained facilitators, built on the expertise of current and former members of the advisory bodies and disseminated calls for expressions of interest across regions.</w:t>
            </w:r>
            <w:r w:rsidR="00CE61DD">
              <w:rPr>
                <w:rFonts w:ascii="Arial" w:eastAsia="Calibri" w:hAnsi="Arial" w:cs="Arial"/>
                <w:sz w:val="20"/>
                <w:szCs w:val="20"/>
                <w:lang w:val="en-GB"/>
              </w:rPr>
              <w:t xml:space="preserve"> Regarding the specific case study on </w:t>
            </w:r>
            <w:r w:rsidR="009A1E0E">
              <w:rPr>
                <w:rFonts w:ascii="Arial" w:eastAsia="Calibri" w:hAnsi="Arial" w:cs="Arial"/>
                <w:sz w:val="20"/>
                <w:szCs w:val="20"/>
                <w:lang w:val="en-GB"/>
              </w:rPr>
              <w:t xml:space="preserve">the safeguarding of </w:t>
            </w:r>
            <w:r w:rsidR="00CE61DD" w:rsidRPr="00CE61DD">
              <w:rPr>
                <w:rFonts w:ascii="Arial" w:eastAsia="Calibri" w:hAnsi="Arial" w:cs="Arial"/>
                <w:sz w:val="20"/>
                <w:szCs w:val="20"/>
                <w:lang w:val="en-GB"/>
              </w:rPr>
              <w:t>intangible cultural heritage in urban settings</w:t>
            </w:r>
            <w:r w:rsidR="00CE61DD">
              <w:rPr>
                <w:rFonts w:ascii="Arial" w:eastAsia="Calibri" w:hAnsi="Arial" w:cs="Arial"/>
                <w:sz w:val="20"/>
                <w:szCs w:val="20"/>
                <w:lang w:val="en-GB"/>
              </w:rPr>
              <w:t xml:space="preserve">, UNESCO will continue </w:t>
            </w:r>
            <w:r w:rsidR="009A1E0E">
              <w:rPr>
                <w:rFonts w:ascii="Arial" w:eastAsia="Calibri" w:hAnsi="Arial" w:cs="Arial"/>
                <w:sz w:val="20"/>
                <w:szCs w:val="20"/>
                <w:lang w:val="en-GB"/>
              </w:rPr>
              <w:t>to test</w:t>
            </w:r>
            <w:r w:rsidR="00CE61DD">
              <w:rPr>
                <w:rFonts w:ascii="Arial" w:eastAsia="Calibri" w:hAnsi="Arial" w:cs="Arial"/>
                <w:sz w:val="20"/>
                <w:szCs w:val="20"/>
                <w:lang w:val="en-GB"/>
              </w:rPr>
              <w:t xml:space="preserve"> </w:t>
            </w:r>
            <w:r w:rsidR="00CE61DD" w:rsidRPr="00CE61DD">
              <w:rPr>
                <w:rFonts w:ascii="Arial" w:eastAsia="Calibri" w:hAnsi="Arial" w:cs="Arial"/>
                <w:sz w:val="20"/>
                <w:szCs w:val="20"/>
                <w:lang w:val="en-GB"/>
              </w:rPr>
              <w:t xml:space="preserve">the specific training approach used </w:t>
            </w:r>
            <w:r w:rsidR="009A1E0E">
              <w:rPr>
                <w:rFonts w:ascii="Arial" w:eastAsia="Calibri" w:hAnsi="Arial" w:cs="Arial"/>
                <w:sz w:val="20"/>
                <w:szCs w:val="20"/>
                <w:lang w:val="en-GB"/>
              </w:rPr>
              <w:t>for</w:t>
            </w:r>
            <w:r w:rsidR="00CE61DD" w:rsidRPr="00CE61DD">
              <w:rPr>
                <w:rFonts w:ascii="Arial" w:eastAsia="Calibri" w:hAnsi="Arial" w:cs="Arial"/>
                <w:sz w:val="20"/>
                <w:szCs w:val="20"/>
                <w:lang w:val="en-GB"/>
              </w:rPr>
              <w:t xml:space="preserve"> these materials.</w:t>
            </w:r>
          </w:p>
        </w:tc>
      </w:tr>
      <w:tr w:rsidR="007E32A1" w:rsidRPr="00A53C89" w14:paraId="441C5717" w14:textId="77777777" w:rsidTr="00756644">
        <w:tc>
          <w:tcPr>
            <w:tcW w:w="2500" w:type="pct"/>
            <w:shd w:val="clear" w:color="auto" w:fill="auto"/>
          </w:tcPr>
          <w:p w14:paraId="3A5FF2BB" w14:textId="77777777" w:rsidR="007E32A1" w:rsidRPr="00D71D21" w:rsidRDefault="007E32A1" w:rsidP="00316CCB">
            <w:pPr>
              <w:spacing w:before="60" w:after="60"/>
              <w:rPr>
                <w:rFonts w:ascii="Arial" w:eastAsia="Calibri" w:hAnsi="Arial" w:cs="Arial"/>
                <w:sz w:val="20"/>
                <w:szCs w:val="20"/>
                <w:lang w:val="en-GB"/>
              </w:rPr>
            </w:pPr>
            <w:r>
              <w:rPr>
                <w:rFonts w:ascii="Arial" w:eastAsia="Calibri" w:hAnsi="Arial" w:cs="Arial"/>
                <w:sz w:val="20"/>
                <w:szCs w:val="20"/>
                <w:lang w:val="en-GB"/>
              </w:rPr>
              <w:t xml:space="preserve">With the aim of designing </w:t>
            </w:r>
            <w:r w:rsidRPr="00D71D21">
              <w:rPr>
                <w:rFonts w:ascii="Arial" w:eastAsia="Calibri" w:hAnsi="Arial" w:cs="Arial"/>
                <w:sz w:val="20"/>
                <w:szCs w:val="20"/>
                <w:lang w:val="en-GB"/>
              </w:rPr>
              <w:t>lighter and alternative ways of sharing safeguarding practices to complement the Register of Best Safeguarding Practices, the</w:t>
            </w:r>
            <w:r>
              <w:rPr>
                <w:rFonts w:ascii="Arial" w:eastAsia="Calibri" w:hAnsi="Arial" w:cs="Arial"/>
                <w:sz w:val="20"/>
                <w:szCs w:val="20"/>
                <w:lang w:val="en-GB"/>
              </w:rPr>
              <w:t xml:space="preserve"> Secretariat considered commissioning proposals to </w:t>
            </w:r>
            <w:r w:rsidRPr="00D71D21">
              <w:rPr>
                <w:rFonts w:ascii="Arial" w:eastAsia="Calibri" w:hAnsi="Arial" w:cs="Arial"/>
                <w:sz w:val="20"/>
                <w:szCs w:val="20"/>
                <w:lang w:val="en-GB"/>
              </w:rPr>
              <w:t xml:space="preserve">three individual experts </w:t>
            </w:r>
            <w:r>
              <w:rPr>
                <w:rFonts w:ascii="Arial" w:eastAsia="Calibri" w:hAnsi="Arial" w:cs="Arial"/>
                <w:sz w:val="20"/>
                <w:szCs w:val="20"/>
                <w:lang w:val="en-GB"/>
              </w:rPr>
              <w:t>but feared that this approach</w:t>
            </w:r>
            <w:r w:rsidRPr="00D71D21">
              <w:rPr>
                <w:rFonts w:ascii="Arial" w:eastAsia="Calibri" w:hAnsi="Arial" w:cs="Arial"/>
                <w:sz w:val="20"/>
                <w:szCs w:val="20"/>
                <w:lang w:val="en-GB"/>
              </w:rPr>
              <w:t xml:space="preserve"> </w:t>
            </w:r>
            <w:r>
              <w:rPr>
                <w:rFonts w:ascii="Arial" w:eastAsia="Calibri" w:hAnsi="Arial" w:cs="Arial"/>
                <w:sz w:val="20"/>
                <w:szCs w:val="20"/>
                <w:lang w:val="en-GB"/>
              </w:rPr>
              <w:t xml:space="preserve">would prove to be </w:t>
            </w:r>
            <w:r w:rsidRPr="00D71D21">
              <w:rPr>
                <w:rFonts w:ascii="Arial" w:eastAsia="Calibri" w:hAnsi="Arial" w:cs="Arial"/>
                <w:sz w:val="20"/>
                <w:szCs w:val="20"/>
                <w:lang w:val="en-GB"/>
              </w:rPr>
              <w:t xml:space="preserve">too restrictive </w:t>
            </w:r>
            <w:r>
              <w:rPr>
                <w:rFonts w:ascii="Arial" w:eastAsia="Calibri" w:hAnsi="Arial" w:cs="Arial"/>
                <w:sz w:val="20"/>
                <w:szCs w:val="20"/>
                <w:lang w:val="en-GB"/>
              </w:rPr>
              <w:t>compared</w:t>
            </w:r>
            <w:r w:rsidRPr="00D71D21">
              <w:rPr>
                <w:rFonts w:ascii="Arial" w:eastAsia="Calibri" w:hAnsi="Arial" w:cs="Arial"/>
                <w:sz w:val="20"/>
                <w:szCs w:val="20"/>
                <w:lang w:val="en-GB"/>
              </w:rPr>
              <w:t xml:space="preserve"> to the expectations of </w:t>
            </w:r>
            <w:r>
              <w:rPr>
                <w:rFonts w:ascii="Arial" w:eastAsia="Calibri" w:hAnsi="Arial" w:cs="Arial"/>
                <w:sz w:val="20"/>
                <w:szCs w:val="20"/>
                <w:lang w:val="en-GB"/>
              </w:rPr>
              <w:t>a wide range of stakeholders.</w:t>
            </w:r>
          </w:p>
        </w:tc>
        <w:tc>
          <w:tcPr>
            <w:tcW w:w="2500" w:type="pct"/>
            <w:shd w:val="clear" w:color="auto" w:fill="auto"/>
          </w:tcPr>
          <w:p w14:paraId="0DEFD072" w14:textId="77777777" w:rsidR="007E32A1" w:rsidRPr="00D71D21" w:rsidRDefault="007E32A1" w:rsidP="009A1E0E">
            <w:pPr>
              <w:spacing w:before="60" w:after="60"/>
              <w:rPr>
                <w:rFonts w:ascii="Arial" w:eastAsia="Calibri" w:hAnsi="Arial" w:cs="Arial"/>
                <w:sz w:val="20"/>
                <w:szCs w:val="20"/>
                <w:lang w:val="en-GB"/>
              </w:rPr>
            </w:pPr>
            <w:r w:rsidRPr="00D71D21">
              <w:rPr>
                <w:rFonts w:ascii="Arial" w:eastAsia="Calibri" w:hAnsi="Arial" w:cs="Arial"/>
                <w:sz w:val="20"/>
                <w:szCs w:val="20"/>
                <w:lang w:val="en-GB"/>
              </w:rPr>
              <w:t>Alternative ideas, for instance to proceed through partnerships or online surveys, are being examined</w:t>
            </w:r>
            <w:r>
              <w:rPr>
                <w:rFonts w:ascii="Arial" w:eastAsia="Calibri" w:hAnsi="Arial" w:cs="Arial"/>
                <w:sz w:val="20"/>
                <w:szCs w:val="20"/>
                <w:lang w:val="en-GB"/>
              </w:rPr>
              <w:t>.</w:t>
            </w:r>
          </w:p>
        </w:tc>
      </w:tr>
      <w:tr w:rsidR="007E32A1" w:rsidRPr="00A53C89" w14:paraId="74F1932F" w14:textId="77777777" w:rsidTr="00756644">
        <w:tc>
          <w:tcPr>
            <w:tcW w:w="2500" w:type="pct"/>
            <w:shd w:val="clear" w:color="auto" w:fill="auto"/>
          </w:tcPr>
          <w:p w14:paraId="0E45F79B" w14:textId="77777777" w:rsidR="007E32A1" w:rsidRPr="00D71D21" w:rsidRDefault="007E32A1" w:rsidP="00316CCB">
            <w:pPr>
              <w:spacing w:before="60" w:after="60"/>
              <w:rPr>
                <w:rFonts w:ascii="Arial" w:eastAsia="Calibri" w:hAnsi="Arial" w:cs="Arial"/>
                <w:sz w:val="20"/>
                <w:szCs w:val="20"/>
                <w:lang w:val="en-GB"/>
              </w:rPr>
            </w:pPr>
            <w:r>
              <w:rPr>
                <w:rFonts w:ascii="Arial" w:eastAsia="Calibri" w:hAnsi="Arial" w:cs="Arial"/>
                <w:sz w:val="20"/>
                <w:szCs w:val="20"/>
                <w:lang w:val="en-GB"/>
              </w:rPr>
              <w:t>T</w:t>
            </w:r>
            <w:r w:rsidRPr="00D71D21">
              <w:rPr>
                <w:rFonts w:ascii="Arial" w:eastAsia="Calibri" w:hAnsi="Arial" w:cs="Arial"/>
                <w:sz w:val="20"/>
                <w:szCs w:val="20"/>
                <w:lang w:val="en-GB"/>
              </w:rPr>
              <w:t xml:space="preserve">he guidance note on inventorying intangible cultural heritage </w:t>
            </w:r>
            <w:r>
              <w:rPr>
                <w:rFonts w:ascii="Arial" w:eastAsia="Calibri" w:hAnsi="Arial" w:cs="Arial"/>
                <w:sz w:val="20"/>
                <w:szCs w:val="20"/>
                <w:lang w:val="en-GB"/>
              </w:rPr>
              <w:t xml:space="preserve">was meant to </w:t>
            </w:r>
            <w:r w:rsidR="009A1E0E">
              <w:rPr>
                <w:rFonts w:ascii="Arial" w:eastAsia="Calibri" w:hAnsi="Arial" w:cs="Arial"/>
                <w:sz w:val="20"/>
                <w:szCs w:val="20"/>
                <w:lang w:val="en-GB"/>
              </w:rPr>
              <w:t xml:space="preserve">be </w:t>
            </w:r>
            <w:r w:rsidRPr="007E32A1">
              <w:rPr>
                <w:rFonts w:ascii="Arial" w:eastAsia="Calibri" w:hAnsi="Arial" w:cs="Arial"/>
                <w:sz w:val="20"/>
                <w:szCs w:val="20"/>
                <w:lang w:val="en-GB"/>
              </w:rPr>
              <w:t xml:space="preserve">a resource that could be used by a </w:t>
            </w:r>
            <w:r w:rsidR="00991802">
              <w:rPr>
                <w:rFonts w:ascii="Arial" w:eastAsia="Calibri" w:hAnsi="Arial" w:cs="Arial"/>
                <w:sz w:val="20"/>
                <w:szCs w:val="20"/>
                <w:lang w:val="en-GB"/>
              </w:rPr>
              <w:t xml:space="preserve">wide </w:t>
            </w:r>
            <w:r w:rsidRPr="007E32A1">
              <w:rPr>
                <w:rFonts w:ascii="Arial" w:eastAsia="Calibri" w:hAnsi="Arial" w:cs="Arial"/>
                <w:sz w:val="20"/>
                <w:szCs w:val="20"/>
                <w:lang w:val="en-GB"/>
              </w:rPr>
              <w:t xml:space="preserve">range of actors </w:t>
            </w:r>
            <w:r w:rsidR="00991802" w:rsidRPr="00D71D21">
              <w:rPr>
                <w:rFonts w:ascii="Arial" w:eastAsia="Calibri" w:hAnsi="Arial" w:cs="Arial"/>
                <w:sz w:val="20"/>
                <w:szCs w:val="20"/>
                <w:lang w:val="en-GB"/>
              </w:rPr>
              <w:t xml:space="preserve">(communities, national and local governments, NGOs and experts) </w:t>
            </w:r>
            <w:r w:rsidR="00991802">
              <w:rPr>
                <w:rFonts w:ascii="Arial" w:eastAsia="Calibri" w:hAnsi="Arial" w:cs="Arial"/>
                <w:sz w:val="20"/>
                <w:szCs w:val="20"/>
                <w:lang w:val="en-GB"/>
              </w:rPr>
              <w:t>with different</w:t>
            </w:r>
            <w:r w:rsidRPr="007E32A1">
              <w:rPr>
                <w:rFonts w:ascii="Arial" w:eastAsia="Calibri" w:hAnsi="Arial" w:cs="Arial"/>
                <w:sz w:val="20"/>
                <w:szCs w:val="20"/>
                <w:lang w:val="en-GB"/>
              </w:rPr>
              <w:t xml:space="preserve"> needs and, in this sense, </w:t>
            </w:r>
            <w:r w:rsidR="009A1E0E">
              <w:rPr>
                <w:rFonts w:ascii="Arial" w:eastAsia="Calibri" w:hAnsi="Arial" w:cs="Arial"/>
                <w:sz w:val="20"/>
                <w:szCs w:val="20"/>
                <w:lang w:val="en-GB"/>
              </w:rPr>
              <w:t xml:space="preserve">to be </w:t>
            </w:r>
            <w:r w:rsidRPr="007E32A1">
              <w:rPr>
                <w:rFonts w:ascii="Arial" w:eastAsia="Calibri" w:hAnsi="Arial" w:cs="Arial"/>
                <w:sz w:val="20"/>
                <w:szCs w:val="20"/>
                <w:lang w:val="en-GB"/>
              </w:rPr>
              <w:t xml:space="preserve">sufficiently general to be able to adapt </w:t>
            </w:r>
            <w:r w:rsidR="00991802" w:rsidRPr="00D71D21">
              <w:rPr>
                <w:rFonts w:ascii="Arial" w:eastAsia="Calibri" w:hAnsi="Arial" w:cs="Arial"/>
                <w:sz w:val="20"/>
                <w:szCs w:val="20"/>
                <w:lang w:val="en-GB"/>
              </w:rPr>
              <w:t>to a variety of political, social and legal contexts</w:t>
            </w:r>
            <w:r w:rsidR="001F71D4">
              <w:rPr>
                <w:rFonts w:ascii="Arial" w:eastAsia="Calibri" w:hAnsi="Arial" w:cs="Arial"/>
                <w:sz w:val="20"/>
                <w:szCs w:val="20"/>
                <w:lang w:val="en-GB"/>
              </w:rPr>
              <w:t xml:space="preserve">. However, it also </w:t>
            </w:r>
            <w:r w:rsidR="001F71D4">
              <w:rPr>
                <w:rFonts w:ascii="Arial" w:eastAsia="Calibri" w:hAnsi="Arial" w:cs="Arial"/>
                <w:sz w:val="20"/>
                <w:szCs w:val="20"/>
                <w:lang w:val="en-GB"/>
              </w:rPr>
              <w:lastRenderedPageBreak/>
              <w:t xml:space="preserve">needed not to </w:t>
            </w:r>
            <w:r w:rsidRPr="007E32A1">
              <w:rPr>
                <w:rFonts w:ascii="Arial" w:eastAsia="Calibri" w:hAnsi="Arial" w:cs="Arial"/>
                <w:sz w:val="20"/>
                <w:szCs w:val="20"/>
                <w:lang w:val="en-GB"/>
              </w:rPr>
              <w:t xml:space="preserve">contradict the </w:t>
            </w:r>
            <w:r w:rsidR="001F71D4">
              <w:rPr>
                <w:rFonts w:ascii="Arial" w:eastAsia="Calibri" w:hAnsi="Arial" w:cs="Arial"/>
                <w:sz w:val="20"/>
                <w:szCs w:val="20"/>
                <w:lang w:val="en-GB"/>
              </w:rPr>
              <w:t>various sources of</w:t>
            </w:r>
            <w:r w:rsidRPr="007E32A1">
              <w:rPr>
                <w:rFonts w:ascii="Arial" w:eastAsia="Calibri" w:hAnsi="Arial" w:cs="Arial"/>
                <w:sz w:val="20"/>
                <w:szCs w:val="20"/>
                <w:lang w:val="en-GB"/>
              </w:rPr>
              <w:t xml:space="preserve"> information about inventories, in particular in relation to </w:t>
            </w:r>
            <w:r w:rsidR="00991802">
              <w:rPr>
                <w:rFonts w:ascii="Arial" w:eastAsia="Calibri" w:hAnsi="Arial" w:cs="Arial"/>
                <w:sz w:val="20"/>
                <w:szCs w:val="20"/>
                <w:lang w:val="en-GB"/>
              </w:rPr>
              <w:t>nominations to</w:t>
            </w:r>
            <w:r w:rsidRPr="007E32A1">
              <w:rPr>
                <w:rFonts w:ascii="Arial" w:eastAsia="Calibri" w:hAnsi="Arial" w:cs="Arial"/>
                <w:sz w:val="20"/>
                <w:szCs w:val="20"/>
                <w:lang w:val="en-GB"/>
              </w:rPr>
              <w:t xml:space="preserve"> the List</w:t>
            </w:r>
            <w:r w:rsidR="00991802">
              <w:rPr>
                <w:rFonts w:ascii="Arial" w:eastAsia="Calibri" w:hAnsi="Arial" w:cs="Arial"/>
                <w:sz w:val="20"/>
                <w:szCs w:val="20"/>
                <w:lang w:val="en-GB"/>
              </w:rPr>
              <w:t>s</w:t>
            </w:r>
            <w:r w:rsidRPr="007E32A1">
              <w:rPr>
                <w:rFonts w:ascii="Arial" w:eastAsia="Calibri" w:hAnsi="Arial" w:cs="Arial"/>
                <w:sz w:val="20"/>
                <w:szCs w:val="20"/>
                <w:lang w:val="en-GB"/>
              </w:rPr>
              <w:t>, scattered throughout a series of documents</w:t>
            </w:r>
            <w:r w:rsidR="00991802">
              <w:rPr>
                <w:rFonts w:ascii="Arial" w:eastAsia="Calibri" w:hAnsi="Arial" w:cs="Arial"/>
                <w:sz w:val="20"/>
                <w:szCs w:val="20"/>
                <w:lang w:val="en-GB"/>
              </w:rPr>
              <w:t>.</w:t>
            </w:r>
          </w:p>
        </w:tc>
        <w:tc>
          <w:tcPr>
            <w:tcW w:w="2500" w:type="pct"/>
            <w:shd w:val="clear" w:color="auto" w:fill="auto"/>
          </w:tcPr>
          <w:p w14:paraId="2D38BE84" w14:textId="77777777" w:rsidR="007E32A1" w:rsidRPr="00D71D21" w:rsidRDefault="007E32A1" w:rsidP="008969C8">
            <w:pPr>
              <w:spacing w:before="60" w:after="60"/>
              <w:rPr>
                <w:rFonts w:ascii="Arial" w:eastAsia="Calibri" w:hAnsi="Arial" w:cs="Arial"/>
                <w:sz w:val="20"/>
                <w:szCs w:val="20"/>
                <w:lang w:val="en-GB"/>
              </w:rPr>
            </w:pPr>
            <w:r w:rsidRPr="00D71D21">
              <w:rPr>
                <w:rFonts w:ascii="Arial" w:eastAsia="Calibri" w:hAnsi="Arial" w:cs="Arial"/>
                <w:sz w:val="20"/>
                <w:szCs w:val="20"/>
                <w:lang w:val="en-GB"/>
              </w:rPr>
              <w:lastRenderedPageBreak/>
              <w:t xml:space="preserve">References to specific documents and decisions of the governing bodies of the Convention </w:t>
            </w:r>
            <w:r w:rsidR="00991802">
              <w:rPr>
                <w:rFonts w:ascii="Arial" w:eastAsia="Calibri" w:hAnsi="Arial" w:cs="Arial"/>
                <w:sz w:val="20"/>
                <w:szCs w:val="20"/>
                <w:lang w:val="en-GB"/>
              </w:rPr>
              <w:t>were</w:t>
            </w:r>
            <w:r w:rsidRPr="00D71D21">
              <w:rPr>
                <w:rFonts w:ascii="Arial" w:eastAsia="Calibri" w:hAnsi="Arial" w:cs="Arial"/>
                <w:sz w:val="20"/>
                <w:szCs w:val="20"/>
                <w:lang w:val="en-GB"/>
              </w:rPr>
              <w:t xml:space="preserve"> kept to a minimum to ensure </w:t>
            </w:r>
            <w:r w:rsidR="009A1E0E">
              <w:rPr>
                <w:rFonts w:ascii="Arial" w:eastAsia="Calibri" w:hAnsi="Arial" w:cs="Arial"/>
                <w:sz w:val="20"/>
                <w:szCs w:val="20"/>
                <w:lang w:val="en-GB"/>
              </w:rPr>
              <w:t>their</w:t>
            </w:r>
            <w:r w:rsidR="009A1E0E" w:rsidRPr="00D71D21">
              <w:rPr>
                <w:rFonts w:ascii="Arial" w:eastAsia="Calibri" w:hAnsi="Arial" w:cs="Arial"/>
                <w:sz w:val="20"/>
                <w:szCs w:val="20"/>
                <w:lang w:val="en-GB"/>
              </w:rPr>
              <w:t xml:space="preserve"> </w:t>
            </w:r>
            <w:r w:rsidRPr="00D71D21">
              <w:rPr>
                <w:rFonts w:ascii="Arial" w:eastAsia="Calibri" w:hAnsi="Arial" w:cs="Arial"/>
                <w:sz w:val="20"/>
                <w:szCs w:val="20"/>
                <w:lang w:val="en-GB"/>
              </w:rPr>
              <w:t>enhanced readability by a wide range of users</w:t>
            </w:r>
            <w:r w:rsidR="009A1E0E">
              <w:rPr>
                <w:rFonts w:ascii="Arial" w:eastAsia="Calibri" w:hAnsi="Arial" w:cs="Arial"/>
                <w:sz w:val="20"/>
                <w:szCs w:val="20"/>
                <w:lang w:val="en-GB"/>
              </w:rPr>
              <w:t>.</w:t>
            </w:r>
            <w:r w:rsidRPr="00D71D21">
              <w:rPr>
                <w:rFonts w:ascii="Arial" w:eastAsia="Calibri" w:hAnsi="Arial" w:cs="Arial"/>
                <w:sz w:val="20"/>
                <w:szCs w:val="20"/>
                <w:lang w:val="en-GB"/>
              </w:rPr>
              <w:t xml:space="preserve"> </w:t>
            </w:r>
            <w:r w:rsidR="009A1E0E">
              <w:rPr>
                <w:rFonts w:ascii="Arial" w:eastAsia="Calibri" w:hAnsi="Arial" w:cs="Arial"/>
                <w:sz w:val="20"/>
                <w:szCs w:val="20"/>
                <w:lang w:val="en-GB"/>
              </w:rPr>
              <w:t>S</w:t>
            </w:r>
            <w:r w:rsidRPr="00D71D21">
              <w:rPr>
                <w:rFonts w:ascii="Arial" w:eastAsia="Calibri" w:hAnsi="Arial" w:cs="Arial"/>
                <w:sz w:val="20"/>
                <w:szCs w:val="20"/>
                <w:lang w:val="en-GB"/>
              </w:rPr>
              <w:t xml:space="preserve">pecific efforts are being </w:t>
            </w:r>
            <w:r w:rsidR="009A1E0E">
              <w:rPr>
                <w:rFonts w:ascii="Arial" w:eastAsia="Calibri" w:hAnsi="Arial" w:cs="Arial"/>
                <w:sz w:val="20"/>
                <w:szCs w:val="20"/>
                <w:lang w:val="en-GB"/>
              </w:rPr>
              <w:t>made</w:t>
            </w:r>
            <w:r w:rsidRPr="00D71D21">
              <w:rPr>
                <w:rFonts w:ascii="Arial" w:eastAsia="Calibri" w:hAnsi="Arial" w:cs="Arial"/>
                <w:sz w:val="20"/>
                <w:szCs w:val="20"/>
                <w:lang w:val="en-GB"/>
              </w:rPr>
              <w:t xml:space="preserve"> to simplify the language and style of the guidance note</w:t>
            </w:r>
            <w:r w:rsidR="00991802">
              <w:rPr>
                <w:rFonts w:ascii="Arial" w:eastAsia="Calibri" w:hAnsi="Arial" w:cs="Arial"/>
                <w:sz w:val="20"/>
                <w:szCs w:val="20"/>
                <w:lang w:val="en-GB"/>
              </w:rPr>
              <w:t xml:space="preserve"> and </w:t>
            </w:r>
            <w:r w:rsidR="00756644">
              <w:rPr>
                <w:rFonts w:ascii="Arial" w:eastAsia="Calibri" w:hAnsi="Arial" w:cs="Arial"/>
                <w:sz w:val="20"/>
                <w:szCs w:val="20"/>
                <w:lang w:val="en-GB"/>
              </w:rPr>
              <w:t xml:space="preserve">relevant documents will be updated accordingly. </w:t>
            </w:r>
          </w:p>
        </w:tc>
      </w:tr>
    </w:tbl>
    <w:p w14:paraId="72A86BFB" w14:textId="77777777" w:rsidR="00A74D6C" w:rsidRPr="00524C74" w:rsidRDefault="00A74D6C" w:rsidP="00473C13">
      <w:pPr>
        <w:keepNext/>
        <w:spacing w:before="240" w:after="120"/>
        <w:ind w:left="851" w:hanging="851"/>
        <w:rPr>
          <w:rFonts w:ascii="Arial" w:hAnsi="Arial" w:cs="Arial"/>
          <w:b/>
          <w:sz w:val="22"/>
          <w:szCs w:val="22"/>
          <w:lang w:val="en-GB"/>
        </w:rPr>
      </w:pPr>
      <w:r w:rsidRPr="00524C74">
        <w:rPr>
          <w:rFonts w:ascii="Arial" w:hAnsi="Arial" w:cs="Arial"/>
          <w:b/>
          <w:sz w:val="22"/>
          <w:szCs w:val="22"/>
          <w:lang w:val="en-GB"/>
        </w:rPr>
        <w:t>ER 3:</w:t>
      </w:r>
      <w:r w:rsidRPr="00524C74">
        <w:rPr>
          <w:rFonts w:ascii="Arial" w:hAnsi="Arial" w:cs="Arial"/>
          <w:b/>
          <w:sz w:val="22"/>
          <w:szCs w:val="22"/>
          <w:lang w:val="en-GB"/>
        </w:rPr>
        <w:tab/>
      </w:r>
      <w:r w:rsidR="006F7D20" w:rsidRPr="00524C74">
        <w:rPr>
          <w:rFonts w:ascii="Arial" w:hAnsi="Arial" w:cs="Arial"/>
          <w:b/>
          <w:bCs/>
          <w:sz w:val="22"/>
          <w:szCs w:val="22"/>
          <w:lang w:val="en-GB"/>
        </w:rPr>
        <w:t>Overall results framework developed to monitor implementation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67"/>
        <w:gridCol w:w="1920"/>
      </w:tblGrid>
      <w:tr w:rsidR="00A74D6C" w:rsidRPr="00524C74" w14:paraId="5B003AC2" w14:textId="77777777" w:rsidTr="00842D1A">
        <w:tc>
          <w:tcPr>
            <w:tcW w:w="2013" w:type="pct"/>
            <w:tcBorders>
              <w:bottom w:val="single" w:sz="4" w:space="0" w:color="auto"/>
            </w:tcBorders>
            <w:shd w:val="clear" w:color="auto" w:fill="C6D9F1"/>
          </w:tcPr>
          <w:p w14:paraId="42436A67" w14:textId="77777777" w:rsidR="00A74D6C" w:rsidRPr="00524C74" w:rsidRDefault="00A74D6C" w:rsidP="00473C13">
            <w:pPr>
              <w:keepNext/>
              <w:spacing w:before="120" w:after="120"/>
              <w:jc w:val="center"/>
              <w:rPr>
                <w:rFonts w:ascii="Arial" w:eastAsia="Calibri" w:hAnsi="Arial" w:cs="Arial"/>
                <w:b/>
                <w:sz w:val="20"/>
                <w:szCs w:val="20"/>
                <w:lang w:val="en-GB"/>
              </w:rPr>
            </w:pPr>
            <w:r w:rsidRPr="00524C74">
              <w:rPr>
                <w:rFonts w:ascii="Arial" w:eastAsia="Calibri" w:hAnsi="Arial" w:cs="Arial"/>
                <w:b/>
                <w:sz w:val="20"/>
                <w:szCs w:val="20"/>
                <w:lang w:val="en-GB"/>
              </w:rPr>
              <w:t>Allocation</w:t>
            </w:r>
          </w:p>
        </w:tc>
        <w:tc>
          <w:tcPr>
            <w:tcW w:w="2013" w:type="pct"/>
            <w:shd w:val="clear" w:color="auto" w:fill="C6D9F1"/>
          </w:tcPr>
          <w:p w14:paraId="2F55D2C0" w14:textId="77777777" w:rsidR="00A74D6C" w:rsidRPr="00524C74" w:rsidRDefault="00A74D6C" w:rsidP="00473C13">
            <w:pPr>
              <w:keepNext/>
              <w:spacing w:before="120" w:after="120"/>
              <w:jc w:val="center"/>
              <w:rPr>
                <w:rFonts w:ascii="Arial" w:eastAsia="Calibri" w:hAnsi="Arial" w:cs="Arial"/>
                <w:b/>
                <w:sz w:val="20"/>
                <w:szCs w:val="20"/>
                <w:lang w:val="en-GB"/>
              </w:rPr>
            </w:pPr>
            <w:r w:rsidRPr="00524C74">
              <w:rPr>
                <w:rFonts w:ascii="Arial" w:eastAsia="Calibri" w:hAnsi="Arial" w:cs="Arial"/>
                <w:b/>
                <w:sz w:val="20"/>
                <w:szCs w:val="20"/>
                <w:lang w:val="en-GB"/>
              </w:rPr>
              <w:t>Expenditures</w:t>
            </w:r>
          </w:p>
        </w:tc>
        <w:tc>
          <w:tcPr>
            <w:tcW w:w="974" w:type="pct"/>
            <w:shd w:val="clear" w:color="auto" w:fill="C6D9F1"/>
          </w:tcPr>
          <w:p w14:paraId="0A82E7B8" w14:textId="77777777" w:rsidR="00A74D6C" w:rsidRPr="00524C74" w:rsidRDefault="00A74D6C" w:rsidP="00473C13">
            <w:pPr>
              <w:keepNext/>
              <w:spacing w:before="120" w:after="120"/>
              <w:jc w:val="center"/>
              <w:rPr>
                <w:rFonts w:ascii="Arial" w:eastAsia="Calibri" w:hAnsi="Arial" w:cs="Arial"/>
                <w:b/>
                <w:sz w:val="20"/>
                <w:szCs w:val="20"/>
                <w:lang w:val="en-GB"/>
              </w:rPr>
            </w:pPr>
            <w:r w:rsidRPr="00524C74">
              <w:rPr>
                <w:rFonts w:ascii="Arial" w:eastAsia="Calibri" w:hAnsi="Arial" w:cs="Arial"/>
                <w:b/>
                <w:sz w:val="20"/>
                <w:szCs w:val="20"/>
                <w:lang w:val="en-GB"/>
              </w:rPr>
              <w:t>Exp. Rate %</w:t>
            </w:r>
          </w:p>
        </w:tc>
      </w:tr>
      <w:tr w:rsidR="00A74D6C" w:rsidRPr="00524C74" w14:paraId="45BE9123" w14:textId="77777777" w:rsidTr="00842D1A">
        <w:tc>
          <w:tcPr>
            <w:tcW w:w="2013" w:type="pct"/>
            <w:tcBorders>
              <w:bottom w:val="single" w:sz="4" w:space="0" w:color="auto"/>
            </w:tcBorders>
            <w:shd w:val="clear" w:color="auto" w:fill="auto"/>
          </w:tcPr>
          <w:p w14:paraId="32DB182B" w14:textId="77777777" w:rsidR="00A74D6C" w:rsidRPr="00524C74" w:rsidRDefault="006F7D20" w:rsidP="006F7D20">
            <w:pPr>
              <w:spacing w:before="60" w:after="60"/>
              <w:jc w:val="center"/>
              <w:rPr>
                <w:rFonts w:ascii="Arial" w:hAnsi="Arial" w:cs="Arial"/>
                <w:sz w:val="20"/>
                <w:szCs w:val="20"/>
                <w:lang w:val="en-GB"/>
              </w:rPr>
            </w:pPr>
            <w:r w:rsidRPr="00524C74">
              <w:rPr>
                <w:rFonts w:ascii="Arial" w:hAnsi="Arial" w:cs="Arial"/>
                <w:sz w:val="20"/>
                <w:szCs w:val="20"/>
                <w:lang w:val="en-GB"/>
              </w:rPr>
              <w:t>50,000.00</w:t>
            </w:r>
          </w:p>
        </w:tc>
        <w:tc>
          <w:tcPr>
            <w:tcW w:w="2013" w:type="pct"/>
            <w:shd w:val="clear" w:color="auto" w:fill="auto"/>
          </w:tcPr>
          <w:p w14:paraId="1A3AEE7C" w14:textId="77777777" w:rsidR="00A74D6C" w:rsidRPr="00524C74" w:rsidRDefault="00C30B14" w:rsidP="006F7D20">
            <w:pPr>
              <w:spacing w:before="60" w:after="60"/>
              <w:jc w:val="center"/>
              <w:rPr>
                <w:rFonts w:ascii="Arial" w:hAnsi="Arial" w:cs="Arial"/>
                <w:sz w:val="20"/>
                <w:szCs w:val="20"/>
                <w:lang w:val="en-GB"/>
              </w:rPr>
            </w:pPr>
            <w:r>
              <w:rPr>
                <w:rFonts w:ascii="Arial" w:hAnsi="Arial" w:cs="Arial"/>
                <w:sz w:val="20"/>
                <w:szCs w:val="20"/>
                <w:lang w:val="en-GB"/>
              </w:rPr>
              <w:t>25,842.76</w:t>
            </w:r>
          </w:p>
        </w:tc>
        <w:tc>
          <w:tcPr>
            <w:tcW w:w="974" w:type="pct"/>
            <w:shd w:val="clear" w:color="auto" w:fill="auto"/>
          </w:tcPr>
          <w:p w14:paraId="61DBBBC0" w14:textId="77777777" w:rsidR="00A74D6C" w:rsidRPr="00524C74" w:rsidRDefault="00C30B14" w:rsidP="006F7D20">
            <w:pPr>
              <w:spacing w:before="60" w:after="60"/>
              <w:jc w:val="center"/>
              <w:rPr>
                <w:rFonts w:ascii="Arial" w:hAnsi="Arial" w:cs="Arial"/>
                <w:sz w:val="20"/>
                <w:szCs w:val="20"/>
                <w:lang w:val="en-GB"/>
              </w:rPr>
            </w:pPr>
            <w:r>
              <w:rPr>
                <w:rFonts w:ascii="Arial" w:hAnsi="Arial" w:cs="Arial"/>
                <w:sz w:val="20"/>
                <w:szCs w:val="20"/>
                <w:lang w:val="en-GB"/>
              </w:rPr>
              <w:t>51.7</w:t>
            </w:r>
            <w:r w:rsidR="00A74D6C" w:rsidRPr="00524C74">
              <w:rPr>
                <w:rFonts w:ascii="Arial" w:hAnsi="Arial" w:cs="Arial"/>
                <w:sz w:val="20"/>
                <w:szCs w:val="20"/>
                <w:lang w:val="en-GB"/>
              </w:rPr>
              <w:t>%</w:t>
            </w:r>
          </w:p>
        </w:tc>
      </w:tr>
    </w:tbl>
    <w:p w14:paraId="3AD2C422" w14:textId="77777777" w:rsidR="00A74D6C" w:rsidRPr="00524C74" w:rsidRDefault="00A74D6C" w:rsidP="005F7CB2">
      <w:pPr>
        <w:spacing w:before="240" w:after="120"/>
        <w:ind w:left="851" w:hanging="851"/>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3880"/>
        <w:gridCol w:w="2095"/>
      </w:tblGrid>
      <w:tr w:rsidR="00842D1A" w:rsidRPr="00524C74" w14:paraId="3EB3BD9E" w14:textId="77777777" w:rsidTr="00D71D21">
        <w:trPr>
          <w:tblHeader/>
        </w:trPr>
        <w:tc>
          <w:tcPr>
            <w:tcW w:w="3879" w:type="dxa"/>
            <w:shd w:val="clear" w:color="auto" w:fill="D9D9D9"/>
          </w:tcPr>
          <w:p w14:paraId="42BB0CB7" w14:textId="77777777" w:rsidR="00842D1A" w:rsidRPr="00524C74" w:rsidRDefault="00842D1A" w:rsidP="00316CCB">
            <w:pPr>
              <w:spacing w:before="60" w:after="60"/>
              <w:jc w:val="center"/>
              <w:rPr>
                <w:rFonts w:ascii="Arial" w:eastAsia="Calibri" w:hAnsi="Arial" w:cs="Arial"/>
                <w:b/>
                <w:sz w:val="20"/>
                <w:szCs w:val="20"/>
                <w:lang w:val="en-GB"/>
              </w:rPr>
            </w:pPr>
            <w:r w:rsidRPr="00524C74">
              <w:rPr>
                <w:rFonts w:ascii="Arial" w:eastAsia="Calibri" w:hAnsi="Arial" w:cs="Arial"/>
                <w:b/>
                <w:sz w:val="20"/>
                <w:szCs w:val="20"/>
                <w:lang w:val="en-GB"/>
              </w:rPr>
              <w:t>Output (O)</w:t>
            </w:r>
            <w:r w:rsidRPr="00524C74">
              <w:rPr>
                <w:rFonts w:ascii="Arial" w:eastAsia="Calibri" w:hAnsi="Arial" w:cs="Arial"/>
                <w:b/>
                <w:sz w:val="20"/>
                <w:szCs w:val="20"/>
                <w:lang w:val="en-GB"/>
              </w:rPr>
              <w:br/>
              <w:t>Indicators/Benchmark (B)</w:t>
            </w:r>
          </w:p>
        </w:tc>
        <w:tc>
          <w:tcPr>
            <w:tcW w:w="3880" w:type="dxa"/>
            <w:shd w:val="clear" w:color="auto" w:fill="D9D9D9"/>
          </w:tcPr>
          <w:p w14:paraId="1CE3A372" w14:textId="77777777" w:rsidR="00842D1A" w:rsidRPr="00524C74" w:rsidRDefault="00842D1A" w:rsidP="009A1E0E">
            <w:pPr>
              <w:spacing w:before="60" w:after="60"/>
              <w:jc w:val="center"/>
              <w:rPr>
                <w:rFonts w:ascii="Arial" w:eastAsia="Calibri" w:hAnsi="Arial" w:cs="Arial"/>
                <w:b/>
                <w:sz w:val="20"/>
                <w:szCs w:val="20"/>
                <w:lang w:val="en-GB"/>
              </w:rPr>
            </w:pPr>
            <w:r w:rsidRPr="00524C74">
              <w:rPr>
                <w:rFonts w:ascii="Arial" w:eastAsia="Calibri" w:hAnsi="Arial" w:cs="Arial"/>
                <w:b/>
                <w:sz w:val="20"/>
                <w:szCs w:val="20"/>
                <w:lang w:val="en-GB"/>
              </w:rPr>
              <w:t>Assessment of progress:</w:t>
            </w:r>
            <w:r w:rsidRPr="00524C74">
              <w:rPr>
                <w:rFonts w:ascii="Arial" w:eastAsia="Calibri" w:hAnsi="Arial" w:cs="Arial"/>
                <w:b/>
                <w:sz w:val="20"/>
                <w:szCs w:val="20"/>
                <w:lang w:val="en-GB"/>
              </w:rPr>
              <w:br/>
            </w:r>
            <w:r w:rsidR="006408A8" w:rsidRPr="00524C74">
              <w:rPr>
                <w:rFonts w:ascii="Arial" w:eastAsia="Calibri" w:hAnsi="Arial" w:cs="Arial"/>
                <w:b/>
                <w:sz w:val="20"/>
                <w:szCs w:val="20"/>
                <w:lang w:val="en-GB"/>
              </w:rPr>
              <w:t>01/01/2016 to 31/12/2016</w:t>
            </w:r>
          </w:p>
        </w:tc>
        <w:tc>
          <w:tcPr>
            <w:tcW w:w="0" w:type="auto"/>
            <w:shd w:val="clear" w:color="auto" w:fill="D9D9D9"/>
            <w:vAlign w:val="center"/>
          </w:tcPr>
          <w:p w14:paraId="64021385" w14:textId="77777777" w:rsidR="00842D1A" w:rsidRPr="00524C74" w:rsidRDefault="00842D1A" w:rsidP="008969C8">
            <w:pPr>
              <w:spacing w:before="60" w:after="60"/>
              <w:jc w:val="center"/>
              <w:rPr>
                <w:rFonts w:ascii="Arial" w:eastAsia="Calibri" w:hAnsi="Arial" w:cs="Arial"/>
                <w:b/>
                <w:sz w:val="20"/>
                <w:szCs w:val="20"/>
                <w:lang w:val="en-GB"/>
              </w:rPr>
            </w:pPr>
            <w:r w:rsidRPr="00524C74">
              <w:rPr>
                <w:rFonts w:ascii="Arial" w:eastAsia="Calibri" w:hAnsi="Arial" w:cs="Arial"/>
                <w:b/>
                <w:sz w:val="20"/>
                <w:szCs w:val="20"/>
                <w:lang w:val="en-GB"/>
              </w:rPr>
              <w:t>Assessment of implementation</w:t>
            </w:r>
          </w:p>
        </w:tc>
      </w:tr>
      <w:tr w:rsidR="00842D1A" w:rsidRPr="00524C74" w14:paraId="514AA2D5" w14:textId="77777777" w:rsidTr="00842D1A">
        <w:tc>
          <w:tcPr>
            <w:tcW w:w="3879" w:type="dxa"/>
            <w:shd w:val="clear" w:color="auto" w:fill="auto"/>
          </w:tcPr>
          <w:p w14:paraId="107E2A3F" w14:textId="77777777" w:rsidR="00842D1A" w:rsidRPr="00524C74" w:rsidRDefault="00842D1A" w:rsidP="00316CCB">
            <w:pPr>
              <w:spacing w:before="60" w:after="60"/>
              <w:rPr>
                <w:rFonts w:ascii="Arial" w:eastAsia="Calibri" w:hAnsi="Arial" w:cs="Arial"/>
                <w:b/>
                <w:sz w:val="20"/>
                <w:szCs w:val="20"/>
                <w:lang w:val="en-GB"/>
              </w:rPr>
            </w:pPr>
            <w:r w:rsidRPr="00524C74">
              <w:rPr>
                <w:rFonts w:ascii="Arial" w:eastAsia="Calibri" w:hAnsi="Arial" w:cs="Arial"/>
                <w:b/>
                <w:sz w:val="20"/>
                <w:szCs w:val="20"/>
                <w:lang w:val="en-GB"/>
              </w:rPr>
              <w:t xml:space="preserve">O: </w:t>
            </w:r>
          </w:p>
          <w:p w14:paraId="5327702D" w14:textId="77777777" w:rsidR="00842D1A" w:rsidRPr="00524C74" w:rsidRDefault="006F7D20" w:rsidP="009A1E0E">
            <w:pPr>
              <w:spacing w:before="60" w:after="60"/>
              <w:rPr>
                <w:rFonts w:ascii="Arial" w:eastAsia="Calibri" w:hAnsi="Arial" w:cs="Arial"/>
                <w:sz w:val="20"/>
                <w:szCs w:val="20"/>
                <w:lang w:val="en-GB"/>
              </w:rPr>
            </w:pPr>
            <w:r w:rsidRPr="00524C74">
              <w:rPr>
                <w:rFonts w:ascii="Arial" w:eastAsia="Calibri" w:hAnsi="Arial" w:cs="Arial"/>
                <w:sz w:val="20"/>
                <w:szCs w:val="20"/>
                <w:lang w:val="en-GB"/>
              </w:rPr>
              <w:t xml:space="preserve">An overall results framework for the Convention </w:t>
            </w:r>
            <w:r w:rsidR="001F71D4">
              <w:rPr>
                <w:rFonts w:ascii="Arial" w:eastAsia="Calibri" w:hAnsi="Arial" w:cs="Arial"/>
                <w:sz w:val="20"/>
                <w:szCs w:val="20"/>
                <w:lang w:val="en-GB"/>
              </w:rPr>
              <w:t>developed</w:t>
            </w:r>
          </w:p>
          <w:p w14:paraId="2B075E84" w14:textId="77777777" w:rsidR="00842D1A" w:rsidRPr="00524C74" w:rsidRDefault="00842D1A" w:rsidP="008969C8">
            <w:pPr>
              <w:keepNext/>
              <w:spacing w:before="60" w:after="60"/>
              <w:rPr>
                <w:rFonts w:ascii="Arial" w:hAnsi="Arial" w:cs="Arial"/>
                <w:b/>
                <w:sz w:val="20"/>
                <w:szCs w:val="20"/>
                <w:lang w:val="en-GB"/>
              </w:rPr>
            </w:pPr>
            <w:r w:rsidRPr="00524C74">
              <w:rPr>
                <w:rFonts w:ascii="Arial" w:hAnsi="Arial" w:cs="Arial"/>
                <w:b/>
                <w:sz w:val="20"/>
                <w:szCs w:val="20"/>
                <w:lang w:val="en-GB"/>
              </w:rPr>
              <w:t>B 201</w:t>
            </w:r>
            <w:r w:rsidR="006F7D20" w:rsidRPr="00524C74">
              <w:rPr>
                <w:rFonts w:ascii="Arial" w:hAnsi="Arial" w:cs="Arial"/>
                <w:b/>
                <w:sz w:val="20"/>
                <w:szCs w:val="20"/>
                <w:lang w:val="en-GB"/>
              </w:rPr>
              <w:t>6</w:t>
            </w:r>
            <w:r w:rsidRPr="00524C74">
              <w:rPr>
                <w:rFonts w:ascii="Arial" w:hAnsi="Arial" w:cs="Arial"/>
                <w:b/>
                <w:sz w:val="20"/>
                <w:szCs w:val="20"/>
                <w:lang w:val="en-GB"/>
              </w:rPr>
              <w:t>-201</w:t>
            </w:r>
            <w:r w:rsidR="006F7D20" w:rsidRPr="00524C74">
              <w:rPr>
                <w:rFonts w:ascii="Arial" w:hAnsi="Arial" w:cs="Arial"/>
                <w:b/>
                <w:sz w:val="20"/>
                <w:szCs w:val="20"/>
                <w:lang w:val="en-GB"/>
              </w:rPr>
              <w:t>7</w:t>
            </w:r>
            <w:r w:rsidRPr="00524C74">
              <w:rPr>
                <w:rFonts w:ascii="Arial" w:hAnsi="Arial" w:cs="Arial"/>
                <w:b/>
                <w:sz w:val="20"/>
                <w:szCs w:val="20"/>
                <w:lang w:val="en-GB"/>
              </w:rPr>
              <w:t>:</w:t>
            </w:r>
          </w:p>
          <w:p w14:paraId="54C1C492" w14:textId="77777777" w:rsidR="001F71D4" w:rsidRPr="00524C74" w:rsidRDefault="006F7D20" w:rsidP="00D25FF7">
            <w:pPr>
              <w:spacing w:before="60" w:after="60"/>
              <w:rPr>
                <w:rFonts w:ascii="Arial" w:eastAsia="Calibri" w:hAnsi="Arial" w:cs="Arial"/>
                <w:sz w:val="20"/>
                <w:szCs w:val="20"/>
                <w:lang w:val="en-GB"/>
              </w:rPr>
            </w:pPr>
            <w:r w:rsidRPr="00524C74">
              <w:rPr>
                <w:rFonts w:ascii="Arial" w:eastAsia="Calibri" w:hAnsi="Arial" w:cs="Arial"/>
                <w:sz w:val="20"/>
                <w:szCs w:val="20"/>
                <w:lang w:val="en-GB"/>
              </w:rPr>
              <w:t>Preliminary category VI meeting of experts to lay the foundation upon which an overall results framework of the Convention could be constructed (B=1, co-financed by the National Commission of the People’s Republic of China)</w:t>
            </w:r>
          </w:p>
          <w:p w14:paraId="289EEDFB" w14:textId="77777777" w:rsidR="006F7D20" w:rsidRPr="00524C74" w:rsidRDefault="001F71D4" w:rsidP="005563A5">
            <w:pPr>
              <w:spacing w:before="60" w:after="60"/>
              <w:rPr>
                <w:rFonts w:ascii="Arial" w:eastAsia="Calibri" w:hAnsi="Arial" w:cs="Arial"/>
                <w:sz w:val="20"/>
                <w:szCs w:val="20"/>
                <w:lang w:val="en-GB"/>
              </w:rPr>
            </w:pPr>
            <w:r>
              <w:rPr>
                <w:rFonts w:ascii="Arial" w:eastAsia="Calibri" w:hAnsi="Arial" w:cs="Arial"/>
                <w:sz w:val="20"/>
                <w:szCs w:val="20"/>
                <w:lang w:val="en-GB"/>
              </w:rPr>
              <w:t>O</w:t>
            </w:r>
            <w:r w:rsidR="006F7D20" w:rsidRPr="00524C74">
              <w:rPr>
                <w:rFonts w:ascii="Arial" w:eastAsia="Calibri" w:hAnsi="Arial" w:cs="Arial"/>
                <w:sz w:val="20"/>
                <w:szCs w:val="20"/>
                <w:lang w:val="en-GB"/>
              </w:rPr>
              <w:t xml:space="preserve">pen-ended intergovernmental working group to examine </w:t>
            </w:r>
            <w:r>
              <w:rPr>
                <w:rFonts w:ascii="Arial" w:eastAsia="Calibri" w:hAnsi="Arial" w:cs="Arial"/>
                <w:sz w:val="20"/>
                <w:szCs w:val="20"/>
                <w:lang w:val="en-GB"/>
              </w:rPr>
              <w:t xml:space="preserve">the </w:t>
            </w:r>
            <w:r w:rsidR="006F7D20" w:rsidRPr="00524C74">
              <w:rPr>
                <w:rFonts w:ascii="Arial" w:eastAsia="Calibri" w:hAnsi="Arial" w:cs="Arial"/>
                <w:sz w:val="20"/>
                <w:szCs w:val="20"/>
                <w:lang w:val="en-GB"/>
              </w:rPr>
              <w:t>preliminary recommendations of possible directives (B=1, contingent on voluntary supplementary contributions to the Intangible Cultural Heritage Fund)</w:t>
            </w:r>
          </w:p>
          <w:p w14:paraId="741C80F6" w14:textId="77777777" w:rsidR="00842D1A" w:rsidRPr="00524C74" w:rsidRDefault="001F71D4" w:rsidP="005563A5">
            <w:pPr>
              <w:spacing w:before="60" w:after="60"/>
              <w:rPr>
                <w:rFonts w:ascii="Arial" w:eastAsia="Calibri" w:hAnsi="Arial" w:cs="Arial"/>
                <w:sz w:val="20"/>
                <w:szCs w:val="20"/>
                <w:lang w:val="en-GB"/>
              </w:rPr>
            </w:pPr>
            <w:r>
              <w:rPr>
                <w:rFonts w:ascii="Arial" w:eastAsia="Calibri" w:hAnsi="Arial" w:cs="Arial"/>
                <w:sz w:val="20"/>
                <w:szCs w:val="20"/>
                <w:lang w:val="en-GB"/>
              </w:rPr>
              <w:t>P</w:t>
            </w:r>
            <w:r w:rsidR="006F7D20" w:rsidRPr="00524C74">
              <w:rPr>
                <w:rFonts w:ascii="Arial" w:eastAsia="Calibri" w:hAnsi="Arial" w:cs="Arial"/>
                <w:sz w:val="20"/>
                <w:szCs w:val="20"/>
                <w:lang w:val="en-GB"/>
              </w:rPr>
              <w:t>reliminary tool developed to systematize data collection and analysis to monitor implementation of the Convention (B=1)</w:t>
            </w:r>
          </w:p>
        </w:tc>
        <w:tc>
          <w:tcPr>
            <w:tcW w:w="3880" w:type="dxa"/>
            <w:shd w:val="clear" w:color="auto" w:fill="auto"/>
          </w:tcPr>
          <w:p w14:paraId="048C41DA" w14:textId="77777777" w:rsidR="00842D1A" w:rsidRPr="00524C74" w:rsidRDefault="00940A2D" w:rsidP="005563A5">
            <w:pPr>
              <w:pStyle w:val="ListParagraph"/>
              <w:numPr>
                <w:ilvl w:val="0"/>
                <w:numId w:val="27"/>
              </w:numPr>
              <w:spacing w:before="60" w:after="60"/>
              <w:ind w:left="357" w:hanging="357"/>
              <w:contextualSpacing w:val="0"/>
              <w:rPr>
                <w:rFonts w:ascii="Arial" w:eastAsia="Calibri" w:hAnsi="Arial" w:cs="Arial"/>
                <w:sz w:val="20"/>
                <w:szCs w:val="20"/>
                <w:lang w:val="en-GB"/>
              </w:rPr>
            </w:pPr>
            <w:r w:rsidRPr="00524C74">
              <w:rPr>
                <w:rFonts w:ascii="Arial" w:eastAsia="Calibri" w:hAnsi="Arial" w:cs="Arial"/>
                <w:sz w:val="20"/>
                <w:szCs w:val="20"/>
                <w:lang w:val="en-GB"/>
              </w:rPr>
              <w:t>Preliminary category VI meeting of experts on developing an overall results framework for the Convention held from 7 to 9 September 2016 in Beijing, China</w:t>
            </w:r>
          </w:p>
        </w:tc>
        <w:tc>
          <w:tcPr>
            <w:tcW w:w="0" w:type="auto"/>
          </w:tcPr>
          <w:p w14:paraId="13C6EBA4" w14:textId="77777777" w:rsidR="00842D1A" w:rsidRPr="00524C74" w:rsidRDefault="00842D1A" w:rsidP="005563A5">
            <w:pPr>
              <w:spacing w:before="60" w:after="60"/>
              <w:jc w:val="center"/>
              <w:rPr>
                <w:rFonts w:ascii="Arial" w:eastAsia="Calibri" w:hAnsi="Arial" w:cs="Arial"/>
                <w:sz w:val="20"/>
                <w:szCs w:val="20"/>
                <w:lang w:val="en-GB"/>
              </w:rPr>
            </w:pPr>
            <w:r w:rsidRPr="00524C74">
              <w:rPr>
                <w:rFonts w:ascii="Arial" w:eastAsia="Calibri" w:hAnsi="Arial" w:cs="Arial"/>
                <w:sz w:val="20"/>
                <w:szCs w:val="20"/>
                <w:lang w:val="en-GB"/>
              </w:rPr>
              <w:t xml:space="preserve">Partly </w:t>
            </w:r>
            <w:r w:rsidR="00E768E0" w:rsidRPr="00524C74">
              <w:rPr>
                <w:rFonts w:ascii="Arial" w:eastAsia="Calibri" w:hAnsi="Arial" w:cs="Arial"/>
                <w:sz w:val="20"/>
                <w:szCs w:val="20"/>
                <w:lang w:val="en-GB"/>
              </w:rPr>
              <w:t>accomplished</w:t>
            </w:r>
          </w:p>
        </w:tc>
      </w:tr>
    </w:tbl>
    <w:p w14:paraId="4B3DA3FC" w14:textId="77777777" w:rsidR="00D9195D" w:rsidRDefault="00D9195D" w:rsidP="005F7CB2">
      <w:pPr>
        <w:keepNext/>
        <w:spacing w:before="240" w:after="120"/>
        <w:rPr>
          <w:rFonts w:ascii="Arial" w:hAnsi="Arial" w:cs="Arial"/>
          <w:b/>
          <w:sz w:val="22"/>
          <w:szCs w:val="22"/>
          <w:lang w:val="en-GB"/>
        </w:rPr>
      </w:pPr>
    </w:p>
    <w:p w14:paraId="347F897F" w14:textId="77777777" w:rsidR="00D9195D" w:rsidRDefault="00D9195D">
      <w:pPr>
        <w:rPr>
          <w:rFonts w:ascii="Arial" w:hAnsi="Arial" w:cs="Arial"/>
          <w:b/>
          <w:sz w:val="22"/>
          <w:szCs w:val="22"/>
          <w:lang w:val="en-GB"/>
        </w:rPr>
      </w:pPr>
      <w:r>
        <w:rPr>
          <w:rFonts w:ascii="Arial" w:hAnsi="Arial" w:cs="Arial"/>
          <w:b/>
          <w:sz w:val="22"/>
          <w:szCs w:val="22"/>
          <w:lang w:val="en-GB"/>
        </w:rPr>
        <w:br w:type="page"/>
      </w:r>
    </w:p>
    <w:p w14:paraId="37559E52" w14:textId="16C8E82B" w:rsidR="00A74D6C" w:rsidRPr="00524C74" w:rsidRDefault="00A74D6C" w:rsidP="005F7CB2">
      <w:pPr>
        <w:keepNext/>
        <w:spacing w:before="240" w:after="120"/>
        <w:rPr>
          <w:rFonts w:ascii="Arial" w:hAnsi="Arial" w:cs="Arial"/>
          <w:b/>
          <w:sz w:val="22"/>
          <w:szCs w:val="22"/>
          <w:lang w:val="en-GB"/>
        </w:rPr>
      </w:pPr>
      <w:r w:rsidRPr="00524C74">
        <w:rPr>
          <w:rFonts w:ascii="Arial" w:hAnsi="Arial" w:cs="Arial"/>
          <w:b/>
          <w:sz w:val="22"/>
          <w:szCs w:val="22"/>
          <w:lang w:val="en-GB"/>
        </w:rPr>
        <w:lastRenderedPageBreak/>
        <w:t>Challenges and risks in implementation and remedial actions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613A5E" w:rsidRPr="00524C74" w14:paraId="02D15544" w14:textId="77777777" w:rsidTr="00D71D21">
        <w:trPr>
          <w:tblHeader/>
        </w:trPr>
        <w:tc>
          <w:tcPr>
            <w:tcW w:w="2500" w:type="pct"/>
            <w:shd w:val="clear" w:color="auto" w:fill="D9D9D9"/>
          </w:tcPr>
          <w:p w14:paraId="6AA77A91" w14:textId="77777777" w:rsidR="00A74D6C" w:rsidRPr="00D71D21" w:rsidRDefault="00A74D6C" w:rsidP="00D71D21">
            <w:pPr>
              <w:keepNext/>
              <w:spacing w:before="120" w:after="120"/>
              <w:jc w:val="center"/>
              <w:rPr>
                <w:rFonts w:ascii="Arial" w:hAnsi="Arial" w:cs="Arial"/>
                <w:b/>
                <w:sz w:val="20"/>
                <w:szCs w:val="20"/>
                <w:lang w:val="en-GB"/>
              </w:rPr>
            </w:pPr>
            <w:r w:rsidRPr="00D71D21">
              <w:rPr>
                <w:rFonts w:ascii="Arial" w:hAnsi="Arial" w:cs="Arial"/>
                <w:b/>
                <w:sz w:val="20"/>
                <w:szCs w:val="20"/>
                <w:lang w:val="en-GB"/>
              </w:rPr>
              <w:t>Key challenges</w:t>
            </w:r>
          </w:p>
        </w:tc>
        <w:tc>
          <w:tcPr>
            <w:tcW w:w="2500" w:type="pct"/>
            <w:shd w:val="clear" w:color="auto" w:fill="D9D9D9"/>
          </w:tcPr>
          <w:p w14:paraId="3615F128" w14:textId="77777777" w:rsidR="00A74D6C" w:rsidRPr="00D71D21" w:rsidRDefault="00A74D6C" w:rsidP="00D71D21">
            <w:pPr>
              <w:keepNext/>
              <w:spacing w:before="120" w:after="120"/>
              <w:jc w:val="center"/>
              <w:rPr>
                <w:rFonts w:ascii="Arial" w:hAnsi="Arial" w:cs="Arial"/>
                <w:b/>
                <w:sz w:val="20"/>
                <w:szCs w:val="20"/>
                <w:lang w:val="en-GB"/>
              </w:rPr>
            </w:pPr>
            <w:r w:rsidRPr="00D71D21">
              <w:rPr>
                <w:rFonts w:ascii="Arial" w:hAnsi="Arial" w:cs="Arial"/>
                <w:b/>
                <w:sz w:val="20"/>
                <w:szCs w:val="20"/>
                <w:lang w:val="en-GB"/>
              </w:rPr>
              <w:t>Remedial actions</w:t>
            </w:r>
          </w:p>
        </w:tc>
      </w:tr>
      <w:tr w:rsidR="00613A5E" w:rsidRPr="00A53C89" w14:paraId="35C95D81" w14:textId="77777777" w:rsidTr="00D71D21">
        <w:tc>
          <w:tcPr>
            <w:tcW w:w="2500" w:type="pct"/>
            <w:shd w:val="clear" w:color="auto" w:fill="auto"/>
          </w:tcPr>
          <w:p w14:paraId="33C0BAFD" w14:textId="77777777" w:rsidR="00CD1899" w:rsidRDefault="008B6927" w:rsidP="00257BB2">
            <w:pPr>
              <w:spacing w:before="60" w:after="60"/>
              <w:rPr>
                <w:rFonts w:ascii="Arial" w:hAnsi="Arial" w:cs="Arial"/>
                <w:sz w:val="20"/>
                <w:szCs w:val="20"/>
                <w:lang w:val="en-GB"/>
              </w:rPr>
            </w:pPr>
            <w:r w:rsidRPr="008B6927">
              <w:rPr>
                <w:rFonts w:ascii="Arial" w:hAnsi="Arial" w:cs="Arial"/>
                <w:sz w:val="20"/>
                <w:szCs w:val="20"/>
                <w:lang w:val="en-GB"/>
              </w:rPr>
              <w:t xml:space="preserve">The composition of the expert group was an important challenge in order to </w:t>
            </w:r>
            <w:r>
              <w:rPr>
                <w:rFonts w:ascii="Arial" w:hAnsi="Arial" w:cs="Arial"/>
                <w:sz w:val="20"/>
                <w:szCs w:val="20"/>
                <w:lang w:val="en-GB"/>
              </w:rPr>
              <w:t>ensure</w:t>
            </w:r>
            <w:r w:rsidRPr="008B6927">
              <w:rPr>
                <w:rFonts w:ascii="Arial" w:hAnsi="Arial" w:cs="Arial"/>
                <w:sz w:val="20"/>
                <w:szCs w:val="20"/>
                <w:lang w:val="en-GB"/>
              </w:rPr>
              <w:t xml:space="preserve"> not only a geographical balance but that some </w:t>
            </w:r>
            <w:r w:rsidR="0003153A">
              <w:rPr>
                <w:rFonts w:ascii="Arial" w:hAnsi="Arial" w:cs="Arial"/>
                <w:sz w:val="20"/>
                <w:szCs w:val="20"/>
                <w:lang w:val="en-GB"/>
              </w:rPr>
              <w:t xml:space="preserve">experts </w:t>
            </w:r>
            <w:r w:rsidRPr="008B6927">
              <w:rPr>
                <w:rFonts w:ascii="Arial" w:hAnsi="Arial" w:cs="Arial"/>
                <w:sz w:val="20"/>
                <w:szCs w:val="20"/>
                <w:lang w:val="en-GB"/>
              </w:rPr>
              <w:t xml:space="preserve">were far enough away from the statutory functioning of the Convention to have the necessary distance to </w:t>
            </w:r>
            <w:r>
              <w:rPr>
                <w:rFonts w:ascii="Arial" w:hAnsi="Arial" w:cs="Arial"/>
                <w:sz w:val="20"/>
                <w:szCs w:val="20"/>
                <w:lang w:val="en-GB"/>
              </w:rPr>
              <w:t xml:space="preserve">reflect on </w:t>
            </w:r>
            <w:r w:rsidRPr="008B6927">
              <w:rPr>
                <w:rFonts w:ascii="Arial" w:hAnsi="Arial" w:cs="Arial"/>
                <w:sz w:val="20"/>
                <w:szCs w:val="20"/>
                <w:lang w:val="en-GB"/>
              </w:rPr>
              <w:t>its impact on the ground.</w:t>
            </w:r>
            <w:r>
              <w:rPr>
                <w:rFonts w:ascii="Arial" w:hAnsi="Arial" w:cs="Arial"/>
                <w:sz w:val="20"/>
                <w:szCs w:val="20"/>
                <w:lang w:val="en-GB"/>
              </w:rPr>
              <w:t xml:space="preserve"> </w:t>
            </w:r>
          </w:p>
          <w:p w14:paraId="03D258FA" w14:textId="0BF343B8" w:rsidR="00A74D6C" w:rsidRPr="00D71D21" w:rsidRDefault="00AB04D2" w:rsidP="00F728B8">
            <w:pPr>
              <w:spacing w:before="60" w:after="60"/>
              <w:rPr>
                <w:rFonts w:ascii="Arial" w:hAnsi="Arial" w:cs="Arial"/>
                <w:sz w:val="20"/>
                <w:szCs w:val="20"/>
                <w:lang w:val="en-GB"/>
              </w:rPr>
            </w:pPr>
            <w:r>
              <w:rPr>
                <w:rFonts w:ascii="Arial" w:hAnsi="Arial" w:cs="Arial"/>
                <w:sz w:val="20"/>
                <w:szCs w:val="20"/>
                <w:lang w:val="en-GB"/>
              </w:rPr>
              <w:t>T</w:t>
            </w:r>
            <w:r w:rsidR="00ED0917" w:rsidRPr="00ED0917">
              <w:rPr>
                <w:rFonts w:ascii="Arial" w:hAnsi="Arial" w:cs="Arial"/>
                <w:sz w:val="20"/>
                <w:szCs w:val="20"/>
                <w:lang w:val="en-GB"/>
              </w:rPr>
              <w:t xml:space="preserve">he Secretariat </w:t>
            </w:r>
            <w:r w:rsidR="008B6927">
              <w:rPr>
                <w:rFonts w:ascii="Arial" w:hAnsi="Arial" w:cs="Arial"/>
                <w:sz w:val="20"/>
                <w:szCs w:val="20"/>
                <w:lang w:val="en-GB"/>
              </w:rPr>
              <w:t xml:space="preserve">also </w:t>
            </w:r>
            <w:r w:rsidR="00ED0917" w:rsidRPr="00ED0917">
              <w:rPr>
                <w:rFonts w:ascii="Arial" w:hAnsi="Arial" w:cs="Arial"/>
                <w:sz w:val="20"/>
                <w:szCs w:val="20"/>
                <w:lang w:val="en-GB"/>
              </w:rPr>
              <w:t xml:space="preserve">tried </w:t>
            </w:r>
            <w:r w:rsidR="003758EA">
              <w:rPr>
                <w:rFonts w:ascii="Arial" w:hAnsi="Arial" w:cs="Arial"/>
                <w:sz w:val="20"/>
                <w:szCs w:val="20"/>
                <w:lang w:val="en-GB"/>
              </w:rPr>
              <w:t xml:space="preserve">taking </w:t>
            </w:r>
            <w:r w:rsidR="00ED0917" w:rsidRPr="00ED0917">
              <w:rPr>
                <w:rFonts w:ascii="Arial" w:hAnsi="Arial" w:cs="Arial"/>
                <w:sz w:val="20"/>
                <w:szCs w:val="20"/>
                <w:lang w:val="en-GB"/>
              </w:rPr>
              <w:t xml:space="preserve">an innovative approach to the </w:t>
            </w:r>
            <w:r w:rsidR="00ED0917">
              <w:rPr>
                <w:rFonts w:ascii="Arial" w:hAnsi="Arial" w:cs="Arial"/>
                <w:sz w:val="20"/>
                <w:szCs w:val="20"/>
                <w:lang w:val="en-GB"/>
              </w:rPr>
              <w:t>expert</w:t>
            </w:r>
            <w:r w:rsidR="00ED0917" w:rsidRPr="00ED0917">
              <w:rPr>
                <w:rFonts w:ascii="Arial" w:hAnsi="Arial" w:cs="Arial"/>
                <w:sz w:val="20"/>
                <w:szCs w:val="20"/>
                <w:lang w:val="en-GB"/>
              </w:rPr>
              <w:t xml:space="preserve"> meeting</w:t>
            </w:r>
            <w:r w:rsidR="0003153A">
              <w:rPr>
                <w:rFonts w:ascii="Arial" w:hAnsi="Arial" w:cs="Arial"/>
                <w:sz w:val="20"/>
                <w:szCs w:val="20"/>
                <w:lang w:val="en-GB"/>
              </w:rPr>
              <w:t xml:space="preserve"> so that</w:t>
            </w:r>
            <w:r>
              <w:rPr>
                <w:rFonts w:ascii="Arial" w:hAnsi="Arial" w:cs="Arial"/>
                <w:sz w:val="20"/>
                <w:szCs w:val="20"/>
                <w:lang w:val="en-GB"/>
              </w:rPr>
              <w:t xml:space="preserve"> </w:t>
            </w:r>
            <w:r w:rsidR="0003153A">
              <w:rPr>
                <w:rFonts w:ascii="Arial" w:hAnsi="Arial" w:cs="Arial"/>
                <w:sz w:val="20"/>
                <w:szCs w:val="20"/>
                <w:lang w:val="en-GB"/>
              </w:rPr>
              <w:t>i</w:t>
            </w:r>
            <w:r w:rsidR="003758EA">
              <w:rPr>
                <w:rFonts w:ascii="Arial" w:hAnsi="Arial" w:cs="Arial"/>
                <w:sz w:val="20"/>
                <w:szCs w:val="20"/>
                <w:lang w:val="en-GB"/>
              </w:rPr>
              <w:t xml:space="preserve">nstead of </w:t>
            </w:r>
            <w:r w:rsidR="0003153A">
              <w:rPr>
                <w:rFonts w:ascii="Arial" w:hAnsi="Arial" w:cs="Arial"/>
                <w:sz w:val="20"/>
                <w:szCs w:val="20"/>
                <w:lang w:val="en-GB"/>
              </w:rPr>
              <w:t>facilitating</w:t>
            </w:r>
            <w:r w:rsidR="00ED0917" w:rsidRPr="00ED0917">
              <w:rPr>
                <w:rFonts w:ascii="Arial" w:hAnsi="Arial" w:cs="Arial"/>
                <w:sz w:val="20"/>
                <w:szCs w:val="20"/>
                <w:lang w:val="en-GB"/>
              </w:rPr>
              <w:t xml:space="preserve"> </w:t>
            </w:r>
            <w:r w:rsidR="003758EA">
              <w:rPr>
                <w:rFonts w:ascii="Arial" w:hAnsi="Arial" w:cs="Arial"/>
                <w:sz w:val="20"/>
                <w:szCs w:val="20"/>
                <w:lang w:val="en-GB"/>
              </w:rPr>
              <w:t>the meeting</w:t>
            </w:r>
            <w:r w:rsidR="0003153A">
              <w:rPr>
                <w:rFonts w:ascii="Arial" w:hAnsi="Arial" w:cs="Arial"/>
                <w:sz w:val="20"/>
                <w:szCs w:val="20"/>
                <w:lang w:val="en-GB"/>
              </w:rPr>
              <w:t>, entrust the task to</w:t>
            </w:r>
            <w:r w:rsidR="00ED0917" w:rsidRPr="00ED0917">
              <w:rPr>
                <w:rFonts w:ascii="Arial" w:hAnsi="Arial" w:cs="Arial"/>
                <w:sz w:val="20"/>
                <w:szCs w:val="20"/>
                <w:lang w:val="en-GB"/>
              </w:rPr>
              <w:t xml:space="preserve"> </w:t>
            </w:r>
            <w:r w:rsidR="00F806FC" w:rsidRPr="00F806FC">
              <w:rPr>
                <w:rFonts w:ascii="Arial" w:hAnsi="Arial" w:cs="Arial"/>
                <w:sz w:val="20"/>
                <w:szCs w:val="20"/>
                <w:lang w:val="en-GB"/>
              </w:rPr>
              <w:t>an expert experienced in designing results framework and an expert familiar with the Convention and its implementation</w:t>
            </w:r>
            <w:r w:rsidR="00ED0917" w:rsidRPr="00ED0917">
              <w:rPr>
                <w:rFonts w:ascii="Arial" w:hAnsi="Arial" w:cs="Arial"/>
                <w:sz w:val="20"/>
                <w:szCs w:val="20"/>
                <w:lang w:val="en-GB"/>
              </w:rPr>
              <w:t>.</w:t>
            </w:r>
            <w:r w:rsidR="00ED0917">
              <w:rPr>
                <w:rFonts w:ascii="Arial" w:hAnsi="Arial" w:cs="Arial"/>
                <w:sz w:val="20"/>
                <w:szCs w:val="20"/>
                <w:lang w:val="en-GB"/>
              </w:rPr>
              <w:t xml:space="preserve"> While the latter was quickly identified, the selection of the former proved very challenging, probably because </w:t>
            </w:r>
            <w:r w:rsidR="000246D0">
              <w:rPr>
                <w:rFonts w:ascii="Arial" w:hAnsi="Arial" w:cs="Arial"/>
                <w:sz w:val="20"/>
                <w:szCs w:val="20"/>
                <w:lang w:val="en-GB"/>
              </w:rPr>
              <w:t xml:space="preserve">of the atypical monitoring and evaluation work </w:t>
            </w:r>
            <w:r w:rsidR="008969C8">
              <w:rPr>
                <w:rFonts w:ascii="Arial" w:hAnsi="Arial" w:cs="Arial"/>
                <w:sz w:val="20"/>
                <w:szCs w:val="20"/>
                <w:lang w:val="en-GB"/>
              </w:rPr>
              <w:t>involved in</w:t>
            </w:r>
            <w:r w:rsidR="000246D0">
              <w:rPr>
                <w:rFonts w:ascii="Arial" w:hAnsi="Arial" w:cs="Arial"/>
                <w:sz w:val="20"/>
                <w:szCs w:val="20"/>
                <w:lang w:val="en-GB"/>
              </w:rPr>
              <w:t xml:space="preserve"> international normative instruments such as the Convention. </w:t>
            </w:r>
          </w:p>
        </w:tc>
        <w:tc>
          <w:tcPr>
            <w:tcW w:w="2500" w:type="pct"/>
            <w:shd w:val="clear" w:color="auto" w:fill="auto"/>
          </w:tcPr>
          <w:p w14:paraId="37AC29DD" w14:textId="77777777" w:rsidR="00CD1899" w:rsidRDefault="008B6927" w:rsidP="00F728B8">
            <w:pPr>
              <w:spacing w:before="60" w:after="60"/>
              <w:rPr>
                <w:rFonts w:ascii="Arial" w:hAnsi="Arial" w:cs="Arial"/>
                <w:sz w:val="20"/>
                <w:szCs w:val="20"/>
                <w:lang w:val="en-GB"/>
              </w:rPr>
            </w:pPr>
            <w:r>
              <w:rPr>
                <w:rFonts w:ascii="Arial" w:hAnsi="Arial" w:cs="Arial"/>
                <w:sz w:val="20"/>
                <w:szCs w:val="20"/>
                <w:lang w:val="en-GB"/>
              </w:rPr>
              <w:t>T</w:t>
            </w:r>
            <w:r w:rsidRPr="00AB04D2">
              <w:rPr>
                <w:rFonts w:ascii="Arial" w:hAnsi="Arial" w:cs="Arial"/>
                <w:sz w:val="20"/>
                <w:szCs w:val="20"/>
                <w:lang w:val="en-GB"/>
              </w:rPr>
              <w:t>he Secretariat made a particular effort in the selection of participants to broaden the circle of professionals beyond the pool of experts who regularly participate in meetings and events organized by UNESCO.</w:t>
            </w:r>
            <w:r>
              <w:rPr>
                <w:rFonts w:ascii="Arial" w:hAnsi="Arial" w:cs="Arial"/>
                <w:sz w:val="20"/>
                <w:szCs w:val="20"/>
                <w:lang w:val="en-GB"/>
              </w:rPr>
              <w:t xml:space="preserve"> </w:t>
            </w:r>
          </w:p>
          <w:p w14:paraId="62CEE238" w14:textId="0E79A1BE" w:rsidR="00B32E30" w:rsidRPr="00D71D21" w:rsidRDefault="00CD1899" w:rsidP="0064666F">
            <w:pPr>
              <w:spacing w:before="60" w:after="60"/>
              <w:rPr>
                <w:rFonts w:ascii="Arial" w:hAnsi="Arial" w:cs="Arial"/>
                <w:sz w:val="20"/>
                <w:szCs w:val="20"/>
                <w:lang w:val="en-GB"/>
              </w:rPr>
            </w:pPr>
            <w:r>
              <w:rPr>
                <w:rFonts w:ascii="Arial" w:hAnsi="Arial" w:cs="Arial"/>
                <w:sz w:val="20"/>
                <w:szCs w:val="20"/>
                <w:lang w:val="en-GB"/>
              </w:rPr>
              <w:t xml:space="preserve">Besides, no </w:t>
            </w:r>
            <w:r w:rsidR="008969C8">
              <w:rPr>
                <w:rFonts w:ascii="Arial" w:hAnsi="Arial" w:cs="Arial"/>
                <w:sz w:val="20"/>
                <w:szCs w:val="20"/>
                <w:lang w:val="en-GB"/>
              </w:rPr>
              <w:t>fewer</w:t>
            </w:r>
            <w:r w:rsidR="000246D0">
              <w:rPr>
                <w:rFonts w:ascii="Arial" w:hAnsi="Arial" w:cs="Arial"/>
                <w:sz w:val="20"/>
                <w:szCs w:val="20"/>
                <w:lang w:val="en-GB"/>
              </w:rPr>
              <w:t xml:space="preserve"> than a dozen interviews were held with monitoring and evaluation experts i</w:t>
            </w:r>
            <w:r w:rsidR="000246D0" w:rsidRPr="000246D0">
              <w:rPr>
                <w:rFonts w:ascii="Arial" w:hAnsi="Arial" w:cs="Arial"/>
                <w:sz w:val="20"/>
                <w:szCs w:val="20"/>
                <w:lang w:val="en-GB"/>
              </w:rPr>
              <w:t xml:space="preserve">n order to identify </w:t>
            </w:r>
            <w:r w:rsidR="008969C8">
              <w:rPr>
                <w:rFonts w:ascii="Arial" w:hAnsi="Arial" w:cs="Arial"/>
                <w:sz w:val="20"/>
                <w:szCs w:val="20"/>
                <w:lang w:val="en-GB"/>
              </w:rPr>
              <w:t xml:space="preserve">a suitable and </w:t>
            </w:r>
            <w:r w:rsidR="000246D0" w:rsidRPr="000246D0">
              <w:rPr>
                <w:rFonts w:ascii="Arial" w:hAnsi="Arial" w:cs="Arial"/>
                <w:sz w:val="20"/>
                <w:szCs w:val="20"/>
                <w:lang w:val="en-GB"/>
              </w:rPr>
              <w:t>available candidate.</w:t>
            </w:r>
            <w:r w:rsidR="000246D0">
              <w:rPr>
                <w:rFonts w:ascii="Arial" w:hAnsi="Arial" w:cs="Arial"/>
                <w:sz w:val="20"/>
                <w:szCs w:val="20"/>
                <w:lang w:val="en-GB"/>
              </w:rPr>
              <w:t xml:space="preserve"> </w:t>
            </w:r>
            <w:r w:rsidR="000246D0" w:rsidRPr="000246D0">
              <w:rPr>
                <w:rFonts w:ascii="Arial" w:hAnsi="Arial" w:cs="Arial"/>
                <w:sz w:val="20"/>
                <w:szCs w:val="20"/>
                <w:lang w:val="en-GB"/>
              </w:rPr>
              <w:t xml:space="preserve">Although </w:t>
            </w:r>
            <w:r w:rsidR="008969C8">
              <w:rPr>
                <w:rFonts w:ascii="Arial" w:hAnsi="Arial" w:cs="Arial"/>
                <w:sz w:val="20"/>
                <w:szCs w:val="20"/>
                <w:lang w:val="en-GB"/>
              </w:rPr>
              <w:t xml:space="preserve">a great amount of time was </w:t>
            </w:r>
            <w:r w:rsidR="000246D0" w:rsidRPr="000246D0">
              <w:rPr>
                <w:rFonts w:ascii="Arial" w:hAnsi="Arial" w:cs="Arial"/>
                <w:sz w:val="20"/>
                <w:szCs w:val="20"/>
                <w:lang w:val="en-GB"/>
              </w:rPr>
              <w:t xml:space="preserve">invested, these many exchanges helped to </w:t>
            </w:r>
            <w:r w:rsidR="000246D0">
              <w:rPr>
                <w:rFonts w:ascii="Arial" w:hAnsi="Arial" w:cs="Arial"/>
                <w:sz w:val="20"/>
                <w:szCs w:val="20"/>
                <w:lang w:val="en-GB"/>
              </w:rPr>
              <w:t>identify key</w:t>
            </w:r>
            <w:r w:rsidR="000246D0" w:rsidRPr="000246D0">
              <w:rPr>
                <w:rFonts w:ascii="Arial" w:hAnsi="Arial" w:cs="Arial"/>
                <w:sz w:val="20"/>
                <w:szCs w:val="20"/>
                <w:lang w:val="en-GB"/>
              </w:rPr>
              <w:t xml:space="preserve"> issues and </w:t>
            </w:r>
            <w:r w:rsidR="000246D0">
              <w:rPr>
                <w:rFonts w:ascii="Arial" w:hAnsi="Arial" w:cs="Arial"/>
                <w:sz w:val="20"/>
                <w:szCs w:val="20"/>
                <w:lang w:val="en-GB"/>
              </w:rPr>
              <w:t xml:space="preserve">better </w:t>
            </w:r>
            <w:r w:rsidR="000246D0" w:rsidRPr="000246D0">
              <w:rPr>
                <w:rFonts w:ascii="Arial" w:hAnsi="Arial" w:cs="Arial"/>
                <w:sz w:val="20"/>
                <w:szCs w:val="20"/>
                <w:lang w:val="en-GB"/>
              </w:rPr>
              <w:t xml:space="preserve">define the content and format of the </w:t>
            </w:r>
            <w:r w:rsidR="000246D0">
              <w:rPr>
                <w:rFonts w:ascii="Arial" w:hAnsi="Arial" w:cs="Arial"/>
                <w:sz w:val="20"/>
                <w:szCs w:val="20"/>
                <w:lang w:val="en-GB"/>
              </w:rPr>
              <w:t xml:space="preserve">expert </w:t>
            </w:r>
            <w:r w:rsidR="000246D0" w:rsidRPr="000246D0">
              <w:rPr>
                <w:rFonts w:ascii="Arial" w:hAnsi="Arial" w:cs="Arial"/>
                <w:sz w:val="20"/>
                <w:szCs w:val="20"/>
                <w:lang w:val="en-GB"/>
              </w:rPr>
              <w:t>meeting</w:t>
            </w:r>
            <w:r w:rsidR="000246D0">
              <w:rPr>
                <w:rFonts w:ascii="Arial" w:hAnsi="Arial" w:cs="Arial"/>
                <w:sz w:val="20"/>
                <w:szCs w:val="20"/>
                <w:lang w:val="en-GB"/>
              </w:rPr>
              <w:t>.</w:t>
            </w:r>
          </w:p>
        </w:tc>
      </w:tr>
    </w:tbl>
    <w:p w14:paraId="0914EB91" w14:textId="77777777" w:rsidR="00A74D6C" w:rsidRPr="00524C74" w:rsidRDefault="00A74D6C" w:rsidP="005F7CB2">
      <w:pPr>
        <w:spacing w:before="240" w:after="120"/>
        <w:ind w:left="851" w:hanging="851"/>
        <w:rPr>
          <w:rFonts w:ascii="Arial" w:hAnsi="Arial" w:cs="Arial"/>
          <w:b/>
          <w:sz w:val="22"/>
          <w:szCs w:val="22"/>
          <w:lang w:val="en-GB"/>
        </w:rPr>
      </w:pPr>
      <w:r w:rsidRPr="00524C74">
        <w:rPr>
          <w:rFonts w:ascii="Arial" w:hAnsi="Arial" w:cs="Arial"/>
          <w:b/>
          <w:sz w:val="22"/>
          <w:szCs w:val="22"/>
          <w:lang w:val="en-GB"/>
        </w:rPr>
        <w:t>ER 4:</w:t>
      </w:r>
      <w:r w:rsidRPr="00524C74">
        <w:rPr>
          <w:rFonts w:ascii="Arial" w:hAnsi="Arial" w:cs="Arial"/>
          <w:b/>
          <w:sz w:val="22"/>
          <w:szCs w:val="22"/>
          <w:lang w:val="en-GB"/>
        </w:rPr>
        <w:tab/>
      </w:r>
      <w:r w:rsidR="00F14195" w:rsidRPr="00524C74">
        <w:rPr>
          <w:rFonts w:ascii="Arial" w:hAnsi="Arial" w:cs="Arial"/>
          <w:b/>
          <w:bCs/>
          <w:sz w:val="22"/>
          <w:szCs w:val="22"/>
          <w:lang w:val="en-GB"/>
        </w:rPr>
        <w:t>Objectives of the Convention promoted through raising awareness and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67"/>
        <w:gridCol w:w="1920"/>
      </w:tblGrid>
      <w:tr w:rsidR="00A74D6C" w:rsidRPr="00524C74" w14:paraId="78D3C1F3" w14:textId="77777777" w:rsidTr="00203F98">
        <w:tc>
          <w:tcPr>
            <w:tcW w:w="2013" w:type="pct"/>
            <w:shd w:val="clear" w:color="auto" w:fill="C6D9F1"/>
          </w:tcPr>
          <w:p w14:paraId="029DDB04" w14:textId="77777777" w:rsidR="00A74D6C" w:rsidRPr="00524C74" w:rsidRDefault="00A74D6C" w:rsidP="00826FE8">
            <w:pPr>
              <w:spacing w:before="60" w:after="60"/>
              <w:jc w:val="center"/>
              <w:rPr>
                <w:rFonts w:ascii="Arial" w:eastAsia="Calibri" w:hAnsi="Arial" w:cs="Arial"/>
                <w:b/>
                <w:sz w:val="20"/>
                <w:szCs w:val="20"/>
                <w:lang w:val="en-GB"/>
              </w:rPr>
            </w:pPr>
            <w:r w:rsidRPr="00524C74">
              <w:rPr>
                <w:rFonts w:ascii="Arial" w:eastAsia="Calibri" w:hAnsi="Arial" w:cs="Arial"/>
                <w:b/>
                <w:sz w:val="20"/>
                <w:szCs w:val="20"/>
                <w:lang w:val="en-GB"/>
              </w:rPr>
              <w:t>Allocation</w:t>
            </w:r>
          </w:p>
        </w:tc>
        <w:tc>
          <w:tcPr>
            <w:tcW w:w="2013" w:type="pct"/>
            <w:shd w:val="clear" w:color="auto" w:fill="C6D9F1"/>
          </w:tcPr>
          <w:p w14:paraId="7CE7EAE9" w14:textId="77777777" w:rsidR="00A74D6C" w:rsidRPr="00524C74" w:rsidRDefault="00A74D6C" w:rsidP="00826FE8">
            <w:pPr>
              <w:spacing w:before="60" w:after="60"/>
              <w:jc w:val="center"/>
              <w:rPr>
                <w:rFonts w:ascii="Arial" w:eastAsia="Calibri" w:hAnsi="Arial" w:cs="Arial"/>
                <w:b/>
                <w:sz w:val="20"/>
                <w:szCs w:val="20"/>
                <w:lang w:val="en-GB"/>
              </w:rPr>
            </w:pPr>
            <w:r w:rsidRPr="00524C74">
              <w:rPr>
                <w:rFonts w:ascii="Arial" w:eastAsia="Calibri" w:hAnsi="Arial" w:cs="Arial"/>
                <w:b/>
                <w:sz w:val="20"/>
                <w:szCs w:val="20"/>
                <w:lang w:val="en-GB"/>
              </w:rPr>
              <w:t>Expenditures</w:t>
            </w:r>
          </w:p>
        </w:tc>
        <w:tc>
          <w:tcPr>
            <w:tcW w:w="974" w:type="pct"/>
            <w:shd w:val="clear" w:color="auto" w:fill="C6D9F1"/>
          </w:tcPr>
          <w:p w14:paraId="682BF145" w14:textId="77777777" w:rsidR="00A74D6C" w:rsidRPr="00524C74" w:rsidRDefault="00A74D6C" w:rsidP="00826FE8">
            <w:pPr>
              <w:spacing w:before="60" w:after="60"/>
              <w:jc w:val="center"/>
              <w:rPr>
                <w:rFonts w:ascii="Arial" w:eastAsia="Calibri" w:hAnsi="Arial" w:cs="Arial"/>
                <w:b/>
                <w:sz w:val="20"/>
                <w:szCs w:val="20"/>
                <w:lang w:val="en-GB"/>
              </w:rPr>
            </w:pPr>
            <w:r w:rsidRPr="00524C74">
              <w:rPr>
                <w:rFonts w:ascii="Arial" w:eastAsia="Calibri" w:hAnsi="Arial" w:cs="Arial"/>
                <w:b/>
                <w:sz w:val="20"/>
                <w:szCs w:val="20"/>
                <w:lang w:val="en-GB"/>
              </w:rPr>
              <w:t>Exp. Rate %</w:t>
            </w:r>
          </w:p>
        </w:tc>
      </w:tr>
      <w:tr w:rsidR="00A74D6C" w:rsidRPr="00524C74" w14:paraId="4D8AFEE7" w14:textId="77777777" w:rsidTr="00203F98">
        <w:tc>
          <w:tcPr>
            <w:tcW w:w="2013" w:type="pct"/>
            <w:shd w:val="clear" w:color="auto" w:fill="auto"/>
          </w:tcPr>
          <w:p w14:paraId="6EC477F8" w14:textId="77777777" w:rsidR="00A74D6C" w:rsidRPr="00524C74" w:rsidRDefault="00F14195" w:rsidP="00F14195">
            <w:pPr>
              <w:spacing w:before="60" w:after="60"/>
              <w:jc w:val="center"/>
              <w:rPr>
                <w:rFonts w:ascii="Arial" w:eastAsia="Calibri" w:hAnsi="Arial" w:cs="Arial"/>
                <w:sz w:val="20"/>
                <w:szCs w:val="20"/>
                <w:lang w:val="en-GB"/>
              </w:rPr>
            </w:pPr>
            <w:r w:rsidRPr="00524C74">
              <w:rPr>
                <w:rFonts w:ascii="Arial" w:hAnsi="Arial" w:cs="Arial"/>
                <w:sz w:val="20"/>
                <w:szCs w:val="20"/>
                <w:lang w:val="en-GB"/>
              </w:rPr>
              <w:t>336</w:t>
            </w:r>
            <w:r w:rsidR="00A74D6C" w:rsidRPr="00524C74">
              <w:rPr>
                <w:rFonts w:ascii="Arial" w:hAnsi="Arial" w:cs="Arial"/>
                <w:sz w:val="20"/>
                <w:szCs w:val="20"/>
                <w:lang w:val="en-GB"/>
              </w:rPr>
              <w:t>,</w:t>
            </w:r>
            <w:r w:rsidRPr="00524C74">
              <w:rPr>
                <w:rFonts w:ascii="Arial" w:hAnsi="Arial" w:cs="Arial"/>
                <w:sz w:val="20"/>
                <w:szCs w:val="20"/>
                <w:lang w:val="en-GB"/>
              </w:rPr>
              <w:t>5</w:t>
            </w:r>
            <w:r w:rsidR="00A74D6C" w:rsidRPr="00524C74">
              <w:rPr>
                <w:rFonts w:ascii="Arial" w:hAnsi="Arial" w:cs="Arial"/>
                <w:sz w:val="20"/>
                <w:szCs w:val="20"/>
                <w:lang w:val="en-GB"/>
              </w:rPr>
              <w:t>00.00</w:t>
            </w:r>
          </w:p>
        </w:tc>
        <w:tc>
          <w:tcPr>
            <w:tcW w:w="2013" w:type="pct"/>
            <w:shd w:val="clear" w:color="auto" w:fill="auto"/>
          </w:tcPr>
          <w:p w14:paraId="023B4621" w14:textId="77777777" w:rsidR="00A74D6C" w:rsidRPr="00524C74" w:rsidRDefault="000E2339" w:rsidP="00826FE8">
            <w:pPr>
              <w:spacing w:before="60" w:after="60"/>
              <w:jc w:val="center"/>
              <w:rPr>
                <w:rFonts w:ascii="Arial" w:eastAsia="Calibri" w:hAnsi="Arial" w:cs="Arial"/>
                <w:sz w:val="20"/>
                <w:szCs w:val="20"/>
                <w:lang w:val="en-GB"/>
              </w:rPr>
            </w:pPr>
            <w:r>
              <w:rPr>
                <w:rFonts w:ascii="Arial" w:hAnsi="Arial" w:cs="Arial"/>
                <w:sz w:val="20"/>
                <w:szCs w:val="20"/>
                <w:lang w:val="en-GB"/>
              </w:rPr>
              <w:t>50,507.00</w:t>
            </w:r>
          </w:p>
        </w:tc>
        <w:tc>
          <w:tcPr>
            <w:tcW w:w="974" w:type="pct"/>
            <w:shd w:val="clear" w:color="auto" w:fill="auto"/>
          </w:tcPr>
          <w:p w14:paraId="36FE1C28" w14:textId="77777777" w:rsidR="00A74D6C" w:rsidRPr="00524C74" w:rsidRDefault="000E2339" w:rsidP="00826FE8">
            <w:pPr>
              <w:spacing w:before="60" w:after="60"/>
              <w:jc w:val="center"/>
              <w:rPr>
                <w:rFonts w:ascii="Arial" w:eastAsia="Calibri" w:hAnsi="Arial" w:cs="Arial"/>
                <w:sz w:val="20"/>
                <w:szCs w:val="20"/>
                <w:lang w:val="en-GB"/>
              </w:rPr>
            </w:pPr>
            <w:r>
              <w:rPr>
                <w:rFonts w:ascii="Arial" w:hAnsi="Arial" w:cs="Arial"/>
                <w:sz w:val="20"/>
                <w:szCs w:val="20"/>
                <w:lang w:val="en-GB"/>
              </w:rPr>
              <w:t>15</w:t>
            </w:r>
            <w:r w:rsidR="00A74D6C" w:rsidRPr="00524C74">
              <w:rPr>
                <w:rFonts w:ascii="Arial" w:eastAsia="Calibri" w:hAnsi="Arial" w:cs="Arial"/>
                <w:sz w:val="20"/>
                <w:szCs w:val="20"/>
                <w:lang w:val="en-GB"/>
              </w:rPr>
              <w:t>%</w:t>
            </w:r>
          </w:p>
        </w:tc>
      </w:tr>
    </w:tbl>
    <w:p w14:paraId="6861C2A0" w14:textId="77777777" w:rsidR="00A74D6C" w:rsidRPr="00524C74" w:rsidRDefault="00A74D6C" w:rsidP="00826FE8">
      <w:pPr>
        <w:spacing w:before="60" w:after="60"/>
        <w:ind w:left="851" w:hanging="851"/>
        <w:rPr>
          <w:rFonts w:ascii="Arial" w:hAnsi="Arial" w:cs="Arial"/>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3989"/>
        <w:gridCol w:w="1878"/>
      </w:tblGrid>
      <w:tr w:rsidR="00FF6586" w:rsidRPr="00524C74" w14:paraId="238FF711" w14:textId="77777777" w:rsidTr="00D71D21">
        <w:trPr>
          <w:tblHeader/>
        </w:trPr>
        <w:tc>
          <w:tcPr>
            <w:tcW w:w="2023" w:type="pct"/>
            <w:shd w:val="clear" w:color="auto" w:fill="D9D9D9"/>
          </w:tcPr>
          <w:p w14:paraId="097464BF" w14:textId="77777777" w:rsidR="00FF6586" w:rsidRPr="00524C74" w:rsidRDefault="00FF6586" w:rsidP="00316CCB">
            <w:pPr>
              <w:spacing w:before="60" w:after="60"/>
              <w:jc w:val="center"/>
              <w:rPr>
                <w:rFonts w:ascii="Arial" w:eastAsia="Calibri" w:hAnsi="Arial" w:cs="Arial"/>
                <w:b/>
                <w:sz w:val="20"/>
                <w:szCs w:val="20"/>
                <w:lang w:val="en-GB"/>
              </w:rPr>
            </w:pPr>
            <w:r w:rsidRPr="00524C74">
              <w:rPr>
                <w:rFonts w:ascii="Arial" w:eastAsia="Calibri" w:hAnsi="Arial" w:cs="Arial"/>
                <w:b/>
                <w:sz w:val="20"/>
                <w:szCs w:val="20"/>
                <w:lang w:val="en-GB"/>
              </w:rPr>
              <w:t>Output (O)</w:t>
            </w:r>
            <w:r w:rsidRPr="00524C74">
              <w:rPr>
                <w:rFonts w:ascii="Arial" w:eastAsia="Calibri" w:hAnsi="Arial" w:cs="Arial"/>
                <w:b/>
                <w:sz w:val="20"/>
                <w:szCs w:val="20"/>
                <w:lang w:val="en-GB"/>
              </w:rPr>
              <w:br/>
              <w:t>Indicators/Benchmark (B)</w:t>
            </w:r>
          </w:p>
        </w:tc>
        <w:tc>
          <w:tcPr>
            <w:tcW w:w="2024" w:type="pct"/>
            <w:shd w:val="clear" w:color="auto" w:fill="D9D9D9"/>
          </w:tcPr>
          <w:p w14:paraId="5149A716" w14:textId="77777777" w:rsidR="00FF6586" w:rsidRPr="00524C74" w:rsidRDefault="00FF6586" w:rsidP="009A1E0E">
            <w:pPr>
              <w:spacing w:before="60" w:after="60"/>
              <w:jc w:val="center"/>
              <w:rPr>
                <w:rFonts w:ascii="Arial" w:eastAsia="Calibri" w:hAnsi="Arial" w:cs="Arial"/>
                <w:b/>
                <w:sz w:val="20"/>
                <w:szCs w:val="20"/>
                <w:lang w:val="en-GB"/>
              </w:rPr>
            </w:pPr>
            <w:r w:rsidRPr="00524C74">
              <w:rPr>
                <w:rFonts w:ascii="Arial" w:eastAsia="Calibri" w:hAnsi="Arial" w:cs="Arial"/>
                <w:b/>
                <w:sz w:val="20"/>
                <w:szCs w:val="20"/>
                <w:lang w:val="en-GB"/>
              </w:rPr>
              <w:t>Assessment of progress:</w:t>
            </w:r>
            <w:r w:rsidRPr="00524C74">
              <w:rPr>
                <w:rFonts w:ascii="Arial" w:eastAsia="Calibri" w:hAnsi="Arial" w:cs="Arial"/>
                <w:b/>
                <w:sz w:val="20"/>
                <w:szCs w:val="20"/>
                <w:lang w:val="en-GB"/>
              </w:rPr>
              <w:br/>
            </w:r>
            <w:r w:rsidR="006408A8" w:rsidRPr="00524C74">
              <w:rPr>
                <w:rFonts w:ascii="Arial" w:eastAsia="Calibri" w:hAnsi="Arial" w:cs="Arial"/>
                <w:b/>
                <w:sz w:val="20"/>
                <w:szCs w:val="20"/>
                <w:lang w:val="en-GB"/>
              </w:rPr>
              <w:t>01/01/2016 to 31/12/2016</w:t>
            </w:r>
          </w:p>
        </w:tc>
        <w:tc>
          <w:tcPr>
            <w:tcW w:w="953" w:type="pct"/>
            <w:shd w:val="clear" w:color="auto" w:fill="D9D9D9"/>
            <w:vAlign w:val="center"/>
          </w:tcPr>
          <w:p w14:paraId="119BDD92" w14:textId="77777777" w:rsidR="00FF6586" w:rsidRPr="00524C74" w:rsidRDefault="00FF6586" w:rsidP="008969C8">
            <w:pPr>
              <w:spacing w:before="60" w:after="60"/>
              <w:jc w:val="center"/>
              <w:rPr>
                <w:rFonts w:ascii="Arial" w:eastAsia="Calibri" w:hAnsi="Arial" w:cs="Arial"/>
                <w:b/>
                <w:sz w:val="20"/>
                <w:szCs w:val="20"/>
                <w:lang w:val="en-GB"/>
              </w:rPr>
            </w:pPr>
            <w:r w:rsidRPr="00524C74">
              <w:rPr>
                <w:rFonts w:ascii="Arial" w:eastAsia="Calibri" w:hAnsi="Arial" w:cs="Arial"/>
                <w:b/>
                <w:sz w:val="20"/>
                <w:szCs w:val="20"/>
                <w:lang w:val="en-GB"/>
              </w:rPr>
              <w:t>Assessment of implementation</w:t>
            </w:r>
          </w:p>
        </w:tc>
      </w:tr>
      <w:tr w:rsidR="00FF6586" w:rsidRPr="00524C74" w14:paraId="21144D3E" w14:textId="77777777" w:rsidTr="00FF6586">
        <w:tc>
          <w:tcPr>
            <w:tcW w:w="2023" w:type="pct"/>
            <w:shd w:val="clear" w:color="auto" w:fill="auto"/>
          </w:tcPr>
          <w:p w14:paraId="65061686" w14:textId="77777777" w:rsidR="00FF6586" w:rsidRPr="00524C74" w:rsidRDefault="00FF6586" w:rsidP="00316CCB">
            <w:pPr>
              <w:spacing w:before="60" w:after="60"/>
              <w:rPr>
                <w:rFonts w:ascii="Arial" w:eastAsia="Calibri" w:hAnsi="Arial" w:cs="Arial"/>
                <w:b/>
                <w:sz w:val="20"/>
                <w:szCs w:val="20"/>
                <w:lang w:val="en-GB"/>
              </w:rPr>
            </w:pPr>
            <w:r w:rsidRPr="00524C74">
              <w:rPr>
                <w:rFonts w:ascii="Arial" w:eastAsia="Calibri" w:hAnsi="Arial" w:cs="Arial"/>
                <w:b/>
                <w:sz w:val="20"/>
                <w:szCs w:val="20"/>
                <w:lang w:val="en-GB"/>
              </w:rPr>
              <w:t xml:space="preserve">O: </w:t>
            </w:r>
          </w:p>
          <w:p w14:paraId="359AFA3B" w14:textId="77777777" w:rsidR="00FF6586" w:rsidRPr="00524C74" w:rsidRDefault="00F14195" w:rsidP="009A1E0E">
            <w:pPr>
              <w:spacing w:before="60" w:after="60"/>
              <w:rPr>
                <w:rFonts w:ascii="Arial" w:hAnsi="Arial" w:cs="Arial"/>
                <w:sz w:val="20"/>
                <w:szCs w:val="20"/>
                <w:lang w:val="en-GB"/>
              </w:rPr>
            </w:pPr>
            <w:r w:rsidRPr="00524C74">
              <w:rPr>
                <w:rFonts w:ascii="Arial" w:hAnsi="Arial" w:cs="Arial"/>
                <w:sz w:val="20"/>
                <w:szCs w:val="20"/>
                <w:lang w:val="en-GB"/>
              </w:rPr>
              <w:t>New partnerships with relevant institutions established to integrate intangible cultural heritage in</w:t>
            </w:r>
            <w:r w:rsidR="008969C8">
              <w:rPr>
                <w:rFonts w:ascii="Arial" w:hAnsi="Arial" w:cs="Arial"/>
                <w:sz w:val="20"/>
                <w:szCs w:val="20"/>
                <w:lang w:val="en-GB"/>
              </w:rPr>
              <w:t>to</w:t>
            </w:r>
            <w:r w:rsidRPr="00524C74">
              <w:rPr>
                <w:rFonts w:ascii="Arial" w:hAnsi="Arial" w:cs="Arial"/>
                <w:sz w:val="20"/>
                <w:szCs w:val="20"/>
                <w:lang w:val="en-GB"/>
              </w:rPr>
              <w:t xml:space="preserve"> education</w:t>
            </w:r>
          </w:p>
          <w:p w14:paraId="157E8453" w14:textId="77777777" w:rsidR="00FF6586" w:rsidRPr="00524C74" w:rsidRDefault="00FF6586" w:rsidP="008969C8">
            <w:pPr>
              <w:keepNext/>
              <w:spacing w:before="60" w:after="60"/>
              <w:rPr>
                <w:rFonts w:ascii="Arial" w:eastAsia="Calibri" w:hAnsi="Arial" w:cs="Arial"/>
                <w:b/>
                <w:sz w:val="20"/>
                <w:szCs w:val="20"/>
                <w:lang w:val="en-GB"/>
              </w:rPr>
            </w:pPr>
            <w:r w:rsidRPr="00524C74">
              <w:rPr>
                <w:rFonts w:ascii="Arial" w:hAnsi="Arial" w:cs="Arial"/>
                <w:b/>
                <w:sz w:val="20"/>
                <w:szCs w:val="20"/>
                <w:lang w:val="en-GB"/>
              </w:rPr>
              <w:t>B 201</w:t>
            </w:r>
            <w:r w:rsidR="00F14195" w:rsidRPr="00524C74">
              <w:rPr>
                <w:rFonts w:ascii="Arial" w:hAnsi="Arial" w:cs="Arial"/>
                <w:b/>
                <w:sz w:val="20"/>
                <w:szCs w:val="20"/>
                <w:lang w:val="en-GB"/>
              </w:rPr>
              <w:t>6</w:t>
            </w:r>
            <w:r w:rsidRPr="00524C74">
              <w:rPr>
                <w:rFonts w:ascii="Arial" w:hAnsi="Arial" w:cs="Arial"/>
                <w:b/>
                <w:sz w:val="20"/>
                <w:szCs w:val="20"/>
                <w:lang w:val="en-GB"/>
              </w:rPr>
              <w:t>-201</w:t>
            </w:r>
            <w:r w:rsidR="00F14195" w:rsidRPr="00524C74">
              <w:rPr>
                <w:rFonts w:ascii="Arial" w:hAnsi="Arial" w:cs="Arial"/>
                <w:b/>
                <w:sz w:val="20"/>
                <w:szCs w:val="20"/>
                <w:lang w:val="en-GB"/>
              </w:rPr>
              <w:t>7</w:t>
            </w:r>
            <w:r w:rsidRPr="00524C74">
              <w:rPr>
                <w:rFonts w:ascii="Arial" w:hAnsi="Arial" w:cs="Arial"/>
                <w:b/>
                <w:sz w:val="20"/>
                <w:szCs w:val="20"/>
                <w:lang w:val="en-GB"/>
              </w:rPr>
              <w:t>:</w:t>
            </w:r>
          </w:p>
          <w:p w14:paraId="31A7244B" w14:textId="77777777" w:rsidR="00F14195" w:rsidRPr="00524C74" w:rsidRDefault="00F14195" w:rsidP="00D25FF7">
            <w:pPr>
              <w:spacing w:before="60" w:after="60"/>
              <w:rPr>
                <w:rFonts w:ascii="Arial" w:hAnsi="Arial" w:cs="Arial"/>
                <w:sz w:val="20"/>
                <w:szCs w:val="20"/>
                <w:lang w:val="en-GB"/>
              </w:rPr>
            </w:pPr>
            <w:r w:rsidRPr="00524C74">
              <w:rPr>
                <w:rFonts w:ascii="Arial" w:hAnsi="Arial" w:cs="Arial"/>
                <w:sz w:val="20"/>
                <w:szCs w:val="20"/>
                <w:lang w:val="en-GB"/>
              </w:rPr>
              <w:t>Regional workshop with tertiary education institutions organized (B=1)</w:t>
            </w:r>
          </w:p>
          <w:p w14:paraId="7428174D" w14:textId="77777777" w:rsidR="00FF6586" w:rsidRPr="00524C74" w:rsidRDefault="00F14195" w:rsidP="00D25FF7">
            <w:pPr>
              <w:spacing w:before="60" w:after="60"/>
              <w:rPr>
                <w:rFonts w:ascii="Arial" w:eastAsia="Calibri" w:hAnsi="Arial" w:cs="Arial"/>
                <w:sz w:val="20"/>
                <w:szCs w:val="20"/>
                <w:lang w:val="en-GB"/>
              </w:rPr>
            </w:pPr>
            <w:r w:rsidRPr="00524C74">
              <w:rPr>
                <w:rFonts w:ascii="Arial" w:hAnsi="Arial" w:cs="Arial"/>
                <w:sz w:val="20"/>
                <w:szCs w:val="20"/>
                <w:lang w:val="en-GB"/>
              </w:rPr>
              <w:t>Consultation organized with relevant education institutions on integrating intangible cultural heritage into their programmes (B=1)</w:t>
            </w:r>
          </w:p>
        </w:tc>
        <w:tc>
          <w:tcPr>
            <w:tcW w:w="2024" w:type="pct"/>
            <w:shd w:val="clear" w:color="auto" w:fill="auto"/>
          </w:tcPr>
          <w:p w14:paraId="4112DECE" w14:textId="77777777" w:rsidR="00FF6586" w:rsidRPr="00524C74" w:rsidRDefault="004D3D08" w:rsidP="005563A5">
            <w:pPr>
              <w:pStyle w:val="ListParagraph"/>
              <w:numPr>
                <w:ilvl w:val="0"/>
                <w:numId w:val="28"/>
              </w:numPr>
              <w:spacing w:before="60" w:after="60"/>
              <w:ind w:left="357" w:hanging="357"/>
              <w:contextualSpacing w:val="0"/>
              <w:rPr>
                <w:rFonts w:ascii="Arial" w:eastAsia="Calibri" w:hAnsi="Arial" w:cs="Arial"/>
                <w:sz w:val="20"/>
                <w:szCs w:val="20"/>
                <w:lang w:val="en-GB"/>
              </w:rPr>
            </w:pPr>
            <w:r w:rsidRPr="00524C74">
              <w:rPr>
                <w:rFonts w:ascii="Arial" w:eastAsia="Calibri" w:hAnsi="Arial" w:cs="Arial"/>
                <w:sz w:val="20"/>
                <w:szCs w:val="20"/>
                <w:lang w:val="en-GB"/>
              </w:rPr>
              <w:t>Roundtable side event on ‘Learning with intangible cultural heritage in education’ co-organized with the International Institute for Capacity-Building in Africa (IICBA) at 11.COM in Addis Ababa, Ethiopia</w:t>
            </w:r>
          </w:p>
        </w:tc>
        <w:tc>
          <w:tcPr>
            <w:tcW w:w="953" w:type="pct"/>
          </w:tcPr>
          <w:p w14:paraId="0BFA6C2A" w14:textId="77777777" w:rsidR="00FF6586" w:rsidRPr="00524C74" w:rsidRDefault="00F14195" w:rsidP="005563A5">
            <w:pPr>
              <w:pStyle w:val="ListParagraph"/>
              <w:spacing w:before="60" w:after="60"/>
              <w:ind w:left="0"/>
              <w:contextualSpacing w:val="0"/>
              <w:jc w:val="center"/>
              <w:rPr>
                <w:rFonts w:ascii="Arial" w:eastAsia="Calibri" w:hAnsi="Arial" w:cs="Arial"/>
                <w:sz w:val="20"/>
                <w:szCs w:val="20"/>
                <w:lang w:val="en-GB"/>
              </w:rPr>
            </w:pPr>
            <w:r w:rsidRPr="00524C74">
              <w:rPr>
                <w:rFonts w:ascii="Arial" w:eastAsia="Calibri" w:hAnsi="Arial" w:cs="Arial"/>
                <w:sz w:val="20"/>
                <w:szCs w:val="20"/>
                <w:lang w:val="en-GB"/>
              </w:rPr>
              <w:t xml:space="preserve">Partly </w:t>
            </w:r>
            <w:r w:rsidRPr="005563A5">
              <w:rPr>
                <w:rFonts w:ascii="Arial" w:hAnsi="Arial" w:cs="Arial"/>
                <w:sz w:val="20"/>
                <w:szCs w:val="20"/>
                <w:lang w:val="en-GB"/>
              </w:rPr>
              <w:t>accomplished</w:t>
            </w:r>
          </w:p>
        </w:tc>
      </w:tr>
      <w:tr w:rsidR="00FF6586" w:rsidRPr="00524C74" w14:paraId="34D8E939" w14:textId="77777777" w:rsidTr="00FF6586">
        <w:tc>
          <w:tcPr>
            <w:tcW w:w="2023" w:type="pct"/>
            <w:shd w:val="clear" w:color="auto" w:fill="auto"/>
          </w:tcPr>
          <w:p w14:paraId="22E41007" w14:textId="77777777" w:rsidR="00FF6586" w:rsidRPr="00524C74" w:rsidRDefault="00FF6586" w:rsidP="00316CCB">
            <w:pPr>
              <w:spacing w:before="60" w:after="60"/>
              <w:rPr>
                <w:rFonts w:ascii="Arial" w:hAnsi="Arial" w:cs="Arial"/>
                <w:b/>
                <w:sz w:val="20"/>
                <w:szCs w:val="20"/>
                <w:lang w:val="en-GB"/>
              </w:rPr>
            </w:pPr>
            <w:r w:rsidRPr="00524C74">
              <w:rPr>
                <w:rFonts w:ascii="Arial" w:hAnsi="Arial" w:cs="Arial"/>
                <w:b/>
                <w:sz w:val="20"/>
                <w:szCs w:val="20"/>
                <w:lang w:val="en-GB"/>
              </w:rPr>
              <w:t>O:</w:t>
            </w:r>
          </w:p>
          <w:p w14:paraId="2247A17B" w14:textId="77777777" w:rsidR="00FF6586" w:rsidRPr="00524C74" w:rsidRDefault="00F14195" w:rsidP="009A1E0E">
            <w:pPr>
              <w:spacing w:before="60" w:after="60"/>
              <w:rPr>
                <w:rFonts w:ascii="Arial" w:hAnsi="Arial" w:cs="Arial"/>
                <w:sz w:val="20"/>
                <w:szCs w:val="20"/>
                <w:lang w:val="en-GB"/>
              </w:rPr>
            </w:pPr>
            <w:r w:rsidRPr="00524C74">
              <w:rPr>
                <w:rFonts w:ascii="Arial" w:hAnsi="Arial" w:cs="Arial"/>
                <w:sz w:val="20"/>
                <w:szCs w:val="20"/>
                <w:lang w:val="en-GB"/>
              </w:rPr>
              <w:t>UNESCO’s cooperation with WIPO or other UN agencies strengthened to ensure ongoing exchange and learning between the organizations and their Member States</w:t>
            </w:r>
          </w:p>
          <w:p w14:paraId="310AA35B" w14:textId="77777777" w:rsidR="00FF6586" w:rsidRPr="00524C74" w:rsidRDefault="00FF6586" w:rsidP="008969C8">
            <w:pPr>
              <w:spacing w:before="60" w:after="60"/>
              <w:rPr>
                <w:rFonts w:ascii="Arial" w:hAnsi="Arial" w:cs="Arial"/>
                <w:b/>
                <w:sz w:val="20"/>
                <w:szCs w:val="20"/>
                <w:lang w:val="en-GB"/>
              </w:rPr>
            </w:pPr>
            <w:r w:rsidRPr="00524C74">
              <w:rPr>
                <w:rFonts w:ascii="Arial" w:hAnsi="Arial" w:cs="Arial"/>
                <w:b/>
                <w:sz w:val="20"/>
                <w:szCs w:val="20"/>
                <w:lang w:val="en-GB"/>
              </w:rPr>
              <w:t>B 201</w:t>
            </w:r>
            <w:r w:rsidR="006C1FC0" w:rsidRPr="00524C74">
              <w:rPr>
                <w:rFonts w:ascii="Arial" w:hAnsi="Arial" w:cs="Arial"/>
                <w:b/>
                <w:sz w:val="20"/>
                <w:szCs w:val="20"/>
                <w:lang w:val="en-GB"/>
              </w:rPr>
              <w:t>6</w:t>
            </w:r>
            <w:r w:rsidRPr="00524C74">
              <w:rPr>
                <w:rFonts w:ascii="Arial" w:hAnsi="Arial" w:cs="Arial"/>
                <w:b/>
                <w:sz w:val="20"/>
                <w:szCs w:val="20"/>
                <w:lang w:val="en-GB"/>
              </w:rPr>
              <w:t>-201</w:t>
            </w:r>
            <w:r w:rsidR="006C1FC0" w:rsidRPr="00524C74">
              <w:rPr>
                <w:rFonts w:ascii="Arial" w:hAnsi="Arial" w:cs="Arial"/>
                <w:b/>
                <w:sz w:val="20"/>
                <w:szCs w:val="20"/>
                <w:lang w:val="en-GB"/>
              </w:rPr>
              <w:t>7</w:t>
            </w:r>
            <w:r w:rsidRPr="00524C74">
              <w:rPr>
                <w:rFonts w:ascii="Arial" w:hAnsi="Arial" w:cs="Arial"/>
                <w:b/>
                <w:sz w:val="20"/>
                <w:szCs w:val="20"/>
                <w:lang w:val="en-GB"/>
              </w:rPr>
              <w:t xml:space="preserve">: </w:t>
            </w:r>
          </w:p>
          <w:p w14:paraId="0029B254" w14:textId="77777777" w:rsidR="00FF6586" w:rsidRPr="00524C74" w:rsidRDefault="006C1FC0" w:rsidP="00D25FF7">
            <w:pPr>
              <w:spacing w:before="60" w:after="60"/>
              <w:rPr>
                <w:rFonts w:ascii="Arial" w:hAnsi="Arial" w:cs="Arial"/>
                <w:sz w:val="20"/>
                <w:szCs w:val="20"/>
                <w:lang w:val="en-GB"/>
              </w:rPr>
            </w:pPr>
            <w:r w:rsidRPr="00524C74">
              <w:rPr>
                <w:rFonts w:ascii="Arial" w:hAnsi="Arial" w:cs="Arial"/>
                <w:sz w:val="20"/>
                <w:szCs w:val="20"/>
                <w:lang w:val="en-GB"/>
              </w:rPr>
              <w:t>Participation in meetings organized by WIPO or other UN agencies (B=3)</w:t>
            </w:r>
          </w:p>
        </w:tc>
        <w:tc>
          <w:tcPr>
            <w:tcW w:w="2024" w:type="pct"/>
            <w:shd w:val="clear" w:color="auto" w:fill="auto"/>
          </w:tcPr>
          <w:p w14:paraId="5AAAF2F1" w14:textId="77777777" w:rsidR="00FF6586" w:rsidRPr="00524C74" w:rsidRDefault="00830DE1" w:rsidP="00D25FF7">
            <w:pPr>
              <w:pStyle w:val="ListParagraph"/>
              <w:numPr>
                <w:ilvl w:val="0"/>
                <w:numId w:val="28"/>
              </w:numPr>
              <w:spacing w:before="60" w:after="60"/>
              <w:ind w:left="357" w:hanging="357"/>
              <w:contextualSpacing w:val="0"/>
              <w:rPr>
                <w:rFonts w:ascii="Arial" w:eastAsia="Calibri" w:hAnsi="Arial" w:cs="Arial"/>
                <w:sz w:val="20"/>
                <w:szCs w:val="20"/>
                <w:lang w:val="en-GB"/>
              </w:rPr>
            </w:pPr>
            <w:r w:rsidRPr="00524C74">
              <w:rPr>
                <w:rFonts w:ascii="Arial" w:eastAsia="Calibri" w:hAnsi="Arial" w:cs="Arial"/>
                <w:sz w:val="20"/>
                <w:szCs w:val="20"/>
                <w:lang w:val="en-GB"/>
              </w:rPr>
              <w:t xml:space="preserve">N/A </w:t>
            </w:r>
          </w:p>
        </w:tc>
        <w:tc>
          <w:tcPr>
            <w:tcW w:w="953" w:type="pct"/>
          </w:tcPr>
          <w:p w14:paraId="6B36EAC1" w14:textId="77777777" w:rsidR="00FF6586" w:rsidRPr="00524C74" w:rsidRDefault="00A936F9" w:rsidP="005563A5">
            <w:pPr>
              <w:pStyle w:val="ListParagraph"/>
              <w:spacing w:before="60" w:after="60"/>
              <w:ind w:left="0"/>
              <w:contextualSpacing w:val="0"/>
              <w:jc w:val="center"/>
              <w:rPr>
                <w:rFonts w:ascii="Arial" w:eastAsia="Calibri" w:hAnsi="Arial" w:cs="Arial"/>
                <w:sz w:val="20"/>
                <w:szCs w:val="20"/>
                <w:lang w:val="en-GB"/>
              </w:rPr>
            </w:pPr>
            <w:r>
              <w:rPr>
                <w:rFonts w:ascii="Arial" w:hAnsi="Arial" w:cs="Arial"/>
                <w:sz w:val="20"/>
                <w:szCs w:val="20"/>
                <w:lang w:val="en-GB"/>
              </w:rPr>
              <w:t xml:space="preserve">Not </w:t>
            </w:r>
            <w:r w:rsidRPr="00316CCB">
              <w:rPr>
                <w:rFonts w:ascii="Arial" w:hAnsi="Arial" w:cs="Arial"/>
                <w:sz w:val="20"/>
                <w:szCs w:val="20"/>
                <w:lang w:val="en-GB"/>
              </w:rPr>
              <w:t>started</w:t>
            </w:r>
          </w:p>
        </w:tc>
      </w:tr>
      <w:tr w:rsidR="00FF6586" w:rsidRPr="00524C74" w14:paraId="6565B882" w14:textId="77777777" w:rsidTr="00FF6586">
        <w:tc>
          <w:tcPr>
            <w:tcW w:w="2023" w:type="pct"/>
            <w:shd w:val="clear" w:color="auto" w:fill="auto"/>
          </w:tcPr>
          <w:p w14:paraId="0077F3F9" w14:textId="77777777" w:rsidR="00FF6586" w:rsidRPr="00524C74" w:rsidRDefault="00FF6586" w:rsidP="00316CCB">
            <w:pPr>
              <w:spacing w:before="60" w:after="60"/>
              <w:rPr>
                <w:rFonts w:ascii="Arial" w:hAnsi="Arial" w:cs="Arial"/>
                <w:b/>
                <w:sz w:val="20"/>
                <w:szCs w:val="20"/>
                <w:lang w:val="en-GB"/>
              </w:rPr>
            </w:pPr>
            <w:r w:rsidRPr="00524C74">
              <w:rPr>
                <w:rFonts w:ascii="Arial" w:hAnsi="Arial" w:cs="Arial"/>
                <w:b/>
                <w:sz w:val="20"/>
                <w:szCs w:val="20"/>
                <w:lang w:val="en-GB"/>
              </w:rPr>
              <w:t>O:</w:t>
            </w:r>
          </w:p>
          <w:p w14:paraId="14D736C8" w14:textId="77777777" w:rsidR="00FF6586" w:rsidRPr="00524C74" w:rsidRDefault="006C1FC0" w:rsidP="009A1E0E">
            <w:pPr>
              <w:spacing w:before="60" w:after="60"/>
              <w:rPr>
                <w:rFonts w:ascii="Arial" w:hAnsi="Arial" w:cs="Arial"/>
                <w:sz w:val="20"/>
                <w:szCs w:val="20"/>
                <w:lang w:val="en-GB"/>
              </w:rPr>
            </w:pPr>
            <w:r w:rsidRPr="00524C74">
              <w:rPr>
                <w:rFonts w:ascii="Arial" w:hAnsi="Arial" w:cs="Arial"/>
                <w:sz w:val="20"/>
                <w:szCs w:val="20"/>
                <w:lang w:val="en-GB"/>
              </w:rPr>
              <w:t>An outreach strategy developed to promote the objectives of the Convention and engage effectively with stakeholders</w:t>
            </w:r>
          </w:p>
          <w:p w14:paraId="1F5D474A" w14:textId="77777777" w:rsidR="00FF6586" w:rsidRPr="00524C74" w:rsidRDefault="00FF6586" w:rsidP="008969C8">
            <w:pPr>
              <w:spacing w:before="60" w:after="60"/>
              <w:rPr>
                <w:rFonts w:ascii="Arial" w:hAnsi="Arial" w:cs="Arial"/>
                <w:b/>
                <w:sz w:val="20"/>
                <w:szCs w:val="20"/>
                <w:lang w:val="en-GB"/>
              </w:rPr>
            </w:pPr>
            <w:r w:rsidRPr="00524C74">
              <w:rPr>
                <w:rFonts w:ascii="Arial" w:hAnsi="Arial" w:cs="Arial"/>
                <w:b/>
                <w:sz w:val="20"/>
                <w:szCs w:val="20"/>
                <w:lang w:val="en-GB"/>
              </w:rPr>
              <w:t>B 201</w:t>
            </w:r>
            <w:r w:rsidR="006C1FC0" w:rsidRPr="00524C74">
              <w:rPr>
                <w:rFonts w:ascii="Arial" w:hAnsi="Arial" w:cs="Arial"/>
                <w:b/>
                <w:sz w:val="20"/>
                <w:szCs w:val="20"/>
                <w:lang w:val="en-GB"/>
              </w:rPr>
              <w:t>6</w:t>
            </w:r>
            <w:r w:rsidRPr="00524C74">
              <w:rPr>
                <w:rFonts w:ascii="Arial" w:hAnsi="Arial" w:cs="Arial"/>
                <w:b/>
                <w:sz w:val="20"/>
                <w:szCs w:val="20"/>
                <w:lang w:val="en-GB"/>
              </w:rPr>
              <w:t>-201</w:t>
            </w:r>
            <w:r w:rsidR="006C1FC0" w:rsidRPr="00524C74">
              <w:rPr>
                <w:rFonts w:ascii="Arial" w:hAnsi="Arial" w:cs="Arial"/>
                <w:b/>
                <w:sz w:val="20"/>
                <w:szCs w:val="20"/>
                <w:lang w:val="en-GB"/>
              </w:rPr>
              <w:t>7</w:t>
            </w:r>
            <w:r w:rsidRPr="00524C74">
              <w:rPr>
                <w:rFonts w:ascii="Arial" w:hAnsi="Arial" w:cs="Arial"/>
                <w:b/>
                <w:sz w:val="20"/>
                <w:szCs w:val="20"/>
                <w:lang w:val="en-GB"/>
              </w:rPr>
              <w:t xml:space="preserve">: </w:t>
            </w:r>
          </w:p>
          <w:p w14:paraId="58849C70" w14:textId="77777777" w:rsidR="006C1FC0" w:rsidRPr="00524C74" w:rsidRDefault="006C1FC0" w:rsidP="00D25FF7">
            <w:pPr>
              <w:spacing w:before="60" w:after="60"/>
              <w:rPr>
                <w:rFonts w:ascii="Arial" w:hAnsi="Arial" w:cs="Arial"/>
                <w:sz w:val="20"/>
                <w:szCs w:val="20"/>
                <w:lang w:val="en-GB"/>
              </w:rPr>
            </w:pPr>
            <w:r w:rsidRPr="00524C74">
              <w:rPr>
                <w:rFonts w:ascii="Arial" w:hAnsi="Arial" w:cs="Arial"/>
                <w:sz w:val="20"/>
                <w:szCs w:val="20"/>
                <w:lang w:val="en-GB"/>
              </w:rPr>
              <w:t xml:space="preserve">Partnership established for the development of an outreach strategy </w:t>
            </w:r>
            <w:r w:rsidRPr="00524C74">
              <w:rPr>
                <w:rFonts w:ascii="Arial" w:hAnsi="Arial" w:cs="Arial"/>
                <w:sz w:val="20"/>
                <w:szCs w:val="20"/>
                <w:lang w:val="en-GB"/>
              </w:rPr>
              <w:lastRenderedPageBreak/>
              <w:t>(B=1)</w:t>
            </w:r>
          </w:p>
          <w:p w14:paraId="72725FDF" w14:textId="77777777" w:rsidR="00FF6586" w:rsidRPr="00524C74" w:rsidRDefault="006C1FC0" w:rsidP="00D25FF7">
            <w:pPr>
              <w:spacing w:before="60" w:after="60"/>
              <w:rPr>
                <w:rFonts w:ascii="Arial" w:hAnsi="Arial" w:cs="Arial"/>
                <w:sz w:val="20"/>
                <w:szCs w:val="20"/>
                <w:lang w:val="en-GB"/>
              </w:rPr>
            </w:pPr>
            <w:r w:rsidRPr="00524C74">
              <w:rPr>
                <w:rFonts w:ascii="Arial" w:hAnsi="Arial" w:cs="Arial"/>
                <w:sz w:val="20"/>
                <w:szCs w:val="20"/>
                <w:lang w:val="en-GB"/>
              </w:rPr>
              <w:t>Outreach materials/tools designed and produced (B=2)</w:t>
            </w:r>
          </w:p>
        </w:tc>
        <w:tc>
          <w:tcPr>
            <w:tcW w:w="2024" w:type="pct"/>
            <w:shd w:val="clear" w:color="auto" w:fill="auto"/>
          </w:tcPr>
          <w:p w14:paraId="28D4D4D1" w14:textId="77777777" w:rsidR="00F71F1D" w:rsidRPr="00524C74" w:rsidRDefault="00F71F1D" w:rsidP="005563A5">
            <w:pPr>
              <w:pStyle w:val="ListParagraph"/>
              <w:numPr>
                <w:ilvl w:val="0"/>
                <w:numId w:val="28"/>
              </w:numPr>
              <w:spacing w:before="60" w:after="60"/>
              <w:ind w:left="357" w:hanging="357"/>
              <w:contextualSpacing w:val="0"/>
              <w:rPr>
                <w:rFonts w:ascii="Arial" w:hAnsi="Arial" w:cs="Arial"/>
                <w:color w:val="000000"/>
                <w:sz w:val="20"/>
                <w:szCs w:val="20"/>
                <w:lang w:val="en-GB"/>
              </w:rPr>
            </w:pPr>
            <w:r w:rsidRPr="00524C74">
              <w:rPr>
                <w:rFonts w:ascii="Arial" w:hAnsi="Arial" w:cs="Arial"/>
                <w:color w:val="000000"/>
                <w:sz w:val="20"/>
                <w:szCs w:val="20"/>
                <w:lang w:val="en-GB"/>
              </w:rPr>
              <w:lastRenderedPageBreak/>
              <w:t>Partner with proven expertise in the field of cultural communication at the international level identified through the launch of a call for proposal and </w:t>
            </w:r>
            <w:r w:rsidR="006A0A33">
              <w:rPr>
                <w:rFonts w:ascii="Arial" w:hAnsi="Arial" w:cs="Arial"/>
                <w:color w:val="000000"/>
                <w:sz w:val="20"/>
                <w:szCs w:val="20"/>
                <w:lang w:val="en-GB"/>
              </w:rPr>
              <w:t xml:space="preserve">a </w:t>
            </w:r>
            <w:r w:rsidRPr="00524C74">
              <w:rPr>
                <w:rFonts w:ascii="Arial" w:hAnsi="Arial" w:cs="Arial"/>
                <w:color w:val="000000"/>
                <w:sz w:val="20"/>
                <w:szCs w:val="20"/>
                <w:lang w:val="en-GB"/>
              </w:rPr>
              <w:t xml:space="preserve">rigorous selection process </w:t>
            </w:r>
            <w:r w:rsidRPr="00524C74">
              <w:rPr>
                <w:rFonts w:ascii="Arial" w:eastAsia="Calibri" w:hAnsi="Arial" w:cs="Arial"/>
                <w:sz w:val="20"/>
                <w:szCs w:val="20"/>
                <w:lang w:val="en-GB"/>
              </w:rPr>
              <w:t>conducted</w:t>
            </w:r>
            <w:r w:rsidRPr="00524C74">
              <w:rPr>
                <w:rFonts w:ascii="Arial" w:hAnsi="Arial" w:cs="Arial"/>
                <w:color w:val="000000"/>
                <w:sz w:val="20"/>
                <w:szCs w:val="20"/>
                <w:lang w:val="en-GB"/>
              </w:rPr>
              <w:t xml:space="preserve"> among 45 proposals submitted by relevant communication agencies </w:t>
            </w:r>
            <w:r w:rsidRPr="00524C74">
              <w:rPr>
                <w:rFonts w:ascii="Arial" w:hAnsi="Arial" w:cs="Arial"/>
                <w:color w:val="000000"/>
                <w:sz w:val="20"/>
                <w:szCs w:val="20"/>
                <w:lang w:val="en-GB"/>
              </w:rPr>
              <w:lastRenderedPageBreak/>
              <w:t>from</w:t>
            </w:r>
            <w:r w:rsidR="00251B6F" w:rsidRPr="00524C74">
              <w:rPr>
                <w:rFonts w:ascii="Arial" w:hAnsi="Arial" w:cs="Arial"/>
                <w:color w:val="000000"/>
                <w:sz w:val="20"/>
                <w:szCs w:val="20"/>
                <w:lang w:val="en-GB"/>
              </w:rPr>
              <w:t xml:space="preserve"> 28 different countries</w:t>
            </w:r>
          </w:p>
          <w:p w14:paraId="07F5117F" w14:textId="77777777" w:rsidR="00F71F1D" w:rsidRPr="00524C74" w:rsidRDefault="00F71F1D" w:rsidP="005563A5">
            <w:pPr>
              <w:pStyle w:val="ListParagraph"/>
              <w:numPr>
                <w:ilvl w:val="0"/>
                <w:numId w:val="28"/>
              </w:numPr>
              <w:spacing w:before="60" w:after="60"/>
              <w:ind w:left="357" w:hanging="357"/>
              <w:contextualSpacing w:val="0"/>
              <w:rPr>
                <w:rFonts w:ascii="Arial" w:hAnsi="Arial" w:cs="Arial"/>
                <w:color w:val="000000"/>
                <w:sz w:val="20"/>
                <w:szCs w:val="20"/>
                <w:lang w:val="en-GB"/>
              </w:rPr>
            </w:pPr>
            <w:r w:rsidRPr="00524C74">
              <w:rPr>
                <w:rFonts w:ascii="Arial" w:hAnsi="Arial" w:cs="Arial"/>
                <w:color w:val="000000"/>
                <w:sz w:val="20"/>
                <w:szCs w:val="20"/>
                <w:lang w:val="en-GB"/>
              </w:rPr>
              <w:t xml:space="preserve">Contractual partnership established with </w:t>
            </w:r>
            <w:r w:rsidR="00251B6F" w:rsidRPr="00524C74">
              <w:rPr>
                <w:rFonts w:ascii="Arial" w:hAnsi="Arial" w:cs="Arial"/>
                <w:color w:val="000000"/>
                <w:sz w:val="20"/>
                <w:szCs w:val="20"/>
                <w:lang w:val="en-GB"/>
              </w:rPr>
              <w:t>the selected</w:t>
            </w:r>
            <w:r w:rsidRPr="00524C74">
              <w:rPr>
                <w:rFonts w:ascii="Arial" w:hAnsi="Arial" w:cs="Arial"/>
                <w:color w:val="000000"/>
                <w:sz w:val="20"/>
                <w:szCs w:val="20"/>
                <w:lang w:val="en-GB"/>
              </w:rPr>
              <w:t xml:space="preserve"> partner for the development of an effective and comprehensive communication and outrea</w:t>
            </w:r>
            <w:r w:rsidR="00251B6F" w:rsidRPr="00524C74">
              <w:rPr>
                <w:rFonts w:ascii="Arial" w:hAnsi="Arial" w:cs="Arial"/>
                <w:color w:val="000000"/>
                <w:sz w:val="20"/>
                <w:szCs w:val="20"/>
                <w:lang w:val="en-GB"/>
              </w:rPr>
              <w:t>ch strategy for the Convention</w:t>
            </w:r>
          </w:p>
          <w:p w14:paraId="5FACF81F" w14:textId="77777777" w:rsidR="00FF6586" w:rsidRPr="00524C74" w:rsidRDefault="00F71F1D" w:rsidP="005563A5">
            <w:pPr>
              <w:pStyle w:val="ListParagraph"/>
              <w:numPr>
                <w:ilvl w:val="0"/>
                <w:numId w:val="28"/>
              </w:numPr>
              <w:spacing w:before="60" w:after="60"/>
              <w:ind w:left="357" w:hanging="357"/>
              <w:contextualSpacing w:val="0"/>
              <w:rPr>
                <w:rFonts w:ascii="Arial" w:hAnsi="Arial" w:cs="Arial"/>
                <w:color w:val="000000"/>
                <w:sz w:val="20"/>
                <w:szCs w:val="20"/>
                <w:lang w:val="en-GB"/>
              </w:rPr>
            </w:pPr>
            <w:r w:rsidRPr="00524C74">
              <w:rPr>
                <w:rFonts w:ascii="Arial" w:hAnsi="Arial" w:cs="Arial"/>
                <w:color w:val="000000"/>
                <w:sz w:val="20"/>
                <w:szCs w:val="20"/>
                <w:lang w:val="en-GB"/>
              </w:rPr>
              <w:t xml:space="preserve">Kick-off meeting organized with </w:t>
            </w:r>
            <w:r w:rsidR="00251B6F" w:rsidRPr="00524C74">
              <w:rPr>
                <w:rFonts w:ascii="Arial" w:hAnsi="Arial" w:cs="Arial"/>
                <w:color w:val="000000"/>
                <w:sz w:val="20"/>
                <w:szCs w:val="20"/>
                <w:lang w:val="en-GB"/>
              </w:rPr>
              <w:t>the selected</w:t>
            </w:r>
            <w:r w:rsidRPr="00524C74">
              <w:rPr>
                <w:rFonts w:ascii="Arial" w:hAnsi="Arial" w:cs="Arial"/>
                <w:color w:val="000000"/>
                <w:sz w:val="20"/>
                <w:szCs w:val="20"/>
                <w:lang w:val="en-GB"/>
              </w:rPr>
              <w:t xml:space="preserve"> partner to ensure </w:t>
            </w:r>
            <w:r w:rsidR="00D25FF7">
              <w:rPr>
                <w:rFonts w:ascii="Arial" w:hAnsi="Arial" w:cs="Arial"/>
                <w:color w:val="000000"/>
                <w:sz w:val="20"/>
                <w:szCs w:val="20"/>
                <w:lang w:val="en-GB"/>
              </w:rPr>
              <w:t xml:space="preserve">a </w:t>
            </w:r>
            <w:r w:rsidRPr="00524C74">
              <w:rPr>
                <w:rFonts w:ascii="Arial" w:hAnsi="Arial" w:cs="Arial"/>
                <w:color w:val="000000"/>
                <w:sz w:val="20"/>
                <w:szCs w:val="20"/>
                <w:lang w:val="en-GB"/>
              </w:rPr>
              <w:t>proper understanding of the project scope and priorities, its challenges and limitations as well as an overall vision for the message to communicate</w:t>
            </w:r>
          </w:p>
        </w:tc>
        <w:tc>
          <w:tcPr>
            <w:tcW w:w="953" w:type="pct"/>
          </w:tcPr>
          <w:p w14:paraId="09B7A5F1" w14:textId="77777777" w:rsidR="00FF6586" w:rsidRPr="00524C74" w:rsidRDefault="006C1FC0" w:rsidP="005563A5">
            <w:pPr>
              <w:pStyle w:val="ListParagraph"/>
              <w:spacing w:before="60" w:after="60"/>
              <w:ind w:left="0"/>
              <w:contextualSpacing w:val="0"/>
              <w:jc w:val="center"/>
              <w:rPr>
                <w:rFonts w:ascii="Arial" w:eastAsia="Calibri" w:hAnsi="Arial" w:cs="Arial"/>
                <w:sz w:val="20"/>
                <w:szCs w:val="20"/>
                <w:lang w:val="en-GB"/>
              </w:rPr>
            </w:pPr>
            <w:r w:rsidRPr="00524C74">
              <w:rPr>
                <w:rFonts w:ascii="Arial" w:hAnsi="Arial" w:cs="Arial"/>
                <w:sz w:val="20"/>
                <w:szCs w:val="20"/>
                <w:lang w:val="en-GB"/>
              </w:rPr>
              <w:lastRenderedPageBreak/>
              <w:t xml:space="preserve">Partly </w:t>
            </w:r>
            <w:r w:rsidRPr="00524C74">
              <w:rPr>
                <w:rFonts w:ascii="Arial" w:eastAsia="Calibri" w:hAnsi="Arial" w:cs="Arial"/>
                <w:sz w:val="20"/>
                <w:szCs w:val="20"/>
                <w:lang w:val="en-GB"/>
              </w:rPr>
              <w:t>accomplished</w:t>
            </w:r>
          </w:p>
        </w:tc>
      </w:tr>
    </w:tbl>
    <w:p w14:paraId="0A6448A5" w14:textId="77777777" w:rsidR="00A74D6C" w:rsidRPr="00524C74" w:rsidRDefault="00A74D6C" w:rsidP="005F7CB2">
      <w:pPr>
        <w:keepNext/>
        <w:spacing w:before="240" w:after="120"/>
        <w:rPr>
          <w:rFonts w:ascii="Arial" w:hAnsi="Arial" w:cs="Arial"/>
          <w:b/>
          <w:sz w:val="22"/>
          <w:szCs w:val="22"/>
          <w:lang w:val="en-GB"/>
        </w:rPr>
      </w:pPr>
      <w:r w:rsidRPr="00524C74">
        <w:rPr>
          <w:rFonts w:ascii="Arial" w:hAnsi="Arial" w:cs="Arial"/>
          <w:b/>
          <w:sz w:val="22"/>
          <w:szCs w:val="22"/>
          <w:lang w:val="en-GB"/>
        </w:rPr>
        <w:t>Challenges and risks in implementation and remedial actions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613A5E" w:rsidRPr="00524C74" w14:paraId="7C0DAF8C" w14:textId="77777777" w:rsidTr="00D71D21">
        <w:trPr>
          <w:tblHeader/>
        </w:trPr>
        <w:tc>
          <w:tcPr>
            <w:tcW w:w="2500" w:type="pct"/>
            <w:shd w:val="clear" w:color="auto" w:fill="D9D9D9"/>
          </w:tcPr>
          <w:p w14:paraId="44438741" w14:textId="77777777" w:rsidR="00A74D6C" w:rsidRPr="00D71D21" w:rsidRDefault="00A74D6C" w:rsidP="005563A5">
            <w:pPr>
              <w:keepNext/>
              <w:spacing w:before="60" w:after="60"/>
              <w:jc w:val="center"/>
              <w:rPr>
                <w:rFonts w:ascii="Arial" w:hAnsi="Arial" w:cs="Arial"/>
                <w:b/>
                <w:sz w:val="20"/>
                <w:szCs w:val="20"/>
                <w:lang w:val="en-GB"/>
              </w:rPr>
            </w:pPr>
            <w:r w:rsidRPr="00D71D21">
              <w:rPr>
                <w:rFonts w:ascii="Arial" w:hAnsi="Arial" w:cs="Arial"/>
                <w:b/>
                <w:sz w:val="20"/>
                <w:szCs w:val="20"/>
                <w:lang w:val="en-GB"/>
              </w:rPr>
              <w:t>Key challenges</w:t>
            </w:r>
          </w:p>
        </w:tc>
        <w:tc>
          <w:tcPr>
            <w:tcW w:w="2500" w:type="pct"/>
            <w:shd w:val="clear" w:color="auto" w:fill="D9D9D9"/>
          </w:tcPr>
          <w:p w14:paraId="6DA8B3FC" w14:textId="77777777" w:rsidR="00A74D6C" w:rsidRPr="00D71D21" w:rsidRDefault="00A74D6C" w:rsidP="005563A5">
            <w:pPr>
              <w:keepNext/>
              <w:spacing w:before="60" w:after="60"/>
              <w:jc w:val="center"/>
              <w:rPr>
                <w:rFonts w:ascii="Arial" w:hAnsi="Arial" w:cs="Arial"/>
                <w:b/>
                <w:sz w:val="20"/>
                <w:szCs w:val="20"/>
                <w:lang w:val="en-GB"/>
              </w:rPr>
            </w:pPr>
            <w:r w:rsidRPr="00D71D21">
              <w:rPr>
                <w:rFonts w:ascii="Arial" w:hAnsi="Arial" w:cs="Arial"/>
                <w:b/>
                <w:sz w:val="20"/>
                <w:szCs w:val="20"/>
                <w:lang w:val="en-GB"/>
              </w:rPr>
              <w:t>Remedial actions</w:t>
            </w:r>
          </w:p>
        </w:tc>
      </w:tr>
      <w:tr w:rsidR="00613A5E" w:rsidRPr="00A53C89" w14:paraId="53DF142B" w14:textId="77777777" w:rsidTr="00D71D21">
        <w:tc>
          <w:tcPr>
            <w:tcW w:w="2500" w:type="pct"/>
            <w:shd w:val="clear" w:color="auto" w:fill="auto"/>
          </w:tcPr>
          <w:p w14:paraId="345F1C65" w14:textId="77777777" w:rsidR="00251B6F" w:rsidRPr="00D71D21" w:rsidRDefault="00251B6F" w:rsidP="005563A5">
            <w:pPr>
              <w:spacing w:before="60" w:after="60"/>
              <w:jc w:val="both"/>
              <w:rPr>
                <w:rFonts w:ascii="Arial" w:hAnsi="Arial" w:cs="Arial"/>
                <w:sz w:val="20"/>
                <w:szCs w:val="20"/>
                <w:lang w:val="en-GB"/>
              </w:rPr>
            </w:pPr>
            <w:r w:rsidRPr="00D71D21">
              <w:rPr>
                <w:rFonts w:ascii="Arial" w:hAnsi="Arial" w:cs="Arial"/>
                <w:sz w:val="20"/>
                <w:szCs w:val="20"/>
                <w:lang w:val="en-GB"/>
              </w:rPr>
              <w:t xml:space="preserve">As a first experience for the Convention and its Secretariat to develop a comprehensive outreach strategy, the Secretariat faced difficulties in widely disseminating the call </w:t>
            </w:r>
            <w:r w:rsidR="00067608">
              <w:rPr>
                <w:rFonts w:ascii="Arial" w:hAnsi="Arial" w:cs="Arial"/>
                <w:sz w:val="20"/>
                <w:szCs w:val="20"/>
                <w:lang w:val="en-GB"/>
              </w:rPr>
              <w:t xml:space="preserve">for </w:t>
            </w:r>
            <w:r w:rsidRPr="00D71D21">
              <w:rPr>
                <w:rFonts w:ascii="Arial" w:hAnsi="Arial" w:cs="Arial"/>
                <w:sz w:val="20"/>
                <w:szCs w:val="20"/>
                <w:lang w:val="en-GB"/>
              </w:rPr>
              <w:t xml:space="preserve">information and reaching out to a larger network of potential partner agencies with relevant communication experience. </w:t>
            </w:r>
            <w:r w:rsidR="005813BE">
              <w:rPr>
                <w:rFonts w:ascii="Arial" w:hAnsi="Arial" w:cs="Arial"/>
                <w:sz w:val="20"/>
                <w:szCs w:val="20"/>
                <w:lang w:val="en-GB"/>
              </w:rPr>
              <w:t>Moreover, a</w:t>
            </w:r>
            <w:r w:rsidR="005813BE" w:rsidRPr="00D71D21">
              <w:rPr>
                <w:rFonts w:ascii="Arial" w:hAnsi="Arial" w:cs="Arial"/>
                <w:sz w:val="20"/>
                <w:szCs w:val="20"/>
                <w:lang w:val="en-GB"/>
              </w:rPr>
              <w:t>round 25% of the proposals received proposed a much higher budget than estimated for the development</w:t>
            </w:r>
            <w:r w:rsidR="00D25FF7">
              <w:rPr>
                <w:rFonts w:ascii="Arial" w:hAnsi="Arial" w:cs="Arial"/>
                <w:sz w:val="20"/>
                <w:szCs w:val="20"/>
                <w:lang w:val="en-GB"/>
              </w:rPr>
              <w:t xml:space="preserve"> of</w:t>
            </w:r>
            <w:r w:rsidR="005813BE" w:rsidRPr="00D71D21">
              <w:rPr>
                <w:rFonts w:ascii="Arial" w:hAnsi="Arial" w:cs="Arial"/>
                <w:sz w:val="20"/>
                <w:szCs w:val="20"/>
                <w:lang w:val="en-GB"/>
              </w:rPr>
              <w:t xml:space="preserve"> the strategy.</w:t>
            </w:r>
          </w:p>
        </w:tc>
        <w:tc>
          <w:tcPr>
            <w:tcW w:w="2500" w:type="pct"/>
            <w:shd w:val="clear" w:color="auto" w:fill="auto"/>
          </w:tcPr>
          <w:p w14:paraId="3FD119FF" w14:textId="77777777" w:rsidR="00251B6F" w:rsidRPr="00D71D21" w:rsidRDefault="00251B6F" w:rsidP="005563A5">
            <w:pPr>
              <w:spacing w:before="60" w:after="60"/>
              <w:jc w:val="both"/>
              <w:rPr>
                <w:rFonts w:ascii="Arial" w:hAnsi="Arial" w:cs="Arial"/>
                <w:b/>
                <w:sz w:val="20"/>
                <w:szCs w:val="20"/>
                <w:lang w:val="en-GB"/>
              </w:rPr>
            </w:pPr>
            <w:r w:rsidRPr="00D71D21">
              <w:rPr>
                <w:rFonts w:ascii="Arial" w:hAnsi="Arial" w:cs="Arial"/>
                <w:sz w:val="20"/>
                <w:szCs w:val="20"/>
                <w:lang w:val="en-GB"/>
              </w:rPr>
              <w:t>Extra efforts were made to search</w:t>
            </w:r>
            <w:r w:rsidR="00067608">
              <w:rPr>
                <w:rFonts w:ascii="Arial" w:hAnsi="Arial" w:cs="Arial"/>
                <w:sz w:val="20"/>
                <w:szCs w:val="20"/>
                <w:lang w:val="en-GB"/>
              </w:rPr>
              <w:t xml:space="preserve"> for</w:t>
            </w:r>
            <w:r w:rsidRPr="00D71D21">
              <w:rPr>
                <w:rFonts w:ascii="Arial" w:hAnsi="Arial" w:cs="Arial"/>
                <w:sz w:val="20"/>
                <w:szCs w:val="20"/>
                <w:lang w:val="en-GB"/>
              </w:rPr>
              <w:t xml:space="preserve"> external networks and online platforms where the call could be published and widely disseminated (i.e. UN Global Marketplace), which led to a successful amount of proposals</w:t>
            </w:r>
            <w:r w:rsidR="00D25FF7">
              <w:rPr>
                <w:rFonts w:ascii="Arial" w:hAnsi="Arial" w:cs="Arial"/>
                <w:sz w:val="20"/>
                <w:szCs w:val="20"/>
                <w:lang w:val="en-GB"/>
              </w:rPr>
              <w:t xml:space="preserve"> being received</w:t>
            </w:r>
            <w:r w:rsidRPr="00D71D21">
              <w:rPr>
                <w:rFonts w:ascii="Arial" w:hAnsi="Arial" w:cs="Arial"/>
                <w:sz w:val="20"/>
                <w:szCs w:val="20"/>
                <w:lang w:val="en-GB"/>
              </w:rPr>
              <w:t>.</w:t>
            </w:r>
            <w:r w:rsidR="005813BE" w:rsidRPr="00D71D21">
              <w:rPr>
                <w:rFonts w:ascii="Arial" w:hAnsi="Arial" w:cs="Arial"/>
                <w:sz w:val="20"/>
                <w:szCs w:val="20"/>
                <w:lang w:val="en-GB"/>
              </w:rPr>
              <w:t xml:space="preserve"> The proposed budget was set as one of the main criteria for preselection in the selection process. </w:t>
            </w:r>
            <w:r w:rsidR="00D25FF7">
              <w:rPr>
                <w:rFonts w:ascii="Arial" w:hAnsi="Arial" w:cs="Arial"/>
                <w:sz w:val="20"/>
                <w:szCs w:val="20"/>
                <w:lang w:val="en-GB"/>
              </w:rPr>
              <w:t>A</w:t>
            </w:r>
            <w:r w:rsidR="005813BE" w:rsidRPr="00D71D21">
              <w:rPr>
                <w:rFonts w:ascii="Arial" w:hAnsi="Arial" w:cs="Arial"/>
                <w:sz w:val="20"/>
                <w:szCs w:val="20"/>
                <w:lang w:val="en-GB"/>
              </w:rPr>
              <w:t xml:space="preserve">ttention should </w:t>
            </w:r>
            <w:r w:rsidR="00D25FF7" w:rsidRPr="00D71D21">
              <w:rPr>
                <w:rFonts w:ascii="Arial" w:hAnsi="Arial" w:cs="Arial"/>
                <w:sz w:val="20"/>
                <w:szCs w:val="20"/>
                <w:lang w:val="en-GB"/>
              </w:rPr>
              <w:t xml:space="preserve">however </w:t>
            </w:r>
            <w:r w:rsidR="005813BE" w:rsidRPr="00D71D21">
              <w:rPr>
                <w:rFonts w:ascii="Arial" w:hAnsi="Arial" w:cs="Arial"/>
                <w:sz w:val="20"/>
                <w:szCs w:val="20"/>
                <w:lang w:val="en-GB"/>
              </w:rPr>
              <w:t xml:space="preserve">be given to </w:t>
            </w:r>
            <w:r w:rsidR="00D25FF7">
              <w:rPr>
                <w:rFonts w:ascii="Arial" w:hAnsi="Arial" w:cs="Arial"/>
                <w:sz w:val="20"/>
                <w:szCs w:val="20"/>
                <w:lang w:val="en-GB"/>
              </w:rPr>
              <w:t>the potential</w:t>
            </w:r>
            <w:r w:rsidR="005813BE" w:rsidRPr="00D71D21">
              <w:rPr>
                <w:rFonts w:ascii="Arial" w:hAnsi="Arial" w:cs="Arial"/>
                <w:sz w:val="20"/>
                <w:szCs w:val="20"/>
                <w:lang w:val="en-GB"/>
              </w:rPr>
              <w:t xml:space="preserve"> need for an expanded budget for the future implementation of the strategy in order to meet the real costs </w:t>
            </w:r>
            <w:r w:rsidR="00D25FF7">
              <w:rPr>
                <w:rFonts w:ascii="Arial" w:hAnsi="Arial" w:cs="Arial"/>
                <w:sz w:val="20"/>
                <w:szCs w:val="20"/>
                <w:lang w:val="en-GB"/>
              </w:rPr>
              <w:t>of</w:t>
            </w:r>
            <w:r w:rsidR="005813BE" w:rsidRPr="00D71D21">
              <w:rPr>
                <w:rFonts w:ascii="Arial" w:hAnsi="Arial" w:cs="Arial"/>
                <w:sz w:val="20"/>
                <w:szCs w:val="20"/>
                <w:lang w:val="en-GB"/>
              </w:rPr>
              <w:t xml:space="preserve"> the required actions</w:t>
            </w:r>
            <w:r w:rsidR="00D25FF7">
              <w:rPr>
                <w:rFonts w:ascii="Arial" w:hAnsi="Arial" w:cs="Arial"/>
                <w:sz w:val="20"/>
                <w:szCs w:val="20"/>
                <w:lang w:val="en-GB"/>
              </w:rPr>
              <w:t>.</w:t>
            </w:r>
          </w:p>
        </w:tc>
      </w:tr>
    </w:tbl>
    <w:p w14:paraId="301588DE" w14:textId="77777777" w:rsidR="001E21CE" w:rsidRPr="00524C74" w:rsidRDefault="001E21CE" w:rsidP="005F7CB2">
      <w:pPr>
        <w:pStyle w:val="Marge"/>
        <w:spacing w:before="120" w:after="120"/>
        <w:rPr>
          <w:rFonts w:cs="Arial"/>
          <w:b/>
          <w:bCs/>
          <w:szCs w:val="22"/>
          <w:lang w:val="en-GB"/>
        </w:rPr>
      </w:pPr>
    </w:p>
    <w:sectPr w:rsidR="001E21CE" w:rsidRPr="00524C74" w:rsidSect="00C26996">
      <w:headerReference w:type="even" r:id="rId16"/>
      <w:headerReference w:type="default" r:id="rId17"/>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5BA4" w14:textId="77777777" w:rsidR="003F77D7" w:rsidRDefault="003F77D7" w:rsidP="00655736">
      <w:r>
        <w:separator/>
      </w:r>
    </w:p>
  </w:endnote>
  <w:endnote w:type="continuationSeparator" w:id="0">
    <w:p w14:paraId="13AD7AB9" w14:textId="77777777" w:rsidR="003F77D7" w:rsidRDefault="003F77D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DF91" w14:textId="77777777" w:rsidR="003F77D7" w:rsidRDefault="003F77D7" w:rsidP="00655736">
      <w:r>
        <w:separator/>
      </w:r>
    </w:p>
  </w:footnote>
  <w:footnote w:type="continuationSeparator" w:id="0">
    <w:p w14:paraId="23A9DD2E" w14:textId="77777777" w:rsidR="003F77D7" w:rsidRDefault="003F77D7" w:rsidP="00655736">
      <w:r>
        <w:continuationSeparator/>
      </w:r>
    </w:p>
  </w:footnote>
  <w:footnote w:id="1">
    <w:p w14:paraId="73D67555" w14:textId="77777777" w:rsidR="00015F5D" w:rsidRPr="00622D78" w:rsidRDefault="00015F5D" w:rsidP="0032638E">
      <w:pPr>
        <w:pStyle w:val="FootnoteText"/>
        <w:ind w:left="567" w:hanging="567"/>
      </w:pPr>
      <w:r w:rsidRPr="003B664F">
        <w:rPr>
          <w:rStyle w:val="FootnoteReference"/>
          <w:vertAlign w:val="baseline"/>
        </w:rPr>
        <w:footnoteRef/>
      </w:r>
      <w:r w:rsidRPr="00353BFA">
        <w:t>.</w:t>
      </w:r>
      <w:r w:rsidRPr="00353BFA">
        <w:tab/>
      </w:r>
      <w:hyperlink r:id="rId1" w:history="1">
        <w:r w:rsidRPr="00353BFA">
          <w:rPr>
            <w:rStyle w:val="Hyperlink"/>
          </w:rPr>
          <w:t>http://www.unesco.org/culture/ich/en/submissions-and-deadlines-00861</w:t>
        </w:r>
      </w:hyperlink>
      <w:r w:rsidR="00622D78">
        <w:t>.</w:t>
      </w:r>
      <w:r w:rsidRPr="00353BFA">
        <w:t xml:space="preserve"> </w:t>
      </w:r>
    </w:p>
  </w:footnote>
  <w:footnote w:id="2">
    <w:p w14:paraId="056045BA" w14:textId="77777777" w:rsidR="00D12A35" w:rsidRPr="0032638E" w:rsidRDefault="00D12A35" w:rsidP="0032638E">
      <w:pPr>
        <w:pStyle w:val="FootnoteText"/>
        <w:ind w:left="567" w:hanging="567"/>
        <w:rPr>
          <w:lang w:val="en-US"/>
        </w:rPr>
      </w:pPr>
      <w:r w:rsidRPr="0032638E">
        <w:rPr>
          <w:rStyle w:val="FootnoteReference"/>
          <w:vertAlign w:val="baseline"/>
        </w:rPr>
        <w:footnoteRef/>
      </w:r>
      <w:r w:rsidRPr="00353BFA">
        <w:t>.</w:t>
      </w:r>
      <w:r w:rsidRPr="00353BFA">
        <w:tab/>
        <w:t xml:space="preserve">See Decision 11.COM 6 available at </w:t>
      </w:r>
      <w:hyperlink r:id="rId2" w:history="1">
        <w:r w:rsidRPr="00353BFA">
          <w:rPr>
            <w:rStyle w:val="Hyperlink"/>
          </w:rPr>
          <w:t>http://www.unesco.org/culture/ich/en/Decisions/11.COM/6</w:t>
        </w:r>
      </w:hyperlink>
      <w:r w:rsidRPr="00353BFA">
        <w:t xml:space="preserve">.  </w:t>
      </w:r>
    </w:p>
  </w:footnote>
  <w:footnote w:id="3">
    <w:p w14:paraId="595FB02F" w14:textId="77777777" w:rsidR="003E67E0" w:rsidRPr="0032638E" w:rsidRDefault="003E67E0" w:rsidP="0032638E">
      <w:pPr>
        <w:pStyle w:val="FootnoteText"/>
        <w:ind w:left="567" w:hanging="567"/>
        <w:rPr>
          <w:lang w:val="en-US"/>
        </w:rPr>
      </w:pPr>
      <w:r w:rsidRPr="0032638E">
        <w:rPr>
          <w:rStyle w:val="FootnoteReference"/>
          <w:vertAlign w:val="baseline"/>
        </w:rPr>
        <w:footnoteRef/>
      </w:r>
      <w:r w:rsidRPr="00353BFA">
        <w:t>.</w:t>
      </w:r>
      <w:r w:rsidRPr="00353BFA">
        <w:tab/>
        <w:t xml:space="preserve">See Decision 10.COM 10 available at </w:t>
      </w:r>
      <w:hyperlink r:id="rId3" w:history="1">
        <w:r w:rsidRPr="00353BFA">
          <w:rPr>
            <w:rStyle w:val="Hyperlink"/>
          </w:rPr>
          <w:t>http://www.unesco</w:t>
        </w:r>
        <w:r w:rsidRPr="00EA233D">
          <w:rPr>
            <w:rStyle w:val="Hyperlink"/>
          </w:rPr>
          <w:t>.org/culture/ich/en/Decisions/10.COM/10</w:t>
        </w:r>
      </w:hyperlink>
      <w:r w:rsidRPr="00353BFA">
        <w:t xml:space="preserve">.  </w:t>
      </w:r>
    </w:p>
  </w:footnote>
  <w:footnote w:id="4">
    <w:p w14:paraId="46F6DD15" w14:textId="77777777" w:rsidR="00B77FFB" w:rsidRPr="0032638E" w:rsidRDefault="00B77FFB" w:rsidP="0032638E">
      <w:pPr>
        <w:pStyle w:val="FootnoteText"/>
        <w:ind w:left="567" w:hanging="567"/>
        <w:rPr>
          <w:lang w:val="en-US"/>
        </w:rPr>
      </w:pPr>
      <w:r w:rsidRPr="0032638E">
        <w:rPr>
          <w:rStyle w:val="FootnoteReference"/>
          <w:vertAlign w:val="baseline"/>
        </w:rPr>
        <w:footnoteRef/>
      </w:r>
      <w:r w:rsidRPr="00353BFA">
        <w:t>.</w:t>
      </w:r>
      <w:r w:rsidRPr="00353BFA">
        <w:tab/>
        <w:t xml:space="preserve">See Decision 11.COM 14 available at </w:t>
      </w:r>
      <w:hyperlink r:id="rId4" w:history="1">
        <w:r w:rsidRPr="00353BFA">
          <w:rPr>
            <w:rStyle w:val="Hyperlink"/>
          </w:rPr>
          <w:t>http://www.unesco.org/culture/ich/en/Decisions/11.COM/14</w:t>
        </w:r>
      </w:hyperlink>
      <w:r w:rsidRPr="00353BFA">
        <w:t xml:space="preserve">.  </w:t>
      </w:r>
    </w:p>
  </w:footnote>
  <w:footnote w:id="5">
    <w:p w14:paraId="078C3896" w14:textId="77777777" w:rsidR="00E314F8" w:rsidRPr="0032638E" w:rsidRDefault="00E314F8" w:rsidP="0032638E">
      <w:pPr>
        <w:pStyle w:val="FootnoteText"/>
        <w:ind w:left="567" w:hanging="567"/>
        <w:rPr>
          <w:lang w:val="en-US"/>
        </w:rPr>
      </w:pPr>
      <w:r w:rsidRPr="0032638E">
        <w:rPr>
          <w:rStyle w:val="FootnoteReference"/>
          <w:vertAlign w:val="baseline"/>
        </w:rPr>
        <w:footnoteRef/>
      </w:r>
      <w:r w:rsidRPr="00353BFA">
        <w:t>.</w:t>
      </w:r>
      <w:r w:rsidRPr="00353BFA">
        <w:tab/>
        <w:t xml:space="preserve">See Decision 10.COM 9 available at </w:t>
      </w:r>
      <w:hyperlink r:id="rId5" w:history="1">
        <w:r w:rsidRPr="00353BFA">
          <w:rPr>
            <w:rStyle w:val="Hyperlink"/>
          </w:rPr>
          <w:t>http://www.unesco.org/culture/ich/en/Decisions/10.COM/9</w:t>
        </w:r>
      </w:hyperlink>
      <w:r w:rsidRPr="00353BFA">
        <w:t xml:space="preserve">.   </w:t>
      </w:r>
    </w:p>
  </w:footnote>
  <w:footnote w:id="6">
    <w:p w14:paraId="296390AF" w14:textId="77777777" w:rsidR="00861A16" w:rsidRPr="00353BFA" w:rsidRDefault="00861A16" w:rsidP="00861A16">
      <w:pPr>
        <w:pStyle w:val="FootnoteText"/>
        <w:ind w:left="567" w:hanging="567"/>
        <w:rPr>
          <w:rFonts w:cs="Arial"/>
        </w:rPr>
      </w:pPr>
      <w:r w:rsidRPr="0032638E">
        <w:rPr>
          <w:rStyle w:val="FootnoteReference"/>
          <w:rFonts w:cs="Arial"/>
          <w:vertAlign w:val="baseline"/>
        </w:rPr>
        <w:footnoteRef/>
      </w:r>
      <w:r w:rsidRPr="0032638E">
        <w:rPr>
          <w:rFonts w:cs="Arial"/>
        </w:rPr>
        <w:t>.</w:t>
      </w:r>
      <w:r w:rsidRPr="0032638E">
        <w:rPr>
          <w:rFonts w:cs="Arial"/>
        </w:rPr>
        <w:tab/>
        <w:t xml:space="preserve">UNEG Handbook for Conducting Evaluations of Normative Work in the UN System, 2013, para. 70, </w:t>
      </w:r>
      <w:hyperlink r:id="rId6" w:history="1">
        <w:r w:rsidRPr="0032638E">
          <w:rPr>
            <w:rStyle w:val="Hyperlink"/>
            <w:rFonts w:cs="Arial"/>
            <w:snapToGrid w:val="0"/>
            <w:lang w:eastAsia="en-US"/>
          </w:rPr>
          <w:t>http://www.uneval.org/document/detail/1484</w:t>
        </w:r>
      </w:hyperlink>
      <w:r w:rsidRPr="0032638E">
        <w:rPr>
          <w:rFonts w:cs="Arial"/>
        </w:rPr>
        <w:t xml:space="preserve"> (available in English, French and Spanish).</w:t>
      </w:r>
    </w:p>
  </w:footnote>
  <w:footnote w:id="7">
    <w:p w14:paraId="6BB25A45" w14:textId="77777777" w:rsidR="003B664F" w:rsidRPr="0032638E" w:rsidRDefault="003B664F" w:rsidP="0032638E">
      <w:pPr>
        <w:pStyle w:val="FootnoteText"/>
        <w:ind w:left="567" w:hanging="567"/>
        <w:rPr>
          <w:lang w:val="en-US"/>
        </w:rPr>
      </w:pPr>
      <w:r w:rsidRPr="0032638E">
        <w:rPr>
          <w:rStyle w:val="FootnoteReference"/>
          <w:vertAlign w:val="baseline"/>
        </w:rPr>
        <w:footnoteRef/>
      </w:r>
      <w:r w:rsidRPr="00353BFA">
        <w:t>.</w:t>
      </w:r>
      <w:r w:rsidRPr="00353BFA">
        <w:tab/>
        <w:t>See Decision 11.COM 14</w:t>
      </w:r>
      <w:r w:rsidR="00622D78">
        <w:t>,</w:t>
      </w:r>
      <w:r w:rsidRPr="00353BFA">
        <w:t xml:space="preserve"> available at </w:t>
      </w:r>
      <w:hyperlink r:id="rId7" w:history="1">
        <w:r w:rsidRPr="00353BFA">
          <w:rPr>
            <w:rStyle w:val="Hyperlink"/>
          </w:rPr>
          <w:t>http://www.unesco.org/culture</w:t>
        </w:r>
        <w:r w:rsidRPr="00EA233D">
          <w:rPr>
            <w:rStyle w:val="Hyperlink"/>
          </w:rPr>
          <w:t>/ich/en/Decisions/11.COM/14</w:t>
        </w:r>
      </w:hyperlink>
      <w:r w:rsidRPr="00353BFA">
        <w:t xml:space="preserve">.  </w:t>
      </w:r>
    </w:p>
  </w:footnote>
  <w:footnote w:id="8">
    <w:p w14:paraId="343DFAF5" w14:textId="77777777" w:rsidR="0032638E" w:rsidRPr="00904AEB" w:rsidRDefault="0032638E" w:rsidP="0032638E">
      <w:pPr>
        <w:pStyle w:val="FootnoteText"/>
        <w:ind w:left="567" w:hanging="567"/>
      </w:pPr>
      <w:r w:rsidRPr="00377291">
        <w:rPr>
          <w:rStyle w:val="FootnoteReference"/>
          <w:rFonts w:cs="Arial"/>
          <w:vertAlign w:val="baseline"/>
        </w:rPr>
        <w:footnoteRef/>
      </w:r>
      <w:r w:rsidRPr="00377291">
        <w:rPr>
          <w:rFonts w:cs="Arial"/>
        </w:rPr>
        <w:t>.</w:t>
      </w:r>
      <w:r w:rsidRPr="00377291">
        <w:rPr>
          <w:rStyle w:val="FootnoteReference"/>
          <w:rFonts w:cs="Arial"/>
          <w:vertAlign w:val="baseline"/>
        </w:rPr>
        <w:tab/>
      </w:r>
      <w:r w:rsidRPr="00904AEB">
        <w:rPr>
          <w:rStyle w:val="FootnoteReference"/>
          <w:rFonts w:cs="Arial"/>
          <w:vertAlign w:val="baseline"/>
        </w:rPr>
        <w:t>All figures in the tables below are expressed in dollars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6210" w14:textId="4FAA15E5" w:rsidR="000A435E" w:rsidRPr="00E84F98" w:rsidRDefault="000A435E">
    <w:pPr>
      <w:pStyle w:val="Header"/>
      <w:rPr>
        <w:rFonts w:ascii="Arial" w:hAnsi="Arial" w:cs="Arial"/>
        <w:sz w:val="20"/>
        <w:szCs w:val="20"/>
        <w:lang w:val="en-GB"/>
      </w:rPr>
    </w:pPr>
    <w:r w:rsidRPr="00613A5E">
      <w:rPr>
        <w:rFonts w:ascii="Arial" w:hAnsi="Arial" w:cs="Arial"/>
        <w:sz w:val="20"/>
        <w:szCs w:val="20"/>
        <w:lang w:val="en-GB"/>
      </w:rPr>
      <w:t>ITH/1</w:t>
    </w:r>
    <w:r w:rsidR="00076302" w:rsidRPr="00613A5E">
      <w:rPr>
        <w:rFonts w:ascii="Arial" w:hAnsi="Arial" w:cs="Arial"/>
        <w:sz w:val="20"/>
        <w:szCs w:val="20"/>
        <w:lang w:val="en-GB"/>
      </w:rPr>
      <w:t>7</w:t>
    </w:r>
    <w:r w:rsidRPr="00613A5E">
      <w:rPr>
        <w:rFonts w:ascii="Arial" w:hAnsi="Arial" w:cs="Arial"/>
        <w:sz w:val="20"/>
        <w:szCs w:val="20"/>
        <w:lang w:val="en-GB"/>
      </w:rPr>
      <w:t>/1</w:t>
    </w:r>
    <w:r w:rsidR="00076302" w:rsidRPr="00613A5E">
      <w:rPr>
        <w:rFonts w:ascii="Arial" w:hAnsi="Arial" w:cs="Arial"/>
        <w:sz w:val="20"/>
        <w:szCs w:val="20"/>
        <w:lang w:val="en-GB"/>
      </w:rPr>
      <w:t>2</w:t>
    </w:r>
    <w:r w:rsidRPr="00613A5E">
      <w:rPr>
        <w:rFonts w:ascii="Arial" w:hAnsi="Arial" w:cs="Arial"/>
        <w:sz w:val="20"/>
        <w:szCs w:val="20"/>
        <w:lang w:val="en-GB"/>
      </w:rPr>
      <w:t>.COM </w:t>
    </w:r>
    <w:r w:rsidR="00613A5E" w:rsidRPr="00613A5E">
      <w:rPr>
        <w:rFonts w:ascii="Arial" w:hAnsi="Arial" w:cs="Arial"/>
        <w:sz w:val="20"/>
        <w:szCs w:val="20"/>
        <w:lang w:val="en-GB"/>
      </w:rPr>
      <w:t>2</w:t>
    </w:r>
    <w:r w:rsidRPr="00613A5E">
      <w:rPr>
        <w:rFonts w:ascii="Arial" w:hAnsi="Arial" w:cs="Arial"/>
        <w:sz w:val="20"/>
        <w:szCs w:val="20"/>
        <w:lang w:val="en-GB"/>
      </w:rPr>
      <w:t>.BUR/INF.</w:t>
    </w:r>
    <w:r w:rsidR="00E84F98">
      <w:rPr>
        <w:rFonts w:ascii="Arial" w:hAnsi="Arial" w:cs="Arial"/>
        <w:sz w:val="20"/>
        <w:szCs w:val="20"/>
        <w:lang w:val="en-GB"/>
      </w:rPr>
      <w:t>3</w:t>
    </w:r>
    <w:r w:rsidRPr="00613A5E">
      <w:rPr>
        <w:rFonts w:ascii="Arial" w:hAnsi="Arial" w:cs="Arial"/>
        <w:sz w:val="20"/>
        <w:szCs w:val="20"/>
        <w:lang w:val="en-GB"/>
      </w:rPr>
      <w:t xml:space="preserve"> – page </w:t>
    </w:r>
    <w:r w:rsidRPr="00613A5E">
      <w:rPr>
        <w:rStyle w:val="PageNumber"/>
        <w:rFonts w:ascii="Arial" w:hAnsi="Arial" w:cs="Arial"/>
        <w:sz w:val="20"/>
        <w:szCs w:val="20"/>
        <w:lang w:val="en-GB"/>
      </w:rPr>
      <w:fldChar w:fldCharType="begin"/>
    </w:r>
    <w:r w:rsidRPr="00613A5E">
      <w:rPr>
        <w:rStyle w:val="PageNumber"/>
        <w:rFonts w:ascii="Arial" w:hAnsi="Arial" w:cs="Arial"/>
        <w:sz w:val="20"/>
        <w:szCs w:val="20"/>
        <w:lang w:val="en-GB"/>
      </w:rPr>
      <w:instrText xml:space="preserve"> PAGE </w:instrText>
    </w:r>
    <w:r w:rsidRPr="00613A5E">
      <w:rPr>
        <w:rStyle w:val="PageNumber"/>
        <w:rFonts w:ascii="Arial" w:hAnsi="Arial" w:cs="Arial"/>
        <w:sz w:val="20"/>
        <w:szCs w:val="20"/>
        <w:lang w:val="en-GB"/>
      </w:rPr>
      <w:fldChar w:fldCharType="separate"/>
    </w:r>
    <w:r w:rsidR="00A53C89">
      <w:rPr>
        <w:rStyle w:val="PageNumber"/>
        <w:rFonts w:ascii="Arial" w:hAnsi="Arial" w:cs="Arial"/>
        <w:noProof/>
        <w:sz w:val="20"/>
        <w:szCs w:val="20"/>
        <w:lang w:val="en-GB"/>
      </w:rPr>
      <w:t>2</w:t>
    </w:r>
    <w:r w:rsidRPr="00613A5E">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FE28" w14:textId="45C0FD67" w:rsidR="000A435E" w:rsidRPr="00473C13" w:rsidRDefault="00076302" w:rsidP="00C26996">
    <w:pPr>
      <w:pStyle w:val="Header"/>
      <w:jc w:val="right"/>
      <w:rPr>
        <w:lang w:val="en-GB"/>
      </w:rPr>
    </w:pPr>
    <w:r w:rsidRPr="00613A5E">
      <w:rPr>
        <w:rFonts w:ascii="Arial" w:hAnsi="Arial" w:cs="Arial"/>
        <w:sz w:val="20"/>
        <w:szCs w:val="20"/>
        <w:lang w:val="en-GB"/>
      </w:rPr>
      <w:t>ITH/17/12.COM </w:t>
    </w:r>
    <w:r w:rsidR="00613A5E" w:rsidRPr="00613A5E">
      <w:rPr>
        <w:rFonts w:ascii="Arial" w:hAnsi="Arial" w:cs="Arial"/>
        <w:sz w:val="20"/>
        <w:szCs w:val="20"/>
        <w:lang w:val="en-GB"/>
      </w:rPr>
      <w:t>2</w:t>
    </w:r>
    <w:r w:rsidR="00D9195D">
      <w:rPr>
        <w:rFonts w:ascii="Arial" w:hAnsi="Arial" w:cs="Arial"/>
        <w:sz w:val="20"/>
        <w:szCs w:val="20"/>
        <w:lang w:val="en-GB"/>
      </w:rPr>
      <w:t>.BUR/INF.3</w:t>
    </w:r>
    <w:r w:rsidR="000A435E" w:rsidRPr="00613A5E">
      <w:rPr>
        <w:rFonts w:ascii="Arial" w:hAnsi="Arial" w:cs="Arial"/>
        <w:sz w:val="20"/>
        <w:szCs w:val="20"/>
        <w:lang w:val="en-GB"/>
      </w:rPr>
      <w:t xml:space="preserve"> – page </w:t>
    </w:r>
    <w:r w:rsidR="000A435E" w:rsidRPr="00613A5E">
      <w:rPr>
        <w:rStyle w:val="PageNumber"/>
        <w:rFonts w:ascii="Arial" w:hAnsi="Arial" w:cs="Arial"/>
        <w:sz w:val="20"/>
        <w:szCs w:val="20"/>
        <w:lang w:val="en-GB"/>
      </w:rPr>
      <w:fldChar w:fldCharType="begin"/>
    </w:r>
    <w:r w:rsidR="000A435E" w:rsidRPr="00613A5E">
      <w:rPr>
        <w:rStyle w:val="PageNumber"/>
        <w:rFonts w:ascii="Arial" w:hAnsi="Arial" w:cs="Arial"/>
        <w:sz w:val="20"/>
        <w:szCs w:val="20"/>
        <w:lang w:val="en-GB"/>
      </w:rPr>
      <w:instrText xml:space="preserve"> PAGE </w:instrText>
    </w:r>
    <w:r w:rsidR="000A435E" w:rsidRPr="00613A5E">
      <w:rPr>
        <w:rStyle w:val="PageNumber"/>
        <w:rFonts w:ascii="Arial" w:hAnsi="Arial" w:cs="Arial"/>
        <w:sz w:val="20"/>
        <w:szCs w:val="20"/>
        <w:lang w:val="en-GB"/>
      </w:rPr>
      <w:fldChar w:fldCharType="separate"/>
    </w:r>
    <w:r w:rsidR="00A53C89">
      <w:rPr>
        <w:rStyle w:val="PageNumber"/>
        <w:rFonts w:ascii="Arial" w:hAnsi="Arial" w:cs="Arial"/>
        <w:noProof/>
        <w:sz w:val="20"/>
        <w:szCs w:val="20"/>
        <w:lang w:val="en-GB"/>
      </w:rPr>
      <w:t>3</w:t>
    </w:r>
    <w:r w:rsidR="000A435E" w:rsidRPr="00613A5E">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04BD" w14:textId="77777777" w:rsidR="000A435E" w:rsidRPr="00F32C23" w:rsidRDefault="0064666F">
    <w:pPr>
      <w:pStyle w:val="Header"/>
      <w:rPr>
        <w:lang w:val="en-GB"/>
      </w:rPr>
    </w:pPr>
    <w:r>
      <w:rPr>
        <w:noProof/>
      </w:rPr>
      <w:drawing>
        <wp:anchor distT="0" distB="0" distL="114300" distR="114300" simplePos="0" relativeHeight="251657728" behindDoc="0" locked="0" layoutInCell="1" allowOverlap="1" wp14:anchorId="4320AB79" wp14:editId="575F0883">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99676" w14:textId="77777777" w:rsidR="000A435E" w:rsidRPr="00F30DC6" w:rsidRDefault="00076302" w:rsidP="00655736">
    <w:pPr>
      <w:pStyle w:val="Header"/>
      <w:spacing w:after="520"/>
      <w:jc w:val="right"/>
      <w:rPr>
        <w:rFonts w:ascii="Arial" w:hAnsi="Arial" w:cs="Arial"/>
        <w:b/>
        <w:sz w:val="44"/>
        <w:szCs w:val="44"/>
        <w:lang w:val="en-GB"/>
      </w:rPr>
    </w:pPr>
    <w:r>
      <w:rPr>
        <w:rFonts w:ascii="Arial" w:hAnsi="Arial" w:cs="Arial"/>
        <w:b/>
        <w:sz w:val="44"/>
        <w:szCs w:val="44"/>
        <w:lang w:val="en-GB"/>
      </w:rPr>
      <w:t>12</w:t>
    </w:r>
    <w:r w:rsidR="000A435E">
      <w:rPr>
        <w:rFonts w:ascii="Arial" w:hAnsi="Arial" w:cs="Arial"/>
        <w:b/>
        <w:sz w:val="44"/>
        <w:szCs w:val="44"/>
        <w:lang w:val="en-GB"/>
      </w:rPr>
      <w:t> </w:t>
    </w:r>
    <w:r w:rsidR="000A435E" w:rsidRPr="00F30DC6">
      <w:rPr>
        <w:rFonts w:ascii="Arial" w:hAnsi="Arial" w:cs="Arial"/>
        <w:b/>
        <w:sz w:val="44"/>
        <w:szCs w:val="44"/>
        <w:lang w:val="en-GB"/>
      </w:rPr>
      <w:t>COM</w:t>
    </w:r>
    <w:r w:rsidR="000A435E">
      <w:rPr>
        <w:rFonts w:ascii="Arial" w:hAnsi="Arial" w:cs="Arial"/>
        <w:b/>
        <w:sz w:val="44"/>
        <w:szCs w:val="44"/>
        <w:lang w:val="en-GB"/>
      </w:rPr>
      <w:t> </w:t>
    </w:r>
    <w:r w:rsidR="00613A5E">
      <w:rPr>
        <w:rFonts w:ascii="Arial" w:hAnsi="Arial" w:cs="Arial"/>
        <w:b/>
        <w:sz w:val="44"/>
        <w:szCs w:val="44"/>
        <w:lang w:val="en-GB"/>
      </w:rPr>
      <w:t>2</w:t>
    </w:r>
    <w:r w:rsidR="000A435E">
      <w:rPr>
        <w:rFonts w:ascii="Arial" w:hAnsi="Arial" w:cs="Arial"/>
        <w:b/>
        <w:sz w:val="44"/>
        <w:szCs w:val="44"/>
        <w:lang w:val="en-GB"/>
      </w:rPr>
      <w:t> BUR</w:t>
    </w:r>
  </w:p>
  <w:p w14:paraId="496DF180" w14:textId="52A8147F" w:rsidR="000A435E" w:rsidRPr="00A53C89" w:rsidRDefault="000A435E" w:rsidP="00655736">
    <w:pPr>
      <w:jc w:val="right"/>
      <w:rPr>
        <w:rFonts w:ascii="Arial" w:hAnsi="Arial" w:cs="Arial"/>
        <w:b/>
        <w:sz w:val="22"/>
        <w:szCs w:val="22"/>
        <w:lang w:val="en-GB"/>
      </w:rPr>
    </w:pPr>
    <w:r w:rsidRPr="00A53C89">
      <w:rPr>
        <w:rFonts w:ascii="Arial" w:hAnsi="Arial" w:cs="Arial"/>
        <w:b/>
        <w:sz w:val="22"/>
        <w:szCs w:val="22"/>
        <w:lang w:val="en-GB"/>
      </w:rPr>
      <w:t>ITH/1</w:t>
    </w:r>
    <w:r w:rsidR="00076302" w:rsidRPr="00A53C89">
      <w:rPr>
        <w:rFonts w:ascii="Arial" w:hAnsi="Arial" w:cs="Arial"/>
        <w:b/>
        <w:sz w:val="22"/>
        <w:szCs w:val="22"/>
        <w:lang w:val="en-GB"/>
      </w:rPr>
      <w:t>7</w:t>
    </w:r>
    <w:r w:rsidRPr="00A53C89">
      <w:rPr>
        <w:rFonts w:ascii="Arial" w:hAnsi="Arial" w:cs="Arial"/>
        <w:b/>
        <w:sz w:val="22"/>
        <w:szCs w:val="22"/>
        <w:lang w:val="en-GB"/>
      </w:rPr>
      <w:t>/</w:t>
    </w:r>
    <w:r w:rsidR="00076302" w:rsidRPr="00A53C89">
      <w:rPr>
        <w:rFonts w:ascii="Arial" w:hAnsi="Arial" w:cs="Arial"/>
        <w:b/>
        <w:sz w:val="22"/>
        <w:szCs w:val="22"/>
        <w:lang w:val="en-GB"/>
      </w:rPr>
      <w:t>12.</w:t>
    </w:r>
    <w:r w:rsidRPr="00A53C89">
      <w:rPr>
        <w:rFonts w:ascii="Arial" w:hAnsi="Arial" w:cs="Arial"/>
        <w:b/>
        <w:sz w:val="22"/>
        <w:szCs w:val="22"/>
        <w:lang w:val="en-GB"/>
      </w:rPr>
      <w:t>COM </w:t>
    </w:r>
    <w:r w:rsidR="00613A5E" w:rsidRPr="00A53C89">
      <w:rPr>
        <w:rFonts w:ascii="Arial" w:hAnsi="Arial" w:cs="Arial"/>
        <w:b/>
        <w:sz w:val="22"/>
        <w:szCs w:val="22"/>
        <w:lang w:val="en-GB"/>
      </w:rPr>
      <w:t>2</w:t>
    </w:r>
    <w:r w:rsidRPr="00A53C89">
      <w:rPr>
        <w:rFonts w:ascii="Arial" w:hAnsi="Arial" w:cs="Arial"/>
        <w:b/>
        <w:sz w:val="22"/>
        <w:szCs w:val="22"/>
        <w:lang w:val="en-GB"/>
      </w:rPr>
      <w:t>.BUR/INF.</w:t>
    </w:r>
    <w:r w:rsidR="00D9195D" w:rsidRPr="00A53C89">
      <w:rPr>
        <w:rFonts w:ascii="Arial" w:hAnsi="Arial" w:cs="Arial"/>
        <w:b/>
        <w:sz w:val="22"/>
        <w:szCs w:val="22"/>
        <w:lang w:val="en-GB"/>
      </w:rPr>
      <w:t>3</w:t>
    </w:r>
  </w:p>
  <w:p w14:paraId="19D6A407" w14:textId="52F3D369" w:rsidR="000A435E" w:rsidRPr="00A53C89" w:rsidRDefault="000A435E" w:rsidP="00655736">
    <w:pPr>
      <w:jc w:val="right"/>
      <w:rPr>
        <w:rFonts w:ascii="Arial" w:hAnsi="Arial" w:cs="Arial"/>
        <w:b/>
        <w:sz w:val="22"/>
        <w:szCs w:val="22"/>
        <w:lang w:val="en-GB"/>
      </w:rPr>
    </w:pPr>
    <w:r w:rsidRPr="00A53C89">
      <w:rPr>
        <w:rFonts w:ascii="Arial" w:hAnsi="Arial" w:cs="Arial"/>
        <w:b/>
        <w:sz w:val="22"/>
        <w:szCs w:val="22"/>
        <w:lang w:val="en-GB"/>
      </w:rPr>
      <w:t xml:space="preserve">Paris, </w:t>
    </w:r>
    <w:r w:rsidR="00A53C89" w:rsidRPr="00A53C89">
      <w:rPr>
        <w:rFonts w:ascii="Arial" w:hAnsi="Arial" w:cs="Arial"/>
        <w:b/>
        <w:sz w:val="22"/>
        <w:szCs w:val="22"/>
        <w:lang w:val="en-GB"/>
      </w:rPr>
      <w:t>3 May</w:t>
    </w:r>
  </w:p>
  <w:p w14:paraId="5A5F62EE" w14:textId="77777777" w:rsidR="000A435E" w:rsidRPr="00F32C23" w:rsidRDefault="000A435E" w:rsidP="000048ED">
    <w:pPr>
      <w:jc w:val="right"/>
      <w:rPr>
        <w:rFonts w:ascii="Arial" w:hAnsi="Arial" w:cs="Arial"/>
        <w:b/>
        <w:sz w:val="22"/>
        <w:szCs w:val="22"/>
        <w:lang w:val="en-GB"/>
      </w:rPr>
    </w:pPr>
    <w:r w:rsidRPr="00A53C89">
      <w:rPr>
        <w:rFonts w:ascii="Arial" w:hAnsi="Arial" w:cs="Arial"/>
        <w:b/>
        <w:sz w:val="22"/>
        <w:szCs w:val="22"/>
        <w:lang w:val="en-GB"/>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A8A7F8F"/>
    <w:multiLevelType w:val="hybridMultilevel"/>
    <w:tmpl w:val="331C14D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7762FF8"/>
    <w:multiLevelType w:val="hybridMultilevel"/>
    <w:tmpl w:val="E0DCF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D7D728D"/>
    <w:multiLevelType w:val="hybridMultilevel"/>
    <w:tmpl w:val="E1BA52DC"/>
    <w:lvl w:ilvl="0" w:tplc="2A6A9BB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F960B4"/>
    <w:multiLevelType w:val="hybridMultilevel"/>
    <w:tmpl w:val="39944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8B2504B"/>
    <w:multiLevelType w:val="hybridMultilevel"/>
    <w:tmpl w:val="3DBE005C"/>
    <w:lvl w:ilvl="0" w:tplc="165C3BD8">
      <w:start w:val="1"/>
      <w:numFmt w:val="lowerLetter"/>
      <w:lvlText w:val="%1)"/>
      <w:lvlJc w:val="left"/>
      <w:pPr>
        <w:ind w:left="1494" w:hanging="360"/>
      </w:pPr>
      <w:rPr>
        <w:rFonts w:hint="default"/>
      </w:rPr>
    </w:lvl>
    <w:lvl w:ilvl="1" w:tplc="0019040C" w:tentative="1">
      <w:start w:val="1"/>
      <w:numFmt w:val="lowerLetter"/>
      <w:lvlText w:val="%2."/>
      <w:lvlJc w:val="left"/>
      <w:pPr>
        <w:ind w:left="2214" w:hanging="360"/>
      </w:pPr>
    </w:lvl>
    <w:lvl w:ilvl="2" w:tplc="001B040C" w:tentative="1">
      <w:start w:val="1"/>
      <w:numFmt w:val="lowerRoman"/>
      <w:lvlText w:val="%3."/>
      <w:lvlJc w:val="right"/>
      <w:pPr>
        <w:ind w:left="2934" w:hanging="180"/>
      </w:pPr>
    </w:lvl>
    <w:lvl w:ilvl="3" w:tplc="000F040C" w:tentative="1">
      <w:start w:val="1"/>
      <w:numFmt w:val="decimal"/>
      <w:lvlText w:val="%4."/>
      <w:lvlJc w:val="left"/>
      <w:pPr>
        <w:ind w:left="3654" w:hanging="360"/>
      </w:pPr>
    </w:lvl>
    <w:lvl w:ilvl="4" w:tplc="0019040C" w:tentative="1">
      <w:start w:val="1"/>
      <w:numFmt w:val="lowerLetter"/>
      <w:lvlText w:val="%5."/>
      <w:lvlJc w:val="left"/>
      <w:pPr>
        <w:ind w:left="4374" w:hanging="360"/>
      </w:pPr>
    </w:lvl>
    <w:lvl w:ilvl="5" w:tplc="001B040C" w:tentative="1">
      <w:start w:val="1"/>
      <w:numFmt w:val="lowerRoman"/>
      <w:lvlText w:val="%6."/>
      <w:lvlJc w:val="right"/>
      <w:pPr>
        <w:ind w:left="5094" w:hanging="180"/>
      </w:pPr>
    </w:lvl>
    <w:lvl w:ilvl="6" w:tplc="000F040C" w:tentative="1">
      <w:start w:val="1"/>
      <w:numFmt w:val="decimal"/>
      <w:lvlText w:val="%7."/>
      <w:lvlJc w:val="left"/>
      <w:pPr>
        <w:ind w:left="5814" w:hanging="360"/>
      </w:pPr>
    </w:lvl>
    <w:lvl w:ilvl="7" w:tplc="0019040C" w:tentative="1">
      <w:start w:val="1"/>
      <w:numFmt w:val="lowerLetter"/>
      <w:lvlText w:val="%8."/>
      <w:lvlJc w:val="left"/>
      <w:pPr>
        <w:ind w:left="6534" w:hanging="360"/>
      </w:pPr>
    </w:lvl>
    <w:lvl w:ilvl="8" w:tplc="001B040C" w:tentative="1">
      <w:start w:val="1"/>
      <w:numFmt w:val="lowerRoman"/>
      <w:lvlText w:val="%9."/>
      <w:lvlJc w:val="right"/>
      <w:pPr>
        <w:ind w:left="7254"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7C40886"/>
    <w:lvl w:ilvl="0" w:tplc="F2A68DC4">
      <w:start w:val="1"/>
      <w:numFmt w:val="upperRoman"/>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7140D93"/>
    <w:multiLevelType w:val="hybridMultilevel"/>
    <w:tmpl w:val="220A3DEE"/>
    <w:lvl w:ilvl="0" w:tplc="2E8AD184">
      <w:start w:val="1"/>
      <w:numFmt w:val="decimal"/>
      <w:pStyle w:val="COMPara"/>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485F376B"/>
    <w:multiLevelType w:val="hybridMultilevel"/>
    <w:tmpl w:val="986A85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A63A97"/>
    <w:multiLevelType w:val="hybridMultilevel"/>
    <w:tmpl w:val="EED4BE02"/>
    <w:lvl w:ilvl="0" w:tplc="BD5AB06E">
      <w:start w:val="1"/>
      <w:numFmt w:val="upperRoman"/>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EA4FC2"/>
    <w:multiLevelType w:val="hybridMultilevel"/>
    <w:tmpl w:val="87EA93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5D827F71"/>
    <w:multiLevelType w:val="hybridMultilevel"/>
    <w:tmpl w:val="CADCD844"/>
    <w:lvl w:ilvl="0" w:tplc="B04600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3447DA"/>
    <w:multiLevelType w:val="hybridMultilevel"/>
    <w:tmpl w:val="699E37AA"/>
    <w:lvl w:ilvl="0" w:tplc="E08849BA">
      <w:start w:val="1"/>
      <w:numFmt w:val="decimal"/>
      <w:lvlText w:val="%1."/>
      <w:lvlJc w:val="left"/>
      <w:pPr>
        <w:ind w:left="720" w:hanging="360"/>
      </w:pPr>
      <w:rPr>
        <w:rFonts w:ascii="Arial" w:hAnsi="Arial" w:cs="Arial"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4" w15:restartNumberingAfterBreak="0">
    <w:nsid w:val="61ED0360"/>
    <w:multiLevelType w:val="hybridMultilevel"/>
    <w:tmpl w:val="F39420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553631C"/>
    <w:multiLevelType w:val="hybridMultilevel"/>
    <w:tmpl w:val="A0682856"/>
    <w:lvl w:ilvl="0" w:tplc="C0CC070E">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0"/>
  </w:num>
  <w:num w:numId="3">
    <w:abstractNumId w:val="5"/>
  </w:num>
  <w:num w:numId="4">
    <w:abstractNumId w:val="28"/>
  </w:num>
  <w:num w:numId="5">
    <w:abstractNumId w:val="26"/>
  </w:num>
  <w:num w:numId="6">
    <w:abstractNumId w:val="3"/>
  </w:num>
  <w:num w:numId="7">
    <w:abstractNumId w:val="7"/>
  </w:num>
  <w:num w:numId="8">
    <w:abstractNumId w:val="15"/>
  </w:num>
  <w:num w:numId="9">
    <w:abstractNumId w:val="9"/>
  </w:num>
  <w:num w:numId="10">
    <w:abstractNumId w:val="12"/>
  </w:num>
  <w:num w:numId="11">
    <w:abstractNumId w:val="14"/>
  </w:num>
  <w:num w:numId="12">
    <w:abstractNumId w:val="13"/>
  </w:num>
  <w:num w:numId="13">
    <w:abstractNumId w:val="21"/>
  </w:num>
  <w:num w:numId="14">
    <w:abstractNumId w:val="6"/>
  </w:num>
  <w:num w:numId="15">
    <w:abstractNumId w:val="6"/>
  </w:num>
  <w:num w:numId="16">
    <w:abstractNumId w:val="17"/>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13"/>
  </w:num>
  <w:num w:numId="24">
    <w:abstractNumId w:val="6"/>
  </w:num>
  <w:num w:numId="25">
    <w:abstractNumId w:val="8"/>
  </w:num>
  <w:num w:numId="26">
    <w:abstractNumId w:val="18"/>
  </w:num>
  <w:num w:numId="27">
    <w:abstractNumId w:val="2"/>
  </w:num>
  <w:num w:numId="28">
    <w:abstractNumId w:val="4"/>
  </w:num>
  <w:num w:numId="29">
    <w:abstractNumId w:val="6"/>
  </w:num>
  <w:num w:numId="30">
    <w:abstractNumId w:val="0"/>
  </w:num>
  <w:num w:numId="31">
    <w:abstractNumId w:val="6"/>
  </w:num>
  <w:num w:numId="32">
    <w:abstractNumId w:val="6"/>
  </w:num>
  <w:num w:numId="33">
    <w:abstractNumId w:val="6"/>
  </w:num>
  <w:num w:numId="34">
    <w:abstractNumId w:val="6"/>
  </w:num>
  <w:num w:numId="35">
    <w:abstractNumId w:val="6"/>
  </w:num>
  <w:num w:numId="36">
    <w:abstractNumId w:val="16"/>
  </w:num>
  <w:num w:numId="37">
    <w:abstractNumId w:val="27"/>
  </w:num>
  <w:num w:numId="38">
    <w:abstractNumId w:val="16"/>
  </w:num>
  <w:num w:numId="39">
    <w:abstractNumId w:val="25"/>
  </w:num>
  <w:num w:numId="40">
    <w:abstractNumId w:val="22"/>
  </w:num>
  <w:num w:numId="41">
    <w:abstractNumId w:val="1"/>
  </w:num>
  <w:num w:numId="42">
    <w:abstractNumId w:val="20"/>
  </w:num>
  <w:num w:numId="43">
    <w:abstractNumId w:val="16"/>
    <w:lvlOverride w:ilvl="0">
      <w:startOverride w:val="1"/>
    </w:lvlOverride>
  </w:num>
  <w:num w:numId="44">
    <w:abstractNumId w:val="16"/>
  </w:num>
  <w:num w:numId="45">
    <w:abstractNumId w:val="16"/>
    <w:lvlOverride w:ilvl="0">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1AAF"/>
    <w:rsid w:val="00002FAE"/>
    <w:rsid w:val="000043D7"/>
    <w:rsid w:val="000048ED"/>
    <w:rsid w:val="000156ED"/>
    <w:rsid w:val="00015F5D"/>
    <w:rsid w:val="000203AD"/>
    <w:rsid w:val="0002088D"/>
    <w:rsid w:val="000246D0"/>
    <w:rsid w:val="00024861"/>
    <w:rsid w:val="0003153A"/>
    <w:rsid w:val="00032764"/>
    <w:rsid w:val="00041A66"/>
    <w:rsid w:val="00041E0D"/>
    <w:rsid w:val="00043D8B"/>
    <w:rsid w:val="0004543D"/>
    <w:rsid w:val="0004617D"/>
    <w:rsid w:val="00050402"/>
    <w:rsid w:val="000505B3"/>
    <w:rsid w:val="0005176E"/>
    <w:rsid w:val="0005488C"/>
    <w:rsid w:val="000563F5"/>
    <w:rsid w:val="00056942"/>
    <w:rsid w:val="00062AE4"/>
    <w:rsid w:val="00062F60"/>
    <w:rsid w:val="00062FEC"/>
    <w:rsid w:val="0006522B"/>
    <w:rsid w:val="00065CFA"/>
    <w:rsid w:val="0006752C"/>
    <w:rsid w:val="00067608"/>
    <w:rsid w:val="00067A73"/>
    <w:rsid w:val="00072F12"/>
    <w:rsid w:val="00076302"/>
    <w:rsid w:val="000765F7"/>
    <w:rsid w:val="00077748"/>
    <w:rsid w:val="00077AB7"/>
    <w:rsid w:val="00081CD8"/>
    <w:rsid w:val="00082649"/>
    <w:rsid w:val="00094696"/>
    <w:rsid w:val="00096476"/>
    <w:rsid w:val="000A435E"/>
    <w:rsid w:val="000A7F0E"/>
    <w:rsid w:val="000B1C8F"/>
    <w:rsid w:val="000B764C"/>
    <w:rsid w:val="000C0D61"/>
    <w:rsid w:val="000C1FBA"/>
    <w:rsid w:val="000C503A"/>
    <w:rsid w:val="000C6AF7"/>
    <w:rsid w:val="000C7204"/>
    <w:rsid w:val="000E054F"/>
    <w:rsid w:val="000E2339"/>
    <w:rsid w:val="000E3F49"/>
    <w:rsid w:val="000F3A3F"/>
    <w:rsid w:val="000F4094"/>
    <w:rsid w:val="00101408"/>
    <w:rsid w:val="00101464"/>
    <w:rsid w:val="00102156"/>
    <w:rsid w:val="00102557"/>
    <w:rsid w:val="001026A2"/>
    <w:rsid w:val="0010511F"/>
    <w:rsid w:val="001105E4"/>
    <w:rsid w:val="0012620F"/>
    <w:rsid w:val="00133FA7"/>
    <w:rsid w:val="00134671"/>
    <w:rsid w:val="00135185"/>
    <w:rsid w:val="00135385"/>
    <w:rsid w:val="0013608A"/>
    <w:rsid w:val="0013706C"/>
    <w:rsid w:val="00141864"/>
    <w:rsid w:val="00143F74"/>
    <w:rsid w:val="001503B3"/>
    <w:rsid w:val="00154EA6"/>
    <w:rsid w:val="0016268A"/>
    <w:rsid w:val="00164D56"/>
    <w:rsid w:val="00167B10"/>
    <w:rsid w:val="0017402F"/>
    <w:rsid w:val="00176D9F"/>
    <w:rsid w:val="0018028D"/>
    <w:rsid w:val="00181B17"/>
    <w:rsid w:val="001828B7"/>
    <w:rsid w:val="00184CCF"/>
    <w:rsid w:val="00185209"/>
    <w:rsid w:val="00192337"/>
    <w:rsid w:val="00192A4A"/>
    <w:rsid w:val="00192E04"/>
    <w:rsid w:val="00196C1B"/>
    <w:rsid w:val="00197D64"/>
    <w:rsid w:val="001A5BDE"/>
    <w:rsid w:val="001B0620"/>
    <w:rsid w:val="001B0F73"/>
    <w:rsid w:val="001B285F"/>
    <w:rsid w:val="001B4D5A"/>
    <w:rsid w:val="001B649A"/>
    <w:rsid w:val="001C2DB7"/>
    <w:rsid w:val="001C6031"/>
    <w:rsid w:val="001D5C04"/>
    <w:rsid w:val="001E124E"/>
    <w:rsid w:val="001E21CE"/>
    <w:rsid w:val="001E732E"/>
    <w:rsid w:val="001F2154"/>
    <w:rsid w:val="001F4384"/>
    <w:rsid w:val="001F5905"/>
    <w:rsid w:val="001F71D4"/>
    <w:rsid w:val="001F75DB"/>
    <w:rsid w:val="0020272E"/>
    <w:rsid w:val="00203F98"/>
    <w:rsid w:val="00210A86"/>
    <w:rsid w:val="00210DF2"/>
    <w:rsid w:val="00213273"/>
    <w:rsid w:val="0021580D"/>
    <w:rsid w:val="00217C28"/>
    <w:rsid w:val="00222A2D"/>
    <w:rsid w:val="00223029"/>
    <w:rsid w:val="00233D9A"/>
    <w:rsid w:val="00234745"/>
    <w:rsid w:val="002407AF"/>
    <w:rsid w:val="00240833"/>
    <w:rsid w:val="00242FDE"/>
    <w:rsid w:val="00246E0A"/>
    <w:rsid w:val="00251542"/>
    <w:rsid w:val="00251B6F"/>
    <w:rsid w:val="00257BB2"/>
    <w:rsid w:val="00261C9E"/>
    <w:rsid w:val="00267C8A"/>
    <w:rsid w:val="0027466B"/>
    <w:rsid w:val="002749C5"/>
    <w:rsid w:val="002810A7"/>
    <w:rsid w:val="00282CE8"/>
    <w:rsid w:val="002838A5"/>
    <w:rsid w:val="00283E93"/>
    <w:rsid w:val="00285BB4"/>
    <w:rsid w:val="00285CCF"/>
    <w:rsid w:val="00286A27"/>
    <w:rsid w:val="002A0427"/>
    <w:rsid w:val="002B16B9"/>
    <w:rsid w:val="002C09E3"/>
    <w:rsid w:val="002C1265"/>
    <w:rsid w:val="002C61D7"/>
    <w:rsid w:val="002D03A7"/>
    <w:rsid w:val="002E6755"/>
    <w:rsid w:val="002F175B"/>
    <w:rsid w:val="002F363D"/>
    <w:rsid w:val="002F5994"/>
    <w:rsid w:val="002F7AFB"/>
    <w:rsid w:val="003006FE"/>
    <w:rsid w:val="0030444F"/>
    <w:rsid w:val="00305564"/>
    <w:rsid w:val="00310E10"/>
    <w:rsid w:val="00316CCB"/>
    <w:rsid w:val="0032638E"/>
    <w:rsid w:val="003277CE"/>
    <w:rsid w:val="0033050C"/>
    <w:rsid w:val="00331CBB"/>
    <w:rsid w:val="00334D91"/>
    <w:rsid w:val="0033515B"/>
    <w:rsid w:val="0034072B"/>
    <w:rsid w:val="00340E07"/>
    <w:rsid w:val="00342D17"/>
    <w:rsid w:val="00342E28"/>
    <w:rsid w:val="00344B58"/>
    <w:rsid w:val="00345CB4"/>
    <w:rsid w:val="00350080"/>
    <w:rsid w:val="00353BFA"/>
    <w:rsid w:val="00357ABE"/>
    <w:rsid w:val="00364052"/>
    <w:rsid w:val="00364492"/>
    <w:rsid w:val="003758EA"/>
    <w:rsid w:val="0037592C"/>
    <w:rsid w:val="00375D42"/>
    <w:rsid w:val="003774E5"/>
    <w:rsid w:val="00385066"/>
    <w:rsid w:val="00396D86"/>
    <w:rsid w:val="003A3114"/>
    <w:rsid w:val="003A3A61"/>
    <w:rsid w:val="003A6EC6"/>
    <w:rsid w:val="003A7B01"/>
    <w:rsid w:val="003B4563"/>
    <w:rsid w:val="003B51C0"/>
    <w:rsid w:val="003B664F"/>
    <w:rsid w:val="003B76AE"/>
    <w:rsid w:val="003C06A4"/>
    <w:rsid w:val="003C13FD"/>
    <w:rsid w:val="003C1A1C"/>
    <w:rsid w:val="003C2E2E"/>
    <w:rsid w:val="003D069C"/>
    <w:rsid w:val="003D12B5"/>
    <w:rsid w:val="003D1593"/>
    <w:rsid w:val="003D7646"/>
    <w:rsid w:val="003E20BB"/>
    <w:rsid w:val="003E347B"/>
    <w:rsid w:val="003E67E0"/>
    <w:rsid w:val="003F113A"/>
    <w:rsid w:val="003F1D48"/>
    <w:rsid w:val="003F238A"/>
    <w:rsid w:val="003F3E63"/>
    <w:rsid w:val="003F77D7"/>
    <w:rsid w:val="003F77FF"/>
    <w:rsid w:val="00407480"/>
    <w:rsid w:val="00407C71"/>
    <w:rsid w:val="0041162A"/>
    <w:rsid w:val="004123A3"/>
    <w:rsid w:val="00412AFB"/>
    <w:rsid w:val="004132AA"/>
    <w:rsid w:val="00414643"/>
    <w:rsid w:val="00415F4F"/>
    <w:rsid w:val="00416AAC"/>
    <w:rsid w:val="00422D9F"/>
    <w:rsid w:val="00423A2F"/>
    <w:rsid w:val="00430FB2"/>
    <w:rsid w:val="0043160E"/>
    <w:rsid w:val="00434E6B"/>
    <w:rsid w:val="00441FE1"/>
    <w:rsid w:val="004421E5"/>
    <w:rsid w:val="0044796A"/>
    <w:rsid w:val="00451B6E"/>
    <w:rsid w:val="00452284"/>
    <w:rsid w:val="00456731"/>
    <w:rsid w:val="00457C8E"/>
    <w:rsid w:val="00462B9E"/>
    <w:rsid w:val="0046331B"/>
    <w:rsid w:val="004652E3"/>
    <w:rsid w:val="00465D94"/>
    <w:rsid w:val="00471F54"/>
    <w:rsid w:val="00473C13"/>
    <w:rsid w:val="00484AFA"/>
    <w:rsid w:val="00484E0F"/>
    <w:rsid w:val="004856CA"/>
    <w:rsid w:val="004863FE"/>
    <w:rsid w:val="00487E67"/>
    <w:rsid w:val="0049498B"/>
    <w:rsid w:val="00495239"/>
    <w:rsid w:val="00496A19"/>
    <w:rsid w:val="0049705E"/>
    <w:rsid w:val="004A34A0"/>
    <w:rsid w:val="004A548C"/>
    <w:rsid w:val="004A6E00"/>
    <w:rsid w:val="004B47C3"/>
    <w:rsid w:val="004C2611"/>
    <w:rsid w:val="004C720B"/>
    <w:rsid w:val="004D0C87"/>
    <w:rsid w:val="004D3D08"/>
    <w:rsid w:val="004D65B0"/>
    <w:rsid w:val="004E3497"/>
    <w:rsid w:val="004F69A4"/>
    <w:rsid w:val="005008A8"/>
    <w:rsid w:val="00502207"/>
    <w:rsid w:val="00505C8A"/>
    <w:rsid w:val="00510674"/>
    <w:rsid w:val="0051576E"/>
    <w:rsid w:val="00524579"/>
    <w:rsid w:val="00524C74"/>
    <w:rsid w:val="00526B7B"/>
    <w:rsid w:val="00526EAE"/>
    <w:rsid w:val="005274E0"/>
    <w:rsid w:val="005308CE"/>
    <w:rsid w:val="00530C4B"/>
    <w:rsid w:val="00531E84"/>
    <w:rsid w:val="00545847"/>
    <w:rsid w:val="005526F9"/>
    <w:rsid w:val="005543E8"/>
    <w:rsid w:val="00555701"/>
    <w:rsid w:val="005563A5"/>
    <w:rsid w:val="00560FA0"/>
    <w:rsid w:val="005619B2"/>
    <w:rsid w:val="00562523"/>
    <w:rsid w:val="00562DC9"/>
    <w:rsid w:val="00566A6C"/>
    <w:rsid w:val="0057439C"/>
    <w:rsid w:val="005745D8"/>
    <w:rsid w:val="005756E5"/>
    <w:rsid w:val="00580B48"/>
    <w:rsid w:val="005813BE"/>
    <w:rsid w:val="00590D24"/>
    <w:rsid w:val="00592521"/>
    <w:rsid w:val="0059328E"/>
    <w:rsid w:val="00594FE8"/>
    <w:rsid w:val="005B0127"/>
    <w:rsid w:val="005B24C1"/>
    <w:rsid w:val="005B7A35"/>
    <w:rsid w:val="005C3833"/>
    <w:rsid w:val="005C38F1"/>
    <w:rsid w:val="005C4B73"/>
    <w:rsid w:val="005C6752"/>
    <w:rsid w:val="005C7BD8"/>
    <w:rsid w:val="005D229E"/>
    <w:rsid w:val="005D4CDD"/>
    <w:rsid w:val="005D6603"/>
    <w:rsid w:val="005D72F7"/>
    <w:rsid w:val="005E1D2B"/>
    <w:rsid w:val="005E3BB5"/>
    <w:rsid w:val="005E3FCA"/>
    <w:rsid w:val="005E7074"/>
    <w:rsid w:val="005E7872"/>
    <w:rsid w:val="005F1373"/>
    <w:rsid w:val="005F16D1"/>
    <w:rsid w:val="005F24B0"/>
    <w:rsid w:val="005F2BAF"/>
    <w:rsid w:val="005F3310"/>
    <w:rsid w:val="005F7CB2"/>
    <w:rsid w:val="00600D93"/>
    <w:rsid w:val="00602C96"/>
    <w:rsid w:val="00604676"/>
    <w:rsid w:val="00606161"/>
    <w:rsid w:val="00613A5E"/>
    <w:rsid w:val="00614FA8"/>
    <w:rsid w:val="00622D78"/>
    <w:rsid w:val="00623D79"/>
    <w:rsid w:val="00624EBA"/>
    <w:rsid w:val="00625E96"/>
    <w:rsid w:val="00627EF9"/>
    <w:rsid w:val="00631B64"/>
    <w:rsid w:val="0063300C"/>
    <w:rsid w:val="006376AF"/>
    <w:rsid w:val="006408A8"/>
    <w:rsid w:val="0064304A"/>
    <w:rsid w:val="006454F3"/>
    <w:rsid w:val="00645E7F"/>
    <w:rsid w:val="0064666F"/>
    <w:rsid w:val="006514DA"/>
    <w:rsid w:val="00655435"/>
    <w:rsid w:val="00655736"/>
    <w:rsid w:val="00663B8D"/>
    <w:rsid w:val="00664588"/>
    <w:rsid w:val="00664F13"/>
    <w:rsid w:val="006671C0"/>
    <w:rsid w:val="00670DC3"/>
    <w:rsid w:val="006717E4"/>
    <w:rsid w:val="006722E8"/>
    <w:rsid w:val="00672763"/>
    <w:rsid w:val="006808EB"/>
    <w:rsid w:val="00682B9D"/>
    <w:rsid w:val="00687019"/>
    <w:rsid w:val="00690C2E"/>
    <w:rsid w:val="006937FD"/>
    <w:rsid w:val="00696C8D"/>
    <w:rsid w:val="006A0994"/>
    <w:rsid w:val="006A0A33"/>
    <w:rsid w:val="006A0FDF"/>
    <w:rsid w:val="006A2AC2"/>
    <w:rsid w:val="006A3617"/>
    <w:rsid w:val="006A3A70"/>
    <w:rsid w:val="006A51C2"/>
    <w:rsid w:val="006A6032"/>
    <w:rsid w:val="006C0EF1"/>
    <w:rsid w:val="006C1FC0"/>
    <w:rsid w:val="006C5F2C"/>
    <w:rsid w:val="006C7EE5"/>
    <w:rsid w:val="006D3D83"/>
    <w:rsid w:val="006D52FA"/>
    <w:rsid w:val="006D60C3"/>
    <w:rsid w:val="006D7FCD"/>
    <w:rsid w:val="006E2DF6"/>
    <w:rsid w:val="006E46E4"/>
    <w:rsid w:val="006E7962"/>
    <w:rsid w:val="006F2D5B"/>
    <w:rsid w:val="006F7D20"/>
    <w:rsid w:val="00704551"/>
    <w:rsid w:val="007049B4"/>
    <w:rsid w:val="007054D1"/>
    <w:rsid w:val="00707531"/>
    <w:rsid w:val="00717DA5"/>
    <w:rsid w:val="00723ABC"/>
    <w:rsid w:val="007307C6"/>
    <w:rsid w:val="00731C06"/>
    <w:rsid w:val="00732E13"/>
    <w:rsid w:val="00737DFD"/>
    <w:rsid w:val="00744484"/>
    <w:rsid w:val="00747566"/>
    <w:rsid w:val="00755B0F"/>
    <w:rsid w:val="00756644"/>
    <w:rsid w:val="007577B6"/>
    <w:rsid w:val="007605FA"/>
    <w:rsid w:val="007729FF"/>
    <w:rsid w:val="00773188"/>
    <w:rsid w:val="007736E0"/>
    <w:rsid w:val="00774268"/>
    <w:rsid w:val="00783782"/>
    <w:rsid w:val="00784B8C"/>
    <w:rsid w:val="00786729"/>
    <w:rsid w:val="007879E1"/>
    <w:rsid w:val="00796BD3"/>
    <w:rsid w:val="007976D4"/>
    <w:rsid w:val="007B33D7"/>
    <w:rsid w:val="007B3802"/>
    <w:rsid w:val="007B41C8"/>
    <w:rsid w:val="007B61A5"/>
    <w:rsid w:val="007C5A77"/>
    <w:rsid w:val="007C5CA9"/>
    <w:rsid w:val="007D3D24"/>
    <w:rsid w:val="007D450F"/>
    <w:rsid w:val="007E279C"/>
    <w:rsid w:val="007E32A1"/>
    <w:rsid w:val="007E5106"/>
    <w:rsid w:val="007E5202"/>
    <w:rsid w:val="007F0F34"/>
    <w:rsid w:val="007F424A"/>
    <w:rsid w:val="008105A5"/>
    <w:rsid w:val="00810CC0"/>
    <w:rsid w:val="00812A0A"/>
    <w:rsid w:val="00823A11"/>
    <w:rsid w:val="00825F36"/>
    <w:rsid w:val="00826FE8"/>
    <w:rsid w:val="00830DA2"/>
    <w:rsid w:val="00830DE1"/>
    <w:rsid w:val="00842051"/>
    <w:rsid w:val="00842D1A"/>
    <w:rsid w:val="0084376D"/>
    <w:rsid w:val="00852FB3"/>
    <w:rsid w:val="008539E2"/>
    <w:rsid w:val="0085405E"/>
    <w:rsid w:val="008540C8"/>
    <w:rsid w:val="0085414A"/>
    <w:rsid w:val="00861A16"/>
    <w:rsid w:val="0086269D"/>
    <w:rsid w:val="0086543A"/>
    <w:rsid w:val="0086689B"/>
    <w:rsid w:val="008673A0"/>
    <w:rsid w:val="008724E5"/>
    <w:rsid w:val="008737BF"/>
    <w:rsid w:val="00876EB0"/>
    <w:rsid w:val="00881E0F"/>
    <w:rsid w:val="00882DAE"/>
    <w:rsid w:val="00882EA1"/>
    <w:rsid w:val="00884A9D"/>
    <w:rsid w:val="0088512B"/>
    <w:rsid w:val="00894D80"/>
    <w:rsid w:val="008969C8"/>
    <w:rsid w:val="00897CF5"/>
    <w:rsid w:val="008A057C"/>
    <w:rsid w:val="008A2B2D"/>
    <w:rsid w:val="008A4E1E"/>
    <w:rsid w:val="008A6593"/>
    <w:rsid w:val="008B1EFF"/>
    <w:rsid w:val="008B6927"/>
    <w:rsid w:val="008C003B"/>
    <w:rsid w:val="008C296C"/>
    <w:rsid w:val="008C462B"/>
    <w:rsid w:val="008C5A86"/>
    <w:rsid w:val="008C6950"/>
    <w:rsid w:val="008D4305"/>
    <w:rsid w:val="008D6B8A"/>
    <w:rsid w:val="008E112E"/>
    <w:rsid w:val="008E1A85"/>
    <w:rsid w:val="008E5E9A"/>
    <w:rsid w:val="008E724D"/>
    <w:rsid w:val="008E77E1"/>
    <w:rsid w:val="008E7832"/>
    <w:rsid w:val="008F21F7"/>
    <w:rsid w:val="008F7E7B"/>
    <w:rsid w:val="0090044D"/>
    <w:rsid w:val="009020AA"/>
    <w:rsid w:val="00906482"/>
    <w:rsid w:val="00907D3B"/>
    <w:rsid w:val="009126F0"/>
    <w:rsid w:val="009136C6"/>
    <w:rsid w:val="009163A7"/>
    <w:rsid w:val="0093365E"/>
    <w:rsid w:val="00934549"/>
    <w:rsid w:val="00940A2D"/>
    <w:rsid w:val="00942E3A"/>
    <w:rsid w:val="009444C9"/>
    <w:rsid w:val="0094465E"/>
    <w:rsid w:val="009467E7"/>
    <w:rsid w:val="00946D0B"/>
    <w:rsid w:val="009505EF"/>
    <w:rsid w:val="00955877"/>
    <w:rsid w:val="00961B14"/>
    <w:rsid w:val="00963A19"/>
    <w:rsid w:val="00965CE0"/>
    <w:rsid w:val="009678CD"/>
    <w:rsid w:val="00967F3D"/>
    <w:rsid w:val="00970C61"/>
    <w:rsid w:val="00976FC5"/>
    <w:rsid w:val="009775BF"/>
    <w:rsid w:val="00977B77"/>
    <w:rsid w:val="0098007C"/>
    <w:rsid w:val="0098372B"/>
    <w:rsid w:val="00983862"/>
    <w:rsid w:val="00991802"/>
    <w:rsid w:val="00996416"/>
    <w:rsid w:val="009A0313"/>
    <w:rsid w:val="009A18CD"/>
    <w:rsid w:val="009A1E0E"/>
    <w:rsid w:val="009A3C4D"/>
    <w:rsid w:val="009A5EAA"/>
    <w:rsid w:val="009A7994"/>
    <w:rsid w:val="009B04D6"/>
    <w:rsid w:val="009B0D36"/>
    <w:rsid w:val="009B1A47"/>
    <w:rsid w:val="009B2031"/>
    <w:rsid w:val="009B5B8E"/>
    <w:rsid w:val="009C74EA"/>
    <w:rsid w:val="009D02DE"/>
    <w:rsid w:val="009D27E9"/>
    <w:rsid w:val="009D5428"/>
    <w:rsid w:val="009F1F16"/>
    <w:rsid w:val="009F436D"/>
    <w:rsid w:val="009F7180"/>
    <w:rsid w:val="00A009C8"/>
    <w:rsid w:val="00A1044B"/>
    <w:rsid w:val="00A10AA6"/>
    <w:rsid w:val="00A12558"/>
    <w:rsid w:val="00A13903"/>
    <w:rsid w:val="00A13C18"/>
    <w:rsid w:val="00A1492B"/>
    <w:rsid w:val="00A157D1"/>
    <w:rsid w:val="00A1735E"/>
    <w:rsid w:val="00A22630"/>
    <w:rsid w:val="00A226E6"/>
    <w:rsid w:val="00A2614A"/>
    <w:rsid w:val="00A34ED5"/>
    <w:rsid w:val="00A379BE"/>
    <w:rsid w:val="00A405C0"/>
    <w:rsid w:val="00A45DBF"/>
    <w:rsid w:val="00A46EA6"/>
    <w:rsid w:val="00A5064C"/>
    <w:rsid w:val="00A53C89"/>
    <w:rsid w:val="00A54DE6"/>
    <w:rsid w:val="00A55D6E"/>
    <w:rsid w:val="00A573D8"/>
    <w:rsid w:val="00A57444"/>
    <w:rsid w:val="00A619AB"/>
    <w:rsid w:val="00A62574"/>
    <w:rsid w:val="00A720E1"/>
    <w:rsid w:val="00A739A9"/>
    <w:rsid w:val="00A74D6C"/>
    <w:rsid w:val="00A7512D"/>
    <w:rsid w:val="00A755A2"/>
    <w:rsid w:val="00A77F82"/>
    <w:rsid w:val="00A90929"/>
    <w:rsid w:val="00A936F9"/>
    <w:rsid w:val="00AA36AE"/>
    <w:rsid w:val="00AA5528"/>
    <w:rsid w:val="00AA6660"/>
    <w:rsid w:val="00AB04D2"/>
    <w:rsid w:val="00AB2C36"/>
    <w:rsid w:val="00AB42FF"/>
    <w:rsid w:val="00AB6DDE"/>
    <w:rsid w:val="00AB70B6"/>
    <w:rsid w:val="00AC0598"/>
    <w:rsid w:val="00AC2E44"/>
    <w:rsid w:val="00AC5CA1"/>
    <w:rsid w:val="00AD1A86"/>
    <w:rsid w:val="00AD2D7D"/>
    <w:rsid w:val="00AD4DC2"/>
    <w:rsid w:val="00AE103E"/>
    <w:rsid w:val="00AE39D2"/>
    <w:rsid w:val="00AE4967"/>
    <w:rsid w:val="00AE78A0"/>
    <w:rsid w:val="00AF0A07"/>
    <w:rsid w:val="00AF1F1E"/>
    <w:rsid w:val="00AF4AEC"/>
    <w:rsid w:val="00AF57D9"/>
    <w:rsid w:val="00AF625E"/>
    <w:rsid w:val="00B00D9A"/>
    <w:rsid w:val="00B04E85"/>
    <w:rsid w:val="00B056F0"/>
    <w:rsid w:val="00B11C66"/>
    <w:rsid w:val="00B12010"/>
    <w:rsid w:val="00B1315D"/>
    <w:rsid w:val="00B152BF"/>
    <w:rsid w:val="00B159C9"/>
    <w:rsid w:val="00B26464"/>
    <w:rsid w:val="00B32D1E"/>
    <w:rsid w:val="00B32E30"/>
    <w:rsid w:val="00B35C91"/>
    <w:rsid w:val="00B47300"/>
    <w:rsid w:val="00B52891"/>
    <w:rsid w:val="00B5433F"/>
    <w:rsid w:val="00B63BFE"/>
    <w:rsid w:val="00B77FFB"/>
    <w:rsid w:val="00B834E4"/>
    <w:rsid w:val="00B84606"/>
    <w:rsid w:val="00B95B3A"/>
    <w:rsid w:val="00BA24AA"/>
    <w:rsid w:val="00BA522B"/>
    <w:rsid w:val="00BB04AF"/>
    <w:rsid w:val="00BB3419"/>
    <w:rsid w:val="00BB5EE0"/>
    <w:rsid w:val="00BB5F55"/>
    <w:rsid w:val="00BD2324"/>
    <w:rsid w:val="00BD2C9D"/>
    <w:rsid w:val="00BD2CA0"/>
    <w:rsid w:val="00BD4F95"/>
    <w:rsid w:val="00BD52C9"/>
    <w:rsid w:val="00BE077B"/>
    <w:rsid w:val="00BE1862"/>
    <w:rsid w:val="00BE6354"/>
    <w:rsid w:val="00C01C46"/>
    <w:rsid w:val="00C02163"/>
    <w:rsid w:val="00C04185"/>
    <w:rsid w:val="00C044BB"/>
    <w:rsid w:val="00C138D1"/>
    <w:rsid w:val="00C2282C"/>
    <w:rsid w:val="00C23894"/>
    <w:rsid w:val="00C23A97"/>
    <w:rsid w:val="00C23C45"/>
    <w:rsid w:val="00C258FC"/>
    <w:rsid w:val="00C26996"/>
    <w:rsid w:val="00C30B14"/>
    <w:rsid w:val="00C320E6"/>
    <w:rsid w:val="00C421B8"/>
    <w:rsid w:val="00C43B04"/>
    <w:rsid w:val="00C44E3C"/>
    <w:rsid w:val="00C45015"/>
    <w:rsid w:val="00C5550E"/>
    <w:rsid w:val="00C56B0C"/>
    <w:rsid w:val="00C63C67"/>
    <w:rsid w:val="00C64855"/>
    <w:rsid w:val="00C70EA7"/>
    <w:rsid w:val="00C71DA8"/>
    <w:rsid w:val="00C74AA8"/>
    <w:rsid w:val="00C7516E"/>
    <w:rsid w:val="00C75770"/>
    <w:rsid w:val="00C829C2"/>
    <w:rsid w:val="00C852FB"/>
    <w:rsid w:val="00C92BFD"/>
    <w:rsid w:val="00C97AF7"/>
    <w:rsid w:val="00CA28DC"/>
    <w:rsid w:val="00CA4AE8"/>
    <w:rsid w:val="00CA56BB"/>
    <w:rsid w:val="00CA65FC"/>
    <w:rsid w:val="00CA72B0"/>
    <w:rsid w:val="00CB0542"/>
    <w:rsid w:val="00CB43C9"/>
    <w:rsid w:val="00CB4943"/>
    <w:rsid w:val="00CB4A29"/>
    <w:rsid w:val="00CC0E12"/>
    <w:rsid w:val="00CC1992"/>
    <w:rsid w:val="00CC1BB8"/>
    <w:rsid w:val="00CC3B58"/>
    <w:rsid w:val="00CC6A05"/>
    <w:rsid w:val="00CC79E5"/>
    <w:rsid w:val="00CD1899"/>
    <w:rsid w:val="00CE61DD"/>
    <w:rsid w:val="00CE64BF"/>
    <w:rsid w:val="00CF0596"/>
    <w:rsid w:val="00CF678B"/>
    <w:rsid w:val="00D00B2B"/>
    <w:rsid w:val="00D051D8"/>
    <w:rsid w:val="00D12A35"/>
    <w:rsid w:val="00D24877"/>
    <w:rsid w:val="00D25FF7"/>
    <w:rsid w:val="00D3625D"/>
    <w:rsid w:val="00D37DDC"/>
    <w:rsid w:val="00D40005"/>
    <w:rsid w:val="00D46EA3"/>
    <w:rsid w:val="00D64601"/>
    <w:rsid w:val="00D67F63"/>
    <w:rsid w:val="00D71D21"/>
    <w:rsid w:val="00D73717"/>
    <w:rsid w:val="00D76393"/>
    <w:rsid w:val="00D80CD8"/>
    <w:rsid w:val="00D8250F"/>
    <w:rsid w:val="00D8390E"/>
    <w:rsid w:val="00D9195D"/>
    <w:rsid w:val="00D92F2A"/>
    <w:rsid w:val="00D95AE2"/>
    <w:rsid w:val="00D95C4C"/>
    <w:rsid w:val="00DA30F3"/>
    <w:rsid w:val="00DA36ED"/>
    <w:rsid w:val="00DA3BBD"/>
    <w:rsid w:val="00DA518C"/>
    <w:rsid w:val="00DA59F5"/>
    <w:rsid w:val="00DA6982"/>
    <w:rsid w:val="00DB167A"/>
    <w:rsid w:val="00DB2021"/>
    <w:rsid w:val="00DB6F0C"/>
    <w:rsid w:val="00DC458B"/>
    <w:rsid w:val="00DD5889"/>
    <w:rsid w:val="00DD6576"/>
    <w:rsid w:val="00DE0899"/>
    <w:rsid w:val="00DE199F"/>
    <w:rsid w:val="00DE33B5"/>
    <w:rsid w:val="00DE34F1"/>
    <w:rsid w:val="00DE6160"/>
    <w:rsid w:val="00DE7D01"/>
    <w:rsid w:val="00DF336C"/>
    <w:rsid w:val="00DF4942"/>
    <w:rsid w:val="00DF7006"/>
    <w:rsid w:val="00E0054C"/>
    <w:rsid w:val="00E00893"/>
    <w:rsid w:val="00E00C73"/>
    <w:rsid w:val="00E03F77"/>
    <w:rsid w:val="00E1075E"/>
    <w:rsid w:val="00E141C2"/>
    <w:rsid w:val="00E17629"/>
    <w:rsid w:val="00E244E1"/>
    <w:rsid w:val="00E314F8"/>
    <w:rsid w:val="00E34183"/>
    <w:rsid w:val="00E40F3C"/>
    <w:rsid w:val="00E42717"/>
    <w:rsid w:val="00E45D47"/>
    <w:rsid w:val="00E46833"/>
    <w:rsid w:val="00E51119"/>
    <w:rsid w:val="00E62554"/>
    <w:rsid w:val="00E627B1"/>
    <w:rsid w:val="00E70169"/>
    <w:rsid w:val="00E708B2"/>
    <w:rsid w:val="00E74893"/>
    <w:rsid w:val="00E755E0"/>
    <w:rsid w:val="00E768E0"/>
    <w:rsid w:val="00E84F98"/>
    <w:rsid w:val="00E92B69"/>
    <w:rsid w:val="00E92FD3"/>
    <w:rsid w:val="00E9376C"/>
    <w:rsid w:val="00E95E90"/>
    <w:rsid w:val="00EA233D"/>
    <w:rsid w:val="00EA2BC9"/>
    <w:rsid w:val="00EA335E"/>
    <w:rsid w:val="00EA528C"/>
    <w:rsid w:val="00EA580C"/>
    <w:rsid w:val="00EB1FFB"/>
    <w:rsid w:val="00EB55AB"/>
    <w:rsid w:val="00EC0EF1"/>
    <w:rsid w:val="00EC36FC"/>
    <w:rsid w:val="00EC6D7B"/>
    <w:rsid w:val="00EC6F8D"/>
    <w:rsid w:val="00ED04CE"/>
    <w:rsid w:val="00ED0917"/>
    <w:rsid w:val="00ED5FF1"/>
    <w:rsid w:val="00EE126D"/>
    <w:rsid w:val="00EE1BC1"/>
    <w:rsid w:val="00EE4DA9"/>
    <w:rsid w:val="00EE5AFD"/>
    <w:rsid w:val="00EE7209"/>
    <w:rsid w:val="00EF34E2"/>
    <w:rsid w:val="00F03BD6"/>
    <w:rsid w:val="00F0753B"/>
    <w:rsid w:val="00F10670"/>
    <w:rsid w:val="00F12D64"/>
    <w:rsid w:val="00F135CD"/>
    <w:rsid w:val="00F14195"/>
    <w:rsid w:val="00F1575B"/>
    <w:rsid w:val="00F27459"/>
    <w:rsid w:val="00F30DC6"/>
    <w:rsid w:val="00F32C23"/>
    <w:rsid w:val="00F37BFA"/>
    <w:rsid w:val="00F41FBC"/>
    <w:rsid w:val="00F4350E"/>
    <w:rsid w:val="00F53DE9"/>
    <w:rsid w:val="00F576CB"/>
    <w:rsid w:val="00F62698"/>
    <w:rsid w:val="00F667A7"/>
    <w:rsid w:val="00F7035D"/>
    <w:rsid w:val="00F71A02"/>
    <w:rsid w:val="00F71F1D"/>
    <w:rsid w:val="00F728B8"/>
    <w:rsid w:val="00F7394B"/>
    <w:rsid w:val="00F76987"/>
    <w:rsid w:val="00F806FC"/>
    <w:rsid w:val="00F86EDF"/>
    <w:rsid w:val="00F9494E"/>
    <w:rsid w:val="00FA07E1"/>
    <w:rsid w:val="00FA0D63"/>
    <w:rsid w:val="00FA2879"/>
    <w:rsid w:val="00FA7FAD"/>
    <w:rsid w:val="00FB1D5A"/>
    <w:rsid w:val="00FC0318"/>
    <w:rsid w:val="00FC5105"/>
    <w:rsid w:val="00FD110F"/>
    <w:rsid w:val="00FD1226"/>
    <w:rsid w:val="00FD790F"/>
    <w:rsid w:val="00FE3A07"/>
    <w:rsid w:val="00FE46E1"/>
    <w:rsid w:val="00FF3509"/>
    <w:rsid w:val="00FF402B"/>
    <w:rsid w:val="00FF4830"/>
    <w:rsid w:val="00FF6586"/>
    <w:rsid w:val="00FF7E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C907B38"/>
  <w15:docId w15:val="{985AC26B-76D5-4075-8BA3-953D9114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C2282C"/>
    <w:pPr>
      <w:keepNext/>
      <w:keepLines/>
      <w:spacing w:before="40"/>
      <w:outlineLvl w:val="2"/>
    </w:pPr>
    <w:rPr>
      <w:rFonts w:ascii="Cambria" w:eastAsia="MS Gothic" w:hAnsi="Cambria"/>
      <w:color w:val="243F60"/>
    </w:rPr>
  </w:style>
  <w:style w:type="paragraph" w:styleId="Heading4">
    <w:name w:val="heading 4"/>
    <w:aliases w:val="COM Heading"/>
    <w:basedOn w:val="Normal"/>
    <w:next w:val="Normal"/>
    <w:link w:val="Heading4Char"/>
    <w:qFormat/>
    <w:rsid w:val="00E42717"/>
    <w:pPr>
      <w:keepNext/>
      <w:keepLines/>
      <w:numPr>
        <w:numId w:val="12"/>
      </w:numPr>
      <w:tabs>
        <w:tab w:val="left" w:pos="567"/>
      </w:tabs>
      <w:snapToGrid w:val="0"/>
      <w:spacing w:before="360" w:after="120"/>
      <w:outlineLvl w:val="3"/>
    </w:pPr>
    <w:rPr>
      <w:rFonts w:ascii="Arial" w:hAnsi="Arial"/>
      <w:b/>
      <w:bCs/>
      <w:cap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E42717"/>
    <w:rPr>
      <w:rFonts w:ascii="Arial" w:eastAsia="Times New Roman" w:hAnsi="Arial"/>
      <w:b/>
      <w:bCs/>
      <w:cap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COMPara">
    <w:name w:val="COM Para"/>
    <w:basedOn w:val="5GAparabodytext"/>
    <w:qFormat/>
    <w:rsid w:val="00A1044B"/>
    <w:pPr>
      <w:numPr>
        <w:numId w:val="36"/>
      </w:numPr>
      <w:tabs>
        <w:tab w:val="left" w:pos="567"/>
      </w:tabs>
      <w:spacing w:before="0" w:after="120"/>
      <w:ind w:left="567" w:hanging="567"/>
    </w:p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Sansinterligne3">
    <w:name w:val="Sans interligne3"/>
    <w:uiPriority w:val="1"/>
    <w:qFormat/>
    <w:rsid w:val="00350080"/>
    <w:rPr>
      <w:rFonts w:ascii="Times New Roman" w:eastAsia="Times New Roman" w:hAnsi="Times New Roman"/>
      <w:sz w:val="24"/>
      <w:szCs w:val="24"/>
      <w:lang w:val="fr-FR" w:eastAsia="fr-FR"/>
    </w:rPr>
  </w:style>
  <w:style w:type="paragraph" w:styleId="NoSpacing">
    <w:name w:val="No Spacing"/>
    <w:uiPriority w:val="1"/>
    <w:qFormat/>
    <w:rsid w:val="00350080"/>
    <w:rPr>
      <w:rFonts w:ascii="Times New Roman" w:eastAsia="Times New Roman" w:hAnsi="Times New Roman"/>
      <w:sz w:val="24"/>
      <w:szCs w:val="24"/>
      <w:lang w:val="fr-FR" w:eastAsia="fr-FR"/>
    </w:rPr>
  </w:style>
  <w:style w:type="character" w:customStyle="1" w:styleId="Heading1Char">
    <w:name w:val="Heading 1 Char"/>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numPr>
        <w:numId w:val="13"/>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350080"/>
    <w:rPr>
      <w:rFonts w:ascii="Arial" w:eastAsia="Times New Roman" w:hAnsi="Arial" w:cs="Arial"/>
      <w:sz w:val="22"/>
      <w:szCs w:val="22"/>
      <w:lang w:val="en-GB"/>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lang w:val="en-GB"/>
    </w:rPr>
  </w:style>
  <w:style w:type="character" w:customStyle="1" w:styleId="FootnoteTextChar">
    <w:name w:val="Footnote Text Char"/>
    <w:link w:val="FootnoteText"/>
    <w:uiPriority w:val="99"/>
    <w:rsid w:val="00350080"/>
    <w:rPr>
      <w:rFonts w:ascii="Arial" w:eastAsia="Times New Roman" w:hAnsi="Arial"/>
      <w:lang w:val="en-GB"/>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qFormat/>
    <w:rsid w:val="003C2E2E"/>
    <w:pPr>
      <w:tabs>
        <w:tab w:val="clear" w:pos="567"/>
      </w:tabs>
      <w:spacing w:before="60" w:after="60"/>
    </w:pPr>
    <w:rPr>
      <w:rFonts w:cs="Arial"/>
      <w:bCs/>
      <w:szCs w:val="22"/>
      <w:lang w:val="en-GB"/>
    </w:rPr>
  </w:style>
  <w:style w:type="character" w:styleId="Hyperlink">
    <w:name w:val="Hyperlink"/>
    <w:uiPriority w:val="99"/>
    <w:unhideWhenUsed/>
    <w:rsid w:val="00E42717"/>
    <w:rPr>
      <w:color w:val="0000FF"/>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uiPriority w:val="99"/>
    <w:semiHidden/>
    <w:unhideWhenUsed/>
    <w:rsid w:val="00BD2324"/>
    <w:rPr>
      <w:sz w:val="16"/>
      <w:szCs w:val="16"/>
    </w:rPr>
  </w:style>
  <w:style w:type="paragraph" w:styleId="CommentText">
    <w:name w:val="annotation text"/>
    <w:basedOn w:val="Normal"/>
    <w:link w:val="CommentTextChar"/>
    <w:uiPriority w:val="99"/>
    <w:semiHidden/>
    <w:unhideWhenUsed/>
    <w:rsid w:val="00BD2324"/>
    <w:rPr>
      <w:sz w:val="20"/>
      <w:szCs w:val="20"/>
    </w:rPr>
  </w:style>
  <w:style w:type="character" w:customStyle="1" w:styleId="CommentTextChar">
    <w:name w:val="Comment Text Char"/>
    <w:link w:val="CommentText"/>
    <w:uiPriority w:val="99"/>
    <w:semiHidden/>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qFormat/>
    <w:rsid w:val="00961B14"/>
    <w:pPr>
      <w:ind w:left="720"/>
      <w:contextualSpacing/>
    </w:pPr>
  </w:style>
  <w:style w:type="character" w:customStyle="1" w:styleId="Heading3Char">
    <w:name w:val="Heading 3 Char"/>
    <w:link w:val="Heading3"/>
    <w:uiPriority w:val="9"/>
    <w:semiHidden/>
    <w:rsid w:val="00C2282C"/>
    <w:rPr>
      <w:rFonts w:ascii="Cambria" w:eastAsia="MS Gothic" w:hAnsi="Cambria" w:cs="Times New Roman"/>
      <w:color w:val="243F60"/>
      <w:sz w:val="24"/>
      <w:szCs w:val="24"/>
    </w:rPr>
  </w:style>
  <w:style w:type="character" w:styleId="IntenseEmphasis">
    <w:name w:val="Intense Emphasis"/>
    <w:aliases w:val="Texte"/>
    <w:uiPriority w:val="21"/>
    <w:rsid w:val="00AD4DC2"/>
    <w:rPr>
      <w:rFonts w:ascii="Arial" w:hAnsi="Arial" w:cs="Arial"/>
      <w:sz w:val="22"/>
    </w:rPr>
  </w:style>
  <w:style w:type="paragraph" w:customStyle="1" w:styleId="Introparagraph">
    <w:name w:val="Intro paragraph"/>
    <w:basedOn w:val="Marge"/>
    <w:link w:val="IntroparagraphChar"/>
    <w:qFormat/>
    <w:rsid w:val="00AD4DC2"/>
    <w:pPr>
      <w:tabs>
        <w:tab w:val="left" w:pos="709"/>
      </w:tabs>
      <w:autoSpaceDE w:val="0"/>
      <w:autoSpaceDN w:val="0"/>
      <w:adjustRightInd w:val="0"/>
      <w:spacing w:before="240"/>
    </w:pPr>
  </w:style>
  <w:style w:type="character" w:customStyle="1" w:styleId="IntroparagraphChar">
    <w:name w:val="Intro paragraph Char"/>
    <w:link w:val="Introparagraph"/>
    <w:rsid w:val="00AD4DC2"/>
    <w:rPr>
      <w:rFonts w:ascii="Arial" w:eastAsia="Times New Roman" w:hAnsi="Arial"/>
      <w:snapToGrid w:val="0"/>
      <w:sz w:val="22"/>
      <w:szCs w:val="24"/>
      <w:lang w:eastAsia="en-US"/>
    </w:rPr>
  </w:style>
  <w:style w:type="paragraph" w:customStyle="1" w:styleId="Default">
    <w:name w:val="Default"/>
    <w:rsid w:val="001C6031"/>
    <w:pPr>
      <w:autoSpaceDE w:val="0"/>
      <w:autoSpaceDN w:val="0"/>
      <w:adjustRightInd w:val="0"/>
    </w:pPr>
    <w:rPr>
      <w:rFonts w:ascii="Arial" w:hAnsi="Arial" w:cs="Arial"/>
      <w:color w:val="000000"/>
      <w:sz w:val="24"/>
      <w:szCs w:val="24"/>
      <w:lang w:val="fr-FR" w:eastAsia="fr-FR"/>
    </w:rPr>
  </w:style>
  <w:style w:type="paragraph" w:styleId="Revision">
    <w:name w:val="Revision"/>
    <w:hidden/>
    <w:uiPriority w:val="99"/>
    <w:semiHidden/>
    <w:rsid w:val="00DB6F0C"/>
    <w:rPr>
      <w:rFonts w:ascii="Times New Roman" w:eastAsia="Times New Roman" w:hAnsi="Times New Roman"/>
      <w:sz w:val="24"/>
      <w:szCs w:val="24"/>
      <w:lang w:val="fr-FR" w:eastAsia="fr-FR"/>
    </w:rPr>
  </w:style>
  <w:style w:type="character" w:styleId="FollowedHyperlink">
    <w:name w:val="FollowedHyperlink"/>
    <w:uiPriority w:val="99"/>
    <w:semiHidden/>
    <w:unhideWhenUsed/>
    <w:rsid w:val="00076302"/>
    <w:rPr>
      <w:color w:val="800080"/>
      <w:u w:val="single"/>
    </w:rPr>
  </w:style>
  <w:style w:type="character" w:styleId="Strong">
    <w:name w:val="Strong"/>
    <w:uiPriority w:val="22"/>
    <w:qFormat/>
    <w:rsid w:val="00B52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976">
      <w:bodyDiv w:val="1"/>
      <w:marLeft w:val="0"/>
      <w:marRight w:val="0"/>
      <w:marTop w:val="0"/>
      <w:marBottom w:val="0"/>
      <w:divBdr>
        <w:top w:val="none" w:sz="0" w:space="0" w:color="auto"/>
        <w:left w:val="none" w:sz="0" w:space="0" w:color="auto"/>
        <w:bottom w:val="none" w:sz="0" w:space="0" w:color="auto"/>
        <w:right w:val="none" w:sz="0" w:space="0" w:color="auto"/>
      </w:divBdr>
    </w:div>
    <w:div w:id="379674814">
      <w:bodyDiv w:val="1"/>
      <w:marLeft w:val="0"/>
      <w:marRight w:val="0"/>
      <w:marTop w:val="0"/>
      <w:marBottom w:val="0"/>
      <w:divBdr>
        <w:top w:val="none" w:sz="0" w:space="0" w:color="auto"/>
        <w:left w:val="none" w:sz="0" w:space="0" w:color="auto"/>
        <w:bottom w:val="none" w:sz="0" w:space="0" w:color="auto"/>
        <w:right w:val="none" w:sz="0" w:space="0" w:color="auto"/>
      </w:divBdr>
    </w:div>
    <w:div w:id="427583778">
      <w:bodyDiv w:val="1"/>
      <w:marLeft w:val="0"/>
      <w:marRight w:val="0"/>
      <w:marTop w:val="0"/>
      <w:marBottom w:val="0"/>
      <w:divBdr>
        <w:top w:val="none" w:sz="0" w:space="0" w:color="auto"/>
        <w:left w:val="none" w:sz="0" w:space="0" w:color="auto"/>
        <w:bottom w:val="none" w:sz="0" w:space="0" w:color="auto"/>
        <w:right w:val="none" w:sz="0" w:space="0" w:color="auto"/>
      </w:divBdr>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11689782">
      <w:bodyDiv w:val="1"/>
      <w:marLeft w:val="0"/>
      <w:marRight w:val="0"/>
      <w:marTop w:val="0"/>
      <w:marBottom w:val="0"/>
      <w:divBdr>
        <w:top w:val="none" w:sz="0" w:space="0" w:color="auto"/>
        <w:left w:val="none" w:sz="0" w:space="0" w:color="auto"/>
        <w:bottom w:val="none" w:sz="0" w:space="0" w:color="auto"/>
        <w:right w:val="none" w:sz="0" w:space="0" w:color="auto"/>
      </w:divBdr>
    </w:div>
    <w:div w:id="104243669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35047703">
      <w:bodyDiv w:val="1"/>
      <w:marLeft w:val="0"/>
      <w:marRight w:val="0"/>
      <w:marTop w:val="0"/>
      <w:marBottom w:val="0"/>
      <w:divBdr>
        <w:top w:val="none" w:sz="0" w:space="0" w:color="auto"/>
        <w:left w:val="none" w:sz="0" w:space="0" w:color="auto"/>
        <w:bottom w:val="none" w:sz="0" w:space="0" w:color="auto"/>
        <w:right w:val="none" w:sz="0" w:space="0" w:color="auto"/>
      </w:divBdr>
    </w:div>
    <w:div w:id="1303920725">
      <w:bodyDiv w:val="1"/>
      <w:marLeft w:val="0"/>
      <w:marRight w:val="0"/>
      <w:marTop w:val="0"/>
      <w:marBottom w:val="0"/>
      <w:divBdr>
        <w:top w:val="none" w:sz="0" w:space="0" w:color="auto"/>
        <w:left w:val="none" w:sz="0" w:space="0" w:color="auto"/>
        <w:bottom w:val="none" w:sz="0" w:space="0" w:color="auto"/>
        <w:right w:val="none" w:sz="0" w:space="0" w:color="auto"/>
      </w:divBdr>
    </w:div>
    <w:div w:id="1307777133">
      <w:bodyDiv w:val="1"/>
      <w:marLeft w:val="0"/>
      <w:marRight w:val="0"/>
      <w:marTop w:val="0"/>
      <w:marBottom w:val="0"/>
      <w:divBdr>
        <w:top w:val="none" w:sz="0" w:space="0" w:color="auto"/>
        <w:left w:val="none" w:sz="0" w:space="0" w:color="auto"/>
        <w:bottom w:val="none" w:sz="0" w:space="0" w:color="auto"/>
        <w:right w:val="none" w:sz="0" w:space="0" w:color="auto"/>
      </w:divBdr>
    </w:div>
    <w:div w:id="1345984753">
      <w:bodyDiv w:val="1"/>
      <w:marLeft w:val="0"/>
      <w:marRight w:val="0"/>
      <w:marTop w:val="0"/>
      <w:marBottom w:val="0"/>
      <w:divBdr>
        <w:top w:val="none" w:sz="0" w:space="0" w:color="auto"/>
        <w:left w:val="none" w:sz="0" w:space="0" w:color="auto"/>
        <w:bottom w:val="none" w:sz="0" w:space="0" w:color="auto"/>
        <w:right w:val="none" w:sz="0" w:space="0" w:color="auto"/>
      </w:divBdr>
    </w:div>
    <w:div w:id="15794360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92239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Resolutions/6.GA/9" TargetMode="External"/><Relationship Id="rId13" Type="http://schemas.openxmlformats.org/officeDocument/2006/relationships/hyperlink" Target="http://www.unesco.org/culture/ich/en/submissions-and-deadlines-0086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esdoc.unesco.org/images/0022/002230/223095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doc/src/ITH-16-11.COM_2.BUR-Decisions-EN.docx" TargetMode="External"/><Relationship Id="rId5" Type="http://schemas.openxmlformats.org/officeDocument/2006/relationships/webSettings" Target="webSettings.xml"/><Relationship Id="rId15" Type="http://schemas.openxmlformats.org/officeDocument/2006/relationships/hyperlink" Target="http://www.unesco.org/culture/ich/en/Decisions/10.COM/10" TargetMode="External"/><Relationship Id="rId10" Type="http://schemas.openxmlformats.org/officeDocument/2006/relationships/hyperlink" Target="http://www.unesco.org/culture/ich/doc/src/ITH-16-11.COM_2.BUR-Decisions-EN.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sco.org/culture/ich/en/Decisions/8.COM/11" TargetMode="External"/><Relationship Id="rId14" Type="http://schemas.openxmlformats.org/officeDocument/2006/relationships/hyperlink" Target="http://www.unesco.org/culture/ich/en/Decisions/8.COM/5.c.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culture/ich/en/Decisions/10.COM/10" TargetMode="External"/><Relationship Id="rId7" Type="http://schemas.openxmlformats.org/officeDocument/2006/relationships/hyperlink" Target="http://www.unesco.org/culture/ich/en/Decisions/11.COM/14" TargetMode="External"/><Relationship Id="rId2" Type="http://schemas.openxmlformats.org/officeDocument/2006/relationships/hyperlink" Target="http://www.unesco.org/culture/ich/en/Decisions/11.COM/6" TargetMode="External"/><Relationship Id="rId1" Type="http://schemas.openxmlformats.org/officeDocument/2006/relationships/hyperlink" Target="http://www.unesco.org/culture/ich/en/submissions-and-deadlines-00861" TargetMode="External"/><Relationship Id="rId6" Type="http://schemas.openxmlformats.org/officeDocument/2006/relationships/hyperlink" Target="http://www.uneval.org/document/detail/1484" TargetMode="External"/><Relationship Id="rId5" Type="http://schemas.openxmlformats.org/officeDocument/2006/relationships/hyperlink" Target="http://www.unesco.org/culture/ich/en/Decisions/10.COM/9" TargetMode="External"/><Relationship Id="rId4" Type="http://schemas.openxmlformats.org/officeDocument/2006/relationships/hyperlink" Target="http://www.unesco.org/culture/ich/en/Decisions/11.COM/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DA49-B55E-4A28-96B8-1EADD2D8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242</TotalTime>
  <Pages>12</Pages>
  <Words>5343</Words>
  <Characters>29392</Characters>
  <Application>Microsoft Office Word</Application>
  <DocSecurity>0</DocSecurity>
  <Lines>244</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34666</CharactersWithSpaces>
  <SharedDoc>false</SharedDoc>
  <HLinks>
    <vt:vector size="90" baseType="variant">
      <vt:variant>
        <vt:i4>5374037</vt:i4>
      </vt:variant>
      <vt:variant>
        <vt:i4>21</vt:i4>
      </vt:variant>
      <vt:variant>
        <vt:i4>0</vt:i4>
      </vt:variant>
      <vt:variant>
        <vt:i4>5</vt:i4>
      </vt:variant>
      <vt:variant>
        <vt:lpwstr>http://www.unesco.org/culture/ich/en/Decisions/10.COM/10</vt:lpwstr>
      </vt:variant>
      <vt:variant>
        <vt:lpwstr/>
      </vt:variant>
      <vt:variant>
        <vt:i4>7077940</vt:i4>
      </vt:variant>
      <vt:variant>
        <vt:i4>18</vt:i4>
      </vt:variant>
      <vt:variant>
        <vt:i4>0</vt:i4>
      </vt:variant>
      <vt:variant>
        <vt:i4>5</vt:i4>
      </vt:variant>
      <vt:variant>
        <vt:lpwstr>http://www.unesco.org/culture/ich/en/Decisions/8.COM/5.c.1</vt:lpwstr>
      </vt:variant>
      <vt:variant>
        <vt:lpwstr/>
      </vt:variant>
      <vt:variant>
        <vt:i4>655450</vt:i4>
      </vt:variant>
      <vt:variant>
        <vt:i4>15</vt:i4>
      </vt:variant>
      <vt:variant>
        <vt:i4>0</vt:i4>
      </vt:variant>
      <vt:variant>
        <vt:i4>5</vt:i4>
      </vt:variant>
      <vt:variant>
        <vt:lpwstr>http://www.unesco.org/culture/ich/en/submissions-and-deadlines-00861</vt:lpwstr>
      </vt:variant>
      <vt:variant>
        <vt:lpwstr/>
      </vt:variant>
      <vt:variant>
        <vt:i4>1114124</vt:i4>
      </vt:variant>
      <vt:variant>
        <vt:i4>12</vt:i4>
      </vt:variant>
      <vt:variant>
        <vt:i4>0</vt:i4>
      </vt:variant>
      <vt:variant>
        <vt:i4>5</vt:i4>
      </vt:variant>
      <vt:variant>
        <vt:lpwstr>http://unesdoc.unesco.org/images/0022/002230/223095e.pdf</vt:lpwstr>
      </vt:variant>
      <vt:variant>
        <vt:lpwstr/>
      </vt:variant>
      <vt:variant>
        <vt:i4>6226031</vt:i4>
      </vt:variant>
      <vt:variant>
        <vt:i4>9</vt:i4>
      </vt:variant>
      <vt:variant>
        <vt:i4>0</vt:i4>
      </vt:variant>
      <vt:variant>
        <vt:i4>5</vt:i4>
      </vt:variant>
      <vt:variant>
        <vt:lpwstr>http://www.unesco.org/culture/ich/doc/src/ITH-16-11.COM_2.BUR-Decisions-EN.docx</vt:lpwstr>
      </vt:variant>
      <vt:variant>
        <vt:lpwstr/>
      </vt:variant>
      <vt:variant>
        <vt:i4>6226031</vt:i4>
      </vt:variant>
      <vt:variant>
        <vt:i4>6</vt:i4>
      </vt:variant>
      <vt:variant>
        <vt:i4>0</vt:i4>
      </vt:variant>
      <vt:variant>
        <vt:i4>5</vt:i4>
      </vt:variant>
      <vt:variant>
        <vt:lpwstr>http://www.unesco.org/culture/ich/doc/src/ITH-16-11.COM_2.BUR-Decisions-EN.docx</vt:lpwstr>
      </vt:variant>
      <vt:variant>
        <vt:lpwstr/>
      </vt:variant>
      <vt:variant>
        <vt:i4>3801140</vt:i4>
      </vt:variant>
      <vt:variant>
        <vt:i4>3</vt:i4>
      </vt:variant>
      <vt:variant>
        <vt:i4>0</vt:i4>
      </vt:variant>
      <vt:variant>
        <vt:i4>5</vt:i4>
      </vt:variant>
      <vt:variant>
        <vt:lpwstr>http://www.unesco.org/culture/ich/en/Decisions/8.COM/11</vt:lpwstr>
      </vt:variant>
      <vt:variant>
        <vt:lpwstr/>
      </vt:variant>
      <vt:variant>
        <vt:i4>3014758</vt:i4>
      </vt:variant>
      <vt:variant>
        <vt:i4>0</vt:i4>
      </vt:variant>
      <vt:variant>
        <vt:i4>0</vt:i4>
      </vt:variant>
      <vt:variant>
        <vt:i4>5</vt:i4>
      </vt:variant>
      <vt:variant>
        <vt:lpwstr>http://www.unesco.org/culture/ich/en/Resolutions/6.GA/9</vt:lpwstr>
      </vt:variant>
      <vt:variant>
        <vt:lpwstr/>
      </vt:variant>
      <vt:variant>
        <vt:i4>5636180</vt:i4>
      </vt:variant>
      <vt:variant>
        <vt:i4>18</vt:i4>
      </vt:variant>
      <vt:variant>
        <vt:i4>0</vt:i4>
      </vt:variant>
      <vt:variant>
        <vt:i4>5</vt:i4>
      </vt:variant>
      <vt:variant>
        <vt:lpwstr>http://www.unesco.org/culture/ich/en/Decisions/11.COM/14</vt:lpwstr>
      </vt:variant>
      <vt:variant>
        <vt:lpwstr/>
      </vt:variant>
      <vt:variant>
        <vt:i4>7602278</vt:i4>
      </vt:variant>
      <vt:variant>
        <vt:i4>15</vt:i4>
      </vt:variant>
      <vt:variant>
        <vt:i4>0</vt:i4>
      </vt:variant>
      <vt:variant>
        <vt:i4>5</vt:i4>
      </vt:variant>
      <vt:variant>
        <vt:lpwstr>http://www.uneval.org/document/detail/1484</vt:lpwstr>
      </vt:variant>
      <vt:variant>
        <vt:lpwstr/>
      </vt:variant>
      <vt:variant>
        <vt:i4>6422628</vt:i4>
      </vt:variant>
      <vt:variant>
        <vt:i4>12</vt:i4>
      </vt:variant>
      <vt:variant>
        <vt:i4>0</vt:i4>
      </vt:variant>
      <vt:variant>
        <vt:i4>5</vt:i4>
      </vt:variant>
      <vt:variant>
        <vt:lpwstr>http://www.unesco.org/culture/ich/en/Decisions/10.COM/9</vt:lpwstr>
      </vt:variant>
      <vt:variant>
        <vt:lpwstr/>
      </vt:variant>
      <vt:variant>
        <vt:i4>5636180</vt:i4>
      </vt:variant>
      <vt:variant>
        <vt:i4>9</vt:i4>
      </vt:variant>
      <vt:variant>
        <vt:i4>0</vt:i4>
      </vt:variant>
      <vt:variant>
        <vt:i4>5</vt:i4>
      </vt:variant>
      <vt:variant>
        <vt:lpwstr>http://www.unesco.org/culture/ich/en/Decisions/11.COM/14</vt:lpwstr>
      </vt:variant>
      <vt:variant>
        <vt:lpwstr/>
      </vt:variant>
      <vt:variant>
        <vt:i4>5374037</vt:i4>
      </vt:variant>
      <vt:variant>
        <vt:i4>6</vt:i4>
      </vt:variant>
      <vt:variant>
        <vt:i4>0</vt:i4>
      </vt:variant>
      <vt:variant>
        <vt:i4>5</vt:i4>
      </vt:variant>
      <vt:variant>
        <vt:lpwstr>http://www.unesco.org/culture/ich/en/Decisions/10.COM/10</vt:lpwstr>
      </vt:variant>
      <vt:variant>
        <vt:lpwstr/>
      </vt:variant>
      <vt:variant>
        <vt:i4>6422629</vt:i4>
      </vt:variant>
      <vt:variant>
        <vt:i4>3</vt:i4>
      </vt:variant>
      <vt:variant>
        <vt:i4>0</vt:i4>
      </vt:variant>
      <vt:variant>
        <vt:i4>5</vt:i4>
      </vt:variant>
      <vt:variant>
        <vt:lpwstr>http://www.unesco.org/culture/ich/en/Decisions/11.COM/6</vt:lpwstr>
      </vt:variant>
      <vt:variant>
        <vt:lpwstr/>
      </vt:variant>
      <vt:variant>
        <vt:i4>655450</vt:i4>
      </vt:variant>
      <vt:variant>
        <vt:i4>0</vt:i4>
      </vt:variant>
      <vt:variant>
        <vt:i4>0</vt:i4>
      </vt:variant>
      <vt:variant>
        <vt:i4>5</vt:i4>
      </vt:variant>
      <vt:variant>
        <vt:lpwstr>http://www.unesco.org/culture/ich/en/submissions-and-deadlines-00861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Elena Constantinou</cp:lastModifiedBy>
  <cp:revision>8</cp:revision>
  <cp:lastPrinted>2016-05-09T09:08:00Z</cp:lastPrinted>
  <dcterms:created xsi:type="dcterms:W3CDTF">2017-04-24T13:48:00Z</dcterms:created>
  <dcterms:modified xsi:type="dcterms:W3CDTF">2017-05-03T15:02:00Z</dcterms:modified>
</cp:coreProperties>
</file>