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78A9" w14:textId="77777777" w:rsidR="00C64888" w:rsidRDefault="00C64888" w:rsidP="00CC3EB7">
      <w:pPr>
        <w:pStyle w:val="Chapitre"/>
        <w:spacing w:before="0" w:after="0" w:line="240" w:lineRule="auto"/>
        <w:rPr>
          <w:rFonts w:cstheme="minorHAnsi"/>
          <w:b w:val="0"/>
          <w:color w:val="00B0F0"/>
          <w:sz w:val="44"/>
          <w:szCs w:val="44"/>
        </w:rPr>
      </w:pPr>
      <w:r w:rsidRPr="005508D1">
        <w:rPr>
          <w:kern w:val="0"/>
        </w:rPr>
        <w:t>UNI</w:t>
      </w:r>
      <w:r w:rsidR="002B0BCB">
        <w:rPr>
          <w:kern w:val="0"/>
        </w:rPr>
        <w:t xml:space="preserve">t </w:t>
      </w:r>
      <w:r w:rsidR="00406FB2">
        <w:rPr>
          <w:kern w:val="0"/>
        </w:rPr>
        <w:t>58</w:t>
      </w:r>
      <w:r>
        <w:rPr>
          <w:rFonts w:cstheme="minorHAnsi"/>
          <w:color w:val="00B0F0"/>
          <w:sz w:val="44"/>
          <w:szCs w:val="44"/>
        </w:rPr>
        <w:t xml:space="preserve"> </w:t>
      </w:r>
    </w:p>
    <w:p w14:paraId="7252ABC1" w14:textId="77777777" w:rsidR="00406FB2" w:rsidRDefault="00C25A71" w:rsidP="00406FB2">
      <w:pPr>
        <w:pStyle w:val="HO1"/>
      </w:pPr>
      <w:r>
        <w:t>Hand</w:t>
      </w:r>
      <w:r w:rsidR="00406FB2">
        <w:t>out 2:</w:t>
      </w:r>
    </w:p>
    <w:p w14:paraId="68940C70" w14:textId="77777777" w:rsidR="00C64888" w:rsidRPr="00406FB2" w:rsidRDefault="006E7A26" w:rsidP="00406FB2">
      <w:pPr>
        <w:pStyle w:val="HO1"/>
        <w:spacing w:before="0" w:after="240"/>
        <w:rPr>
          <w:caps/>
        </w:rPr>
      </w:pPr>
      <w:r w:rsidRPr="00406FB2">
        <w:rPr>
          <w:caps/>
        </w:rPr>
        <w:t>QUIZ</w:t>
      </w:r>
      <w:r w:rsidR="0005396F" w:rsidRPr="00406FB2">
        <w:rPr>
          <w:caps/>
        </w:rPr>
        <w:t xml:space="preserve"> </w:t>
      </w:r>
      <w:r w:rsidR="00502CF6" w:rsidRPr="00406FB2">
        <w:rPr>
          <w:caps/>
        </w:rPr>
        <w:t>on</w:t>
      </w:r>
      <w:r w:rsidR="0005396F" w:rsidRPr="00406FB2">
        <w:rPr>
          <w:caps/>
        </w:rPr>
        <w:t xml:space="preserve"> SOURCES OF </w:t>
      </w:r>
      <w:r w:rsidR="00C64888" w:rsidRPr="00406FB2">
        <w:rPr>
          <w:caps/>
        </w:rPr>
        <w:t>ASSESSMENT FACTORS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8"/>
        <w:gridCol w:w="324"/>
        <w:gridCol w:w="1682"/>
      </w:tblGrid>
      <w:tr w:rsidR="00C64888" w:rsidRPr="00A8072E" w14:paraId="266461C5" w14:textId="77777777" w:rsidTr="00403EDC">
        <w:trPr>
          <w:cantSplit/>
          <w:tblHeader/>
        </w:trPr>
        <w:tc>
          <w:tcPr>
            <w:tcW w:w="3892" w:type="pct"/>
            <w:shd w:val="clear" w:color="auto" w:fill="D9D9D9"/>
            <w:vAlign w:val="center"/>
          </w:tcPr>
          <w:p w14:paraId="12AE1250" w14:textId="77777777" w:rsidR="00C64888" w:rsidRPr="00A8072E" w:rsidRDefault="00C64888" w:rsidP="00DB75D1">
            <w:pPr>
              <w:spacing w:before="60" w:after="60"/>
              <w:rPr>
                <w:rFonts w:ascii="Arial" w:hAnsi="Arial" w:cs="Arial"/>
                <w:b/>
                <w:sz w:val="20"/>
                <w:szCs w:val="20"/>
              </w:rPr>
            </w:pPr>
            <w:r w:rsidRPr="00A8072E">
              <w:rPr>
                <w:rFonts w:ascii="Arial" w:hAnsi="Arial" w:cs="Arial"/>
                <w:b/>
                <w:sz w:val="20"/>
                <w:szCs w:val="20"/>
              </w:rPr>
              <w:t xml:space="preserve">Assessment </w:t>
            </w:r>
            <w:r w:rsidR="00DB75D1">
              <w:rPr>
                <w:rFonts w:ascii="Arial" w:hAnsi="Arial" w:cs="Arial"/>
                <w:b/>
                <w:sz w:val="20"/>
                <w:szCs w:val="20"/>
              </w:rPr>
              <w:t>a</w:t>
            </w:r>
            <w:r w:rsidRPr="00A8072E">
              <w:rPr>
                <w:rFonts w:ascii="Arial" w:hAnsi="Arial" w:cs="Arial"/>
                <w:b/>
                <w:sz w:val="20"/>
                <w:szCs w:val="20"/>
              </w:rPr>
              <w:t xml:space="preserve">ccording to the </w:t>
            </w:r>
            <w:r w:rsidR="00DB75D1">
              <w:rPr>
                <w:rFonts w:ascii="Arial" w:hAnsi="Arial" w:cs="Arial"/>
                <w:b/>
                <w:sz w:val="20"/>
                <w:szCs w:val="20"/>
              </w:rPr>
              <w:t>f</w:t>
            </w:r>
            <w:r w:rsidRPr="00A8072E">
              <w:rPr>
                <w:rFonts w:ascii="Arial" w:hAnsi="Arial" w:cs="Arial"/>
                <w:b/>
                <w:sz w:val="20"/>
                <w:szCs w:val="20"/>
              </w:rPr>
              <w:t>ollowing</w:t>
            </w:r>
          </w:p>
        </w:tc>
        <w:tc>
          <w:tcPr>
            <w:tcW w:w="179" w:type="pct"/>
            <w:tcBorders>
              <w:top w:val="nil"/>
              <w:bottom w:val="nil"/>
            </w:tcBorders>
            <w:shd w:val="clear" w:color="auto" w:fill="auto"/>
            <w:vAlign w:val="center"/>
          </w:tcPr>
          <w:p w14:paraId="3B013093" w14:textId="77777777" w:rsidR="00C64888" w:rsidRPr="00A8072E" w:rsidRDefault="00C64888" w:rsidP="00D36011">
            <w:pPr>
              <w:spacing w:before="60" w:after="60"/>
              <w:rPr>
                <w:rFonts w:ascii="Arial" w:hAnsi="Arial" w:cs="Arial"/>
                <w:sz w:val="20"/>
                <w:szCs w:val="20"/>
              </w:rPr>
            </w:pPr>
          </w:p>
        </w:tc>
        <w:tc>
          <w:tcPr>
            <w:tcW w:w="929" w:type="pct"/>
            <w:shd w:val="clear" w:color="auto" w:fill="D9D9D9"/>
            <w:vAlign w:val="center"/>
          </w:tcPr>
          <w:p w14:paraId="37B14301" w14:textId="77777777" w:rsidR="00C64888" w:rsidRPr="00A8072E" w:rsidRDefault="00C1694C" w:rsidP="00D36011">
            <w:pPr>
              <w:spacing w:before="60" w:after="60"/>
              <w:rPr>
                <w:rFonts w:ascii="Arial" w:hAnsi="Arial" w:cs="Arial"/>
                <w:b/>
                <w:sz w:val="20"/>
                <w:szCs w:val="20"/>
              </w:rPr>
            </w:pPr>
            <w:r>
              <w:rPr>
                <w:rFonts w:ascii="Arial" w:hAnsi="Arial" w:cs="Arial"/>
                <w:b/>
                <w:sz w:val="20"/>
                <w:szCs w:val="20"/>
              </w:rPr>
              <w:t>Sources</w:t>
            </w:r>
          </w:p>
        </w:tc>
      </w:tr>
      <w:tr w:rsidR="00C64888" w:rsidRPr="00A8072E" w14:paraId="5E71CAEB" w14:textId="77777777" w:rsidTr="00403EDC">
        <w:trPr>
          <w:cantSplit/>
        </w:trPr>
        <w:tc>
          <w:tcPr>
            <w:tcW w:w="3892" w:type="pct"/>
            <w:shd w:val="clear" w:color="auto" w:fill="auto"/>
            <w:vAlign w:val="center"/>
          </w:tcPr>
          <w:p w14:paraId="74078553" w14:textId="77777777" w:rsidR="00C64888" w:rsidRPr="00A8072E" w:rsidRDefault="00C64888" w:rsidP="00403EDC">
            <w:pPr>
              <w:spacing w:before="60" w:after="60" w:line="240" w:lineRule="auto"/>
              <w:rPr>
                <w:rFonts w:ascii="Arial" w:eastAsia="Calibri" w:hAnsi="Arial" w:cs="Arial"/>
                <w:vanish/>
                <w:sz w:val="20"/>
                <w:szCs w:val="20"/>
              </w:rPr>
            </w:pPr>
            <w:r w:rsidRPr="00A8072E">
              <w:rPr>
                <w:rFonts w:ascii="Arial" w:eastAsia="Calibri" w:hAnsi="Arial" w:cs="Arial"/>
                <w:sz w:val="20"/>
                <w:szCs w:val="20"/>
              </w:rPr>
              <w:t>One or more competent bodies for ICH safeguarding have been designated or established.</w:t>
            </w:r>
          </w:p>
        </w:tc>
        <w:tc>
          <w:tcPr>
            <w:tcW w:w="179" w:type="pct"/>
            <w:tcBorders>
              <w:top w:val="nil"/>
              <w:bottom w:val="nil"/>
            </w:tcBorders>
            <w:shd w:val="clear" w:color="auto" w:fill="auto"/>
            <w:vAlign w:val="center"/>
          </w:tcPr>
          <w:p w14:paraId="5F92BB49"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B27BC5C"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55C4936F" w14:textId="77777777" w:rsidTr="00403EDC">
        <w:trPr>
          <w:cantSplit/>
        </w:trPr>
        <w:tc>
          <w:tcPr>
            <w:tcW w:w="3892" w:type="pct"/>
            <w:shd w:val="clear" w:color="auto" w:fill="auto"/>
            <w:vAlign w:val="center"/>
          </w:tcPr>
          <w:p w14:paraId="4E828DBC" w14:textId="77777777" w:rsidR="00C64888" w:rsidRPr="00A8072E" w:rsidDel="004E7236" w:rsidRDefault="00C64888" w:rsidP="00403EDC">
            <w:pPr>
              <w:spacing w:before="60" w:after="60" w:line="240" w:lineRule="auto"/>
              <w:rPr>
                <w:rFonts w:ascii="Arial" w:eastAsia="Calibri" w:hAnsi="Arial" w:cs="Arial"/>
                <w:sz w:val="20"/>
                <w:szCs w:val="20"/>
              </w:rPr>
            </w:pPr>
            <w:r w:rsidRPr="00A8072E">
              <w:rPr>
                <w:rFonts w:ascii="Arial" w:eastAsia="Calibri" w:hAnsi="Arial" w:cs="Arial"/>
                <w:sz w:val="20"/>
                <w:szCs w:val="20"/>
              </w:rPr>
              <w:t>Community-based or NGO-based initiatives provide training in ICH safeguarding and management, on an inclusive basis.</w:t>
            </w:r>
          </w:p>
        </w:tc>
        <w:tc>
          <w:tcPr>
            <w:tcW w:w="179" w:type="pct"/>
            <w:tcBorders>
              <w:top w:val="nil"/>
              <w:bottom w:val="nil"/>
            </w:tcBorders>
            <w:shd w:val="clear" w:color="auto" w:fill="auto"/>
            <w:vAlign w:val="center"/>
          </w:tcPr>
          <w:p w14:paraId="0184428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49F84D91" w14:textId="77777777" w:rsidR="00C64888" w:rsidRPr="00A8072E" w:rsidRDefault="00C64888" w:rsidP="00D36011">
            <w:pPr>
              <w:spacing w:before="60" w:after="60"/>
              <w:rPr>
                <w:rFonts w:ascii="Arial" w:hAnsi="Arial" w:cs="Arial"/>
                <w:sz w:val="20"/>
                <w:szCs w:val="20"/>
              </w:rPr>
            </w:pPr>
          </w:p>
        </w:tc>
      </w:tr>
      <w:tr w:rsidR="00C64888" w:rsidRPr="00A8072E" w14:paraId="117D3896" w14:textId="77777777" w:rsidTr="00403EDC">
        <w:trPr>
          <w:cantSplit/>
        </w:trPr>
        <w:tc>
          <w:tcPr>
            <w:tcW w:w="3892" w:type="pct"/>
            <w:shd w:val="clear" w:color="auto" w:fill="auto"/>
            <w:vAlign w:val="center"/>
          </w:tcPr>
          <w:p w14:paraId="7158F3DF" w14:textId="77777777" w:rsidR="00C64888" w:rsidRPr="00A8072E" w:rsidRDefault="00C64888" w:rsidP="00403EDC">
            <w:pPr>
              <w:spacing w:before="60" w:after="60" w:line="240" w:lineRule="auto"/>
              <w:rPr>
                <w:rFonts w:ascii="Arial" w:eastAsia="Calibri" w:hAnsi="Arial" w:cs="Arial"/>
                <w:sz w:val="20"/>
                <w:szCs w:val="20"/>
              </w:rPr>
            </w:pPr>
            <w:r w:rsidRPr="00A8072E">
              <w:rPr>
                <w:rFonts w:ascii="Arial" w:eastAsia="Calibri" w:hAnsi="Arial" w:cs="Arial"/>
                <w:sz w:val="20"/>
                <w:szCs w:val="20"/>
              </w:rPr>
              <w:t>Modes and methods of transmitting ICH that are recognized by communities, groups and individuals are learned and/or strengthened, and included in educational programmes, both formal and non-formal.</w:t>
            </w:r>
          </w:p>
        </w:tc>
        <w:tc>
          <w:tcPr>
            <w:tcW w:w="179" w:type="pct"/>
            <w:tcBorders>
              <w:top w:val="nil"/>
              <w:bottom w:val="nil"/>
            </w:tcBorders>
            <w:shd w:val="clear" w:color="auto" w:fill="auto"/>
            <w:vAlign w:val="center"/>
          </w:tcPr>
          <w:p w14:paraId="7C909716"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201288B"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150381FB" w14:textId="77777777" w:rsidTr="00403EDC">
        <w:trPr>
          <w:cantSplit/>
        </w:trPr>
        <w:tc>
          <w:tcPr>
            <w:tcW w:w="3892" w:type="pct"/>
            <w:shd w:val="clear" w:color="auto" w:fill="auto"/>
            <w:vAlign w:val="center"/>
          </w:tcPr>
          <w:p w14:paraId="0BF08F0A" w14:textId="77777777" w:rsidR="00C64888" w:rsidRPr="00A8072E" w:rsidRDefault="00C64888" w:rsidP="00403EDC">
            <w:pPr>
              <w:spacing w:before="60" w:after="60" w:line="240" w:lineRule="auto"/>
              <w:rPr>
                <w:rFonts w:ascii="Arial" w:eastAsia="Calibri" w:hAnsi="Arial" w:cs="Arial"/>
                <w:sz w:val="20"/>
                <w:szCs w:val="20"/>
              </w:rPr>
            </w:pPr>
            <w:r w:rsidRPr="00A8072E">
              <w:rPr>
                <w:rFonts w:ascii="Arial" w:eastAsia="Calibri" w:hAnsi="Arial" w:cs="Arial"/>
                <w:sz w:val="20"/>
                <w:szCs w:val="20"/>
              </w:rPr>
              <w:t>ICH, in its diversity, is included in the content of relevant disciplines, as a contribution in its own right and/or as a means of explaining or demonstrating other subjects.</w:t>
            </w:r>
          </w:p>
        </w:tc>
        <w:tc>
          <w:tcPr>
            <w:tcW w:w="179" w:type="pct"/>
            <w:tcBorders>
              <w:top w:val="nil"/>
              <w:bottom w:val="nil"/>
            </w:tcBorders>
            <w:shd w:val="clear" w:color="auto" w:fill="auto"/>
            <w:vAlign w:val="center"/>
          </w:tcPr>
          <w:p w14:paraId="26AC1D1E"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33E5E15D"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3C6B6E72" w14:textId="77777777" w:rsidTr="00403EDC">
        <w:trPr>
          <w:cantSplit/>
        </w:trPr>
        <w:tc>
          <w:tcPr>
            <w:tcW w:w="3892" w:type="pct"/>
            <w:shd w:val="clear" w:color="auto" w:fill="auto"/>
            <w:vAlign w:val="center"/>
          </w:tcPr>
          <w:p w14:paraId="429E41D1" w14:textId="77777777" w:rsidR="00C64888" w:rsidRPr="00A8072E" w:rsidRDefault="00C64888" w:rsidP="00403EDC">
            <w:pPr>
              <w:spacing w:before="60" w:after="60" w:line="240" w:lineRule="auto"/>
              <w:rPr>
                <w:rFonts w:ascii="Arial" w:eastAsia="Calibri" w:hAnsi="Arial" w:cs="Arial"/>
                <w:sz w:val="20"/>
                <w:szCs w:val="20"/>
              </w:rPr>
            </w:pPr>
            <w:r w:rsidRPr="00A8072E">
              <w:rPr>
                <w:rFonts w:ascii="Arial" w:eastAsia="Calibri" w:hAnsi="Arial" w:cs="Arial"/>
                <w:sz w:val="20"/>
                <w:szCs w:val="20"/>
              </w:rPr>
              <w:t xml:space="preserve">Post-secondary education institutions offer curricula and degrees (in fields such as music, arts, crafts, </w:t>
            </w:r>
            <w:r>
              <w:rPr>
                <w:rFonts w:ascii="Arial" w:eastAsia="Calibri" w:hAnsi="Arial" w:cs="Arial"/>
                <w:sz w:val="20"/>
                <w:szCs w:val="20"/>
              </w:rPr>
              <w:t>technical</w:t>
            </w:r>
            <w:r w:rsidRPr="009E21D0">
              <w:rPr>
                <w:rStyle w:val="Emphasis"/>
                <w:rFonts w:ascii="Arial" w:hAnsi="Arial" w:cs="Arial"/>
                <w:bCs/>
                <w:sz w:val="20"/>
                <w:szCs w:val="20"/>
                <w:shd w:val="clear" w:color="auto" w:fill="FFFFFF"/>
                <w:lang w:val="en-US"/>
              </w:rPr>
              <w:t xml:space="preserve"> and vocational education and training</w:t>
            </w:r>
            <w:r w:rsidRPr="00902D77">
              <w:rPr>
                <w:rFonts w:ascii="Arial" w:eastAsia="Calibri" w:hAnsi="Arial" w:cs="Arial"/>
                <w:sz w:val="20"/>
                <w:szCs w:val="20"/>
              </w:rPr>
              <w:t xml:space="preserve">, </w:t>
            </w:r>
            <w:r w:rsidRPr="00C840D3">
              <w:rPr>
                <w:rFonts w:ascii="Arial" w:eastAsia="Calibri" w:hAnsi="Arial" w:cs="Arial"/>
                <w:sz w:val="20"/>
                <w:szCs w:val="20"/>
              </w:rPr>
              <w:t>etc.) that strengthen</w:t>
            </w:r>
            <w:r w:rsidRPr="00A8072E">
              <w:rPr>
                <w:rFonts w:ascii="Arial" w:eastAsia="Calibri" w:hAnsi="Arial" w:cs="Arial"/>
                <w:sz w:val="20"/>
                <w:szCs w:val="20"/>
              </w:rPr>
              <w:t xml:space="preserve"> the practice and transmission of ICH.</w:t>
            </w:r>
          </w:p>
        </w:tc>
        <w:tc>
          <w:tcPr>
            <w:tcW w:w="179" w:type="pct"/>
            <w:tcBorders>
              <w:top w:val="nil"/>
              <w:bottom w:val="nil"/>
            </w:tcBorders>
            <w:shd w:val="clear" w:color="auto" w:fill="auto"/>
            <w:vAlign w:val="center"/>
          </w:tcPr>
          <w:p w14:paraId="4C4FBB47"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9D07028" w14:textId="77777777" w:rsidR="00C64888" w:rsidRPr="00A8072E" w:rsidRDefault="00C64888" w:rsidP="00D36011">
            <w:pPr>
              <w:spacing w:before="60" w:after="60"/>
              <w:rPr>
                <w:rFonts w:ascii="Arial" w:hAnsi="Arial" w:cs="Arial"/>
                <w:sz w:val="20"/>
                <w:szCs w:val="20"/>
              </w:rPr>
            </w:pPr>
          </w:p>
        </w:tc>
      </w:tr>
      <w:tr w:rsidR="00C64888" w:rsidRPr="00A8072E" w14:paraId="65F9D30C" w14:textId="77777777" w:rsidTr="00403EDC">
        <w:trPr>
          <w:cantSplit/>
        </w:trPr>
        <w:tc>
          <w:tcPr>
            <w:tcW w:w="3892" w:type="pct"/>
            <w:shd w:val="clear" w:color="auto" w:fill="auto"/>
            <w:vAlign w:val="center"/>
          </w:tcPr>
          <w:p w14:paraId="0078E2EF" w14:textId="77777777" w:rsidR="00C64888" w:rsidRPr="00A8072E" w:rsidRDefault="00403EDC" w:rsidP="00403EDC">
            <w:pPr>
              <w:spacing w:before="60" w:after="60" w:line="240" w:lineRule="auto"/>
              <w:rPr>
                <w:rFonts w:ascii="Arial" w:eastAsia="Calibri" w:hAnsi="Arial" w:cs="Arial"/>
                <w:vanish/>
                <w:sz w:val="20"/>
                <w:szCs w:val="20"/>
              </w:rPr>
            </w:pPr>
            <w:r>
              <w:rPr>
                <w:rFonts w:ascii="Arial" w:eastAsia="Calibri" w:hAnsi="Arial" w:cs="Arial"/>
                <w:sz w:val="20"/>
                <w:szCs w:val="20"/>
              </w:rPr>
              <w:t>O</w:t>
            </w:r>
            <w:r w:rsidR="00C64888" w:rsidRPr="00A8072E">
              <w:rPr>
                <w:rFonts w:ascii="Arial" w:eastAsia="Calibri" w:hAnsi="Arial" w:cs="Arial"/>
                <w:sz w:val="20"/>
                <w:szCs w:val="20"/>
              </w:rPr>
              <w:t>ne or more inventorying systems oriented towards safeguarding and reflecting the diversity of ICH have been established or revised since ratification.</w:t>
            </w:r>
          </w:p>
        </w:tc>
        <w:tc>
          <w:tcPr>
            <w:tcW w:w="179" w:type="pct"/>
            <w:tcBorders>
              <w:top w:val="nil"/>
              <w:bottom w:val="nil"/>
            </w:tcBorders>
            <w:shd w:val="clear" w:color="auto" w:fill="auto"/>
            <w:vAlign w:val="center"/>
          </w:tcPr>
          <w:p w14:paraId="38A6A44C"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6BF9B74C"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21ED71FC" w14:textId="77777777" w:rsidTr="00403EDC">
        <w:trPr>
          <w:cantSplit/>
        </w:trPr>
        <w:tc>
          <w:tcPr>
            <w:tcW w:w="3892" w:type="pct"/>
            <w:shd w:val="clear" w:color="auto" w:fill="auto"/>
            <w:vAlign w:val="center"/>
          </w:tcPr>
          <w:p w14:paraId="3C2257B0" w14:textId="77777777" w:rsidR="00C64888" w:rsidRPr="00A8072E" w:rsidRDefault="00C64888" w:rsidP="00403EDC">
            <w:pPr>
              <w:spacing w:before="60" w:after="60" w:line="240" w:lineRule="auto"/>
              <w:rPr>
                <w:rFonts w:ascii="Arial" w:eastAsia="Calibri" w:hAnsi="Arial" w:cs="Arial"/>
                <w:sz w:val="20"/>
                <w:szCs w:val="20"/>
              </w:rPr>
            </w:pPr>
            <w:r w:rsidRPr="00A8072E">
              <w:rPr>
                <w:rFonts w:ascii="Arial" w:eastAsia="Calibri" w:hAnsi="Arial" w:cs="Arial"/>
                <w:sz w:val="20"/>
                <w:szCs w:val="20"/>
              </w:rPr>
              <w:t>Specialized inventories and/or inventories of various scopes reflect diversity and contribute to safeguarding.</w:t>
            </w:r>
          </w:p>
        </w:tc>
        <w:tc>
          <w:tcPr>
            <w:tcW w:w="179" w:type="pct"/>
            <w:tcBorders>
              <w:top w:val="nil"/>
              <w:bottom w:val="nil"/>
            </w:tcBorders>
            <w:shd w:val="clear" w:color="auto" w:fill="auto"/>
            <w:vAlign w:val="center"/>
          </w:tcPr>
          <w:p w14:paraId="0C8ADD19"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4650B99C" w14:textId="77777777" w:rsidR="00C64888" w:rsidRPr="00A8072E" w:rsidRDefault="00C64888" w:rsidP="00D36011">
            <w:pPr>
              <w:spacing w:before="60" w:after="60"/>
              <w:rPr>
                <w:rFonts w:ascii="Arial" w:hAnsi="Arial" w:cs="Arial"/>
                <w:sz w:val="20"/>
                <w:szCs w:val="20"/>
              </w:rPr>
            </w:pPr>
          </w:p>
        </w:tc>
      </w:tr>
      <w:tr w:rsidR="00C64888" w:rsidRPr="00C608A0" w14:paraId="2FA5D0D3" w14:textId="77777777" w:rsidTr="00403EDC">
        <w:trPr>
          <w:cantSplit/>
        </w:trPr>
        <w:tc>
          <w:tcPr>
            <w:tcW w:w="3892" w:type="pct"/>
            <w:shd w:val="clear" w:color="auto" w:fill="auto"/>
            <w:vAlign w:val="center"/>
          </w:tcPr>
          <w:p w14:paraId="2D3AA1FF" w14:textId="77777777" w:rsidR="00C64888" w:rsidRPr="00A8072E" w:rsidRDefault="00C64888" w:rsidP="00AF2134">
            <w:pPr>
              <w:spacing w:before="60" w:after="60" w:line="240" w:lineRule="auto"/>
              <w:rPr>
                <w:rFonts w:ascii="Arial" w:eastAsia="Calibri" w:hAnsi="Arial" w:cs="Arial"/>
                <w:vanish/>
                <w:sz w:val="20"/>
                <w:szCs w:val="20"/>
              </w:rPr>
            </w:pPr>
            <w:r w:rsidRPr="009E21D0">
              <w:rPr>
                <w:rFonts w:ascii="Arial" w:eastAsia="Calibri" w:hAnsi="Arial" w:cs="Arial"/>
                <w:sz w:val="20"/>
                <w:szCs w:val="20"/>
              </w:rPr>
              <w:t>Communities, groups and relevant NGOs participate inclusively in inventorying which informs and strengthens their safeguarding efforts.</w:t>
            </w:r>
          </w:p>
        </w:tc>
        <w:tc>
          <w:tcPr>
            <w:tcW w:w="179" w:type="pct"/>
            <w:tcBorders>
              <w:top w:val="nil"/>
              <w:bottom w:val="nil"/>
            </w:tcBorders>
            <w:shd w:val="clear" w:color="auto" w:fill="auto"/>
            <w:vAlign w:val="center"/>
          </w:tcPr>
          <w:p w14:paraId="3D65781F"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78BE17D9"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5FF90D23" w14:textId="77777777" w:rsidTr="00403EDC">
        <w:trPr>
          <w:cantSplit/>
        </w:trPr>
        <w:tc>
          <w:tcPr>
            <w:tcW w:w="3892" w:type="pct"/>
            <w:shd w:val="clear" w:color="auto" w:fill="auto"/>
            <w:vAlign w:val="center"/>
          </w:tcPr>
          <w:p w14:paraId="07490533"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t>Financial and other forms of support foster research, scientific, technical and artistic studies, documentation and archiving, oriented towards safeguarding and carried out in conformity with relevant ethical principles.</w:t>
            </w:r>
          </w:p>
        </w:tc>
        <w:tc>
          <w:tcPr>
            <w:tcW w:w="179" w:type="pct"/>
            <w:tcBorders>
              <w:top w:val="nil"/>
              <w:bottom w:val="nil"/>
            </w:tcBorders>
            <w:shd w:val="clear" w:color="auto" w:fill="auto"/>
            <w:vAlign w:val="center"/>
          </w:tcPr>
          <w:p w14:paraId="1759212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1590A9D"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02E0C8DF" w14:textId="77777777" w:rsidTr="00403EDC">
        <w:trPr>
          <w:cantSplit/>
        </w:trPr>
        <w:tc>
          <w:tcPr>
            <w:tcW w:w="3892" w:type="pct"/>
            <w:shd w:val="clear" w:color="auto" w:fill="auto"/>
            <w:vAlign w:val="center"/>
          </w:tcPr>
          <w:p w14:paraId="7079EB54"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t>Documentation and research findings are accessible to communities, groups and individuals, while respecting customary practices governing access to specific aspects of ICH.</w:t>
            </w:r>
          </w:p>
        </w:tc>
        <w:tc>
          <w:tcPr>
            <w:tcW w:w="179" w:type="pct"/>
            <w:tcBorders>
              <w:top w:val="nil"/>
              <w:bottom w:val="nil"/>
            </w:tcBorders>
            <w:shd w:val="clear" w:color="auto" w:fill="auto"/>
            <w:vAlign w:val="center"/>
          </w:tcPr>
          <w:p w14:paraId="1045D9C6"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62C035E7"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21E82FB4" w14:textId="77777777" w:rsidTr="00403EDC">
        <w:trPr>
          <w:cantSplit/>
        </w:trPr>
        <w:tc>
          <w:tcPr>
            <w:tcW w:w="3892" w:type="pct"/>
            <w:shd w:val="clear" w:color="auto" w:fill="auto"/>
            <w:vAlign w:val="center"/>
          </w:tcPr>
          <w:p w14:paraId="0486C059"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t>Cultural policies and/or legal and administrative measures integrating ICH and its safeguarding, and reflecting its diversity, have been established or revised and are being implemented.</w:t>
            </w:r>
          </w:p>
        </w:tc>
        <w:tc>
          <w:tcPr>
            <w:tcW w:w="179" w:type="pct"/>
            <w:tcBorders>
              <w:top w:val="nil"/>
              <w:bottom w:val="nil"/>
            </w:tcBorders>
            <w:shd w:val="clear" w:color="auto" w:fill="auto"/>
            <w:vAlign w:val="center"/>
          </w:tcPr>
          <w:p w14:paraId="408DC5B0"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9E5D9FB"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0FD2C845" w14:textId="77777777" w:rsidTr="00403EDC">
        <w:trPr>
          <w:cantSplit/>
        </w:trPr>
        <w:tc>
          <w:tcPr>
            <w:tcW w:w="3892" w:type="pct"/>
            <w:shd w:val="clear" w:color="auto" w:fill="auto"/>
            <w:vAlign w:val="center"/>
          </w:tcPr>
          <w:p w14:paraId="637AC4BC" w14:textId="77777777" w:rsidR="00C64888" w:rsidRPr="00A8072E" w:rsidRDefault="00C64888" w:rsidP="00AF2134">
            <w:pPr>
              <w:spacing w:before="60" w:after="60" w:line="240" w:lineRule="auto"/>
              <w:rPr>
                <w:rFonts w:ascii="Arial" w:eastAsia="Calibri" w:hAnsi="Arial" w:cs="Arial"/>
                <w:sz w:val="20"/>
                <w:szCs w:val="20"/>
              </w:rPr>
            </w:pPr>
            <w:r w:rsidRPr="00A8072E">
              <w:rPr>
                <w:rFonts w:ascii="Arial" w:eastAsia="Calibri" w:hAnsi="Arial" w:cs="Arial"/>
                <w:sz w:val="20"/>
                <w:szCs w:val="20"/>
              </w:rPr>
              <w:t>Cultural policies and/or legal and administrative measures integrating ICH and its safeguarding are informed by the active participation of communities, groups and individuals</w:t>
            </w:r>
            <w:r>
              <w:rPr>
                <w:rFonts w:ascii="Arial" w:eastAsia="Calibri" w:hAnsi="Arial" w:cs="Arial"/>
                <w:sz w:val="20"/>
                <w:szCs w:val="20"/>
              </w:rPr>
              <w:t>.</w:t>
            </w:r>
          </w:p>
        </w:tc>
        <w:tc>
          <w:tcPr>
            <w:tcW w:w="179" w:type="pct"/>
            <w:tcBorders>
              <w:top w:val="nil"/>
              <w:bottom w:val="nil"/>
            </w:tcBorders>
            <w:shd w:val="clear" w:color="auto" w:fill="auto"/>
            <w:vAlign w:val="center"/>
          </w:tcPr>
          <w:p w14:paraId="77DA50E9"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D5EFB13" w14:textId="77777777" w:rsidR="00C64888" w:rsidRPr="00A8072E" w:rsidRDefault="00C64888" w:rsidP="00D36011">
            <w:pPr>
              <w:spacing w:before="60" w:after="60"/>
              <w:rPr>
                <w:rFonts w:ascii="Arial" w:hAnsi="Arial" w:cs="Arial"/>
                <w:sz w:val="20"/>
                <w:szCs w:val="20"/>
              </w:rPr>
            </w:pPr>
          </w:p>
        </w:tc>
      </w:tr>
      <w:tr w:rsidR="00C64888" w:rsidRPr="00A8072E" w14:paraId="7D74035A" w14:textId="77777777" w:rsidTr="00403EDC">
        <w:trPr>
          <w:cantSplit/>
          <w:trHeight w:val="675"/>
        </w:trPr>
        <w:tc>
          <w:tcPr>
            <w:tcW w:w="3892" w:type="pct"/>
            <w:shd w:val="clear" w:color="auto" w:fill="auto"/>
            <w:vAlign w:val="center"/>
          </w:tcPr>
          <w:p w14:paraId="2459B3AB"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t>The Ethical Principles for Safeguarding Intangible Cultural Heritage are respected in development plans, policies and programmes.</w:t>
            </w:r>
          </w:p>
        </w:tc>
        <w:tc>
          <w:tcPr>
            <w:tcW w:w="179" w:type="pct"/>
            <w:tcBorders>
              <w:top w:val="nil"/>
              <w:bottom w:val="nil"/>
            </w:tcBorders>
            <w:shd w:val="clear" w:color="auto" w:fill="auto"/>
            <w:vAlign w:val="center"/>
          </w:tcPr>
          <w:p w14:paraId="204E6E3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7BE78F5E"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636293BF" w14:textId="77777777" w:rsidTr="00403EDC">
        <w:trPr>
          <w:cantSplit/>
        </w:trPr>
        <w:tc>
          <w:tcPr>
            <w:tcW w:w="3892" w:type="pct"/>
            <w:shd w:val="clear" w:color="auto" w:fill="auto"/>
            <w:vAlign w:val="center"/>
          </w:tcPr>
          <w:p w14:paraId="66B19DC9"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t>Forms of legal protection, such as intellectual property rights and privacy rights, are provided to ICH practitioners, bearers and their communities when their ICH is exploited by others for commercial or other purposes.</w:t>
            </w:r>
          </w:p>
        </w:tc>
        <w:tc>
          <w:tcPr>
            <w:tcW w:w="179" w:type="pct"/>
            <w:tcBorders>
              <w:top w:val="nil"/>
              <w:bottom w:val="nil"/>
            </w:tcBorders>
            <w:shd w:val="clear" w:color="auto" w:fill="auto"/>
            <w:vAlign w:val="center"/>
          </w:tcPr>
          <w:p w14:paraId="46FF1F3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445DF3E6"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0B4F3348" w14:textId="77777777" w:rsidTr="00403EDC">
        <w:trPr>
          <w:cantSplit/>
        </w:trPr>
        <w:tc>
          <w:tcPr>
            <w:tcW w:w="3892" w:type="pct"/>
            <w:shd w:val="clear" w:color="auto" w:fill="auto"/>
            <w:vAlign w:val="center"/>
          </w:tcPr>
          <w:p w14:paraId="57CAF461" w14:textId="77777777" w:rsidR="00C64888" w:rsidRPr="00A8072E" w:rsidRDefault="00C64888" w:rsidP="00AF2134">
            <w:pPr>
              <w:spacing w:before="60" w:after="60" w:line="240" w:lineRule="auto"/>
              <w:rPr>
                <w:rFonts w:ascii="Arial" w:eastAsia="Calibri" w:hAnsi="Arial" w:cs="Arial"/>
                <w:vanish/>
                <w:sz w:val="20"/>
                <w:szCs w:val="20"/>
              </w:rPr>
            </w:pPr>
            <w:r w:rsidRPr="00A8072E">
              <w:rPr>
                <w:rFonts w:ascii="Arial" w:eastAsia="Calibri" w:hAnsi="Arial" w:cs="Arial"/>
                <w:sz w:val="20"/>
                <w:szCs w:val="20"/>
              </w:rPr>
              <w:lastRenderedPageBreak/>
              <w:t>Communities, groups and individuals use their ICH for their well-being, including in the context of sustainable development programmes.</w:t>
            </w:r>
          </w:p>
        </w:tc>
        <w:tc>
          <w:tcPr>
            <w:tcW w:w="179" w:type="pct"/>
            <w:tcBorders>
              <w:top w:val="nil"/>
              <w:bottom w:val="nil"/>
            </w:tcBorders>
            <w:shd w:val="clear" w:color="auto" w:fill="auto"/>
            <w:vAlign w:val="center"/>
          </w:tcPr>
          <w:p w14:paraId="200E1FF5"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8ECB100" w14:textId="77777777" w:rsidR="00C64888" w:rsidRPr="00A8072E" w:rsidRDefault="00C64888" w:rsidP="00D36011">
            <w:pPr>
              <w:spacing w:before="60" w:after="60"/>
              <w:rPr>
                <w:rFonts w:ascii="Arial" w:hAnsi="Arial" w:cs="Arial"/>
                <w:sz w:val="20"/>
                <w:szCs w:val="20"/>
              </w:rPr>
            </w:pPr>
          </w:p>
        </w:tc>
      </w:tr>
      <w:tr w:rsidR="00C64888" w:rsidRPr="0081687D" w14:paraId="6F420C59" w14:textId="77777777" w:rsidTr="00403EDC">
        <w:trPr>
          <w:cantSplit/>
        </w:trPr>
        <w:tc>
          <w:tcPr>
            <w:tcW w:w="3892" w:type="pct"/>
            <w:shd w:val="clear" w:color="auto" w:fill="auto"/>
            <w:vAlign w:val="center"/>
          </w:tcPr>
          <w:p w14:paraId="786F024E" w14:textId="77777777" w:rsidR="00C64888" w:rsidRPr="00A8072E" w:rsidRDefault="00C64888" w:rsidP="00AF2134">
            <w:pPr>
              <w:spacing w:before="60" w:after="60" w:line="240" w:lineRule="auto"/>
              <w:rPr>
                <w:rFonts w:ascii="Arial" w:eastAsia="Calibri" w:hAnsi="Arial" w:cs="Arial"/>
                <w:sz w:val="20"/>
                <w:szCs w:val="20"/>
              </w:rPr>
            </w:pPr>
            <w:r w:rsidRPr="00A8072E">
              <w:rPr>
                <w:rFonts w:ascii="Arial" w:eastAsia="Calibri" w:hAnsi="Arial" w:cs="Arial"/>
                <w:sz w:val="20"/>
                <w:szCs w:val="20"/>
              </w:rPr>
              <w:t>Self-respect and mutual respect are fostered among communities, groups and individuals through safeguarding plans and programmes for ICH in general and/or for specific elements of ICH, whether or not inscribed.</w:t>
            </w:r>
          </w:p>
        </w:tc>
        <w:tc>
          <w:tcPr>
            <w:tcW w:w="179" w:type="pct"/>
            <w:tcBorders>
              <w:top w:val="nil"/>
              <w:bottom w:val="nil"/>
            </w:tcBorders>
            <w:shd w:val="clear" w:color="auto" w:fill="auto"/>
            <w:vAlign w:val="center"/>
          </w:tcPr>
          <w:p w14:paraId="55B87088"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FC1F789" w14:textId="77777777" w:rsidR="00C64888" w:rsidRPr="00CB05F5" w:rsidRDefault="00B5706D" w:rsidP="00D36011">
            <w:pPr>
              <w:spacing w:before="60" w:after="60"/>
              <w:rPr>
                <w:rFonts w:ascii="Arial" w:hAnsi="Arial" w:cs="Arial"/>
                <w:sz w:val="20"/>
                <w:szCs w:val="20"/>
              </w:rPr>
            </w:pPr>
            <w:r w:rsidRPr="00CB05F5">
              <w:rPr>
                <w:rFonts w:ascii="Arial" w:hAnsi="Arial" w:cs="Arial"/>
                <w:sz w:val="20"/>
                <w:szCs w:val="20"/>
              </w:rPr>
              <w:t xml:space="preserve"> </w:t>
            </w:r>
          </w:p>
        </w:tc>
      </w:tr>
      <w:tr w:rsidR="00C64888" w:rsidRPr="00C608A0" w14:paraId="604048E0" w14:textId="77777777" w:rsidTr="00403EDC">
        <w:trPr>
          <w:cantSplit/>
        </w:trPr>
        <w:tc>
          <w:tcPr>
            <w:tcW w:w="3892" w:type="pct"/>
            <w:shd w:val="clear" w:color="auto" w:fill="auto"/>
            <w:vAlign w:val="center"/>
          </w:tcPr>
          <w:p w14:paraId="53E09A68" w14:textId="77777777" w:rsidR="00C64888" w:rsidRPr="00A8072E" w:rsidRDefault="00C64888" w:rsidP="008F72A5">
            <w:pPr>
              <w:spacing w:before="60" w:after="60" w:line="240" w:lineRule="auto"/>
              <w:rPr>
                <w:rFonts w:ascii="Arial" w:eastAsia="Calibri" w:hAnsi="Arial" w:cs="Arial"/>
                <w:sz w:val="20"/>
                <w:szCs w:val="20"/>
              </w:rPr>
            </w:pPr>
            <w:r w:rsidRPr="00A8072E">
              <w:rPr>
                <w:rFonts w:ascii="Arial" w:eastAsia="Calibri" w:hAnsi="Arial" w:cs="Arial"/>
                <w:sz w:val="20"/>
                <w:szCs w:val="20"/>
              </w:rPr>
              <w:t>Youth are actively engaged in awareness</w:t>
            </w:r>
            <w:r>
              <w:rPr>
                <w:rFonts w:ascii="Arial" w:eastAsia="Calibri" w:hAnsi="Arial" w:cs="Arial"/>
                <w:sz w:val="20"/>
                <w:szCs w:val="20"/>
              </w:rPr>
              <w:t>-</w:t>
            </w:r>
            <w:r w:rsidRPr="00A8072E">
              <w:rPr>
                <w:rFonts w:ascii="Arial" w:eastAsia="Calibri" w:hAnsi="Arial" w:cs="Arial"/>
                <w:sz w:val="20"/>
                <w:szCs w:val="20"/>
              </w:rPr>
              <w:t>raising activities, including</w:t>
            </w:r>
            <w:r w:rsidRPr="00A8072E">
              <w:rPr>
                <w:rFonts w:ascii="Arial" w:eastAsia="Calibri" w:hAnsi="Arial" w:cs="Arial"/>
              </w:rPr>
              <w:t xml:space="preserve"> </w:t>
            </w:r>
            <w:r w:rsidRPr="00A8072E">
              <w:rPr>
                <w:rFonts w:ascii="Arial" w:eastAsia="Calibri" w:hAnsi="Arial" w:cs="Arial"/>
                <w:sz w:val="20"/>
                <w:szCs w:val="20"/>
              </w:rPr>
              <w:t>collecting and disseminating information about the intangible cultural heritage of their communities or groups.</w:t>
            </w:r>
          </w:p>
        </w:tc>
        <w:tc>
          <w:tcPr>
            <w:tcW w:w="179" w:type="pct"/>
            <w:tcBorders>
              <w:top w:val="nil"/>
              <w:bottom w:val="nil"/>
            </w:tcBorders>
            <w:shd w:val="clear" w:color="auto" w:fill="auto"/>
            <w:vAlign w:val="center"/>
          </w:tcPr>
          <w:p w14:paraId="6A906D28"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41B88E85"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5954588F" w14:textId="77777777" w:rsidTr="00403EDC">
        <w:trPr>
          <w:cantSplit/>
        </w:trPr>
        <w:tc>
          <w:tcPr>
            <w:tcW w:w="3892" w:type="pct"/>
            <w:shd w:val="clear" w:color="auto" w:fill="auto"/>
            <w:vAlign w:val="center"/>
          </w:tcPr>
          <w:p w14:paraId="1D389AEF" w14:textId="77777777" w:rsidR="00C64888" w:rsidRPr="00A8072E" w:rsidRDefault="00C64888" w:rsidP="008F72A5">
            <w:pPr>
              <w:spacing w:before="60" w:after="60" w:line="240" w:lineRule="auto"/>
              <w:rPr>
                <w:rFonts w:ascii="Arial" w:eastAsia="Calibri" w:hAnsi="Arial" w:cs="Arial"/>
                <w:sz w:val="20"/>
                <w:szCs w:val="20"/>
              </w:rPr>
            </w:pPr>
            <w:r w:rsidRPr="00A8072E">
              <w:rPr>
                <w:rFonts w:ascii="Arial" w:eastAsia="Calibri" w:hAnsi="Arial" w:cs="Arial"/>
                <w:sz w:val="20"/>
                <w:szCs w:val="20"/>
              </w:rPr>
              <w:t>Media coverage of intangible cultural heritage and its safeguarding is in line with the concepts and terminology of the Convention</w:t>
            </w:r>
            <w:r>
              <w:rPr>
                <w:rFonts w:ascii="Arial" w:eastAsia="Calibri" w:hAnsi="Arial" w:cs="Arial"/>
                <w:sz w:val="20"/>
                <w:szCs w:val="20"/>
              </w:rPr>
              <w:t>.</w:t>
            </w:r>
            <w:r w:rsidRPr="00A8072E">
              <w:rPr>
                <w:rFonts w:ascii="Arial" w:eastAsia="Calibri" w:hAnsi="Arial" w:cs="Arial"/>
                <w:sz w:val="20"/>
                <w:szCs w:val="20"/>
              </w:rPr>
              <w:t xml:space="preserve"> </w:t>
            </w:r>
          </w:p>
        </w:tc>
        <w:tc>
          <w:tcPr>
            <w:tcW w:w="179" w:type="pct"/>
            <w:tcBorders>
              <w:top w:val="nil"/>
              <w:bottom w:val="nil"/>
            </w:tcBorders>
            <w:shd w:val="clear" w:color="auto" w:fill="auto"/>
            <w:vAlign w:val="center"/>
          </w:tcPr>
          <w:p w14:paraId="1F9C8956"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34D58CB" w14:textId="77777777" w:rsidR="00C64888" w:rsidRPr="00A8072E" w:rsidRDefault="00C64888" w:rsidP="00D36011">
            <w:pPr>
              <w:spacing w:before="60" w:after="60"/>
              <w:rPr>
                <w:rFonts w:ascii="Arial" w:hAnsi="Arial" w:cs="Arial"/>
                <w:sz w:val="20"/>
                <w:szCs w:val="20"/>
              </w:rPr>
            </w:pPr>
          </w:p>
        </w:tc>
      </w:tr>
      <w:tr w:rsidR="00C64888" w:rsidRPr="00A8072E" w14:paraId="52D0CCFF" w14:textId="77777777" w:rsidTr="00403EDC">
        <w:trPr>
          <w:cantSplit/>
        </w:trPr>
        <w:tc>
          <w:tcPr>
            <w:tcW w:w="3892" w:type="pct"/>
            <w:shd w:val="clear" w:color="auto" w:fill="auto"/>
            <w:vAlign w:val="center"/>
          </w:tcPr>
          <w:p w14:paraId="13D6469C" w14:textId="77777777" w:rsidR="00C64888" w:rsidRPr="00A8072E" w:rsidRDefault="00C64888" w:rsidP="008F72A5">
            <w:pPr>
              <w:spacing w:before="60" w:after="60" w:line="240" w:lineRule="auto"/>
              <w:rPr>
                <w:rFonts w:ascii="Arial" w:eastAsia="Calibri" w:hAnsi="Arial" w:cs="Arial"/>
                <w:vanish/>
                <w:sz w:val="20"/>
                <w:szCs w:val="20"/>
              </w:rPr>
            </w:pPr>
            <w:r w:rsidRPr="00A8072E">
              <w:rPr>
                <w:rFonts w:ascii="Arial" w:eastAsia="Calibri" w:hAnsi="Arial" w:cs="Arial"/>
                <w:sz w:val="20"/>
                <w:szCs w:val="20"/>
              </w:rPr>
              <w:t>Communities, groups and individuals participate, on an inclusive basis and to the widest possible extent, in the safeguarding of ICH in general and of specific elements of ICH, whether or not inscribed.</w:t>
            </w:r>
          </w:p>
        </w:tc>
        <w:tc>
          <w:tcPr>
            <w:tcW w:w="179" w:type="pct"/>
            <w:tcBorders>
              <w:top w:val="nil"/>
              <w:bottom w:val="nil"/>
            </w:tcBorders>
            <w:shd w:val="clear" w:color="auto" w:fill="auto"/>
            <w:vAlign w:val="center"/>
          </w:tcPr>
          <w:p w14:paraId="1E5F8E4A"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2E26886"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05C536FC" w14:textId="77777777" w:rsidTr="00403EDC">
        <w:trPr>
          <w:cantSplit/>
          <w:trHeight w:val="710"/>
        </w:trPr>
        <w:tc>
          <w:tcPr>
            <w:tcW w:w="3892" w:type="pct"/>
            <w:shd w:val="clear" w:color="auto" w:fill="auto"/>
            <w:vAlign w:val="center"/>
          </w:tcPr>
          <w:p w14:paraId="2F553731" w14:textId="77777777" w:rsidR="00C64888" w:rsidRPr="00A8072E" w:rsidRDefault="00C64888" w:rsidP="008F72A5">
            <w:pPr>
              <w:spacing w:before="60" w:after="60" w:line="240" w:lineRule="auto"/>
              <w:rPr>
                <w:rFonts w:ascii="Arial" w:eastAsia="Calibri" w:hAnsi="Arial" w:cs="Arial"/>
                <w:vanish/>
                <w:sz w:val="20"/>
                <w:szCs w:val="20"/>
              </w:rPr>
            </w:pPr>
            <w:r w:rsidRPr="00A8072E">
              <w:rPr>
                <w:rFonts w:ascii="Arial" w:eastAsia="Calibri" w:hAnsi="Arial" w:cs="Arial"/>
                <w:sz w:val="20"/>
                <w:szCs w:val="20"/>
              </w:rPr>
              <w:t>Number of NGOs accredited to provide advisory services, their geographic distribution and their representation of different domains.</w:t>
            </w:r>
          </w:p>
        </w:tc>
        <w:tc>
          <w:tcPr>
            <w:tcW w:w="179" w:type="pct"/>
            <w:tcBorders>
              <w:top w:val="nil"/>
              <w:bottom w:val="nil"/>
            </w:tcBorders>
            <w:shd w:val="clear" w:color="auto" w:fill="auto"/>
            <w:vAlign w:val="center"/>
          </w:tcPr>
          <w:p w14:paraId="7333237F"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BE5B108"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396AF14A" w14:textId="77777777" w:rsidTr="00403EDC">
        <w:trPr>
          <w:cantSplit/>
        </w:trPr>
        <w:tc>
          <w:tcPr>
            <w:tcW w:w="3892" w:type="pct"/>
            <w:shd w:val="clear" w:color="auto" w:fill="auto"/>
            <w:vAlign w:val="center"/>
          </w:tcPr>
          <w:p w14:paraId="79DB0210" w14:textId="77777777" w:rsidR="00C64888" w:rsidRPr="00A8072E" w:rsidRDefault="00C64888" w:rsidP="008F72A5">
            <w:pPr>
              <w:spacing w:before="60" w:after="60" w:line="240" w:lineRule="auto"/>
              <w:rPr>
                <w:rFonts w:ascii="Arial" w:eastAsia="Calibri" w:hAnsi="Arial" w:cs="Arial"/>
                <w:vanish/>
                <w:sz w:val="20"/>
                <w:szCs w:val="20"/>
              </w:rPr>
            </w:pPr>
            <w:r w:rsidRPr="00A8072E">
              <w:rPr>
                <w:rFonts w:ascii="Arial" w:eastAsia="Calibri" w:hAnsi="Arial" w:cs="Arial"/>
                <w:sz w:val="20"/>
                <w:szCs w:val="20"/>
              </w:rPr>
              <w:t xml:space="preserve">Bilateral, multilateral, regional or international cooperation is undertaken to implement safeguarding measures for ICH in general </w:t>
            </w:r>
          </w:p>
        </w:tc>
        <w:tc>
          <w:tcPr>
            <w:tcW w:w="179" w:type="pct"/>
            <w:tcBorders>
              <w:top w:val="nil"/>
              <w:bottom w:val="nil"/>
            </w:tcBorders>
            <w:shd w:val="clear" w:color="auto" w:fill="auto"/>
            <w:vAlign w:val="center"/>
          </w:tcPr>
          <w:p w14:paraId="61EB1992"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340D653"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A8072E" w14:paraId="074E1E43" w14:textId="77777777" w:rsidTr="00403EDC">
        <w:trPr>
          <w:cantSplit/>
        </w:trPr>
        <w:tc>
          <w:tcPr>
            <w:tcW w:w="3892" w:type="pct"/>
            <w:shd w:val="clear" w:color="auto" w:fill="auto"/>
            <w:vAlign w:val="center"/>
          </w:tcPr>
          <w:p w14:paraId="56B77421" w14:textId="77777777" w:rsidR="00C64888" w:rsidRPr="00A8072E" w:rsidRDefault="00C64888" w:rsidP="008F72A5">
            <w:pPr>
              <w:spacing w:before="60" w:after="60" w:line="240" w:lineRule="auto"/>
              <w:rPr>
                <w:rFonts w:ascii="Arial" w:eastAsia="Calibri" w:hAnsi="Arial" w:cs="Arial"/>
                <w:sz w:val="20"/>
                <w:szCs w:val="20"/>
              </w:rPr>
            </w:pPr>
            <w:r w:rsidRPr="00A8072E">
              <w:rPr>
                <w:rFonts w:ascii="Arial" w:eastAsia="Calibri" w:hAnsi="Arial" w:cs="Arial"/>
                <w:sz w:val="20"/>
                <w:szCs w:val="20"/>
              </w:rPr>
              <w:t>Documentation concerning an element of ICH present on the territory of another State Party is shared with it.</w:t>
            </w:r>
          </w:p>
        </w:tc>
        <w:tc>
          <w:tcPr>
            <w:tcW w:w="179" w:type="pct"/>
            <w:tcBorders>
              <w:top w:val="nil"/>
              <w:bottom w:val="nil"/>
            </w:tcBorders>
            <w:shd w:val="clear" w:color="auto" w:fill="auto"/>
            <w:vAlign w:val="center"/>
          </w:tcPr>
          <w:p w14:paraId="56EF046E"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A89E620" w14:textId="77777777" w:rsidR="00C64888" w:rsidRPr="00A8072E" w:rsidRDefault="00B5706D" w:rsidP="00D36011">
            <w:pPr>
              <w:spacing w:before="60" w:after="60"/>
              <w:rPr>
                <w:rFonts w:ascii="Arial" w:hAnsi="Arial" w:cs="Arial"/>
                <w:sz w:val="20"/>
                <w:szCs w:val="20"/>
              </w:rPr>
            </w:pPr>
            <w:r>
              <w:rPr>
                <w:rFonts w:ascii="Arial" w:hAnsi="Arial" w:cs="Arial"/>
                <w:sz w:val="20"/>
                <w:szCs w:val="20"/>
              </w:rPr>
              <w:t xml:space="preserve"> </w:t>
            </w:r>
          </w:p>
        </w:tc>
      </w:tr>
      <w:tr w:rsidR="00C64888" w:rsidRPr="00C608A0" w14:paraId="0C731E6E" w14:textId="77777777" w:rsidTr="00403EDC">
        <w:trPr>
          <w:cantSplit/>
        </w:trPr>
        <w:tc>
          <w:tcPr>
            <w:tcW w:w="3892" w:type="pct"/>
            <w:shd w:val="clear" w:color="auto" w:fill="auto"/>
            <w:vAlign w:val="center"/>
          </w:tcPr>
          <w:p w14:paraId="5AEBB280" w14:textId="77777777" w:rsidR="00C64888" w:rsidRPr="00A8072E" w:rsidRDefault="00C64888" w:rsidP="00537B42">
            <w:pPr>
              <w:spacing w:before="60" w:after="60" w:line="240" w:lineRule="auto"/>
              <w:rPr>
                <w:rFonts w:ascii="Arial" w:eastAsia="Calibri" w:hAnsi="Arial" w:cs="Arial"/>
                <w:sz w:val="20"/>
                <w:szCs w:val="20"/>
              </w:rPr>
            </w:pPr>
            <w:r w:rsidRPr="00A8072E">
              <w:rPr>
                <w:rFonts w:ascii="Arial" w:eastAsia="Calibri" w:hAnsi="Arial" w:cs="Arial"/>
                <w:sz w:val="20"/>
                <w:szCs w:val="20"/>
              </w:rPr>
              <w:t>State Party participates in the ICH-related activities of international and regional bodies other than UNESCO.</w:t>
            </w:r>
          </w:p>
        </w:tc>
        <w:tc>
          <w:tcPr>
            <w:tcW w:w="179" w:type="pct"/>
            <w:tcBorders>
              <w:top w:val="nil"/>
              <w:bottom w:val="nil"/>
            </w:tcBorders>
            <w:shd w:val="clear" w:color="auto" w:fill="auto"/>
            <w:vAlign w:val="center"/>
          </w:tcPr>
          <w:p w14:paraId="1F2BC141"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6CA18B8A" w14:textId="77777777" w:rsidR="00C64888" w:rsidRPr="00A8072E" w:rsidRDefault="00C64888" w:rsidP="00D36011">
            <w:pPr>
              <w:spacing w:before="60" w:after="60"/>
              <w:rPr>
                <w:rFonts w:ascii="Arial" w:hAnsi="Arial" w:cs="Arial"/>
                <w:sz w:val="20"/>
                <w:szCs w:val="20"/>
              </w:rPr>
            </w:pPr>
          </w:p>
        </w:tc>
      </w:tr>
    </w:tbl>
    <w:p w14:paraId="376307A7" w14:textId="77777777" w:rsidR="00C64888" w:rsidRDefault="00C64888" w:rsidP="00C64888"/>
    <w:sectPr w:rsidR="00C64888" w:rsidSect="00B40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60CC" w14:textId="77777777" w:rsidR="006745C5" w:rsidRDefault="006745C5" w:rsidP="00C64888">
      <w:pPr>
        <w:spacing w:after="0" w:line="240" w:lineRule="auto"/>
      </w:pPr>
      <w:r>
        <w:separator/>
      </w:r>
    </w:p>
  </w:endnote>
  <w:endnote w:type="continuationSeparator" w:id="0">
    <w:p w14:paraId="340B0D1D" w14:textId="77777777" w:rsidR="006745C5" w:rsidRDefault="006745C5" w:rsidP="00C6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A9F1" w14:textId="77777777" w:rsidR="000D78D0" w:rsidRDefault="000D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AFF6" w14:textId="068894BF" w:rsidR="003B76F5" w:rsidRPr="008E320D" w:rsidRDefault="003B76F5" w:rsidP="003B76F5">
    <w:pPr>
      <w:pStyle w:val="Footer"/>
      <w:tabs>
        <w:tab w:val="left" w:pos="2093"/>
      </w:tabs>
      <w:rPr>
        <w:rFonts w:ascii="Arial" w:hAnsi="Arial" w:cs="Arial"/>
        <w:sz w:val="16"/>
        <w:szCs w:val="16"/>
      </w:rPr>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12F42933" wp14:editId="3BDD4E2A">
          <wp:simplePos x="0" y="0"/>
          <wp:positionH relativeFrom="column">
            <wp:posOffset>2438400</wp:posOffset>
          </wp:positionH>
          <wp:positionV relativeFrom="paragraph">
            <wp:posOffset>117475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8E320D">
      <w:rPr>
        <w:rFonts w:ascii="Arial" w:hAnsi="Arial" w:cs="Arial"/>
        <w:sz w:val="16"/>
        <w:szCs w:val="16"/>
      </w:rPr>
      <w:t>U0</w:t>
    </w:r>
    <w:r w:rsidR="000D78D0">
      <w:rPr>
        <w:rFonts w:ascii="Arial" w:hAnsi="Arial" w:cs="Arial"/>
        <w:sz w:val="16"/>
        <w:szCs w:val="16"/>
      </w:rPr>
      <w:t>5</w:t>
    </w:r>
    <w:bookmarkStart w:id="0" w:name="_GoBack"/>
    <w:bookmarkEnd w:id="0"/>
    <w:r w:rsidRPr="008E320D">
      <w:rPr>
        <w:rFonts w:ascii="Arial" w:hAnsi="Arial" w:cs="Arial"/>
        <w:sz w:val="16"/>
        <w:szCs w:val="16"/>
      </w:rPr>
      <w:t>8-v1.0-HO1-EN</w:t>
    </w:r>
    <w:r w:rsidRPr="008E320D">
      <w:rPr>
        <w:rFonts w:ascii="Arial" w:hAnsi="Arial" w:cs="Arial"/>
        <w:sz w:val="16"/>
        <w:szCs w:val="16"/>
      </w:rPr>
      <w:tab/>
    </w:r>
    <w:r w:rsidRPr="008E320D">
      <w:rPr>
        <w:rFonts w:ascii="Arial" w:hAnsi="Arial" w:cs="Arial"/>
        <w:sz w:val="16"/>
        <w:szCs w:val="16"/>
      </w:rPr>
      <w:tab/>
    </w:r>
    <w:r w:rsidRPr="008E320D">
      <w:rPr>
        <w:rFonts w:ascii="Arial" w:hAnsi="Arial" w:cs="Arial"/>
        <w:sz w:val="16"/>
        <w:szCs w:val="16"/>
      </w:rPr>
      <w:tab/>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340C636C" wp14:editId="5A4EE89F">
          <wp:simplePos x="0" y="0"/>
          <wp:positionH relativeFrom="margin">
            <wp:posOffset>4681855</wp:posOffset>
          </wp:positionH>
          <wp:positionV relativeFrom="margin">
            <wp:posOffset>8834755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0DB03382" w14:textId="77777777" w:rsidR="003B76F5" w:rsidRDefault="003B7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7E82" w14:textId="77777777" w:rsidR="000D78D0" w:rsidRDefault="000D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5327" w14:textId="77777777" w:rsidR="006745C5" w:rsidRDefault="006745C5" w:rsidP="00C64888">
      <w:pPr>
        <w:spacing w:after="0" w:line="240" w:lineRule="auto"/>
      </w:pPr>
      <w:r>
        <w:separator/>
      </w:r>
    </w:p>
  </w:footnote>
  <w:footnote w:type="continuationSeparator" w:id="0">
    <w:p w14:paraId="6052818D" w14:textId="77777777" w:rsidR="006745C5" w:rsidRDefault="006745C5" w:rsidP="00C6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F340" w14:textId="77777777" w:rsidR="000D78D0" w:rsidRDefault="000D7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150B" w14:textId="77777777" w:rsidR="003B76F5" w:rsidRPr="003B76F5" w:rsidRDefault="00C25A71" w:rsidP="003B76F5">
    <w:pPr>
      <w:pStyle w:val="Header"/>
      <w:rPr>
        <w:rFonts w:ascii="Arial" w:hAnsi="Arial" w:cs="Arial"/>
        <w:sz w:val="16"/>
        <w:szCs w:val="16"/>
      </w:rPr>
    </w:pPr>
    <w:r>
      <w:rPr>
        <w:rFonts w:ascii="Arial" w:hAnsi="Arial" w:cs="Arial"/>
        <w:sz w:val="16"/>
        <w:szCs w:val="16"/>
      </w:rPr>
      <w:tab/>
      <w:t>Hand</w:t>
    </w:r>
    <w:r w:rsidR="003B76F5" w:rsidRPr="003B76F5">
      <w:rPr>
        <w:rFonts w:ascii="Arial" w:hAnsi="Arial" w:cs="Arial"/>
        <w:sz w:val="16"/>
        <w:szCs w:val="16"/>
      </w:rPr>
      <w:t>out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412" w14:textId="77777777" w:rsidR="000D78D0" w:rsidRDefault="000D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1"/>
  </w:num>
  <w:num w:numId="3">
    <w:abstractNumId w:val="12"/>
  </w:num>
  <w:num w:numId="4">
    <w:abstractNumId w:val="5"/>
  </w:num>
  <w:num w:numId="5">
    <w:abstractNumId w:val="25"/>
  </w:num>
  <w:num w:numId="6">
    <w:abstractNumId w:val="4"/>
  </w:num>
  <w:num w:numId="7">
    <w:abstractNumId w:val="17"/>
  </w:num>
  <w:num w:numId="8">
    <w:abstractNumId w:val="26"/>
  </w:num>
  <w:num w:numId="9">
    <w:abstractNumId w:val="15"/>
  </w:num>
  <w:num w:numId="10">
    <w:abstractNumId w:val="13"/>
  </w:num>
  <w:num w:numId="11">
    <w:abstractNumId w:val="11"/>
  </w:num>
  <w:num w:numId="12">
    <w:abstractNumId w:val="19"/>
  </w:num>
  <w:num w:numId="13">
    <w:abstractNumId w:val="6"/>
  </w:num>
  <w:num w:numId="14">
    <w:abstractNumId w:val="1"/>
  </w:num>
  <w:num w:numId="15">
    <w:abstractNumId w:val="16"/>
  </w:num>
  <w:num w:numId="16">
    <w:abstractNumId w:val="20"/>
  </w:num>
  <w:num w:numId="17">
    <w:abstractNumId w:val="0"/>
  </w:num>
  <w:num w:numId="18">
    <w:abstractNumId w:val="3"/>
  </w:num>
  <w:num w:numId="19">
    <w:abstractNumId w:val="22"/>
  </w:num>
  <w:num w:numId="20">
    <w:abstractNumId w:val="2"/>
  </w:num>
  <w:num w:numId="21">
    <w:abstractNumId w:val="14"/>
  </w:num>
  <w:num w:numId="22">
    <w:abstractNumId w:val="9"/>
  </w:num>
  <w:num w:numId="23">
    <w:abstractNumId w:val="24"/>
  </w:num>
  <w:num w:numId="24">
    <w:abstractNumId w:val="8"/>
  </w:num>
  <w:num w:numId="25">
    <w:abstractNumId w:val="1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88"/>
    <w:rsid w:val="00050F5A"/>
    <w:rsid w:val="0005396F"/>
    <w:rsid w:val="000D78D0"/>
    <w:rsid w:val="00196B75"/>
    <w:rsid w:val="001A618A"/>
    <w:rsid w:val="00237DAD"/>
    <w:rsid w:val="002B0BCB"/>
    <w:rsid w:val="00384413"/>
    <w:rsid w:val="003B76F5"/>
    <w:rsid w:val="00403EDC"/>
    <w:rsid w:val="00406FB2"/>
    <w:rsid w:val="00502CF6"/>
    <w:rsid w:val="0052196F"/>
    <w:rsid w:val="00537B42"/>
    <w:rsid w:val="005508D1"/>
    <w:rsid w:val="006745C5"/>
    <w:rsid w:val="006C54D4"/>
    <w:rsid w:val="006E7A26"/>
    <w:rsid w:val="006F4864"/>
    <w:rsid w:val="007566EA"/>
    <w:rsid w:val="007E2503"/>
    <w:rsid w:val="0081687D"/>
    <w:rsid w:val="008C6181"/>
    <w:rsid w:val="008F72A5"/>
    <w:rsid w:val="00905DDA"/>
    <w:rsid w:val="00AF1D1C"/>
    <w:rsid w:val="00AF2134"/>
    <w:rsid w:val="00B40408"/>
    <w:rsid w:val="00B5706D"/>
    <w:rsid w:val="00BF5840"/>
    <w:rsid w:val="00C1694C"/>
    <w:rsid w:val="00C25A71"/>
    <w:rsid w:val="00C543B4"/>
    <w:rsid w:val="00C5754B"/>
    <w:rsid w:val="00C64888"/>
    <w:rsid w:val="00CB05F5"/>
    <w:rsid w:val="00CC3EB7"/>
    <w:rsid w:val="00D4141A"/>
    <w:rsid w:val="00D62DE5"/>
    <w:rsid w:val="00DB75D1"/>
    <w:rsid w:val="00DD2BA5"/>
    <w:rsid w:val="00E07574"/>
    <w:rsid w:val="00E23429"/>
    <w:rsid w:val="00E40FDE"/>
    <w:rsid w:val="00F748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F2B04"/>
  <w15:docId w15:val="{5BE33E0E-774B-47F6-AE7B-172D4A0C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888"/>
  </w:style>
  <w:style w:type="paragraph" w:styleId="Heading1">
    <w:name w:val="heading 1"/>
    <w:basedOn w:val="Normal"/>
    <w:next w:val="Normal"/>
    <w:link w:val="Heading1Char"/>
    <w:uiPriority w:val="9"/>
    <w:qFormat/>
    <w:rsid w:val="00550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488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C64888"/>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C64888"/>
    <w:rPr>
      <w:vertAlign w:val="superscript"/>
    </w:rPr>
  </w:style>
  <w:style w:type="character" w:styleId="Emphasis">
    <w:name w:val="Emphasis"/>
    <w:basedOn w:val="DefaultParagraphFont"/>
    <w:uiPriority w:val="20"/>
    <w:qFormat/>
    <w:rsid w:val="00C64888"/>
    <w:rPr>
      <w:i/>
      <w:iCs/>
    </w:rPr>
  </w:style>
  <w:style w:type="paragraph" w:customStyle="1" w:styleId="Chapitre">
    <w:name w:val="Chapitre"/>
    <w:basedOn w:val="Heading1"/>
    <w:rsid w:val="005508D1"/>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5508D1"/>
    <w:rPr>
      <w:rFonts w:asciiTheme="majorHAnsi" w:eastAsiaTheme="majorEastAsia" w:hAnsiTheme="majorHAnsi" w:cstheme="majorBidi"/>
      <w:b/>
      <w:bCs/>
      <w:color w:val="365F91" w:themeColor="accent1" w:themeShade="BF"/>
      <w:sz w:val="28"/>
      <w:szCs w:val="28"/>
    </w:rPr>
  </w:style>
  <w:style w:type="paragraph" w:customStyle="1" w:styleId="HO1">
    <w:name w:val="HO1"/>
    <w:basedOn w:val="Normal"/>
    <w:link w:val="HO1Car"/>
    <w:rsid w:val="00406FB2"/>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406FB2"/>
    <w:rPr>
      <w:rFonts w:ascii="Arial" w:eastAsia="Times New Roman" w:hAnsi="Arial" w:cs="Arial"/>
      <w:b/>
      <w:bCs/>
      <w:noProof/>
      <w:snapToGrid w:val="0"/>
      <w:color w:val="3366FF"/>
      <w:kern w:val="28"/>
      <w:sz w:val="32"/>
      <w:szCs w:val="32"/>
      <w:lang w:val="en-US" w:eastAsia="zh-CN"/>
    </w:rPr>
  </w:style>
  <w:style w:type="paragraph" w:styleId="Header">
    <w:name w:val="header"/>
    <w:basedOn w:val="Normal"/>
    <w:link w:val="HeaderChar"/>
    <w:uiPriority w:val="99"/>
    <w:unhideWhenUsed/>
    <w:rsid w:val="003B7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76F5"/>
  </w:style>
  <w:style w:type="paragraph" w:styleId="Footer">
    <w:name w:val="footer"/>
    <w:basedOn w:val="Normal"/>
    <w:link w:val="FooterChar"/>
    <w:unhideWhenUsed/>
    <w:rsid w:val="003B76F5"/>
    <w:pPr>
      <w:tabs>
        <w:tab w:val="center" w:pos="4536"/>
        <w:tab w:val="right" w:pos="9072"/>
      </w:tabs>
      <w:spacing w:after="0" w:line="240" w:lineRule="auto"/>
    </w:pPr>
  </w:style>
  <w:style w:type="character" w:customStyle="1" w:styleId="FooterChar">
    <w:name w:val="Footer Char"/>
    <w:basedOn w:val="DefaultParagraphFont"/>
    <w:link w:val="Footer"/>
    <w:rsid w:val="003B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ADBFE-8CDC-44DF-8069-9B05E5A6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8</cp:revision>
  <dcterms:created xsi:type="dcterms:W3CDTF">2020-01-03T10:27:00Z</dcterms:created>
  <dcterms:modified xsi:type="dcterms:W3CDTF">2020-02-17T16:35:00Z</dcterms:modified>
</cp:coreProperties>
</file>