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1A7B8" w14:textId="77777777" w:rsidR="002938F2" w:rsidRPr="006A1A52" w:rsidRDefault="00F75E18" w:rsidP="00C1366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A1A5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PATRIMOINE CULTUREL IMMATÉRIEL</w:t>
      </w:r>
    </w:p>
    <w:p w14:paraId="3FDBFEF5" w14:textId="77777777" w:rsidR="00074CE1" w:rsidRPr="006A1A52" w:rsidRDefault="00074CE1" w:rsidP="00074CE1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A1A5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DU PATRIMOINE CULTUREL IMMATÉRIEL</w:t>
      </w:r>
    </w:p>
    <w:p w14:paraId="75D0D0EC" w14:textId="77777777" w:rsidR="00074CE1" w:rsidRPr="006A1A52" w:rsidRDefault="00374593" w:rsidP="00374593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Trei</w:t>
      </w:r>
      <w:r w:rsidR="00996303" w:rsidRPr="00996303">
        <w:rPr>
          <w:rFonts w:ascii="Arial" w:hAnsi="Arial" w:cs="Arial"/>
          <w:b/>
          <w:sz w:val="22"/>
          <w:szCs w:val="22"/>
          <w:lang w:val="fr-FR"/>
        </w:rPr>
        <w:t>zième</w:t>
      </w:r>
      <w:r w:rsidR="00996303">
        <w:rPr>
          <w:rFonts w:ascii="Arial" w:eastAsiaTheme="minorEastAsia" w:hAnsi="Arial" w:cs="Arial" w:hint="eastAsia"/>
          <w:b/>
          <w:sz w:val="22"/>
          <w:szCs w:val="22"/>
          <w:lang w:val="fr-FR" w:eastAsia="ko-KR"/>
        </w:rPr>
        <w:t xml:space="preserve"> </w:t>
      </w:r>
      <w:r w:rsidR="00074CE1" w:rsidRPr="006A1A52">
        <w:rPr>
          <w:rFonts w:ascii="Arial" w:hAnsi="Arial" w:cs="Arial"/>
          <w:b/>
          <w:sz w:val="22"/>
          <w:szCs w:val="22"/>
          <w:lang w:val="fr-FR"/>
        </w:rPr>
        <w:t>session</w:t>
      </w:r>
    </w:p>
    <w:p w14:paraId="66EBD85B" w14:textId="77777777" w:rsidR="004C3335" w:rsidRPr="006A1A52" w:rsidRDefault="00374593" w:rsidP="00374593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CF72CA">
        <w:rPr>
          <w:rFonts w:ascii="Arial" w:eastAsiaTheme="minorEastAsia" w:hAnsi="Arial" w:cs="Arial"/>
          <w:b/>
          <w:sz w:val="22"/>
          <w:szCs w:val="22"/>
          <w:lang w:val="fr-FR" w:eastAsia="ko-KR"/>
        </w:rPr>
        <w:t>Port-Louis</w:t>
      </w:r>
      <w:r w:rsidR="00996303">
        <w:rPr>
          <w:rFonts w:ascii="Arial" w:eastAsiaTheme="minorEastAsia" w:hAnsi="Arial" w:cs="Arial" w:hint="eastAsia"/>
          <w:b/>
          <w:sz w:val="22"/>
          <w:szCs w:val="22"/>
          <w:lang w:val="fr-FR" w:eastAsia="ko-KR"/>
        </w:rPr>
        <w:t>,</w:t>
      </w:r>
      <w:r w:rsidR="00996303" w:rsidRPr="00996303">
        <w:rPr>
          <w:rFonts w:ascii="Arial" w:hAnsi="Arial" w:cs="Arial"/>
          <w:b/>
          <w:sz w:val="22"/>
          <w:szCs w:val="22"/>
          <w:lang w:val="fr-FR"/>
        </w:rPr>
        <w:t xml:space="preserve"> République de </w:t>
      </w:r>
      <w:r>
        <w:rPr>
          <w:rFonts w:ascii="Arial" w:hAnsi="Arial" w:cs="Arial"/>
          <w:b/>
          <w:sz w:val="22"/>
          <w:szCs w:val="22"/>
          <w:lang w:val="fr-FR"/>
        </w:rPr>
        <w:t>Maurice</w:t>
      </w:r>
    </w:p>
    <w:p w14:paraId="00D8072F" w14:textId="09F44114" w:rsidR="00074CE1" w:rsidRPr="00996303" w:rsidRDefault="00374593" w:rsidP="00C32E71">
      <w:pPr>
        <w:jc w:val="center"/>
        <w:rPr>
          <w:rFonts w:ascii="Arial" w:eastAsiaTheme="minorEastAsia" w:hAnsi="Arial" w:cs="Arial"/>
          <w:b/>
          <w:sz w:val="22"/>
          <w:szCs w:val="22"/>
          <w:lang w:val="fr-FR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fr-FR" w:eastAsia="ko-KR"/>
        </w:rPr>
        <w:t>26 novembre</w:t>
      </w:r>
      <w:r w:rsidR="00074CE1" w:rsidRPr="006A1A52">
        <w:rPr>
          <w:rFonts w:ascii="Arial" w:hAnsi="Arial" w:cs="Arial"/>
          <w:b/>
          <w:sz w:val="22"/>
          <w:szCs w:val="22"/>
          <w:lang w:val="fr-FR"/>
        </w:rPr>
        <w:t xml:space="preserve"> – </w:t>
      </w:r>
      <w:r>
        <w:rPr>
          <w:rFonts w:ascii="Arial" w:hAnsi="Arial" w:cs="Arial"/>
          <w:b/>
          <w:sz w:val="22"/>
          <w:szCs w:val="22"/>
          <w:lang w:val="fr-FR"/>
        </w:rPr>
        <w:t>1</w:t>
      </w:r>
      <w:r w:rsidR="00F47BA3" w:rsidRPr="00F47BA3">
        <w:rPr>
          <w:rFonts w:ascii="Arial" w:hAnsi="Arial" w:cs="Arial"/>
          <w:b/>
          <w:sz w:val="22"/>
          <w:szCs w:val="22"/>
          <w:vertAlign w:val="superscript"/>
          <w:lang w:val="fr-FR"/>
        </w:rPr>
        <w:t>er</w:t>
      </w:r>
      <w:r w:rsidR="00F47BA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996303">
        <w:rPr>
          <w:rFonts w:ascii="Arial" w:hAnsi="Arial" w:cs="Arial"/>
          <w:b/>
          <w:sz w:val="22"/>
          <w:szCs w:val="22"/>
          <w:lang w:val="fr-FR"/>
        </w:rPr>
        <w:t>décembre 201</w:t>
      </w:r>
      <w:r>
        <w:rPr>
          <w:rFonts w:ascii="Arial" w:eastAsiaTheme="minorEastAsia" w:hAnsi="Arial" w:cs="Arial"/>
          <w:b/>
          <w:sz w:val="22"/>
          <w:szCs w:val="22"/>
          <w:lang w:val="fr-FR" w:eastAsia="ko-KR"/>
        </w:rPr>
        <w:t>8</w:t>
      </w:r>
    </w:p>
    <w:p w14:paraId="7A984DAB" w14:textId="0E609A79" w:rsidR="00EF277E" w:rsidRPr="00543FAA" w:rsidRDefault="00C21871" w:rsidP="002D0DD6">
      <w:pPr>
        <w:pStyle w:val="NoSpacing"/>
        <w:spacing w:before="1200" w:after="1200"/>
        <w:jc w:val="center"/>
        <w:rPr>
          <w:rFonts w:ascii="Arial" w:hAnsi="Arial" w:cs="Arial"/>
          <w:b/>
          <w:sz w:val="22"/>
          <w:szCs w:val="20"/>
          <w:lang w:val="fr-FR"/>
        </w:rPr>
      </w:pPr>
      <w:r w:rsidRPr="00543FAA">
        <w:rPr>
          <w:rFonts w:ascii="Arial" w:hAnsi="Arial" w:cs="Arial"/>
          <w:b/>
          <w:sz w:val="22"/>
          <w:szCs w:val="20"/>
          <w:u w:val="single"/>
          <w:lang w:val="fr-FR"/>
        </w:rPr>
        <w:t>S</w:t>
      </w:r>
      <w:r w:rsidR="00EF277E" w:rsidRPr="00543FAA">
        <w:rPr>
          <w:rFonts w:ascii="Arial" w:hAnsi="Arial" w:cs="Arial"/>
          <w:b/>
          <w:sz w:val="22"/>
          <w:szCs w:val="20"/>
          <w:u w:val="single"/>
          <w:lang w:val="fr-FR"/>
        </w:rPr>
        <w:t>ensibilisation et communication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F277E" w:rsidRPr="005E3D73" w14:paraId="26F69A76" w14:textId="77777777" w:rsidTr="00EB64F6">
        <w:trPr>
          <w:jc w:val="center"/>
        </w:trPr>
        <w:tc>
          <w:tcPr>
            <w:tcW w:w="5670" w:type="dxa"/>
            <w:vAlign w:val="center"/>
          </w:tcPr>
          <w:p w14:paraId="3FE890C8" w14:textId="2B12CFE7" w:rsidR="00EF277E" w:rsidRPr="00CF72CA" w:rsidRDefault="00EF277E" w:rsidP="00EB64F6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2CA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14:paraId="5807312E" w14:textId="0ADD896C" w:rsidR="00EF277E" w:rsidRPr="00CF72CA" w:rsidRDefault="00227E29" w:rsidP="001B3109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Conformément</w:t>
            </w:r>
            <w:r w:rsidR="00EF277E" w:rsidRPr="00CF72CA">
              <w:rPr>
                <w:rFonts w:ascii="Arial" w:hAnsi="Arial" w:cs="Arial"/>
                <w:sz w:val="22"/>
                <w:szCs w:val="20"/>
              </w:rPr>
              <w:t xml:space="preserve"> à la demande </w:t>
            </w:r>
            <w:r w:rsidR="00CC3F69">
              <w:rPr>
                <w:rFonts w:ascii="Arial" w:hAnsi="Arial" w:cs="Arial"/>
                <w:sz w:val="22"/>
                <w:szCs w:val="20"/>
              </w:rPr>
              <w:t>du</w:t>
            </w:r>
            <w:r w:rsidR="00EF277E" w:rsidRPr="00CF72CA">
              <w:rPr>
                <w:rFonts w:ascii="Arial" w:hAnsi="Arial" w:cs="Arial"/>
                <w:sz w:val="22"/>
                <w:szCs w:val="20"/>
              </w:rPr>
              <w:t xml:space="preserve"> Comité lors de sa douzième session (</w:t>
            </w:r>
            <w:hyperlink r:id="rId8" w:history="1">
              <w:r w:rsidR="00C32E71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dé</w:t>
              </w:r>
              <w:r w:rsidR="00EF277E" w:rsidRPr="00CF72CA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cision</w:t>
              </w:r>
              <w:r w:rsidR="001B3109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 </w:t>
              </w:r>
              <w:r w:rsidR="00EF277E" w:rsidRPr="00CF72CA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12.COM 5.b</w:t>
              </w:r>
            </w:hyperlink>
            <w:r w:rsidR="00EF277E" w:rsidRPr="00CF72CA">
              <w:rPr>
                <w:rFonts w:ascii="Arial" w:hAnsi="Arial" w:cs="Arial"/>
                <w:sz w:val="22"/>
                <w:szCs w:val="20"/>
              </w:rPr>
              <w:t>) et aux commentaires de l’</w:t>
            </w:r>
            <w:r w:rsidRPr="00227E29">
              <w:rPr>
                <w:rFonts w:ascii="Arial" w:hAnsi="Arial" w:cs="Arial"/>
                <w:sz w:val="22"/>
                <w:szCs w:val="20"/>
              </w:rPr>
              <w:t>Assem</w:t>
            </w:r>
            <w:r>
              <w:rPr>
                <w:rFonts w:ascii="Arial" w:hAnsi="Arial" w:cs="Arial"/>
                <w:sz w:val="22"/>
                <w:szCs w:val="20"/>
              </w:rPr>
              <w:t>b</w:t>
            </w:r>
            <w:r w:rsidR="00EF277E" w:rsidRPr="00CF72CA">
              <w:rPr>
                <w:rFonts w:ascii="Arial" w:hAnsi="Arial" w:cs="Arial"/>
                <w:sz w:val="22"/>
                <w:szCs w:val="20"/>
              </w:rPr>
              <w:t xml:space="preserve">lée générale </w:t>
            </w:r>
            <w:r w:rsidR="00CC3F69">
              <w:rPr>
                <w:rFonts w:ascii="Arial" w:hAnsi="Arial" w:cs="Arial"/>
                <w:sz w:val="22"/>
                <w:szCs w:val="20"/>
              </w:rPr>
              <w:t xml:space="preserve">formulés </w:t>
            </w:r>
            <w:r w:rsidR="00EF277E" w:rsidRPr="00CF72CA">
              <w:rPr>
                <w:rFonts w:ascii="Arial" w:hAnsi="Arial" w:cs="Arial"/>
                <w:sz w:val="22"/>
                <w:szCs w:val="20"/>
              </w:rPr>
              <w:t>à sa septième session</w:t>
            </w:r>
            <w:r w:rsidR="00EF277E" w:rsidRPr="00CF72CA"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9" w:history="1">
              <w:r w:rsidR="00C32E71" w:rsidRPr="00C32E71">
                <w:rPr>
                  <w:rStyle w:val="Hyperlink"/>
                  <w:rFonts w:ascii="Arial" w:hAnsi="Arial" w:cs="Arial"/>
                  <w:snapToGrid w:val="0"/>
                  <w:sz w:val="22"/>
                  <w:szCs w:val="20"/>
                  <w:shd w:val="clear" w:color="auto" w:fill="FFFFFF"/>
                  <w:lang w:eastAsia="en-US"/>
                </w:rPr>
                <w:t>ré</w:t>
              </w:r>
              <w:r w:rsidR="00EF277E" w:rsidRPr="00C32E71">
                <w:rPr>
                  <w:rStyle w:val="Hyperlink"/>
                  <w:rFonts w:ascii="Arial" w:hAnsi="Arial" w:cs="Arial"/>
                  <w:snapToGrid w:val="0"/>
                  <w:sz w:val="22"/>
                  <w:szCs w:val="20"/>
                  <w:shd w:val="clear" w:color="auto" w:fill="FFFFFF"/>
                  <w:lang w:eastAsia="en-US"/>
                </w:rPr>
                <w:t>solution</w:t>
              </w:r>
              <w:r w:rsidR="001B3109">
                <w:rPr>
                  <w:rStyle w:val="Hyperlink"/>
                  <w:rFonts w:ascii="Arial" w:hAnsi="Arial" w:cs="Arial"/>
                  <w:snapToGrid w:val="0"/>
                  <w:sz w:val="22"/>
                  <w:szCs w:val="20"/>
                  <w:shd w:val="clear" w:color="auto" w:fill="FFFFFF"/>
                  <w:lang w:eastAsia="en-US"/>
                </w:rPr>
                <w:t> </w:t>
              </w:r>
              <w:r w:rsidR="00EF277E" w:rsidRPr="00C32E71">
                <w:rPr>
                  <w:rStyle w:val="Hyperlink"/>
                  <w:rFonts w:ascii="Arial" w:hAnsi="Arial" w:cs="Arial"/>
                  <w:snapToGrid w:val="0"/>
                  <w:sz w:val="22"/>
                  <w:szCs w:val="20"/>
                  <w:shd w:val="clear" w:color="auto" w:fill="FFFFFF"/>
                  <w:lang w:eastAsia="en-US"/>
                </w:rPr>
                <w:t>7.GA</w:t>
              </w:r>
              <w:r w:rsidR="00C32E71" w:rsidRPr="00C32E71">
                <w:rPr>
                  <w:rStyle w:val="Hyperlink"/>
                  <w:rFonts w:ascii="Arial" w:hAnsi="Arial" w:cs="Arial"/>
                  <w:snapToGrid w:val="0"/>
                  <w:sz w:val="22"/>
                  <w:szCs w:val="20"/>
                  <w:shd w:val="clear" w:color="auto" w:fill="FFFFFF"/>
                  <w:lang w:eastAsia="en-US"/>
                </w:rPr>
                <w:t> </w:t>
              </w:r>
              <w:r w:rsidR="00EF277E" w:rsidRPr="00C32E71">
                <w:rPr>
                  <w:rStyle w:val="Hyperlink"/>
                  <w:rFonts w:ascii="Arial" w:hAnsi="Arial" w:cs="Arial"/>
                  <w:snapToGrid w:val="0"/>
                  <w:sz w:val="22"/>
                  <w:szCs w:val="20"/>
                  <w:shd w:val="clear" w:color="auto" w:fill="FFFFFF"/>
                  <w:lang w:eastAsia="en-US"/>
                </w:rPr>
                <w:t>7</w:t>
              </w:r>
            </w:hyperlink>
            <w:r w:rsidR="00EF277E" w:rsidRPr="00CF72CA">
              <w:rPr>
                <w:rFonts w:ascii="Arial" w:hAnsi="Arial" w:cs="Arial"/>
                <w:sz w:val="22"/>
                <w:szCs w:val="22"/>
              </w:rPr>
              <w:t>)</w:t>
            </w:r>
            <w:r w:rsidR="00EF277E" w:rsidRPr="00CF72CA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295401" w:rsidRPr="00CF72CA">
              <w:rPr>
                <w:rFonts w:ascii="Arial" w:hAnsi="Arial" w:cs="Arial"/>
                <w:sz w:val="22"/>
                <w:szCs w:val="20"/>
              </w:rPr>
              <w:t>c</w:t>
            </w:r>
            <w:r w:rsidR="00295401">
              <w:rPr>
                <w:rFonts w:ascii="Arial" w:hAnsi="Arial" w:cs="Arial"/>
                <w:sz w:val="22"/>
                <w:szCs w:val="20"/>
              </w:rPr>
              <w:t xml:space="preserve">e document présente </w:t>
            </w:r>
            <w:r w:rsidR="003E2274">
              <w:rPr>
                <w:rFonts w:ascii="Arial" w:hAnsi="Arial" w:cs="Arial"/>
                <w:sz w:val="22"/>
                <w:szCs w:val="20"/>
              </w:rPr>
              <w:t xml:space="preserve">au Comité </w:t>
            </w:r>
            <w:r w:rsidR="00E8438F">
              <w:rPr>
                <w:rFonts w:ascii="Arial" w:hAnsi="Arial" w:cs="Arial"/>
                <w:sz w:val="22"/>
                <w:szCs w:val="20"/>
              </w:rPr>
              <w:t xml:space="preserve">des propositions pour le développement d’outils et d’actions de communication ainsi </w:t>
            </w:r>
            <w:r w:rsidR="00E8438F" w:rsidRPr="00E72AEF">
              <w:rPr>
                <w:rFonts w:ascii="Arial" w:hAnsi="Arial" w:cs="Arial"/>
                <w:sz w:val="22"/>
                <w:szCs w:val="20"/>
              </w:rPr>
              <w:t>qu’</w:t>
            </w:r>
            <w:r w:rsidR="00CC3F69" w:rsidRPr="00E72AEF">
              <w:rPr>
                <w:rFonts w:ascii="Arial" w:hAnsi="Arial" w:cs="Arial"/>
                <w:sz w:val="22"/>
                <w:szCs w:val="20"/>
              </w:rPr>
              <w:t>un</w:t>
            </w:r>
            <w:r w:rsidR="00216185" w:rsidRPr="00E72AEF">
              <w:rPr>
                <w:rFonts w:ascii="Arial" w:hAnsi="Arial" w:cs="Arial"/>
                <w:sz w:val="22"/>
                <w:szCs w:val="20"/>
              </w:rPr>
              <w:t>e actualisation des</w:t>
            </w:r>
            <w:r w:rsidR="00CC3F69" w:rsidRPr="00E72AEF">
              <w:rPr>
                <w:rFonts w:ascii="Arial" w:hAnsi="Arial" w:cs="Arial"/>
                <w:sz w:val="22"/>
                <w:szCs w:val="20"/>
              </w:rPr>
              <w:t xml:space="preserve"> activités </w:t>
            </w:r>
            <w:r w:rsidR="009C2A1B" w:rsidRPr="00E72AEF">
              <w:rPr>
                <w:rFonts w:ascii="Arial" w:hAnsi="Arial" w:cs="Arial"/>
                <w:sz w:val="22"/>
                <w:szCs w:val="20"/>
              </w:rPr>
              <w:t xml:space="preserve">de communication </w:t>
            </w:r>
            <w:r w:rsidR="00CC3F69" w:rsidRPr="00E72AEF">
              <w:rPr>
                <w:rFonts w:ascii="Arial" w:hAnsi="Arial" w:cs="Arial"/>
                <w:sz w:val="22"/>
                <w:szCs w:val="20"/>
              </w:rPr>
              <w:t>mises en œuvre entre janvier et juin</w:t>
            </w:r>
            <w:r w:rsidR="00C32E71" w:rsidRPr="00E72AEF">
              <w:rPr>
                <w:rFonts w:ascii="Arial" w:hAnsi="Arial" w:cs="Arial"/>
                <w:sz w:val="22"/>
                <w:szCs w:val="20"/>
              </w:rPr>
              <w:t> </w:t>
            </w:r>
            <w:r w:rsidR="00CC3F69" w:rsidRPr="00E72AEF">
              <w:rPr>
                <w:rFonts w:ascii="Arial" w:hAnsi="Arial" w:cs="Arial"/>
                <w:sz w:val="22"/>
                <w:szCs w:val="20"/>
              </w:rPr>
              <w:t>2018.</w:t>
            </w:r>
          </w:p>
        </w:tc>
      </w:tr>
    </w:tbl>
    <w:p w14:paraId="5D907828" w14:textId="77777777" w:rsidR="00EF277E" w:rsidRPr="00CF72CA" w:rsidRDefault="00EF277E" w:rsidP="00EF277E">
      <w:pPr>
        <w:pStyle w:val="1GAPara"/>
        <w:spacing w:after="0"/>
        <w:jc w:val="both"/>
        <w:rPr>
          <w:b/>
          <w:lang w:val="fr-FR"/>
        </w:rPr>
      </w:pPr>
      <w:r w:rsidRPr="00CF72CA">
        <w:rPr>
          <w:b/>
          <w:lang w:val="fr-FR"/>
        </w:rPr>
        <w:br w:type="page"/>
      </w:r>
    </w:p>
    <w:p w14:paraId="0A5E87D4" w14:textId="16219D6D" w:rsidR="00EF277E" w:rsidRPr="00CF72CA" w:rsidRDefault="002D0DD6" w:rsidP="001B3109">
      <w:pPr>
        <w:pStyle w:val="1GAPara"/>
        <w:numPr>
          <w:ilvl w:val="0"/>
          <w:numId w:val="8"/>
        </w:numPr>
        <w:ind w:left="567" w:hanging="567"/>
        <w:jc w:val="both"/>
        <w:rPr>
          <w:lang w:val="fr-FR"/>
        </w:rPr>
      </w:pPr>
      <w:r>
        <w:rPr>
          <w:lang w:val="fr-FR"/>
        </w:rPr>
        <w:lastRenderedPageBreak/>
        <w:t>L</w:t>
      </w:r>
      <w:r w:rsidR="00227E29" w:rsidRPr="00227E29">
        <w:rPr>
          <w:lang w:val="fr-FR"/>
        </w:rPr>
        <w:t>ors de sa douzième session</w:t>
      </w:r>
      <w:r>
        <w:rPr>
          <w:lang w:val="fr-FR"/>
        </w:rPr>
        <w:t>, le Comité</w:t>
      </w:r>
      <w:r w:rsidR="00295401" w:rsidRPr="00CF72CA">
        <w:rPr>
          <w:lang w:val="fr-FR"/>
        </w:rPr>
        <w:t xml:space="preserve"> </w:t>
      </w:r>
      <w:r w:rsidR="0074106D">
        <w:rPr>
          <w:lang w:val="fr-FR"/>
        </w:rPr>
        <w:t xml:space="preserve">a </w:t>
      </w:r>
      <w:r w:rsidR="00295401" w:rsidRPr="00CF72CA">
        <w:rPr>
          <w:lang w:val="fr-FR"/>
        </w:rPr>
        <w:t>demandé au Secrétariat d</w:t>
      </w:r>
      <w:r w:rsidR="00295401">
        <w:rPr>
          <w:lang w:val="fr-FR"/>
        </w:rPr>
        <w:t xml:space="preserve">e </w:t>
      </w:r>
      <w:r w:rsidR="009C2A1B">
        <w:rPr>
          <w:lang w:val="fr-FR"/>
        </w:rPr>
        <w:t xml:space="preserve">le </w:t>
      </w:r>
      <w:r w:rsidR="00563664">
        <w:rPr>
          <w:lang w:val="fr-FR"/>
        </w:rPr>
        <w:t>tenir</w:t>
      </w:r>
      <w:r w:rsidR="00CC3F69">
        <w:rPr>
          <w:lang w:val="fr-FR"/>
        </w:rPr>
        <w:t xml:space="preserve"> régulière</w:t>
      </w:r>
      <w:r>
        <w:rPr>
          <w:lang w:val="fr-FR"/>
        </w:rPr>
        <w:t>ment informé</w:t>
      </w:r>
      <w:r w:rsidR="00BB15DD">
        <w:rPr>
          <w:lang w:val="fr-FR"/>
        </w:rPr>
        <w:t>,</w:t>
      </w:r>
      <w:r w:rsidR="003A5DBE">
        <w:rPr>
          <w:lang w:val="fr-FR"/>
        </w:rPr>
        <w:t xml:space="preserve"> </w:t>
      </w:r>
      <w:r w:rsidR="009C2A1B">
        <w:rPr>
          <w:lang w:val="fr-FR"/>
        </w:rPr>
        <w:t xml:space="preserve">ainsi que </w:t>
      </w:r>
      <w:r w:rsidR="00563664">
        <w:rPr>
          <w:lang w:val="fr-FR"/>
        </w:rPr>
        <w:t>l’Assemblée générale</w:t>
      </w:r>
      <w:r w:rsidR="00BB15DD">
        <w:rPr>
          <w:lang w:val="fr-FR"/>
        </w:rPr>
        <w:t>,</w:t>
      </w:r>
      <w:r w:rsidR="00563664">
        <w:rPr>
          <w:lang w:val="fr-FR"/>
        </w:rPr>
        <w:t xml:space="preserve"> </w:t>
      </w:r>
      <w:r w:rsidR="00BB15DD">
        <w:rPr>
          <w:lang w:val="fr-FR"/>
        </w:rPr>
        <w:t xml:space="preserve">de l’état d’avancement des </w:t>
      </w:r>
      <w:r w:rsidR="00B2661D">
        <w:rPr>
          <w:lang w:val="fr-FR"/>
        </w:rPr>
        <w:t>activités</w:t>
      </w:r>
      <w:r w:rsidR="00563664">
        <w:rPr>
          <w:lang w:val="fr-FR"/>
        </w:rPr>
        <w:t xml:space="preserve"> de communication et de sensibilisation menées par le Secrétariat </w:t>
      </w:r>
      <w:r w:rsidR="00EF277E" w:rsidRPr="00CF72CA">
        <w:rPr>
          <w:lang w:val="fr-FR"/>
        </w:rPr>
        <w:t>(</w:t>
      </w:r>
      <w:hyperlink r:id="rId10" w:history="1">
        <w:r w:rsidR="00C32E71">
          <w:rPr>
            <w:rStyle w:val="Hyperlink"/>
            <w:shd w:val="clear" w:color="auto" w:fill="FFFFFF"/>
            <w:lang w:val="fr-FR"/>
          </w:rPr>
          <w:t>dé</w:t>
        </w:r>
        <w:r w:rsidR="00EF277E" w:rsidRPr="00CF72CA">
          <w:rPr>
            <w:rStyle w:val="Hyperlink"/>
            <w:shd w:val="clear" w:color="auto" w:fill="FFFFFF"/>
            <w:lang w:val="fr-FR"/>
          </w:rPr>
          <w:t>cision</w:t>
        </w:r>
        <w:r w:rsidR="001B3109">
          <w:rPr>
            <w:rStyle w:val="Hyperlink"/>
            <w:shd w:val="clear" w:color="auto" w:fill="FFFFFF"/>
            <w:lang w:val="fr-FR"/>
          </w:rPr>
          <w:t> </w:t>
        </w:r>
        <w:r w:rsidR="00EF277E" w:rsidRPr="00CF72CA">
          <w:rPr>
            <w:rStyle w:val="Hyperlink"/>
            <w:shd w:val="clear" w:color="auto" w:fill="FFFFFF"/>
            <w:lang w:val="fr-FR"/>
          </w:rPr>
          <w:t>12.COM 5.b</w:t>
        </w:r>
      </w:hyperlink>
      <w:r w:rsidR="00EF277E" w:rsidRPr="00CF72CA">
        <w:rPr>
          <w:lang w:val="fr-FR"/>
        </w:rPr>
        <w:t>).</w:t>
      </w:r>
      <w:r w:rsidR="005A6152">
        <w:rPr>
          <w:lang w:val="fr-FR"/>
        </w:rPr>
        <w:t xml:space="preserve"> </w:t>
      </w:r>
      <w:r w:rsidR="003A5DBE">
        <w:rPr>
          <w:lang w:val="fr-FR"/>
        </w:rPr>
        <w:t>L</w:t>
      </w:r>
      <w:r w:rsidR="00B2661D" w:rsidRPr="00CF72CA">
        <w:rPr>
          <w:lang w:val="fr-FR"/>
        </w:rPr>
        <w:t>’</w:t>
      </w:r>
      <w:r w:rsidR="00B2661D">
        <w:rPr>
          <w:lang w:val="fr-FR"/>
        </w:rPr>
        <w:t xml:space="preserve">Assemblée générale </w:t>
      </w:r>
      <w:r w:rsidR="00227E29">
        <w:rPr>
          <w:lang w:val="fr-FR"/>
        </w:rPr>
        <w:t>a</w:t>
      </w:r>
      <w:r w:rsidR="00B2661D">
        <w:rPr>
          <w:lang w:val="fr-FR"/>
        </w:rPr>
        <w:t xml:space="preserve"> </w:t>
      </w:r>
      <w:r w:rsidR="003A5DBE">
        <w:rPr>
          <w:lang w:val="fr-FR"/>
        </w:rPr>
        <w:t xml:space="preserve">par la suite, au cours de sa septième session, </w:t>
      </w:r>
      <w:r w:rsidR="00B2661D">
        <w:rPr>
          <w:lang w:val="fr-FR"/>
        </w:rPr>
        <w:t>accueilli</w:t>
      </w:r>
      <w:r w:rsidR="00D612DE">
        <w:rPr>
          <w:lang w:val="fr-FR"/>
        </w:rPr>
        <w:t xml:space="preserve"> </w:t>
      </w:r>
      <w:r w:rsidR="00227E29">
        <w:rPr>
          <w:lang w:val="fr-FR"/>
        </w:rPr>
        <w:t>favorablement</w:t>
      </w:r>
      <w:r w:rsidR="00B2661D">
        <w:rPr>
          <w:lang w:val="fr-FR"/>
        </w:rPr>
        <w:t xml:space="preserve"> l’initiative du Secrétariat de développer un plan de sensibilisation et de communication visant à </w:t>
      </w:r>
      <w:r w:rsidR="00CC3F69">
        <w:rPr>
          <w:lang w:val="fr-FR"/>
        </w:rPr>
        <w:t>promouvoir</w:t>
      </w:r>
      <w:r w:rsidR="00D612DE">
        <w:rPr>
          <w:lang w:val="fr-FR"/>
        </w:rPr>
        <w:t xml:space="preserve"> la sauvegarde du patrimoine culturel immatériel et </w:t>
      </w:r>
      <w:r>
        <w:rPr>
          <w:lang w:val="fr-FR"/>
        </w:rPr>
        <w:t>la visibilité de la C</w:t>
      </w:r>
      <w:r w:rsidR="00D612DE">
        <w:rPr>
          <w:lang w:val="fr-FR"/>
        </w:rPr>
        <w:t>onvention</w:t>
      </w:r>
      <w:r w:rsidR="00B2661D">
        <w:rPr>
          <w:lang w:val="fr-FR"/>
        </w:rPr>
        <w:t xml:space="preserve"> </w:t>
      </w:r>
      <w:r w:rsidR="00EF277E" w:rsidRPr="00CF72CA">
        <w:rPr>
          <w:color w:val="414042"/>
          <w:lang w:val="fr-FR"/>
        </w:rPr>
        <w:t>(</w:t>
      </w:r>
      <w:hyperlink r:id="rId11" w:history="1">
        <w:r w:rsidR="00C32E71" w:rsidRPr="00C32E71">
          <w:rPr>
            <w:rStyle w:val="Hyperlink"/>
            <w:shd w:val="clear" w:color="auto" w:fill="FFFFFF"/>
            <w:lang w:val="fr-FR"/>
          </w:rPr>
          <w:t>ré</w:t>
        </w:r>
        <w:r w:rsidR="00EF277E" w:rsidRPr="00C32E71">
          <w:rPr>
            <w:rStyle w:val="Hyperlink"/>
            <w:shd w:val="clear" w:color="auto" w:fill="FFFFFF"/>
            <w:lang w:val="fr-FR"/>
          </w:rPr>
          <w:t>solution</w:t>
        </w:r>
        <w:r w:rsidR="001B3109">
          <w:rPr>
            <w:rStyle w:val="Hyperlink"/>
            <w:shd w:val="clear" w:color="auto" w:fill="FFFFFF"/>
            <w:lang w:val="fr-FR"/>
          </w:rPr>
          <w:t> </w:t>
        </w:r>
        <w:r w:rsidR="00EF277E" w:rsidRPr="00C32E71">
          <w:rPr>
            <w:rStyle w:val="Hyperlink"/>
            <w:shd w:val="clear" w:color="auto" w:fill="FFFFFF"/>
            <w:lang w:val="fr-FR"/>
          </w:rPr>
          <w:t>7.GA</w:t>
        </w:r>
        <w:r w:rsidR="00C32E71" w:rsidRPr="00C32E71">
          <w:rPr>
            <w:rStyle w:val="Hyperlink"/>
            <w:shd w:val="clear" w:color="auto" w:fill="FFFFFF"/>
            <w:lang w:val="fr-FR"/>
          </w:rPr>
          <w:t> </w:t>
        </w:r>
        <w:r w:rsidR="00EF277E" w:rsidRPr="00C32E71">
          <w:rPr>
            <w:rStyle w:val="Hyperlink"/>
            <w:shd w:val="clear" w:color="auto" w:fill="FFFFFF"/>
            <w:lang w:val="fr-FR"/>
          </w:rPr>
          <w:t>7</w:t>
        </w:r>
      </w:hyperlink>
      <w:r w:rsidR="00EF277E" w:rsidRPr="00543FAA">
        <w:rPr>
          <w:rStyle w:val="Hyperlink"/>
          <w:color w:val="auto"/>
          <w:u w:val="none"/>
          <w:lang w:val="fr-FR"/>
        </w:rPr>
        <w:t>)</w:t>
      </w:r>
      <w:r w:rsidR="00EF277E" w:rsidRPr="00CF72CA">
        <w:rPr>
          <w:lang w:val="fr-FR"/>
        </w:rPr>
        <w:t xml:space="preserve">. </w:t>
      </w:r>
      <w:r w:rsidR="00D612DE" w:rsidRPr="00CF72CA">
        <w:rPr>
          <w:lang w:val="fr-FR"/>
        </w:rPr>
        <w:t xml:space="preserve">Le présent </w:t>
      </w:r>
      <w:r w:rsidR="00424812" w:rsidRPr="00CF72CA">
        <w:rPr>
          <w:lang w:val="fr-FR"/>
        </w:rPr>
        <w:t xml:space="preserve">document </w:t>
      </w:r>
      <w:r>
        <w:rPr>
          <w:lang w:val="fr-FR"/>
        </w:rPr>
        <w:t>rend compte</w:t>
      </w:r>
      <w:r w:rsidR="00424812" w:rsidRPr="00CF72CA">
        <w:rPr>
          <w:lang w:val="fr-FR"/>
        </w:rPr>
        <w:t xml:space="preserve"> au Comité </w:t>
      </w:r>
      <w:r w:rsidR="0079621C">
        <w:rPr>
          <w:lang w:val="fr-FR"/>
        </w:rPr>
        <w:t xml:space="preserve">de l’état d’avancement </w:t>
      </w:r>
      <w:r>
        <w:rPr>
          <w:lang w:val="fr-FR"/>
        </w:rPr>
        <w:t>d</w:t>
      </w:r>
      <w:r w:rsidR="00424812" w:rsidRPr="00CF72CA">
        <w:rPr>
          <w:lang w:val="fr-FR"/>
        </w:rPr>
        <w:t>es act</w:t>
      </w:r>
      <w:r w:rsidR="00F14987">
        <w:rPr>
          <w:lang w:val="fr-FR"/>
        </w:rPr>
        <w:t>ions</w:t>
      </w:r>
      <w:r w:rsidR="00424812" w:rsidRPr="00CF72CA">
        <w:rPr>
          <w:lang w:val="fr-FR"/>
        </w:rPr>
        <w:t xml:space="preserve"> de communication mises en </w:t>
      </w:r>
      <w:r w:rsidR="00C32E71" w:rsidRPr="00CF72CA">
        <w:rPr>
          <w:lang w:val="fr-FR"/>
        </w:rPr>
        <w:t>œuvre</w:t>
      </w:r>
      <w:r w:rsidR="00424812" w:rsidRPr="00CF72CA">
        <w:rPr>
          <w:lang w:val="fr-FR"/>
        </w:rPr>
        <w:t xml:space="preserve"> par le Secrétariat </w:t>
      </w:r>
      <w:r w:rsidR="00772E40">
        <w:rPr>
          <w:lang w:val="fr-FR"/>
        </w:rPr>
        <w:t>de</w:t>
      </w:r>
      <w:r w:rsidR="00424812" w:rsidRPr="00CF72CA">
        <w:rPr>
          <w:lang w:val="fr-FR"/>
        </w:rPr>
        <w:t xml:space="preserve"> janvier </w:t>
      </w:r>
      <w:r w:rsidR="00772E40">
        <w:rPr>
          <w:lang w:val="fr-FR"/>
        </w:rPr>
        <w:t>à</w:t>
      </w:r>
      <w:r w:rsidR="00424812" w:rsidRPr="00CF72CA">
        <w:rPr>
          <w:lang w:val="fr-FR"/>
        </w:rPr>
        <w:t xml:space="preserve"> juin 2018</w:t>
      </w:r>
      <w:r>
        <w:rPr>
          <w:lang w:val="fr-FR"/>
        </w:rPr>
        <w:t xml:space="preserve"> et lui </w:t>
      </w:r>
      <w:r w:rsidR="005E4BA1">
        <w:rPr>
          <w:lang w:val="fr-FR"/>
        </w:rPr>
        <w:t>présente</w:t>
      </w:r>
      <w:r w:rsidR="005E4BA1" w:rsidRPr="00424812">
        <w:rPr>
          <w:lang w:val="fr-FR"/>
        </w:rPr>
        <w:t xml:space="preserve"> </w:t>
      </w:r>
      <w:r w:rsidR="00424812" w:rsidRPr="00424812">
        <w:rPr>
          <w:lang w:val="fr-FR"/>
        </w:rPr>
        <w:t xml:space="preserve">des propositions </w:t>
      </w:r>
      <w:r w:rsidR="00424812" w:rsidRPr="00CF72CA">
        <w:rPr>
          <w:lang w:val="fr-FR"/>
        </w:rPr>
        <w:t xml:space="preserve">pour </w:t>
      </w:r>
      <w:r>
        <w:rPr>
          <w:lang w:val="fr-FR"/>
        </w:rPr>
        <w:t xml:space="preserve">le </w:t>
      </w:r>
      <w:r w:rsidR="00424812" w:rsidRPr="00CF72CA">
        <w:rPr>
          <w:lang w:val="fr-FR"/>
        </w:rPr>
        <w:t>développement</w:t>
      </w:r>
      <w:r w:rsidR="00772E40">
        <w:rPr>
          <w:lang w:val="fr-FR"/>
        </w:rPr>
        <w:t xml:space="preserve"> </w:t>
      </w:r>
      <w:r w:rsidR="00424812" w:rsidRPr="00CF72CA">
        <w:rPr>
          <w:lang w:val="fr-FR"/>
        </w:rPr>
        <w:t>de la communication</w:t>
      </w:r>
      <w:r w:rsidR="00EF277E" w:rsidRPr="00CF72CA">
        <w:rPr>
          <w:lang w:val="fr-FR"/>
        </w:rPr>
        <w:t>.</w:t>
      </w:r>
    </w:p>
    <w:p w14:paraId="678D75B4" w14:textId="3AB6D1A8" w:rsidR="00EF277E" w:rsidRPr="00CF72CA" w:rsidRDefault="00424812" w:rsidP="00C21871">
      <w:pPr>
        <w:pStyle w:val="1GAPara"/>
        <w:spacing w:before="240" w:after="240"/>
        <w:ind w:left="0" w:firstLine="0"/>
        <w:rPr>
          <w:b/>
          <w:lang w:val="fr-FR"/>
        </w:rPr>
      </w:pPr>
      <w:r w:rsidRPr="00CF72CA">
        <w:rPr>
          <w:b/>
          <w:lang w:val="fr-FR"/>
        </w:rPr>
        <w:t xml:space="preserve">Activités de communication et de sensibilisation mises en </w:t>
      </w:r>
      <w:r w:rsidR="00C32E71" w:rsidRPr="00CF72CA">
        <w:rPr>
          <w:b/>
          <w:lang w:val="fr-FR"/>
        </w:rPr>
        <w:t>œuvre</w:t>
      </w:r>
      <w:r w:rsidRPr="00CF72CA">
        <w:rPr>
          <w:b/>
          <w:lang w:val="fr-FR"/>
        </w:rPr>
        <w:t xml:space="preserve"> de janvier à juin</w:t>
      </w:r>
      <w:r w:rsidR="00EF277E" w:rsidRPr="00CF72CA">
        <w:rPr>
          <w:b/>
          <w:lang w:val="fr-FR"/>
        </w:rPr>
        <w:t xml:space="preserve"> 2018</w:t>
      </w:r>
    </w:p>
    <w:p w14:paraId="38E9623E" w14:textId="54842C95" w:rsidR="00EF277E" w:rsidRPr="00CF72CA" w:rsidRDefault="00DB6F83" w:rsidP="001B3109">
      <w:pPr>
        <w:pStyle w:val="1GAParabodytext"/>
      </w:pPr>
      <w:r w:rsidRPr="00CF72CA">
        <w:t>A</w:t>
      </w:r>
      <w:r w:rsidR="003A6EEC">
        <w:t xml:space="preserve">u cours du premier semestre 2018, le Secrétariat a déployé </w:t>
      </w:r>
      <w:r w:rsidR="003A5DBE">
        <w:t xml:space="preserve">de nombreux </w:t>
      </w:r>
      <w:r w:rsidR="003A6EEC">
        <w:t>efforts en matière de communication</w:t>
      </w:r>
      <w:r w:rsidR="000972F6">
        <w:t xml:space="preserve"> </w:t>
      </w:r>
      <w:r w:rsidR="00216185" w:rsidRPr="00216185">
        <w:t>en vue d'élaborer une communication plus efficace</w:t>
      </w:r>
      <w:r w:rsidR="00634AB8">
        <w:t xml:space="preserve"> </w:t>
      </w:r>
      <w:r w:rsidR="00C21871">
        <w:t>pour</w:t>
      </w:r>
      <w:r w:rsidR="00235037">
        <w:t xml:space="preserve"> la Convention </w:t>
      </w:r>
      <w:r w:rsidR="00431203">
        <w:t xml:space="preserve">de </w:t>
      </w:r>
      <w:r w:rsidR="00235037">
        <w:t xml:space="preserve">2003. </w:t>
      </w:r>
      <w:r w:rsidR="00170B10">
        <w:t>U</w:t>
      </w:r>
      <w:r w:rsidR="00170B10" w:rsidRPr="00170B10">
        <w:t xml:space="preserve">ne série d'événements de communication </w:t>
      </w:r>
      <w:r w:rsidR="00170B10">
        <w:t>a</w:t>
      </w:r>
      <w:r w:rsidR="00CC3F69">
        <w:t xml:space="preserve"> </w:t>
      </w:r>
      <w:r w:rsidR="003A5DBE">
        <w:t xml:space="preserve">été </w:t>
      </w:r>
      <w:r w:rsidR="00170B10">
        <w:t>organisée</w:t>
      </w:r>
      <w:r w:rsidR="00235037">
        <w:t xml:space="preserve"> à l’occasion de la septième session de l’Assemblée générale </w:t>
      </w:r>
      <w:r w:rsidR="00C21871">
        <w:t>(4</w:t>
      </w:r>
      <w:r w:rsidR="001B3109">
        <w:t>–</w:t>
      </w:r>
      <w:r w:rsidR="00466FF0">
        <w:t>6 juin 2018, s</w:t>
      </w:r>
      <w:r w:rsidR="00235037">
        <w:t xml:space="preserve">iège de l’UNESCO), sous le thème </w:t>
      </w:r>
      <w:r w:rsidR="00F91168">
        <w:t>‘Racontez votre #</w:t>
      </w:r>
      <w:proofErr w:type="spellStart"/>
      <w:r w:rsidR="00F91168">
        <w:t>patrimoinevivant</w:t>
      </w:r>
      <w:proofErr w:type="spellEnd"/>
      <w:r w:rsidR="00F91168">
        <w:t xml:space="preserve">’. Les États parties </w:t>
      </w:r>
      <w:r w:rsidR="00CC3F69">
        <w:t>de</w:t>
      </w:r>
      <w:r w:rsidR="00F91168">
        <w:t xml:space="preserve"> la Convention ainsi que </w:t>
      </w:r>
      <w:r w:rsidR="00CC3F69">
        <w:t xml:space="preserve">de nombreux </w:t>
      </w:r>
      <w:r w:rsidR="00F91168">
        <w:t xml:space="preserve">acteurs ayant pris part à l’Assemblée générale, </w:t>
      </w:r>
      <w:r w:rsidR="003A5DBE">
        <w:t>dont</w:t>
      </w:r>
      <w:r w:rsidR="002D0DD6">
        <w:t xml:space="preserve"> de nombreux</w:t>
      </w:r>
      <w:r w:rsidR="00F91168">
        <w:t xml:space="preserve"> </w:t>
      </w:r>
      <w:r w:rsidR="00535A26">
        <w:t>praticiens</w:t>
      </w:r>
      <w:r w:rsidR="00F91168">
        <w:t xml:space="preserve">, </w:t>
      </w:r>
      <w:r w:rsidR="00B21AA8">
        <w:t xml:space="preserve">des </w:t>
      </w:r>
      <w:r w:rsidR="00F91168">
        <w:t xml:space="preserve">spécialistes du patrimoine, </w:t>
      </w:r>
      <w:r w:rsidR="00B21AA8">
        <w:t xml:space="preserve">des </w:t>
      </w:r>
      <w:r w:rsidR="00F91168">
        <w:t xml:space="preserve">partenaires institutionnels et </w:t>
      </w:r>
      <w:r w:rsidR="00B21AA8">
        <w:t xml:space="preserve">des </w:t>
      </w:r>
      <w:r w:rsidR="00F91168">
        <w:t xml:space="preserve">membres </w:t>
      </w:r>
      <w:r w:rsidR="006B3AB9">
        <w:t>d</w:t>
      </w:r>
      <w:r w:rsidR="00B21AA8">
        <w:t>e</w:t>
      </w:r>
      <w:r w:rsidR="00535A26">
        <w:t>s</w:t>
      </w:r>
      <w:r w:rsidR="00227E29">
        <w:t xml:space="preserve"> </w:t>
      </w:r>
      <w:r w:rsidR="007F1EAD">
        <w:t>communautés</w:t>
      </w:r>
      <w:r w:rsidR="002D0DD6">
        <w:t>,</w:t>
      </w:r>
      <w:r w:rsidR="00227E29">
        <w:t xml:space="preserve"> </w:t>
      </w:r>
      <w:r w:rsidR="006B3AB9">
        <w:t xml:space="preserve">ont </w:t>
      </w:r>
      <w:r w:rsidR="00227E29">
        <w:t xml:space="preserve">activement </w:t>
      </w:r>
      <w:r w:rsidR="002D0DD6">
        <w:t>participé à</w:t>
      </w:r>
      <w:r w:rsidR="00227E29">
        <w:t xml:space="preserve"> ces évènements</w:t>
      </w:r>
      <w:r w:rsidR="006B3AB9">
        <w:t xml:space="preserve">. </w:t>
      </w:r>
      <w:r w:rsidR="00227E29">
        <w:t xml:space="preserve">Ces acteurs </w:t>
      </w:r>
      <w:r w:rsidR="00F14987">
        <w:t>ont été pleinement mobilisés</w:t>
      </w:r>
      <w:r w:rsidR="00227E29">
        <w:t xml:space="preserve"> pour répondre</w:t>
      </w:r>
      <w:r w:rsidR="006B3AB9">
        <w:t xml:space="preserve"> à l’objectif de </w:t>
      </w:r>
      <w:r w:rsidR="00BE22FC">
        <w:t>création d’</w:t>
      </w:r>
      <w:r w:rsidR="006B3AB9">
        <w:t>un espace interactif</w:t>
      </w:r>
      <w:r w:rsidR="00BE22FC">
        <w:t xml:space="preserve"> </w:t>
      </w:r>
      <w:r w:rsidR="00452B5B">
        <w:t xml:space="preserve">pour les communautés </w:t>
      </w:r>
      <w:r w:rsidR="006B3AB9">
        <w:t>au sein de l’Assemblée générale</w:t>
      </w:r>
      <w:r w:rsidR="00BE22FC">
        <w:t xml:space="preserve"> et</w:t>
      </w:r>
      <w:r w:rsidR="00170B10">
        <w:t xml:space="preserve"> </w:t>
      </w:r>
      <w:r w:rsidR="00C303B1">
        <w:t xml:space="preserve">porter </w:t>
      </w:r>
      <w:r w:rsidR="00452B5B">
        <w:t>l</w:t>
      </w:r>
      <w:r w:rsidR="00C303B1">
        <w:t>es dynamiques collectives autour du patrimoine culturel immatériel.</w:t>
      </w:r>
    </w:p>
    <w:p w14:paraId="6C6AB4EB" w14:textId="1FF9E0FC" w:rsidR="00EF277E" w:rsidRPr="005C2640" w:rsidRDefault="00452B5B" w:rsidP="0034412C">
      <w:pPr>
        <w:pStyle w:val="1GAPara"/>
        <w:numPr>
          <w:ilvl w:val="0"/>
          <w:numId w:val="8"/>
        </w:numPr>
        <w:ind w:left="567" w:hanging="567"/>
        <w:jc w:val="both"/>
        <w:rPr>
          <w:lang w:val="fr-FR"/>
        </w:rPr>
      </w:pPr>
      <w:r>
        <w:rPr>
          <w:lang w:val="fr-FR"/>
        </w:rPr>
        <w:t>L</w:t>
      </w:r>
      <w:r w:rsidR="00C303B1" w:rsidRPr="005C2640">
        <w:rPr>
          <w:lang w:val="fr-FR"/>
        </w:rPr>
        <w:t>es</w:t>
      </w:r>
      <w:r>
        <w:rPr>
          <w:lang w:val="fr-FR"/>
        </w:rPr>
        <w:t xml:space="preserve"> principaux</w:t>
      </w:r>
      <w:r w:rsidR="00C303B1" w:rsidRPr="005C2640">
        <w:rPr>
          <w:lang w:val="fr-FR"/>
        </w:rPr>
        <w:t xml:space="preserve"> évènements </w:t>
      </w:r>
      <w:r>
        <w:rPr>
          <w:lang w:val="fr-FR"/>
        </w:rPr>
        <w:t>sont les suivants</w:t>
      </w:r>
      <w:r w:rsidR="00DF4F75">
        <w:rPr>
          <w:lang w:val="fr-FR"/>
        </w:rPr>
        <w:t> </w:t>
      </w:r>
      <w:r w:rsidR="00EF277E" w:rsidRPr="005C2640">
        <w:rPr>
          <w:lang w:val="fr-FR"/>
        </w:rPr>
        <w:t>:</w:t>
      </w:r>
    </w:p>
    <w:p w14:paraId="54AB97C0" w14:textId="6AD776B3" w:rsidR="00EF277E" w:rsidRPr="00CF72CA" w:rsidRDefault="005E3D73" w:rsidP="005E3D73">
      <w:pPr>
        <w:pStyle w:val="1GAPara"/>
        <w:numPr>
          <w:ilvl w:val="0"/>
          <w:numId w:val="18"/>
        </w:numPr>
        <w:ind w:left="1134" w:hanging="567"/>
        <w:jc w:val="both"/>
        <w:rPr>
          <w:lang w:val="fr-FR"/>
        </w:rPr>
      </w:pPr>
      <w:hyperlink r:id="rId12" w:history="1">
        <w:r w:rsidR="00C303B1" w:rsidRPr="00452B5B">
          <w:rPr>
            <w:rStyle w:val="Hyperlink"/>
            <w:lang w:val="fr-FR"/>
          </w:rPr>
          <w:t>une session de dialogue</w:t>
        </w:r>
      </w:hyperlink>
      <w:r w:rsidR="00195744">
        <w:rPr>
          <w:lang w:val="fr-FR"/>
        </w:rPr>
        <w:t xml:space="preserve"> </w:t>
      </w:r>
      <w:r w:rsidR="00170B10">
        <w:rPr>
          <w:lang w:val="fr-FR"/>
        </w:rPr>
        <w:t>présentant</w:t>
      </w:r>
      <w:r w:rsidR="00195744">
        <w:rPr>
          <w:lang w:val="fr-FR"/>
        </w:rPr>
        <w:t xml:space="preserve"> des exemples de sauvegarde</w:t>
      </w:r>
      <w:r w:rsidR="00F14987">
        <w:rPr>
          <w:lang w:val="fr-FR"/>
        </w:rPr>
        <w:t xml:space="preserve"> intéressants </w:t>
      </w:r>
      <w:r w:rsidR="003A5DBE">
        <w:rPr>
          <w:lang w:val="fr-FR"/>
        </w:rPr>
        <w:t xml:space="preserve">à travers </w:t>
      </w:r>
      <w:r w:rsidR="007F1EAD">
        <w:rPr>
          <w:lang w:val="fr-FR"/>
        </w:rPr>
        <w:t>les proje</w:t>
      </w:r>
      <w:r w:rsidR="00CA7CE4" w:rsidRPr="00CA7CE4">
        <w:rPr>
          <w:lang w:val="fr-FR"/>
        </w:rPr>
        <w:t xml:space="preserve">ts d’assistance internationale de Colombie, du Mali et d’Ouganda, </w:t>
      </w:r>
      <w:r w:rsidR="00F14987">
        <w:rPr>
          <w:lang w:val="fr-FR"/>
        </w:rPr>
        <w:t xml:space="preserve">avec notamment la participation spéciale des chamanes jaguars de </w:t>
      </w:r>
      <w:proofErr w:type="spellStart"/>
      <w:r w:rsidR="00F14987">
        <w:rPr>
          <w:lang w:val="fr-FR"/>
        </w:rPr>
        <w:t>Yurupari</w:t>
      </w:r>
      <w:proofErr w:type="spellEnd"/>
      <w:r w:rsidR="00F14987">
        <w:rPr>
          <w:lang w:val="fr-FR"/>
        </w:rPr>
        <w:t xml:space="preserve"> (Colombie) et </w:t>
      </w:r>
      <w:r w:rsidR="008B58E5">
        <w:rPr>
          <w:lang w:val="fr-FR"/>
        </w:rPr>
        <w:t xml:space="preserve">des </w:t>
      </w:r>
      <w:r w:rsidR="00216185" w:rsidRPr="00634AB8">
        <w:rPr>
          <w:lang w:val="fr-FR"/>
        </w:rPr>
        <w:t>communautés</w:t>
      </w:r>
      <w:r w:rsidR="008B58E5" w:rsidRPr="00634AB8">
        <w:rPr>
          <w:lang w:val="fr-FR"/>
        </w:rPr>
        <w:t xml:space="preserve"> de </w:t>
      </w:r>
      <w:proofErr w:type="spellStart"/>
      <w:r w:rsidR="00170B10" w:rsidRPr="00543FAA">
        <w:rPr>
          <w:lang w:val="fr-FR"/>
        </w:rPr>
        <w:t>Basoga</w:t>
      </w:r>
      <w:bookmarkStart w:id="0" w:name="_GoBack"/>
      <w:bookmarkEnd w:id="0"/>
      <w:proofErr w:type="spellEnd"/>
      <w:r w:rsidR="00F14987" w:rsidRPr="00634AB8">
        <w:rPr>
          <w:lang w:val="fr-FR"/>
        </w:rPr>
        <w:t xml:space="preserve"> (Ouganda)</w:t>
      </w:r>
      <w:r w:rsidR="00DF4F75" w:rsidRPr="00634AB8">
        <w:rPr>
          <w:lang w:val="fr-FR"/>
        </w:rPr>
        <w:t> </w:t>
      </w:r>
      <w:r w:rsidR="00EF277E" w:rsidRPr="00634AB8">
        <w:rPr>
          <w:lang w:val="fr-FR"/>
        </w:rPr>
        <w:t>;</w:t>
      </w:r>
    </w:p>
    <w:p w14:paraId="55E98EAB" w14:textId="66F1A863" w:rsidR="00EF277E" w:rsidRPr="00CF72CA" w:rsidRDefault="005E3D73" w:rsidP="005E3D73">
      <w:pPr>
        <w:pStyle w:val="1GAPara"/>
        <w:numPr>
          <w:ilvl w:val="0"/>
          <w:numId w:val="18"/>
        </w:numPr>
        <w:ind w:left="1134" w:hanging="567"/>
        <w:jc w:val="both"/>
        <w:rPr>
          <w:lang w:val="fr-FR"/>
        </w:rPr>
      </w:pPr>
      <w:hyperlink r:id="rId13" w:history="1">
        <w:r w:rsidR="00CA7CE4" w:rsidRPr="007E5EC8">
          <w:rPr>
            <w:rStyle w:val="Hyperlink"/>
            <w:lang w:val="fr-FR"/>
          </w:rPr>
          <w:t>une table-ronde</w:t>
        </w:r>
      </w:hyperlink>
      <w:r w:rsidR="00CA7CE4">
        <w:rPr>
          <w:lang w:val="fr-FR"/>
        </w:rPr>
        <w:t xml:space="preserve"> visant à promouvoir l’intégration du patrimoine culturel immatériel dans l’éducation formelle et informelle et </w:t>
      </w:r>
      <w:r w:rsidR="00BE22FC">
        <w:rPr>
          <w:lang w:val="fr-FR"/>
        </w:rPr>
        <w:t xml:space="preserve">à </w:t>
      </w:r>
      <w:r w:rsidR="00CA7CE4">
        <w:rPr>
          <w:lang w:val="fr-FR"/>
        </w:rPr>
        <w:t>assurer un enseignement pertinent et de qualité</w:t>
      </w:r>
      <w:r w:rsidR="00DF4F75">
        <w:rPr>
          <w:lang w:val="fr-FR"/>
        </w:rPr>
        <w:t> </w:t>
      </w:r>
      <w:r w:rsidR="00EF277E" w:rsidRPr="00CF72CA">
        <w:rPr>
          <w:lang w:val="fr-FR"/>
        </w:rPr>
        <w:t>;</w:t>
      </w:r>
    </w:p>
    <w:p w14:paraId="7C1321DD" w14:textId="3D9332FF" w:rsidR="00EF277E" w:rsidRPr="00CF72CA" w:rsidRDefault="00CA7CE4" w:rsidP="005E3D73">
      <w:pPr>
        <w:pStyle w:val="1GAPara"/>
        <w:numPr>
          <w:ilvl w:val="0"/>
          <w:numId w:val="18"/>
        </w:numPr>
        <w:ind w:left="1134" w:hanging="567"/>
        <w:jc w:val="both"/>
        <w:rPr>
          <w:lang w:val="fr-FR"/>
        </w:rPr>
      </w:pPr>
      <w:r w:rsidRPr="00CF72CA">
        <w:rPr>
          <w:lang w:val="fr-FR"/>
        </w:rPr>
        <w:t xml:space="preserve">une campagne </w:t>
      </w:r>
      <w:r w:rsidR="007E5EC8">
        <w:rPr>
          <w:lang w:val="fr-FR"/>
        </w:rPr>
        <w:t>de communication</w:t>
      </w:r>
      <w:r w:rsidR="007E5BA0">
        <w:rPr>
          <w:lang w:val="fr-FR"/>
        </w:rPr>
        <w:t xml:space="preserve"> </w:t>
      </w:r>
      <w:r w:rsidR="007E5EC8">
        <w:rPr>
          <w:lang w:val="fr-FR"/>
        </w:rPr>
        <w:t>sur</w:t>
      </w:r>
      <w:r w:rsidR="007E5EC8" w:rsidRPr="00CF72CA">
        <w:rPr>
          <w:lang w:val="fr-FR"/>
        </w:rPr>
        <w:t xml:space="preserve"> </w:t>
      </w:r>
      <w:r w:rsidRPr="00CF72CA">
        <w:rPr>
          <w:lang w:val="fr-FR"/>
        </w:rPr>
        <w:t xml:space="preserve">les </w:t>
      </w:r>
      <w:r w:rsidR="004C3FFB">
        <w:rPr>
          <w:lang w:val="fr-FR"/>
        </w:rPr>
        <w:t>réseaux</w:t>
      </w:r>
      <w:r w:rsidRPr="00CF72CA">
        <w:rPr>
          <w:lang w:val="fr-FR"/>
        </w:rPr>
        <w:t xml:space="preserve"> sociaux </w:t>
      </w:r>
      <w:r w:rsidR="003A5DBE">
        <w:rPr>
          <w:lang w:val="fr-FR"/>
        </w:rPr>
        <w:t xml:space="preserve">pour souligner </w:t>
      </w:r>
      <w:r>
        <w:rPr>
          <w:lang w:val="fr-FR"/>
        </w:rPr>
        <w:t>l’importance de la sauvegarde du patrimoine culturel immatériel et sa transmission à la jeunesse,</w:t>
      </w:r>
      <w:r w:rsidR="007E5EC8">
        <w:rPr>
          <w:lang w:val="fr-FR"/>
        </w:rPr>
        <w:t xml:space="preserve"> complétée par </w:t>
      </w:r>
      <w:r w:rsidR="003C3996">
        <w:rPr>
          <w:lang w:val="fr-FR"/>
        </w:rPr>
        <w:t xml:space="preserve">une </w:t>
      </w:r>
      <w:hyperlink r:id="rId14" w:history="1">
        <w:r w:rsidR="003C3996" w:rsidRPr="00B62EA4">
          <w:rPr>
            <w:rStyle w:val="Hyperlink"/>
            <w:lang w:val="fr-FR"/>
          </w:rPr>
          <w:t>expositio</w:t>
        </w:r>
        <w:r w:rsidR="00B21AA8" w:rsidRPr="00B62EA4">
          <w:rPr>
            <w:rStyle w:val="Hyperlink"/>
            <w:lang w:val="fr-FR"/>
          </w:rPr>
          <w:t>n audiovisuelle</w:t>
        </w:r>
      </w:hyperlink>
      <w:r w:rsidR="00B21AA8">
        <w:rPr>
          <w:lang w:val="fr-FR"/>
        </w:rPr>
        <w:t xml:space="preserve"> participative</w:t>
      </w:r>
      <w:r w:rsidR="003C3996">
        <w:rPr>
          <w:lang w:val="fr-FR"/>
        </w:rPr>
        <w:t xml:space="preserve"> </w:t>
      </w:r>
      <w:r w:rsidR="00B62EA4">
        <w:rPr>
          <w:lang w:val="fr-FR"/>
        </w:rPr>
        <w:t xml:space="preserve">organisée </w:t>
      </w:r>
      <w:r w:rsidR="00BE22FC">
        <w:rPr>
          <w:lang w:val="fr-FR"/>
        </w:rPr>
        <w:t xml:space="preserve">sur </w:t>
      </w:r>
      <w:r w:rsidR="00B62EA4">
        <w:rPr>
          <w:lang w:val="fr-FR"/>
        </w:rPr>
        <w:t xml:space="preserve">place </w:t>
      </w:r>
      <w:r w:rsidR="003C3996">
        <w:rPr>
          <w:lang w:val="fr-FR"/>
        </w:rPr>
        <w:t>pendant l’Assemblée générale ;</w:t>
      </w:r>
      <w:r w:rsidR="001B3109">
        <w:rPr>
          <w:lang w:val="fr-FR"/>
        </w:rPr>
        <w:t xml:space="preserve"> et</w:t>
      </w:r>
    </w:p>
    <w:p w14:paraId="05072322" w14:textId="45ACE19B" w:rsidR="00EF277E" w:rsidRPr="00CF72CA" w:rsidRDefault="007E5BA0" w:rsidP="005E3D73">
      <w:pPr>
        <w:pStyle w:val="1GAPara"/>
        <w:numPr>
          <w:ilvl w:val="0"/>
          <w:numId w:val="18"/>
        </w:numPr>
        <w:ind w:left="1134" w:hanging="567"/>
        <w:jc w:val="both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espace de mise en réseau</w:t>
      </w:r>
      <w:r w:rsidR="003C3996">
        <w:rPr>
          <w:lang w:val="fr-FR"/>
        </w:rPr>
        <w:t xml:space="preserve"> </w:t>
      </w:r>
      <w:r w:rsidR="003A5DBE">
        <w:rPr>
          <w:lang w:val="fr-FR"/>
        </w:rPr>
        <w:t>pour les</w:t>
      </w:r>
      <w:r w:rsidR="00B62EA4">
        <w:rPr>
          <w:lang w:val="fr-FR"/>
        </w:rPr>
        <w:t xml:space="preserve"> </w:t>
      </w:r>
      <w:r w:rsidR="003C3996">
        <w:rPr>
          <w:lang w:val="fr-FR"/>
        </w:rPr>
        <w:t xml:space="preserve">ONG </w:t>
      </w:r>
      <w:r w:rsidR="00BE22FC">
        <w:rPr>
          <w:lang w:val="fr-FR"/>
        </w:rPr>
        <w:t>qui a</w:t>
      </w:r>
      <w:r w:rsidR="003C3996">
        <w:rPr>
          <w:lang w:val="fr-FR"/>
        </w:rPr>
        <w:t xml:space="preserve"> servi de plateforme d’échanges et de coopération </w:t>
      </w:r>
      <w:r w:rsidR="00B62EA4">
        <w:rPr>
          <w:lang w:val="fr-FR"/>
        </w:rPr>
        <w:t xml:space="preserve">entre </w:t>
      </w:r>
      <w:r w:rsidR="00B21AA8">
        <w:rPr>
          <w:lang w:val="fr-FR"/>
        </w:rPr>
        <w:t xml:space="preserve">les </w:t>
      </w:r>
      <w:r w:rsidR="003C3996">
        <w:rPr>
          <w:lang w:val="fr-FR"/>
        </w:rPr>
        <w:t>partenaires de la société civile.</w:t>
      </w:r>
    </w:p>
    <w:p w14:paraId="7DDB8EF6" w14:textId="0044E198" w:rsidR="00EF277E" w:rsidRPr="00CF72CA" w:rsidRDefault="003C3996" w:rsidP="003B4D89">
      <w:pPr>
        <w:pStyle w:val="1GAParabodytext"/>
      </w:pPr>
      <w:r w:rsidRPr="00CF72CA">
        <w:t xml:space="preserve">En partenariat avec les sections </w:t>
      </w:r>
      <w:r w:rsidR="0027493D">
        <w:t xml:space="preserve">médias et </w:t>
      </w:r>
      <w:r w:rsidR="00B62EA4">
        <w:t xml:space="preserve">web de </w:t>
      </w:r>
      <w:r w:rsidR="00466FF0">
        <w:t xml:space="preserve">la </w:t>
      </w:r>
      <w:r w:rsidR="00466FF0" w:rsidRPr="00DA16E1">
        <w:t>Division</w:t>
      </w:r>
      <w:r w:rsidR="0027493D" w:rsidRPr="00B555D4">
        <w:t xml:space="preserve"> de l’information du public,</w:t>
      </w:r>
      <w:r w:rsidR="0027493D">
        <w:t xml:space="preserve"> plusieurs </w:t>
      </w:r>
      <w:r w:rsidR="00B62EA4">
        <w:t xml:space="preserve">canaux de diffusion </w:t>
      </w:r>
      <w:r w:rsidR="0027493D">
        <w:t xml:space="preserve">(web, presse écrite et </w:t>
      </w:r>
      <w:r w:rsidR="00C64135">
        <w:t>réseaux</w:t>
      </w:r>
      <w:r w:rsidR="0027493D">
        <w:t xml:space="preserve"> sociaux dont Twitter, Facebook </w:t>
      </w:r>
      <w:r w:rsidR="004A1A6D">
        <w:t>l</w:t>
      </w:r>
      <w:r w:rsidR="0027493D">
        <w:t>ive, etc</w:t>
      </w:r>
      <w:r w:rsidR="00DF4F75">
        <w:t>.</w:t>
      </w:r>
      <w:r w:rsidR="0027493D">
        <w:t xml:space="preserve">) ont été </w:t>
      </w:r>
      <w:r w:rsidR="002E7B1E">
        <w:t xml:space="preserve">largement utilisés </w:t>
      </w:r>
      <w:r w:rsidR="00BE22FC">
        <w:t xml:space="preserve">pour </w:t>
      </w:r>
      <w:r w:rsidR="001B5970">
        <w:t xml:space="preserve">optimiser l’impact </w:t>
      </w:r>
      <w:r w:rsidR="00B555D4">
        <w:t xml:space="preserve">de la Convention </w:t>
      </w:r>
      <w:r w:rsidR="001B5970">
        <w:t>sur les parties prenantes, le grand public et</w:t>
      </w:r>
      <w:r w:rsidR="008D4F83">
        <w:t xml:space="preserve"> </w:t>
      </w:r>
      <w:r w:rsidR="001B5970">
        <w:t>la jeunesse</w:t>
      </w:r>
      <w:r w:rsidR="001C6A62">
        <w:t xml:space="preserve">. Cette dernière </w:t>
      </w:r>
      <w:r w:rsidR="00BE22FC">
        <w:t>constitue</w:t>
      </w:r>
      <w:r w:rsidR="001C6A62">
        <w:t xml:space="preserve"> </w:t>
      </w:r>
      <w:r w:rsidR="00634AB8">
        <w:t>un</w:t>
      </w:r>
      <w:r w:rsidR="001C6A62">
        <w:t xml:space="preserve"> groupe cible </w:t>
      </w:r>
      <w:r w:rsidR="00634AB8">
        <w:t>essentiel</w:t>
      </w:r>
      <w:r w:rsidR="001C6A62">
        <w:t xml:space="preserve"> étant positionné</w:t>
      </w:r>
      <w:r w:rsidR="00C64135">
        <w:t>e</w:t>
      </w:r>
      <w:r w:rsidR="001C6A62">
        <w:t xml:space="preserve"> au centre de la question de la </w:t>
      </w:r>
      <w:r w:rsidR="007F1EAD">
        <w:t>« </w:t>
      </w:r>
      <w:r w:rsidR="001C6A62">
        <w:t>transmission</w:t>
      </w:r>
      <w:r w:rsidR="007F1EAD">
        <w:t> ». L’enga</w:t>
      </w:r>
      <w:r w:rsidR="002E7B1E">
        <w:t>ge</w:t>
      </w:r>
      <w:r w:rsidR="007F1EAD">
        <w:t xml:space="preserve">ment des jeunes est primordial </w:t>
      </w:r>
      <w:r w:rsidR="00987817">
        <w:t xml:space="preserve">pour s’assurer </w:t>
      </w:r>
      <w:r w:rsidR="002E7B1E">
        <w:t xml:space="preserve">que le </w:t>
      </w:r>
      <w:r w:rsidR="00987817">
        <w:t xml:space="preserve">patrimoine culturel immatériel </w:t>
      </w:r>
      <w:r w:rsidR="002E7B1E">
        <w:t xml:space="preserve">reste un élément pertinent </w:t>
      </w:r>
      <w:r w:rsidR="00987817">
        <w:t xml:space="preserve">dans le monde d’aujourd’hui </w:t>
      </w:r>
      <w:r w:rsidR="00C64135">
        <w:t xml:space="preserve">et </w:t>
      </w:r>
      <w:r w:rsidR="00B21AA8">
        <w:t xml:space="preserve">pour </w:t>
      </w:r>
      <w:r w:rsidR="00BE22FC">
        <w:t xml:space="preserve">garantir </w:t>
      </w:r>
      <w:r w:rsidR="004C3FFB">
        <w:t xml:space="preserve">que les générations futures puissent continuer à bénéficier de la richesse des connaissances et </w:t>
      </w:r>
      <w:r w:rsidR="00B21AA8">
        <w:t xml:space="preserve">des </w:t>
      </w:r>
      <w:r w:rsidR="004C3FFB">
        <w:t xml:space="preserve">pratiques qu’il véhicule. </w:t>
      </w:r>
      <w:r w:rsidR="008608E2">
        <w:t>Quatre</w:t>
      </w:r>
      <w:r w:rsidR="003B4D89" w:rsidRPr="003B4D89">
        <w:t xml:space="preserve"> témoignages de jeunes parlant de leur expérience du patrimoine vivant </w:t>
      </w:r>
      <w:r w:rsidR="005163A6">
        <w:t>ont été produit</w:t>
      </w:r>
      <w:r w:rsidR="00F2398F">
        <w:t>s</w:t>
      </w:r>
      <w:r w:rsidR="005163A6">
        <w:t xml:space="preserve"> et diffusés sur les réseaux sociaux pendant l’</w:t>
      </w:r>
      <w:r w:rsidR="00BA7175">
        <w:t>Assemblée générale</w:t>
      </w:r>
      <w:r w:rsidR="000D0D10">
        <w:t>, accompagnés des hashtags #</w:t>
      </w:r>
      <w:proofErr w:type="spellStart"/>
      <w:r w:rsidR="000D0D10">
        <w:t>patrimoinevivant</w:t>
      </w:r>
      <w:proofErr w:type="spellEnd"/>
      <w:r w:rsidR="000D0D10">
        <w:t xml:space="preserve"> et #</w:t>
      </w:r>
      <w:proofErr w:type="spellStart"/>
      <w:r w:rsidR="000D0D10">
        <w:t>patrimoineimmatériel</w:t>
      </w:r>
      <w:proofErr w:type="spellEnd"/>
      <w:r w:rsidR="000D0D10">
        <w:t>.</w:t>
      </w:r>
    </w:p>
    <w:p w14:paraId="6B087BBC" w14:textId="1EF84B0E" w:rsidR="00EF277E" w:rsidRPr="00CF72CA" w:rsidRDefault="000D0D10" w:rsidP="0034412C">
      <w:pPr>
        <w:pStyle w:val="1GAPara"/>
        <w:numPr>
          <w:ilvl w:val="0"/>
          <w:numId w:val="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Au cours de </w:t>
      </w:r>
      <w:r w:rsidR="007E5BA0">
        <w:rPr>
          <w:lang w:val="fr-FR"/>
        </w:rPr>
        <w:t>la</w:t>
      </w:r>
      <w:r>
        <w:rPr>
          <w:lang w:val="fr-FR"/>
        </w:rPr>
        <w:t xml:space="preserve"> période</w:t>
      </w:r>
      <w:r w:rsidR="007E5BA0">
        <w:rPr>
          <w:lang w:val="fr-FR"/>
        </w:rPr>
        <w:t xml:space="preserve"> considérée</w:t>
      </w:r>
      <w:r w:rsidR="003B4D89">
        <w:rPr>
          <w:lang w:val="fr-FR"/>
        </w:rPr>
        <w:t xml:space="preserve"> pour le présent rapport</w:t>
      </w:r>
      <w:r>
        <w:rPr>
          <w:lang w:val="fr-FR"/>
        </w:rPr>
        <w:t>, l</w:t>
      </w:r>
      <w:r w:rsidR="005163A6">
        <w:rPr>
          <w:lang w:val="fr-FR"/>
        </w:rPr>
        <w:t xml:space="preserve">e Secrétariat a </w:t>
      </w:r>
      <w:r w:rsidR="000B3DD7">
        <w:rPr>
          <w:lang w:val="fr-FR"/>
        </w:rPr>
        <w:t xml:space="preserve">fourni </w:t>
      </w:r>
      <w:r w:rsidR="00BE22FC">
        <w:rPr>
          <w:lang w:val="fr-FR"/>
        </w:rPr>
        <w:t>des conseils</w:t>
      </w:r>
      <w:r w:rsidR="000B3DD7">
        <w:rPr>
          <w:lang w:val="fr-FR"/>
        </w:rPr>
        <w:t xml:space="preserve"> techniques aux États membres pour l’</w:t>
      </w:r>
      <w:r w:rsidR="00C90F18">
        <w:rPr>
          <w:lang w:val="fr-FR"/>
        </w:rPr>
        <w:t>o</w:t>
      </w:r>
      <w:r w:rsidR="000B3DD7">
        <w:rPr>
          <w:lang w:val="fr-FR"/>
        </w:rPr>
        <w:t xml:space="preserve">rganisation </w:t>
      </w:r>
      <w:r w:rsidR="00172AC2">
        <w:rPr>
          <w:lang w:val="fr-FR"/>
        </w:rPr>
        <w:t>de l’édition</w:t>
      </w:r>
      <w:r w:rsidR="000B3DD7">
        <w:rPr>
          <w:lang w:val="fr-FR"/>
        </w:rPr>
        <w:t xml:space="preserve"> 2018 de la Semaine Africaine (21</w:t>
      </w:r>
      <w:r w:rsidR="001127CD" w:rsidRPr="00543FAA">
        <w:rPr>
          <w:lang w:val="fr-FR"/>
        </w:rPr>
        <w:t>–</w:t>
      </w:r>
      <w:r w:rsidR="001B3109">
        <w:rPr>
          <w:lang w:val="fr-FR"/>
        </w:rPr>
        <w:t>25 mai </w:t>
      </w:r>
      <w:r w:rsidR="000B3DD7">
        <w:rPr>
          <w:lang w:val="fr-FR"/>
        </w:rPr>
        <w:t>2018) et de la Semaine de l’Amérique latine et des Caraïbes (28</w:t>
      </w:r>
      <w:r w:rsidR="001127CD" w:rsidRPr="00543FAA">
        <w:rPr>
          <w:lang w:val="fr-FR"/>
        </w:rPr>
        <w:t>–</w:t>
      </w:r>
      <w:r w:rsidR="001B3109">
        <w:rPr>
          <w:lang w:val="fr-FR"/>
        </w:rPr>
        <w:t>30 mai </w:t>
      </w:r>
      <w:r w:rsidR="000B3DD7">
        <w:rPr>
          <w:lang w:val="fr-FR"/>
        </w:rPr>
        <w:t xml:space="preserve">2018), </w:t>
      </w:r>
      <w:r w:rsidR="00172AC2">
        <w:rPr>
          <w:lang w:val="fr-FR"/>
        </w:rPr>
        <w:t xml:space="preserve">qui étaient </w:t>
      </w:r>
      <w:r w:rsidR="000B3DD7">
        <w:rPr>
          <w:lang w:val="fr-FR"/>
        </w:rPr>
        <w:t>consacrées</w:t>
      </w:r>
      <w:r w:rsidR="00BA7175">
        <w:rPr>
          <w:lang w:val="fr-FR"/>
        </w:rPr>
        <w:t xml:space="preserve"> </w:t>
      </w:r>
      <w:r w:rsidR="000B3DD7">
        <w:rPr>
          <w:lang w:val="fr-FR"/>
        </w:rPr>
        <w:t xml:space="preserve">au </w:t>
      </w:r>
      <w:r w:rsidR="00172AC2">
        <w:rPr>
          <w:lang w:val="fr-FR"/>
        </w:rPr>
        <w:t>thème « P</w:t>
      </w:r>
      <w:r w:rsidR="000B3DD7">
        <w:rPr>
          <w:lang w:val="fr-FR"/>
        </w:rPr>
        <w:t>atrimoine culturel immatériel</w:t>
      </w:r>
      <w:r w:rsidR="00A80259">
        <w:rPr>
          <w:lang w:val="fr-FR"/>
        </w:rPr>
        <w:t> »</w:t>
      </w:r>
      <w:r w:rsidR="000B3DD7">
        <w:rPr>
          <w:lang w:val="fr-FR"/>
        </w:rPr>
        <w:t>. Ces manifestations annuelles</w:t>
      </w:r>
      <w:r w:rsidR="002F12E2">
        <w:rPr>
          <w:lang w:val="fr-FR"/>
        </w:rPr>
        <w:t xml:space="preserve">, organisées respectivement par les groupes Afrique et GRULAC au siège de l’UNESCO, </w:t>
      </w:r>
      <w:r w:rsidR="00F2398F">
        <w:rPr>
          <w:lang w:val="fr-FR"/>
        </w:rPr>
        <w:t xml:space="preserve">ont contribué </w:t>
      </w:r>
      <w:r w:rsidR="002F12E2">
        <w:rPr>
          <w:lang w:val="fr-FR"/>
        </w:rPr>
        <w:t xml:space="preserve">à sensibiliser </w:t>
      </w:r>
      <w:r w:rsidR="004A1A6D">
        <w:rPr>
          <w:lang w:val="fr-FR"/>
        </w:rPr>
        <w:t xml:space="preserve">les </w:t>
      </w:r>
      <w:r w:rsidR="004A1A6D" w:rsidRPr="00543FAA">
        <w:rPr>
          <w:lang w:val="fr-FR"/>
        </w:rPr>
        <w:t>É</w:t>
      </w:r>
      <w:r w:rsidR="00172AC2">
        <w:rPr>
          <w:lang w:val="fr-FR"/>
        </w:rPr>
        <w:t xml:space="preserve">tats </w:t>
      </w:r>
      <w:r>
        <w:rPr>
          <w:lang w:val="fr-FR"/>
        </w:rPr>
        <w:t>sur</w:t>
      </w:r>
      <w:r w:rsidR="00BA7175">
        <w:rPr>
          <w:lang w:val="fr-FR"/>
        </w:rPr>
        <w:t xml:space="preserve"> la question </w:t>
      </w:r>
      <w:r w:rsidR="002F12E2">
        <w:rPr>
          <w:lang w:val="fr-FR"/>
        </w:rPr>
        <w:t xml:space="preserve">de la mise en </w:t>
      </w:r>
      <w:r w:rsidR="00C32E71">
        <w:rPr>
          <w:lang w:val="fr-FR"/>
        </w:rPr>
        <w:t>œuvre</w:t>
      </w:r>
      <w:r>
        <w:rPr>
          <w:lang w:val="fr-FR"/>
        </w:rPr>
        <w:t xml:space="preserve"> de la </w:t>
      </w:r>
      <w:r>
        <w:rPr>
          <w:lang w:val="fr-FR"/>
        </w:rPr>
        <w:lastRenderedPageBreak/>
        <w:t>C</w:t>
      </w:r>
      <w:r w:rsidR="00BA7175">
        <w:rPr>
          <w:lang w:val="fr-FR"/>
        </w:rPr>
        <w:t>onvention</w:t>
      </w:r>
      <w:r w:rsidR="002F12E2">
        <w:rPr>
          <w:lang w:val="fr-FR"/>
        </w:rPr>
        <w:t>.</w:t>
      </w:r>
      <w:r w:rsidR="00BA7175">
        <w:rPr>
          <w:lang w:val="fr-FR"/>
        </w:rPr>
        <w:t xml:space="preserve"> </w:t>
      </w:r>
      <w:r w:rsidR="00B21AA8">
        <w:rPr>
          <w:lang w:val="fr-FR"/>
        </w:rPr>
        <w:t>Par ailleurs, d</w:t>
      </w:r>
      <w:r w:rsidR="00BA7175">
        <w:rPr>
          <w:lang w:val="fr-FR"/>
        </w:rPr>
        <w:t>es progrès ont été réalisés</w:t>
      </w:r>
      <w:r w:rsidR="006D2156">
        <w:rPr>
          <w:lang w:val="fr-FR"/>
        </w:rPr>
        <w:t xml:space="preserve"> </w:t>
      </w:r>
      <w:r w:rsidR="00F2398F">
        <w:rPr>
          <w:lang w:val="fr-FR"/>
        </w:rPr>
        <w:t>dans</w:t>
      </w:r>
      <w:r w:rsidR="007E2036">
        <w:rPr>
          <w:lang w:val="fr-FR"/>
        </w:rPr>
        <w:t xml:space="preserve"> </w:t>
      </w:r>
      <w:r w:rsidR="00172AC2">
        <w:rPr>
          <w:lang w:val="fr-FR"/>
        </w:rPr>
        <w:t xml:space="preserve">l’élaboration </w:t>
      </w:r>
      <w:r w:rsidR="007E2036">
        <w:rPr>
          <w:lang w:val="fr-FR"/>
        </w:rPr>
        <w:t xml:space="preserve">d’une identité visuelle </w:t>
      </w:r>
      <w:r w:rsidR="007E5BA0">
        <w:rPr>
          <w:lang w:val="fr-FR"/>
        </w:rPr>
        <w:t>cohérente</w:t>
      </w:r>
      <w:r w:rsidR="007E2036">
        <w:rPr>
          <w:lang w:val="fr-FR"/>
        </w:rPr>
        <w:t xml:space="preserve"> pour la Convention </w:t>
      </w:r>
      <w:r w:rsidR="00172AC2">
        <w:rPr>
          <w:lang w:val="fr-FR"/>
        </w:rPr>
        <w:t xml:space="preserve">de </w:t>
      </w:r>
      <w:r w:rsidR="007E2036">
        <w:rPr>
          <w:lang w:val="fr-FR"/>
        </w:rPr>
        <w:t>2003</w:t>
      </w:r>
      <w:r w:rsidR="003734CA">
        <w:rPr>
          <w:lang w:val="fr-FR"/>
        </w:rPr>
        <w:t>.</w:t>
      </w:r>
      <w:r w:rsidR="00BC70C0">
        <w:rPr>
          <w:lang w:val="fr-FR"/>
        </w:rPr>
        <w:t xml:space="preserve"> Des principes visuels de base pour les différents outils de communication sont en cours d’élaboration</w:t>
      </w:r>
      <w:r w:rsidR="008D4F83">
        <w:rPr>
          <w:lang w:val="fr-FR"/>
        </w:rPr>
        <w:t>,</w:t>
      </w:r>
      <w:r w:rsidR="00BC70C0">
        <w:rPr>
          <w:lang w:val="fr-FR"/>
        </w:rPr>
        <w:t xml:space="preserve"> à travers la conception de </w:t>
      </w:r>
      <w:r w:rsidR="00172AC2">
        <w:rPr>
          <w:lang w:val="fr-FR"/>
        </w:rPr>
        <w:t xml:space="preserve">modèles </w:t>
      </w:r>
      <w:r w:rsidR="00BC70C0">
        <w:rPr>
          <w:lang w:val="fr-FR"/>
        </w:rPr>
        <w:t>de mise en page, d’un système graphique et d’une palette de couleurs</w:t>
      </w:r>
      <w:r w:rsidR="004E00B6">
        <w:rPr>
          <w:lang w:val="fr-FR"/>
        </w:rPr>
        <w:t>.</w:t>
      </w:r>
    </w:p>
    <w:p w14:paraId="3F7FCB9D" w14:textId="6D24CFE2" w:rsidR="00EF277E" w:rsidRPr="00CF72CA" w:rsidRDefault="00C32E71" w:rsidP="00BC70C0">
      <w:pPr>
        <w:pStyle w:val="1GAPara"/>
        <w:numPr>
          <w:ilvl w:val="0"/>
          <w:numId w:val="8"/>
        </w:numPr>
        <w:ind w:left="567" w:hanging="567"/>
        <w:jc w:val="both"/>
        <w:rPr>
          <w:lang w:val="fr-FR"/>
        </w:rPr>
      </w:pPr>
      <w:r w:rsidRPr="00CF72CA">
        <w:rPr>
          <w:lang w:val="fr-FR"/>
        </w:rPr>
        <w:t>À</w:t>
      </w:r>
      <w:r w:rsidR="00BC70C0">
        <w:rPr>
          <w:lang w:val="fr-FR"/>
        </w:rPr>
        <w:t xml:space="preserve"> la suite de la présente </w:t>
      </w:r>
      <w:r w:rsidR="006D2156" w:rsidRPr="00CF72CA">
        <w:rPr>
          <w:lang w:val="fr-FR"/>
        </w:rPr>
        <w:t>session</w:t>
      </w:r>
      <w:r w:rsidR="006D2156">
        <w:rPr>
          <w:lang w:val="fr-FR"/>
        </w:rPr>
        <w:t xml:space="preserve">, </w:t>
      </w:r>
      <w:r w:rsidR="00634AB8">
        <w:rPr>
          <w:lang w:val="fr-FR"/>
        </w:rPr>
        <w:t>une actualisation</w:t>
      </w:r>
      <w:r w:rsidR="00BC70C0">
        <w:rPr>
          <w:lang w:val="fr-FR"/>
        </w:rPr>
        <w:t xml:space="preserve"> </w:t>
      </w:r>
      <w:r w:rsidR="00634AB8">
        <w:rPr>
          <w:lang w:val="fr-FR"/>
        </w:rPr>
        <w:t>d</w:t>
      </w:r>
      <w:r w:rsidR="00BC70C0">
        <w:rPr>
          <w:lang w:val="fr-FR"/>
        </w:rPr>
        <w:t xml:space="preserve">es initiatives et </w:t>
      </w:r>
      <w:r w:rsidR="00634AB8">
        <w:rPr>
          <w:lang w:val="fr-FR"/>
        </w:rPr>
        <w:t>d</w:t>
      </w:r>
      <w:r w:rsidR="00BC70C0">
        <w:rPr>
          <w:lang w:val="fr-FR"/>
        </w:rPr>
        <w:t>es actions entreprises entre juillet 2018 et juin 2019 sera présenté</w:t>
      </w:r>
      <w:r w:rsidR="00075705">
        <w:rPr>
          <w:lang w:val="fr-FR"/>
        </w:rPr>
        <w:t>e</w:t>
      </w:r>
      <w:r w:rsidR="00BC70C0">
        <w:rPr>
          <w:lang w:val="fr-FR"/>
        </w:rPr>
        <w:t xml:space="preserve"> au </w:t>
      </w:r>
      <w:r w:rsidR="006D2156">
        <w:rPr>
          <w:lang w:val="fr-FR"/>
        </w:rPr>
        <w:t>Comité lors de sa quatorzième session</w:t>
      </w:r>
      <w:r w:rsidR="00EF277E" w:rsidRPr="00CF72CA">
        <w:rPr>
          <w:lang w:val="fr-FR"/>
        </w:rPr>
        <w:t>.</w:t>
      </w:r>
    </w:p>
    <w:p w14:paraId="24B32AAA" w14:textId="61027B11" w:rsidR="00EF277E" w:rsidRPr="00CF72CA" w:rsidRDefault="004C7C86" w:rsidP="00BC70C0">
      <w:pPr>
        <w:pStyle w:val="1GAPara"/>
        <w:spacing w:before="240" w:after="240"/>
        <w:ind w:left="567" w:hanging="567"/>
        <w:rPr>
          <w:b/>
          <w:lang w:val="fr-FR"/>
        </w:rPr>
      </w:pPr>
      <w:r w:rsidRPr="00CF72CA">
        <w:rPr>
          <w:b/>
          <w:lang w:val="fr-FR"/>
        </w:rPr>
        <w:t>P</w:t>
      </w:r>
      <w:r>
        <w:rPr>
          <w:b/>
          <w:lang w:val="fr-FR"/>
        </w:rPr>
        <w:t>ro</w:t>
      </w:r>
      <w:r w:rsidR="00BC70C0">
        <w:rPr>
          <w:b/>
          <w:lang w:val="fr-FR"/>
        </w:rPr>
        <w:t>position</w:t>
      </w:r>
      <w:r>
        <w:rPr>
          <w:b/>
          <w:lang w:val="fr-FR"/>
        </w:rPr>
        <w:t xml:space="preserve"> de p</w:t>
      </w:r>
      <w:r w:rsidRPr="00CF72CA">
        <w:rPr>
          <w:b/>
          <w:lang w:val="fr-FR"/>
        </w:rPr>
        <w:t xml:space="preserve">lan de sensibilisation et de communication </w:t>
      </w:r>
      <w:r w:rsidR="00EF277E" w:rsidRPr="00CF72CA">
        <w:rPr>
          <w:b/>
          <w:lang w:val="fr-FR"/>
        </w:rPr>
        <w:t>2018 – 2019</w:t>
      </w:r>
    </w:p>
    <w:p w14:paraId="0878936D" w14:textId="7F87D53B" w:rsidR="00EF277E" w:rsidRPr="00CF72CA" w:rsidRDefault="00AC4BD4" w:rsidP="00BC70C0">
      <w:pPr>
        <w:pStyle w:val="1GAPara"/>
        <w:numPr>
          <w:ilvl w:val="0"/>
          <w:numId w:val="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Le </w:t>
      </w:r>
      <w:r w:rsidR="004C7C86" w:rsidRPr="00CF72CA">
        <w:rPr>
          <w:lang w:val="fr-FR"/>
        </w:rPr>
        <w:t xml:space="preserve">plan de sensibilisation et de communication </w:t>
      </w:r>
      <w:r>
        <w:rPr>
          <w:lang w:val="fr-FR"/>
        </w:rPr>
        <w:t>qui suit définit</w:t>
      </w:r>
      <w:r w:rsidR="004C7C86" w:rsidRPr="00CF72CA">
        <w:rPr>
          <w:lang w:val="fr-FR"/>
        </w:rPr>
        <w:t xml:space="preserve"> les objectifs, les group</w:t>
      </w:r>
      <w:r w:rsidR="004C7C86">
        <w:rPr>
          <w:lang w:val="fr-FR"/>
        </w:rPr>
        <w:t>es cibles</w:t>
      </w:r>
      <w:r>
        <w:rPr>
          <w:lang w:val="fr-FR"/>
        </w:rPr>
        <w:t xml:space="preserve">, les </w:t>
      </w:r>
      <w:r w:rsidR="004C7C86">
        <w:rPr>
          <w:lang w:val="fr-FR"/>
        </w:rPr>
        <w:t>principaux axes</w:t>
      </w:r>
      <w:r>
        <w:rPr>
          <w:lang w:val="fr-FR"/>
        </w:rPr>
        <w:t xml:space="preserve"> et modalités de mise en œuvre ainsi que les initiatives pilote</w:t>
      </w:r>
      <w:r w:rsidR="00BC70C0">
        <w:rPr>
          <w:lang w:val="fr-FR"/>
        </w:rPr>
        <w:t>s</w:t>
      </w:r>
      <w:r>
        <w:rPr>
          <w:lang w:val="fr-FR"/>
        </w:rPr>
        <w:t xml:space="preserve"> à </w:t>
      </w:r>
      <w:r w:rsidR="00BC70C0">
        <w:rPr>
          <w:lang w:val="fr-FR"/>
        </w:rPr>
        <w:t>réaliser</w:t>
      </w:r>
      <w:r>
        <w:rPr>
          <w:lang w:val="fr-FR"/>
        </w:rPr>
        <w:t xml:space="preserve"> entre juillet 2018 et décembre 2019</w:t>
      </w:r>
      <w:r w:rsidR="00EF277E" w:rsidRPr="00CF72CA">
        <w:rPr>
          <w:lang w:val="fr-FR"/>
        </w:rPr>
        <w:t>.</w:t>
      </w:r>
    </w:p>
    <w:p w14:paraId="14BC8402" w14:textId="3B09E5EB" w:rsidR="00EF277E" w:rsidRPr="00CF72CA" w:rsidRDefault="00AC4BD4" w:rsidP="008D4F83">
      <w:pPr>
        <w:pStyle w:val="1GAPara"/>
        <w:numPr>
          <w:ilvl w:val="0"/>
          <w:numId w:val="8"/>
        </w:numPr>
        <w:ind w:left="567" w:hanging="567"/>
        <w:jc w:val="both"/>
        <w:rPr>
          <w:lang w:val="fr-FR"/>
        </w:rPr>
      </w:pPr>
      <w:r w:rsidRPr="00CF72CA">
        <w:rPr>
          <w:lang w:val="fr-FR"/>
        </w:rPr>
        <w:t>L</w:t>
      </w:r>
      <w:r w:rsidR="00867567">
        <w:rPr>
          <w:lang w:val="fr-FR"/>
        </w:rPr>
        <w:t xml:space="preserve">es </w:t>
      </w:r>
      <w:r w:rsidR="00867567" w:rsidRPr="00543FAA">
        <w:rPr>
          <w:u w:val="single"/>
          <w:lang w:val="fr-FR"/>
        </w:rPr>
        <w:t xml:space="preserve">objectifs </w:t>
      </w:r>
      <w:r w:rsidR="0040166E" w:rsidRPr="00543FAA">
        <w:rPr>
          <w:u w:val="single"/>
          <w:lang w:val="fr-FR"/>
        </w:rPr>
        <w:t>généraux</w:t>
      </w:r>
      <w:r w:rsidR="0040166E">
        <w:rPr>
          <w:lang w:val="fr-FR"/>
        </w:rPr>
        <w:t xml:space="preserve"> </w:t>
      </w:r>
      <w:r w:rsidR="00867567">
        <w:rPr>
          <w:lang w:val="fr-FR"/>
        </w:rPr>
        <w:t xml:space="preserve">à atteindre </w:t>
      </w:r>
      <w:r w:rsidR="008D4F83">
        <w:rPr>
          <w:lang w:val="fr-FR"/>
        </w:rPr>
        <w:t>par</w:t>
      </w:r>
      <w:r w:rsidR="00867567">
        <w:rPr>
          <w:lang w:val="fr-FR"/>
        </w:rPr>
        <w:t xml:space="preserve"> la</w:t>
      </w:r>
      <w:r w:rsidR="0027711E" w:rsidRPr="00CF72CA">
        <w:rPr>
          <w:lang w:val="fr-FR"/>
        </w:rPr>
        <w:t xml:space="preserve"> mise en </w:t>
      </w:r>
      <w:r w:rsidR="00C32E71" w:rsidRPr="00CF72CA">
        <w:rPr>
          <w:lang w:val="fr-FR"/>
        </w:rPr>
        <w:t>œuvre</w:t>
      </w:r>
      <w:r w:rsidR="0027711E" w:rsidRPr="00CF72CA">
        <w:rPr>
          <w:lang w:val="fr-FR"/>
        </w:rPr>
        <w:t xml:space="preserve"> de </w:t>
      </w:r>
      <w:r w:rsidR="00867567">
        <w:rPr>
          <w:lang w:val="fr-FR"/>
        </w:rPr>
        <w:t>ces actions</w:t>
      </w:r>
      <w:r w:rsidR="0027711E" w:rsidRPr="00CF72CA">
        <w:rPr>
          <w:lang w:val="fr-FR"/>
        </w:rPr>
        <w:t xml:space="preserve"> de sensibilisation et de communication</w:t>
      </w:r>
      <w:r w:rsidR="0027711E">
        <w:rPr>
          <w:lang w:val="fr-FR"/>
        </w:rPr>
        <w:t xml:space="preserve"> </w:t>
      </w:r>
      <w:r w:rsidR="00867567">
        <w:rPr>
          <w:lang w:val="fr-FR"/>
        </w:rPr>
        <w:t>sont</w:t>
      </w:r>
      <w:r w:rsidR="00DF4F75">
        <w:rPr>
          <w:lang w:val="fr-FR"/>
        </w:rPr>
        <w:t> </w:t>
      </w:r>
      <w:r w:rsidR="00EF277E" w:rsidRPr="00CF72CA">
        <w:rPr>
          <w:lang w:val="fr-FR"/>
        </w:rPr>
        <w:t>:</w:t>
      </w:r>
    </w:p>
    <w:p w14:paraId="1F20F82D" w14:textId="05C63759" w:rsidR="00EF277E" w:rsidRPr="00CF72CA" w:rsidRDefault="0027711E" w:rsidP="0027711E">
      <w:pPr>
        <w:pStyle w:val="1GAPara"/>
        <w:numPr>
          <w:ilvl w:val="0"/>
          <w:numId w:val="16"/>
        </w:numPr>
        <w:ind w:left="1134" w:hanging="567"/>
        <w:jc w:val="both"/>
        <w:rPr>
          <w:lang w:val="fr-FR"/>
        </w:rPr>
      </w:pPr>
      <w:proofErr w:type="gramStart"/>
      <w:r w:rsidRPr="00CF72CA">
        <w:rPr>
          <w:lang w:val="fr-FR"/>
        </w:rPr>
        <w:t>sensibiliser</w:t>
      </w:r>
      <w:proofErr w:type="gramEnd"/>
      <w:r w:rsidRPr="00CF72CA">
        <w:rPr>
          <w:lang w:val="fr-FR"/>
        </w:rPr>
        <w:t xml:space="preserve"> </w:t>
      </w:r>
      <w:r>
        <w:rPr>
          <w:lang w:val="fr-FR"/>
        </w:rPr>
        <w:t>da</w:t>
      </w:r>
      <w:r w:rsidRPr="00CF72CA">
        <w:rPr>
          <w:lang w:val="fr-FR"/>
        </w:rPr>
        <w:t xml:space="preserve">vantage </w:t>
      </w:r>
      <w:r>
        <w:rPr>
          <w:lang w:val="fr-FR"/>
        </w:rPr>
        <w:t xml:space="preserve">au </w:t>
      </w:r>
      <w:r w:rsidRPr="00CF72CA">
        <w:rPr>
          <w:lang w:val="fr-FR"/>
        </w:rPr>
        <w:t>patrimoine culturel immatériel</w:t>
      </w:r>
      <w:r w:rsidR="00DF4F75">
        <w:rPr>
          <w:lang w:val="fr-FR"/>
        </w:rPr>
        <w:t> </w:t>
      </w:r>
      <w:r w:rsidR="00EF277E" w:rsidRPr="00CF72CA">
        <w:rPr>
          <w:lang w:val="fr-FR"/>
        </w:rPr>
        <w:t>;</w:t>
      </w:r>
    </w:p>
    <w:p w14:paraId="4EDD99B5" w14:textId="2046160B" w:rsidR="00EF277E" w:rsidRPr="00CF72CA" w:rsidRDefault="00BC70C0">
      <w:pPr>
        <w:pStyle w:val="1GAPara"/>
        <w:numPr>
          <w:ilvl w:val="0"/>
          <w:numId w:val="16"/>
        </w:numPr>
        <w:ind w:left="1134" w:hanging="567"/>
        <w:jc w:val="both"/>
        <w:rPr>
          <w:lang w:val="fr-FR"/>
        </w:rPr>
      </w:pPr>
      <w:proofErr w:type="gramStart"/>
      <w:r>
        <w:rPr>
          <w:lang w:val="fr-FR"/>
        </w:rPr>
        <w:t>renforcer</w:t>
      </w:r>
      <w:proofErr w:type="gramEnd"/>
      <w:r w:rsidR="007E5BA0">
        <w:rPr>
          <w:lang w:val="fr-FR"/>
        </w:rPr>
        <w:t xml:space="preserve"> </w:t>
      </w:r>
      <w:r w:rsidR="0027711E" w:rsidRPr="00CF72CA">
        <w:rPr>
          <w:lang w:val="fr-FR"/>
        </w:rPr>
        <w:t>la compréhension et l’importance de la sauvegarde du patrimoine culturel immatériel</w:t>
      </w:r>
      <w:r w:rsidR="00DF4F75">
        <w:rPr>
          <w:lang w:val="fr-FR"/>
        </w:rPr>
        <w:t> </w:t>
      </w:r>
      <w:r w:rsidR="00EF277E" w:rsidRPr="00CF72CA">
        <w:rPr>
          <w:lang w:val="fr-FR"/>
        </w:rPr>
        <w:t>;</w:t>
      </w:r>
    </w:p>
    <w:p w14:paraId="265E99E9" w14:textId="19BFE6B2" w:rsidR="00EF277E" w:rsidRPr="00CF72CA" w:rsidRDefault="00E32C1A" w:rsidP="009855E0">
      <w:pPr>
        <w:pStyle w:val="1GAPara"/>
        <w:numPr>
          <w:ilvl w:val="0"/>
          <w:numId w:val="16"/>
        </w:numPr>
        <w:ind w:left="1134" w:hanging="567"/>
        <w:jc w:val="both"/>
        <w:rPr>
          <w:lang w:val="fr-FR"/>
        </w:rPr>
      </w:pPr>
      <w:proofErr w:type="gramStart"/>
      <w:r w:rsidRPr="009855E0">
        <w:rPr>
          <w:lang w:val="fr-FR"/>
        </w:rPr>
        <w:t>illustrer</w:t>
      </w:r>
      <w:proofErr w:type="gramEnd"/>
      <w:r w:rsidR="00867567" w:rsidRPr="00CF72CA">
        <w:rPr>
          <w:lang w:val="fr-FR"/>
        </w:rPr>
        <w:t xml:space="preserve"> </w:t>
      </w:r>
      <w:r w:rsidR="007E5BA0">
        <w:rPr>
          <w:lang w:val="fr-FR"/>
        </w:rPr>
        <w:t>la pertinen</w:t>
      </w:r>
      <w:r w:rsidR="00BC70C0">
        <w:rPr>
          <w:lang w:val="fr-FR"/>
        </w:rPr>
        <w:t>ce</w:t>
      </w:r>
      <w:r w:rsidR="0040166E">
        <w:rPr>
          <w:lang w:val="fr-FR"/>
        </w:rPr>
        <w:t xml:space="preserve"> </w:t>
      </w:r>
      <w:r w:rsidR="00867567">
        <w:rPr>
          <w:lang w:val="fr-FR"/>
        </w:rPr>
        <w:t>du patrimoine culturel immatériel dans le monde d’aujourd’</w:t>
      </w:r>
      <w:r>
        <w:rPr>
          <w:lang w:val="fr-FR"/>
        </w:rPr>
        <w:t>hui</w:t>
      </w:r>
      <w:r w:rsidR="00DF4F75">
        <w:rPr>
          <w:lang w:val="fr-FR"/>
        </w:rPr>
        <w:t> </w:t>
      </w:r>
      <w:r w:rsidR="00EF277E" w:rsidRPr="00CF72CA">
        <w:rPr>
          <w:lang w:val="fr-FR"/>
        </w:rPr>
        <w:t>;</w:t>
      </w:r>
    </w:p>
    <w:p w14:paraId="16433B5E" w14:textId="3E10E260" w:rsidR="00EF277E" w:rsidRPr="00CF72CA" w:rsidRDefault="00867567" w:rsidP="00E34890">
      <w:pPr>
        <w:pStyle w:val="1GAPara"/>
        <w:numPr>
          <w:ilvl w:val="0"/>
          <w:numId w:val="16"/>
        </w:numPr>
        <w:ind w:left="1134" w:hanging="567"/>
        <w:jc w:val="both"/>
        <w:rPr>
          <w:lang w:val="fr-FR"/>
        </w:rPr>
      </w:pPr>
      <w:proofErr w:type="gramStart"/>
      <w:r w:rsidRPr="00CF72CA">
        <w:rPr>
          <w:lang w:val="fr-FR"/>
        </w:rPr>
        <w:t>promouvoir</w:t>
      </w:r>
      <w:proofErr w:type="gramEnd"/>
      <w:r w:rsidRPr="00CF72CA">
        <w:rPr>
          <w:lang w:val="fr-FR"/>
        </w:rPr>
        <w:t xml:space="preserve"> </w:t>
      </w:r>
      <w:r w:rsidR="00E34890">
        <w:rPr>
          <w:lang w:val="fr-FR"/>
        </w:rPr>
        <w:t xml:space="preserve">l’impact </w:t>
      </w:r>
      <w:r w:rsidR="0040166E">
        <w:rPr>
          <w:lang w:val="fr-FR"/>
        </w:rPr>
        <w:t>effectif</w:t>
      </w:r>
      <w:r w:rsidRPr="00CF72CA">
        <w:rPr>
          <w:lang w:val="fr-FR"/>
        </w:rPr>
        <w:t xml:space="preserve"> de la Convention </w:t>
      </w:r>
      <w:r w:rsidR="00431203">
        <w:rPr>
          <w:lang w:val="fr-FR"/>
        </w:rPr>
        <w:t xml:space="preserve">de </w:t>
      </w:r>
      <w:r w:rsidRPr="00CF72CA">
        <w:rPr>
          <w:lang w:val="fr-FR"/>
        </w:rPr>
        <w:t xml:space="preserve">2003 et des mécanismes de </w:t>
      </w:r>
      <w:r w:rsidRPr="00867567">
        <w:rPr>
          <w:lang w:val="fr-FR"/>
        </w:rPr>
        <w:t>coop</w:t>
      </w:r>
      <w:r>
        <w:rPr>
          <w:lang w:val="fr-FR"/>
        </w:rPr>
        <w:t>é</w:t>
      </w:r>
      <w:r w:rsidRPr="00CF72CA">
        <w:rPr>
          <w:lang w:val="fr-FR"/>
        </w:rPr>
        <w:t>ration international</w:t>
      </w:r>
      <w:r w:rsidR="00E32C1A">
        <w:rPr>
          <w:lang w:val="fr-FR"/>
        </w:rPr>
        <w:t>e</w:t>
      </w:r>
      <w:r w:rsidRPr="00CF72CA">
        <w:rPr>
          <w:lang w:val="fr-FR"/>
        </w:rPr>
        <w:t xml:space="preserve"> qu’elle </w:t>
      </w:r>
      <w:r w:rsidR="006741F9">
        <w:rPr>
          <w:lang w:val="fr-FR"/>
        </w:rPr>
        <w:t>sou</w:t>
      </w:r>
      <w:r w:rsidR="0040166E">
        <w:rPr>
          <w:lang w:val="fr-FR"/>
        </w:rPr>
        <w:t>tient</w:t>
      </w:r>
      <w:r w:rsidR="00DF4F75">
        <w:rPr>
          <w:lang w:val="fr-FR"/>
        </w:rPr>
        <w:t> </w:t>
      </w:r>
      <w:r w:rsidR="00EF277E" w:rsidRPr="00CF72CA">
        <w:rPr>
          <w:lang w:val="fr-FR"/>
        </w:rPr>
        <w:t>;</w:t>
      </w:r>
    </w:p>
    <w:p w14:paraId="2C492FB6" w14:textId="28C95A9D" w:rsidR="00EF277E" w:rsidRPr="00CF72CA" w:rsidRDefault="00BC70C0" w:rsidP="00CF72CA">
      <w:pPr>
        <w:pStyle w:val="1GAPara"/>
        <w:numPr>
          <w:ilvl w:val="0"/>
          <w:numId w:val="16"/>
        </w:numPr>
        <w:ind w:left="1134" w:hanging="567"/>
        <w:jc w:val="both"/>
        <w:rPr>
          <w:lang w:val="fr-FR"/>
        </w:rPr>
      </w:pPr>
      <w:proofErr w:type="gramStart"/>
      <w:r>
        <w:rPr>
          <w:lang w:val="fr-FR"/>
        </w:rPr>
        <w:t>susciter</w:t>
      </w:r>
      <w:proofErr w:type="gramEnd"/>
      <w:r>
        <w:rPr>
          <w:lang w:val="fr-FR"/>
        </w:rPr>
        <w:t xml:space="preserve"> </w:t>
      </w:r>
      <w:r w:rsidR="00E32C1A" w:rsidRPr="00CF72CA">
        <w:rPr>
          <w:lang w:val="fr-FR"/>
        </w:rPr>
        <w:t xml:space="preserve">une opinion </w:t>
      </w:r>
      <w:r w:rsidR="00E32C1A">
        <w:rPr>
          <w:lang w:val="fr-FR"/>
        </w:rPr>
        <w:t xml:space="preserve">positive dans les médias et </w:t>
      </w:r>
      <w:r w:rsidR="002A35DA">
        <w:rPr>
          <w:lang w:val="fr-FR"/>
        </w:rPr>
        <w:t xml:space="preserve">établir </w:t>
      </w:r>
      <w:r w:rsidR="00E32C1A">
        <w:rPr>
          <w:lang w:val="fr-FR"/>
        </w:rPr>
        <w:t xml:space="preserve">des relations publiques </w:t>
      </w:r>
      <w:r w:rsidR="006741F9">
        <w:rPr>
          <w:lang w:val="fr-FR"/>
        </w:rPr>
        <w:t xml:space="preserve">fructueuses </w:t>
      </w:r>
      <w:r w:rsidR="00E32C1A">
        <w:rPr>
          <w:lang w:val="fr-FR"/>
        </w:rPr>
        <w:t>sur le patrimoine culturel immatériel</w:t>
      </w:r>
      <w:r w:rsidR="00DF4F75">
        <w:rPr>
          <w:lang w:val="fr-FR"/>
        </w:rPr>
        <w:t> </w:t>
      </w:r>
      <w:r w:rsidR="00EF277E" w:rsidRPr="00CF72CA">
        <w:rPr>
          <w:lang w:val="fr-FR"/>
        </w:rPr>
        <w:t>;</w:t>
      </w:r>
    </w:p>
    <w:p w14:paraId="0EB81331" w14:textId="21A37A4A" w:rsidR="00EF277E" w:rsidRPr="00CF72CA" w:rsidRDefault="00E32C1A" w:rsidP="00CF72CA">
      <w:pPr>
        <w:pStyle w:val="1GAPara"/>
        <w:numPr>
          <w:ilvl w:val="0"/>
          <w:numId w:val="16"/>
        </w:numPr>
        <w:ind w:left="1134" w:hanging="567"/>
        <w:jc w:val="both"/>
        <w:rPr>
          <w:lang w:val="fr-FR"/>
        </w:rPr>
      </w:pPr>
      <w:proofErr w:type="gramStart"/>
      <w:r>
        <w:rPr>
          <w:lang w:val="fr-FR"/>
        </w:rPr>
        <w:t>développer</w:t>
      </w:r>
      <w:proofErr w:type="gramEnd"/>
      <w:r w:rsidR="009855E0">
        <w:rPr>
          <w:lang w:val="fr-FR"/>
        </w:rPr>
        <w:t xml:space="preserve"> de nouveaux publics</w:t>
      </w:r>
      <w:r w:rsidR="002A35DA">
        <w:rPr>
          <w:lang w:val="fr-FR"/>
        </w:rPr>
        <w:t>, mobiliser l</w:t>
      </w:r>
      <w:r>
        <w:rPr>
          <w:lang w:val="fr-FR"/>
        </w:rPr>
        <w:t xml:space="preserve">es acteurs et </w:t>
      </w:r>
      <w:r w:rsidR="004F6472">
        <w:rPr>
          <w:lang w:val="fr-FR"/>
        </w:rPr>
        <w:t xml:space="preserve">développer </w:t>
      </w:r>
      <w:r>
        <w:rPr>
          <w:lang w:val="fr-FR"/>
        </w:rPr>
        <w:t xml:space="preserve">des partenariats </w:t>
      </w:r>
      <w:r w:rsidR="002A35DA">
        <w:rPr>
          <w:lang w:val="fr-FR"/>
        </w:rPr>
        <w:t>pour</w:t>
      </w:r>
      <w:r>
        <w:rPr>
          <w:lang w:val="fr-FR"/>
        </w:rPr>
        <w:t xml:space="preserve"> promouvoir davantage la sauvegarde du patrimoine culturel immatériel</w:t>
      </w:r>
      <w:r w:rsidR="00EF277E" w:rsidRPr="00CF72CA">
        <w:rPr>
          <w:lang w:val="fr-FR"/>
        </w:rPr>
        <w:t>.</w:t>
      </w:r>
    </w:p>
    <w:p w14:paraId="46C4E983" w14:textId="0F80C78D" w:rsidR="00EF277E" w:rsidRPr="00CF72CA" w:rsidRDefault="009855E0" w:rsidP="005013D5">
      <w:pPr>
        <w:pStyle w:val="1GAPara"/>
        <w:numPr>
          <w:ilvl w:val="0"/>
          <w:numId w:val="8"/>
        </w:numPr>
        <w:ind w:left="567" w:hanging="567"/>
        <w:jc w:val="both"/>
        <w:rPr>
          <w:lang w:val="fr-FR"/>
        </w:rPr>
      </w:pPr>
      <w:r w:rsidRPr="00CF72CA">
        <w:rPr>
          <w:lang w:val="fr-FR"/>
        </w:rPr>
        <w:t>L</w:t>
      </w:r>
      <w:r>
        <w:rPr>
          <w:lang w:val="fr-FR"/>
        </w:rPr>
        <w:t>es parties prenantes de la Convention</w:t>
      </w:r>
      <w:r w:rsidR="00132858">
        <w:rPr>
          <w:lang w:val="fr-FR"/>
        </w:rPr>
        <w:t xml:space="preserve"> </w:t>
      </w:r>
      <w:r w:rsidR="00431203">
        <w:rPr>
          <w:lang w:val="fr-FR"/>
        </w:rPr>
        <w:t xml:space="preserve">de </w:t>
      </w:r>
      <w:r w:rsidR="00132858">
        <w:rPr>
          <w:lang w:val="fr-FR"/>
        </w:rPr>
        <w:t>2003 constituent l</w:t>
      </w:r>
      <w:r w:rsidRPr="00CF72CA">
        <w:rPr>
          <w:lang w:val="fr-FR"/>
        </w:rPr>
        <w:t xml:space="preserve">es </w:t>
      </w:r>
      <w:r w:rsidRPr="002F3CCA">
        <w:rPr>
          <w:lang w:val="fr-FR"/>
        </w:rPr>
        <w:t xml:space="preserve">principaux </w:t>
      </w:r>
      <w:r w:rsidRPr="00543FAA">
        <w:rPr>
          <w:u w:val="single"/>
          <w:lang w:val="fr-FR"/>
        </w:rPr>
        <w:t xml:space="preserve">groupes </w:t>
      </w:r>
      <w:r w:rsidR="002A35DA" w:rsidRPr="00543FAA">
        <w:rPr>
          <w:u w:val="single"/>
          <w:lang w:val="fr-FR"/>
        </w:rPr>
        <w:t>cibles</w:t>
      </w:r>
      <w:r w:rsidR="002A35DA" w:rsidRPr="008B3139">
        <w:rPr>
          <w:lang w:val="fr-FR"/>
        </w:rPr>
        <w:t xml:space="preserve"> </w:t>
      </w:r>
      <w:r w:rsidR="00634AB8">
        <w:rPr>
          <w:lang w:val="fr-FR"/>
        </w:rPr>
        <w:t xml:space="preserve">pour </w:t>
      </w:r>
      <w:r w:rsidR="00634AB8" w:rsidRPr="00DA16E1">
        <w:rPr>
          <w:lang w:val="fr-FR"/>
        </w:rPr>
        <w:t xml:space="preserve">les activités de </w:t>
      </w:r>
      <w:r w:rsidRPr="00B555D4">
        <w:rPr>
          <w:lang w:val="fr-FR"/>
        </w:rPr>
        <w:t>sensibilisation et communication</w:t>
      </w:r>
      <w:r w:rsidR="00A57011">
        <w:rPr>
          <w:lang w:val="fr-FR"/>
        </w:rPr>
        <w:t>. Cela comprend l</w:t>
      </w:r>
      <w:r w:rsidR="00132858">
        <w:rPr>
          <w:lang w:val="fr-FR"/>
        </w:rPr>
        <w:t xml:space="preserve">es États parties et les institutions nationales, les donateurs actuels et </w:t>
      </w:r>
      <w:r w:rsidR="005013D5">
        <w:rPr>
          <w:lang w:val="fr-FR"/>
        </w:rPr>
        <w:t>potentiels</w:t>
      </w:r>
      <w:r w:rsidR="00132858">
        <w:rPr>
          <w:lang w:val="fr-FR"/>
        </w:rPr>
        <w:t xml:space="preserve">, </w:t>
      </w:r>
      <w:r w:rsidR="003A7CFF">
        <w:rPr>
          <w:lang w:val="fr-FR"/>
        </w:rPr>
        <w:t>les partenaires institutionnel</w:t>
      </w:r>
      <w:r w:rsidR="00132858">
        <w:rPr>
          <w:lang w:val="fr-FR"/>
        </w:rPr>
        <w:t xml:space="preserve">s tels que les ONG accréditées et les </w:t>
      </w:r>
      <w:r w:rsidR="004A1A6D">
        <w:rPr>
          <w:lang w:val="fr-FR"/>
        </w:rPr>
        <w:t>C</w:t>
      </w:r>
      <w:r w:rsidR="00132858">
        <w:rPr>
          <w:lang w:val="fr-FR"/>
        </w:rPr>
        <w:t xml:space="preserve">entres de catégorie 2, les </w:t>
      </w:r>
      <w:r w:rsidR="00BE6FB9">
        <w:rPr>
          <w:lang w:val="fr-FR"/>
        </w:rPr>
        <w:t>b</w:t>
      </w:r>
      <w:r w:rsidR="00132858">
        <w:rPr>
          <w:lang w:val="fr-FR"/>
        </w:rPr>
        <w:t xml:space="preserve">ureaux hors </w:t>
      </w:r>
      <w:r w:rsidR="00BE6FB9">
        <w:rPr>
          <w:lang w:val="fr-FR"/>
        </w:rPr>
        <w:t>S</w:t>
      </w:r>
      <w:r w:rsidR="00132858">
        <w:rPr>
          <w:lang w:val="fr-FR"/>
        </w:rPr>
        <w:t xml:space="preserve">iège de l’UNESCO, les professionnels du patrimoine, les </w:t>
      </w:r>
      <w:r w:rsidR="004F6472">
        <w:rPr>
          <w:lang w:val="fr-FR"/>
        </w:rPr>
        <w:t>praticiens</w:t>
      </w:r>
      <w:r w:rsidR="00132858">
        <w:rPr>
          <w:lang w:val="fr-FR"/>
        </w:rPr>
        <w:t xml:space="preserve"> du patrimoine culturel immatériel et les communautés. L’</w:t>
      </w:r>
      <w:r w:rsidR="003A7CFF">
        <w:rPr>
          <w:lang w:val="fr-FR"/>
        </w:rPr>
        <w:t xml:space="preserve">objectif s’élargit progressivement </w:t>
      </w:r>
      <w:r w:rsidR="002A35DA">
        <w:rPr>
          <w:lang w:val="fr-FR"/>
        </w:rPr>
        <w:t xml:space="preserve">pour </w:t>
      </w:r>
      <w:r w:rsidR="004F6472">
        <w:rPr>
          <w:lang w:val="fr-FR"/>
        </w:rPr>
        <w:t>inclure le public inexploité des jeunes</w:t>
      </w:r>
      <w:r w:rsidR="002A35DA">
        <w:rPr>
          <w:lang w:val="fr-FR"/>
        </w:rPr>
        <w:t xml:space="preserve"> </w:t>
      </w:r>
      <w:r w:rsidR="003A7CFF">
        <w:rPr>
          <w:lang w:val="fr-FR"/>
        </w:rPr>
        <w:t xml:space="preserve">et </w:t>
      </w:r>
      <w:r w:rsidR="002A35DA">
        <w:rPr>
          <w:lang w:val="fr-FR"/>
        </w:rPr>
        <w:t>le</w:t>
      </w:r>
      <w:r w:rsidR="003A7CFF">
        <w:rPr>
          <w:lang w:val="fr-FR"/>
        </w:rPr>
        <w:t xml:space="preserve"> grand public. </w:t>
      </w:r>
      <w:r w:rsidR="002A35DA">
        <w:rPr>
          <w:lang w:val="fr-FR"/>
        </w:rPr>
        <w:t xml:space="preserve">Les différents instruments et actions devraient bénéficier à </w:t>
      </w:r>
      <w:r w:rsidR="002A35DA" w:rsidRPr="00DA16E1">
        <w:rPr>
          <w:lang w:val="fr-FR"/>
        </w:rPr>
        <w:t>ce</w:t>
      </w:r>
      <w:r w:rsidR="003A7CFF" w:rsidRPr="00DA16E1">
        <w:rPr>
          <w:lang w:val="fr-FR"/>
        </w:rPr>
        <w:t>s publics clé</w:t>
      </w:r>
      <w:r w:rsidR="008B58E5" w:rsidRPr="00B555D4">
        <w:rPr>
          <w:lang w:val="fr-FR"/>
        </w:rPr>
        <w:t>s</w:t>
      </w:r>
      <w:r w:rsidR="003A7CFF">
        <w:rPr>
          <w:lang w:val="fr-FR"/>
        </w:rPr>
        <w:t xml:space="preserve"> </w:t>
      </w:r>
      <w:r w:rsidR="005013D5">
        <w:rPr>
          <w:lang w:val="fr-FR"/>
        </w:rPr>
        <w:t>lesquels</w:t>
      </w:r>
      <w:r w:rsidR="007E5BA0">
        <w:rPr>
          <w:lang w:val="fr-FR"/>
        </w:rPr>
        <w:t xml:space="preserve"> </w:t>
      </w:r>
      <w:r w:rsidR="00A57011">
        <w:rPr>
          <w:lang w:val="fr-FR"/>
        </w:rPr>
        <w:t>p</w:t>
      </w:r>
      <w:r w:rsidR="00543ECF">
        <w:rPr>
          <w:lang w:val="fr-FR"/>
        </w:rPr>
        <w:t>euvent</w:t>
      </w:r>
      <w:r w:rsidR="002A35DA">
        <w:rPr>
          <w:lang w:val="fr-FR"/>
        </w:rPr>
        <w:t xml:space="preserve"> </w:t>
      </w:r>
      <w:r w:rsidR="00A57011">
        <w:rPr>
          <w:lang w:val="fr-FR"/>
        </w:rPr>
        <w:t xml:space="preserve">être </w:t>
      </w:r>
      <w:r w:rsidR="004A5EFB">
        <w:rPr>
          <w:lang w:val="fr-FR"/>
        </w:rPr>
        <w:t>considéré</w:t>
      </w:r>
      <w:r w:rsidR="00A57011">
        <w:rPr>
          <w:lang w:val="fr-FR"/>
        </w:rPr>
        <w:t>s</w:t>
      </w:r>
      <w:r w:rsidR="004A5EFB">
        <w:rPr>
          <w:lang w:val="fr-FR"/>
        </w:rPr>
        <w:t xml:space="preserve"> comme acteurs </w:t>
      </w:r>
      <w:r w:rsidR="007E5BA0">
        <w:rPr>
          <w:lang w:val="fr-FR"/>
        </w:rPr>
        <w:t>capables</w:t>
      </w:r>
      <w:r w:rsidR="002366CA">
        <w:rPr>
          <w:lang w:val="fr-FR"/>
        </w:rPr>
        <w:t xml:space="preserve"> de contribuer au processus de mise en </w:t>
      </w:r>
      <w:r w:rsidR="002366CA" w:rsidRPr="00DA16E1">
        <w:rPr>
          <w:lang w:val="fr-FR"/>
        </w:rPr>
        <w:t xml:space="preserve">œuvre </w:t>
      </w:r>
      <w:r w:rsidR="001834E4" w:rsidRPr="00DA16E1">
        <w:rPr>
          <w:lang w:val="fr-FR"/>
        </w:rPr>
        <w:t xml:space="preserve">du plan </w:t>
      </w:r>
      <w:r w:rsidR="002366CA" w:rsidRPr="00B555D4">
        <w:rPr>
          <w:lang w:val="fr-FR"/>
        </w:rPr>
        <w:t>à</w:t>
      </w:r>
      <w:r w:rsidR="002366CA">
        <w:rPr>
          <w:lang w:val="fr-FR"/>
        </w:rPr>
        <w:t xml:space="preserve"> l’échelle régionale, nationale et locale</w:t>
      </w:r>
      <w:r w:rsidR="002E322C">
        <w:rPr>
          <w:lang w:val="fr-FR"/>
        </w:rPr>
        <w:t>,</w:t>
      </w:r>
      <w:r w:rsidR="00A57011">
        <w:rPr>
          <w:lang w:val="fr-FR"/>
        </w:rPr>
        <w:t xml:space="preserve"> </w:t>
      </w:r>
      <w:r w:rsidR="00DA16E1">
        <w:rPr>
          <w:lang w:val="fr-FR"/>
        </w:rPr>
        <w:t>en élargissant</w:t>
      </w:r>
      <w:r w:rsidR="002366CA">
        <w:rPr>
          <w:lang w:val="fr-FR"/>
        </w:rPr>
        <w:t xml:space="preserve"> et approfondi</w:t>
      </w:r>
      <w:r w:rsidR="00DA16E1">
        <w:rPr>
          <w:lang w:val="fr-FR"/>
        </w:rPr>
        <w:t>ssant la portée de la communication.</w:t>
      </w:r>
    </w:p>
    <w:p w14:paraId="0B3F0E99" w14:textId="3715C37D" w:rsidR="00EF277E" w:rsidRPr="00CF72CA" w:rsidRDefault="00CE2E6A" w:rsidP="00EF277E">
      <w:pPr>
        <w:pStyle w:val="1GAPara"/>
        <w:numPr>
          <w:ilvl w:val="0"/>
          <w:numId w:val="8"/>
        </w:numPr>
        <w:ind w:left="567" w:hanging="567"/>
        <w:jc w:val="both"/>
        <w:rPr>
          <w:u w:val="single"/>
          <w:lang w:val="fr-FR"/>
        </w:rPr>
      </w:pPr>
      <w:r>
        <w:rPr>
          <w:lang w:val="fr-FR"/>
        </w:rPr>
        <w:t>Afin d’obtenir des activités et des résultats concrets ciblant des publics spécifiques, l</w:t>
      </w:r>
      <w:r w:rsidR="002366CA" w:rsidRPr="00CF72CA">
        <w:rPr>
          <w:lang w:val="fr-FR"/>
        </w:rPr>
        <w:t xml:space="preserve">e plan de sensibilisation et de communication </w:t>
      </w:r>
      <w:r w:rsidR="002366CA">
        <w:rPr>
          <w:lang w:val="fr-FR"/>
        </w:rPr>
        <w:t xml:space="preserve">devrait être déployé </w:t>
      </w:r>
      <w:r w:rsidR="001A23A9">
        <w:rPr>
          <w:lang w:val="fr-FR"/>
        </w:rPr>
        <w:t xml:space="preserve">suivant </w:t>
      </w:r>
      <w:r w:rsidR="001A23A9" w:rsidRPr="00543FAA">
        <w:rPr>
          <w:u w:val="single"/>
          <w:lang w:val="fr-FR"/>
        </w:rPr>
        <w:t>trois axes</w:t>
      </w:r>
      <w:r w:rsidR="00DF4F75">
        <w:rPr>
          <w:lang w:val="fr-FR"/>
        </w:rPr>
        <w:t> </w:t>
      </w:r>
      <w:r w:rsidR="00EF277E" w:rsidRPr="00CF72CA">
        <w:rPr>
          <w:lang w:val="fr-FR"/>
        </w:rPr>
        <w:t>:</w:t>
      </w:r>
    </w:p>
    <w:p w14:paraId="0D1FCC6A" w14:textId="6909A124" w:rsidR="00EF277E" w:rsidRPr="00CF72CA" w:rsidRDefault="0034412C" w:rsidP="0034412C">
      <w:pPr>
        <w:pStyle w:val="1GAPara"/>
        <w:numPr>
          <w:ilvl w:val="1"/>
          <w:numId w:val="17"/>
        </w:numPr>
        <w:ind w:left="1134" w:hanging="567"/>
        <w:jc w:val="both"/>
        <w:rPr>
          <w:lang w:val="fr-FR"/>
        </w:rPr>
      </w:pPr>
      <w:r>
        <w:rPr>
          <w:lang w:val="fr-FR"/>
        </w:rPr>
        <w:t>« </w:t>
      </w:r>
      <w:r w:rsidR="002F6EFC" w:rsidRPr="00CF72CA">
        <w:rPr>
          <w:b/>
          <w:bCs/>
          <w:lang w:val="fr-FR"/>
        </w:rPr>
        <w:t>Le d</w:t>
      </w:r>
      <w:r w:rsidR="00740F0D" w:rsidRPr="00CF72CA">
        <w:rPr>
          <w:b/>
          <w:bCs/>
          <w:lang w:val="fr-FR"/>
        </w:rPr>
        <w:t>éveloppement et l’</w:t>
      </w:r>
      <w:r w:rsidR="00740F0D">
        <w:rPr>
          <w:b/>
          <w:bCs/>
          <w:lang w:val="fr-FR"/>
        </w:rPr>
        <w:t>utilisation d</w:t>
      </w:r>
      <w:r w:rsidR="00DA16E1">
        <w:rPr>
          <w:b/>
          <w:bCs/>
          <w:lang w:val="fr-FR"/>
        </w:rPr>
        <w:t xml:space="preserve">es </w:t>
      </w:r>
      <w:r w:rsidR="00021FC6">
        <w:rPr>
          <w:b/>
          <w:bCs/>
          <w:lang w:val="fr-FR"/>
        </w:rPr>
        <w:t>outils</w:t>
      </w:r>
      <w:r w:rsidR="00740F0D">
        <w:rPr>
          <w:b/>
          <w:bCs/>
          <w:lang w:val="fr-FR"/>
        </w:rPr>
        <w:t xml:space="preserve"> de communication</w:t>
      </w:r>
      <w:r w:rsidR="00740F0D">
        <w:rPr>
          <w:lang w:val="fr-FR"/>
        </w:rPr>
        <w:t> »,</w:t>
      </w:r>
      <w:r w:rsidR="007C221F">
        <w:rPr>
          <w:lang w:val="fr-FR"/>
        </w:rPr>
        <w:t xml:space="preserve"> concerne l’utilisation des </w:t>
      </w:r>
      <w:r w:rsidR="00740F0D">
        <w:rPr>
          <w:lang w:val="fr-FR"/>
        </w:rPr>
        <w:t xml:space="preserve">outils de communication nécessaires </w:t>
      </w:r>
      <w:r w:rsidR="005013D5">
        <w:rPr>
          <w:lang w:val="fr-FR"/>
        </w:rPr>
        <w:t xml:space="preserve">à </w:t>
      </w:r>
      <w:r w:rsidR="00740F0D">
        <w:rPr>
          <w:lang w:val="fr-FR"/>
        </w:rPr>
        <w:t>la mise œuvre d</w:t>
      </w:r>
      <w:r w:rsidR="008B58E5">
        <w:rPr>
          <w:lang w:val="fr-FR"/>
        </w:rPr>
        <w:t>es activités</w:t>
      </w:r>
      <w:r w:rsidR="00740F0D">
        <w:rPr>
          <w:lang w:val="fr-FR"/>
        </w:rPr>
        <w:t xml:space="preserve"> de communication et de sensibilisation. </w:t>
      </w:r>
      <w:r w:rsidR="006105AD">
        <w:rPr>
          <w:lang w:val="fr-FR"/>
        </w:rPr>
        <w:t xml:space="preserve">Cela </w:t>
      </w:r>
      <w:r w:rsidR="00CE2E6A">
        <w:rPr>
          <w:lang w:val="fr-FR"/>
        </w:rPr>
        <w:t>comprend l’élaboration</w:t>
      </w:r>
      <w:r w:rsidR="006105AD">
        <w:rPr>
          <w:lang w:val="fr-FR"/>
        </w:rPr>
        <w:t xml:space="preserve"> de</w:t>
      </w:r>
      <w:r w:rsidR="000838FA">
        <w:rPr>
          <w:lang w:val="fr-FR"/>
        </w:rPr>
        <w:t>s</w:t>
      </w:r>
      <w:r w:rsidR="006105AD">
        <w:rPr>
          <w:lang w:val="fr-FR"/>
        </w:rPr>
        <w:t xml:space="preserve"> normes graphiques et de</w:t>
      </w:r>
      <w:r w:rsidR="000838FA">
        <w:rPr>
          <w:lang w:val="fr-FR"/>
        </w:rPr>
        <w:t>s</w:t>
      </w:r>
      <w:r w:rsidR="00CE2E6A">
        <w:rPr>
          <w:lang w:val="fr-FR"/>
        </w:rPr>
        <w:t xml:space="preserve"> </w:t>
      </w:r>
      <w:r w:rsidR="006105AD">
        <w:rPr>
          <w:lang w:val="fr-FR"/>
        </w:rPr>
        <w:t>directives en matière de médias</w:t>
      </w:r>
      <w:r w:rsidR="00CE2E6A">
        <w:rPr>
          <w:lang w:val="fr-FR"/>
        </w:rPr>
        <w:t xml:space="preserve"> ainsi que le renforcement</w:t>
      </w:r>
      <w:r w:rsidR="006105AD">
        <w:rPr>
          <w:lang w:val="fr-FR"/>
        </w:rPr>
        <w:t xml:space="preserve"> </w:t>
      </w:r>
      <w:r w:rsidR="00B7487A">
        <w:rPr>
          <w:lang w:val="fr-FR"/>
        </w:rPr>
        <w:t xml:space="preserve">des </w:t>
      </w:r>
      <w:r w:rsidR="005E4BA1">
        <w:rPr>
          <w:lang w:val="fr-FR"/>
        </w:rPr>
        <w:t>outils de communication</w:t>
      </w:r>
      <w:r w:rsidR="006105AD">
        <w:rPr>
          <w:lang w:val="fr-FR"/>
        </w:rPr>
        <w:t xml:space="preserve"> tels que le </w:t>
      </w:r>
      <w:r w:rsidR="000838FA">
        <w:rPr>
          <w:lang w:val="fr-FR"/>
        </w:rPr>
        <w:t>système de gestion des connaissances</w:t>
      </w:r>
      <w:r w:rsidR="006105AD">
        <w:rPr>
          <w:lang w:val="fr-FR"/>
        </w:rPr>
        <w:t xml:space="preserve">, le site web et les </w:t>
      </w:r>
      <w:r w:rsidR="007F6690">
        <w:rPr>
          <w:lang w:val="fr-FR"/>
        </w:rPr>
        <w:t>médias sociaux</w:t>
      </w:r>
      <w:r w:rsidR="00EF277E" w:rsidRPr="00CF72CA">
        <w:rPr>
          <w:lang w:val="fr-FR"/>
        </w:rPr>
        <w:t>.</w:t>
      </w:r>
    </w:p>
    <w:p w14:paraId="17F1C744" w14:textId="71556270" w:rsidR="00EF277E" w:rsidRPr="00CF72CA" w:rsidRDefault="00CA6198" w:rsidP="00543FAA">
      <w:pPr>
        <w:pStyle w:val="1GAPara"/>
        <w:numPr>
          <w:ilvl w:val="1"/>
          <w:numId w:val="17"/>
        </w:numPr>
        <w:ind w:left="1134" w:hanging="567"/>
        <w:jc w:val="both"/>
        <w:rPr>
          <w:lang w:val="fr-FR"/>
        </w:rPr>
      </w:pPr>
      <w:r>
        <w:rPr>
          <w:lang w:val="fr-FR"/>
        </w:rPr>
        <w:t>E</w:t>
      </w:r>
      <w:r w:rsidR="0043712D">
        <w:rPr>
          <w:lang w:val="fr-FR"/>
        </w:rPr>
        <w:t xml:space="preserve">n ce qui </w:t>
      </w:r>
      <w:r w:rsidR="0043712D" w:rsidRPr="00B555D4">
        <w:rPr>
          <w:lang w:val="fr-FR"/>
        </w:rPr>
        <w:t>conc</w:t>
      </w:r>
      <w:r w:rsidRPr="00B555D4">
        <w:rPr>
          <w:lang w:val="fr-FR"/>
        </w:rPr>
        <w:t xml:space="preserve">erne </w:t>
      </w:r>
      <w:r w:rsidR="0034412C" w:rsidRPr="00B555D4">
        <w:rPr>
          <w:lang w:val="fr-FR"/>
        </w:rPr>
        <w:t>« </w:t>
      </w:r>
      <w:r w:rsidR="002F6EFC" w:rsidRPr="00B555D4">
        <w:rPr>
          <w:b/>
          <w:bCs/>
          <w:lang w:val="fr-FR"/>
        </w:rPr>
        <w:t>la p</w:t>
      </w:r>
      <w:r w:rsidRPr="00B555D4">
        <w:rPr>
          <w:b/>
          <w:bCs/>
          <w:lang w:val="fr-FR"/>
        </w:rPr>
        <w:t>roduction et la diffusion de supports</w:t>
      </w:r>
      <w:r w:rsidRPr="0019602F">
        <w:rPr>
          <w:b/>
          <w:bCs/>
          <w:lang w:val="fr-FR"/>
        </w:rPr>
        <w:t xml:space="preserve"> de communication</w:t>
      </w:r>
      <w:r w:rsidRPr="0019602F">
        <w:rPr>
          <w:lang w:val="fr-FR"/>
        </w:rPr>
        <w:t xml:space="preserve"> », le Secrétariat </w:t>
      </w:r>
      <w:r w:rsidR="007F6690" w:rsidRPr="00DA16E1">
        <w:rPr>
          <w:lang w:val="fr-FR"/>
        </w:rPr>
        <w:t>mettra l’accent</w:t>
      </w:r>
      <w:r w:rsidRPr="00DA16E1">
        <w:rPr>
          <w:lang w:val="fr-FR"/>
        </w:rPr>
        <w:t xml:space="preserve"> sur </w:t>
      </w:r>
      <w:r w:rsidR="007F6690" w:rsidRPr="00DA16E1">
        <w:rPr>
          <w:lang w:val="fr-FR"/>
        </w:rPr>
        <w:t>la conception</w:t>
      </w:r>
      <w:r w:rsidR="002E322C" w:rsidRPr="00DA16E1">
        <w:rPr>
          <w:lang w:val="fr-FR"/>
        </w:rPr>
        <w:t xml:space="preserve"> de</w:t>
      </w:r>
      <w:r w:rsidRPr="00DA16E1">
        <w:rPr>
          <w:lang w:val="fr-FR"/>
        </w:rPr>
        <w:t xml:space="preserve"> supports</w:t>
      </w:r>
      <w:r w:rsidR="004B1AFE" w:rsidRPr="00DA16E1">
        <w:rPr>
          <w:lang w:val="fr-FR"/>
        </w:rPr>
        <w:t xml:space="preserve"> de communication et de sensibilisation </w:t>
      </w:r>
      <w:r w:rsidR="000838FA" w:rsidRPr="00DA16E1">
        <w:rPr>
          <w:lang w:val="fr-FR"/>
        </w:rPr>
        <w:t xml:space="preserve">dans </w:t>
      </w:r>
      <w:r w:rsidR="004B1AFE" w:rsidRPr="00DA16E1">
        <w:rPr>
          <w:lang w:val="fr-FR"/>
        </w:rPr>
        <w:t>différents formats (papier, audio-visuel et digital</w:t>
      </w:r>
      <w:r w:rsidR="00936429" w:rsidRPr="00DA16E1">
        <w:rPr>
          <w:lang w:val="fr-FR"/>
        </w:rPr>
        <w:t>)</w:t>
      </w:r>
      <w:r w:rsidR="005E4BA1">
        <w:rPr>
          <w:lang w:val="fr-FR"/>
        </w:rPr>
        <w:t>. L</w:t>
      </w:r>
      <w:r w:rsidR="00B9349E" w:rsidRPr="00DA16E1">
        <w:rPr>
          <w:lang w:val="fr-FR"/>
        </w:rPr>
        <w:t>es différents publics bénéficieront de messages convaincants et pertinents</w:t>
      </w:r>
      <w:r w:rsidR="0043712D" w:rsidRPr="00DA16E1">
        <w:rPr>
          <w:lang w:val="fr-FR"/>
        </w:rPr>
        <w:t xml:space="preserve">. Certaines </w:t>
      </w:r>
      <w:r w:rsidR="002E322C" w:rsidRPr="00DA16E1">
        <w:rPr>
          <w:lang w:val="fr-FR"/>
        </w:rPr>
        <w:t>thématique</w:t>
      </w:r>
      <w:r w:rsidR="0043712D" w:rsidRPr="00DA16E1">
        <w:rPr>
          <w:lang w:val="fr-FR"/>
        </w:rPr>
        <w:t>s seront plus prioritaires, telles que « le patrimoine culturel im</w:t>
      </w:r>
      <w:r w:rsidR="00162A5D" w:rsidRPr="00DA16E1">
        <w:rPr>
          <w:lang w:val="fr-FR"/>
        </w:rPr>
        <w:t>matériel dans</w:t>
      </w:r>
      <w:r w:rsidR="00162A5D">
        <w:rPr>
          <w:lang w:val="fr-FR"/>
        </w:rPr>
        <w:t xml:space="preserve"> les situations d’urgence</w:t>
      </w:r>
      <w:r w:rsidR="001B3109">
        <w:rPr>
          <w:lang w:val="fr-FR"/>
        </w:rPr>
        <w:t> </w:t>
      </w:r>
      <w:r w:rsidR="0043712D">
        <w:rPr>
          <w:lang w:val="fr-FR"/>
        </w:rPr>
        <w:t xml:space="preserve">», « l’intégration du patrimoine culturel immatériel </w:t>
      </w:r>
      <w:r w:rsidR="00162A5D">
        <w:rPr>
          <w:lang w:val="fr-FR"/>
        </w:rPr>
        <w:t>dans</w:t>
      </w:r>
      <w:r w:rsidR="0043712D">
        <w:rPr>
          <w:lang w:val="fr-FR"/>
        </w:rPr>
        <w:t xml:space="preserve"> l’éducation » ou « la contribution du patrimoine culturel immatériel </w:t>
      </w:r>
      <w:r w:rsidR="000838FA">
        <w:rPr>
          <w:lang w:val="fr-FR"/>
        </w:rPr>
        <w:t xml:space="preserve">à </w:t>
      </w:r>
      <w:r w:rsidR="0043712D">
        <w:rPr>
          <w:lang w:val="fr-FR"/>
        </w:rPr>
        <w:t xml:space="preserve">l’Agenda 2030 ». Certains </w:t>
      </w:r>
      <w:r w:rsidR="008B58E5">
        <w:rPr>
          <w:lang w:val="fr-FR"/>
        </w:rPr>
        <w:t xml:space="preserve">supports </w:t>
      </w:r>
      <w:r w:rsidR="0043712D">
        <w:rPr>
          <w:lang w:val="fr-FR"/>
        </w:rPr>
        <w:t xml:space="preserve">serviront </w:t>
      </w:r>
      <w:r w:rsidR="002E322C">
        <w:rPr>
          <w:lang w:val="fr-FR"/>
        </w:rPr>
        <w:t xml:space="preserve">également </w:t>
      </w:r>
      <w:r w:rsidR="0043712D">
        <w:rPr>
          <w:lang w:val="fr-FR"/>
        </w:rPr>
        <w:t xml:space="preserve">à </w:t>
      </w:r>
      <w:r w:rsidR="002E322C">
        <w:rPr>
          <w:lang w:val="fr-FR"/>
        </w:rPr>
        <w:t>démontrer</w:t>
      </w:r>
      <w:r w:rsidR="0043712D">
        <w:rPr>
          <w:lang w:val="fr-FR"/>
        </w:rPr>
        <w:t xml:space="preserve"> </w:t>
      </w:r>
      <w:r w:rsidR="00A231DE">
        <w:rPr>
          <w:lang w:val="fr-FR"/>
        </w:rPr>
        <w:t>l’</w:t>
      </w:r>
      <w:r w:rsidR="000838FA">
        <w:rPr>
          <w:lang w:val="fr-FR"/>
        </w:rPr>
        <w:t>évolution de l’</w:t>
      </w:r>
      <w:r w:rsidR="00A231DE">
        <w:rPr>
          <w:lang w:val="fr-FR"/>
        </w:rPr>
        <w:t>impact</w:t>
      </w:r>
      <w:r w:rsidR="0043712D">
        <w:rPr>
          <w:lang w:val="fr-FR"/>
        </w:rPr>
        <w:t xml:space="preserve"> de la Convention à travers les </w:t>
      </w:r>
      <w:r w:rsidR="0043712D">
        <w:rPr>
          <w:lang w:val="fr-FR"/>
        </w:rPr>
        <w:lastRenderedPageBreak/>
        <w:t>mécanismes d</w:t>
      </w:r>
      <w:r w:rsidR="0093402E">
        <w:rPr>
          <w:lang w:val="fr-FR"/>
        </w:rPr>
        <w:t xml:space="preserve">e l’assistance internationale </w:t>
      </w:r>
      <w:r w:rsidR="00A231DE">
        <w:rPr>
          <w:lang w:val="fr-FR"/>
        </w:rPr>
        <w:t>et</w:t>
      </w:r>
      <w:r w:rsidR="0093402E">
        <w:rPr>
          <w:lang w:val="fr-FR"/>
        </w:rPr>
        <w:t xml:space="preserve"> le Cadre global de résultats de la Convention</w:t>
      </w:r>
      <w:r w:rsidR="00EF277E" w:rsidRPr="00CF72CA">
        <w:rPr>
          <w:lang w:val="fr-FR"/>
        </w:rPr>
        <w:t>.</w:t>
      </w:r>
    </w:p>
    <w:p w14:paraId="31763D7E" w14:textId="3440B679" w:rsidR="00EF277E" w:rsidRPr="00CF72CA" w:rsidRDefault="00C32E71" w:rsidP="00EB117C">
      <w:pPr>
        <w:pStyle w:val="1GAPara"/>
        <w:numPr>
          <w:ilvl w:val="1"/>
          <w:numId w:val="17"/>
        </w:numPr>
        <w:ind w:left="1134" w:hanging="567"/>
        <w:jc w:val="both"/>
        <w:rPr>
          <w:lang w:val="fr-FR"/>
        </w:rPr>
      </w:pPr>
      <w:r w:rsidRPr="0009598C">
        <w:rPr>
          <w:lang w:val="fr-FR"/>
        </w:rPr>
        <w:t>«</w:t>
      </w:r>
      <w:r>
        <w:rPr>
          <w:lang w:val="fr-FR"/>
        </w:rPr>
        <w:t> </w:t>
      </w:r>
      <w:r w:rsidR="008B3139" w:rsidRPr="00EB117C">
        <w:rPr>
          <w:b/>
          <w:lang w:val="fr-FR"/>
        </w:rPr>
        <w:t>L’organisation d</w:t>
      </w:r>
      <w:r w:rsidR="008B58E5">
        <w:rPr>
          <w:b/>
          <w:lang w:val="fr-FR"/>
        </w:rPr>
        <w:t xml:space="preserve">es </w:t>
      </w:r>
      <w:r w:rsidR="008B3139" w:rsidRPr="00543FAA">
        <w:rPr>
          <w:b/>
          <w:lang w:val="fr-FR"/>
        </w:rPr>
        <w:t>ac</w:t>
      </w:r>
      <w:r w:rsidR="00B9349E" w:rsidRPr="00543FAA">
        <w:rPr>
          <w:b/>
          <w:lang w:val="fr-FR"/>
        </w:rPr>
        <w:t>tivités</w:t>
      </w:r>
      <w:r w:rsidR="008B3139" w:rsidRPr="00B555D4">
        <w:rPr>
          <w:b/>
          <w:lang w:val="fr-FR"/>
        </w:rPr>
        <w:t xml:space="preserve"> de</w:t>
      </w:r>
      <w:r w:rsidR="008B3139" w:rsidRPr="00EB117C">
        <w:rPr>
          <w:b/>
          <w:lang w:val="fr-FR"/>
        </w:rPr>
        <w:t xml:space="preserve"> communication</w:t>
      </w:r>
      <w:r w:rsidR="008B3139" w:rsidRPr="00EB117C">
        <w:rPr>
          <w:lang w:val="fr-FR"/>
        </w:rPr>
        <w:t> »</w:t>
      </w:r>
      <w:r w:rsidR="008B3139">
        <w:rPr>
          <w:lang w:val="fr-FR"/>
        </w:rPr>
        <w:t>, souligne la nécessité de tirer p</w:t>
      </w:r>
      <w:r w:rsidR="002E322C">
        <w:rPr>
          <w:lang w:val="fr-FR"/>
        </w:rPr>
        <w:t>rofit</w:t>
      </w:r>
      <w:r w:rsidR="008B3139">
        <w:rPr>
          <w:lang w:val="fr-FR"/>
        </w:rPr>
        <w:t xml:space="preserve"> de</w:t>
      </w:r>
      <w:r w:rsidR="00046D1F">
        <w:rPr>
          <w:lang w:val="fr-FR"/>
        </w:rPr>
        <w:t>s</w:t>
      </w:r>
      <w:r w:rsidR="008B3139">
        <w:rPr>
          <w:lang w:val="fr-FR"/>
        </w:rPr>
        <w:t xml:space="preserve"> </w:t>
      </w:r>
      <w:r w:rsidR="000838FA">
        <w:rPr>
          <w:lang w:val="fr-FR"/>
        </w:rPr>
        <w:t xml:space="preserve">événements </w:t>
      </w:r>
      <w:r w:rsidR="002F6EFC">
        <w:rPr>
          <w:lang w:val="fr-FR"/>
        </w:rPr>
        <w:t>stratégique</w:t>
      </w:r>
      <w:r w:rsidR="000838FA">
        <w:rPr>
          <w:lang w:val="fr-FR"/>
        </w:rPr>
        <w:t>s clés</w:t>
      </w:r>
      <w:r w:rsidR="00046D1F">
        <w:rPr>
          <w:lang w:val="fr-FR"/>
        </w:rPr>
        <w:t xml:space="preserve"> </w:t>
      </w:r>
      <w:r w:rsidR="002F6EFC">
        <w:rPr>
          <w:lang w:val="fr-FR"/>
        </w:rPr>
        <w:t xml:space="preserve">pour mieux faire </w:t>
      </w:r>
      <w:r w:rsidR="003369B9">
        <w:rPr>
          <w:lang w:val="fr-FR"/>
        </w:rPr>
        <w:t>connaître le</w:t>
      </w:r>
      <w:r w:rsidR="002F6EFC">
        <w:rPr>
          <w:lang w:val="fr-FR"/>
        </w:rPr>
        <w:t xml:space="preserve"> </w:t>
      </w:r>
      <w:r w:rsidR="00C52FD8">
        <w:rPr>
          <w:lang w:val="fr-FR"/>
        </w:rPr>
        <w:t>patrimoine culturel immatériel</w:t>
      </w:r>
      <w:r w:rsidR="00263F35">
        <w:rPr>
          <w:lang w:val="fr-FR"/>
        </w:rPr>
        <w:t xml:space="preserve">, le promouvoir </w:t>
      </w:r>
      <w:r w:rsidR="002F6EFC">
        <w:rPr>
          <w:lang w:val="fr-FR"/>
        </w:rPr>
        <w:t xml:space="preserve">et </w:t>
      </w:r>
      <w:r w:rsidR="00263F35">
        <w:rPr>
          <w:lang w:val="fr-FR"/>
        </w:rPr>
        <w:t>sensibiliser à</w:t>
      </w:r>
      <w:r w:rsidR="006C3EB5">
        <w:rPr>
          <w:lang w:val="fr-FR"/>
        </w:rPr>
        <w:t xml:space="preserve"> l’importance de</w:t>
      </w:r>
      <w:r w:rsidR="00C52FD8">
        <w:rPr>
          <w:lang w:val="fr-FR"/>
        </w:rPr>
        <w:t xml:space="preserve"> sa sauvegarde. Les activités prévues au cours de ces évènements </w:t>
      </w:r>
      <w:r w:rsidR="003369B9">
        <w:rPr>
          <w:lang w:val="fr-FR"/>
        </w:rPr>
        <w:t>peuvent servir de</w:t>
      </w:r>
      <w:r w:rsidR="00C52FD8">
        <w:rPr>
          <w:lang w:val="fr-FR"/>
        </w:rPr>
        <w:t xml:space="preserve"> </w:t>
      </w:r>
      <w:r w:rsidR="002E322C">
        <w:rPr>
          <w:lang w:val="fr-FR"/>
        </w:rPr>
        <w:t>canaux</w:t>
      </w:r>
      <w:r w:rsidR="00C52FD8">
        <w:rPr>
          <w:lang w:val="fr-FR"/>
        </w:rPr>
        <w:t xml:space="preserve"> </w:t>
      </w:r>
      <w:r w:rsidR="003369B9">
        <w:rPr>
          <w:lang w:val="fr-FR"/>
        </w:rPr>
        <w:t>pour diffuser les outils et matériels de communication</w:t>
      </w:r>
      <w:r w:rsidR="00C114F3">
        <w:rPr>
          <w:lang w:val="fr-FR"/>
        </w:rPr>
        <w:t xml:space="preserve"> </w:t>
      </w:r>
      <w:r w:rsidR="006C3EB5" w:rsidRPr="006C3EB5">
        <w:rPr>
          <w:lang w:val="fr-FR"/>
        </w:rPr>
        <w:t>susmentionnés</w:t>
      </w:r>
      <w:r w:rsidR="003369B9">
        <w:rPr>
          <w:lang w:val="fr-FR"/>
        </w:rPr>
        <w:t xml:space="preserve">. </w:t>
      </w:r>
      <w:r w:rsidR="007C221F">
        <w:rPr>
          <w:lang w:val="fr-FR"/>
        </w:rPr>
        <w:t xml:space="preserve">L’éventail </w:t>
      </w:r>
      <w:r w:rsidR="003369B9">
        <w:rPr>
          <w:lang w:val="fr-FR"/>
        </w:rPr>
        <w:t>d</w:t>
      </w:r>
      <w:r w:rsidR="007C221F">
        <w:rPr>
          <w:lang w:val="fr-FR"/>
        </w:rPr>
        <w:t xml:space="preserve">es </w:t>
      </w:r>
      <w:r w:rsidR="003369B9">
        <w:rPr>
          <w:lang w:val="fr-FR"/>
        </w:rPr>
        <w:t xml:space="preserve">activités </w:t>
      </w:r>
      <w:r w:rsidR="006C3EB5">
        <w:rPr>
          <w:lang w:val="fr-FR"/>
        </w:rPr>
        <w:t xml:space="preserve">de communication </w:t>
      </w:r>
      <w:r w:rsidR="003369B9">
        <w:rPr>
          <w:lang w:val="fr-FR"/>
        </w:rPr>
        <w:t>proposées comprend : des forums de discussion</w:t>
      </w:r>
      <w:r w:rsidR="00075705">
        <w:rPr>
          <w:lang w:val="fr-FR"/>
        </w:rPr>
        <w:t>s</w:t>
      </w:r>
      <w:r w:rsidR="003369B9">
        <w:rPr>
          <w:lang w:val="fr-FR"/>
        </w:rPr>
        <w:t xml:space="preserve"> </w:t>
      </w:r>
      <w:r w:rsidR="00263F35">
        <w:rPr>
          <w:lang w:val="fr-FR"/>
        </w:rPr>
        <w:t>sur</w:t>
      </w:r>
      <w:r w:rsidR="003369B9">
        <w:rPr>
          <w:lang w:val="fr-FR"/>
        </w:rPr>
        <w:t xml:space="preserve"> les questions </w:t>
      </w:r>
      <w:r w:rsidR="006C3EB5">
        <w:rPr>
          <w:lang w:val="fr-FR"/>
        </w:rPr>
        <w:t xml:space="preserve">actuelles et cruciales </w:t>
      </w:r>
      <w:r w:rsidR="00263F35">
        <w:rPr>
          <w:lang w:val="fr-FR"/>
        </w:rPr>
        <w:t>relatives au</w:t>
      </w:r>
      <w:r w:rsidR="003369B9">
        <w:rPr>
          <w:lang w:val="fr-FR"/>
        </w:rPr>
        <w:t xml:space="preserve"> patrimoine culturel immatériel, des sessions de dialogue</w:t>
      </w:r>
      <w:r w:rsidR="00263F35">
        <w:rPr>
          <w:lang w:val="fr-FR"/>
        </w:rPr>
        <w:t xml:space="preserve"> pour permettre aux </w:t>
      </w:r>
      <w:r w:rsidR="006C3EB5">
        <w:rPr>
          <w:lang w:val="fr-FR"/>
        </w:rPr>
        <w:t xml:space="preserve">praticiens </w:t>
      </w:r>
      <w:r w:rsidR="00263F35">
        <w:rPr>
          <w:lang w:val="fr-FR"/>
        </w:rPr>
        <w:t xml:space="preserve">et aux communautés d’échanger sur leurs expériences respectives en matière de sauvegarde, des expositions audio-visuelles pour </w:t>
      </w:r>
      <w:r w:rsidR="005D7FD5">
        <w:rPr>
          <w:lang w:val="fr-FR"/>
        </w:rPr>
        <w:t>présenter</w:t>
      </w:r>
      <w:r w:rsidR="00997EDF">
        <w:rPr>
          <w:lang w:val="fr-FR"/>
        </w:rPr>
        <w:t xml:space="preserve"> </w:t>
      </w:r>
      <w:r w:rsidR="00C114F3">
        <w:rPr>
          <w:lang w:val="fr-FR"/>
        </w:rPr>
        <w:t>quelques</w:t>
      </w:r>
      <w:r w:rsidR="00263F35">
        <w:rPr>
          <w:lang w:val="fr-FR"/>
        </w:rPr>
        <w:t xml:space="preserve"> exemples et actions de sauvegarde</w:t>
      </w:r>
      <w:r w:rsidR="00046D1F">
        <w:rPr>
          <w:lang w:val="fr-FR"/>
        </w:rPr>
        <w:t xml:space="preserve"> concrets</w:t>
      </w:r>
      <w:r w:rsidR="00263F35">
        <w:rPr>
          <w:lang w:val="fr-FR"/>
        </w:rPr>
        <w:t xml:space="preserve">, </w:t>
      </w:r>
      <w:r w:rsidR="00997EDF">
        <w:rPr>
          <w:lang w:val="fr-FR"/>
        </w:rPr>
        <w:t>des conférences de presse pour assurer une bonne couverture médiatique et forger une opinion positive et cons</w:t>
      </w:r>
      <w:r w:rsidR="00932C45">
        <w:rPr>
          <w:lang w:val="fr-FR"/>
        </w:rPr>
        <w:t>tructive dans les médias</w:t>
      </w:r>
      <w:r w:rsidR="00997EDF">
        <w:rPr>
          <w:lang w:val="fr-FR"/>
        </w:rPr>
        <w:t>, des campagnes dans les réseaux sociaux pour toucher la jeunesse et le grand public et</w:t>
      </w:r>
      <w:r w:rsidR="007A070D">
        <w:rPr>
          <w:lang w:val="fr-FR"/>
        </w:rPr>
        <w:t xml:space="preserve"> enfin,</w:t>
      </w:r>
      <w:r w:rsidR="00997EDF">
        <w:rPr>
          <w:lang w:val="fr-FR"/>
        </w:rPr>
        <w:t xml:space="preserve"> des </w:t>
      </w:r>
      <w:r w:rsidR="0023501C">
        <w:rPr>
          <w:lang w:val="fr-FR"/>
        </w:rPr>
        <w:t xml:space="preserve">évènements </w:t>
      </w:r>
      <w:r w:rsidR="00C16D35">
        <w:rPr>
          <w:lang w:val="fr-FR"/>
        </w:rPr>
        <w:t>de mobilisation d</w:t>
      </w:r>
      <w:r w:rsidR="0023501C">
        <w:rPr>
          <w:lang w:val="fr-FR"/>
        </w:rPr>
        <w:t>es</w:t>
      </w:r>
      <w:r w:rsidR="00046D1F">
        <w:rPr>
          <w:lang w:val="fr-FR"/>
        </w:rPr>
        <w:t xml:space="preserve"> </w:t>
      </w:r>
      <w:r w:rsidR="007A070D">
        <w:rPr>
          <w:lang w:val="fr-FR"/>
        </w:rPr>
        <w:t xml:space="preserve">partenaires </w:t>
      </w:r>
      <w:r w:rsidR="00C16D35" w:rsidRPr="00C16D35">
        <w:rPr>
          <w:lang w:val="fr-FR"/>
        </w:rPr>
        <w:t>en fonct</w:t>
      </w:r>
      <w:r w:rsidR="00693178">
        <w:rPr>
          <w:lang w:val="fr-FR"/>
        </w:rPr>
        <w:t>ion des possibilités de levée</w:t>
      </w:r>
      <w:r w:rsidR="00C16D35">
        <w:rPr>
          <w:lang w:val="fr-FR"/>
        </w:rPr>
        <w:t xml:space="preserve"> </w:t>
      </w:r>
      <w:r w:rsidR="007A070D">
        <w:rPr>
          <w:lang w:val="fr-FR"/>
        </w:rPr>
        <w:t>de fonds</w:t>
      </w:r>
      <w:r w:rsidR="00EF277E" w:rsidRPr="00CF72CA">
        <w:rPr>
          <w:lang w:val="fr-FR"/>
        </w:rPr>
        <w:t>.</w:t>
      </w:r>
    </w:p>
    <w:p w14:paraId="2021D0AF" w14:textId="31A51501" w:rsidR="00EF277E" w:rsidRPr="00CF72CA" w:rsidRDefault="007A070D" w:rsidP="00745ED8">
      <w:pPr>
        <w:pStyle w:val="1GAPara"/>
        <w:numPr>
          <w:ilvl w:val="0"/>
          <w:numId w:val="8"/>
        </w:numPr>
        <w:ind w:left="567" w:hanging="567"/>
        <w:jc w:val="both"/>
        <w:rPr>
          <w:lang w:val="fr-FR"/>
        </w:rPr>
      </w:pPr>
      <w:r w:rsidRPr="00CF72CA">
        <w:rPr>
          <w:lang w:val="fr-FR"/>
        </w:rPr>
        <w:t>Sur la base de ces</w:t>
      </w:r>
      <w:r w:rsidR="00745ED8">
        <w:rPr>
          <w:lang w:val="fr-FR"/>
        </w:rPr>
        <w:t xml:space="preserve"> différents points, les </w:t>
      </w:r>
      <w:r w:rsidR="00745ED8" w:rsidRPr="00543FAA">
        <w:rPr>
          <w:u w:val="single"/>
          <w:lang w:val="fr-FR"/>
        </w:rPr>
        <w:t>initiatives pilote</w:t>
      </w:r>
      <w:r w:rsidR="00046D1F" w:rsidRPr="00543FAA">
        <w:rPr>
          <w:u w:val="single"/>
          <w:lang w:val="fr-FR"/>
        </w:rPr>
        <w:t>s</w:t>
      </w:r>
      <w:r w:rsidR="00745ED8">
        <w:rPr>
          <w:lang w:val="fr-FR"/>
        </w:rPr>
        <w:t xml:space="preserve"> suivantes sont proposées pour 2018 et 2019</w:t>
      </w:r>
      <w:r w:rsidR="00DF4F75">
        <w:rPr>
          <w:lang w:val="fr-FR"/>
        </w:rPr>
        <w:t> </w:t>
      </w:r>
      <w:r w:rsidR="00EF277E" w:rsidRPr="00CF72CA">
        <w:rPr>
          <w:lang w:val="fr-FR"/>
        </w:rPr>
        <w:t>:</w:t>
      </w:r>
    </w:p>
    <w:p w14:paraId="4C4F8F1B" w14:textId="55157B29" w:rsidR="00EF277E" w:rsidRPr="007B0BBF" w:rsidRDefault="0074106D" w:rsidP="00543FAA">
      <w:pPr>
        <w:pStyle w:val="ListParagraph"/>
        <w:numPr>
          <w:ilvl w:val="0"/>
          <w:numId w:val="19"/>
        </w:numPr>
        <w:tabs>
          <w:tab w:val="left" w:pos="567"/>
        </w:tabs>
        <w:snapToGri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concevoir</w:t>
      </w:r>
      <w:proofErr w:type="gramEnd"/>
      <w:r w:rsidR="00745ED8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de vidéos</w:t>
      </w:r>
      <w:r w:rsidR="00C114F3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institutionnelles pour promouvoir les concepts clé</w:t>
      </w:r>
      <w:r w:rsidR="00C16D35">
        <w:rPr>
          <w:rFonts w:ascii="Arial" w:hAnsi="Arial" w:cs="Arial"/>
          <w:snapToGrid w:val="0"/>
          <w:sz w:val="22"/>
          <w:szCs w:val="22"/>
          <w:lang w:val="fr-FR" w:eastAsia="en-US"/>
        </w:rPr>
        <w:t>s</w:t>
      </w:r>
      <w:r w:rsidR="00C114F3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de la Convention, tels que </w:t>
      </w:r>
      <w:r w:rsidR="002350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la </w:t>
      </w:r>
      <w:r w:rsidR="00C114F3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‘sauvegarde’ et</w:t>
      </w:r>
      <w:r w:rsidR="002350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la</w:t>
      </w:r>
      <w:r w:rsidR="00C114F3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‘transmission’, et souligner le caractère pertinent du patrimoine culturel immatériel </w:t>
      </w:r>
      <w:r w:rsidR="00932C45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d</w:t>
      </w:r>
      <w:r w:rsidR="00C114F3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ans la société d’aujourd’hui. 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C</w:t>
      </w:r>
      <w:r w:rsidR="00C114F3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onçu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es</w:t>
      </w:r>
      <w:r w:rsidR="00C114F3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pour mieux faire conna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ître</w:t>
      </w:r>
      <w:r w:rsidR="00C114F3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le patr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imoine culturel immatériel, ces vidéos seront</w:t>
      </w:r>
      <w:r w:rsidR="00C114F3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présenté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es</w:t>
      </w:r>
      <w:r w:rsidR="00C114F3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à l’occasion </w:t>
      </w:r>
      <w:r w:rsidR="00C114F3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d’évènements importants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et largement diffusées</w:t>
      </w:r>
      <w:r w:rsidR="002350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comme principal outil de communication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auprès des </w:t>
      </w:r>
      <w:r w:rsidR="00BE6FB9">
        <w:rPr>
          <w:rFonts w:ascii="Arial" w:hAnsi="Arial" w:cs="Arial"/>
          <w:snapToGrid w:val="0"/>
          <w:sz w:val="22"/>
          <w:szCs w:val="22"/>
          <w:lang w:val="fr-FR" w:eastAsia="en-US"/>
        </w:rPr>
        <w:t>b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ureaux hors </w:t>
      </w:r>
      <w:r w:rsidR="00BE6FB9">
        <w:rPr>
          <w:rFonts w:ascii="Arial" w:hAnsi="Arial" w:cs="Arial"/>
          <w:snapToGrid w:val="0"/>
          <w:sz w:val="22"/>
          <w:szCs w:val="22"/>
          <w:lang w:val="fr-FR" w:eastAsia="en-US"/>
        </w:rPr>
        <w:t>S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iège de l’UNESCO, </w:t>
      </w:r>
      <w:r w:rsidR="002350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d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es Commissions nationales et </w:t>
      </w:r>
      <w:r w:rsidR="002350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d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es </w:t>
      </w:r>
      <w:r w:rsidR="004A1A6D">
        <w:rPr>
          <w:rFonts w:ascii="Arial" w:hAnsi="Arial" w:cs="Arial"/>
          <w:snapToGrid w:val="0"/>
          <w:sz w:val="22"/>
          <w:szCs w:val="22"/>
          <w:lang w:val="fr-FR" w:eastAsia="en-US"/>
        </w:rPr>
        <w:t>C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entres de catégorie 2, </w:t>
      </w:r>
      <w:r w:rsidR="002350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créant 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>un</w:t>
      </w:r>
      <w:r w:rsidR="002350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important</w:t>
      </w:r>
      <w:r w:rsidR="00CC511C" w:rsidRPr="0023501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effet </w:t>
      </w:r>
      <w:r w:rsidR="00CC511C" w:rsidRPr="007B0BBF">
        <w:rPr>
          <w:rFonts w:ascii="Arial" w:hAnsi="Arial" w:cs="Arial"/>
          <w:snapToGrid w:val="0"/>
          <w:sz w:val="22"/>
          <w:szCs w:val="22"/>
          <w:lang w:val="fr-FR" w:eastAsia="en-US"/>
        </w:rPr>
        <w:t>catalyseur</w:t>
      </w:r>
      <w:r w:rsidR="00DF4F75" w:rsidRPr="007B0BBF">
        <w:rPr>
          <w:rFonts w:ascii="Arial" w:hAnsi="Arial" w:cs="Arial"/>
          <w:snapToGrid w:val="0"/>
          <w:sz w:val="22"/>
          <w:szCs w:val="22"/>
          <w:lang w:val="fr-FR" w:eastAsia="en-US"/>
        </w:rPr>
        <w:t> </w:t>
      </w:r>
      <w:r w:rsidR="00EF277E" w:rsidRPr="007B0BBF">
        <w:rPr>
          <w:rFonts w:ascii="Arial" w:hAnsi="Arial" w:cs="Arial"/>
          <w:snapToGrid w:val="0"/>
          <w:sz w:val="22"/>
          <w:szCs w:val="22"/>
          <w:lang w:val="fr-FR" w:eastAsia="en-US"/>
        </w:rPr>
        <w:t>;</w:t>
      </w:r>
    </w:p>
    <w:p w14:paraId="2331EE3B" w14:textId="57EAF382" w:rsidR="00EF277E" w:rsidRPr="00CF72CA" w:rsidRDefault="0074106D" w:rsidP="00543FAA">
      <w:pPr>
        <w:pStyle w:val="ListParagraph"/>
        <w:numPr>
          <w:ilvl w:val="0"/>
          <w:numId w:val="19"/>
        </w:numPr>
        <w:tabs>
          <w:tab w:val="left" w:pos="567"/>
        </w:tabs>
        <w:snapToGrid w:val="0"/>
        <w:spacing w:after="120"/>
        <w:ind w:left="1134" w:hanging="567"/>
        <w:contextualSpacing w:val="0"/>
        <w:jc w:val="both"/>
        <w:rPr>
          <w:rFonts w:ascii="Arial" w:hAnsi="Arial" w:cs="Arial"/>
          <w:snapToGrid w:val="0"/>
          <w:sz w:val="22"/>
          <w:szCs w:val="22"/>
          <w:lang w:val="fr-FR" w:eastAsia="en-US"/>
        </w:rPr>
      </w:pPr>
      <w:proofErr w:type="gramStart"/>
      <w:r>
        <w:rPr>
          <w:rFonts w:ascii="Arial" w:hAnsi="Arial" w:cs="Arial"/>
          <w:snapToGrid w:val="0"/>
          <w:sz w:val="22"/>
          <w:szCs w:val="22"/>
          <w:lang w:val="fr-FR" w:eastAsia="en-US"/>
        </w:rPr>
        <w:t>conduire</w:t>
      </w:r>
      <w:proofErr w:type="gramEnd"/>
      <w:r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d</w:t>
      </w:r>
      <w:r w:rsidR="00CC511C" w:rsidRPr="00CF72CA">
        <w:rPr>
          <w:rFonts w:ascii="Arial" w:hAnsi="Arial" w:cs="Arial"/>
          <w:snapToGrid w:val="0"/>
          <w:sz w:val="22"/>
          <w:szCs w:val="22"/>
          <w:lang w:val="fr-FR" w:eastAsia="en-US"/>
        </w:rPr>
        <w:t>es actions de communication coordonnées pour sensibiliser</w:t>
      </w:r>
      <w:r w:rsidR="009D5EA9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, </w:t>
      </w:r>
      <w:r w:rsidR="00CC511C" w:rsidRPr="00CF72CA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les organismes et les acteurs </w:t>
      </w:r>
      <w:r w:rsidR="0069003C" w:rsidRPr="0069003C">
        <w:rPr>
          <w:rFonts w:ascii="Arial" w:hAnsi="Arial" w:cs="Arial"/>
          <w:snapToGrid w:val="0"/>
          <w:sz w:val="22"/>
          <w:szCs w:val="22"/>
          <w:lang w:val="fr-FR" w:eastAsia="en-US"/>
        </w:rPr>
        <w:t>travaillant sur les questions relatives aux peuples autochtones</w:t>
      </w:r>
      <w:r w:rsidR="009D5EA9">
        <w:rPr>
          <w:rFonts w:ascii="Arial" w:hAnsi="Arial" w:cs="Arial"/>
          <w:snapToGrid w:val="0"/>
          <w:sz w:val="22"/>
          <w:szCs w:val="22"/>
          <w:lang w:val="fr-FR" w:eastAsia="en-US"/>
        </w:rPr>
        <w:t>,</w:t>
      </w:r>
      <w:r w:rsidR="0069003C" w:rsidRPr="0069003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au</w:t>
      </w:r>
      <w:r w:rsidR="0069003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domaine du patrimoine culturel immatériel</w:t>
      </w:r>
      <w:r w:rsidR="000E1E35" w:rsidRPr="00CF72CA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. </w:t>
      </w:r>
      <w:r w:rsidR="000E1E35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Le Secrétariat souhaite renforcer les synergies </w:t>
      </w:r>
      <w:r w:rsidR="00CA46EA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qui existent entre </w:t>
      </w:r>
      <w:r w:rsidR="0069003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les travaux de </w:t>
      </w:r>
      <w:r w:rsidR="00CA46EA">
        <w:rPr>
          <w:rFonts w:ascii="Arial" w:hAnsi="Arial" w:cs="Arial"/>
          <w:snapToGrid w:val="0"/>
          <w:sz w:val="22"/>
          <w:szCs w:val="22"/>
          <w:lang w:val="fr-FR" w:eastAsia="en-US"/>
        </w:rPr>
        <w:t>la Convention,</w:t>
      </w:r>
      <w:r w:rsidR="000E1E35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  <w:r w:rsidR="0069003C">
        <w:rPr>
          <w:rFonts w:ascii="Arial" w:hAnsi="Arial" w:cs="Arial"/>
          <w:snapToGrid w:val="0"/>
          <w:sz w:val="22"/>
          <w:szCs w:val="22"/>
          <w:lang w:val="fr-FR" w:eastAsia="en-US"/>
        </w:rPr>
        <w:t>et ceux d</w:t>
      </w:r>
      <w:r w:rsidR="00CA46EA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es </w:t>
      </w:r>
      <w:r w:rsidR="0069003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organisations </w:t>
      </w:r>
      <w:r w:rsidR="00CA46EA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des peuples autochtones et </w:t>
      </w:r>
      <w:r w:rsidR="0069003C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du </w:t>
      </w:r>
      <w:r w:rsidR="00CA46EA">
        <w:rPr>
          <w:rFonts w:ascii="Arial" w:hAnsi="Arial" w:cs="Arial"/>
          <w:snapToGrid w:val="0"/>
          <w:sz w:val="22"/>
          <w:szCs w:val="22"/>
          <w:lang w:val="fr-FR" w:eastAsia="en-US"/>
        </w:rPr>
        <w:t>système des Nations Uni</w:t>
      </w:r>
      <w:r w:rsidR="0019602F">
        <w:rPr>
          <w:rFonts w:ascii="Arial" w:hAnsi="Arial" w:cs="Arial"/>
          <w:snapToGrid w:val="0"/>
          <w:sz w:val="22"/>
          <w:szCs w:val="22"/>
          <w:lang w:val="fr-FR" w:eastAsia="en-US"/>
        </w:rPr>
        <w:t>e</w:t>
      </w:r>
      <w:r w:rsidR="00CA46EA">
        <w:rPr>
          <w:rFonts w:ascii="Arial" w:hAnsi="Arial" w:cs="Arial"/>
          <w:snapToGrid w:val="0"/>
          <w:sz w:val="22"/>
          <w:szCs w:val="22"/>
          <w:lang w:val="fr-FR" w:eastAsia="en-US"/>
        </w:rPr>
        <w:t>s</w:t>
      </w:r>
      <w:r w:rsidR="00693178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dans ce domaine</w:t>
      </w:r>
      <w:r w:rsidR="000E1E35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, </w:t>
      </w:r>
      <w:r w:rsidR="00CA46EA">
        <w:rPr>
          <w:rFonts w:ascii="Arial" w:hAnsi="Arial" w:cs="Arial"/>
          <w:snapToGrid w:val="0"/>
          <w:sz w:val="22"/>
          <w:szCs w:val="22"/>
          <w:lang w:val="fr-FR" w:eastAsia="en-US"/>
        </w:rPr>
        <w:t>grâce aux</w:t>
      </w:r>
      <w:r w:rsidR="000E1E35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opérations de communication </w:t>
      </w:r>
      <w:r w:rsidR="00932C45">
        <w:rPr>
          <w:rFonts w:ascii="Arial" w:hAnsi="Arial" w:cs="Arial"/>
          <w:snapToGrid w:val="0"/>
          <w:sz w:val="22"/>
          <w:szCs w:val="22"/>
          <w:lang w:val="fr-FR" w:eastAsia="en-US"/>
        </w:rPr>
        <w:t>pour</w:t>
      </w:r>
      <w:r w:rsidR="000E1E35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la </w:t>
      </w:r>
      <w:r w:rsidR="00D6079D" w:rsidRPr="00B555D4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dix-huitième </w:t>
      </w:r>
      <w:r w:rsidR="000E1E35" w:rsidRPr="00B555D4">
        <w:rPr>
          <w:rFonts w:ascii="Arial" w:hAnsi="Arial" w:cs="Arial"/>
          <w:snapToGrid w:val="0"/>
          <w:sz w:val="22"/>
          <w:szCs w:val="22"/>
          <w:lang w:val="fr-FR" w:eastAsia="en-US"/>
        </w:rPr>
        <w:t>session de l’Instance permanente des Nations Uni</w:t>
      </w:r>
      <w:r w:rsidR="0019602F">
        <w:rPr>
          <w:rFonts w:ascii="Arial" w:hAnsi="Arial" w:cs="Arial"/>
          <w:snapToGrid w:val="0"/>
          <w:sz w:val="22"/>
          <w:szCs w:val="22"/>
          <w:lang w:val="fr-FR" w:eastAsia="en-US"/>
        </w:rPr>
        <w:t>e</w:t>
      </w:r>
      <w:r w:rsidR="000E1E35" w:rsidRPr="00B555D4">
        <w:rPr>
          <w:rFonts w:ascii="Arial" w:hAnsi="Arial" w:cs="Arial"/>
          <w:snapToGrid w:val="0"/>
          <w:sz w:val="22"/>
          <w:szCs w:val="22"/>
          <w:lang w:val="fr-FR" w:eastAsia="en-US"/>
        </w:rPr>
        <w:t>s sur les questions autochtones</w:t>
      </w:r>
      <w:r w:rsidR="00CA46EA" w:rsidRPr="0019602F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(22 avril – 3 mai 2019, siège des Nations Uni</w:t>
      </w:r>
      <w:r w:rsidR="00693178">
        <w:rPr>
          <w:rFonts w:ascii="Arial" w:hAnsi="Arial" w:cs="Arial"/>
          <w:snapToGrid w:val="0"/>
          <w:sz w:val="22"/>
          <w:szCs w:val="22"/>
          <w:lang w:val="fr-FR" w:eastAsia="en-US"/>
        </w:rPr>
        <w:t>e</w:t>
      </w:r>
      <w:r w:rsidR="00CA46EA" w:rsidRPr="0019602F">
        <w:rPr>
          <w:rFonts w:ascii="Arial" w:hAnsi="Arial" w:cs="Arial"/>
          <w:snapToGrid w:val="0"/>
          <w:sz w:val="22"/>
          <w:szCs w:val="22"/>
          <w:lang w:val="fr-FR" w:eastAsia="en-US"/>
        </w:rPr>
        <w:t>s), sur le thème « </w:t>
      </w:r>
      <w:r w:rsidR="00B9349E" w:rsidRPr="00543FAA">
        <w:rPr>
          <w:rFonts w:ascii="Arial" w:hAnsi="Arial" w:cs="Arial"/>
          <w:snapToGrid w:val="0"/>
          <w:sz w:val="22"/>
          <w:szCs w:val="22"/>
          <w:lang w:val="fr-FR" w:eastAsia="en-US"/>
        </w:rPr>
        <w:t>Connaissance</w:t>
      </w:r>
      <w:r w:rsidR="00B9349E" w:rsidRPr="00B555D4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  <w:r w:rsidR="00CA46EA" w:rsidRPr="00B555D4">
        <w:rPr>
          <w:rFonts w:ascii="Arial" w:hAnsi="Arial" w:cs="Arial"/>
          <w:snapToGrid w:val="0"/>
          <w:sz w:val="22"/>
          <w:szCs w:val="22"/>
          <w:lang w:val="fr-FR" w:eastAsia="en-US"/>
        </w:rPr>
        <w:t>traditionnel</w:t>
      </w:r>
      <w:r w:rsidR="00B9349E" w:rsidRPr="00543FAA">
        <w:rPr>
          <w:rFonts w:ascii="Arial" w:hAnsi="Arial" w:cs="Arial"/>
          <w:snapToGrid w:val="0"/>
          <w:sz w:val="22"/>
          <w:szCs w:val="22"/>
          <w:lang w:val="fr-FR" w:eastAsia="en-US"/>
        </w:rPr>
        <w:t>le</w:t>
      </w:r>
      <w:r w:rsidR="00CA46EA" w:rsidRPr="00B555D4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 : </w:t>
      </w:r>
      <w:r w:rsidR="00B9349E" w:rsidRPr="00543FAA">
        <w:rPr>
          <w:rFonts w:ascii="Arial" w:hAnsi="Arial" w:cs="Arial"/>
          <w:snapToGrid w:val="0"/>
          <w:sz w:val="22"/>
          <w:szCs w:val="22"/>
          <w:lang w:val="fr-FR" w:eastAsia="en-US"/>
        </w:rPr>
        <w:t>développement</w:t>
      </w:r>
      <w:r w:rsidR="00CA46EA" w:rsidRPr="00B555D4">
        <w:rPr>
          <w:rFonts w:ascii="Arial" w:hAnsi="Arial" w:cs="Arial"/>
          <w:snapToGrid w:val="0"/>
          <w:sz w:val="22"/>
          <w:szCs w:val="22"/>
          <w:lang w:val="fr-FR" w:eastAsia="en-US"/>
        </w:rPr>
        <w:t>, transmission et protection ».</w:t>
      </w:r>
      <w:r w:rsidR="00CA46EA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  <w:r w:rsidR="009D5EA9">
        <w:rPr>
          <w:rFonts w:ascii="Arial" w:hAnsi="Arial" w:cs="Arial"/>
          <w:snapToGrid w:val="0"/>
          <w:sz w:val="22"/>
          <w:szCs w:val="22"/>
          <w:lang w:val="fr-FR" w:eastAsia="en-US"/>
        </w:rPr>
        <w:t>L</w:t>
      </w:r>
      <w:r w:rsidR="005826F2">
        <w:rPr>
          <w:rFonts w:ascii="Arial" w:hAnsi="Arial" w:cs="Arial"/>
          <w:snapToGrid w:val="0"/>
          <w:sz w:val="22"/>
          <w:szCs w:val="22"/>
          <w:lang w:val="fr-FR" w:eastAsia="en-US"/>
        </w:rPr>
        <w:t>’UNESCO</w:t>
      </w:r>
      <w:r w:rsidR="00CF73DB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  <w:r w:rsidR="009D5EA9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étant l’organisation </w:t>
      </w:r>
      <w:r w:rsidR="00162A5D">
        <w:rPr>
          <w:rFonts w:ascii="Arial" w:hAnsi="Arial" w:cs="Arial"/>
          <w:snapToGrid w:val="0"/>
          <w:sz w:val="22"/>
          <w:szCs w:val="22"/>
          <w:lang w:val="fr-FR" w:eastAsia="en-US"/>
        </w:rPr>
        <w:t>chef de file</w:t>
      </w:r>
      <w:r w:rsidR="005826F2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  <w:r w:rsidR="009D5EA9">
        <w:rPr>
          <w:rFonts w:ascii="Arial" w:hAnsi="Arial" w:cs="Arial"/>
          <w:snapToGrid w:val="0"/>
          <w:sz w:val="22"/>
          <w:szCs w:val="22"/>
          <w:lang w:val="fr-FR" w:eastAsia="en-US"/>
        </w:rPr>
        <w:t>de l’année internationale des langues autochtones en 2019</w:t>
      </w:r>
      <w:r w:rsidR="00B7487A">
        <w:rPr>
          <w:rFonts w:ascii="Arial" w:hAnsi="Arial" w:cs="Arial"/>
          <w:snapToGrid w:val="0"/>
          <w:sz w:val="22"/>
          <w:szCs w:val="22"/>
          <w:lang w:val="fr-FR" w:eastAsia="en-US"/>
        </w:rPr>
        <w:t>,</w:t>
      </w:r>
      <w:r w:rsidR="009D5EA9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le Secrétariat </w:t>
      </w:r>
      <w:r w:rsidR="005826F2">
        <w:rPr>
          <w:rFonts w:ascii="Arial" w:hAnsi="Arial" w:cs="Arial"/>
          <w:snapToGrid w:val="0"/>
          <w:sz w:val="22"/>
          <w:szCs w:val="22"/>
          <w:lang w:val="fr-FR" w:eastAsia="en-US"/>
        </w:rPr>
        <w:t>pour</w:t>
      </w:r>
      <w:r w:rsidR="009D5EA9">
        <w:rPr>
          <w:rFonts w:ascii="Arial" w:hAnsi="Arial" w:cs="Arial"/>
          <w:snapToGrid w:val="0"/>
          <w:sz w:val="22"/>
          <w:szCs w:val="22"/>
          <w:lang w:val="fr-FR" w:eastAsia="en-US"/>
        </w:rPr>
        <w:t>ra</w:t>
      </w:r>
      <w:r w:rsidR="005826F2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  <w:r w:rsidR="00932C45">
        <w:rPr>
          <w:rFonts w:ascii="Arial" w:hAnsi="Arial" w:cs="Arial"/>
          <w:snapToGrid w:val="0"/>
          <w:sz w:val="22"/>
          <w:szCs w:val="22"/>
          <w:lang w:val="fr-FR" w:eastAsia="en-US"/>
        </w:rPr>
        <w:t>étudier les possibilités de</w:t>
      </w:r>
      <w:r w:rsidR="00CF73DB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contribuer </w:t>
      </w:r>
      <w:r w:rsidR="009D5EA9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de manière stratégique </w:t>
      </w:r>
      <w:r w:rsidR="00CF73DB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aux opérations de communication, publications et campagnes </w:t>
      </w:r>
      <w:r w:rsidR="00932C45">
        <w:rPr>
          <w:rFonts w:ascii="Arial" w:hAnsi="Arial" w:cs="Arial"/>
          <w:snapToGrid w:val="0"/>
          <w:sz w:val="22"/>
          <w:szCs w:val="22"/>
          <w:lang w:val="fr-FR" w:eastAsia="en-US"/>
        </w:rPr>
        <w:t>qui auront lieu à cette occasion</w:t>
      </w:r>
      <w:r w:rsidR="00DF4F75">
        <w:rPr>
          <w:rFonts w:ascii="Arial" w:hAnsi="Arial" w:cs="Arial"/>
          <w:snapToGrid w:val="0"/>
          <w:sz w:val="22"/>
          <w:szCs w:val="22"/>
          <w:lang w:val="fr-FR" w:eastAsia="en-US"/>
        </w:rPr>
        <w:t> </w:t>
      </w:r>
      <w:r w:rsidR="00EF277E" w:rsidRPr="00CF72CA">
        <w:rPr>
          <w:rFonts w:ascii="Arial" w:hAnsi="Arial" w:cs="Arial"/>
          <w:snapToGrid w:val="0"/>
          <w:sz w:val="22"/>
          <w:szCs w:val="22"/>
          <w:lang w:val="fr-FR" w:eastAsia="en-US"/>
        </w:rPr>
        <w:t>;</w:t>
      </w:r>
    </w:p>
    <w:p w14:paraId="4D8D04BB" w14:textId="4F83F3D4" w:rsidR="00EF277E" w:rsidRPr="00CF72CA" w:rsidRDefault="00CF73DB" w:rsidP="00C32E71">
      <w:pPr>
        <w:pStyle w:val="ListParagraph"/>
        <w:numPr>
          <w:ilvl w:val="0"/>
          <w:numId w:val="19"/>
        </w:numPr>
        <w:tabs>
          <w:tab w:val="left" w:pos="567"/>
        </w:tabs>
        <w:snapToGrid w:val="0"/>
        <w:spacing w:after="120"/>
        <w:ind w:left="1134" w:hanging="567"/>
        <w:contextualSpacing w:val="0"/>
        <w:jc w:val="both"/>
        <w:rPr>
          <w:rFonts w:ascii="Arial" w:hAnsi="Arial" w:cs="Arial"/>
          <w:snapToGrid w:val="0"/>
          <w:sz w:val="22"/>
          <w:szCs w:val="22"/>
          <w:lang w:val="fr-FR" w:eastAsia="en-US"/>
        </w:rPr>
      </w:pPr>
      <w:proofErr w:type="gramStart"/>
      <w:r w:rsidRPr="00CF72CA">
        <w:rPr>
          <w:rFonts w:ascii="Arial" w:hAnsi="Arial" w:cs="Arial"/>
          <w:snapToGrid w:val="0"/>
          <w:sz w:val="22"/>
          <w:szCs w:val="22"/>
          <w:lang w:val="fr-FR" w:eastAsia="en-US"/>
        </w:rPr>
        <w:t>développer</w:t>
      </w:r>
      <w:proofErr w:type="gramEnd"/>
      <w:r w:rsidRPr="00CF72CA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des</w:t>
      </w:r>
      <w:r w:rsidR="00162A5D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documentaires</w:t>
      </w:r>
      <w:r w:rsidRPr="00CF72CA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audio-visuels sur des thèmes spécifiques, tels que le patrimoine culturel immatériel </w:t>
      </w:r>
      <w:r w:rsidR="003114BB">
        <w:rPr>
          <w:rFonts w:ascii="Arial" w:hAnsi="Arial" w:cs="Arial"/>
          <w:snapToGrid w:val="0"/>
          <w:sz w:val="22"/>
          <w:szCs w:val="22"/>
          <w:lang w:val="fr-FR" w:eastAsia="en-US"/>
        </w:rPr>
        <w:t>dans les situations</w:t>
      </w:r>
      <w:r w:rsidR="003114BB" w:rsidRPr="00CF72CA" w:rsidDel="003114BB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  <w:r w:rsidRPr="00CF72CA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d’urgence ou </w:t>
      </w:r>
      <w:r w:rsidR="00455476">
        <w:rPr>
          <w:rFonts w:ascii="Arial" w:hAnsi="Arial" w:cs="Arial"/>
          <w:snapToGrid w:val="0"/>
          <w:sz w:val="22"/>
          <w:szCs w:val="22"/>
          <w:lang w:val="fr-FR" w:eastAsia="en-US"/>
        </w:rPr>
        <w:t>l</w:t>
      </w:r>
      <w:r w:rsidR="009D5EA9">
        <w:rPr>
          <w:rFonts w:ascii="Arial" w:hAnsi="Arial" w:cs="Arial"/>
          <w:snapToGrid w:val="0"/>
          <w:sz w:val="22"/>
          <w:szCs w:val="22"/>
          <w:lang w:val="fr-FR" w:eastAsia="en-US"/>
        </w:rPr>
        <w:t>a contribution</w:t>
      </w:r>
      <w:r w:rsidRPr="00CF72CA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  <w:r w:rsidR="00455476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du patrimoine culturel immatériel </w:t>
      </w:r>
      <w:r w:rsidRPr="00CF72CA">
        <w:rPr>
          <w:rFonts w:ascii="Arial" w:hAnsi="Arial" w:cs="Arial"/>
          <w:snapToGrid w:val="0"/>
          <w:sz w:val="22"/>
          <w:szCs w:val="22"/>
          <w:lang w:val="fr-FR" w:eastAsia="en-US"/>
        </w:rPr>
        <w:t>au développement durable</w:t>
      </w:r>
      <w:r w:rsidRPr="00614592">
        <w:rPr>
          <w:rFonts w:ascii="Arial" w:hAnsi="Arial" w:cs="Arial"/>
          <w:snapToGrid w:val="0"/>
          <w:sz w:val="22"/>
          <w:szCs w:val="22"/>
          <w:lang w:val="fr-FR" w:eastAsia="en-US"/>
        </w:rPr>
        <w:t>. Certains document</w:t>
      </w:r>
      <w:r w:rsidR="00162A5D" w:rsidRPr="00614592">
        <w:rPr>
          <w:rFonts w:ascii="Arial" w:hAnsi="Arial" w:cs="Arial"/>
          <w:snapToGrid w:val="0"/>
          <w:sz w:val="22"/>
          <w:szCs w:val="22"/>
          <w:lang w:val="fr-FR" w:eastAsia="en-US"/>
        </w:rPr>
        <w:t>aire</w:t>
      </w:r>
      <w:r w:rsidRPr="00614592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s par exemple </w:t>
      </w:r>
      <w:r w:rsidR="00C7534A" w:rsidRPr="00614592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peuvent être conçus pour souligner </w:t>
      </w:r>
      <w:r w:rsidR="00455476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le patrimoine culturel immatériel en tant que </w:t>
      </w:r>
      <w:r w:rsidR="00C7534A" w:rsidRPr="00614592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vecteur </w:t>
      </w:r>
      <w:r w:rsidR="00455476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essentiel </w:t>
      </w:r>
      <w:r w:rsidR="00C7534A" w:rsidRPr="00614592">
        <w:rPr>
          <w:rFonts w:ascii="Arial" w:hAnsi="Arial" w:cs="Arial"/>
          <w:snapToGrid w:val="0"/>
          <w:sz w:val="22"/>
          <w:szCs w:val="22"/>
          <w:lang w:val="fr-FR" w:eastAsia="en-US"/>
        </w:rPr>
        <w:t>de résilience</w:t>
      </w:r>
      <w:r w:rsidR="00C7534A">
        <w:rPr>
          <w:rFonts w:ascii="Arial" w:hAnsi="Arial" w:cs="Arial"/>
          <w:snapToGrid w:val="0"/>
          <w:sz w:val="22"/>
          <w:szCs w:val="22"/>
          <w:lang w:val="fr-FR" w:eastAsia="en-US"/>
        </w:rPr>
        <w:t>, de dialogue et de cohésion sociale dans les situations d’urgence</w:t>
      </w:r>
      <w:r w:rsidR="005E2198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à travers des supports visuels </w:t>
      </w:r>
      <w:r w:rsidR="00682369">
        <w:rPr>
          <w:rFonts w:ascii="Arial" w:hAnsi="Arial" w:cs="Arial"/>
          <w:snapToGrid w:val="0"/>
          <w:sz w:val="22"/>
          <w:szCs w:val="22"/>
          <w:lang w:val="fr-FR" w:eastAsia="en-US"/>
        </w:rPr>
        <w:t>percutants</w:t>
      </w:r>
      <w:r w:rsidR="005E2198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. Ces </w:t>
      </w:r>
      <w:r w:rsidR="00162A5D">
        <w:rPr>
          <w:rFonts w:ascii="Arial" w:hAnsi="Arial" w:cs="Arial"/>
          <w:snapToGrid w:val="0"/>
          <w:sz w:val="22"/>
          <w:szCs w:val="22"/>
          <w:lang w:val="fr-FR" w:eastAsia="en-US"/>
        </w:rPr>
        <w:t>supports</w:t>
      </w:r>
      <w:r w:rsidR="005E2198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peuvent également servir à démontrer son rôle </w:t>
      </w:r>
      <w:r w:rsidR="00A92F75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en matière de développement durable dans ses dimensions </w:t>
      </w:r>
      <w:r w:rsidR="005E2198">
        <w:rPr>
          <w:rFonts w:ascii="Arial" w:hAnsi="Arial" w:cs="Arial"/>
          <w:snapToGrid w:val="0"/>
          <w:sz w:val="22"/>
          <w:szCs w:val="22"/>
          <w:lang w:val="fr-FR" w:eastAsia="en-US"/>
        </w:rPr>
        <w:t>économique, social</w:t>
      </w:r>
      <w:r w:rsidR="00A92F75">
        <w:rPr>
          <w:rFonts w:ascii="Arial" w:hAnsi="Arial" w:cs="Arial"/>
          <w:snapToGrid w:val="0"/>
          <w:sz w:val="22"/>
          <w:szCs w:val="22"/>
          <w:lang w:val="fr-FR" w:eastAsia="en-US"/>
        </w:rPr>
        <w:t>e</w:t>
      </w:r>
      <w:r w:rsidR="005E2198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et environnemental</w:t>
      </w:r>
      <w:r w:rsidR="00A92F75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e, </w:t>
      </w:r>
      <w:r w:rsidR="005E2198">
        <w:rPr>
          <w:rFonts w:ascii="Arial" w:hAnsi="Arial" w:cs="Arial"/>
          <w:snapToGrid w:val="0"/>
          <w:sz w:val="22"/>
          <w:szCs w:val="22"/>
          <w:lang w:val="fr-FR" w:eastAsia="en-US"/>
        </w:rPr>
        <w:t>en mettant en avant des projets portés par les communautés.</w:t>
      </w:r>
    </w:p>
    <w:p w14:paraId="35FB55B9" w14:textId="2DEC8A9A" w:rsidR="00EF277E" w:rsidRPr="00A0682D" w:rsidRDefault="0074106D" w:rsidP="002B1A5C">
      <w:pPr>
        <w:pStyle w:val="1GAParabodytext"/>
      </w:pPr>
      <w:r w:rsidRPr="00CF72CA">
        <w:t>C</w:t>
      </w:r>
      <w:r>
        <w:t xml:space="preserve">e plan va </w:t>
      </w:r>
      <w:r w:rsidR="00B33278">
        <w:t>principalement</w:t>
      </w:r>
      <w:r>
        <w:t xml:space="preserve"> permettre au Secrétariat d</w:t>
      </w:r>
      <w:r w:rsidR="00B33278">
        <w:t>e guider et d’</w:t>
      </w:r>
      <w:r>
        <w:t>orienter</w:t>
      </w:r>
      <w:r w:rsidR="00016816">
        <w:t xml:space="preserve"> les actions de communication qu’il </w:t>
      </w:r>
      <w:r w:rsidR="00B33278">
        <w:t>projette de développer et de</w:t>
      </w:r>
      <w:r>
        <w:t xml:space="preserve"> mettre en </w:t>
      </w:r>
      <w:r w:rsidR="00B33278" w:rsidRPr="00B555D4">
        <w:t xml:space="preserve">œuvre </w:t>
      </w:r>
      <w:r w:rsidR="008B58E5" w:rsidRPr="00543FAA">
        <w:t xml:space="preserve">durant le second semestre </w:t>
      </w:r>
      <w:r w:rsidR="00B33278" w:rsidRPr="00B555D4">
        <w:t>de</w:t>
      </w:r>
      <w:r w:rsidRPr="00B555D4">
        <w:t xml:space="preserve"> </w:t>
      </w:r>
      <w:r w:rsidR="00B33278" w:rsidRPr="00B555D4">
        <w:t>l’année en cours</w:t>
      </w:r>
      <w:r w:rsidRPr="00693178">
        <w:t xml:space="preserve"> et en 2019. </w:t>
      </w:r>
      <w:r w:rsidR="005218C3" w:rsidRPr="0019602F">
        <w:t>L</w:t>
      </w:r>
      <w:r w:rsidR="008F53E9" w:rsidRPr="0019602F">
        <w:t>a conception d’une</w:t>
      </w:r>
      <w:r w:rsidR="008F53E9" w:rsidRPr="00DA16E1">
        <w:t xml:space="preserve"> commu</w:t>
      </w:r>
      <w:r w:rsidR="008F53E9">
        <w:t xml:space="preserve">nication efficace pour la Convention </w:t>
      </w:r>
      <w:r w:rsidR="00682369">
        <w:t xml:space="preserve">de </w:t>
      </w:r>
      <w:r w:rsidR="008F53E9">
        <w:t>2003 représente un</w:t>
      </w:r>
      <w:r w:rsidR="00460E25">
        <w:t xml:space="preserve"> investissement sur le</w:t>
      </w:r>
      <w:r w:rsidR="005218C3">
        <w:t xml:space="preserve"> long terme </w:t>
      </w:r>
      <w:r w:rsidR="00B33278">
        <w:t>et</w:t>
      </w:r>
      <w:r w:rsidR="005218C3">
        <w:t xml:space="preserve"> </w:t>
      </w:r>
      <w:r w:rsidR="008F53E9">
        <w:t>un travail</w:t>
      </w:r>
      <w:r w:rsidR="005218C3">
        <w:t xml:space="preserve"> </w:t>
      </w:r>
      <w:r w:rsidR="008F53E9">
        <w:t xml:space="preserve">en cours. </w:t>
      </w:r>
      <w:r w:rsidR="00C32E71">
        <w:t>À</w:t>
      </w:r>
      <w:r w:rsidR="005218C3">
        <w:t xml:space="preserve"> ce titre, ce plan </w:t>
      </w:r>
      <w:r w:rsidR="00460E25">
        <w:t>sera</w:t>
      </w:r>
      <w:r w:rsidR="005218C3">
        <w:t xml:space="preserve"> </w:t>
      </w:r>
      <w:r w:rsidR="00460E25">
        <w:t>régulièrement</w:t>
      </w:r>
      <w:r w:rsidR="00016816">
        <w:t xml:space="preserve"> </w:t>
      </w:r>
      <w:r w:rsidR="005218C3">
        <w:t>mis</w:t>
      </w:r>
      <w:r w:rsidR="00016816">
        <w:t xml:space="preserve"> à jour et ajusté</w:t>
      </w:r>
      <w:r w:rsidR="005218C3">
        <w:t xml:space="preserve"> </w:t>
      </w:r>
      <w:r w:rsidR="00016816">
        <w:t>pour répondre</w:t>
      </w:r>
      <w:r w:rsidR="00614592">
        <w:t>,</w:t>
      </w:r>
      <w:r w:rsidR="00016816">
        <w:t xml:space="preserve"> aux </w:t>
      </w:r>
      <w:r w:rsidR="00460E25" w:rsidRPr="00216185">
        <w:t>d</w:t>
      </w:r>
      <w:r w:rsidR="00216185" w:rsidRPr="00543FAA">
        <w:t>éfis</w:t>
      </w:r>
      <w:r w:rsidR="00046D1F">
        <w:t xml:space="preserve"> de la sauvegarde du patrimoine culturel immatérie</w:t>
      </w:r>
      <w:r w:rsidR="00216185">
        <w:t>l</w:t>
      </w:r>
      <w:r w:rsidR="00046D1F">
        <w:t xml:space="preserve"> </w:t>
      </w:r>
      <w:r w:rsidR="00732EB0">
        <w:t>en constante évolution dans le monde d’aujourd’hui,</w:t>
      </w:r>
      <w:r w:rsidR="00016816">
        <w:t xml:space="preserve"> </w:t>
      </w:r>
      <w:r w:rsidR="00732EB0">
        <w:t>aux besoins et aspiration</w:t>
      </w:r>
      <w:r w:rsidR="00FA6D1A">
        <w:t>s des nombreux acteurs impliqué</w:t>
      </w:r>
      <w:r w:rsidR="00B33278">
        <w:t xml:space="preserve">s, </w:t>
      </w:r>
      <w:r w:rsidR="00046D1F">
        <w:t>et</w:t>
      </w:r>
      <w:r w:rsidR="00732EB0">
        <w:t xml:space="preserve"> pour mieux </w:t>
      </w:r>
      <w:r w:rsidR="00732EB0">
        <w:lastRenderedPageBreak/>
        <w:t xml:space="preserve">accompagner la communauté internationale dans la mise en œuvre de la Convention </w:t>
      </w:r>
      <w:r w:rsidR="00682369">
        <w:t xml:space="preserve">de </w:t>
      </w:r>
      <w:r w:rsidR="00732EB0">
        <w:t>2003</w:t>
      </w:r>
      <w:r w:rsidR="00EF277E" w:rsidRPr="00CF72CA">
        <w:t>.</w:t>
      </w:r>
      <w:r w:rsidR="002B1A5C" w:rsidRPr="002B1A5C">
        <w:t xml:space="preserve"> Les objectifs et priorités stratégiques de l'Organisation seront également progressivement </w:t>
      </w:r>
      <w:r w:rsidR="00216185">
        <w:t>introduits</w:t>
      </w:r>
      <w:r w:rsidR="002B1A5C" w:rsidRPr="002B1A5C">
        <w:t xml:space="preserve"> </w:t>
      </w:r>
      <w:r w:rsidR="002B1A5C">
        <w:t xml:space="preserve">dans le cadre des travaux du Groupe de </w:t>
      </w:r>
      <w:r w:rsidR="002B1A5C" w:rsidRPr="00A0682D">
        <w:t xml:space="preserve">travail sur </w:t>
      </w:r>
      <w:r w:rsidR="002B1A5C" w:rsidRPr="00543FAA">
        <w:t>la transformation stratégique pour</w:t>
      </w:r>
      <w:r w:rsidR="002B1A5C" w:rsidRPr="00A0682D">
        <w:t xml:space="preserve"> la communication de l'UNESCO.</w:t>
      </w:r>
    </w:p>
    <w:p w14:paraId="0614613E" w14:textId="7B1DE893" w:rsidR="00EF277E" w:rsidRPr="00B555D4" w:rsidRDefault="00732EB0">
      <w:pPr>
        <w:pStyle w:val="1GAPara"/>
        <w:numPr>
          <w:ilvl w:val="0"/>
          <w:numId w:val="8"/>
        </w:numPr>
        <w:ind w:left="567" w:hanging="567"/>
        <w:jc w:val="both"/>
        <w:rPr>
          <w:lang w:val="fr-FR"/>
        </w:rPr>
      </w:pPr>
      <w:r w:rsidRPr="00CF72CA">
        <w:rPr>
          <w:lang w:val="fr-FR"/>
        </w:rPr>
        <w:t>L</w:t>
      </w:r>
      <w:r>
        <w:rPr>
          <w:lang w:val="fr-FR"/>
        </w:rPr>
        <w:t xml:space="preserve">e déploiement de ces actions de sensibilisation et de communication </w:t>
      </w:r>
      <w:r w:rsidR="00B33278">
        <w:rPr>
          <w:lang w:val="fr-FR"/>
        </w:rPr>
        <w:t>requiert</w:t>
      </w:r>
      <w:r w:rsidR="002C2277">
        <w:rPr>
          <w:lang w:val="fr-FR"/>
        </w:rPr>
        <w:t xml:space="preserve"> une mise en œuvre cohérente </w:t>
      </w:r>
      <w:r w:rsidR="002B1A5C">
        <w:rPr>
          <w:lang w:val="fr-FR"/>
        </w:rPr>
        <w:t>par le</w:t>
      </w:r>
      <w:r w:rsidR="002C2277">
        <w:rPr>
          <w:lang w:val="fr-FR"/>
        </w:rPr>
        <w:t xml:space="preserve"> Secrétariat </w:t>
      </w:r>
      <w:r w:rsidR="002B1A5C">
        <w:rPr>
          <w:lang w:val="fr-FR"/>
        </w:rPr>
        <w:t xml:space="preserve">de la Convention, </w:t>
      </w:r>
      <w:r w:rsidR="00B33278">
        <w:rPr>
          <w:lang w:val="fr-FR"/>
        </w:rPr>
        <w:t xml:space="preserve">avec </w:t>
      </w:r>
      <w:r w:rsidR="00C90F18">
        <w:rPr>
          <w:lang w:val="fr-FR"/>
        </w:rPr>
        <w:t>le soutien solide</w:t>
      </w:r>
      <w:r w:rsidR="00216185">
        <w:rPr>
          <w:lang w:val="fr-FR"/>
        </w:rPr>
        <w:t xml:space="preserve"> </w:t>
      </w:r>
      <w:r w:rsidR="00B33278">
        <w:rPr>
          <w:lang w:val="fr-FR"/>
        </w:rPr>
        <w:t>de</w:t>
      </w:r>
      <w:r w:rsidR="000B1425">
        <w:rPr>
          <w:lang w:val="fr-FR"/>
        </w:rPr>
        <w:t xml:space="preserve"> </w:t>
      </w:r>
      <w:r w:rsidR="002C2277">
        <w:rPr>
          <w:lang w:val="fr-FR"/>
        </w:rPr>
        <w:t xml:space="preserve">l’unité des partenariats, de la communication et des réunions du Secteur de </w:t>
      </w:r>
      <w:r w:rsidR="002C2277" w:rsidRPr="00B555D4">
        <w:rPr>
          <w:lang w:val="fr-FR"/>
        </w:rPr>
        <w:t xml:space="preserve">la culture </w:t>
      </w:r>
      <w:r w:rsidR="000B1425" w:rsidRPr="00B555D4">
        <w:rPr>
          <w:lang w:val="fr-FR"/>
        </w:rPr>
        <w:t>ainsi que</w:t>
      </w:r>
      <w:r w:rsidR="002C2277" w:rsidRPr="00C90F18">
        <w:rPr>
          <w:lang w:val="fr-FR"/>
        </w:rPr>
        <w:t xml:space="preserve"> </w:t>
      </w:r>
      <w:r w:rsidR="00614592" w:rsidRPr="00C90F18">
        <w:rPr>
          <w:lang w:val="fr-FR"/>
        </w:rPr>
        <w:t>la D</w:t>
      </w:r>
      <w:r w:rsidR="002B1A5C" w:rsidRPr="00C90F18">
        <w:rPr>
          <w:lang w:val="fr-FR"/>
        </w:rPr>
        <w:t>ivision</w:t>
      </w:r>
      <w:r w:rsidR="002C2277" w:rsidRPr="00C90F18">
        <w:rPr>
          <w:lang w:val="fr-FR"/>
        </w:rPr>
        <w:t xml:space="preserve"> de l’information du public de l’</w:t>
      </w:r>
      <w:r w:rsidR="00C90F18">
        <w:rPr>
          <w:lang w:val="fr-FR"/>
        </w:rPr>
        <w:t>O</w:t>
      </w:r>
      <w:r w:rsidR="002C2277" w:rsidRPr="00B555D4">
        <w:rPr>
          <w:lang w:val="fr-FR"/>
        </w:rPr>
        <w:t>rganisation</w:t>
      </w:r>
      <w:r w:rsidR="002C2277">
        <w:rPr>
          <w:lang w:val="fr-FR"/>
        </w:rPr>
        <w:t>. L</w:t>
      </w:r>
      <w:r w:rsidR="000B1425">
        <w:rPr>
          <w:lang w:val="fr-FR"/>
        </w:rPr>
        <w:t>e</w:t>
      </w:r>
      <w:r w:rsidR="002C2277">
        <w:rPr>
          <w:lang w:val="fr-FR"/>
        </w:rPr>
        <w:t xml:space="preserve">s ressources financières nécessaires </w:t>
      </w:r>
      <w:r w:rsidR="00FA6D1A">
        <w:rPr>
          <w:lang w:val="fr-FR"/>
        </w:rPr>
        <w:t>au développement</w:t>
      </w:r>
      <w:r w:rsidR="002C2277">
        <w:rPr>
          <w:lang w:val="fr-FR"/>
        </w:rPr>
        <w:t xml:space="preserve"> </w:t>
      </w:r>
      <w:r w:rsidR="00B33278">
        <w:rPr>
          <w:lang w:val="fr-FR"/>
        </w:rPr>
        <w:t xml:space="preserve">de </w:t>
      </w:r>
      <w:r w:rsidR="002C2277">
        <w:rPr>
          <w:lang w:val="fr-FR"/>
        </w:rPr>
        <w:t xml:space="preserve">ces actions de communication en 2018 et 2019 </w:t>
      </w:r>
      <w:r w:rsidR="000B1425">
        <w:rPr>
          <w:lang w:val="fr-FR"/>
        </w:rPr>
        <w:t xml:space="preserve">ont </w:t>
      </w:r>
      <w:r w:rsidR="002C2277">
        <w:rPr>
          <w:lang w:val="fr-FR"/>
        </w:rPr>
        <w:t>été approuvée</w:t>
      </w:r>
      <w:r w:rsidR="000B1425">
        <w:rPr>
          <w:lang w:val="fr-FR"/>
        </w:rPr>
        <w:t>s</w:t>
      </w:r>
      <w:r w:rsidR="002C2277">
        <w:rPr>
          <w:lang w:val="fr-FR"/>
        </w:rPr>
        <w:t xml:space="preserve"> par</w:t>
      </w:r>
      <w:r w:rsidR="000B1425">
        <w:rPr>
          <w:lang w:val="fr-FR"/>
        </w:rPr>
        <w:t xml:space="preserve"> le Bureau </w:t>
      </w:r>
      <w:r w:rsidR="000B1425" w:rsidRPr="00DA0339">
        <w:rPr>
          <w:lang w:val="fr-FR"/>
        </w:rPr>
        <w:t>(</w:t>
      </w:r>
      <w:hyperlink r:id="rId15" w:history="1">
        <w:r w:rsidR="00C32E71">
          <w:rPr>
            <w:rStyle w:val="Hyperlink"/>
            <w:lang w:val="fr-FR"/>
          </w:rPr>
          <w:t>dé</w:t>
        </w:r>
        <w:r w:rsidR="000B1425" w:rsidRPr="00DA0339">
          <w:rPr>
            <w:rStyle w:val="Hyperlink"/>
            <w:lang w:val="fr-FR"/>
          </w:rPr>
          <w:t>cision 13.COM</w:t>
        </w:r>
        <w:r w:rsidR="00830D40">
          <w:rPr>
            <w:rStyle w:val="Hyperlink"/>
            <w:lang w:val="fr-FR"/>
          </w:rPr>
          <w:t xml:space="preserve"> </w:t>
        </w:r>
        <w:r w:rsidR="000B1425" w:rsidRPr="00DA0339">
          <w:rPr>
            <w:rStyle w:val="Hyperlink"/>
            <w:lang w:val="fr-FR"/>
          </w:rPr>
          <w:t>2.BUR 3</w:t>
        </w:r>
      </w:hyperlink>
      <w:r w:rsidR="000B1425" w:rsidRPr="00DA0339">
        <w:rPr>
          <w:lang w:val="fr-FR"/>
        </w:rPr>
        <w:t>)</w:t>
      </w:r>
      <w:r w:rsidR="00FA6D1A">
        <w:rPr>
          <w:lang w:val="fr-FR"/>
        </w:rPr>
        <w:t xml:space="preserve"> </w:t>
      </w:r>
      <w:r w:rsidR="002B1A5C">
        <w:rPr>
          <w:lang w:val="fr-FR"/>
        </w:rPr>
        <w:t>dans le cadre du</w:t>
      </w:r>
      <w:r w:rsidR="00FA6D1A">
        <w:rPr>
          <w:lang w:val="fr-FR"/>
        </w:rPr>
        <w:t xml:space="preserve"> </w:t>
      </w:r>
      <w:r w:rsidR="00730EDD" w:rsidRPr="00543FAA">
        <w:rPr>
          <w:lang w:val="fr-FR"/>
        </w:rPr>
        <w:t>P</w:t>
      </w:r>
      <w:r w:rsidR="00FA6D1A" w:rsidRPr="00B555D4">
        <w:rPr>
          <w:lang w:val="fr-FR"/>
        </w:rPr>
        <w:t xml:space="preserve">lan </w:t>
      </w:r>
      <w:r w:rsidR="00730EDD" w:rsidRPr="00543FAA">
        <w:rPr>
          <w:lang w:val="fr-FR"/>
        </w:rPr>
        <w:t>d</w:t>
      </w:r>
      <w:r w:rsidR="00FA6D1A" w:rsidRPr="00B555D4">
        <w:rPr>
          <w:lang w:val="fr-FR"/>
        </w:rPr>
        <w:t xml:space="preserve">’utilisation de 20 </w:t>
      </w:r>
      <w:r w:rsidR="00DF4F75" w:rsidRPr="00B555D4">
        <w:rPr>
          <w:lang w:val="fr-FR"/>
        </w:rPr>
        <w:t>pour cent</w:t>
      </w:r>
      <w:r w:rsidR="00FA6D1A" w:rsidRPr="00B555D4">
        <w:rPr>
          <w:lang w:val="fr-FR"/>
        </w:rPr>
        <w:t xml:space="preserve"> des ressources du Fonds du patrimoine culturel immatériel alloués aux </w:t>
      </w:r>
      <w:r w:rsidR="00DF16FE" w:rsidRPr="00C90F18">
        <w:rPr>
          <w:lang w:val="fr-FR"/>
        </w:rPr>
        <w:t>« a</w:t>
      </w:r>
      <w:r w:rsidR="00FA6D1A" w:rsidRPr="00C90F18">
        <w:rPr>
          <w:lang w:val="fr-FR"/>
        </w:rPr>
        <w:t>utres fonctions du Comité »</w:t>
      </w:r>
      <w:r w:rsidR="000B1425" w:rsidRPr="00C90F18">
        <w:rPr>
          <w:lang w:val="fr-FR"/>
        </w:rPr>
        <w:t>.</w:t>
      </w:r>
      <w:r w:rsidR="00FA6D1A" w:rsidRPr="00C90F18">
        <w:rPr>
          <w:lang w:val="fr-FR"/>
        </w:rPr>
        <w:t xml:space="preserve"> Ces ressources seront </w:t>
      </w:r>
      <w:r w:rsidR="002B1A5C" w:rsidRPr="00C90F18">
        <w:rPr>
          <w:lang w:val="fr-FR"/>
        </w:rPr>
        <w:t>utilisées</w:t>
      </w:r>
      <w:r w:rsidR="002B1A5C">
        <w:rPr>
          <w:lang w:val="fr-FR"/>
        </w:rPr>
        <w:t xml:space="preserve"> </w:t>
      </w:r>
      <w:r w:rsidR="00162A5D">
        <w:rPr>
          <w:lang w:val="fr-FR"/>
        </w:rPr>
        <w:t>eff</w:t>
      </w:r>
      <w:r w:rsidR="002B1A5C">
        <w:rPr>
          <w:lang w:val="fr-FR"/>
        </w:rPr>
        <w:t>icacement</w:t>
      </w:r>
      <w:r w:rsidR="00FA6D1A">
        <w:rPr>
          <w:lang w:val="fr-FR"/>
        </w:rPr>
        <w:t xml:space="preserve"> pour la mise en œuvre du plan de sensibilisation et de communication, conformément au </w:t>
      </w:r>
      <w:r w:rsidR="00B76262">
        <w:rPr>
          <w:lang w:val="fr-FR"/>
        </w:rPr>
        <w:t>r</w:t>
      </w:r>
      <w:r w:rsidR="00FA6D1A">
        <w:rPr>
          <w:lang w:val="fr-FR"/>
        </w:rPr>
        <w:t xml:space="preserve">ésultat escompté 4 </w:t>
      </w:r>
      <w:r w:rsidR="002B1A5C">
        <w:rPr>
          <w:lang w:val="fr-FR"/>
        </w:rPr>
        <w:t xml:space="preserve">du Fonds </w:t>
      </w:r>
      <w:r w:rsidR="00FA6D1A">
        <w:rPr>
          <w:lang w:val="fr-FR"/>
        </w:rPr>
        <w:t xml:space="preserve">des </w:t>
      </w:r>
      <w:r w:rsidR="00FA6D1A" w:rsidRPr="00B555D4">
        <w:rPr>
          <w:lang w:val="fr-FR"/>
        </w:rPr>
        <w:t>« Objectifs de la Convention promus par des actions de sensibilisation et d’information »</w:t>
      </w:r>
      <w:r w:rsidR="00EF277E" w:rsidRPr="00B555D4">
        <w:rPr>
          <w:lang w:val="fr-FR"/>
        </w:rPr>
        <w:t>.</w:t>
      </w:r>
    </w:p>
    <w:p w14:paraId="677AB3BD" w14:textId="13BF17C8" w:rsidR="00E84291" w:rsidRPr="001B3109" w:rsidRDefault="00606DB7" w:rsidP="001B3109">
      <w:pPr>
        <w:pStyle w:val="1GAParabodytext"/>
      </w:pPr>
      <w:r w:rsidRPr="00CF72CA">
        <w:t xml:space="preserve">Afin de garantir </w:t>
      </w:r>
      <w:r w:rsidR="00DF16FE">
        <w:t>la</w:t>
      </w:r>
      <w:r w:rsidRPr="00CF72CA">
        <w:t xml:space="preserve"> mise en </w:t>
      </w:r>
      <w:r w:rsidR="00C32E71">
        <w:t>œuvre</w:t>
      </w:r>
      <w:r w:rsidRPr="00CF72CA">
        <w:t xml:space="preserve"> </w:t>
      </w:r>
      <w:r w:rsidR="005E4BA1">
        <w:t xml:space="preserve">constante </w:t>
      </w:r>
      <w:r>
        <w:t>et active</w:t>
      </w:r>
      <w:r w:rsidR="00C0323B">
        <w:t xml:space="preserve"> </w:t>
      </w:r>
      <w:r>
        <w:t>de ce plan de sens</w:t>
      </w:r>
      <w:r w:rsidR="00732CF5">
        <w:t>ibilisation et de communication,</w:t>
      </w:r>
      <w:r>
        <w:t xml:space="preserve"> la mobilisation de l’ensemble des parties prenantes de la Convention</w:t>
      </w:r>
      <w:r w:rsidR="003570A7">
        <w:t xml:space="preserve"> de</w:t>
      </w:r>
      <w:r>
        <w:t xml:space="preserve"> 2003</w:t>
      </w:r>
      <w:r w:rsidR="005436B6">
        <w:t xml:space="preserve"> – à savoir, les </w:t>
      </w:r>
      <w:r w:rsidR="00BE6FB9">
        <w:t>b</w:t>
      </w:r>
      <w:r w:rsidR="005436B6">
        <w:t xml:space="preserve">ureaux hors </w:t>
      </w:r>
      <w:r w:rsidR="00BE6FB9">
        <w:t>S</w:t>
      </w:r>
      <w:r w:rsidR="005436B6">
        <w:t xml:space="preserve">iège de l’UNESCO, les États parties et organisations partenaires, y compris les ONG et les </w:t>
      </w:r>
      <w:r w:rsidR="004A1A6D">
        <w:t>C</w:t>
      </w:r>
      <w:r w:rsidR="005436B6">
        <w:t>entres de catégorie 2 –</w:t>
      </w:r>
      <w:r>
        <w:t xml:space="preserve"> comme principaux acteurs de la communication, </w:t>
      </w:r>
      <w:r w:rsidRPr="0019602F">
        <w:t xml:space="preserve">est </w:t>
      </w:r>
      <w:r w:rsidR="00730EDD" w:rsidRPr="00543FAA">
        <w:t>essentielle</w:t>
      </w:r>
      <w:r w:rsidR="007414E6" w:rsidRPr="00543FAA">
        <w:t xml:space="preserve"> </w:t>
      </w:r>
      <w:r w:rsidR="007414E6" w:rsidRPr="0019602F">
        <w:t>en vue d'élargir et d'enrichir davantage l'impact de la communication</w:t>
      </w:r>
      <w:r w:rsidR="005436B6" w:rsidRPr="0019602F">
        <w:t>.</w:t>
      </w:r>
      <w:r w:rsidR="005436B6" w:rsidRPr="00E113E6">
        <w:t xml:space="preserve"> </w:t>
      </w:r>
      <w:r w:rsidR="00EB64F6" w:rsidRPr="00E113E6">
        <w:t>Les actions et les instruments proposés vont également servir à soutenir les États parties dans leurs propres</w:t>
      </w:r>
      <w:r w:rsidR="00EB64F6">
        <w:t xml:space="preserve"> </w:t>
      </w:r>
      <w:r w:rsidR="00A80259">
        <w:t>initiatives de</w:t>
      </w:r>
      <w:r w:rsidR="00431203">
        <w:t xml:space="preserve"> s</w:t>
      </w:r>
      <w:r w:rsidR="00614592">
        <w:t>ensibilisation et d’information</w:t>
      </w:r>
      <w:r w:rsidR="00732CF5">
        <w:t>,</w:t>
      </w:r>
      <w:r w:rsidR="00DF16FE">
        <w:t xml:space="preserve"> </w:t>
      </w:r>
      <w:r w:rsidR="00C0323B">
        <w:t>comme énoncé dans l’un des</w:t>
      </w:r>
      <w:r w:rsidR="00DF16FE">
        <w:t xml:space="preserve"> cinq i</w:t>
      </w:r>
      <w:r w:rsidR="00EB64F6">
        <w:t xml:space="preserve">ndicateurs de performance </w:t>
      </w:r>
      <w:r w:rsidR="00C0323B">
        <w:t>des</w:t>
      </w:r>
      <w:r w:rsidR="00EB64F6">
        <w:t xml:space="preserve"> programme et budget </w:t>
      </w:r>
      <w:r w:rsidR="00431203">
        <w:t xml:space="preserve">approuvés du </w:t>
      </w:r>
      <w:r w:rsidR="00DF16FE">
        <w:t>39 C/5</w:t>
      </w:r>
      <w:r w:rsidR="00EB64F6">
        <w:t xml:space="preserve">, sous le </w:t>
      </w:r>
      <w:r w:rsidR="00B76262">
        <w:t>r</w:t>
      </w:r>
      <w:r w:rsidR="00EB64F6">
        <w:t xml:space="preserve">ésultat escompté 6 </w:t>
      </w:r>
      <w:r w:rsidR="006741F9">
        <w:t xml:space="preserve">du </w:t>
      </w:r>
      <w:r w:rsidR="003114BB">
        <w:t>Grand programme</w:t>
      </w:r>
      <w:r w:rsidR="006741F9">
        <w:t xml:space="preserve"> IV pour</w:t>
      </w:r>
      <w:r w:rsidR="00EB64F6">
        <w:t xml:space="preserve"> la Convention </w:t>
      </w:r>
      <w:r w:rsidR="00431203">
        <w:t xml:space="preserve">de </w:t>
      </w:r>
      <w:r w:rsidR="00EB64F6">
        <w:t xml:space="preserve">2003 </w:t>
      </w:r>
      <w:r w:rsidR="000D116C">
        <w:t>–</w:t>
      </w:r>
      <w:r w:rsidR="006741F9">
        <w:t xml:space="preserve"> </w:t>
      </w:r>
      <w:r w:rsidR="000D116C">
        <w:t xml:space="preserve">Pl 5 : </w:t>
      </w:r>
      <w:r w:rsidR="00D375A0">
        <w:t>« </w:t>
      </w:r>
      <w:r w:rsidR="000D116C">
        <w:t>Nombre d</w:t>
      </w:r>
      <w:r w:rsidR="00FD7526">
        <w:t>’</w:t>
      </w:r>
      <w:r w:rsidR="000D116C">
        <w:t xml:space="preserve">initiatives </w:t>
      </w:r>
      <w:r w:rsidR="006741F9">
        <w:t>lancées</w:t>
      </w:r>
      <w:r w:rsidR="000D116C">
        <w:t xml:space="preserve"> par les États </w:t>
      </w:r>
      <w:r w:rsidR="006741F9">
        <w:t>membres</w:t>
      </w:r>
      <w:r w:rsidR="000D116C">
        <w:t xml:space="preserve"> </w:t>
      </w:r>
      <w:r w:rsidR="006741F9">
        <w:t>aidés</w:t>
      </w:r>
      <w:r w:rsidR="000D116C">
        <w:t xml:space="preserve"> qui ont </w:t>
      </w:r>
      <w:r w:rsidR="006741F9">
        <w:t>amélioré</w:t>
      </w:r>
      <w:r w:rsidR="000D116C">
        <w:t xml:space="preserve"> la connaissance</w:t>
      </w:r>
      <w:r w:rsidR="006741F9">
        <w:t xml:space="preserve"> et la </w:t>
      </w:r>
      <w:r w:rsidR="000D116C">
        <w:t xml:space="preserve">compréhension de la sauvegarde du patrimoine culturel immatériel et de la Convention </w:t>
      </w:r>
      <w:r w:rsidR="00AB1817">
        <w:t xml:space="preserve">de </w:t>
      </w:r>
      <w:r w:rsidR="000D116C">
        <w:t>2003</w:t>
      </w:r>
      <w:r w:rsidR="00D375A0">
        <w:t> »</w:t>
      </w:r>
      <w:r w:rsidR="00EF277E" w:rsidRPr="00CF72CA">
        <w:t>.</w:t>
      </w:r>
    </w:p>
    <w:sectPr w:rsidR="00E84291" w:rsidRPr="001B3109" w:rsidSect="002938F2">
      <w:headerReference w:type="even" r:id="rId16"/>
      <w:headerReference w:type="default" r:id="rId17"/>
      <w:headerReference w:type="first" r:id="rId18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3D13F" w14:textId="77777777" w:rsidR="00EB64F6" w:rsidRDefault="00EB64F6" w:rsidP="002938F2">
      <w:r>
        <w:separator/>
      </w:r>
    </w:p>
  </w:endnote>
  <w:endnote w:type="continuationSeparator" w:id="0">
    <w:p w14:paraId="14E65A66" w14:textId="77777777" w:rsidR="00EB64F6" w:rsidRDefault="00EB64F6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C598" w14:textId="77777777" w:rsidR="00EB64F6" w:rsidRDefault="00EB64F6" w:rsidP="002938F2">
      <w:r>
        <w:separator/>
      </w:r>
    </w:p>
  </w:footnote>
  <w:footnote w:type="continuationSeparator" w:id="0">
    <w:p w14:paraId="5DC5CD3A" w14:textId="77777777" w:rsidR="00EB64F6" w:rsidRDefault="00EB64F6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DE37" w14:textId="1E1ECF74" w:rsidR="00EB64F6" w:rsidRPr="00290AA9" w:rsidRDefault="00EB64F6" w:rsidP="00295401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sz w:val="20"/>
        <w:szCs w:val="20"/>
        <w:lang w:val="fr-FR"/>
      </w:rPr>
      <w:t>ITH/1</w:t>
    </w:r>
    <w:r>
      <w:rPr>
        <w:rFonts w:ascii="Arial" w:eastAsiaTheme="minorEastAsia" w:hAnsi="Arial" w:cs="Arial"/>
        <w:sz w:val="20"/>
        <w:szCs w:val="20"/>
        <w:lang w:val="fr-FR" w:eastAsia="ko-KR"/>
      </w:rPr>
      <w:t>8</w:t>
    </w:r>
    <w:r w:rsidRPr="00290AA9">
      <w:rPr>
        <w:rFonts w:ascii="Arial" w:hAnsi="Arial" w:cs="Arial"/>
        <w:sz w:val="20"/>
        <w:szCs w:val="20"/>
        <w:lang w:val="fr-FR"/>
      </w:rPr>
      <w:t>/</w:t>
    </w:r>
    <w:r>
      <w:rPr>
        <w:rFonts w:ascii="Arial" w:hAnsi="Arial" w:cs="Arial"/>
        <w:sz w:val="20"/>
        <w:szCs w:val="20"/>
        <w:lang w:val="fr-FR"/>
      </w:rPr>
      <w:t>13</w:t>
    </w:r>
    <w:r w:rsidRPr="00290AA9">
      <w:rPr>
        <w:rFonts w:ascii="Arial" w:hAnsi="Arial" w:cs="Arial"/>
        <w:sz w:val="20"/>
        <w:szCs w:val="20"/>
        <w:lang w:val="fr-FR"/>
      </w:rPr>
      <w:t>.</w:t>
    </w:r>
    <w:r>
      <w:rPr>
        <w:rFonts w:ascii="Arial" w:hAnsi="Arial" w:cs="Arial"/>
        <w:sz w:val="20"/>
        <w:szCs w:val="20"/>
        <w:lang w:val="fr-FR"/>
      </w:rPr>
      <w:t>COM</w:t>
    </w:r>
    <w:r w:rsidRPr="00290AA9">
      <w:rPr>
        <w:rFonts w:ascii="Arial" w:hAnsi="Arial" w:cs="Arial"/>
        <w:sz w:val="20"/>
        <w:szCs w:val="20"/>
        <w:lang w:val="fr-FR"/>
      </w:rPr>
      <w:t>/INF.</w:t>
    </w:r>
    <w:r>
      <w:rPr>
        <w:rFonts w:ascii="Arial" w:hAnsi="Arial" w:cs="Arial"/>
        <w:sz w:val="20"/>
        <w:szCs w:val="20"/>
        <w:lang w:val="fr-FR"/>
      </w:rPr>
      <w:t>5.1</w:t>
    </w:r>
    <w:r w:rsidRPr="00290AA9">
      <w:rPr>
        <w:rFonts w:ascii="Arial" w:hAnsi="Arial" w:cs="Arial"/>
        <w:sz w:val="20"/>
        <w:szCs w:val="20"/>
        <w:lang w:val="fr-FR"/>
      </w:rPr>
      <w:t xml:space="preserve"> – page </w:t>
    </w:r>
    <w:r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Pr="00290AA9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5E3D73">
      <w:rPr>
        <w:rStyle w:val="PageNumber"/>
        <w:rFonts w:ascii="Arial" w:hAnsi="Arial" w:cs="Arial"/>
        <w:noProof/>
        <w:sz w:val="20"/>
        <w:szCs w:val="20"/>
        <w:lang w:val="fr-FR"/>
      </w:rPr>
      <w:t>4</w:t>
    </w:r>
    <w:r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354A" w14:textId="43393B4D" w:rsidR="00EB64F6" w:rsidRPr="00EF563B" w:rsidRDefault="00EB64F6" w:rsidP="0027711E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 xml:space="preserve">ITH/18/13.COM/INF.5.1 </w:t>
    </w:r>
    <w:r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5E3D73">
      <w:rPr>
        <w:rStyle w:val="PageNumber"/>
        <w:rFonts w:ascii="Arial" w:hAnsi="Arial" w:cs="Arial"/>
        <w:noProof/>
        <w:sz w:val="20"/>
        <w:szCs w:val="20"/>
        <w:lang w:val="en-US"/>
      </w:rPr>
      <w:t>5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  <w:p w14:paraId="75E82EB9" w14:textId="77777777" w:rsidR="00EB64F6" w:rsidRDefault="00EB64F6" w:rsidP="002938F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FA0A6" w14:textId="77777777" w:rsidR="00EB64F6" w:rsidRPr="004475EE" w:rsidRDefault="00EB64F6">
    <w:pPr>
      <w:pStyle w:val="Header"/>
      <w:rPr>
        <w:sz w:val="22"/>
        <w:szCs w:val="22"/>
      </w:rPr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522B0D4F" wp14:editId="58AA7EF7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1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2F3D8" w14:textId="77777777" w:rsidR="00EB64F6" w:rsidRPr="00EF277E" w:rsidRDefault="00EB64F6" w:rsidP="00374593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EF277E">
      <w:rPr>
        <w:rFonts w:ascii="Arial" w:hAnsi="Arial" w:cs="Arial"/>
        <w:b/>
        <w:sz w:val="44"/>
        <w:szCs w:val="44"/>
        <w:lang w:val="en-US"/>
      </w:rPr>
      <w:t>13 COM</w:t>
    </w:r>
  </w:p>
  <w:p w14:paraId="0DF182C2" w14:textId="78D6998D" w:rsidR="00EB64F6" w:rsidRPr="00EF277E" w:rsidRDefault="00EB64F6" w:rsidP="00EF277E">
    <w:pPr>
      <w:jc w:val="right"/>
      <w:rPr>
        <w:rFonts w:ascii="Arial" w:hAnsi="Arial" w:cs="Arial"/>
        <w:b/>
        <w:sz w:val="22"/>
        <w:szCs w:val="22"/>
        <w:lang w:val="en-US"/>
      </w:rPr>
    </w:pPr>
    <w:r w:rsidRPr="00EF277E">
      <w:rPr>
        <w:rFonts w:ascii="Arial" w:hAnsi="Arial" w:cs="Arial"/>
        <w:b/>
        <w:sz w:val="22"/>
        <w:szCs w:val="22"/>
        <w:lang w:val="en-US"/>
      </w:rPr>
      <w:t>ITH/18/13.COM/INF.</w:t>
    </w:r>
    <w:r>
      <w:rPr>
        <w:rFonts w:ascii="Arial" w:hAnsi="Arial" w:cs="Arial"/>
        <w:b/>
        <w:sz w:val="22"/>
        <w:szCs w:val="22"/>
        <w:lang w:val="en-US"/>
      </w:rPr>
      <w:t>5.1</w:t>
    </w:r>
  </w:p>
  <w:p w14:paraId="0532056D" w14:textId="5AD0D70B" w:rsidR="00EB64F6" w:rsidRPr="00CF72CA" w:rsidRDefault="00EB64F6" w:rsidP="0009598C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CF72CA">
      <w:rPr>
        <w:rFonts w:ascii="Arial" w:hAnsi="Arial" w:cs="Arial"/>
        <w:b/>
        <w:sz w:val="22"/>
        <w:szCs w:val="22"/>
        <w:lang w:val="en-US"/>
      </w:rPr>
      <w:t xml:space="preserve">Paris, le </w:t>
    </w:r>
    <w:r w:rsidR="0009598C">
      <w:rPr>
        <w:rFonts w:ascii="Arial" w:hAnsi="Arial" w:cs="Arial"/>
        <w:b/>
        <w:sz w:val="22"/>
        <w:szCs w:val="22"/>
        <w:lang w:val="en-US"/>
      </w:rPr>
      <w:t xml:space="preserve">29 </w:t>
    </w:r>
    <w:r w:rsidR="0009598C" w:rsidRPr="0009598C">
      <w:rPr>
        <w:rFonts w:ascii="Arial" w:hAnsi="Arial" w:cs="Arial"/>
        <w:b/>
        <w:sz w:val="22"/>
        <w:szCs w:val="22"/>
        <w:lang w:val="fr-FR"/>
      </w:rPr>
      <w:t>octobre</w:t>
    </w:r>
    <w:r w:rsidRPr="00CF72CA">
      <w:rPr>
        <w:rFonts w:ascii="Arial" w:hAnsi="Arial" w:cs="Arial"/>
        <w:b/>
        <w:sz w:val="22"/>
        <w:szCs w:val="22"/>
        <w:lang w:val="en-US"/>
      </w:rPr>
      <w:t xml:space="preserve"> 201</w:t>
    </w:r>
    <w:r w:rsidRPr="00CF72CA">
      <w:rPr>
        <w:rFonts w:ascii="Arial" w:eastAsiaTheme="minorEastAsia" w:hAnsi="Arial" w:cs="Arial"/>
        <w:b/>
        <w:sz w:val="22"/>
        <w:szCs w:val="22"/>
        <w:lang w:val="en-US" w:eastAsia="ko-KR"/>
      </w:rPr>
      <w:t>8</w:t>
    </w:r>
  </w:p>
  <w:p w14:paraId="6B06DBDF" w14:textId="358699AB" w:rsidR="00EB64F6" w:rsidRDefault="00EB64F6" w:rsidP="0009598C">
    <w:pPr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DF2146">
      <w:rPr>
        <w:rFonts w:ascii="Arial" w:hAnsi="Arial" w:cs="Arial"/>
        <w:b/>
        <w:sz w:val="22"/>
        <w:szCs w:val="22"/>
        <w:lang w:val="fr-FR"/>
      </w:rPr>
      <w:t>Original</w:t>
    </w:r>
    <w:r w:rsidR="0009598C">
      <w:rPr>
        <w:rFonts w:ascii="Arial" w:hAnsi="Arial" w:cs="Arial"/>
        <w:b/>
        <w:sz w:val="22"/>
        <w:szCs w:val="22"/>
        <w:lang w:val="fr-FR"/>
      </w:rPr>
      <w:t> </w:t>
    </w:r>
    <w:r w:rsidRPr="00DF2146">
      <w:rPr>
        <w:rFonts w:ascii="Arial" w:hAnsi="Arial" w:cs="Arial"/>
        <w:b/>
        <w:sz w:val="22"/>
        <w:szCs w:val="22"/>
        <w:lang w:val="fr-FR"/>
      </w:rPr>
      <w:t xml:space="preserve">: </w:t>
    </w:r>
    <w:r w:rsidR="0009598C">
      <w:rPr>
        <w:rFonts w:ascii="Arial" w:hAnsi="Arial" w:cs="Arial"/>
        <w:b/>
        <w:sz w:val="22"/>
        <w:szCs w:val="22"/>
        <w:lang w:val="fr-FR"/>
      </w:rPr>
      <w:t>a</w:t>
    </w:r>
    <w:r>
      <w:rPr>
        <w:rFonts w:ascii="Arial" w:hAnsi="Arial" w:cs="Arial"/>
        <w:b/>
        <w:sz w:val="22"/>
        <w:szCs w:val="22"/>
        <w:lang w:val="fr-FR"/>
      </w:rPr>
      <w:t>nglais</w:t>
    </w:r>
  </w:p>
  <w:p w14:paraId="012DD979" w14:textId="77777777" w:rsidR="00EB64F6" w:rsidRPr="004475EE" w:rsidRDefault="00EB64F6" w:rsidP="00EE2C66">
    <w:pPr>
      <w:ind w:right="440"/>
      <w:rPr>
        <w:rFonts w:eastAsiaTheme="minorEastAsia"/>
        <w:bCs/>
        <w:sz w:val="22"/>
        <w:szCs w:val="22"/>
        <w:lang w:val="fr-FR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74C2D"/>
    <w:multiLevelType w:val="hybridMultilevel"/>
    <w:tmpl w:val="90604184"/>
    <w:lvl w:ilvl="0" w:tplc="71207A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3BE1CB0"/>
    <w:multiLevelType w:val="hybridMultilevel"/>
    <w:tmpl w:val="FE604D22"/>
    <w:lvl w:ilvl="0" w:tplc="C09254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3B71665"/>
    <w:multiLevelType w:val="hybridMultilevel"/>
    <w:tmpl w:val="7340C63C"/>
    <w:lvl w:ilvl="0" w:tplc="D04ECF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36CDA"/>
    <w:multiLevelType w:val="hybridMultilevel"/>
    <w:tmpl w:val="499655FC"/>
    <w:lvl w:ilvl="0" w:tplc="205CBF8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5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7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60"/>
    <w:rsid w:val="000016A4"/>
    <w:rsid w:val="000019DB"/>
    <w:rsid w:val="000047CC"/>
    <w:rsid w:val="00011736"/>
    <w:rsid w:val="00016816"/>
    <w:rsid w:val="00021831"/>
    <w:rsid w:val="00021FC6"/>
    <w:rsid w:val="0002646B"/>
    <w:rsid w:val="00046D1F"/>
    <w:rsid w:val="00047E58"/>
    <w:rsid w:val="000558C9"/>
    <w:rsid w:val="00061949"/>
    <w:rsid w:val="00073D20"/>
    <w:rsid w:val="00074CE1"/>
    <w:rsid w:val="000755E1"/>
    <w:rsid w:val="00075705"/>
    <w:rsid w:val="000813BE"/>
    <w:rsid w:val="000838FA"/>
    <w:rsid w:val="00083BC2"/>
    <w:rsid w:val="00085541"/>
    <w:rsid w:val="0008739D"/>
    <w:rsid w:val="0009598C"/>
    <w:rsid w:val="000972F6"/>
    <w:rsid w:val="000A34CE"/>
    <w:rsid w:val="000B1425"/>
    <w:rsid w:val="000B3DD7"/>
    <w:rsid w:val="000C65E4"/>
    <w:rsid w:val="000D0D10"/>
    <w:rsid w:val="000D116C"/>
    <w:rsid w:val="000E1E35"/>
    <w:rsid w:val="001127CD"/>
    <w:rsid w:val="0011750D"/>
    <w:rsid w:val="00132858"/>
    <w:rsid w:val="001412DE"/>
    <w:rsid w:val="00144A4D"/>
    <w:rsid w:val="00151351"/>
    <w:rsid w:val="00162A5D"/>
    <w:rsid w:val="001706CD"/>
    <w:rsid w:val="00170B10"/>
    <w:rsid w:val="00172AC2"/>
    <w:rsid w:val="00174B39"/>
    <w:rsid w:val="001834E4"/>
    <w:rsid w:val="00195744"/>
    <w:rsid w:val="0019602F"/>
    <w:rsid w:val="001A23A9"/>
    <w:rsid w:val="001A431C"/>
    <w:rsid w:val="001A457E"/>
    <w:rsid w:val="001B3109"/>
    <w:rsid w:val="001B5970"/>
    <w:rsid w:val="001C6A62"/>
    <w:rsid w:val="001D5969"/>
    <w:rsid w:val="001F067C"/>
    <w:rsid w:val="001F2519"/>
    <w:rsid w:val="001F37CA"/>
    <w:rsid w:val="00210652"/>
    <w:rsid w:val="00216185"/>
    <w:rsid w:val="00227E29"/>
    <w:rsid w:val="0023501C"/>
    <w:rsid w:val="00235037"/>
    <w:rsid w:val="002366CA"/>
    <w:rsid w:val="00241D54"/>
    <w:rsid w:val="00254DEF"/>
    <w:rsid w:val="00263F35"/>
    <w:rsid w:val="0027493D"/>
    <w:rsid w:val="0027711E"/>
    <w:rsid w:val="00286C0C"/>
    <w:rsid w:val="00290AA9"/>
    <w:rsid w:val="002938F2"/>
    <w:rsid w:val="00295401"/>
    <w:rsid w:val="002A35DA"/>
    <w:rsid w:val="002A627B"/>
    <w:rsid w:val="002B1A5C"/>
    <w:rsid w:val="002C2277"/>
    <w:rsid w:val="002C3446"/>
    <w:rsid w:val="002C7D30"/>
    <w:rsid w:val="002D0DD6"/>
    <w:rsid w:val="002E322C"/>
    <w:rsid w:val="002E7B1E"/>
    <w:rsid w:val="002F12E2"/>
    <w:rsid w:val="002F3CCA"/>
    <w:rsid w:val="002F6EFC"/>
    <w:rsid w:val="003114BB"/>
    <w:rsid w:val="0031150D"/>
    <w:rsid w:val="003369B9"/>
    <w:rsid w:val="0034412C"/>
    <w:rsid w:val="00356042"/>
    <w:rsid w:val="003570A7"/>
    <w:rsid w:val="00363995"/>
    <w:rsid w:val="003734CA"/>
    <w:rsid w:val="00374593"/>
    <w:rsid w:val="0039446E"/>
    <w:rsid w:val="003A5DBE"/>
    <w:rsid w:val="003A6EEC"/>
    <w:rsid w:val="003A7CFF"/>
    <w:rsid w:val="003B4D89"/>
    <w:rsid w:val="003C3029"/>
    <w:rsid w:val="003C3996"/>
    <w:rsid w:val="003C7065"/>
    <w:rsid w:val="003D7012"/>
    <w:rsid w:val="003E2274"/>
    <w:rsid w:val="003E3E33"/>
    <w:rsid w:val="0040166E"/>
    <w:rsid w:val="004108B6"/>
    <w:rsid w:val="00424812"/>
    <w:rsid w:val="00431203"/>
    <w:rsid w:val="00434773"/>
    <w:rsid w:val="0043712D"/>
    <w:rsid w:val="004475EE"/>
    <w:rsid w:val="00452B5B"/>
    <w:rsid w:val="00455476"/>
    <w:rsid w:val="00460E25"/>
    <w:rsid w:val="00461EEC"/>
    <w:rsid w:val="004665ED"/>
    <w:rsid w:val="00466FF0"/>
    <w:rsid w:val="00471B34"/>
    <w:rsid w:val="004A1A6D"/>
    <w:rsid w:val="004A3E99"/>
    <w:rsid w:val="004A48D5"/>
    <w:rsid w:val="004A5EFB"/>
    <w:rsid w:val="004B1AFE"/>
    <w:rsid w:val="004C3335"/>
    <w:rsid w:val="004C3FFB"/>
    <w:rsid w:val="004C7C86"/>
    <w:rsid w:val="004E00B6"/>
    <w:rsid w:val="004F6472"/>
    <w:rsid w:val="005013D5"/>
    <w:rsid w:val="005016FB"/>
    <w:rsid w:val="00511D17"/>
    <w:rsid w:val="005163A6"/>
    <w:rsid w:val="0051699F"/>
    <w:rsid w:val="00521360"/>
    <w:rsid w:val="005218C3"/>
    <w:rsid w:val="00530A1F"/>
    <w:rsid w:val="00531D35"/>
    <w:rsid w:val="0053338B"/>
    <w:rsid w:val="00535A26"/>
    <w:rsid w:val="00540A31"/>
    <w:rsid w:val="005436B6"/>
    <w:rsid w:val="00543ECF"/>
    <w:rsid w:val="00543FAA"/>
    <w:rsid w:val="00545DB1"/>
    <w:rsid w:val="00554CC6"/>
    <w:rsid w:val="00563664"/>
    <w:rsid w:val="005713CA"/>
    <w:rsid w:val="005826F2"/>
    <w:rsid w:val="005A6152"/>
    <w:rsid w:val="005B0FC4"/>
    <w:rsid w:val="005B4DAB"/>
    <w:rsid w:val="005C0660"/>
    <w:rsid w:val="005C2640"/>
    <w:rsid w:val="005D3C7D"/>
    <w:rsid w:val="005D7FD5"/>
    <w:rsid w:val="005E2198"/>
    <w:rsid w:val="005E3D73"/>
    <w:rsid w:val="005E4BA1"/>
    <w:rsid w:val="00606DB7"/>
    <w:rsid w:val="006105AD"/>
    <w:rsid w:val="00612BB5"/>
    <w:rsid w:val="00614592"/>
    <w:rsid w:val="00634AB8"/>
    <w:rsid w:val="00652318"/>
    <w:rsid w:val="00667C60"/>
    <w:rsid w:val="006741F9"/>
    <w:rsid w:val="00682369"/>
    <w:rsid w:val="0069003C"/>
    <w:rsid w:val="00693178"/>
    <w:rsid w:val="006A1A52"/>
    <w:rsid w:val="006B3501"/>
    <w:rsid w:val="006B3AB9"/>
    <w:rsid w:val="006C3EB5"/>
    <w:rsid w:val="006D2156"/>
    <w:rsid w:val="006E2215"/>
    <w:rsid w:val="0072047A"/>
    <w:rsid w:val="00730EDD"/>
    <w:rsid w:val="00732CF5"/>
    <w:rsid w:val="00732EB0"/>
    <w:rsid w:val="00740F0D"/>
    <w:rsid w:val="0074106D"/>
    <w:rsid w:val="007414E6"/>
    <w:rsid w:val="00745ED8"/>
    <w:rsid w:val="00747715"/>
    <w:rsid w:val="00750138"/>
    <w:rsid w:val="00764F50"/>
    <w:rsid w:val="007728EB"/>
    <w:rsid w:val="00772E40"/>
    <w:rsid w:val="007813C0"/>
    <w:rsid w:val="0079621C"/>
    <w:rsid w:val="00796D4E"/>
    <w:rsid w:val="007A070D"/>
    <w:rsid w:val="007A7D45"/>
    <w:rsid w:val="007B0BBF"/>
    <w:rsid w:val="007C1B00"/>
    <w:rsid w:val="007C221F"/>
    <w:rsid w:val="007D5BB7"/>
    <w:rsid w:val="007E0621"/>
    <w:rsid w:val="007E2036"/>
    <w:rsid w:val="007E5BA0"/>
    <w:rsid w:val="007E5EC8"/>
    <w:rsid w:val="007E700D"/>
    <w:rsid w:val="007F1EAD"/>
    <w:rsid w:val="007F4B07"/>
    <w:rsid w:val="007F60C6"/>
    <w:rsid w:val="007F6690"/>
    <w:rsid w:val="00803BCB"/>
    <w:rsid w:val="00830D40"/>
    <w:rsid w:val="0083488D"/>
    <w:rsid w:val="00851458"/>
    <w:rsid w:val="008608E2"/>
    <w:rsid w:val="00861A47"/>
    <w:rsid w:val="00867567"/>
    <w:rsid w:val="008707FF"/>
    <w:rsid w:val="008724E5"/>
    <w:rsid w:val="008A0A27"/>
    <w:rsid w:val="008B3139"/>
    <w:rsid w:val="008B58E5"/>
    <w:rsid w:val="008D4F83"/>
    <w:rsid w:val="008F2AD2"/>
    <w:rsid w:val="008F5246"/>
    <w:rsid w:val="008F53E9"/>
    <w:rsid w:val="0090530D"/>
    <w:rsid w:val="009121CE"/>
    <w:rsid w:val="00932C45"/>
    <w:rsid w:val="0093402E"/>
    <w:rsid w:val="00936429"/>
    <w:rsid w:val="009676FD"/>
    <w:rsid w:val="00971162"/>
    <w:rsid w:val="009855E0"/>
    <w:rsid w:val="00987817"/>
    <w:rsid w:val="00996303"/>
    <w:rsid w:val="00997EDF"/>
    <w:rsid w:val="009C2A1B"/>
    <w:rsid w:val="009D5E38"/>
    <w:rsid w:val="009D5EA9"/>
    <w:rsid w:val="009E131D"/>
    <w:rsid w:val="009E670D"/>
    <w:rsid w:val="00A0682D"/>
    <w:rsid w:val="00A11F00"/>
    <w:rsid w:val="00A150C7"/>
    <w:rsid w:val="00A231DE"/>
    <w:rsid w:val="00A37713"/>
    <w:rsid w:val="00A519A2"/>
    <w:rsid w:val="00A52E03"/>
    <w:rsid w:val="00A57011"/>
    <w:rsid w:val="00A70883"/>
    <w:rsid w:val="00A77AEB"/>
    <w:rsid w:val="00A77F75"/>
    <w:rsid w:val="00A80259"/>
    <w:rsid w:val="00A81928"/>
    <w:rsid w:val="00A92F75"/>
    <w:rsid w:val="00AA0F02"/>
    <w:rsid w:val="00AA444A"/>
    <w:rsid w:val="00AB1817"/>
    <w:rsid w:val="00AC4BD4"/>
    <w:rsid w:val="00AD3E0C"/>
    <w:rsid w:val="00AE1B18"/>
    <w:rsid w:val="00AE6F87"/>
    <w:rsid w:val="00B11AE3"/>
    <w:rsid w:val="00B13B44"/>
    <w:rsid w:val="00B21AA8"/>
    <w:rsid w:val="00B2661D"/>
    <w:rsid w:val="00B33278"/>
    <w:rsid w:val="00B555D4"/>
    <w:rsid w:val="00B6167A"/>
    <w:rsid w:val="00B62EA4"/>
    <w:rsid w:val="00B7487A"/>
    <w:rsid w:val="00B76262"/>
    <w:rsid w:val="00B843E2"/>
    <w:rsid w:val="00B9349E"/>
    <w:rsid w:val="00B936B8"/>
    <w:rsid w:val="00B973B5"/>
    <w:rsid w:val="00BA2295"/>
    <w:rsid w:val="00BA3560"/>
    <w:rsid w:val="00BA7175"/>
    <w:rsid w:val="00BB15DD"/>
    <w:rsid w:val="00BC70C0"/>
    <w:rsid w:val="00BD0077"/>
    <w:rsid w:val="00BE22FC"/>
    <w:rsid w:val="00BE6FB9"/>
    <w:rsid w:val="00C0323B"/>
    <w:rsid w:val="00C04328"/>
    <w:rsid w:val="00C114F3"/>
    <w:rsid w:val="00C13665"/>
    <w:rsid w:val="00C16D35"/>
    <w:rsid w:val="00C21871"/>
    <w:rsid w:val="00C303B1"/>
    <w:rsid w:val="00C32E71"/>
    <w:rsid w:val="00C52FD8"/>
    <w:rsid w:val="00C64135"/>
    <w:rsid w:val="00C64668"/>
    <w:rsid w:val="00C67A8A"/>
    <w:rsid w:val="00C7534A"/>
    <w:rsid w:val="00C90F18"/>
    <w:rsid w:val="00CA46EA"/>
    <w:rsid w:val="00CA6198"/>
    <w:rsid w:val="00CA7CE4"/>
    <w:rsid w:val="00CC2BC6"/>
    <w:rsid w:val="00CC3F69"/>
    <w:rsid w:val="00CC511C"/>
    <w:rsid w:val="00CE2586"/>
    <w:rsid w:val="00CE2E6A"/>
    <w:rsid w:val="00CF72CA"/>
    <w:rsid w:val="00CF73DB"/>
    <w:rsid w:val="00D238D6"/>
    <w:rsid w:val="00D375A0"/>
    <w:rsid w:val="00D43998"/>
    <w:rsid w:val="00D57DEE"/>
    <w:rsid w:val="00D601FB"/>
    <w:rsid w:val="00D6079D"/>
    <w:rsid w:val="00D612DE"/>
    <w:rsid w:val="00D6436B"/>
    <w:rsid w:val="00D809E5"/>
    <w:rsid w:val="00D9501F"/>
    <w:rsid w:val="00DA16E1"/>
    <w:rsid w:val="00DB50D5"/>
    <w:rsid w:val="00DB6F83"/>
    <w:rsid w:val="00DB76C7"/>
    <w:rsid w:val="00DC434E"/>
    <w:rsid w:val="00DF16FE"/>
    <w:rsid w:val="00DF2146"/>
    <w:rsid w:val="00DF3DA3"/>
    <w:rsid w:val="00DF4F75"/>
    <w:rsid w:val="00E06A00"/>
    <w:rsid w:val="00E113E6"/>
    <w:rsid w:val="00E30022"/>
    <w:rsid w:val="00E32C1A"/>
    <w:rsid w:val="00E34890"/>
    <w:rsid w:val="00E5219B"/>
    <w:rsid w:val="00E72AEF"/>
    <w:rsid w:val="00E73DA6"/>
    <w:rsid w:val="00E84291"/>
    <w:rsid w:val="00E8438F"/>
    <w:rsid w:val="00EA198F"/>
    <w:rsid w:val="00EB117C"/>
    <w:rsid w:val="00EB64F6"/>
    <w:rsid w:val="00ED4650"/>
    <w:rsid w:val="00EE2C66"/>
    <w:rsid w:val="00EF0BCB"/>
    <w:rsid w:val="00EF0E74"/>
    <w:rsid w:val="00EF277E"/>
    <w:rsid w:val="00F0065D"/>
    <w:rsid w:val="00F00E8A"/>
    <w:rsid w:val="00F14987"/>
    <w:rsid w:val="00F2398F"/>
    <w:rsid w:val="00F41BA9"/>
    <w:rsid w:val="00F47BA3"/>
    <w:rsid w:val="00F55135"/>
    <w:rsid w:val="00F63DDA"/>
    <w:rsid w:val="00F70858"/>
    <w:rsid w:val="00F75949"/>
    <w:rsid w:val="00F75E18"/>
    <w:rsid w:val="00F91168"/>
    <w:rsid w:val="00F941F0"/>
    <w:rsid w:val="00FA51CC"/>
    <w:rsid w:val="00FA6D1A"/>
    <w:rsid w:val="00FB6F95"/>
    <w:rsid w:val="00FD7526"/>
    <w:rsid w:val="00FE430C"/>
    <w:rsid w:val="00FE74F5"/>
    <w:rsid w:val="00FF2B1D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62C98F4"/>
  <w15:docId w15:val="{13B95D50-EDE5-4875-9B7B-79F9296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link w:val="NoSpacingChar"/>
    <w:uiPriority w:val="1"/>
    <w:qFormat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90A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75E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GAPara">
    <w:name w:val="1. GA Para"/>
    <w:qFormat/>
    <w:rsid w:val="00EF277E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EF277E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F277E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ansinterligne2">
    <w:name w:val="Sans interligne2"/>
    <w:uiPriority w:val="1"/>
    <w:rsid w:val="00EF277E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46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2.COM/5.b" TargetMode="External"/><Relationship Id="rId13" Type="http://schemas.openxmlformats.org/officeDocument/2006/relationships/hyperlink" Target="https://ich.unesco.org/fr/5-juin-13h45-table-ronde-0099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fr/4-juin-13h45-lassistance-internationale-en-action-0099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Resolutions/7.GA/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fr/decisions-bureau/13.COM%202.BUR/3" TargetMode="External"/><Relationship Id="rId10" Type="http://schemas.openxmlformats.org/officeDocument/2006/relationships/hyperlink" Target="https://ich.unesco.org/fr/Decisions/12.COM/5.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Resolutions/7.GA/7" TargetMode="External"/><Relationship Id="rId14" Type="http://schemas.openxmlformats.org/officeDocument/2006/relationships/hyperlink" Target="https://ich.unesco.org/fr/racontez-votre-histoire-de-patrimoine-vivant-2018-0100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254A-B710-4270-AC75-6413D78E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document_FR.dotx</Template>
  <TotalTime>33</TotalTime>
  <Pages>5</Pages>
  <Words>2331</Words>
  <Characters>13288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Shin, Eunkyung</cp:lastModifiedBy>
  <cp:revision>9</cp:revision>
  <cp:lastPrinted>2018-10-26T07:36:00Z</cp:lastPrinted>
  <dcterms:created xsi:type="dcterms:W3CDTF">2018-10-26T11:53:00Z</dcterms:created>
  <dcterms:modified xsi:type="dcterms:W3CDTF">2018-10-29T09:06:00Z</dcterms:modified>
</cp:coreProperties>
</file>