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83083A" w14:textId="0B066E14" w:rsidR="002938F2" w:rsidRPr="00F410D6" w:rsidRDefault="002938F2" w:rsidP="00AC27F5">
      <w:pPr>
        <w:spacing w:before="1440"/>
        <w:jc w:val="center"/>
        <w:rPr>
          <w:rFonts w:ascii="Arial" w:hAnsi="Arial" w:cs="Arial"/>
          <w:b/>
          <w:szCs w:val="22"/>
        </w:rPr>
      </w:pPr>
      <w:r>
        <w:rPr>
          <w:rFonts w:ascii="Arial" w:hAnsi="Arial"/>
          <w:b/>
          <w:szCs w:val="22"/>
        </w:rPr>
        <w:t xml:space="preserve">CONVENTION POUR LA SAUVEGARDE DU </w:t>
      </w:r>
      <w:r>
        <w:rPr>
          <w:rFonts w:ascii="Arial" w:hAnsi="Arial"/>
          <w:b/>
          <w:szCs w:val="22"/>
        </w:rPr>
        <w:br/>
        <w:t>PATRIMOINE CULTUREL IMMATÉRIEL</w:t>
      </w:r>
    </w:p>
    <w:p w14:paraId="5ADF7741" w14:textId="77777777" w:rsidR="002938F2" w:rsidRPr="00F410D6" w:rsidRDefault="00E439CA" w:rsidP="00AE1B18">
      <w:pPr>
        <w:spacing w:before="1200"/>
        <w:jc w:val="center"/>
        <w:rPr>
          <w:rFonts w:ascii="Arial" w:hAnsi="Arial" w:cs="Arial"/>
          <w:b/>
          <w:szCs w:val="22"/>
        </w:rPr>
      </w:pPr>
      <w:r>
        <w:rPr>
          <w:rFonts w:ascii="Arial" w:hAnsi="Arial"/>
          <w:b/>
          <w:szCs w:val="22"/>
        </w:rPr>
        <w:t xml:space="preserve">ASSEMBLÉE GÉNÉRALE DES ÉTATS PARTIES À LA CONVENTION </w:t>
      </w:r>
    </w:p>
    <w:p w14:paraId="49EEDED1" w14:textId="77777777" w:rsidR="000C16BE" w:rsidRPr="00F410D6" w:rsidRDefault="0088082E" w:rsidP="000C16BE">
      <w:pPr>
        <w:spacing w:before="840" w:after="0"/>
        <w:jc w:val="center"/>
        <w:rPr>
          <w:rFonts w:ascii="Arial" w:hAnsi="Arial" w:cs="Arial"/>
          <w:b/>
          <w:szCs w:val="22"/>
        </w:rPr>
      </w:pPr>
      <w:r>
        <w:rPr>
          <w:rFonts w:ascii="Arial" w:hAnsi="Arial"/>
          <w:b/>
          <w:szCs w:val="22"/>
        </w:rPr>
        <w:t>Septième session</w:t>
      </w:r>
    </w:p>
    <w:p w14:paraId="6BE6C879" w14:textId="2E698304" w:rsidR="000C16BE" w:rsidRPr="00F410D6" w:rsidRDefault="000C16BE" w:rsidP="000C16BE">
      <w:pPr>
        <w:spacing w:after="0"/>
        <w:jc w:val="center"/>
        <w:rPr>
          <w:rFonts w:ascii="Arial" w:hAnsi="Arial" w:cs="Arial"/>
          <w:b/>
          <w:szCs w:val="22"/>
        </w:rPr>
      </w:pPr>
      <w:r>
        <w:rPr>
          <w:rFonts w:ascii="Arial" w:hAnsi="Arial"/>
          <w:b/>
          <w:szCs w:val="22"/>
        </w:rPr>
        <w:t>Siège de l</w:t>
      </w:r>
      <w:r w:rsidR="00AD4C35">
        <w:rPr>
          <w:rFonts w:ascii="Arial" w:hAnsi="Arial"/>
          <w:b/>
          <w:szCs w:val="22"/>
        </w:rPr>
        <w:t>’</w:t>
      </w:r>
      <w:r>
        <w:rPr>
          <w:rFonts w:ascii="Arial" w:hAnsi="Arial"/>
          <w:b/>
          <w:szCs w:val="22"/>
        </w:rPr>
        <w:t>UNESCO, Salle II</w:t>
      </w:r>
    </w:p>
    <w:p w14:paraId="0FA5ADEA" w14:textId="7AE72DE0" w:rsidR="000C16BE" w:rsidRPr="00F410D6" w:rsidRDefault="00AD4C35" w:rsidP="00AD4C35">
      <w:pPr>
        <w:spacing w:after="0"/>
        <w:jc w:val="center"/>
        <w:rPr>
          <w:rFonts w:ascii="Arial" w:hAnsi="Arial" w:cs="Arial"/>
          <w:b/>
          <w:szCs w:val="22"/>
        </w:rPr>
      </w:pPr>
      <w:r>
        <w:rPr>
          <w:rFonts w:ascii="Arial" w:hAnsi="Arial"/>
          <w:b/>
          <w:szCs w:val="22"/>
        </w:rPr>
        <w:t>4 –</w:t>
      </w:r>
      <w:r w:rsidR="0088082E">
        <w:rPr>
          <w:rFonts w:ascii="Arial" w:hAnsi="Arial"/>
          <w:b/>
          <w:szCs w:val="22"/>
        </w:rPr>
        <w:t xml:space="preserve"> 6 juin 2018</w:t>
      </w:r>
    </w:p>
    <w:p w14:paraId="620DA978" w14:textId="2F2E37AB" w:rsidR="00851458" w:rsidRPr="00F410D6" w:rsidRDefault="005A5792" w:rsidP="005A5792">
      <w:pPr>
        <w:pStyle w:val="Sansinterligne1"/>
        <w:spacing w:before="1200" w:after="1200"/>
        <w:jc w:val="center"/>
        <w:rPr>
          <w:rFonts w:ascii="Arial" w:hAnsi="Arial" w:cs="Arial"/>
          <w:b/>
          <w:caps/>
          <w:sz w:val="22"/>
          <w:szCs w:val="22"/>
          <w:u w:val="single"/>
        </w:rPr>
      </w:pPr>
      <w:r>
        <w:rPr>
          <w:rFonts w:ascii="Arial" w:hAnsi="Arial"/>
          <w:b/>
          <w:caps/>
          <w:sz w:val="22"/>
          <w:szCs w:val="22"/>
          <w:u w:val="single"/>
        </w:rPr>
        <w:t xml:space="preserve">État financier pour la période </w:t>
      </w:r>
      <w:r>
        <w:rPr>
          <w:rFonts w:ascii="Arial" w:hAnsi="Arial"/>
          <w:b/>
          <w:caps/>
          <w:sz w:val="22"/>
          <w:szCs w:val="22"/>
          <w:u w:val="single"/>
        </w:rPr>
        <w:br/>
        <w:t>1</w:t>
      </w:r>
      <w:r>
        <w:rPr>
          <w:rFonts w:ascii="Arial" w:hAnsi="Arial"/>
          <w:b/>
          <w:caps/>
          <w:sz w:val="22"/>
          <w:szCs w:val="22"/>
          <w:u w:val="single"/>
          <w:vertAlign w:val="superscript"/>
        </w:rPr>
        <w:t>er</w:t>
      </w:r>
      <w:r>
        <w:rPr>
          <w:rFonts w:ascii="Arial" w:hAnsi="Arial"/>
          <w:b/>
          <w:caps/>
          <w:sz w:val="22"/>
          <w:szCs w:val="22"/>
          <w:u w:val="single"/>
        </w:rPr>
        <w:t xml:space="preserve"> janvier </w:t>
      </w:r>
      <w:r w:rsidR="002E555D">
        <w:rPr>
          <w:rFonts w:ascii="Arial" w:hAnsi="Arial"/>
          <w:b/>
          <w:caps/>
          <w:sz w:val="22"/>
          <w:szCs w:val="22"/>
          <w:u w:val="single"/>
        </w:rPr>
        <w:t>2016 –</w:t>
      </w:r>
      <w:r>
        <w:rPr>
          <w:rFonts w:ascii="Arial" w:hAnsi="Arial"/>
          <w:b/>
          <w:caps/>
          <w:sz w:val="22"/>
          <w:szCs w:val="22"/>
          <w:u w:val="single"/>
        </w:rPr>
        <w:t xml:space="preserve"> 31</w:t>
      </w:r>
      <w:r w:rsidR="002E555D">
        <w:rPr>
          <w:rFonts w:ascii="Arial" w:hAnsi="Arial"/>
          <w:b/>
          <w:caps/>
          <w:sz w:val="22"/>
          <w:szCs w:val="22"/>
          <w:u w:val="single"/>
        </w:rPr>
        <w:t xml:space="preserve"> </w:t>
      </w:r>
      <w:r>
        <w:rPr>
          <w:rFonts w:ascii="Arial" w:hAnsi="Arial"/>
          <w:b/>
          <w:caps/>
          <w:sz w:val="22"/>
          <w:szCs w:val="22"/>
          <w:u w:val="single"/>
        </w:rPr>
        <w:t>décembre 2017</w:t>
      </w:r>
    </w:p>
    <w:tbl>
      <w:tblPr>
        <w:tblW w:w="56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9"/>
      </w:tblGrid>
      <w:tr w:rsidR="005A5792" w:rsidRPr="00F410D6" w14:paraId="10604F78" w14:textId="77777777" w:rsidTr="004C0380">
        <w:trPr>
          <w:jc w:val="center"/>
        </w:trPr>
        <w:tc>
          <w:tcPr>
            <w:tcW w:w="5669" w:type="dxa"/>
          </w:tcPr>
          <w:p w14:paraId="412B5B07" w14:textId="77777777" w:rsidR="005A5792" w:rsidRPr="00F410D6" w:rsidRDefault="005A5792" w:rsidP="002E62EA">
            <w:pPr>
              <w:pStyle w:val="NoSpacing"/>
              <w:spacing w:before="200" w:after="200"/>
              <w:ind w:left="284" w:right="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Résumé</w:t>
            </w:r>
          </w:p>
          <w:p w14:paraId="374FEDBD" w14:textId="3245C842" w:rsidR="005A5792" w:rsidRPr="00F410D6" w:rsidRDefault="00952878" w:rsidP="002E555D">
            <w:pPr>
              <w:pStyle w:val="Pranumrotrecommenc1"/>
              <w:tabs>
                <w:tab w:val="clear" w:pos="360"/>
              </w:tabs>
              <w:spacing w:before="200" w:after="200"/>
              <w:ind w:left="0" w:firstLine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>Conformément à l</w:t>
            </w:r>
            <w:r w:rsidR="00AD4C35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 xml:space="preserve">article 7.5 de son Règlement financier, les comptes du Compte spécial du Fonds pour la sauvegarde du patrimoine culturel immatériel « sont soumis par </w:t>
            </w:r>
            <w:r w:rsidR="002E555D">
              <w:rPr>
                <w:sz w:val="22"/>
                <w:szCs w:val="22"/>
              </w:rPr>
              <w:t>[</w:t>
            </w:r>
            <w:r>
              <w:rPr>
                <w:sz w:val="22"/>
                <w:szCs w:val="22"/>
              </w:rPr>
              <w:t>l</w:t>
            </w:r>
            <w:r w:rsidR="002E555D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Direct</w:t>
            </w:r>
            <w:r w:rsidR="002E555D">
              <w:rPr>
                <w:sz w:val="22"/>
                <w:szCs w:val="22"/>
              </w:rPr>
              <w:t>rice</w:t>
            </w:r>
            <w:r>
              <w:rPr>
                <w:sz w:val="22"/>
                <w:szCs w:val="22"/>
              </w:rPr>
              <w:t xml:space="preserve"> général</w:t>
            </w:r>
            <w:r w:rsidR="002E555D">
              <w:rPr>
                <w:sz w:val="22"/>
                <w:szCs w:val="22"/>
              </w:rPr>
              <w:t>e]</w:t>
            </w:r>
            <w:r>
              <w:rPr>
                <w:sz w:val="22"/>
                <w:szCs w:val="22"/>
              </w:rPr>
              <w:t xml:space="preserve"> à l</w:t>
            </w:r>
            <w:r w:rsidR="00AD4C35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Assemblée générale des États parties à la Convention ».</w:t>
            </w:r>
            <w:r>
              <w:t xml:space="preserve"> </w:t>
            </w:r>
            <w:r>
              <w:rPr>
                <w:sz w:val="22"/>
                <w:szCs w:val="22"/>
              </w:rPr>
              <w:t>Le présent document comprend le rapport financier du Fonds du patrimoine culturel immatériel pour la période du 1</w:t>
            </w:r>
            <w:r>
              <w:rPr>
                <w:sz w:val="22"/>
                <w:szCs w:val="22"/>
                <w:vertAlign w:val="superscript"/>
              </w:rPr>
              <w:t>er</w:t>
            </w:r>
            <w:r>
              <w:rPr>
                <w:sz w:val="22"/>
                <w:szCs w:val="22"/>
              </w:rPr>
              <w:t> janvier 201</w:t>
            </w:r>
            <w:r w:rsidR="002E555D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au 31 décembre 2017, précédé d</w:t>
            </w:r>
            <w:r w:rsidR="00AD4C35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une brève note explicative.</w:t>
            </w:r>
          </w:p>
        </w:tc>
      </w:tr>
    </w:tbl>
    <w:p w14:paraId="59D55FF8" w14:textId="77777777" w:rsidR="005A5792" w:rsidRPr="00F410D6" w:rsidRDefault="005A5792" w:rsidP="00885ED2">
      <w:pPr>
        <w:pStyle w:val="Default"/>
        <w:pageBreakBefore/>
        <w:spacing w:after="240"/>
        <w:jc w:val="center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>Note explicative</w:t>
      </w:r>
    </w:p>
    <w:p w14:paraId="69CFA1D4" w14:textId="189791D8" w:rsidR="005A5792" w:rsidRPr="00F410D6" w:rsidRDefault="0049436B" w:rsidP="00EF44A6">
      <w:pPr>
        <w:pStyle w:val="ListParagraph"/>
        <w:tabs>
          <w:tab w:val="clear" w:pos="567"/>
          <w:tab w:val="left" w:pos="0"/>
        </w:tabs>
        <w:ind w:left="567" w:hanging="567"/>
      </w:pPr>
      <w:r>
        <w:t>Conformément à l</w:t>
      </w:r>
      <w:r w:rsidR="00AD4C35">
        <w:t>’</w:t>
      </w:r>
      <w:r>
        <w:t xml:space="preserve">article 7.5 de son Règlement financier, les comptes du Compte spécial du Fonds pour la sauvegarde du patrimoine culturel immatériel (ci-après « le Fonds ») « sont soumis par </w:t>
      </w:r>
      <w:r w:rsidR="00BF3CC7">
        <w:t>[la Directrice générale]</w:t>
      </w:r>
      <w:r>
        <w:t xml:space="preserve"> à l</w:t>
      </w:r>
      <w:r w:rsidR="00AD4C35">
        <w:t>’</w:t>
      </w:r>
      <w:r>
        <w:t>Assemblée générale des États parties à la Convention ». Le présent document comprend le rapport financier du Fonds pour la période du 1</w:t>
      </w:r>
      <w:r>
        <w:rPr>
          <w:vertAlign w:val="superscript"/>
        </w:rPr>
        <w:t>er</w:t>
      </w:r>
      <w:r>
        <w:t> janvier 201</w:t>
      </w:r>
      <w:r w:rsidR="00BF3CC7">
        <w:t>6</w:t>
      </w:r>
      <w:r>
        <w:t xml:space="preserve"> au 31 décembre 2017, précédé d</w:t>
      </w:r>
      <w:r w:rsidR="00AD4C35">
        <w:t>’</w:t>
      </w:r>
      <w:r>
        <w:t xml:space="preserve">une brève note explicative. Pendant la période considérée, les ressources du Fonds ont été </w:t>
      </w:r>
      <w:r w:rsidR="00BF3CC7">
        <w:t xml:space="preserve">utilisées </w:t>
      </w:r>
      <w:r>
        <w:t>selon le Plan d</w:t>
      </w:r>
      <w:r w:rsidR="00AD4C35">
        <w:t>’</w:t>
      </w:r>
      <w:r>
        <w:t>utilisation des ressources du Fonds approuvé à l</w:t>
      </w:r>
      <w:r w:rsidR="00AD4C35">
        <w:t>’</w:t>
      </w:r>
      <w:r>
        <w:t>occasion de la sixième session de l</w:t>
      </w:r>
      <w:r w:rsidR="00AD4C35">
        <w:t>’</w:t>
      </w:r>
      <w:r>
        <w:t>Assemblée générale en juin 2016 (</w:t>
      </w:r>
      <w:hyperlink r:id="rId8" w:history="1">
        <w:r w:rsidR="00BF3CC7">
          <w:rPr>
            <w:rStyle w:val="Hyperlink"/>
          </w:rPr>
          <w:t>r</w:t>
        </w:r>
        <w:r>
          <w:rPr>
            <w:rStyle w:val="Hyperlink"/>
          </w:rPr>
          <w:t>ésolution 6.GA 9</w:t>
        </w:r>
      </w:hyperlink>
      <w:r>
        <w:t>).</w:t>
      </w:r>
    </w:p>
    <w:p w14:paraId="5D804211" w14:textId="12B288F3" w:rsidR="005A5792" w:rsidRPr="00F410D6" w:rsidRDefault="00720710" w:rsidP="00885ED2">
      <w:pPr>
        <w:pStyle w:val="Default"/>
        <w:keepNext/>
        <w:spacing w:after="120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Revenus </w:t>
      </w:r>
    </w:p>
    <w:p w14:paraId="1C737047" w14:textId="09C2D37A" w:rsidR="0072307E" w:rsidRDefault="001C521C" w:rsidP="0072307E">
      <w:pPr>
        <w:pStyle w:val="ListParagraph"/>
        <w:ind w:left="567" w:hanging="567"/>
      </w:pPr>
      <w:r>
        <w:t>Conformément à l</w:t>
      </w:r>
      <w:r w:rsidR="00AD4C35">
        <w:t>’</w:t>
      </w:r>
      <w:r>
        <w:t xml:space="preserve">article 25.3 de la Convention, les revenus du Fonds sont répartis selon les catégories suivantes, lesquelles se retrouvent dans les </w:t>
      </w:r>
      <w:r w:rsidR="00ED0231">
        <w:t xml:space="preserve">états </w:t>
      </w:r>
      <w:r>
        <w:t>financiers I</w:t>
      </w:r>
      <w:r w:rsidR="002556CF" w:rsidRPr="00F410D6">
        <w:rPr>
          <w:rStyle w:val="FootnoteReference"/>
          <w:b/>
          <w:bCs/>
        </w:rPr>
        <w:footnoteReference w:id="1"/>
      </w:r>
      <w:r>
        <w:t>, II et III en annexe du présent document :</w:t>
      </w:r>
    </w:p>
    <w:p w14:paraId="13A70F10" w14:textId="3E7BE567" w:rsidR="0072307E" w:rsidRDefault="001C521C" w:rsidP="005974BB">
      <w:pPr>
        <w:pStyle w:val="ListParagraph"/>
        <w:numPr>
          <w:ilvl w:val="0"/>
          <w:numId w:val="29"/>
        </w:numPr>
        <w:spacing w:after="0"/>
        <w:ind w:left="1134" w:hanging="567"/>
      </w:pPr>
      <w:proofErr w:type="gramStart"/>
      <w:r>
        <w:t>les</w:t>
      </w:r>
      <w:proofErr w:type="gramEnd"/>
      <w:r>
        <w:t xml:space="preserve"> contributions des États parties à la Convention ;</w:t>
      </w:r>
    </w:p>
    <w:p w14:paraId="0AF9A64B" w14:textId="136F5246" w:rsidR="0072307E" w:rsidRDefault="001C521C" w:rsidP="005974BB">
      <w:pPr>
        <w:pStyle w:val="ListParagraph"/>
        <w:numPr>
          <w:ilvl w:val="0"/>
          <w:numId w:val="29"/>
        </w:numPr>
        <w:spacing w:after="0"/>
        <w:ind w:left="1134" w:hanging="567"/>
      </w:pPr>
      <w:proofErr w:type="gramStart"/>
      <w:r>
        <w:t>les</w:t>
      </w:r>
      <w:proofErr w:type="gramEnd"/>
      <w:r>
        <w:t xml:space="preserve"> fonds alloués à cette fin par la Conférence générale de l</w:t>
      </w:r>
      <w:r w:rsidR="00AD4C35">
        <w:t>’</w:t>
      </w:r>
      <w:r>
        <w:t>UNESCO ;</w:t>
      </w:r>
    </w:p>
    <w:p w14:paraId="266D37AE" w14:textId="3BC29462" w:rsidR="0072307E" w:rsidRDefault="001C521C" w:rsidP="005974BB">
      <w:pPr>
        <w:pStyle w:val="ListParagraph"/>
        <w:numPr>
          <w:ilvl w:val="0"/>
          <w:numId w:val="29"/>
        </w:numPr>
        <w:spacing w:after="0"/>
        <w:ind w:left="1134" w:hanging="567"/>
      </w:pPr>
      <w:proofErr w:type="gramStart"/>
      <w:r>
        <w:t>les</w:t>
      </w:r>
      <w:proofErr w:type="gramEnd"/>
      <w:r>
        <w:t xml:space="preserve"> versements, dons ou legs que pourront faire d</w:t>
      </w:r>
      <w:r w:rsidR="00AD4C35">
        <w:t>’</w:t>
      </w:r>
      <w:r>
        <w:t>autres États, organisations et programmes du système des Nations Unies, notamment le Programme des Nations Unies pour le développement, ainsi que d</w:t>
      </w:r>
      <w:r w:rsidR="00AD4C35">
        <w:t>’</w:t>
      </w:r>
      <w:r>
        <w:t>autres organisations internationales et organismes publics ou privés ou des personnes privées ;</w:t>
      </w:r>
    </w:p>
    <w:p w14:paraId="46FDDD09" w14:textId="074B9C60" w:rsidR="0072307E" w:rsidRDefault="001C521C" w:rsidP="005974BB">
      <w:pPr>
        <w:pStyle w:val="ListParagraph"/>
        <w:numPr>
          <w:ilvl w:val="0"/>
          <w:numId w:val="29"/>
        </w:numPr>
        <w:spacing w:after="0"/>
        <w:ind w:left="1134" w:hanging="567"/>
      </w:pPr>
      <w:proofErr w:type="gramStart"/>
      <w:r>
        <w:t>tout</w:t>
      </w:r>
      <w:proofErr w:type="gramEnd"/>
      <w:r>
        <w:t xml:space="preserve"> intérêt dû sur les ressources du Fonds ;</w:t>
      </w:r>
    </w:p>
    <w:p w14:paraId="14157F69" w14:textId="6B7F3431" w:rsidR="0072307E" w:rsidRDefault="001C521C" w:rsidP="005974BB">
      <w:pPr>
        <w:pStyle w:val="ListParagraph"/>
        <w:numPr>
          <w:ilvl w:val="0"/>
          <w:numId w:val="29"/>
        </w:numPr>
        <w:spacing w:after="0"/>
        <w:ind w:left="1134" w:hanging="567"/>
      </w:pPr>
      <w:proofErr w:type="gramStart"/>
      <w:r>
        <w:t>le</w:t>
      </w:r>
      <w:proofErr w:type="gramEnd"/>
      <w:r>
        <w:t xml:space="preserve"> produit des collectes et les recettes des manifestations organisées au profit du Fonds ;</w:t>
      </w:r>
    </w:p>
    <w:p w14:paraId="17C58A28" w14:textId="1E1700B2" w:rsidR="001C521C" w:rsidRPr="00F410D6" w:rsidRDefault="001C521C" w:rsidP="005974BB">
      <w:pPr>
        <w:pStyle w:val="ListParagraph"/>
        <w:numPr>
          <w:ilvl w:val="0"/>
          <w:numId w:val="29"/>
        </w:numPr>
        <w:ind w:left="1134" w:hanging="567"/>
      </w:pPr>
      <w:proofErr w:type="gramStart"/>
      <w:r>
        <w:t>toutes</w:t>
      </w:r>
      <w:proofErr w:type="gramEnd"/>
      <w:r>
        <w:t xml:space="preserve"> autres ressources autorisées par le règlement du Fonds que le Comité élabore.</w:t>
      </w:r>
    </w:p>
    <w:p w14:paraId="1051DE0D" w14:textId="77777777" w:rsidR="002B50BC" w:rsidRPr="00F410D6" w:rsidRDefault="002B50BC" w:rsidP="002B50BC">
      <w:pPr>
        <w:pStyle w:val="ListParagraph"/>
        <w:ind w:left="567" w:hanging="567"/>
      </w:pPr>
      <w:r>
        <w:t>Pendant la période considérée, les revenus du Fonds se composaient :</w:t>
      </w:r>
    </w:p>
    <w:tbl>
      <w:tblPr>
        <w:tblW w:w="9072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5974BB" w:rsidRPr="0072307E" w14:paraId="7FF2E9CA" w14:textId="699B612A" w:rsidTr="00590B42">
        <w:trPr>
          <w:cantSplit/>
        </w:trPr>
        <w:tc>
          <w:tcPr>
            <w:tcW w:w="9072" w:type="dxa"/>
            <w:gridSpan w:val="2"/>
            <w:shd w:val="clear" w:color="auto" w:fill="auto"/>
          </w:tcPr>
          <w:p w14:paraId="2FC05112" w14:textId="3B8A4ADD" w:rsidR="005974BB" w:rsidRPr="0072307E" w:rsidRDefault="005974BB" w:rsidP="00ED0231">
            <w:pPr>
              <w:pStyle w:val="Paragraph"/>
              <w:numPr>
                <w:ilvl w:val="0"/>
                <w:numId w:val="11"/>
              </w:numPr>
              <w:spacing w:before="60" w:after="60"/>
              <w:ind w:left="357" w:hanging="466"/>
            </w:pPr>
            <w:r>
              <w:rPr>
                <w:u w:val="single"/>
              </w:rPr>
              <w:t xml:space="preserve">Des contributions </w:t>
            </w:r>
            <w:r w:rsidR="00ED0231">
              <w:rPr>
                <w:u w:val="single"/>
              </w:rPr>
              <w:t xml:space="preserve">réglementaires </w:t>
            </w:r>
            <w:r>
              <w:rPr>
                <w:u w:val="single"/>
              </w:rPr>
              <w:t>obligatoires et volontaires des États parties</w:t>
            </w:r>
            <w:r w:rsidRPr="0072307E">
              <w:rPr>
                <w:rStyle w:val="FootnoteReference"/>
              </w:rPr>
              <w:footnoteReference w:id="2"/>
            </w:r>
          </w:p>
        </w:tc>
      </w:tr>
      <w:tr w:rsidR="005974BB" w:rsidRPr="0072307E" w14:paraId="11B77810" w14:textId="4C9482EC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24FFEAD0" w14:textId="4366DC4C" w:rsidR="005974BB" w:rsidRPr="0072307E" w:rsidRDefault="005974BB" w:rsidP="001E56A1">
            <w:pPr>
              <w:pStyle w:val="Paragraph"/>
              <w:spacing w:before="60" w:after="60"/>
              <w:ind w:left="-109"/>
              <w:jc w:val="left"/>
            </w:pPr>
            <w:r>
              <w:t xml:space="preserve">Contributions obligatoires de </w:t>
            </w:r>
            <w:r w:rsidR="001E56A1">
              <w:t>170 </w:t>
            </w:r>
            <w:r>
              <w:t>États parties à la Convention, tel que décrit à l</w:t>
            </w:r>
            <w:r w:rsidR="00AD4C35">
              <w:t>’</w:t>
            </w:r>
            <w:r>
              <w:t>article 26.1 de la Convention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DFEDEE" w14:textId="77777777" w:rsidR="005974BB" w:rsidRPr="0072307E" w:rsidRDefault="005974BB" w:rsidP="002B50BC">
            <w:pPr>
              <w:pStyle w:val="Paragraph"/>
              <w:spacing w:before="60" w:after="60"/>
              <w:jc w:val="right"/>
            </w:pPr>
            <w:r>
              <w:t>3 554 993 dollars des États-Unis</w:t>
            </w:r>
          </w:p>
        </w:tc>
      </w:tr>
      <w:tr w:rsidR="005974BB" w:rsidRPr="0072307E" w14:paraId="7CF6C153" w14:textId="65D52C8A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4685C4EB" w14:textId="693CC5EB" w:rsidR="005974BB" w:rsidRPr="0072307E" w:rsidRDefault="005974BB" w:rsidP="00883D72">
            <w:pPr>
              <w:pStyle w:val="Paragraph"/>
              <w:spacing w:before="60" w:after="60"/>
              <w:ind w:left="-109"/>
              <w:jc w:val="left"/>
            </w:pPr>
            <w:r>
              <w:t>Contributions volontaires de quatre des cinq États parties qui ont eu recours à l</w:t>
            </w:r>
            <w:r w:rsidR="00AD4C35">
              <w:t>’</w:t>
            </w:r>
            <w:r>
              <w:t>article 26.2 de la Convention au moment de leur ratification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4E053AD" w14:textId="77777777" w:rsidR="005974BB" w:rsidRPr="0072307E" w:rsidRDefault="005974BB" w:rsidP="000C00C7">
            <w:pPr>
              <w:pStyle w:val="Paragraph"/>
              <w:spacing w:before="60" w:after="60"/>
              <w:jc w:val="right"/>
            </w:pPr>
            <w:r>
              <w:t>308 056 dollars des États-Unis</w:t>
            </w:r>
          </w:p>
        </w:tc>
      </w:tr>
      <w:tr w:rsidR="005974BB" w:rsidRPr="0072307E" w14:paraId="384DA7BE" w14:textId="1C56A156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2163972C" w14:textId="77777777" w:rsidR="005974BB" w:rsidRPr="0072307E" w:rsidRDefault="005974BB" w:rsidP="0072307E">
            <w:pPr>
              <w:pStyle w:val="Paragraph"/>
              <w:numPr>
                <w:ilvl w:val="0"/>
                <w:numId w:val="11"/>
              </w:numPr>
              <w:spacing w:before="60" w:after="60"/>
              <w:ind w:left="357" w:hanging="466"/>
            </w:pPr>
            <w:r>
              <w:rPr>
                <w:u w:val="single"/>
              </w:rPr>
              <w:t>Des contributions volontaires supplémentaires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4AB3CF1" w14:textId="77777777" w:rsidR="005974BB" w:rsidRPr="0072307E" w:rsidRDefault="005974BB" w:rsidP="002E62EA">
            <w:pPr>
              <w:pStyle w:val="Paragraph"/>
              <w:spacing w:before="60" w:after="60"/>
              <w:jc w:val="right"/>
            </w:pPr>
          </w:p>
        </w:tc>
      </w:tr>
      <w:tr w:rsidR="005974BB" w:rsidRPr="0072307E" w14:paraId="2AC491BC" w14:textId="14E0FCC7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1628F4B9" w14:textId="7F72F01C" w:rsidR="005974BB" w:rsidRPr="0072307E" w:rsidRDefault="005974BB" w:rsidP="0072307E">
            <w:pPr>
              <w:pStyle w:val="Paragraph"/>
              <w:spacing w:before="60" w:after="60"/>
              <w:ind w:left="-109"/>
              <w:jc w:val="left"/>
              <w:rPr>
                <w:i/>
              </w:rPr>
            </w:pPr>
            <w:r>
              <w:rPr>
                <w:i/>
              </w:rPr>
              <w:t xml:space="preserve">Contributions affectées à des fins spécifiques se rapportant à des projets déterminés </w:t>
            </w:r>
            <w:r>
              <w:t>approuvés</w:t>
            </w:r>
            <w:r>
              <w:rPr>
                <w:i/>
              </w:rPr>
              <w:t xml:space="preserve"> par le Comité, conformément à l</w:t>
            </w:r>
            <w:r w:rsidR="00AD4C35">
              <w:rPr>
                <w:i/>
              </w:rPr>
              <w:t>’</w:t>
            </w:r>
            <w:r>
              <w:rPr>
                <w:i/>
              </w:rPr>
              <w:t>article 25.5 de la Convention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4128BC" w14:textId="77777777" w:rsidR="005974BB" w:rsidRPr="0072307E" w:rsidRDefault="005974BB" w:rsidP="002E62EA">
            <w:pPr>
              <w:pStyle w:val="Paragraph"/>
              <w:spacing w:before="60" w:after="60"/>
              <w:jc w:val="right"/>
              <w:rPr>
                <w:strike/>
              </w:rPr>
            </w:pPr>
          </w:p>
        </w:tc>
      </w:tr>
      <w:tr w:rsidR="005974BB" w:rsidRPr="0072307E" w14:paraId="5FABCAEA" w14:textId="4A91154F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5217A02E" w14:textId="0C796ED5" w:rsidR="005974BB" w:rsidRPr="0072307E" w:rsidRDefault="005974BB" w:rsidP="000F1B54">
            <w:pPr>
              <w:pStyle w:val="Paragraph"/>
              <w:spacing w:before="60" w:after="60"/>
              <w:ind w:left="356"/>
              <w:jc w:val="left"/>
              <w:rPr>
                <w:rFonts w:eastAsia="MS Mincho"/>
                <w:bCs w:val="0"/>
              </w:rPr>
            </w:pPr>
            <w:r>
              <w:t>Contribution des Pays-Bas pour la mise en œuvre de projets en cours visant à soutenir le programme de renforcement des capacités dans les îles néerlandaises des Caraïbes et au Suriname</w:t>
            </w:r>
            <w:r>
              <w:rPr>
                <w:rStyle w:val="hps"/>
                <w:bCs w:val="0"/>
              </w:rPr>
              <w:t xml:space="preserve"> </w:t>
            </w:r>
            <w:r>
              <w:t>(</w:t>
            </w:r>
            <w:hyperlink r:id="rId9" w:history="1">
              <w:r w:rsidR="00535149">
                <w:rPr>
                  <w:rStyle w:val="Hyperlink"/>
                </w:rPr>
                <w:t>d</w:t>
              </w:r>
              <w:r>
                <w:rPr>
                  <w:rStyle w:val="Hyperlink"/>
                </w:rPr>
                <w:t>écision 9.COM 7</w:t>
              </w:r>
            </w:hyperlink>
            <w:r>
              <w:t>).</w:t>
            </w:r>
          </w:p>
          <w:p w14:paraId="6F68D81B" w14:textId="4F7688CD" w:rsidR="005974BB" w:rsidRPr="0072307E" w:rsidRDefault="005974BB" w:rsidP="000F1B54">
            <w:pPr>
              <w:pStyle w:val="Paragraph"/>
              <w:spacing w:before="60" w:after="60"/>
              <w:ind w:left="356"/>
              <w:jc w:val="left"/>
              <w:rPr>
                <w:bCs w:val="0"/>
              </w:rPr>
            </w:pPr>
            <w:r>
              <w:t xml:space="preserve">Contribution de la République </w:t>
            </w:r>
            <w:r w:rsidR="00535149">
              <w:t>p</w:t>
            </w:r>
            <w:r>
              <w:t xml:space="preserve">opulaire de Chine afin de soutenir un groupe de travail intergouvernemental </w:t>
            </w:r>
            <w:r w:rsidR="00535149" w:rsidRPr="00535149">
              <w:t>à composition non limité</w:t>
            </w:r>
            <w:r w:rsidR="00535149">
              <w:t>e</w:t>
            </w:r>
            <w:r>
              <w:t xml:space="preserve"> </w:t>
            </w:r>
            <w:r w:rsidR="00535149">
              <w:t>pour l’élaboration</w:t>
            </w:r>
            <w:r>
              <w:t xml:space="preserve"> d</w:t>
            </w:r>
            <w:r w:rsidR="00AD4C35">
              <w:t>’</w:t>
            </w:r>
            <w:r>
              <w:t>un cadre global de résultats pour la Convention (</w:t>
            </w:r>
            <w:hyperlink r:id="rId10" w:history="1">
              <w:r w:rsidR="00535149">
                <w:rPr>
                  <w:rStyle w:val="Hyperlink"/>
                </w:rPr>
                <w:t>d</w:t>
              </w:r>
              <w:r>
                <w:rPr>
                  <w:rStyle w:val="Hyperlink"/>
                </w:rPr>
                <w:t>écision 10.COM 9</w:t>
              </w:r>
            </w:hyperlink>
            <w:r>
              <w:t>).</w:t>
            </w:r>
          </w:p>
          <w:p w14:paraId="24376405" w14:textId="50200016" w:rsidR="005974BB" w:rsidRPr="0072307E" w:rsidRDefault="005974BB" w:rsidP="000F1B54">
            <w:pPr>
              <w:pStyle w:val="Paragraph"/>
              <w:spacing w:before="60" w:after="60"/>
              <w:ind w:left="356"/>
              <w:jc w:val="left"/>
            </w:pPr>
            <w:r>
              <w:t>Contribution de la République de Corée afin de soutenir l</w:t>
            </w:r>
            <w:r w:rsidR="00AD4C35">
              <w:t>’</w:t>
            </w:r>
            <w:r>
              <w:t>amélioration du mécanisme de rapports périodiques de la Convention (</w:t>
            </w:r>
            <w:hyperlink r:id="rId11" w:history="1">
              <w:r w:rsidR="00535149">
                <w:rPr>
                  <w:rStyle w:val="Hyperlink"/>
                </w:rPr>
                <w:t>d</w:t>
              </w:r>
              <w:r>
                <w:rPr>
                  <w:rStyle w:val="Hyperlink"/>
                </w:rPr>
                <w:t>écision 11.COM 6</w:t>
              </w:r>
            </w:hyperlink>
            <w:r>
              <w:t>).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04CFFB" w14:textId="77777777" w:rsidR="005974BB" w:rsidRPr="0072307E" w:rsidRDefault="005974BB" w:rsidP="003968A9">
            <w:pPr>
              <w:pStyle w:val="Paragraph"/>
              <w:spacing w:before="60" w:after="60"/>
              <w:jc w:val="right"/>
            </w:pPr>
            <w:r>
              <w:t>582 756 dollars des États-Unis</w:t>
            </w:r>
          </w:p>
        </w:tc>
      </w:tr>
      <w:tr w:rsidR="005974BB" w:rsidRPr="0072307E" w14:paraId="40B89A83" w14:textId="719B21AE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5C94613A" w14:textId="6140302D" w:rsidR="005974BB" w:rsidRPr="0072307E" w:rsidRDefault="005974BB" w:rsidP="0072307E">
            <w:pPr>
              <w:pStyle w:val="Paragraph"/>
              <w:spacing w:before="60" w:after="60"/>
              <w:ind w:left="-109"/>
              <w:jc w:val="left"/>
              <w:rPr>
                <w:i/>
              </w:rPr>
            </w:pPr>
            <w:r>
              <w:rPr>
                <w:bCs w:val="0"/>
                <w:i/>
                <w:iCs/>
              </w:rPr>
              <w:lastRenderedPageBreak/>
              <w:t>Sous-</w:t>
            </w:r>
            <w:r>
              <w:rPr>
                <w:i/>
                <w:iCs/>
              </w:rPr>
              <w:t>fonds</w:t>
            </w:r>
            <w:r>
              <w:rPr>
                <w:bCs w:val="0"/>
                <w:i/>
                <w:iCs/>
              </w:rPr>
              <w:t xml:space="preserve"> créé au sein du Fonds du patrimoine culturel immatériel et destiné exclusivement au renforcement des capacités humaines du Secrétariat</w:t>
            </w:r>
            <w:r>
              <w:rPr>
                <w:i/>
              </w:rPr>
              <w:t xml:space="preserve"> (</w:t>
            </w:r>
            <w:hyperlink r:id="rId12" w:history="1">
              <w:r w:rsidR="00535149">
                <w:rPr>
                  <w:rStyle w:val="Hyperlink"/>
                  <w:i/>
                </w:rPr>
                <w:t>r</w:t>
              </w:r>
              <w:r>
                <w:rPr>
                  <w:rStyle w:val="Hyperlink"/>
                  <w:i/>
                </w:rPr>
                <w:t>ésolution 3.GA 9</w:t>
              </w:r>
            </w:hyperlink>
            <w:r>
              <w:rPr>
                <w:i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62CF54" w14:textId="77777777" w:rsidR="005974BB" w:rsidRPr="0072307E" w:rsidRDefault="005974BB" w:rsidP="002E62EA">
            <w:pPr>
              <w:pStyle w:val="Paragraph"/>
              <w:spacing w:before="60" w:after="60"/>
              <w:jc w:val="right"/>
            </w:pPr>
          </w:p>
        </w:tc>
      </w:tr>
      <w:tr w:rsidR="005974BB" w:rsidRPr="0072307E" w14:paraId="3C3B8C74" w14:textId="1CDA94D0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050C7AFF" w14:textId="77777777" w:rsidR="005974BB" w:rsidRPr="0072307E" w:rsidRDefault="005974BB" w:rsidP="000F1B54">
            <w:pPr>
              <w:pStyle w:val="Paragraph"/>
              <w:spacing w:before="60" w:after="60"/>
              <w:ind w:left="356"/>
              <w:jc w:val="left"/>
            </w:pPr>
            <w:r>
              <w:t>Azerbaïdjan, Monaco et Émirats arabes unis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AD72F39" w14:textId="77777777" w:rsidR="005974BB" w:rsidRPr="0072307E" w:rsidRDefault="005974BB" w:rsidP="00F4192C">
            <w:pPr>
              <w:pStyle w:val="Paragraph"/>
              <w:spacing w:before="60" w:after="60"/>
              <w:jc w:val="right"/>
            </w:pPr>
            <w:r>
              <w:t>135 013 dollars des États-Unis</w:t>
            </w:r>
          </w:p>
        </w:tc>
      </w:tr>
      <w:tr w:rsidR="005974BB" w:rsidRPr="0072307E" w14:paraId="294B59E8" w14:textId="6F84AD9B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53880373" w14:textId="77777777" w:rsidR="005974BB" w:rsidRPr="0072307E" w:rsidRDefault="005974BB" w:rsidP="0072307E">
            <w:pPr>
              <w:pStyle w:val="Paragraph"/>
              <w:numPr>
                <w:ilvl w:val="0"/>
                <w:numId w:val="11"/>
              </w:numPr>
              <w:spacing w:before="60" w:after="60"/>
              <w:ind w:left="357" w:hanging="466"/>
              <w:rPr>
                <w:color w:val="auto"/>
              </w:rPr>
            </w:pPr>
            <w:r>
              <w:rPr>
                <w:u w:val="single"/>
              </w:rPr>
              <w:t>Des intérêts dus sur les ressources du Fonds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3F92D4B" w14:textId="77777777" w:rsidR="005974BB" w:rsidRPr="0072307E" w:rsidRDefault="005974BB" w:rsidP="003968A9">
            <w:pPr>
              <w:pStyle w:val="Paragraph"/>
              <w:spacing w:before="60" w:after="60"/>
              <w:jc w:val="right"/>
            </w:pPr>
            <w:r>
              <w:t>277 238 dollars des États-Unis</w:t>
            </w:r>
          </w:p>
        </w:tc>
      </w:tr>
      <w:tr w:rsidR="005974BB" w:rsidRPr="0072307E" w14:paraId="2E1CE003" w14:textId="6A4C627B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4AC4F3F2" w14:textId="77777777" w:rsidR="005974BB" w:rsidRPr="0072307E" w:rsidRDefault="005974BB" w:rsidP="002E62EA">
            <w:pPr>
              <w:pStyle w:val="Paragraph"/>
              <w:spacing w:before="60" w:after="60"/>
              <w:ind w:firstLine="34"/>
              <w:jc w:val="right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0CF5C84" w14:textId="77777777" w:rsidR="005974BB" w:rsidRPr="0072307E" w:rsidRDefault="005974BB" w:rsidP="002E62EA">
            <w:pPr>
              <w:pStyle w:val="Paragraph"/>
              <w:spacing w:before="60" w:after="60"/>
              <w:jc w:val="right"/>
            </w:pPr>
          </w:p>
        </w:tc>
      </w:tr>
      <w:tr w:rsidR="005974BB" w:rsidRPr="0072307E" w14:paraId="746BE8D2" w14:textId="14C8861A" w:rsidTr="00590B42">
        <w:trPr>
          <w:cantSplit/>
        </w:trPr>
        <w:tc>
          <w:tcPr>
            <w:tcW w:w="6946" w:type="dxa"/>
            <w:shd w:val="clear" w:color="auto" w:fill="auto"/>
            <w:vAlign w:val="center"/>
          </w:tcPr>
          <w:p w14:paraId="24CAA570" w14:textId="77777777" w:rsidR="005974BB" w:rsidRPr="0072307E" w:rsidRDefault="005974BB" w:rsidP="00F4192C">
            <w:pPr>
              <w:pStyle w:val="Paragraph"/>
              <w:spacing w:before="60" w:after="60"/>
              <w:ind w:firstLine="34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399092" w14:textId="77777777" w:rsidR="005974BB" w:rsidRPr="0072307E" w:rsidRDefault="005974BB" w:rsidP="00F4192C">
            <w:pPr>
              <w:pStyle w:val="Paragraph"/>
              <w:spacing w:before="60" w:after="60"/>
              <w:jc w:val="right"/>
              <w:rPr>
                <w:b/>
              </w:rPr>
            </w:pPr>
            <w:r>
              <w:rPr>
                <w:b/>
              </w:rPr>
              <w:t>4 858 056 dollars des États-Unis</w:t>
            </w:r>
          </w:p>
        </w:tc>
      </w:tr>
    </w:tbl>
    <w:p w14:paraId="6ACFB630" w14:textId="7840369D" w:rsidR="00873F4B" w:rsidRPr="00D15FE0" w:rsidRDefault="00745B5E" w:rsidP="000150DA">
      <w:pPr>
        <w:pStyle w:val="ListParagraph"/>
        <w:spacing w:before="120"/>
        <w:ind w:left="567" w:hanging="567"/>
      </w:pPr>
      <w:r>
        <w:t>Le revenu total comptabilisé au cours de la période concernée est inférieur de 15,</w:t>
      </w:r>
      <w:r w:rsidR="00D12A30">
        <w:t>6 %</w:t>
      </w:r>
      <w:r>
        <w:t xml:space="preserve"> à celui de l</w:t>
      </w:r>
      <w:r w:rsidR="00AD4C35">
        <w:t>’</w:t>
      </w:r>
      <w:r>
        <w:t>exercice biennal précédent ; cela est principalement dû à une chute considérable des contributions volontaires</w:t>
      </w:r>
      <w:r w:rsidR="00D12A30" w:rsidRPr="00D12A30">
        <w:t xml:space="preserve"> </w:t>
      </w:r>
      <w:r w:rsidR="00D12A30">
        <w:t>supplémentaires</w:t>
      </w:r>
      <w:r>
        <w:t xml:space="preserve"> reçues (de 1 811 268</w:t>
      </w:r>
      <w:r w:rsidR="008C05E5">
        <w:t xml:space="preserve"> </w:t>
      </w:r>
      <w:r>
        <w:t>à 717 769 dollars des États-Unis). Ce déclin a impacté à la fois les fonds dédiés aux activités spécifiques approuvées par le Comité (affectées) et le Sous-fonds pour le renforcement des capacités humaines du Secrétariat. Dans le même temps, l</w:t>
      </w:r>
      <w:r w:rsidR="00D12A30">
        <w:t xml:space="preserve">es </w:t>
      </w:r>
      <w:r>
        <w:t>intérêt</w:t>
      </w:r>
      <w:r w:rsidR="00D12A30">
        <w:t>s</w:t>
      </w:r>
      <w:r>
        <w:t xml:space="preserve"> généré</w:t>
      </w:r>
      <w:r w:rsidR="00D12A30">
        <w:t>s</w:t>
      </w:r>
      <w:r>
        <w:t xml:space="preserve"> </w:t>
      </w:r>
      <w:r w:rsidR="00D12A30">
        <w:t>ont</w:t>
      </w:r>
      <w:r>
        <w:t xml:space="preserve"> </w:t>
      </w:r>
      <w:r w:rsidR="00D12A30">
        <w:t>augmenté</w:t>
      </w:r>
      <w:r>
        <w:t xml:space="preserve"> de 79 953 à 277 238 dollars des États-Unis, compensant ainsi partiellement la réduction des revenus dans leur ensemble. Enfin, le solde impayé représentait 25,5</w:t>
      </w:r>
      <w:r w:rsidR="00D12A30">
        <w:t> %</w:t>
      </w:r>
      <w:r>
        <w:t xml:space="preserve"> de la valeur des contributions obligatoires</w:t>
      </w:r>
      <w:r w:rsidR="00D12A30">
        <w:t xml:space="preserve"> pour 2017</w:t>
      </w:r>
      <w:r>
        <w:t xml:space="preserve"> en date du 31 décembre 2017.</w:t>
      </w:r>
    </w:p>
    <w:p w14:paraId="3D8D3544" w14:textId="2B0900CE" w:rsidR="005A5792" w:rsidRPr="00F410D6" w:rsidRDefault="005A5792" w:rsidP="001355B9">
      <w:pPr>
        <w:pStyle w:val="Default"/>
        <w:keepNext/>
        <w:spacing w:before="240" w:after="120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Échelonnement des crédits et des dépenses pour l</w:t>
      </w:r>
      <w:r w:rsidR="00AD4C35">
        <w:rPr>
          <w:b/>
          <w:bCs/>
          <w:color w:val="auto"/>
          <w:sz w:val="22"/>
          <w:szCs w:val="22"/>
        </w:rPr>
        <w:t>’</w:t>
      </w:r>
      <w:r>
        <w:rPr>
          <w:b/>
          <w:bCs/>
          <w:color w:val="auto"/>
          <w:sz w:val="22"/>
          <w:szCs w:val="22"/>
        </w:rPr>
        <w:t>exercice du 1</w:t>
      </w:r>
      <w:r>
        <w:rPr>
          <w:b/>
          <w:bCs/>
          <w:color w:val="auto"/>
          <w:sz w:val="22"/>
          <w:szCs w:val="22"/>
          <w:vertAlign w:val="superscript"/>
        </w:rPr>
        <w:t>er</w:t>
      </w:r>
      <w:r>
        <w:rPr>
          <w:b/>
          <w:bCs/>
          <w:color w:val="auto"/>
          <w:sz w:val="22"/>
          <w:szCs w:val="22"/>
        </w:rPr>
        <w:t> janvier 2016 au 31 décembre 2017</w:t>
      </w:r>
    </w:p>
    <w:p w14:paraId="6D4145D8" w14:textId="79E16AF1" w:rsidR="003F1686" w:rsidRPr="00F410D6" w:rsidRDefault="00C560D0" w:rsidP="00AD4C35">
      <w:pPr>
        <w:pStyle w:val="ListParagraph"/>
        <w:ind w:left="567" w:hanging="567"/>
      </w:pPr>
      <w:r>
        <w:t>Le montant approuvé à l</w:t>
      </w:r>
      <w:r w:rsidR="00AD4C35">
        <w:t>’</w:t>
      </w:r>
      <w:r>
        <w:t>occasion de la sixième session de l</w:t>
      </w:r>
      <w:r w:rsidR="00AD4C35">
        <w:t>’</w:t>
      </w:r>
      <w:r>
        <w:t>Assemblée générale pour le budget opérationnel de l</w:t>
      </w:r>
      <w:r w:rsidR="00AD4C35">
        <w:t>’</w:t>
      </w:r>
      <w:r>
        <w:t>échelonnement des crédits et des dépenses (7 977 920 dollars des États-Unis) correspond au solde du Fonds au 1</w:t>
      </w:r>
      <w:r w:rsidRPr="00EC718A">
        <w:rPr>
          <w:vertAlign w:val="superscript"/>
        </w:rPr>
        <w:t>er</w:t>
      </w:r>
      <w:r>
        <w:t xml:space="preserve"> janvier 2016 (8 953 729 dollars des États-Unis) moins celui du Fonds de réserve accumulé </w:t>
      </w:r>
      <w:r w:rsidR="001E56A1">
        <w:t>à la même date</w:t>
      </w:r>
      <w:r w:rsidR="00EC718A">
        <w:t xml:space="preserve"> </w:t>
      </w:r>
      <w:r>
        <w:t>(975 810 dollars des États-Unis). Ce Fonds de réserve a été créé, conformément au Règlement financier du Fonds, afin d</w:t>
      </w:r>
      <w:r w:rsidR="00AD4C35">
        <w:t>’</w:t>
      </w:r>
      <w:r>
        <w:t>accorder une assistance internationale en cas d</w:t>
      </w:r>
      <w:r w:rsidR="00AD4C35">
        <w:t>’</w:t>
      </w:r>
      <w:r>
        <w:t>extrême urgence et dans le cas où les fonds alloués à l</w:t>
      </w:r>
      <w:r w:rsidR="00AD4C35">
        <w:t>’</w:t>
      </w:r>
      <w:r>
        <w:t>assistance internationale (ligne budgétaire 1) sont épuisés. Comme indiqué dans l</w:t>
      </w:r>
      <w:r w:rsidR="00AD4C35">
        <w:t>’</w:t>
      </w:r>
      <w:r w:rsidR="00EC718A">
        <w:t>a</w:t>
      </w:r>
      <w:r>
        <w:t>nnexe I/</w:t>
      </w:r>
      <w:r w:rsidR="00EC718A">
        <w:t>é</w:t>
      </w:r>
      <w:r>
        <w:t>tat</w:t>
      </w:r>
      <w:r w:rsidR="00AB5FA7">
        <w:t xml:space="preserve"> financier</w:t>
      </w:r>
      <w:r>
        <w:t> </w:t>
      </w:r>
      <w:r w:rsidRPr="0045041C">
        <w:t>II</w:t>
      </w:r>
      <w:bookmarkStart w:id="0" w:name="_GoBack"/>
      <w:bookmarkEnd w:id="0"/>
      <w:r>
        <w:t>, à la suite du dernier transfert effectué au début de la période considérée (24 190 dollars des États-Unis), le Fonds de réserve a atteint un montant d</w:t>
      </w:r>
      <w:r w:rsidR="00AD4C35">
        <w:t>’</w:t>
      </w:r>
      <w:r>
        <w:t>allocations de 1 </w:t>
      </w:r>
      <w:r w:rsidR="00EC718A">
        <w:t>million de</w:t>
      </w:r>
      <w:r>
        <w:t> dollars des États-Unis – remplissant l</w:t>
      </w:r>
      <w:r w:rsidR="00AD4C35">
        <w:t>’</w:t>
      </w:r>
      <w:r>
        <w:t>objectif défini par le Comité (</w:t>
      </w:r>
      <w:hyperlink r:id="rId13" w:history="1">
        <w:r w:rsidR="00EC718A">
          <w:rPr>
            <w:rStyle w:val="Hyperlink"/>
          </w:rPr>
          <w:t>d</w:t>
        </w:r>
        <w:r>
          <w:rPr>
            <w:rStyle w:val="Hyperlink"/>
          </w:rPr>
          <w:t>écision 10.COM 8</w:t>
        </w:r>
      </w:hyperlink>
      <w:r w:rsidRPr="00EC718A">
        <w:rPr>
          <w:rStyle w:val="Hyperlink"/>
          <w:color w:val="auto"/>
          <w:u w:val="none"/>
        </w:rPr>
        <w:t xml:space="preserve"> et </w:t>
      </w:r>
      <w:hyperlink r:id="rId14" w:history="1">
        <w:r w:rsidR="00EC718A">
          <w:rPr>
            <w:rStyle w:val="Hyperlink"/>
          </w:rPr>
          <w:t>r</w:t>
        </w:r>
        <w:r>
          <w:rPr>
            <w:rStyle w:val="Hyperlink"/>
          </w:rPr>
          <w:t>ésolution 6.GA 9</w:t>
        </w:r>
      </w:hyperlink>
      <w:r>
        <w:t>).</w:t>
      </w:r>
    </w:p>
    <w:p w14:paraId="29AC0C79" w14:textId="1D274761" w:rsidR="005A5792" w:rsidRPr="00F410D6" w:rsidRDefault="000003ED" w:rsidP="00135D75">
      <w:pPr>
        <w:pStyle w:val="ListParagraph"/>
        <w:ind w:left="567" w:hanging="567"/>
      </w:pPr>
      <w:r>
        <w:t xml:space="preserve">Le rapport financier présente des dépenses totales de 3 609 488 dollars des États-Unis </w:t>
      </w:r>
      <w:r w:rsidR="00EC718A">
        <w:t>au</w:t>
      </w:r>
      <w:r>
        <w:t xml:space="preserve"> 31 décembre 2017, soit 45,2</w:t>
      </w:r>
      <w:r w:rsidR="00EC718A">
        <w:t> %</w:t>
      </w:r>
      <w:r>
        <w:t xml:space="preserve"> du budget opérationnel approuvé par l</w:t>
      </w:r>
      <w:r w:rsidR="00AD4C35">
        <w:t>’</w:t>
      </w:r>
      <w:r>
        <w:t>Assemblée générale – à l</w:t>
      </w:r>
      <w:r w:rsidR="00AD4C35">
        <w:t>’</w:t>
      </w:r>
      <w:r>
        <w:t>exclusion des fonds fournis pour le Fonds de réserve. Bien que les dépenses aient augmenté de 47,8</w:t>
      </w:r>
      <w:r w:rsidR="00EC718A">
        <w:t> %</w:t>
      </w:r>
      <w:r>
        <w:t xml:space="preserve"> comparé</w:t>
      </w:r>
      <w:r w:rsidR="00AC0369">
        <w:t>e</w:t>
      </w:r>
      <w:r>
        <w:t>s à celles de l</w:t>
      </w:r>
      <w:r w:rsidR="00AD4C35">
        <w:t>’</w:t>
      </w:r>
      <w:r>
        <w:t>exercice biennal précédent (2 441 884 $), ce taux reste relativement faible étant donné que le budget total approuvé a également augmenté par rapport à celui de l</w:t>
      </w:r>
      <w:r w:rsidR="00AD4C35">
        <w:t>’</w:t>
      </w:r>
      <w:r>
        <w:t>exercice biennal précédent. Des explications pour chaque ligne budgétaire de l</w:t>
      </w:r>
      <w:r w:rsidR="00AD4C35">
        <w:t>’</w:t>
      </w:r>
      <w:r>
        <w:t xml:space="preserve">échelonnement des crédits et dépenses sont </w:t>
      </w:r>
      <w:r w:rsidR="00AC0369">
        <w:t xml:space="preserve">fournies </w:t>
      </w:r>
      <w:r>
        <w:t>ci-dessous.</w:t>
      </w:r>
    </w:p>
    <w:p w14:paraId="48673DB9" w14:textId="480911B2" w:rsidR="00A22F99" w:rsidRPr="00A22F99" w:rsidRDefault="007E4DAE" w:rsidP="00796AB0">
      <w:pPr>
        <w:pStyle w:val="ListParagraph"/>
        <w:ind w:left="567" w:hanging="567"/>
      </w:pPr>
      <w:r>
        <w:t>La faible mise en œuvre du Fonds reste le fait direct d</w:t>
      </w:r>
      <w:r w:rsidR="00AD4C35">
        <w:t>’</w:t>
      </w:r>
      <w:r>
        <w:t>un usage insuffisant des mécanismes d</w:t>
      </w:r>
      <w:r w:rsidR="00AD4C35">
        <w:t>’</w:t>
      </w:r>
      <w:r>
        <w:t xml:space="preserve">assistance internationale de la part des États parties (lignes budgétaires 1 et 2). Au 31 décembre 2017, la </w:t>
      </w:r>
      <w:r>
        <w:rPr>
          <w:b/>
          <w:bCs/>
        </w:rPr>
        <w:t>ligne budgétaire 1</w:t>
      </w:r>
      <w:r>
        <w:t xml:space="preserve"> (</w:t>
      </w:r>
      <w:r w:rsidR="00230762">
        <w:t>a</w:t>
      </w:r>
      <w:r>
        <w:t>ssistance internationale) présentait un</w:t>
      </w:r>
      <w:r w:rsidR="00230762">
        <w:t xml:space="preserve"> taux de</w:t>
      </w:r>
      <w:r>
        <w:t xml:space="preserve"> mise en œuvre de 27,4</w:t>
      </w:r>
      <w:r w:rsidR="00EC718A">
        <w:t> %</w:t>
      </w:r>
      <w:r>
        <w:t xml:space="preserve"> seulement. Il convient de mentionner qu</w:t>
      </w:r>
      <w:r w:rsidR="00AD4C35">
        <w:t>’</w:t>
      </w:r>
      <w:r>
        <w:t>au cours de la période concernée, le Comité ou son Bureau ont approuvé dix-sept projets représentant un montant de plus de 1,7 millions de dollars. Cependant, les rapports financiers reflètent</w:t>
      </w:r>
      <w:r w:rsidR="001E56A1">
        <w:t xml:space="preserve"> seulement</w:t>
      </w:r>
      <w:r>
        <w:t xml:space="preserve"> </w:t>
      </w:r>
      <w:r w:rsidR="00230762">
        <w:t>l</w:t>
      </w:r>
      <w:r>
        <w:t xml:space="preserve">es projets dont les contrats ont été établis </w:t>
      </w:r>
      <w:r w:rsidR="001E56A1">
        <w:t>pendant</w:t>
      </w:r>
      <w:r>
        <w:t xml:space="preserve"> la période concernée.</w:t>
      </w:r>
    </w:p>
    <w:p w14:paraId="3BB7ABCA" w14:textId="70A10B92" w:rsidR="006C1111" w:rsidRPr="009B4607" w:rsidRDefault="006F461F" w:rsidP="006C1111">
      <w:pPr>
        <w:pStyle w:val="ListParagraph"/>
        <w:ind w:left="567" w:hanging="567"/>
      </w:pPr>
      <w:r>
        <w:t xml:space="preserve">En ce qui concerne la </w:t>
      </w:r>
      <w:r>
        <w:rPr>
          <w:b/>
        </w:rPr>
        <w:t>ligne budgétaire 2</w:t>
      </w:r>
      <w:r>
        <w:t xml:space="preserve"> (</w:t>
      </w:r>
      <w:r w:rsidR="00230762">
        <w:t>a</w:t>
      </w:r>
      <w:r>
        <w:t>ssistance préparatoire), seuls deux demandes d</w:t>
      </w:r>
      <w:r w:rsidR="00AD4C35">
        <w:t>’</w:t>
      </w:r>
      <w:r>
        <w:t>assistance préparatoire pour la préparation d</w:t>
      </w:r>
      <w:r w:rsidR="00AD4C35">
        <w:t>’</w:t>
      </w:r>
      <w:r>
        <w:t>une candidature à la Liste de sauvegarde urgente ont été soumises puis approuvées par le Bureau. Dans la lignée de la décision du Comité à l</w:t>
      </w:r>
      <w:r w:rsidR="00AD4C35">
        <w:t>’</w:t>
      </w:r>
      <w:r>
        <w:t>occasion de sa huitième session en 2013 (</w:t>
      </w:r>
      <w:hyperlink r:id="rId15" w:history="1">
        <w:r w:rsidR="00230762" w:rsidRPr="00230762">
          <w:rPr>
            <w:rStyle w:val="Hyperlink"/>
          </w:rPr>
          <w:t>décision 8.COM 7.c</w:t>
        </w:r>
      </w:hyperlink>
      <w:r w:rsidRPr="00230762">
        <w:rPr>
          <w:rStyle w:val="Hyperlink"/>
          <w:color w:val="auto"/>
          <w:u w:val="none"/>
        </w:rPr>
        <w:t>)</w:t>
      </w:r>
      <w:r w:rsidRPr="00230762">
        <w:t xml:space="preserve">, </w:t>
      </w:r>
      <w:r>
        <w:t xml:space="preserve">cette ligne a </w:t>
      </w:r>
      <w:r>
        <w:lastRenderedPageBreak/>
        <w:t>également été utilisé</w:t>
      </w:r>
      <w:r w:rsidR="00230762">
        <w:t>e</w:t>
      </w:r>
      <w:r>
        <w:t xml:space="preserve"> afin de fournir une assistance technique « aux États parties souhaitant élaborer une demande d</w:t>
      </w:r>
      <w:r w:rsidR="00AD4C35">
        <w:t>’</w:t>
      </w:r>
      <w:r>
        <w:t>assistance internationale ». Une telle assistance a été fournie par l</w:t>
      </w:r>
      <w:r w:rsidR="00934420">
        <w:t>e biais de l</w:t>
      </w:r>
      <w:r>
        <w:t>a mise à disposition d</w:t>
      </w:r>
      <w:r w:rsidR="00AD4C35">
        <w:t>’</w:t>
      </w:r>
      <w:r>
        <w:t>experts - à la fois par des consultants externes et par le Secrétariat - sur demande spécifique de la part des États parties. Au cours de la période concernée, une assistance technique a été fournie à cinq États demandeurs ; deux de ces demandes ont été présentées au Bureau et ont reçu une assistance de la part du Fonds.</w:t>
      </w:r>
    </w:p>
    <w:p w14:paraId="10462619" w14:textId="416E81D4" w:rsidR="00EE1372" w:rsidRPr="00110A34" w:rsidRDefault="003B71DB" w:rsidP="00590B42">
      <w:pPr>
        <w:pStyle w:val="ListParagraph"/>
        <w:ind w:left="567" w:hanging="567"/>
      </w:pPr>
      <w:r>
        <w:t>Sur la base des propositions spécifiques préparées par le Secrétariat, le Bureau a décidé de l</w:t>
      </w:r>
      <w:r w:rsidR="00AD4C35">
        <w:t>’</w:t>
      </w:r>
      <w:r>
        <w:t xml:space="preserve">utilisation des ressources concernées par la </w:t>
      </w:r>
      <w:r>
        <w:rPr>
          <w:b/>
        </w:rPr>
        <w:t>ligne budgétaire 3</w:t>
      </w:r>
      <w:r>
        <w:t>, « autres fonctions du Comité » (</w:t>
      </w:r>
      <w:hyperlink r:id="rId16" w:history="1">
        <w:r w:rsidR="00220B91">
          <w:rPr>
            <w:rStyle w:val="Hyperlink"/>
          </w:rPr>
          <w:t>d</w:t>
        </w:r>
        <w:r>
          <w:rPr>
            <w:rStyle w:val="Hyperlink"/>
          </w:rPr>
          <w:t>écision 8.COM 11</w:t>
        </w:r>
      </w:hyperlink>
      <w:r>
        <w:t xml:space="preserve"> et </w:t>
      </w:r>
      <w:hyperlink r:id="rId17" w:history="1">
        <w:r w:rsidR="00220B91">
          <w:rPr>
            <w:rStyle w:val="Hyperlink"/>
          </w:rPr>
          <w:t>d</w:t>
        </w:r>
        <w:r>
          <w:rPr>
            <w:rStyle w:val="Hyperlink"/>
          </w:rPr>
          <w:t>écision 11.COM 2.BUR 1</w:t>
        </w:r>
      </w:hyperlink>
      <w:r>
        <w:t>). Ces ressources ont été allouées au renforcement des capacités (51,</w:t>
      </w:r>
      <w:r w:rsidR="001E56A1">
        <w:t>4 </w:t>
      </w:r>
      <w:r>
        <w:t>%), aux services de gestion des connaissances (24,3 %), au développement d</w:t>
      </w:r>
      <w:r w:rsidR="00AD4C35">
        <w:t>’</w:t>
      </w:r>
      <w:r>
        <w:t>un cadre global de résultats permettant d</w:t>
      </w:r>
      <w:r w:rsidR="00AD4C35">
        <w:t>’</w:t>
      </w:r>
      <w:r>
        <w:t>assurer le suivi de la mise en œuvre de la Convention (3,</w:t>
      </w:r>
      <w:r w:rsidR="001E56A1">
        <w:t>1 </w:t>
      </w:r>
      <w:r>
        <w:t>%) et aux outils de communication et de sensibilisation (21,2 %). 92,8</w:t>
      </w:r>
      <w:r w:rsidR="00890BF2">
        <w:t> %</w:t>
      </w:r>
      <w:r>
        <w:t xml:space="preserve"> des fonds ont été engagés au 31 décembre 2017. Un tel niveau d</w:t>
      </w:r>
      <w:r w:rsidR="00AD4C35">
        <w:t>’</w:t>
      </w:r>
      <w:r>
        <w:t>exécution représente une hausse de 2,</w:t>
      </w:r>
      <w:r w:rsidR="001E56A1">
        <w:t>6</w:t>
      </w:r>
      <w:r w:rsidR="00890BF2">
        <w:t> %</w:t>
      </w:r>
      <w:r>
        <w:t xml:space="preserve"> par rapport à l</w:t>
      </w:r>
      <w:r w:rsidR="00AD4C35">
        <w:t>’</w:t>
      </w:r>
      <w:r>
        <w:t xml:space="preserve">exercice biennal précédent, permettant ainsi de maintenir un taux de </w:t>
      </w:r>
      <w:r w:rsidR="001E56A1">
        <w:t>dépenses</w:t>
      </w:r>
      <w:r>
        <w:t xml:space="preserve"> élevé. De plus amples détails quant aux progrès de la mise en œuvre de ces fonds peuvent être consultés dans le </w:t>
      </w:r>
      <w:r w:rsidRPr="00110A34">
        <w:t xml:space="preserve">document </w:t>
      </w:r>
      <w:hyperlink r:id="rId18" w:history="1">
        <w:r w:rsidRPr="00110A34">
          <w:rPr>
            <w:rStyle w:val="Hyperlink"/>
          </w:rPr>
          <w:t>ITH/18/7.GA/7</w:t>
        </w:r>
      </w:hyperlink>
      <w:r w:rsidRPr="00110A34">
        <w:t>, « Rapport du Secrétariat</w:t>
      </w:r>
      <w:r w:rsidR="00934420" w:rsidRPr="00110A34">
        <w:t xml:space="preserve"> sur ses activités</w:t>
      </w:r>
      <w:r w:rsidRPr="00110A34">
        <w:t> ».</w:t>
      </w:r>
    </w:p>
    <w:p w14:paraId="6E304C05" w14:textId="3E8524E3" w:rsidR="006C1111" w:rsidRPr="009C5C23" w:rsidRDefault="00EE1372" w:rsidP="00EE1372">
      <w:pPr>
        <w:pStyle w:val="ListParagraph"/>
        <w:ind w:left="567" w:hanging="567"/>
        <w:rPr>
          <w:rFonts w:cs="Times New Roman"/>
        </w:rPr>
      </w:pPr>
      <w:r>
        <w:t>Suite à la recommandation du Service d</w:t>
      </w:r>
      <w:r w:rsidR="00AD4C35">
        <w:t>’</w:t>
      </w:r>
      <w:r>
        <w:t>évaluation et d</w:t>
      </w:r>
      <w:r w:rsidR="00AD4C35">
        <w:t>’</w:t>
      </w:r>
      <w:r>
        <w:t>audit dans son audit des méthodes de travail des conventions culture</w:t>
      </w:r>
      <w:r w:rsidR="008C6632">
        <w:t>lles</w:t>
      </w:r>
      <w:r>
        <w:t xml:space="preserve"> (</w:t>
      </w:r>
      <w:hyperlink r:id="rId19" w:history="1">
        <w:r>
          <w:rPr>
            <w:rStyle w:val="Hyperlink"/>
          </w:rPr>
          <w:t>IOS/AUD/2013/06</w:t>
        </w:r>
      </w:hyperlink>
      <w:r>
        <w:t>), le Comité a demandé au Secrétariat d</w:t>
      </w:r>
      <w:r w:rsidR="00AD4C35">
        <w:t>’</w:t>
      </w:r>
      <w:r>
        <w:t>appliquer la politique de recouvrement des coûts de manière systématique pour l</w:t>
      </w:r>
      <w:r w:rsidR="00AD4C35">
        <w:t>’</w:t>
      </w:r>
      <w:r>
        <w:t>utilisation des ressources du Fonds (</w:t>
      </w:r>
      <w:hyperlink r:id="rId20" w:history="1">
        <w:r w:rsidR="008C6632">
          <w:rPr>
            <w:rStyle w:val="Hyperlink"/>
          </w:rPr>
          <w:t>d</w:t>
        </w:r>
        <w:r>
          <w:rPr>
            <w:rStyle w:val="Hyperlink"/>
          </w:rPr>
          <w:t>écision 8.COM 11</w:t>
        </w:r>
      </w:hyperlink>
      <w:r>
        <w:t>). Par conséquent, et comme stipulé dans l</w:t>
      </w:r>
      <w:r w:rsidR="00AD4C35">
        <w:t>’</w:t>
      </w:r>
      <w:r>
        <w:t>article 5.2 du Règlement financier du Fonds, les dépenses administratives directes en rapport avec leur mise en œuvre ont été imputées aux lignes budgétaires 1 à 3.</w:t>
      </w:r>
    </w:p>
    <w:p w14:paraId="120A054A" w14:textId="688DC713" w:rsidR="00B35FB9" w:rsidRPr="009C5C23" w:rsidRDefault="00B35FB9" w:rsidP="002F32BF">
      <w:pPr>
        <w:pStyle w:val="ListParagraph"/>
        <w:ind w:left="567" w:hanging="567"/>
      </w:pPr>
      <w:r>
        <w:t xml:space="preserve">La </w:t>
      </w:r>
      <w:r>
        <w:rPr>
          <w:b/>
        </w:rPr>
        <w:t>ligne budgétaire 4</w:t>
      </w:r>
      <w:r>
        <w:t xml:space="preserve"> a été utilisée afin de financer les frais de participation de vingt-neuf experts représentant les pays en développement membres du Comité, son Bureau et ses organes subsidiaires lors des différentes sessions. Le taux de dépenses de cette ligne est de 58,6 %, permettant de maintenir un taux semblable à celui des exercices récents. En outre, le taux de dépenses </w:t>
      </w:r>
      <w:r w:rsidRPr="00094E39">
        <w:t>de la</w:t>
      </w:r>
      <w:r>
        <w:rPr>
          <w:b/>
        </w:rPr>
        <w:t xml:space="preserve"> ligne budgétaire 5</w:t>
      </w:r>
      <w:r>
        <w:t xml:space="preserve"> a quasiment atteint les 100 %. Les </w:t>
      </w:r>
      <w:r w:rsidR="001E56A1">
        <w:t>dépenses</w:t>
      </w:r>
      <w:r>
        <w:t xml:space="preserve"> </w:t>
      </w:r>
      <w:r w:rsidR="00094E39">
        <w:t xml:space="preserve">incluent </w:t>
      </w:r>
      <w:r>
        <w:t>les frais de participation de neuf experts éligibles d</w:t>
      </w:r>
      <w:r w:rsidR="00094E39">
        <w:t>’</w:t>
      </w:r>
      <w:r>
        <w:t>États parties en développement non membres du Comité faisant partie de l</w:t>
      </w:r>
      <w:r w:rsidR="00AD4C35">
        <w:t>’</w:t>
      </w:r>
      <w:r>
        <w:t>Organe d</w:t>
      </w:r>
      <w:r w:rsidR="00AD4C35">
        <w:t>’</w:t>
      </w:r>
      <w:r>
        <w:t xml:space="preserve">évaluation en 2016 et en 2017 et les frais de participation de quarante-neuf experts participant aux onzième et douzième session du Comité. La </w:t>
      </w:r>
      <w:r>
        <w:rPr>
          <w:b/>
        </w:rPr>
        <w:t>ligne budgétaire 6</w:t>
      </w:r>
      <w:r>
        <w:t xml:space="preserve"> présente un taux de dépenses de 65,7 %, ce qui reflète respectivement les frais de participation de six organisations non gouvernementales (ONG) accréditées faisant partie de l</w:t>
      </w:r>
      <w:r w:rsidR="00AD4C35">
        <w:t>’</w:t>
      </w:r>
      <w:r>
        <w:t>Organe d</w:t>
      </w:r>
      <w:r w:rsidR="00AD4C35">
        <w:t>’</w:t>
      </w:r>
      <w:r>
        <w:t xml:space="preserve">évaluation en 2016 et en 2017 et la participation de </w:t>
      </w:r>
      <w:r w:rsidR="00094E39">
        <w:t>vingt-trois</w:t>
      </w:r>
      <w:r>
        <w:t> ONG à l</w:t>
      </w:r>
      <w:r w:rsidR="00AD4C35">
        <w:t>’</w:t>
      </w:r>
      <w:r>
        <w:t>occasion des onzième et douzième sessions du Comité.</w:t>
      </w:r>
    </w:p>
    <w:p w14:paraId="2579ADCB" w14:textId="7D34C7B9" w:rsidR="00814B19" w:rsidRPr="00943E22" w:rsidRDefault="009303FA" w:rsidP="00B35FB9">
      <w:pPr>
        <w:pStyle w:val="ListParagraph"/>
        <w:ind w:left="567" w:hanging="567"/>
      </w:pPr>
      <w:r>
        <w:t>Prenant note de l</w:t>
      </w:r>
      <w:r w:rsidR="00AD4C35">
        <w:t>’</w:t>
      </w:r>
      <w:r>
        <w:t>usage inégal des ressources des lignes budgétaires 4, 5 et 6 à l</w:t>
      </w:r>
      <w:r w:rsidR="00AD4C35">
        <w:t>’</w:t>
      </w:r>
      <w:r>
        <w:t>occasion de sa douzième session, le Comité a proposé que l</w:t>
      </w:r>
      <w:r w:rsidR="00AD4C35">
        <w:t>’</w:t>
      </w:r>
      <w:r>
        <w:t>Assemblée générale autorise à l</w:t>
      </w:r>
      <w:r w:rsidR="00AD4C35">
        <w:t>’</w:t>
      </w:r>
      <w:r>
        <w:t>avenir le Secrétariat à procéder à des transferts entre ces lignes jusqu</w:t>
      </w:r>
      <w:r w:rsidR="00AD4C35">
        <w:t>’</w:t>
      </w:r>
      <w:r>
        <w:t>à un maximum de 30</w:t>
      </w:r>
      <w:r w:rsidR="00D2529C">
        <w:t> %</w:t>
      </w:r>
      <w:r>
        <w:t xml:space="preserve"> de leur allocation totale. </w:t>
      </w:r>
      <w:r w:rsidR="00D2529C">
        <w:t>C</w:t>
      </w:r>
      <w:r>
        <w:t>ette décision</w:t>
      </w:r>
      <w:r w:rsidR="00D2529C">
        <w:t xml:space="preserve"> devrait</w:t>
      </w:r>
      <w:r>
        <w:t xml:space="preserve"> améliore</w:t>
      </w:r>
      <w:r w:rsidR="00D2529C">
        <w:t>r</w:t>
      </w:r>
      <w:r>
        <w:t xml:space="preserve"> l</w:t>
      </w:r>
      <w:r w:rsidR="00AD4C35">
        <w:t>’</w:t>
      </w:r>
      <w:r>
        <w:t xml:space="preserve">utilisation des ressources et le taux de </w:t>
      </w:r>
      <w:r w:rsidR="001E56A1">
        <w:t>dépenses</w:t>
      </w:r>
      <w:r>
        <w:t xml:space="preserve"> de ces trois lignes en permettant au Secrétariat une certaine flexibilité </w:t>
      </w:r>
      <w:r w:rsidR="00D2529C">
        <w:t>pour répondre</w:t>
      </w:r>
      <w:r>
        <w:t xml:space="preserve"> aux besoins spécifiques de chaque exercice biennal.</w:t>
      </w:r>
    </w:p>
    <w:p w14:paraId="480D0A48" w14:textId="521CBC1C" w:rsidR="00E16F28" w:rsidRPr="00F410D6" w:rsidRDefault="00E16F28" w:rsidP="00D02A61">
      <w:pPr>
        <w:pStyle w:val="ListParagraph"/>
        <w:ind w:left="567" w:hanging="567"/>
      </w:pPr>
      <w:r>
        <w:t xml:space="preserve">Enfin, la </w:t>
      </w:r>
      <w:r>
        <w:rPr>
          <w:b/>
        </w:rPr>
        <w:t>ligne budgétaire 7</w:t>
      </w:r>
      <w:r>
        <w:t xml:space="preserve"> présente un taux de dépenses de 51,4</w:t>
      </w:r>
      <w:r w:rsidR="00E15D04">
        <w:t> %</w:t>
      </w:r>
      <w:r>
        <w:t xml:space="preserve"> correspondant aux frais engagés </w:t>
      </w:r>
      <w:r w:rsidR="00E15D04">
        <w:t xml:space="preserve">pour </w:t>
      </w:r>
      <w:r>
        <w:t>les membres éligibles de l</w:t>
      </w:r>
      <w:r w:rsidR="00AD4C35">
        <w:t>’</w:t>
      </w:r>
      <w:r>
        <w:t>Organe d</w:t>
      </w:r>
      <w:r w:rsidR="00AD4C35">
        <w:t>’</w:t>
      </w:r>
      <w:r>
        <w:t xml:space="preserve">évaluation (dix en 2016 et onze en 2017) et les </w:t>
      </w:r>
      <w:r w:rsidR="00E15D04">
        <w:t xml:space="preserve">honoraires </w:t>
      </w:r>
      <w:r>
        <w:t>réglés au Président et au Rapporteur de l</w:t>
      </w:r>
      <w:r w:rsidR="00AD4C35">
        <w:t>’</w:t>
      </w:r>
      <w:r>
        <w:t xml:space="preserve">Organe pour leurs </w:t>
      </w:r>
      <w:r w:rsidR="00E15D04">
        <w:t xml:space="preserve">travaux </w:t>
      </w:r>
      <w:r>
        <w:t>additionnels. Ce taux reste relativement faible du fait de la nécessité d</w:t>
      </w:r>
      <w:r w:rsidR="00AD4C35">
        <w:t>’</w:t>
      </w:r>
      <w:r>
        <w:t>établir les contrats des membres de l</w:t>
      </w:r>
      <w:r w:rsidR="00AD4C35">
        <w:t>’</w:t>
      </w:r>
      <w:r>
        <w:t>Organe d</w:t>
      </w:r>
      <w:r w:rsidR="00AD4C35">
        <w:t>’</w:t>
      </w:r>
      <w:r>
        <w:t>évaluation au début du cycle d</w:t>
      </w:r>
      <w:r w:rsidR="00AD4C35">
        <w:t>’</w:t>
      </w:r>
      <w:r>
        <w:t>évaluation alors que seul un quart du budget est disponible. Ainsi, il est nécessaire de surestimer le pourcentage total alloué afin d</w:t>
      </w:r>
      <w:r w:rsidR="00AD4C35">
        <w:t>’</w:t>
      </w:r>
      <w:r>
        <w:t>avoir suffisamment de fonds jusqu</w:t>
      </w:r>
      <w:r w:rsidR="00AD4C35">
        <w:t>’</w:t>
      </w:r>
      <w:r>
        <w:t>à l</w:t>
      </w:r>
      <w:r w:rsidR="00AD4C35">
        <w:t>’</w:t>
      </w:r>
      <w:r>
        <w:t>approbation finale de l</w:t>
      </w:r>
      <w:r w:rsidR="00AD4C35">
        <w:t>’</w:t>
      </w:r>
      <w:r>
        <w:t>Assemblée générale (au mois de juin de</w:t>
      </w:r>
      <w:r w:rsidR="001E56A1">
        <w:t xml:space="preserve"> la première année de</w:t>
      </w:r>
      <w:r>
        <w:t xml:space="preserve"> l</w:t>
      </w:r>
      <w:r w:rsidR="00AD4C35">
        <w:t>’</w:t>
      </w:r>
      <w:r>
        <w:t>exercice biennal).</w:t>
      </w:r>
    </w:p>
    <w:p w14:paraId="37503536" w14:textId="77777777" w:rsidR="001F044D" w:rsidRPr="00F410D6" w:rsidRDefault="001F044D" w:rsidP="00B6186A">
      <w:pPr>
        <w:pStyle w:val="Default"/>
        <w:keepNext/>
        <w:spacing w:before="240" w:after="240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>Rapports supplémentaires</w:t>
      </w:r>
    </w:p>
    <w:p w14:paraId="1B163648" w14:textId="2D51D98D" w:rsidR="001F044D" w:rsidRDefault="00775E55" w:rsidP="00110A34">
      <w:pPr>
        <w:pStyle w:val="ListParagraph"/>
        <w:keepLines/>
        <w:ind w:left="567" w:hanging="567"/>
      </w:pPr>
      <w:r>
        <w:t>Conformément à l</w:t>
      </w:r>
      <w:r w:rsidR="00AD4C35">
        <w:t>’</w:t>
      </w:r>
      <w:r>
        <w:t xml:space="preserve">article 25.5 de la Convention, les </w:t>
      </w:r>
      <w:r w:rsidR="00977CAF">
        <w:t>a</w:t>
      </w:r>
      <w:r>
        <w:t xml:space="preserve">nnexes II (a) et II (b) du présent document présentent la liste des contributions </w:t>
      </w:r>
      <w:r w:rsidR="00977CAF">
        <w:t xml:space="preserve">volontaires </w:t>
      </w:r>
      <w:r>
        <w:t>supplémentaires reçues à des fins spécifiques pour la période du 1</w:t>
      </w:r>
      <w:r>
        <w:rPr>
          <w:vertAlign w:val="superscript"/>
        </w:rPr>
        <w:t>er</w:t>
      </w:r>
      <w:r>
        <w:t> janvier 2016 au 31 décembre 2017</w:t>
      </w:r>
      <w:r w:rsidR="00977CAF">
        <w:t>,</w:t>
      </w:r>
      <w:r>
        <w:t xml:space="preserve"> ainsi que d</w:t>
      </w:r>
      <w:r w:rsidR="00AD4C35">
        <w:t>’</w:t>
      </w:r>
      <w:r>
        <w:t xml:space="preserve">autres formes de soutien fournies par les États parties et autres entités au cours de la même période. Conformément au paragraphe 77 des </w:t>
      </w:r>
      <w:r w:rsidR="00977CAF">
        <w:t>D</w:t>
      </w:r>
      <w:r>
        <w:t xml:space="preserve">irectives opérationnelles, </w:t>
      </w:r>
      <w:hyperlink r:id="rId21" w:history="1">
        <w:r w:rsidRPr="00110A34">
          <w:rPr>
            <w:rStyle w:val="Hyperlink"/>
          </w:rPr>
          <w:t>une liste de donateurs</w:t>
        </w:r>
      </w:hyperlink>
      <w:r>
        <w:t xml:space="preserve"> mise à jour peut être consultée sur le site Internet de la Convention sur le patrimoine culturel</w:t>
      </w:r>
      <w:r w:rsidR="00977CAF">
        <w:t xml:space="preserve"> immatériel</w:t>
      </w:r>
      <w:r w:rsidR="00110A34">
        <w:t>.</w:t>
      </w:r>
    </w:p>
    <w:p w14:paraId="63D4A429" w14:textId="5A389FD4" w:rsidR="00DF36BC" w:rsidRPr="00110A34" w:rsidRDefault="00023505" w:rsidP="00C47D45">
      <w:pPr>
        <w:pStyle w:val="ListParagraph"/>
        <w:keepLines/>
        <w:ind w:left="567" w:hanging="567"/>
      </w:pPr>
      <w:r w:rsidRPr="00110A34">
        <w:t>L</w:t>
      </w:r>
      <w:r w:rsidR="00AD4C35" w:rsidRPr="00110A34">
        <w:t>’</w:t>
      </w:r>
      <w:r w:rsidR="00977CAF" w:rsidRPr="00110A34">
        <w:t>a</w:t>
      </w:r>
      <w:r w:rsidRPr="00110A34">
        <w:t>nnexe II (c) présente le total des dépenses de chaque projet financé par des contributions affectées</w:t>
      </w:r>
      <w:r w:rsidR="00363D8D" w:rsidRPr="00110A34">
        <w:t>,</w:t>
      </w:r>
      <w:r w:rsidRPr="00110A34">
        <w:t xml:space="preserve"> de leur lancement jusqu</w:t>
      </w:r>
      <w:r w:rsidR="00AD4C35" w:rsidRPr="00110A34">
        <w:t>’</w:t>
      </w:r>
      <w:r w:rsidRPr="00110A34">
        <w:t>au 31 décembre 2017. Enfin, l</w:t>
      </w:r>
      <w:r w:rsidR="00AD4C35" w:rsidRPr="00110A34">
        <w:t>’</w:t>
      </w:r>
      <w:r w:rsidR="00977CAF" w:rsidRPr="00110A34">
        <w:t>a</w:t>
      </w:r>
      <w:r w:rsidRPr="00110A34">
        <w:t>nnexe II (d) présente les prévisions au 31 décembre 2017, sur la base des estimations du Secrétariat, pour l</w:t>
      </w:r>
      <w:r w:rsidR="00AD4C35" w:rsidRPr="00110A34">
        <w:t>’</w:t>
      </w:r>
      <w:r w:rsidRPr="00110A34">
        <w:t>usage futur des fonds alloués aux projets en cours financés par des fonds non engagés à la date et</w:t>
      </w:r>
      <w:r w:rsidR="00363D8D" w:rsidRPr="00110A34">
        <w:t xml:space="preserve"> conformément</w:t>
      </w:r>
      <w:r w:rsidRPr="00110A34">
        <w:t xml:space="preserve"> aux budgets approuvés par le Comité. Dans les cas où les donateurs ont déjà confirmé que l</w:t>
      </w:r>
      <w:r w:rsidR="003158BE" w:rsidRPr="00110A34">
        <w:t>eurs</w:t>
      </w:r>
      <w:r w:rsidRPr="00110A34">
        <w:t xml:space="preserve"> contribution</w:t>
      </w:r>
      <w:r w:rsidR="003158BE" w:rsidRPr="00110A34">
        <w:t>s</w:t>
      </w:r>
      <w:r w:rsidRPr="00110A34">
        <w:t xml:space="preserve"> </w:t>
      </w:r>
      <w:r w:rsidR="003158BE" w:rsidRPr="00110A34">
        <w:t>non acquittées</w:t>
      </w:r>
      <w:r w:rsidRPr="00110A34">
        <w:t xml:space="preserve"> ne </w:t>
      </w:r>
      <w:proofErr w:type="gramStart"/>
      <w:r w:rsidRPr="00110A34">
        <w:t>serait</w:t>
      </w:r>
      <w:proofErr w:type="gramEnd"/>
      <w:r w:rsidRPr="00110A34">
        <w:t xml:space="preserve"> pas réglée</w:t>
      </w:r>
      <w:r w:rsidR="003158BE" w:rsidRPr="00110A34">
        <w:t>s</w:t>
      </w:r>
      <w:r w:rsidRPr="00110A34">
        <w:t xml:space="preserve"> (désigné</w:t>
      </w:r>
      <w:r w:rsidR="003158BE" w:rsidRPr="00110A34">
        <w:t>e</w:t>
      </w:r>
      <w:r w:rsidRPr="00110A34">
        <w:t>s par un astérisque), les estimations sont basées sur les fonds perçus à ce jour.</w:t>
      </w:r>
    </w:p>
    <w:p w14:paraId="6FAA9A39" w14:textId="77777777" w:rsidR="00C47D45" w:rsidRDefault="00B74EEE" w:rsidP="00C47D45">
      <w:pPr>
        <w:pStyle w:val="ListParagraph"/>
        <w:numPr>
          <w:ilvl w:val="0"/>
          <w:numId w:val="0"/>
        </w:numPr>
      </w:pPr>
      <w:r>
        <w:br w:type="page"/>
      </w:r>
    </w:p>
    <w:p w14:paraId="7EEB7B08" w14:textId="40DE3BCD" w:rsidR="00C47D45" w:rsidRPr="00C47D45" w:rsidRDefault="00AD4C35" w:rsidP="00C47D45">
      <w:pPr>
        <w:pStyle w:val="ListParagraph"/>
        <w:numPr>
          <w:ilvl w:val="0"/>
          <w:numId w:val="0"/>
        </w:numPr>
        <w:jc w:val="center"/>
        <w:rPr>
          <w:b/>
          <w:u w:val="single"/>
        </w:rPr>
      </w:pPr>
      <w:r>
        <w:rPr>
          <w:b/>
          <w:u w:val="single"/>
        </w:rPr>
        <w:lastRenderedPageBreak/>
        <w:t>ANNEXE I</w:t>
      </w:r>
    </w:p>
    <w:p w14:paraId="2ADBEBB3" w14:textId="77777777" w:rsidR="00AF1C32" w:rsidRPr="000B56F5" w:rsidRDefault="00DA53F5" w:rsidP="002023E2">
      <w:pPr>
        <w:pStyle w:val="ListParagraph"/>
        <w:numPr>
          <w:ilvl w:val="0"/>
          <w:numId w:val="0"/>
        </w:numPr>
        <w:jc w:val="right"/>
        <w:rPr>
          <w:bCs/>
        </w:rPr>
      </w:pPr>
      <w:r>
        <w:t>État financier I</w:t>
      </w:r>
    </w:p>
    <w:p w14:paraId="26B0A471" w14:textId="77777777" w:rsidR="00110A34" w:rsidRDefault="000931F0" w:rsidP="005A4282">
      <w:pPr>
        <w:pStyle w:val="ListParagraph"/>
        <w:numPr>
          <w:ilvl w:val="0"/>
          <w:numId w:val="0"/>
        </w:numPr>
        <w:tabs>
          <w:tab w:val="left" w:pos="6237"/>
        </w:tabs>
        <w:jc w:val="right"/>
      </w:pPr>
      <w:r>
        <w:rPr>
          <w:noProof/>
          <w:snapToGrid/>
          <w:lang w:val="en-US" w:eastAsia="ko-KR"/>
        </w:rPr>
        <w:drawing>
          <wp:inline distT="0" distB="0" distL="0" distR="0" wp14:anchorId="367D8316" wp14:editId="69C39CAA">
            <wp:extent cx="6120000" cy="53927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ement 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3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1F2E7ACF" w14:textId="4BB725C3" w:rsidR="00110A34" w:rsidRDefault="00110A34" w:rsidP="005A4282">
      <w:pPr>
        <w:pStyle w:val="ListParagraph"/>
        <w:numPr>
          <w:ilvl w:val="0"/>
          <w:numId w:val="0"/>
        </w:numPr>
        <w:tabs>
          <w:tab w:val="left" w:pos="6237"/>
        </w:tabs>
        <w:jc w:val="right"/>
      </w:pPr>
      <w:r>
        <w:t>Échelonnement 1.1</w:t>
      </w:r>
    </w:p>
    <w:p w14:paraId="51EE0D5D" w14:textId="0F8FEAC7" w:rsidR="00DA53F5" w:rsidRPr="000B56F5" w:rsidRDefault="000931F0" w:rsidP="005A4282">
      <w:pPr>
        <w:pStyle w:val="ListParagraph"/>
        <w:numPr>
          <w:ilvl w:val="0"/>
          <w:numId w:val="0"/>
        </w:numPr>
        <w:tabs>
          <w:tab w:val="left" w:pos="6237"/>
        </w:tabs>
        <w:jc w:val="right"/>
        <w:rPr>
          <w:bCs/>
        </w:rPr>
      </w:pPr>
      <w:r>
        <w:rPr>
          <w:noProof/>
          <w:snapToGrid/>
          <w:lang w:val="en-US" w:eastAsia="ko-KR"/>
        </w:rPr>
        <w:drawing>
          <wp:inline distT="0" distB="0" distL="0" distR="0" wp14:anchorId="4A790068" wp14:editId="4F95E497">
            <wp:extent cx="6120000" cy="71643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dule 1.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1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br w:type="page"/>
      </w:r>
      <w:r>
        <w:lastRenderedPageBreak/>
        <w:t>État financier II</w:t>
      </w:r>
    </w:p>
    <w:p w14:paraId="348392BC" w14:textId="3147F55B" w:rsidR="005E715E" w:rsidRPr="000B56F5" w:rsidRDefault="000931F0" w:rsidP="00F31AD1">
      <w:pPr>
        <w:pStyle w:val="ListParagraph"/>
        <w:numPr>
          <w:ilvl w:val="0"/>
          <w:numId w:val="0"/>
        </w:numPr>
        <w:jc w:val="right"/>
        <w:rPr>
          <w:bCs/>
        </w:rPr>
      </w:pPr>
      <w:r>
        <w:rPr>
          <w:noProof/>
          <w:snapToGrid/>
          <w:lang w:val="en-US" w:eastAsia="ko-KR"/>
        </w:rPr>
        <w:drawing>
          <wp:inline distT="0" distB="0" distL="0" distR="0" wp14:anchorId="5AD1E422" wp14:editId="684034F2">
            <wp:extent cx="6120129" cy="56774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tement I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56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  <w:r>
        <w:lastRenderedPageBreak/>
        <w:t>État financier III</w:t>
      </w:r>
    </w:p>
    <w:p w14:paraId="36A109FE" w14:textId="288A0981" w:rsidR="00DD001E" w:rsidRPr="00F410D6" w:rsidRDefault="000931F0" w:rsidP="001C0176">
      <w:pPr>
        <w:pStyle w:val="ListParagraph"/>
        <w:numPr>
          <w:ilvl w:val="0"/>
          <w:numId w:val="0"/>
        </w:numPr>
        <w:jc w:val="center"/>
      </w:pPr>
      <w:r>
        <w:rPr>
          <w:noProof/>
          <w:snapToGrid/>
          <w:lang w:val="en-US" w:eastAsia="ko-KR"/>
        </w:rPr>
        <w:drawing>
          <wp:inline distT="0" distB="0" distL="0" distR="0" wp14:anchorId="61F426EA" wp14:editId="05890504">
            <wp:extent cx="6120000" cy="614875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tement II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2AFD" w14:textId="77777777" w:rsidR="00C47D45" w:rsidRPr="000B56F5" w:rsidRDefault="00DD001E" w:rsidP="000931F0">
      <w:pPr>
        <w:pStyle w:val="ListParagraph"/>
        <w:numPr>
          <w:ilvl w:val="0"/>
          <w:numId w:val="0"/>
        </w:numPr>
        <w:spacing w:after="240"/>
        <w:jc w:val="center"/>
        <w:rPr>
          <w:b/>
          <w:u w:val="single"/>
        </w:rPr>
      </w:pPr>
      <w:r>
        <w:br w:type="page"/>
      </w:r>
      <w:r>
        <w:rPr>
          <w:b/>
          <w:u w:val="single"/>
        </w:rPr>
        <w:lastRenderedPageBreak/>
        <w:t>ANNEXE II (a)</w:t>
      </w:r>
    </w:p>
    <w:p w14:paraId="09C32453" w14:textId="0EABDE37" w:rsidR="00C47D45" w:rsidRDefault="000931F0">
      <w:pPr>
        <w:spacing w:after="0"/>
        <w:rPr>
          <w:rFonts w:ascii="Arial" w:hAnsi="Arial" w:cs="Arial"/>
          <w:b/>
          <w:snapToGrid w:val="0"/>
          <w:sz w:val="20"/>
          <w:szCs w:val="20"/>
        </w:rPr>
      </w:pPr>
      <w:r>
        <w:rPr>
          <w:b/>
          <w:noProof/>
          <w:sz w:val="20"/>
          <w:szCs w:val="20"/>
          <w:lang w:val="en-US" w:eastAsia="ko-KR"/>
        </w:rPr>
        <w:drawing>
          <wp:inline distT="0" distB="0" distL="0" distR="0" wp14:anchorId="6C9597C2" wp14:editId="2C3CADFB">
            <wp:extent cx="6120000" cy="6067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ex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5533A9" w14:textId="47831C88" w:rsidR="00DD001E" w:rsidRPr="000B56F5" w:rsidRDefault="00C47D45" w:rsidP="00C47D45">
      <w:pPr>
        <w:pStyle w:val="ListParagraph"/>
        <w:numPr>
          <w:ilvl w:val="0"/>
          <w:numId w:val="0"/>
        </w:numPr>
        <w:jc w:val="center"/>
        <w:rPr>
          <w:b/>
          <w:u w:val="single"/>
        </w:rPr>
      </w:pPr>
      <w:r>
        <w:rPr>
          <w:b/>
          <w:u w:val="single"/>
        </w:rPr>
        <w:lastRenderedPageBreak/>
        <w:t>ANNEXE II (b)</w:t>
      </w:r>
      <w:r w:rsidR="00A50493">
        <w:rPr>
          <w:rStyle w:val="FootnoteReference"/>
          <w:b/>
          <w:u w:val="single"/>
        </w:rPr>
        <w:footnoteReference w:id="3"/>
      </w:r>
    </w:p>
    <w:p w14:paraId="625A2B14" w14:textId="617D7FE6" w:rsidR="00ED25A5" w:rsidRPr="00E73EEB" w:rsidRDefault="00C53A06" w:rsidP="00C53A06">
      <w:pPr>
        <w:pStyle w:val="COMParaDecision"/>
        <w:keepNext/>
        <w:spacing w:before="240"/>
        <w:jc w:val="center"/>
      </w:pPr>
      <w:r>
        <w:rPr>
          <w:b/>
          <w:u w:val="none"/>
        </w:rPr>
        <w:t xml:space="preserve">Autres contributions volontaires à la Convention de 2003 pour la </w:t>
      </w:r>
      <w:r w:rsidR="003158BE">
        <w:rPr>
          <w:b/>
          <w:u w:val="none"/>
        </w:rPr>
        <w:t>s</w:t>
      </w:r>
      <w:r>
        <w:rPr>
          <w:b/>
          <w:u w:val="none"/>
        </w:rPr>
        <w:t>auvegarde du patrimoine culturel immatériel pendant la période du 1</w:t>
      </w:r>
      <w:r>
        <w:rPr>
          <w:b/>
          <w:u w:val="none"/>
          <w:vertAlign w:val="superscript"/>
        </w:rPr>
        <w:t>er</w:t>
      </w:r>
      <w:r>
        <w:rPr>
          <w:b/>
          <w:u w:val="none"/>
        </w:rPr>
        <w:t> janvier 2016 au 31 décembre 2017.</w:t>
      </w:r>
    </w:p>
    <w:p w14:paraId="41DE8BF9" w14:textId="77777777" w:rsidR="00ED25A5" w:rsidRPr="00E73EEB" w:rsidRDefault="00ED25A5" w:rsidP="00ED25A5">
      <w:pPr>
        <w:pStyle w:val="COMParaDecision"/>
        <w:keepNext/>
        <w:spacing w:before="240"/>
        <w:jc w:val="center"/>
        <w:rPr>
          <w:b/>
          <w:u w:val="none"/>
        </w:rPr>
      </w:pPr>
    </w:p>
    <w:p w14:paraId="11AC9E6F" w14:textId="77777777" w:rsidR="00ED25A5" w:rsidRPr="00E73EEB" w:rsidRDefault="00ED25A5" w:rsidP="00ED25A5">
      <w:pPr>
        <w:keepNext/>
        <w:spacing w:before="360"/>
        <w:rPr>
          <w:rFonts w:ascii="Arial" w:hAnsi="Arial" w:cs="Arial"/>
          <w:b/>
          <w:smallCaps/>
          <w:color w:val="000000"/>
          <w:szCs w:val="22"/>
        </w:rPr>
      </w:pPr>
      <w:r>
        <w:rPr>
          <w:rFonts w:ascii="Arial" w:hAnsi="Arial"/>
          <w:b/>
          <w:smallCaps/>
          <w:color w:val="000000"/>
          <w:szCs w:val="22"/>
        </w:rPr>
        <w:t>Fonds-en dépôt</w:t>
      </w:r>
      <w:r w:rsidRPr="00E73EEB">
        <w:rPr>
          <w:rStyle w:val="FootnoteReference"/>
          <w:rFonts w:ascii="Arial" w:hAnsi="Arial" w:cs="Arial"/>
          <w:b/>
          <w:smallCaps/>
          <w:color w:val="000000"/>
          <w:szCs w:val="22"/>
        </w:rPr>
        <w:footnoteReference w:id="4"/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820"/>
        <w:gridCol w:w="3685"/>
      </w:tblGrid>
      <w:tr w:rsidR="00ED25A5" w:rsidRPr="00E73EEB" w14:paraId="4E3A7CAF" w14:textId="77777777" w:rsidTr="003158BE">
        <w:trPr>
          <w:cantSplit/>
          <w:trHeight w:val="560"/>
        </w:trPr>
        <w:tc>
          <w:tcPr>
            <w:tcW w:w="4820" w:type="dxa"/>
            <w:shd w:val="clear" w:color="auto" w:fill="auto"/>
            <w:vAlign w:val="center"/>
          </w:tcPr>
          <w:p w14:paraId="2646CD09" w14:textId="77777777" w:rsidR="00ED25A5" w:rsidRPr="00E73EEB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Flandre (Belgique)</w:t>
            </w:r>
          </w:p>
        </w:tc>
        <w:tc>
          <w:tcPr>
            <w:tcW w:w="3685" w:type="dxa"/>
            <w:vAlign w:val="center"/>
          </w:tcPr>
          <w:p w14:paraId="05349B67" w14:textId="77777777" w:rsidR="00ED25A5" w:rsidRPr="00E73EEB" w:rsidRDefault="00ED25A5" w:rsidP="00646C65">
            <w:pPr>
              <w:spacing w:before="60" w:after="60"/>
              <w:jc w:val="right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250 000 dollars des États-Unis</w:t>
            </w:r>
          </w:p>
        </w:tc>
      </w:tr>
      <w:tr w:rsidR="00ED25A5" w:rsidRPr="00E73EEB" w14:paraId="7CF87A45" w14:textId="77777777" w:rsidTr="003158BE">
        <w:trPr>
          <w:cantSplit/>
          <w:trHeight w:val="560"/>
        </w:trPr>
        <w:tc>
          <w:tcPr>
            <w:tcW w:w="4820" w:type="dxa"/>
            <w:shd w:val="clear" w:color="auto" w:fill="auto"/>
            <w:vAlign w:val="center"/>
          </w:tcPr>
          <w:p w14:paraId="34CE1D3E" w14:textId="77777777" w:rsidR="00ED25A5" w:rsidRPr="00E73EEB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Japon</w:t>
            </w:r>
          </w:p>
        </w:tc>
        <w:tc>
          <w:tcPr>
            <w:tcW w:w="3685" w:type="dxa"/>
            <w:vAlign w:val="center"/>
          </w:tcPr>
          <w:p w14:paraId="62449AEE" w14:textId="77777777" w:rsidR="00ED25A5" w:rsidRPr="00E73EEB" w:rsidRDefault="00ED25A5" w:rsidP="00646C65">
            <w:pPr>
              <w:spacing w:before="60" w:after="60"/>
              <w:jc w:val="right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102 409 dollars des États-Unis</w:t>
            </w:r>
          </w:p>
        </w:tc>
      </w:tr>
      <w:tr w:rsidR="00ED25A5" w:rsidRPr="00DF36BC" w14:paraId="2FBA2DB9" w14:textId="77777777" w:rsidTr="003158BE">
        <w:trPr>
          <w:cantSplit/>
          <w:trHeight w:val="560"/>
        </w:trPr>
        <w:tc>
          <w:tcPr>
            <w:tcW w:w="4820" w:type="dxa"/>
            <w:shd w:val="clear" w:color="auto" w:fill="auto"/>
            <w:vAlign w:val="center"/>
          </w:tcPr>
          <w:p w14:paraId="637792CA" w14:textId="1605E201" w:rsidR="00ED25A5" w:rsidRPr="009426E5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Cs w:val="22"/>
              </w:rPr>
              <w:t>Émirats arabes unis (Autorité pour le tourisme et la culture d</w:t>
            </w:r>
            <w:r w:rsidR="00AD4C35">
              <w:rPr>
                <w:rFonts w:ascii="Arial" w:hAnsi="Arial"/>
                <w:color w:val="000000"/>
                <w:szCs w:val="22"/>
              </w:rPr>
              <w:t>’</w:t>
            </w:r>
            <w:r>
              <w:rPr>
                <w:rFonts w:ascii="Arial" w:hAnsi="Arial"/>
                <w:color w:val="000000"/>
                <w:szCs w:val="22"/>
              </w:rPr>
              <w:t>Abou Dhabi)</w:t>
            </w:r>
          </w:p>
        </w:tc>
        <w:tc>
          <w:tcPr>
            <w:tcW w:w="3685" w:type="dxa"/>
            <w:vAlign w:val="center"/>
          </w:tcPr>
          <w:p w14:paraId="7D47349C" w14:textId="77777777" w:rsidR="00ED25A5" w:rsidRPr="00E73EEB" w:rsidRDefault="00ED25A5" w:rsidP="00646C65">
            <w:pPr>
              <w:spacing w:before="60" w:after="60"/>
              <w:jc w:val="right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1 227 257 dollars des États-Unis</w:t>
            </w:r>
          </w:p>
        </w:tc>
      </w:tr>
    </w:tbl>
    <w:p w14:paraId="1478DF29" w14:textId="77777777" w:rsidR="00ED25A5" w:rsidRDefault="00ED25A5" w:rsidP="00ED25A5">
      <w:pPr>
        <w:pStyle w:val="ListParagraph"/>
        <w:numPr>
          <w:ilvl w:val="0"/>
          <w:numId w:val="0"/>
        </w:numPr>
        <w:jc w:val="center"/>
      </w:pPr>
    </w:p>
    <w:p w14:paraId="7C15F046" w14:textId="77777777" w:rsidR="00ED25A5" w:rsidRPr="00C75E87" w:rsidRDefault="00ED25A5" w:rsidP="00ED25A5">
      <w:pPr>
        <w:spacing w:before="360" w:after="60"/>
        <w:rPr>
          <w:rFonts w:ascii="Arial" w:hAnsi="Arial" w:cs="Arial"/>
          <w:b/>
          <w:smallCaps/>
          <w:color w:val="000000"/>
          <w:szCs w:val="22"/>
        </w:rPr>
      </w:pPr>
      <w:r>
        <w:rPr>
          <w:rFonts w:ascii="Arial" w:hAnsi="Arial"/>
          <w:b/>
          <w:smallCaps/>
          <w:color w:val="000000"/>
          <w:szCs w:val="22"/>
        </w:rPr>
        <w:t>Détachements et mises à dispositions</w:t>
      </w:r>
      <w:r w:rsidR="00E56876" w:rsidRPr="00E73EEB">
        <w:rPr>
          <w:rStyle w:val="FootnoteReference"/>
          <w:rFonts w:ascii="Arial" w:hAnsi="Arial" w:cs="Arial"/>
          <w:b/>
          <w:smallCaps/>
          <w:color w:val="000000"/>
          <w:szCs w:val="22"/>
        </w:rPr>
        <w:footnoteReference w:id="5"/>
      </w:r>
    </w:p>
    <w:tbl>
      <w:tblPr>
        <w:tblW w:w="8949" w:type="dxa"/>
        <w:tblInd w:w="709" w:type="dxa"/>
        <w:tblLook w:val="04A0" w:firstRow="1" w:lastRow="0" w:firstColumn="1" w:lastColumn="0" w:noHBand="0" w:noVBand="1"/>
      </w:tblPr>
      <w:tblGrid>
        <w:gridCol w:w="6487"/>
        <w:gridCol w:w="2462"/>
      </w:tblGrid>
      <w:tr w:rsidR="00ED25A5" w:rsidRPr="00C75E87" w14:paraId="317804F9" w14:textId="77777777" w:rsidTr="00646C65">
        <w:trPr>
          <w:cantSplit/>
        </w:trPr>
        <w:tc>
          <w:tcPr>
            <w:tcW w:w="6487" w:type="dxa"/>
            <w:vAlign w:val="center"/>
            <w:hideMark/>
          </w:tcPr>
          <w:p w14:paraId="70AF9919" w14:textId="77777777" w:rsidR="00ED25A5" w:rsidRPr="00DF36BC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Chine</w:t>
            </w:r>
          </w:p>
        </w:tc>
        <w:tc>
          <w:tcPr>
            <w:tcW w:w="2462" w:type="dxa"/>
            <w:vAlign w:val="center"/>
            <w:hideMark/>
          </w:tcPr>
          <w:p w14:paraId="1B915509" w14:textId="77777777" w:rsidR="00ED25A5" w:rsidRPr="00DF36BC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24 mois - grade P2</w:t>
            </w:r>
          </w:p>
        </w:tc>
      </w:tr>
      <w:tr w:rsidR="00ED25A5" w:rsidRPr="00C75E87" w14:paraId="66183730" w14:textId="77777777" w:rsidTr="00646C65">
        <w:trPr>
          <w:cantSplit/>
        </w:trPr>
        <w:tc>
          <w:tcPr>
            <w:tcW w:w="6487" w:type="dxa"/>
            <w:vAlign w:val="center"/>
          </w:tcPr>
          <w:p w14:paraId="6463A1F7" w14:textId="77777777" w:rsidR="00ED25A5" w:rsidRPr="00DF36BC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Japon</w:t>
            </w:r>
          </w:p>
        </w:tc>
        <w:tc>
          <w:tcPr>
            <w:tcW w:w="2462" w:type="dxa"/>
            <w:vAlign w:val="center"/>
          </w:tcPr>
          <w:p w14:paraId="5D4974F1" w14:textId="77777777" w:rsidR="00ED25A5" w:rsidRPr="00DF36BC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24 mois - grade P2</w:t>
            </w:r>
          </w:p>
        </w:tc>
      </w:tr>
      <w:tr w:rsidR="00ED25A5" w:rsidRPr="00C75E87" w14:paraId="35101FC8" w14:textId="77777777" w:rsidTr="00646C65">
        <w:trPr>
          <w:cantSplit/>
        </w:trPr>
        <w:tc>
          <w:tcPr>
            <w:tcW w:w="6487" w:type="dxa"/>
            <w:vAlign w:val="center"/>
          </w:tcPr>
          <w:p w14:paraId="4A0A0D05" w14:textId="0CC41596" w:rsidR="00ED25A5" w:rsidRPr="00DF36BC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Émirats arabes unis (Autorité pour le tourisme et la culture d</w:t>
            </w:r>
            <w:r w:rsidR="00AD4C35">
              <w:rPr>
                <w:rFonts w:ascii="Arial" w:hAnsi="Arial"/>
                <w:color w:val="000000"/>
                <w:szCs w:val="22"/>
              </w:rPr>
              <w:t>’</w:t>
            </w:r>
            <w:r>
              <w:rPr>
                <w:rFonts w:ascii="Arial" w:hAnsi="Arial"/>
                <w:color w:val="000000"/>
                <w:szCs w:val="22"/>
              </w:rPr>
              <w:t>Abou Dhabi) (Engagement au titre d</w:t>
            </w:r>
            <w:r w:rsidR="00AD4C35">
              <w:rPr>
                <w:rFonts w:ascii="Arial" w:hAnsi="Arial"/>
                <w:color w:val="000000"/>
                <w:szCs w:val="22"/>
              </w:rPr>
              <w:t>’</w:t>
            </w:r>
            <w:r>
              <w:rPr>
                <w:rFonts w:ascii="Arial" w:hAnsi="Arial"/>
                <w:color w:val="000000"/>
                <w:szCs w:val="22"/>
              </w:rPr>
              <w:t>un projet)</w:t>
            </w:r>
          </w:p>
        </w:tc>
        <w:tc>
          <w:tcPr>
            <w:tcW w:w="2462" w:type="dxa"/>
            <w:vAlign w:val="center"/>
          </w:tcPr>
          <w:p w14:paraId="7EA257D2" w14:textId="77777777" w:rsidR="00ED25A5" w:rsidRPr="00DF36BC" w:rsidRDefault="00ED25A5" w:rsidP="00646C65">
            <w:pPr>
              <w:spacing w:before="60" w:after="6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/>
                <w:color w:val="000000"/>
                <w:szCs w:val="22"/>
              </w:rPr>
              <w:t>16 mois - grade P2</w:t>
            </w:r>
          </w:p>
        </w:tc>
      </w:tr>
    </w:tbl>
    <w:p w14:paraId="46A00550" w14:textId="77777777" w:rsidR="008029F3" w:rsidRPr="00F410D6" w:rsidRDefault="008029F3" w:rsidP="00E21E51">
      <w:pPr>
        <w:pStyle w:val="ListParagraph"/>
        <w:numPr>
          <w:ilvl w:val="0"/>
          <w:numId w:val="0"/>
        </w:numPr>
        <w:jc w:val="center"/>
      </w:pPr>
    </w:p>
    <w:p w14:paraId="03F896BF" w14:textId="77777777" w:rsidR="00DD001E" w:rsidRPr="00F410D6" w:rsidRDefault="00DD001E" w:rsidP="00DD001E">
      <w:pPr>
        <w:pStyle w:val="ListParagraph"/>
        <w:numPr>
          <w:ilvl w:val="0"/>
          <w:numId w:val="0"/>
        </w:numPr>
      </w:pPr>
    </w:p>
    <w:p w14:paraId="72BBD834" w14:textId="77777777" w:rsidR="00DD001E" w:rsidRPr="00F410D6" w:rsidRDefault="00DD001E" w:rsidP="00DD001E">
      <w:pPr>
        <w:pStyle w:val="ListParagraph"/>
        <w:numPr>
          <w:ilvl w:val="0"/>
          <w:numId w:val="0"/>
        </w:numPr>
        <w:sectPr w:rsidR="00DD001E" w:rsidRPr="00F410D6" w:rsidSect="00590B42">
          <w:headerReference w:type="even" r:id="rId27"/>
          <w:headerReference w:type="default" r:id="rId28"/>
          <w:headerReference w:type="first" r:id="rId29"/>
          <w:pgSz w:w="11906" w:h="16838" w:code="9"/>
          <w:pgMar w:top="1418" w:right="1134" w:bottom="1134" w:left="1134" w:header="397" w:footer="284" w:gutter="0"/>
          <w:cols w:space="708"/>
          <w:titlePg/>
          <w:docGrid w:linePitch="360"/>
        </w:sectPr>
      </w:pPr>
    </w:p>
    <w:p w14:paraId="2B623349" w14:textId="77777777" w:rsidR="001C0176" w:rsidRPr="000B56F5" w:rsidRDefault="00C47D45" w:rsidP="00C47D45">
      <w:pPr>
        <w:pStyle w:val="ListParagraph"/>
        <w:pageBreakBefore/>
        <w:numPr>
          <w:ilvl w:val="0"/>
          <w:numId w:val="0"/>
        </w:numPr>
        <w:jc w:val="center"/>
        <w:rPr>
          <w:b/>
          <w:u w:val="single"/>
        </w:rPr>
      </w:pPr>
      <w:r>
        <w:rPr>
          <w:b/>
          <w:u w:val="single"/>
        </w:rPr>
        <w:lastRenderedPageBreak/>
        <w:t>ANNEXE II (c)</w:t>
      </w:r>
    </w:p>
    <w:p w14:paraId="71563CAD" w14:textId="5ABF2387" w:rsidR="004F05D5" w:rsidRPr="00F410D6" w:rsidRDefault="000931F0" w:rsidP="001C0176">
      <w:pPr>
        <w:pStyle w:val="ListParagraph"/>
        <w:numPr>
          <w:ilvl w:val="0"/>
          <w:numId w:val="0"/>
        </w:numPr>
        <w:spacing w:after="0"/>
        <w:jc w:val="center"/>
      </w:pPr>
      <w:r>
        <w:rPr>
          <w:noProof/>
          <w:snapToGrid/>
          <w:lang w:val="en-US" w:eastAsia="ko-KR"/>
        </w:rPr>
        <w:drawing>
          <wp:inline distT="0" distB="0" distL="0" distR="0" wp14:anchorId="37F20204" wp14:editId="659606D5">
            <wp:extent cx="8859714" cy="594000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nex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714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ABCA" w14:textId="77777777" w:rsidR="00DD001E" w:rsidRPr="000B56F5" w:rsidRDefault="00DD001E" w:rsidP="00C47D45">
      <w:pPr>
        <w:spacing w:after="240"/>
        <w:jc w:val="center"/>
        <w:rPr>
          <w:rFonts w:ascii="Arial" w:hAnsi="Arial" w:cs="Arial"/>
          <w:b/>
          <w:szCs w:val="22"/>
          <w:u w:val="single"/>
        </w:rPr>
      </w:pPr>
      <w:r>
        <w:rPr>
          <w:rFonts w:ascii="Arial" w:hAnsi="Arial"/>
          <w:b/>
          <w:szCs w:val="22"/>
          <w:u w:val="single"/>
        </w:rPr>
        <w:lastRenderedPageBreak/>
        <w:t>ANNEXE II (d)</w:t>
      </w:r>
    </w:p>
    <w:p w14:paraId="28653070" w14:textId="206603C9" w:rsidR="000739B5" w:rsidRPr="00F94FF9" w:rsidRDefault="000931F0" w:rsidP="00DD001E">
      <w:pPr>
        <w:jc w:val="center"/>
        <w:rPr>
          <w:b/>
        </w:rPr>
      </w:pPr>
      <w:r>
        <w:rPr>
          <w:b/>
          <w:noProof/>
          <w:lang w:val="en-US" w:eastAsia="ko-KR"/>
        </w:rPr>
        <w:drawing>
          <wp:inline distT="0" distB="0" distL="0" distR="0" wp14:anchorId="25C57757" wp14:editId="615AEED1">
            <wp:extent cx="9229363" cy="463906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nex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363" cy="46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9B5" w:rsidRPr="00F94FF9" w:rsidSect="001C0176">
      <w:pgSz w:w="16838" w:h="11906" w:orient="landscape" w:code="9"/>
      <w:pgMar w:top="1134" w:right="1134" w:bottom="992" w:left="1134" w:header="397" w:footer="28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CA1B280" w16cid:durableId="1E7A25E9"/>
  <w16cid:commentId w16cid:paraId="784E03C9" w16cid:durableId="1E7A267D"/>
  <w16cid:commentId w16cid:paraId="1109C9B0" w16cid:durableId="1E7A2760"/>
  <w16cid:commentId w16cid:paraId="51D5DD21" w16cid:durableId="1E7A2798"/>
  <w16cid:commentId w16cid:paraId="1687F2F3" w16cid:durableId="1E7AF328"/>
  <w16cid:commentId w16cid:paraId="4C08AC09" w16cid:durableId="1E7A282C"/>
  <w16cid:commentId w16cid:paraId="0D94A413" w16cid:durableId="1E7A2A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71773" w14:textId="77777777" w:rsidR="009B7183" w:rsidRDefault="009B7183" w:rsidP="002938F2">
      <w:r>
        <w:separator/>
      </w:r>
    </w:p>
    <w:p w14:paraId="57ABA092" w14:textId="77777777" w:rsidR="009B7183" w:rsidRDefault="009B7183"/>
  </w:endnote>
  <w:endnote w:type="continuationSeparator" w:id="0">
    <w:p w14:paraId="098238D4" w14:textId="77777777" w:rsidR="009B7183" w:rsidRDefault="009B7183" w:rsidP="002938F2">
      <w:r>
        <w:continuationSeparator/>
      </w:r>
    </w:p>
    <w:p w14:paraId="63CACA7F" w14:textId="77777777" w:rsidR="009B7183" w:rsidRDefault="009B71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F0514" w14:textId="77777777" w:rsidR="009B7183" w:rsidRDefault="009B7183">
      <w:r>
        <w:separator/>
      </w:r>
    </w:p>
  </w:footnote>
  <w:footnote w:type="continuationSeparator" w:id="0">
    <w:p w14:paraId="0E0951AA" w14:textId="77777777" w:rsidR="009B7183" w:rsidRDefault="009B7183" w:rsidP="002938F2">
      <w:r>
        <w:continuationSeparator/>
      </w:r>
    </w:p>
  </w:footnote>
  <w:footnote w:id="1">
    <w:p w14:paraId="7338A6A9" w14:textId="1D04008F" w:rsidR="002556CF" w:rsidRPr="00213471" w:rsidRDefault="002556CF" w:rsidP="002556CF">
      <w:pPr>
        <w:pStyle w:val="Paragraph"/>
        <w:tabs>
          <w:tab w:val="left" w:pos="567"/>
        </w:tabs>
        <w:spacing w:before="60" w:after="60"/>
        <w:ind w:left="567" w:hanging="567"/>
        <w:rPr>
          <w:sz w:val="20"/>
          <w:szCs w:val="20"/>
        </w:rPr>
      </w:pPr>
      <w:r>
        <w:rPr>
          <w:sz w:val="18"/>
          <w:szCs w:val="18"/>
        </w:rPr>
        <w:footnoteRef/>
      </w:r>
      <w:r>
        <w:rPr>
          <w:sz w:val="18"/>
          <w:szCs w:val="18"/>
        </w:rPr>
        <w:t>.</w:t>
      </w:r>
      <w:r>
        <w:rPr>
          <w:sz w:val="18"/>
          <w:szCs w:val="18"/>
        </w:rPr>
        <w:tab/>
        <w:t>Les chiffres sont arrondis au dollar supérieur par rapport à l</w:t>
      </w:r>
      <w:r w:rsidR="00AD4C35">
        <w:rPr>
          <w:sz w:val="18"/>
          <w:szCs w:val="18"/>
        </w:rPr>
        <w:t>’</w:t>
      </w:r>
      <w:r>
        <w:rPr>
          <w:sz w:val="18"/>
          <w:szCs w:val="18"/>
        </w:rPr>
        <w:t>État financier I.</w:t>
      </w:r>
    </w:p>
  </w:footnote>
  <w:footnote w:id="2">
    <w:p w14:paraId="5F5EA6B1" w14:textId="0E597D2E" w:rsidR="005974BB" w:rsidRPr="00213471" w:rsidRDefault="005974BB" w:rsidP="00F410D6">
      <w:pPr>
        <w:pStyle w:val="Paragraph"/>
        <w:tabs>
          <w:tab w:val="left" w:pos="567"/>
        </w:tabs>
        <w:spacing w:before="60" w:after="60"/>
        <w:ind w:left="567" w:hanging="567"/>
        <w:rPr>
          <w:sz w:val="18"/>
          <w:szCs w:val="18"/>
        </w:rPr>
      </w:pPr>
      <w:r>
        <w:rPr>
          <w:rStyle w:val="FootnoteReference"/>
          <w:sz w:val="18"/>
          <w:szCs w:val="18"/>
          <w:vertAlign w:val="baseline"/>
        </w:rPr>
        <w:footnoteRef/>
      </w:r>
      <w:r>
        <w:rPr>
          <w:sz w:val="18"/>
          <w:szCs w:val="18"/>
        </w:rPr>
        <w:t>.</w:t>
      </w:r>
      <w:r>
        <w:rPr>
          <w:sz w:val="18"/>
          <w:szCs w:val="18"/>
        </w:rPr>
        <w:tab/>
        <w:t>Dans l</w:t>
      </w:r>
      <w:r w:rsidR="00AD4C35">
        <w:rPr>
          <w:sz w:val="18"/>
          <w:szCs w:val="18"/>
        </w:rPr>
        <w:t>’</w:t>
      </w:r>
      <w:r w:rsidR="00535149">
        <w:rPr>
          <w:sz w:val="18"/>
          <w:szCs w:val="18"/>
        </w:rPr>
        <w:t>a</w:t>
      </w:r>
      <w:r>
        <w:rPr>
          <w:sz w:val="18"/>
          <w:szCs w:val="18"/>
        </w:rPr>
        <w:t>nnexe I</w:t>
      </w:r>
      <w:r w:rsidR="00D12A30">
        <w:rPr>
          <w:sz w:val="18"/>
          <w:szCs w:val="18"/>
        </w:rPr>
        <w:t> </w:t>
      </w:r>
      <w:r>
        <w:rPr>
          <w:sz w:val="18"/>
          <w:szCs w:val="18"/>
        </w:rPr>
        <w:t>/</w:t>
      </w:r>
      <w:r w:rsidR="00D12A30">
        <w:rPr>
          <w:sz w:val="18"/>
          <w:szCs w:val="18"/>
        </w:rPr>
        <w:t> </w:t>
      </w:r>
      <w:r w:rsidR="00535149">
        <w:rPr>
          <w:sz w:val="18"/>
          <w:szCs w:val="18"/>
        </w:rPr>
        <w:t>é</w:t>
      </w:r>
      <w:r>
        <w:rPr>
          <w:sz w:val="18"/>
          <w:szCs w:val="18"/>
        </w:rPr>
        <w:t>tat financier I, les contributions r</w:t>
      </w:r>
      <w:r w:rsidR="00535149">
        <w:rPr>
          <w:sz w:val="18"/>
          <w:szCs w:val="18"/>
        </w:rPr>
        <w:t>é</w:t>
      </w:r>
      <w:r>
        <w:rPr>
          <w:sz w:val="18"/>
          <w:szCs w:val="18"/>
        </w:rPr>
        <w:t>glementaires obligatoires pour la période 2016-2017 figurent en tant que revenus, qu</w:t>
      </w:r>
      <w:r w:rsidR="00AD4C35">
        <w:rPr>
          <w:sz w:val="18"/>
          <w:szCs w:val="18"/>
        </w:rPr>
        <w:t>’</w:t>
      </w:r>
      <w:r>
        <w:rPr>
          <w:sz w:val="18"/>
          <w:szCs w:val="18"/>
        </w:rPr>
        <w:t>elles aient été reçues ou non ; l</w:t>
      </w:r>
      <w:r w:rsidR="00AD4C35">
        <w:rPr>
          <w:sz w:val="18"/>
          <w:szCs w:val="18"/>
        </w:rPr>
        <w:t>’</w:t>
      </w:r>
      <w:r w:rsidR="00535149">
        <w:rPr>
          <w:sz w:val="18"/>
          <w:szCs w:val="18"/>
        </w:rPr>
        <w:t>a</w:t>
      </w:r>
      <w:r>
        <w:rPr>
          <w:sz w:val="18"/>
          <w:szCs w:val="18"/>
        </w:rPr>
        <w:t>nnexe I</w:t>
      </w:r>
      <w:r w:rsidR="00D12A30">
        <w:rPr>
          <w:sz w:val="18"/>
          <w:szCs w:val="18"/>
        </w:rPr>
        <w:t> </w:t>
      </w:r>
      <w:r>
        <w:rPr>
          <w:sz w:val="18"/>
          <w:szCs w:val="18"/>
        </w:rPr>
        <w:t>/</w:t>
      </w:r>
      <w:r w:rsidR="00D12A30">
        <w:rPr>
          <w:sz w:val="18"/>
          <w:szCs w:val="18"/>
        </w:rPr>
        <w:t> </w:t>
      </w:r>
      <w:r w:rsidR="00535149">
        <w:rPr>
          <w:sz w:val="18"/>
          <w:szCs w:val="18"/>
        </w:rPr>
        <w:t>é</w:t>
      </w:r>
      <w:r>
        <w:rPr>
          <w:sz w:val="18"/>
          <w:szCs w:val="18"/>
        </w:rPr>
        <w:t xml:space="preserve">tat financier II montre que le montant impayé </w:t>
      </w:r>
      <w:r w:rsidR="00535149">
        <w:rPr>
          <w:sz w:val="18"/>
          <w:szCs w:val="18"/>
        </w:rPr>
        <w:t xml:space="preserve">par les </w:t>
      </w:r>
      <w:r>
        <w:rPr>
          <w:sz w:val="18"/>
          <w:szCs w:val="18"/>
        </w:rPr>
        <w:t>États parties et dû au 31 décembre 2017 était de 455 033 dollars des États-Unis. Les contributions volontaires apparaissent en tant que revenus uniquement à la date où elles sont reçues.</w:t>
      </w:r>
    </w:p>
  </w:footnote>
  <w:footnote w:id="3">
    <w:p w14:paraId="0BEA75C9" w14:textId="1A241259" w:rsidR="00A50493" w:rsidRPr="00A50493" w:rsidRDefault="00A50493" w:rsidP="003158BE">
      <w:pPr>
        <w:pStyle w:val="FootnoteText"/>
        <w:spacing w:after="60"/>
        <w:ind w:left="567" w:hanging="567"/>
        <w:jc w:val="both"/>
      </w:pPr>
      <w:r>
        <w:rPr>
          <w:rStyle w:val="FootnoteReference"/>
          <w:rFonts w:ascii="Arial" w:hAnsi="Arial" w:cs="Arial"/>
          <w:sz w:val="18"/>
          <w:szCs w:val="18"/>
          <w:vertAlign w:val="baseline"/>
          <w:lang w:val="en-GB"/>
        </w:rPr>
        <w:footnoteRef/>
      </w:r>
      <w:r w:rsidR="00AD4C35">
        <w:rPr>
          <w:rFonts w:ascii="Arial" w:hAnsi="Arial"/>
          <w:sz w:val="18"/>
          <w:szCs w:val="18"/>
        </w:rPr>
        <w:t>.</w:t>
      </w:r>
      <w:r w:rsidR="00AD4C35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Annexe II (b) publiée par la Section du patrimoine culturel immatériel (ITH) en tant que complément </w:t>
      </w:r>
      <w:r w:rsidR="003158BE">
        <w:rPr>
          <w:rFonts w:ascii="Arial" w:hAnsi="Arial"/>
          <w:sz w:val="18"/>
          <w:szCs w:val="18"/>
        </w:rPr>
        <w:t>au</w:t>
      </w:r>
      <w:r>
        <w:rPr>
          <w:rFonts w:ascii="Arial" w:hAnsi="Arial"/>
          <w:sz w:val="18"/>
          <w:szCs w:val="18"/>
        </w:rPr>
        <w:t xml:space="preserve"> rapport financier publié par le Bureau de la gestion financière (BFM)</w:t>
      </w:r>
    </w:p>
  </w:footnote>
  <w:footnote w:id="4">
    <w:p w14:paraId="4D2DB389" w14:textId="77777777" w:rsidR="00ED25A5" w:rsidRPr="000F4858" w:rsidRDefault="00ED25A5" w:rsidP="00C47D45">
      <w:pPr>
        <w:pStyle w:val="FootnoteText"/>
        <w:spacing w:before="60" w:after="60" w:line="240" w:lineRule="auto"/>
        <w:rPr>
          <w:rFonts w:ascii="Arial" w:hAnsi="Arial" w:cs="Arial"/>
          <w:sz w:val="18"/>
          <w:szCs w:val="18"/>
        </w:rPr>
      </w:pPr>
      <w:r>
        <w:rPr>
          <w:rStyle w:val="FootnoteReference"/>
          <w:rFonts w:ascii="Arial" w:hAnsi="Arial" w:cs="Arial"/>
          <w:sz w:val="18"/>
          <w:szCs w:val="18"/>
          <w:vertAlign w:val="baseline"/>
          <w:lang w:val="en-GB"/>
        </w:rPr>
        <w:footnoteRef/>
      </w:r>
      <w:r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ab/>
        <w:t>Contributions financières reçues pendant la période concernée par ce rapport.</w:t>
      </w:r>
    </w:p>
  </w:footnote>
  <w:footnote w:id="5">
    <w:p w14:paraId="6D4D6370" w14:textId="74E0A27E" w:rsidR="00E56876" w:rsidRPr="000F4858" w:rsidRDefault="00E56876" w:rsidP="00C47D45">
      <w:pPr>
        <w:pStyle w:val="FootnoteText"/>
        <w:spacing w:before="60" w:after="60" w:line="240" w:lineRule="auto"/>
        <w:rPr>
          <w:sz w:val="18"/>
          <w:szCs w:val="18"/>
        </w:rPr>
      </w:pPr>
      <w:r>
        <w:rPr>
          <w:rFonts w:ascii="Arial" w:hAnsi="Arial" w:cs="Arial"/>
          <w:sz w:val="18"/>
          <w:szCs w:val="18"/>
          <w:lang w:val="en-GB"/>
        </w:rPr>
        <w:footnoteRef/>
      </w:r>
      <w:r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ab/>
        <w:t>Personnel</w:t>
      </w:r>
      <w:r w:rsidR="003158BE">
        <w:rPr>
          <w:rFonts w:ascii="Arial" w:hAnsi="Arial"/>
          <w:sz w:val="18"/>
          <w:szCs w:val="18"/>
        </w:rPr>
        <w:t xml:space="preserve"> en poste</w:t>
      </w:r>
      <w:r>
        <w:rPr>
          <w:rFonts w:ascii="Arial" w:hAnsi="Arial"/>
          <w:sz w:val="18"/>
          <w:szCs w:val="18"/>
        </w:rPr>
        <w:t xml:space="preserve"> pendant la période considérée.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3F6B4" w14:textId="66657B9B" w:rsidR="007C3D0C" w:rsidRPr="008029F3" w:rsidRDefault="007C3D0C">
    <w:pPr>
      <w:pStyle w:val="Header"/>
      <w:rPr>
        <w:rFonts w:ascii="Arial" w:hAnsi="Arial" w:cs="Arial"/>
      </w:rPr>
    </w:pPr>
    <w:r>
      <w:rPr>
        <w:rFonts w:ascii="Arial" w:hAnsi="Arial"/>
        <w:sz w:val="20"/>
        <w:szCs w:val="20"/>
      </w:rPr>
      <w:t xml:space="preserve">ITH/18/7.GA/INF.8 – page </w:t>
    </w:r>
    <w:r w:rsidRPr="00A43442">
      <w:rPr>
        <w:rStyle w:val="PageNumber"/>
        <w:rFonts w:ascii="Arial" w:hAnsi="Arial" w:cs="Arial"/>
        <w:sz w:val="20"/>
        <w:szCs w:val="20"/>
      </w:rPr>
      <w:fldChar w:fldCharType="begin"/>
    </w:r>
    <w:r w:rsidRPr="00A43442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A43442">
      <w:rPr>
        <w:rStyle w:val="PageNumber"/>
        <w:rFonts w:ascii="Arial" w:hAnsi="Arial" w:cs="Arial"/>
        <w:sz w:val="20"/>
        <w:szCs w:val="20"/>
      </w:rPr>
      <w:fldChar w:fldCharType="separate"/>
    </w:r>
    <w:r w:rsidR="0045041C">
      <w:rPr>
        <w:rStyle w:val="PageNumber"/>
        <w:rFonts w:ascii="Arial" w:hAnsi="Arial" w:cs="Arial"/>
        <w:noProof/>
        <w:sz w:val="20"/>
        <w:szCs w:val="20"/>
      </w:rPr>
      <w:t>12</w:t>
    </w:r>
    <w:r w:rsidRPr="00A43442">
      <w:rPr>
        <w:rStyle w:val="PageNumber"/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B0A73" w14:textId="6962F1CF" w:rsidR="007C3D0C" w:rsidRPr="008029F3" w:rsidRDefault="001764B7" w:rsidP="008029F3">
    <w:pPr>
      <w:pStyle w:val="Header"/>
      <w:jc w:val="right"/>
      <w:rPr>
        <w:rFonts w:ascii="Arial" w:hAnsi="Arial" w:cs="Arial"/>
      </w:rPr>
    </w:pPr>
    <w:r>
      <w:rPr>
        <w:rFonts w:ascii="Arial" w:hAnsi="Arial"/>
        <w:sz w:val="20"/>
        <w:szCs w:val="20"/>
      </w:rPr>
      <w:t xml:space="preserve">ITH/18/7.GA/INF.8 – page </w:t>
    </w:r>
    <w:r w:rsidR="007C3D0C" w:rsidRPr="00EF563B">
      <w:rPr>
        <w:rStyle w:val="PageNumber"/>
        <w:rFonts w:ascii="Arial" w:hAnsi="Arial" w:cs="Arial"/>
        <w:sz w:val="20"/>
        <w:szCs w:val="20"/>
      </w:rPr>
      <w:fldChar w:fldCharType="begin"/>
    </w:r>
    <w:r w:rsidR="007C3D0C" w:rsidRPr="00EF563B">
      <w:rPr>
        <w:rStyle w:val="PageNumber"/>
        <w:rFonts w:ascii="Arial" w:hAnsi="Arial" w:cs="Arial"/>
        <w:sz w:val="20"/>
        <w:szCs w:val="20"/>
      </w:rPr>
      <w:instrText xml:space="preserve"> </w:instrText>
    </w:r>
    <w:r w:rsidR="007C3D0C">
      <w:rPr>
        <w:rStyle w:val="PageNumber"/>
        <w:rFonts w:ascii="Arial" w:hAnsi="Arial" w:cs="Arial"/>
        <w:sz w:val="20"/>
        <w:szCs w:val="20"/>
      </w:rPr>
      <w:instrText>PAGE</w:instrText>
    </w:r>
    <w:r w:rsidR="007C3D0C" w:rsidRPr="00EF563B">
      <w:rPr>
        <w:rStyle w:val="PageNumber"/>
        <w:rFonts w:ascii="Arial" w:hAnsi="Arial" w:cs="Arial"/>
        <w:sz w:val="20"/>
        <w:szCs w:val="20"/>
      </w:rPr>
      <w:instrText xml:space="preserve"> </w:instrText>
    </w:r>
    <w:r w:rsidR="007C3D0C" w:rsidRPr="00EF563B">
      <w:rPr>
        <w:rStyle w:val="PageNumber"/>
        <w:rFonts w:ascii="Arial" w:hAnsi="Arial" w:cs="Arial"/>
        <w:sz w:val="20"/>
        <w:szCs w:val="20"/>
      </w:rPr>
      <w:fldChar w:fldCharType="separate"/>
    </w:r>
    <w:r w:rsidR="0045041C">
      <w:rPr>
        <w:rStyle w:val="PageNumber"/>
        <w:rFonts w:ascii="Arial" w:hAnsi="Arial" w:cs="Arial"/>
        <w:noProof/>
        <w:sz w:val="20"/>
        <w:szCs w:val="20"/>
      </w:rPr>
      <w:t>13</w:t>
    </w:r>
    <w:r w:rsidR="007C3D0C" w:rsidRPr="00EF563B">
      <w:rPr>
        <w:rStyle w:val="PageNumber"/>
        <w:rFonts w:ascii="Arial" w:hAnsi="Arial"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4905F" w14:textId="6FBFE2D0" w:rsidR="007C3D0C" w:rsidRPr="008724E5" w:rsidRDefault="00AC00E6">
    <w:pPr>
      <w:pStyle w:val="Header"/>
    </w:pPr>
    <w:r>
      <w:rPr>
        <w:noProof/>
        <w:lang w:val="en-US" w:eastAsia="ko-KR"/>
      </w:rPr>
      <w:drawing>
        <wp:anchor distT="0" distB="0" distL="114300" distR="114300" simplePos="0" relativeHeight="251659264" behindDoc="0" locked="0" layoutInCell="1" allowOverlap="1" wp14:anchorId="77D726FA" wp14:editId="479CEBE3">
          <wp:simplePos x="0" y="0"/>
          <wp:positionH relativeFrom="page">
            <wp:posOffset>342265</wp:posOffset>
          </wp:positionH>
          <wp:positionV relativeFrom="page">
            <wp:posOffset>255905</wp:posOffset>
          </wp:positionV>
          <wp:extent cx="2037600" cy="1530000"/>
          <wp:effectExtent l="0" t="0" r="1270" b="0"/>
          <wp:wrapNone/>
          <wp:docPr id="8" name="Picture 15" descr="unesco_logo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esco_logo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600" cy="15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A363BA" w14:textId="0CC1E2E3" w:rsidR="007C3D0C" w:rsidRPr="008C05E5" w:rsidRDefault="0088082E" w:rsidP="00AD4C35">
    <w:pPr>
      <w:pStyle w:val="Header"/>
      <w:tabs>
        <w:tab w:val="left" w:pos="450"/>
        <w:tab w:val="right" w:pos="9638"/>
      </w:tabs>
      <w:spacing w:after="520"/>
      <w:jc w:val="right"/>
      <w:rPr>
        <w:rFonts w:ascii="Arial" w:hAnsi="Arial" w:cs="Arial"/>
        <w:b/>
        <w:sz w:val="44"/>
        <w:szCs w:val="44"/>
        <w:lang w:val="nl-NL"/>
      </w:rPr>
    </w:pPr>
    <w:r w:rsidRPr="008C05E5">
      <w:rPr>
        <w:rFonts w:ascii="Arial" w:hAnsi="Arial"/>
        <w:b/>
        <w:sz w:val="44"/>
        <w:szCs w:val="44"/>
        <w:lang w:val="nl-NL"/>
      </w:rPr>
      <w:t xml:space="preserve">7 </w:t>
    </w:r>
    <w:proofErr w:type="gramStart"/>
    <w:r w:rsidRPr="008C05E5">
      <w:rPr>
        <w:rFonts w:ascii="Arial" w:hAnsi="Arial"/>
        <w:b/>
        <w:sz w:val="44"/>
        <w:szCs w:val="44"/>
        <w:lang w:val="nl-NL"/>
      </w:rPr>
      <w:t>GA</w:t>
    </w:r>
    <w:proofErr w:type="gramEnd"/>
  </w:p>
  <w:p w14:paraId="0235C0E6" w14:textId="29C8710D" w:rsidR="007C3D0C" w:rsidRPr="008C05E5" w:rsidRDefault="007C3D0C" w:rsidP="002D396D">
    <w:pPr>
      <w:spacing w:after="0"/>
      <w:jc w:val="right"/>
      <w:rPr>
        <w:rFonts w:ascii="Arial" w:hAnsi="Arial" w:cs="Arial"/>
        <w:b/>
        <w:szCs w:val="22"/>
        <w:lang w:val="nl-NL"/>
      </w:rPr>
    </w:pPr>
    <w:r w:rsidRPr="008C05E5">
      <w:rPr>
        <w:rFonts w:ascii="Arial" w:hAnsi="Arial"/>
        <w:b/>
        <w:szCs w:val="22"/>
        <w:lang w:val="nl-NL"/>
      </w:rPr>
      <w:t>ITH/18/7.GA/INF.8</w:t>
    </w:r>
  </w:p>
  <w:p w14:paraId="6335E15D" w14:textId="3ACDA1BE" w:rsidR="007C3D0C" w:rsidRPr="008C05E5" w:rsidRDefault="007C3D0C" w:rsidP="00110A34">
    <w:pPr>
      <w:spacing w:after="0"/>
      <w:jc w:val="right"/>
      <w:rPr>
        <w:rFonts w:ascii="Arial" w:hAnsi="Arial" w:cs="Arial"/>
        <w:b/>
        <w:szCs w:val="22"/>
        <w:lang w:val="nl-NL"/>
      </w:rPr>
    </w:pPr>
    <w:r w:rsidRPr="008C05E5">
      <w:rPr>
        <w:rFonts w:ascii="Arial" w:hAnsi="Arial"/>
        <w:b/>
        <w:szCs w:val="22"/>
        <w:lang w:val="nl-NL"/>
      </w:rPr>
      <w:t xml:space="preserve">Paris, </w:t>
    </w:r>
    <w:proofErr w:type="spellStart"/>
    <w:r w:rsidR="002E555D">
      <w:rPr>
        <w:rFonts w:ascii="Arial" w:hAnsi="Arial"/>
        <w:b/>
        <w:szCs w:val="22"/>
        <w:lang w:val="nl-NL"/>
      </w:rPr>
      <w:t>le</w:t>
    </w:r>
    <w:proofErr w:type="spellEnd"/>
    <w:r w:rsidR="002E555D">
      <w:rPr>
        <w:rFonts w:ascii="Arial" w:hAnsi="Arial"/>
        <w:b/>
        <w:szCs w:val="22"/>
        <w:lang w:val="nl-NL"/>
      </w:rPr>
      <w:t xml:space="preserve"> </w:t>
    </w:r>
    <w:r w:rsidR="00110A34" w:rsidRPr="00AB5FA7">
      <w:rPr>
        <w:rFonts w:ascii="Arial" w:hAnsi="Arial"/>
        <w:b/>
        <w:szCs w:val="22"/>
        <w:lang w:val="nl-NL"/>
      </w:rPr>
      <w:t>4</w:t>
    </w:r>
    <w:r w:rsidR="00110A34" w:rsidRPr="00AB5FA7">
      <w:rPr>
        <w:rFonts w:ascii="Arial" w:hAnsi="Arial"/>
        <w:b/>
        <w:szCs w:val="22"/>
        <w:lang w:val="nl-NL"/>
      </w:rPr>
      <w:t xml:space="preserve"> </w:t>
    </w:r>
    <w:proofErr w:type="spellStart"/>
    <w:r w:rsidR="002E555D" w:rsidRPr="00AB5FA7">
      <w:rPr>
        <w:rFonts w:ascii="Arial" w:hAnsi="Arial"/>
        <w:b/>
        <w:szCs w:val="22"/>
        <w:lang w:val="nl-NL"/>
      </w:rPr>
      <w:t>mai</w:t>
    </w:r>
    <w:proofErr w:type="spellEnd"/>
    <w:r w:rsidRPr="008C05E5">
      <w:rPr>
        <w:rFonts w:ascii="Arial" w:hAnsi="Arial"/>
        <w:b/>
        <w:szCs w:val="22"/>
        <w:lang w:val="nl-NL"/>
      </w:rPr>
      <w:t xml:space="preserve"> 2018</w:t>
    </w:r>
  </w:p>
  <w:p w14:paraId="25139444" w14:textId="7035CBC0" w:rsidR="007C3D0C" w:rsidRDefault="007C3D0C" w:rsidP="002D396D">
    <w:pPr>
      <w:spacing w:after="0"/>
      <w:jc w:val="right"/>
      <w:rPr>
        <w:rFonts w:ascii="Arial" w:hAnsi="Arial"/>
        <w:b/>
        <w:szCs w:val="22"/>
      </w:rPr>
    </w:pPr>
    <w:r>
      <w:rPr>
        <w:rFonts w:ascii="Arial" w:hAnsi="Arial"/>
        <w:b/>
        <w:szCs w:val="22"/>
      </w:rPr>
      <w:t>Original : anglais</w:t>
    </w:r>
  </w:p>
  <w:p w14:paraId="5AD68ADF" w14:textId="77777777" w:rsidR="00AD4C35" w:rsidRPr="00AD4C35" w:rsidRDefault="00AD4C35" w:rsidP="00AD4C35">
    <w:pPr>
      <w:spacing w:after="0"/>
      <w:rPr>
        <w:bCs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B1C9C"/>
    <w:multiLevelType w:val="hybridMultilevel"/>
    <w:tmpl w:val="F60E309C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11AC23FD"/>
    <w:multiLevelType w:val="hybridMultilevel"/>
    <w:tmpl w:val="50705A4A"/>
    <w:lvl w:ilvl="0" w:tplc="0AAA5900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b w:val="0"/>
      </w:rPr>
    </w:lvl>
    <w:lvl w:ilvl="1" w:tplc="BB401AD4">
      <w:start w:val="1"/>
      <w:numFmt w:val="bullet"/>
      <w:lvlText w:val="-"/>
      <w:lvlJc w:val="left"/>
      <w:pPr>
        <w:tabs>
          <w:tab w:val="num" w:pos="1083"/>
        </w:tabs>
        <w:ind w:left="1083" w:hanging="360"/>
      </w:pPr>
      <w:rPr>
        <w:rFonts w:ascii="Arial" w:eastAsia="Times New Roman" w:hAnsi="Arial" w:cs="Arial" w:hint="default"/>
      </w:rPr>
    </w:lvl>
    <w:lvl w:ilvl="2" w:tplc="0CD4806C">
      <w:start w:val="1"/>
      <w:numFmt w:val="lowerLetter"/>
      <w:lvlText w:val="%3)"/>
      <w:lvlJc w:val="left"/>
      <w:pPr>
        <w:ind w:left="198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" w15:restartNumberingAfterBreak="0">
    <w:nsid w:val="1C075DAB"/>
    <w:multiLevelType w:val="hybridMultilevel"/>
    <w:tmpl w:val="5804FE3C"/>
    <w:lvl w:ilvl="0" w:tplc="1E1EE1A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EC52FED"/>
    <w:multiLevelType w:val="hybridMultilevel"/>
    <w:tmpl w:val="7624C5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1F70952"/>
    <w:multiLevelType w:val="hybridMultilevel"/>
    <w:tmpl w:val="5D06041C"/>
    <w:lvl w:ilvl="0" w:tplc="D12074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24080"/>
    <w:multiLevelType w:val="hybridMultilevel"/>
    <w:tmpl w:val="516031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07BFE"/>
    <w:multiLevelType w:val="hybridMultilevel"/>
    <w:tmpl w:val="6CC67502"/>
    <w:lvl w:ilvl="0" w:tplc="3864E488">
      <w:start w:val="1"/>
      <w:numFmt w:val="decimal"/>
      <w:pStyle w:val="1GAPara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54BE1"/>
    <w:multiLevelType w:val="hybridMultilevel"/>
    <w:tmpl w:val="8766C2DA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1BD40C5"/>
    <w:multiLevelType w:val="hybridMultilevel"/>
    <w:tmpl w:val="68923BB4"/>
    <w:lvl w:ilvl="0" w:tplc="1176456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71665"/>
    <w:multiLevelType w:val="hybridMultilevel"/>
    <w:tmpl w:val="7340C63C"/>
    <w:lvl w:ilvl="0" w:tplc="D04ECF5C">
      <w:start w:val="1"/>
      <w:numFmt w:val="decimal"/>
      <w:pStyle w:val="ListParagraph"/>
      <w:lvlText w:val="%1."/>
      <w:lvlJc w:val="left"/>
      <w:pPr>
        <w:ind w:left="502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02196"/>
    <w:multiLevelType w:val="hybridMultilevel"/>
    <w:tmpl w:val="4EDA57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4573A"/>
    <w:multiLevelType w:val="hybridMultilevel"/>
    <w:tmpl w:val="7256B022"/>
    <w:lvl w:ilvl="0" w:tplc="A574CF6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45772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D35B7"/>
    <w:multiLevelType w:val="hybridMultilevel"/>
    <w:tmpl w:val="E40E89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205E8"/>
    <w:multiLevelType w:val="hybridMultilevel"/>
    <w:tmpl w:val="9182B90E"/>
    <w:lvl w:ilvl="0" w:tplc="04090017">
      <w:start w:val="1"/>
      <w:numFmt w:val="lowerLetter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6D826C3"/>
    <w:multiLevelType w:val="hybridMultilevel"/>
    <w:tmpl w:val="68B8CC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F2D2B"/>
    <w:multiLevelType w:val="hybridMultilevel"/>
    <w:tmpl w:val="C562D1DC"/>
    <w:lvl w:ilvl="0" w:tplc="11764566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962713E"/>
    <w:multiLevelType w:val="hybridMultilevel"/>
    <w:tmpl w:val="35E27E5A"/>
    <w:lvl w:ilvl="0" w:tplc="1E1EE1A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6"/>
  </w:num>
  <w:num w:numId="5">
    <w:abstractNumId w:val="14"/>
  </w:num>
  <w:num w:numId="6">
    <w:abstractNumId w:val="0"/>
  </w:num>
  <w:num w:numId="7">
    <w:abstractNumId w:val="3"/>
  </w:num>
  <w:num w:numId="8">
    <w:abstractNumId w:val="6"/>
  </w:num>
  <w:num w:numId="9">
    <w:abstractNumId w:val="9"/>
  </w:num>
  <w:num w:numId="10">
    <w:abstractNumId w:val="1"/>
  </w:num>
  <w:num w:numId="11">
    <w:abstractNumId w:val="8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11"/>
  </w:num>
  <w:num w:numId="18">
    <w:abstractNumId w:val="5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6"/>
    <w:lvlOverride w:ilvl="0">
      <w:startOverride w:val="1"/>
    </w:lvlOverride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15"/>
  </w:num>
  <w:num w:numId="29">
    <w:abstractNumId w:val="13"/>
  </w:num>
  <w:num w:numId="30">
    <w:abstractNumId w:val="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567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96"/>
    <w:rsid w:val="000003ED"/>
    <w:rsid w:val="00000773"/>
    <w:rsid w:val="000016A4"/>
    <w:rsid w:val="000019DB"/>
    <w:rsid w:val="000047CC"/>
    <w:rsid w:val="00012043"/>
    <w:rsid w:val="000120FD"/>
    <w:rsid w:val="000150DA"/>
    <w:rsid w:val="00017560"/>
    <w:rsid w:val="00021831"/>
    <w:rsid w:val="00023505"/>
    <w:rsid w:val="00033DB5"/>
    <w:rsid w:val="000352F3"/>
    <w:rsid w:val="000360C7"/>
    <w:rsid w:val="00047E58"/>
    <w:rsid w:val="000515CF"/>
    <w:rsid w:val="00051C59"/>
    <w:rsid w:val="00066857"/>
    <w:rsid w:val="000673E9"/>
    <w:rsid w:val="00073900"/>
    <w:rsid w:val="000739B5"/>
    <w:rsid w:val="00073D20"/>
    <w:rsid w:val="000745F7"/>
    <w:rsid w:val="000755E1"/>
    <w:rsid w:val="00082B3E"/>
    <w:rsid w:val="00085541"/>
    <w:rsid w:val="000913B0"/>
    <w:rsid w:val="000931F0"/>
    <w:rsid w:val="00094E39"/>
    <w:rsid w:val="000A2C3B"/>
    <w:rsid w:val="000A34CE"/>
    <w:rsid w:val="000B52AF"/>
    <w:rsid w:val="000B56F5"/>
    <w:rsid w:val="000B5F6E"/>
    <w:rsid w:val="000C00C7"/>
    <w:rsid w:val="000C1661"/>
    <w:rsid w:val="000C16BE"/>
    <w:rsid w:val="000C3944"/>
    <w:rsid w:val="000C65E4"/>
    <w:rsid w:val="000C7B89"/>
    <w:rsid w:val="000E26B1"/>
    <w:rsid w:val="000E7A8C"/>
    <w:rsid w:val="000F1B54"/>
    <w:rsid w:val="000F4858"/>
    <w:rsid w:val="00105111"/>
    <w:rsid w:val="00106B72"/>
    <w:rsid w:val="00110A34"/>
    <w:rsid w:val="0011750D"/>
    <w:rsid w:val="00117946"/>
    <w:rsid w:val="00121510"/>
    <w:rsid w:val="00131A2D"/>
    <w:rsid w:val="001355B9"/>
    <w:rsid w:val="00135D75"/>
    <w:rsid w:val="001412DE"/>
    <w:rsid w:val="00144A4D"/>
    <w:rsid w:val="00147DFC"/>
    <w:rsid w:val="00151351"/>
    <w:rsid w:val="00157CEB"/>
    <w:rsid w:val="00165E65"/>
    <w:rsid w:val="00174B39"/>
    <w:rsid w:val="001764B7"/>
    <w:rsid w:val="00181704"/>
    <w:rsid w:val="00182574"/>
    <w:rsid w:val="00184D6F"/>
    <w:rsid w:val="00193E58"/>
    <w:rsid w:val="00197D99"/>
    <w:rsid w:val="001A378D"/>
    <w:rsid w:val="001A431C"/>
    <w:rsid w:val="001B2BB0"/>
    <w:rsid w:val="001B67EB"/>
    <w:rsid w:val="001C0176"/>
    <w:rsid w:val="001C521C"/>
    <w:rsid w:val="001D00B5"/>
    <w:rsid w:val="001D3B29"/>
    <w:rsid w:val="001E4EEB"/>
    <w:rsid w:val="001E56A1"/>
    <w:rsid w:val="001F044D"/>
    <w:rsid w:val="001F37CA"/>
    <w:rsid w:val="00201081"/>
    <w:rsid w:val="002019ED"/>
    <w:rsid w:val="002023E2"/>
    <w:rsid w:val="00213471"/>
    <w:rsid w:val="00220B91"/>
    <w:rsid w:val="002259FA"/>
    <w:rsid w:val="00227D89"/>
    <w:rsid w:val="00230762"/>
    <w:rsid w:val="00232B6D"/>
    <w:rsid w:val="002374DE"/>
    <w:rsid w:val="00240372"/>
    <w:rsid w:val="002556CF"/>
    <w:rsid w:val="0027198B"/>
    <w:rsid w:val="00281C9D"/>
    <w:rsid w:val="00286C0C"/>
    <w:rsid w:val="00287032"/>
    <w:rsid w:val="00290D5F"/>
    <w:rsid w:val="002938F2"/>
    <w:rsid w:val="002B50BC"/>
    <w:rsid w:val="002B5D8D"/>
    <w:rsid w:val="002C4850"/>
    <w:rsid w:val="002C5280"/>
    <w:rsid w:val="002D396D"/>
    <w:rsid w:val="002D4649"/>
    <w:rsid w:val="002E3266"/>
    <w:rsid w:val="002E3B93"/>
    <w:rsid w:val="002E555D"/>
    <w:rsid w:val="002E62EA"/>
    <w:rsid w:val="002F32BF"/>
    <w:rsid w:val="0030153A"/>
    <w:rsid w:val="0030548A"/>
    <w:rsid w:val="003158BE"/>
    <w:rsid w:val="00320FF9"/>
    <w:rsid w:val="00322A88"/>
    <w:rsid w:val="00336F06"/>
    <w:rsid w:val="003437FD"/>
    <w:rsid w:val="00343E68"/>
    <w:rsid w:val="00355DB7"/>
    <w:rsid w:val="00356DDA"/>
    <w:rsid w:val="00363995"/>
    <w:rsid w:val="00363D8D"/>
    <w:rsid w:val="00363EAB"/>
    <w:rsid w:val="00367A4D"/>
    <w:rsid w:val="00380959"/>
    <w:rsid w:val="00384D5F"/>
    <w:rsid w:val="003878DF"/>
    <w:rsid w:val="0039446E"/>
    <w:rsid w:val="003968A9"/>
    <w:rsid w:val="003B71DB"/>
    <w:rsid w:val="003C7065"/>
    <w:rsid w:val="003D20A6"/>
    <w:rsid w:val="003D3E76"/>
    <w:rsid w:val="003D56A5"/>
    <w:rsid w:val="003E5D80"/>
    <w:rsid w:val="003F1686"/>
    <w:rsid w:val="0040156E"/>
    <w:rsid w:val="004108B6"/>
    <w:rsid w:val="0041339C"/>
    <w:rsid w:val="00417D89"/>
    <w:rsid w:val="00421C3D"/>
    <w:rsid w:val="00426676"/>
    <w:rsid w:val="00431C5E"/>
    <w:rsid w:val="00434773"/>
    <w:rsid w:val="00447630"/>
    <w:rsid w:val="0045041C"/>
    <w:rsid w:val="004543FC"/>
    <w:rsid w:val="00467D19"/>
    <w:rsid w:val="00471B34"/>
    <w:rsid w:val="00485E13"/>
    <w:rsid w:val="00487AF0"/>
    <w:rsid w:val="00493E01"/>
    <w:rsid w:val="0049436B"/>
    <w:rsid w:val="004A5954"/>
    <w:rsid w:val="004B2EBB"/>
    <w:rsid w:val="004B5B99"/>
    <w:rsid w:val="004C00BD"/>
    <w:rsid w:val="004C0380"/>
    <w:rsid w:val="004D17AF"/>
    <w:rsid w:val="004D2D1F"/>
    <w:rsid w:val="004F05D5"/>
    <w:rsid w:val="005016FB"/>
    <w:rsid w:val="00503586"/>
    <w:rsid w:val="005035E7"/>
    <w:rsid w:val="00511D17"/>
    <w:rsid w:val="005123D8"/>
    <w:rsid w:val="0051699F"/>
    <w:rsid w:val="00522EFF"/>
    <w:rsid w:val="00527699"/>
    <w:rsid w:val="00535149"/>
    <w:rsid w:val="005351A5"/>
    <w:rsid w:val="00552E74"/>
    <w:rsid w:val="00560A33"/>
    <w:rsid w:val="00562C05"/>
    <w:rsid w:val="00564908"/>
    <w:rsid w:val="00565DFE"/>
    <w:rsid w:val="00566CAD"/>
    <w:rsid w:val="0057108D"/>
    <w:rsid w:val="005811A3"/>
    <w:rsid w:val="00586520"/>
    <w:rsid w:val="00590B42"/>
    <w:rsid w:val="005974BB"/>
    <w:rsid w:val="005A4282"/>
    <w:rsid w:val="005A4FE3"/>
    <w:rsid w:val="005A5792"/>
    <w:rsid w:val="005A6B51"/>
    <w:rsid w:val="005A75FE"/>
    <w:rsid w:val="005B32E0"/>
    <w:rsid w:val="005C0660"/>
    <w:rsid w:val="005C08C0"/>
    <w:rsid w:val="005C7FD8"/>
    <w:rsid w:val="005E476B"/>
    <w:rsid w:val="005E5275"/>
    <w:rsid w:val="005E715E"/>
    <w:rsid w:val="005E770E"/>
    <w:rsid w:val="005F084E"/>
    <w:rsid w:val="005F4A48"/>
    <w:rsid w:val="00606A2D"/>
    <w:rsid w:val="00614EE8"/>
    <w:rsid w:val="00616429"/>
    <w:rsid w:val="006257D1"/>
    <w:rsid w:val="0063188F"/>
    <w:rsid w:val="00635379"/>
    <w:rsid w:val="00635A05"/>
    <w:rsid w:val="00640FC5"/>
    <w:rsid w:val="00646C65"/>
    <w:rsid w:val="006506E3"/>
    <w:rsid w:val="006515C9"/>
    <w:rsid w:val="00652318"/>
    <w:rsid w:val="0065545A"/>
    <w:rsid w:val="00657CDC"/>
    <w:rsid w:val="00662221"/>
    <w:rsid w:val="0066451D"/>
    <w:rsid w:val="006645A0"/>
    <w:rsid w:val="006667FE"/>
    <w:rsid w:val="00675C18"/>
    <w:rsid w:val="00676781"/>
    <w:rsid w:val="00691F7A"/>
    <w:rsid w:val="00692D05"/>
    <w:rsid w:val="00697357"/>
    <w:rsid w:val="006B681A"/>
    <w:rsid w:val="006C1111"/>
    <w:rsid w:val="006C75AF"/>
    <w:rsid w:val="006E52BE"/>
    <w:rsid w:val="006F461F"/>
    <w:rsid w:val="006F4B28"/>
    <w:rsid w:val="00700324"/>
    <w:rsid w:val="0070543B"/>
    <w:rsid w:val="00713A15"/>
    <w:rsid w:val="00720710"/>
    <w:rsid w:val="00722604"/>
    <w:rsid w:val="0072307E"/>
    <w:rsid w:val="00727517"/>
    <w:rsid w:val="007409A4"/>
    <w:rsid w:val="00745B5E"/>
    <w:rsid w:val="00746204"/>
    <w:rsid w:val="00747715"/>
    <w:rsid w:val="00750138"/>
    <w:rsid w:val="00753DA3"/>
    <w:rsid w:val="0076103C"/>
    <w:rsid w:val="00764F50"/>
    <w:rsid w:val="0076583F"/>
    <w:rsid w:val="00775E55"/>
    <w:rsid w:val="007819ED"/>
    <w:rsid w:val="00790C65"/>
    <w:rsid w:val="00791613"/>
    <w:rsid w:val="00796AB0"/>
    <w:rsid w:val="007A2F68"/>
    <w:rsid w:val="007A7D45"/>
    <w:rsid w:val="007B1853"/>
    <w:rsid w:val="007C1B00"/>
    <w:rsid w:val="007C3CAC"/>
    <w:rsid w:val="007C3D0C"/>
    <w:rsid w:val="007C7400"/>
    <w:rsid w:val="007D0988"/>
    <w:rsid w:val="007D31CE"/>
    <w:rsid w:val="007D5BB7"/>
    <w:rsid w:val="007D6FEA"/>
    <w:rsid w:val="007E0621"/>
    <w:rsid w:val="007E4DAE"/>
    <w:rsid w:val="007F360A"/>
    <w:rsid w:val="007F4B07"/>
    <w:rsid w:val="007F7483"/>
    <w:rsid w:val="008029F3"/>
    <w:rsid w:val="00806B17"/>
    <w:rsid w:val="00814B19"/>
    <w:rsid w:val="0083488D"/>
    <w:rsid w:val="00840AD1"/>
    <w:rsid w:val="008411AD"/>
    <w:rsid w:val="008466C3"/>
    <w:rsid w:val="00851458"/>
    <w:rsid w:val="00860B4B"/>
    <w:rsid w:val="00861A47"/>
    <w:rsid w:val="008707FF"/>
    <w:rsid w:val="008724E5"/>
    <w:rsid w:val="00873F4B"/>
    <w:rsid w:val="008767B0"/>
    <w:rsid w:val="0088048E"/>
    <w:rsid w:val="0088082E"/>
    <w:rsid w:val="00881905"/>
    <w:rsid w:val="00883D72"/>
    <w:rsid w:val="00885ED2"/>
    <w:rsid w:val="00890BF2"/>
    <w:rsid w:val="008C05E5"/>
    <w:rsid w:val="008C6632"/>
    <w:rsid w:val="008D07BF"/>
    <w:rsid w:val="008E324E"/>
    <w:rsid w:val="008F16C6"/>
    <w:rsid w:val="008F1A0A"/>
    <w:rsid w:val="008F34A1"/>
    <w:rsid w:val="009121CE"/>
    <w:rsid w:val="00914E97"/>
    <w:rsid w:val="00916940"/>
    <w:rsid w:val="00920025"/>
    <w:rsid w:val="009220D0"/>
    <w:rsid w:val="00924A13"/>
    <w:rsid w:val="009303FA"/>
    <w:rsid w:val="00930F1B"/>
    <w:rsid w:val="00934420"/>
    <w:rsid w:val="009351D0"/>
    <w:rsid w:val="00941F83"/>
    <w:rsid w:val="00943DDE"/>
    <w:rsid w:val="00943E22"/>
    <w:rsid w:val="00946FE2"/>
    <w:rsid w:val="00950E8A"/>
    <w:rsid w:val="00952878"/>
    <w:rsid w:val="009538D7"/>
    <w:rsid w:val="00955C4A"/>
    <w:rsid w:val="00965BC4"/>
    <w:rsid w:val="009676AA"/>
    <w:rsid w:val="00971848"/>
    <w:rsid w:val="00972164"/>
    <w:rsid w:val="0097349C"/>
    <w:rsid w:val="00974675"/>
    <w:rsid w:val="00974D46"/>
    <w:rsid w:val="009775D2"/>
    <w:rsid w:val="00977CAF"/>
    <w:rsid w:val="0099306A"/>
    <w:rsid w:val="009952BB"/>
    <w:rsid w:val="009A4F68"/>
    <w:rsid w:val="009B0C6B"/>
    <w:rsid w:val="009B2655"/>
    <w:rsid w:val="009B3DBC"/>
    <w:rsid w:val="009B4607"/>
    <w:rsid w:val="009B7183"/>
    <w:rsid w:val="009C5C23"/>
    <w:rsid w:val="009C6D4F"/>
    <w:rsid w:val="009D5E38"/>
    <w:rsid w:val="009E3180"/>
    <w:rsid w:val="009F261A"/>
    <w:rsid w:val="009F3117"/>
    <w:rsid w:val="009F3988"/>
    <w:rsid w:val="00A009CA"/>
    <w:rsid w:val="00A02EB7"/>
    <w:rsid w:val="00A1010A"/>
    <w:rsid w:val="00A150C7"/>
    <w:rsid w:val="00A22F99"/>
    <w:rsid w:val="00A258D0"/>
    <w:rsid w:val="00A36534"/>
    <w:rsid w:val="00A37D3F"/>
    <w:rsid w:val="00A43442"/>
    <w:rsid w:val="00A50493"/>
    <w:rsid w:val="00A51251"/>
    <w:rsid w:val="00A519A2"/>
    <w:rsid w:val="00A62B0F"/>
    <w:rsid w:val="00A64B40"/>
    <w:rsid w:val="00A6732A"/>
    <w:rsid w:val="00A70883"/>
    <w:rsid w:val="00A70C0F"/>
    <w:rsid w:val="00A77AEB"/>
    <w:rsid w:val="00A81B23"/>
    <w:rsid w:val="00A85A10"/>
    <w:rsid w:val="00A962A0"/>
    <w:rsid w:val="00AA0F8C"/>
    <w:rsid w:val="00AA444A"/>
    <w:rsid w:val="00AA5EAA"/>
    <w:rsid w:val="00AB1528"/>
    <w:rsid w:val="00AB1552"/>
    <w:rsid w:val="00AB2E75"/>
    <w:rsid w:val="00AB5FA7"/>
    <w:rsid w:val="00AC00E6"/>
    <w:rsid w:val="00AC0369"/>
    <w:rsid w:val="00AC1196"/>
    <w:rsid w:val="00AC27F5"/>
    <w:rsid w:val="00AC5B2A"/>
    <w:rsid w:val="00AD4C35"/>
    <w:rsid w:val="00AE1B18"/>
    <w:rsid w:val="00AE5198"/>
    <w:rsid w:val="00AF0BD4"/>
    <w:rsid w:val="00AF1C32"/>
    <w:rsid w:val="00B11AE3"/>
    <w:rsid w:val="00B13AE2"/>
    <w:rsid w:val="00B23BA6"/>
    <w:rsid w:val="00B24C93"/>
    <w:rsid w:val="00B266C4"/>
    <w:rsid w:val="00B27C85"/>
    <w:rsid w:val="00B34DAC"/>
    <w:rsid w:val="00B35FB9"/>
    <w:rsid w:val="00B4182F"/>
    <w:rsid w:val="00B53231"/>
    <w:rsid w:val="00B60DFE"/>
    <w:rsid w:val="00B6167A"/>
    <w:rsid w:val="00B6186A"/>
    <w:rsid w:val="00B63FE2"/>
    <w:rsid w:val="00B642A7"/>
    <w:rsid w:val="00B706BE"/>
    <w:rsid w:val="00B74EEE"/>
    <w:rsid w:val="00B87C76"/>
    <w:rsid w:val="00B947AB"/>
    <w:rsid w:val="00B96FB2"/>
    <w:rsid w:val="00B973B5"/>
    <w:rsid w:val="00BA5145"/>
    <w:rsid w:val="00BB2119"/>
    <w:rsid w:val="00BF0559"/>
    <w:rsid w:val="00BF114B"/>
    <w:rsid w:val="00BF3CC7"/>
    <w:rsid w:val="00BF683C"/>
    <w:rsid w:val="00C00E16"/>
    <w:rsid w:val="00C14508"/>
    <w:rsid w:val="00C34F50"/>
    <w:rsid w:val="00C369CA"/>
    <w:rsid w:val="00C47D45"/>
    <w:rsid w:val="00C53A06"/>
    <w:rsid w:val="00C560D0"/>
    <w:rsid w:val="00C56C5D"/>
    <w:rsid w:val="00C60906"/>
    <w:rsid w:val="00C630AC"/>
    <w:rsid w:val="00C6478B"/>
    <w:rsid w:val="00C7473A"/>
    <w:rsid w:val="00C86D52"/>
    <w:rsid w:val="00C9054C"/>
    <w:rsid w:val="00C92F14"/>
    <w:rsid w:val="00C96650"/>
    <w:rsid w:val="00CA4F7D"/>
    <w:rsid w:val="00CB0F37"/>
    <w:rsid w:val="00CB3DA6"/>
    <w:rsid w:val="00CB3F45"/>
    <w:rsid w:val="00CC2BC6"/>
    <w:rsid w:val="00CC619E"/>
    <w:rsid w:val="00CE126A"/>
    <w:rsid w:val="00CE24A5"/>
    <w:rsid w:val="00CE2586"/>
    <w:rsid w:val="00CE6DE2"/>
    <w:rsid w:val="00CF76A4"/>
    <w:rsid w:val="00D02A61"/>
    <w:rsid w:val="00D061F2"/>
    <w:rsid w:val="00D12A30"/>
    <w:rsid w:val="00D15FE0"/>
    <w:rsid w:val="00D245CD"/>
    <w:rsid w:val="00D2529C"/>
    <w:rsid w:val="00D25677"/>
    <w:rsid w:val="00D30A82"/>
    <w:rsid w:val="00D404B7"/>
    <w:rsid w:val="00D454C3"/>
    <w:rsid w:val="00D542FA"/>
    <w:rsid w:val="00D547A9"/>
    <w:rsid w:val="00D7233B"/>
    <w:rsid w:val="00D74BE6"/>
    <w:rsid w:val="00D76F6A"/>
    <w:rsid w:val="00D809E5"/>
    <w:rsid w:val="00D81948"/>
    <w:rsid w:val="00D9126B"/>
    <w:rsid w:val="00D913CE"/>
    <w:rsid w:val="00D9501F"/>
    <w:rsid w:val="00D9641A"/>
    <w:rsid w:val="00D979B7"/>
    <w:rsid w:val="00DA1123"/>
    <w:rsid w:val="00DA53F5"/>
    <w:rsid w:val="00DA620A"/>
    <w:rsid w:val="00DB50D5"/>
    <w:rsid w:val="00DB572F"/>
    <w:rsid w:val="00DB6039"/>
    <w:rsid w:val="00DC440E"/>
    <w:rsid w:val="00DD001E"/>
    <w:rsid w:val="00DD5B90"/>
    <w:rsid w:val="00DF0688"/>
    <w:rsid w:val="00DF36BC"/>
    <w:rsid w:val="00DF3DA3"/>
    <w:rsid w:val="00E04687"/>
    <w:rsid w:val="00E06A00"/>
    <w:rsid w:val="00E10817"/>
    <w:rsid w:val="00E15D04"/>
    <w:rsid w:val="00E16F28"/>
    <w:rsid w:val="00E21E51"/>
    <w:rsid w:val="00E22742"/>
    <w:rsid w:val="00E22B99"/>
    <w:rsid w:val="00E258D9"/>
    <w:rsid w:val="00E3572C"/>
    <w:rsid w:val="00E439CA"/>
    <w:rsid w:val="00E51B44"/>
    <w:rsid w:val="00E5219B"/>
    <w:rsid w:val="00E56876"/>
    <w:rsid w:val="00E605C7"/>
    <w:rsid w:val="00E65735"/>
    <w:rsid w:val="00E74547"/>
    <w:rsid w:val="00E77AB0"/>
    <w:rsid w:val="00E8636E"/>
    <w:rsid w:val="00E867EF"/>
    <w:rsid w:val="00EA198F"/>
    <w:rsid w:val="00EB3A0A"/>
    <w:rsid w:val="00EB74FD"/>
    <w:rsid w:val="00EC718A"/>
    <w:rsid w:val="00ED0231"/>
    <w:rsid w:val="00ED25A5"/>
    <w:rsid w:val="00ED5E9D"/>
    <w:rsid w:val="00EE1372"/>
    <w:rsid w:val="00EE7026"/>
    <w:rsid w:val="00EF0BCB"/>
    <w:rsid w:val="00EF0E74"/>
    <w:rsid w:val="00EF44A6"/>
    <w:rsid w:val="00EF609E"/>
    <w:rsid w:val="00F00E8A"/>
    <w:rsid w:val="00F31AD1"/>
    <w:rsid w:val="00F410D6"/>
    <w:rsid w:val="00F4192C"/>
    <w:rsid w:val="00F41D92"/>
    <w:rsid w:val="00F420C3"/>
    <w:rsid w:val="00F63DDA"/>
    <w:rsid w:val="00F65E74"/>
    <w:rsid w:val="00F70858"/>
    <w:rsid w:val="00F7397F"/>
    <w:rsid w:val="00F75949"/>
    <w:rsid w:val="00F81759"/>
    <w:rsid w:val="00F8650B"/>
    <w:rsid w:val="00F866B1"/>
    <w:rsid w:val="00F941F0"/>
    <w:rsid w:val="00F94578"/>
    <w:rsid w:val="00F94FF9"/>
    <w:rsid w:val="00FD131E"/>
    <w:rsid w:val="00FD5516"/>
    <w:rsid w:val="00FE5AC7"/>
    <w:rsid w:val="00FF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76F6888"/>
  <w15:docId w15:val="{6B882465-2B60-4F4E-A060-E0653235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fr-FR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B99"/>
    <w:pPr>
      <w:spacing w:after="120"/>
    </w:pPr>
    <w:rPr>
      <w:rFonts w:ascii="Times New Roman" w:eastAsia="Times New Roman" w:hAnsi="Times New Roman"/>
      <w:sz w:val="22"/>
      <w:szCs w:val="24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qFormat/>
    <w:rsid w:val="00564DD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aliases w:val="GA Heading"/>
    <w:basedOn w:val="Normal"/>
    <w:next w:val="Normal"/>
    <w:link w:val="Heading4Char"/>
    <w:qFormat/>
    <w:rsid w:val="00F66657"/>
    <w:pPr>
      <w:keepNext/>
      <w:keepLines/>
      <w:tabs>
        <w:tab w:val="left" w:pos="567"/>
      </w:tabs>
      <w:snapToGrid w:val="0"/>
      <w:spacing w:after="240"/>
      <w:outlineLvl w:val="3"/>
    </w:pPr>
    <w:rPr>
      <w:rFonts w:ascii="Arial" w:hAnsi="Arial"/>
      <w:b/>
      <w:bCs/>
      <w:snapToGrid w:val="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24E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rsid w:val="008724E5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8724E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8724E5"/>
    <w:rPr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4E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24E5"/>
    <w:rPr>
      <w:rFonts w:ascii="Tahoma" w:hAnsi="Tahoma" w:cs="Tahoma"/>
      <w:sz w:val="16"/>
      <w:szCs w:val="16"/>
      <w:lang w:val="fr-FR"/>
    </w:rPr>
  </w:style>
  <w:style w:type="paragraph" w:customStyle="1" w:styleId="Sansinterligne1">
    <w:name w:val="Sans interligne1"/>
    <w:uiPriority w:val="1"/>
    <w:qFormat/>
    <w:rsid w:val="006C3FFC"/>
    <w:rPr>
      <w:rFonts w:ascii="Times New Roman" w:eastAsia="Times New Roman" w:hAnsi="Times New Roman"/>
      <w:sz w:val="24"/>
      <w:szCs w:val="24"/>
      <w:lang w:eastAsia="fr-FR"/>
    </w:rPr>
  </w:style>
  <w:style w:type="table" w:styleId="TableGrid">
    <w:name w:val="Table Grid"/>
    <w:basedOn w:val="TableNormal"/>
    <w:uiPriority w:val="59"/>
    <w:rsid w:val="006C3F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semiHidden/>
    <w:rsid w:val="00EF563B"/>
  </w:style>
  <w:style w:type="character" w:customStyle="1" w:styleId="Heading4Char">
    <w:name w:val="Heading 4 Char"/>
    <w:aliases w:val="GA Heading Char"/>
    <w:link w:val="Heading4"/>
    <w:rsid w:val="00F66657"/>
    <w:rPr>
      <w:rFonts w:ascii="Arial" w:eastAsia="Times New Roman" w:hAnsi="Arial"/>
      <w:b/>
      <w:bCs/>
      <w:snapToGrid w:val="0"/>
      <w:sz w:val="22"/>
      <w:szCs w:val="24"/>
      <w:lang w:val="fr-FR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F66657"/>
    <w:pPr>
      <w:ind w:left="720"/>
      <w:contextualSpacing/>
    </w:pPr>
  </w:style>
  <w:style w:type="character" w:customStyle="1" w:styleId="Heading2Char">
    <w:name w:val="Heading 2 Char"/>
    <w:link w:val="Heading2"/>
    <w:uiPriority w:val="9"/>
    <w:semiHidden/>
    <w:rsid w:val="00564DD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b">
    <w:name w:val="(b)"/>
    <w:basedOn w:val="Normal"/>
    <w:rsid w:val="00564DDB"/>
    <w:pPr>
      <w:tabs>
        <w:tab w:val="left" w:pos="-737"/>
        <w:tab w:val="left" w:pos="1134"/>
      </w:tabs>
      <w:snapToGrid w:val="0"/>
      <w:spacing w:after="240"/>
      <w:ind w:left="1134" w:hanging="567"/>
      <w:jc w:val="both"/>
    </w:pPr>
    <w:rPr>
      <w:rFonts w:ascii="Arial" w:hAnsi="Arial"/>
      <w:snapToGrid w:val="0"/>
      <w:lang w:eastAsia="en-US"/>
    </w:rPr>
  </w:style>
  <w:style w:type="paragraph" w:customStyle="1" w:styleId="Par">
    <w:name w:val="Par"/>
    <w:basedOn w:val="Normal"/>
    <w:rsid w:val="00564DDB"/>
    <w:pPr>
      <w:tabs>
        <w:tab w:val="left" w:pos="567"/>
      </w:tabs>
      <w:snapToGrid w:val="0"/>
      <w:spacing w:after="240"/>
      <w:ind w:firstLine="567"/>
      <w:jc w:val="both"/>
    </w:pPr>
    <w:rPr>
      <w:rFonts w:ascii="Arial" w:hAnsi="Arial"/>
      <w:snapToGrid w:val="0"/>
      <w:lang w:eastAsia="en-US"/>
    </w:rPr>
  </w:style>
  <w:style w:type="paragraph" w:customStyle="1" w:styleId="Marge">
    <w:name w:val="Marge"/>
    <w:basedOn w:val="Par"/>
    <w:rsid w:val="00564DDB"/>
    <w:pPr>
      <w:ind w:firstLine="0"/>
    </w:pPr>
  </w:style>
  <w:style w:type="paragraph" w:customStyle="1" w:styleId="TIRETbul1cm">
    <w:name w:val="TIRET bul 1cm"/>
    <w:basedOn w:val="Normal"/>
    <w:rsid w:val="00564DDB"/>
    <w:pPr>
      <w:numPr>
        <w:numId w:val="6"/>
      </w:numPr>
      <w:tabs>
        <w:tab w:val="left" w:pos="851"/>
      </w:tabs>
      <w:adjustRightInd w:val="0"/>
      <w:snapToGrid w:val="0"/>
      <w:spacing w:after="240"/>
      <w:jc w:val="both"/>
    </w:pPr>
    <w:rPr>
      <w:rFonts w:ascii="Arial" w:eastAsia="SimSun" w:hAnsi="Arial"/>
      <w:snapToGrid w:val="0"/>
      <w:lang w:eastAsia="zh-CN"/>
    </w:rPr>
  </w:style>
  <w:style w:type="character" w:customStyle="1" w:styleId="apple-style-span">
    <w:name w:val="apple-style-span"/>
    <w:basedOn w:val="DefaultParagraphFont"/>
    <w:rsid w:val="00564DDB"/>
  </w:style>
  <w:style w:type="character" w:customStyle="1" w:styleId="apple-converted-space">
    <w:name w:val="apple-converted-space"/>
    <w:basedOn w:val="DefaultParagraphFont"/>
    <w:rsid w:val="00564DDB"/>
  </w:style>
  <w:style w:type="character" w:styleId="CommentReference">
    <w:name w:val="annotation reference"/>
    <w:rsid w:val="00B11A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1AE3"/>
    <w:rPr>
      <w:sz w:val="20"/>
      <w:szCs w:val="20"/>
    </w:rPr>
  </w:style>
  <w:style w:type="character" w:customStyle="1" w:styleId="CommentTextChar">
    <w:name w:val="Comment Text Char"/>
    <w:link w:val="CommentText"/>
    <w:rsid w:val="00B11AE3"/>
    <w:rPr>
      <w:rFonts w:ascii="Times New Roman" w:eastAsia="Times New Roman" w:hAnsi="Times New Roman"/>
      <w:lang w:val="fr-FR"/>
    </w:rPr>
  </w:style>
  <w:style w:type="paragraph" w:styleId="CommentSubject">
    <w:name w:val="annotation subject"/>
    <w:basedOn w:val="CommentText"/>
    <w:next w:val="CommentText"/>
    <w:link w:val="CommentSubjectChar"/>
    <w:rsid w:val="00B11AE3"/>
    <w:rPr>
      <w:b/>
      <w:bCs/>
    </w:rPr>
  </w:style>
  <w:style w:type="character" w:customStyle="1" w:styleId="CommentSubjectChar">
    <w:name w:val="Comment Subject Char"/>
    <w:link w:val="CommentSubject"/>
    <w:rsid w:val="00B11AE3"/>
    <w:rPr>
      <w:rFonts w:ascii="Times New Roman" w:eastAsia="Times New Roman" w:hAnsi="Times New Roman"/>
      <w:b/>
      <w:bCs/>
      <w:lang w:val="fr-FR"/>
    </w:rPr>
  </w:style>
  <w:style w:type="paragraph" w:customStyle="1" w:styleId="1GAPara">
    <w:name w:val="1. GA Para"/>
    <w:qFormat/>
    <w:rsid w:val="00E22B99"/>
    <w:pPr>
      <w:numPr>
        <w:numId w:val="8"/>
      </w:numPr>
      <w:spacing w:after="120"/>
      <w:ind w:left="567" w:hanging="567"/>
    </w:pPr>
    <w:rPr>
      <w:rFonts w:ascii="Arial" w:eastAsia="Times New Roman" w:hAnsi="Arial" w:cs="Arial"/>
      <w:snapToGrid w:val="0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5A5792"/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link w:val="NoSpacing"/>
    <w:uiPriority w:val="1"/>
    <w:locked/>
    <w:rsid w:val="005A5792"/>
    <w:rPr>
      <w:rFonts w:ascii="Times New Roman" w:eastAsia="Times New Roman" w:hAnsi="Times New Roman"/>
      <w:sz w:val="24"/>
      <w:szCs w:val="24"/>
    </w:rPr>
  </w:style>
  <w:style w:type="paragraph" w:customStyle="1" w:styleId="Pranumrotrecommenc1">
    <w:name w:val="Pra numéroté recommencé à 1"/>
    <w:basedOn w:val="Normal"/>
    <w:rsid w:val="005A5792"/>
    <w:pPr>
      <w:tabs>
        <w:tab w:val="num" w:pos="360"/>
      </w:tabs>
      <w:spacing w:after="0"/>
      <w:ind w:left="360" w:hanging="360"/>
    </w:pPr>
    <w:rPr>
      <w:rFonts w:ascii="Arial" w:hAnsi="Arial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5A5792"/>
    <w:pPr>
      <w:spacing w:after="200" w:line="276" w:lineRule="auto"/>
    </w:pPr>
    <w:rPr>
      <w:rFonts w:ascii="Calibri" w:eastAsia="SimSun" w:hAnsi="Calibri"/>
      <w:sz w:val="20"/>
      <w:szCs w:val="20"/>
      <w:lang w:eastAsia="zh-CN"/>
    </w:rPr>
  </w:style>
  <w:style w:type="character" w:customStyle="1" w:styleId="FootnoteTextChar">
    <w:name w:val="Footnote Text Char"/>
    <w:link w:val="FootnoteText"/>
    <w:uiPriority w:val="99"/>
    <w:rsid w:val="005A5792"/>
    <w:rPr>
      <w:lang w:val="fr-FR" w:eastAsia="zh-CN"/>
    </w:rPr>
  </w:style>
  <w:style w:type="character" w:styleId="FootnoteReference">
    <w:name w:val="footnote reference"/>
    <w:uiPriority w:val="99"/>
    <w:unhideWhenUsed/>
    <w:rsid w:val="005A5792"/>
    <w:rPr>
      <w:vertAlign w:val="superscript"/>
    </w:rPr>
  </w:style>
  <w:style w:type="paragraph" w:styleId="ListParagraph">
    <w:name w:val="List Paragraph"/>
    <w:basedOn w:val="Marge"/>
    <w:qFormat/>
    <w:rsid w:val="00193E58"/>
    <w:pPr>
      <w:numPr>
        <w:numId w:val="9"/>
      </w:numPr>
      <w:spacing w:after="120"/>
    </w:pPr>
    <w:rPr>
      <w:rFonts w:cs="Arial"/>
      <w:szCs w:val="22"/>
    </w:rPr>
  </w:style>
  <w:style w:type="paragraph" w:customStyle="1" w:styleId="Default">
    <w:name w:val="Default"/>
    <w:uiPriority w:val="99"/>
    <w:rsid w:val="005A57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Paragraph">
    <w:name w:val="Paragraph"/>
    <w:basedOn w:val="Default"/>
    <w:link w:val="ParagraphChar"/>
    <w:qFormat/>
    <w:rsid w:val="002B50BC"/>
    <w:pPr>
      <w:spacing w:after="240"/>
      <w:jc w:val="both"/>
    </w:pPr>
    <w:rPr>
      <w:bCs/>
      <w:sz w:val="22"/>
      <w:szCs w:val="22"/>
    </w:rPr>
  </w:style>
  <w:style w:type="character" w:customStyle="1" w:styleId="ParagraphChar">
    <w:name w:val="Paragraph Char"/>
    <w:link w:val="Paragraph"/>
    <w:rsid w:val="002B50BC"/>
    <w:rPr>
      <w:rFonts w:ascii="Arial" w:hAnsi="Arial" w:cs="Arial"/>
      <w:bCs/>
      <w:color w:val="000000"/>
      <w:sz w:val="22"/>
      <w:szCs w:val="22"/>
      <w:lang w:eastAsia="zh-CN"/>
    </w:rPr>
  </w:style>
  <w:style w:type="character" w:styleId="Hyperlink">
    <w:name w:val="Hyperlink"/>
    <w:unhideWhenUsed/>
    <w:rsid w:val="00691F7A"/>
    <w:rPr>
      <w:color w:val="0000FF"/>
      <w:u w:val="single"/>
    </w:rPr>
  </w:style>
  <w:style w:type="character" w:customStyle="1" w:styleId="hps">
    <w:name w:val="hps"/>
    <w:rsid w:val="00B706BE"/>
  </w:style>
  <w:style w:type="paragraph" w:styleId="Revision">
    <w:name w:val="Revision"/>
    <w:hidden/>
    <w:uiPriority w:val="99"/>
    <w:semiHidden/>
    <w:rsid w:val="00D9126B"/>
    <w:rPr>
      <w:rFonts w:ascii="Times New Roman" w:eastAsia="Times New Roman" w:hAnsi="Times New Roman"/>
      <w:sz w:val="22"/>
      <w:szCs w:val="24"/>
      <w:lang w:eastAsia="fr-FR"/>
    </w:rPr>
  </w:style>
  <w:style w:type="character" w:styleId="FollowedHyperlink">
    <w:name w:val="FollowedHyperlink"/>
    <w:semiHidden/>
    <w:unhideWhenUsed/>
    <w:rsid w:val="00E65735"/>
    <w:rPr>
      <w:color w:val="800080"/>
      <w:u w:val="single"/>
    </w:rPr>
  </w:style>
  <w:style w:type="paragraph" w:customStyle="1" w:styleId="COMPara">
    <w:name w:val="COM Para"/>
    <w:qFormat/>
    <w:rsid w:val="003F1686"/>
    <w:pPr>
      <w:spacing w:after="120"/>
      <w:ind w:left="567" w:hanging="567"/>
    </w:pPr>
    <w:rPr>
      <w:rFonts w:ascii="Arial" w:eastAsia="Times New Roman" w:hAnsi="Arial" w:cs="Arial"/>
      <w:snapToGrid w:val="0"/>
      <w:sz w:val="22"/>
      <w:szCs w:val="22"/>
      <w:lang w:eastAsia="en-US"/>
    </w:rPr>
  </w:style>
  <w:style w:type="paragraph" w:customStyle="1" w:styleId="Bullet1">
    <w:name w:val="Bullet_1"/>
    <w:basedOn w:val="Marge"/>
    <w:link w:val="Bullet1Char"/>
    <w:qFormat/>
    <w:rsid w:val="006C1111"/>
    <w:pPr>
      <w:numPr>
        <w:numId w:val="17"/>
      </w:numPr>
      <w:tabs>
        <w:tab w:val="clear" w:pos="567"/>
      </w:tabs>
      <w:spacing w:before="240" w:line="360" w:lineRule="auto"/>
    </w:pPr>
    <w:rPr>
      <w:rFonts w:eastAsia="SimSun" w:cs="Arial"/>
      <w:sz w:val="28"/>
      <w:szCs w:val="28"/>
      <w:lang w:eastAsia="zh-CN"/>
    </w:rPr>
  </w:style>
  <w:style w:type="paragraph" w:customStyle="1" w:styleId="Bullet2">
    <w:name w:val="Bullet_2"/>
    <w:basedOn w:val="Marge"/>
    <w:qFormat/>
    <w:rsid w:val="006C1111"/>
    <w:pPr>
      <w:numPr>
        <w:ilvl w:val="1"/>
        <w:numId w:val="17"/>
      </w:numPr>
      <w:tabs>
        <w:tab w:val="clear" w:pos="567"/>
      </w:tabs>
      <w:spacing w:before="240" w:line="360" w:lineRule="auto"/>
    </w:pPr>
    <w:rPr>
      <w:rFonts w:eastAsia="SimSun" w:cs="Arial"/>
      <w:sz w:val="28"/>
      <w:szCs w:val="28"/>
      <w:lang w:eastAsia="zh-CN"/>
    </w:rPr>
  </w:style>
  <w:style w:type="character" w:customStyle="1" w:styleId="Bullet1Char">
    <w:name w:val="Bullet_1 Char"/>
    <w:link w:val="Bullet1"/>
    <w:rsid w:val="006C1111"/>
    <w:rPr>
      <w:rFonts w:ascii="Arial" w:hAnsi="Arial" w:cs="Arial"/>
      <w:snapToGrid w:val="0"/>
      <w:sz w:val="28"/>
      <w:szCs w:val="28"/>
      <w:lang w:val="fr-FR" w:eastAsia="zh-CN"/>
    </w:rPr>
  </w:style>
  <w:style w:type="paragraph" w:customStyle="1" w:styleId="COMParaDecision">
    <w:name w:val="COM Para Decision"/>
    <w:basedOn w:val="Normal"/>
    <w:qFormat/>
    <w:rsid w:val="002E3B93"/>
    <w:pPr>
      <w:autoSpaceDE w:val="0"/>
      <w:autoSpaceDN w:val="0"/>
      <w:adjustRightInd w:val="0"/>
      <w:jc w:val="both"/>
    </w:pPr>
    <w:rPr>
      <w:rFonts w:ascii="Arial" w:eastAsia="SimSun" w:hAnsi="Arial" w:cs="Arial"/>
      <w:szCs w:val="22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A50493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50493"/>
    <w:rPr>
      <w:rFonts w:ascii="Times New Roman" w:eastAsia="Times New Roman" w:hAnsi="Times New Roman"/>
      <w:lang w:val="fr-FR" w:eastAsia="fr-FR"/>
    </w:rPr>
  </w:style>
  <w:style w:type="character" w:styleId="EndnoteReference">
    <w:name w:val="endnote reference"/>
    <w:basedOn w:val="DefaultParagraphFont"/>
    <w:semiHidden/>
    <w:unhideWhenUsed/>
    <w:rsid w:val="00A504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1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6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ch.unesco.org/fr/Decisions/10.COM/8" TargetMode="External"/><Relationship Id="rId18" Type="http://schemas.openxmlformats.org/officeDocument/2006/relationships/hyperlink" Target="https://ich.unesco.org/doc/src/ITH-18-7.GA-7-FR.docx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ich.unesco.org/fr/donateurs" TargetMode="External"/><Relationship Id="rId42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ich.unesco.org/fr/Resolutions/3.GA/9" TargetMode="External"/><Relationship Id="rId17" Type="http://schemas.openxmlformats.org/officeDocument/2006/relationships/hyperlink" Target="https://ich.unesco.org/doc/src/ITH-16-11.COM_2.BUR-Decisions-FR.docx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ch.unesco.org/fr/Decisions/8.COM/11" TargetMode="External"/><Relationship Id="rId20" Type="http://schemas.openxmlformats.org/officeDocument/2006/relationships/hyperlink" Target="https://ich.unesco.org/fr/Decisions/8.COM/11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h.unesco.org/fr/Decisions/11.COM/6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ch.unesco.org/fr/Decisions/8.COM/7.c" TargetMode="External"/><Relationship Id="rId23" Type="http://schemas.openxmlformats.org/officeDocument/2006/relationships/image" Target="media/image2.png"/><Relationship Id="rId28" Type="http://schemas.openxmlformats.org/officeDocument/2006/relationships/header" Target="header2.xml"/><Relationship Id="rId10" Type="http://schemas.openxmlformats.org/officeDocument/2006/relationships/hyperlink" Target="https://ich.unesco.org/fr/Decisions/10.COM/9" TargetMode="External"/><Relationship Id="rId19" Type="http://schemas.openxmlformats.org/officeDocument/2006/relationships/hyperlink" Target="http://www.unesco.org/culture/ich/doc/src/IOS-AUD-2013-06-FR.pdf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ich.unesco.org/fr/Decisions/9.COM/7" TargetMode="External"/><Relationship Id="rId14" Type="http://schemas.openxmlformats.org/officeDocument/2006/relationships/hyperlink" Target="https://ich.unesco.org/fr/Resolutions/6.GA/9" TargetMode="External"/><Relationship Id="rId22" Type="http://schemas.openxmlformats.org/officeDocument/2006/relationships/image" Target="media/image1.png"/><Relationship Id="rId27" Type="http://schemas.openxmlformats.org/officeDocument/2006/relationships/header" Target="header1.xml"/><Relationship Id="rId30" Type="http://schemas.openxmlformats.org/officeDocument/2006/relationships/image" Target="media/image7.png"/><Relationship Id="rId8" Type="http://schemas.openxmlformats.org/officeDocument/2006/relationships/hyperlink" Target="https://ich.unesco.org/fr/D%C3%A9cisions/6.GA/9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8DD64-FDBA-4A69-AB42-C2260C4F2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2154</Words>
  <Characters>12280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UNESCO</Company>
  <LinksUpToDate>false</LinksUpToDate>
  <CharactersWithSpaces>14406</CharactersWithSpaces>
  <SharedDoc>false</SharedDoc>
  <HLinks>
    <vt:vector size="90" baseType="variant">
      <vt:variant>
        <vt:i4>3539070</vt:i4>
      </vt:variant>
      <vt:variant>
        <vt:i4>42</vt:i4>
      </vt:variant>
      <vt:variant>
        <vt:i4>0</vt:i4>
      </vt:variant>
      <vt:variant>
        <vt:i4>5</vt:i4>
      </vt:variant>
      <vt:variant>
        <vt:lpwstr>http://www.unesco.org/culture/ich/doc/src/ITH-13-8.COM-Decisions-EN.doc</vt:lpwstr>
      </vt:variant>
      <vt:variant>
        <vt:lpwstr/>
      </vt:variant>
      <vt:variant>
        <vt:i4>5898251</vt:i4>
      </vt:variant>
      <vt:variant>
        <vt:i4>39</vt:i4>
      </vt:variant>
      <vt:variant>
        <vt:i4>0</vt:i4>
      </vt:variant>
      <vt:variant>
        <vt:i4>5</vt:i4>
      </vt:variant>
      <vt:variant>
        <vt:lpwstr>http://www.unesco.org/culture/ich/doc/src/IOS-AUD-2013-06-EN.pdf</vt:lpwstr>
      </vt:variant>
      <vt:variant>
        <vt:lpwstr/>
      </vt:variant>
      <vt:variant>
        <vt:i4>6881348</vt:i4>
      </vt:variant>
      <vt:variant>
        <vt:i4>36</vt:i4>
      </vt:variant>
      <vt:variant>
        <vt:i4>0</vt:i4>
      </vt:variant>
      <vt:variant>
        <vt:i4>5</vt:i4>
      </vt:variant>
      <vt:variant>
        <vt:lpwstr>../../../../../2016/2016-06_11 COM 2 BUR/11 COM 2 BUR _Decisions_EN.docx</vt:lpwstr>
      </vt:variant>
      <vt:variant>
        <vt:lpwstr/>
      </vt:variant>
      <vt:variant>
        <vt:i4>2555915</vt:i4>
      </vt:variant>
      <vt:variant>
        <vt:i4>33</vt:i4>
      </vt:variant>
      <vt:variant>
        <vt:i4>0</vt:i4>
      </vt:variant>
      <vt:variant>
        <vt:i4>5</vt:i4>
      </vt:variant>
      <vt:variant>
        <vt:lpwstr>\\hqfs\OurDrive\CLT\ProgrammeExecution\2003Convention\2003-StatutoryMeetings\2016\2016-06_11 COM 2 BUR\11 COM 2 BUR _Decisions_EN.docx</vt:lpwstr>
      </vt:variant>
      <vt:variant>
        <vt:lpwstr/>
      </vt:variant>
      <vt:variant>
        <vt:i4>3539070</vt:i4>
      </vt:variant>
      <vt:variant>
        <vt:i4>30</vt:i4>
      </vt:variant>
      <vt:variant>
        <vt:i4>0</vt:i4>
      </vt:variant>
      <vt:variant>
        <vt:i4>5</vt:i4>
      </vt:variant>
      <vt:variant>
        <vt:lpwstr>http://www.unesco.org/culture/ich/doc/src/ITH-13-8.COM-Decisions-EN.doc</vt:lpwstr>
      </vt:variant>
      <vt:variant>
        <vt:lpwstr/>
      </vt:variant>
      <vt:variant>
        <vt:i4>3539070</vt:i4>
      </vt:variant>
      <vt:variant>
        <vt:i4>27</vt:i4>
      </vt:variant>
      <vt:variant>
        <vt:i4>0</vt:i4>
      </vt:variant>
      <vt:variant>
        <vt:i4>5</vt:i4>
      </vt:variant>
      <vt:variant>
        <vt:lpwstr>http://www.unesco.org/culture/ich/doc/src/ITH-13-8.COM-Decisions-EN.doc</vt:lpwstr>
      </vt:variant>
      <vt:variant>
        <vt:lpwstr/>
      </vt:variant>
      <vt:variant>
        <vt:i4>5570634</vt:i4>
      </vt:variant>
      <vt:variant>
        <vt:i4>24</vt:i4>
      </vt:variant>
      <vt:variant>
        <vt:i4>0</vt:i4>
      </vt:variant>
      <vt:variant>
        <vt:i4>5</vt:i4>
      </vt:variant>
      <vt:variant>
        <vt:lpwstr>../../../../../2016/2016-06_6GA_PARIS/Resolutions/6GA_Resolutions_EN.docx</vt:lpwstr>
      </vt:variant>
      <vt:variant>
        <vt:lpwstr/>
      </vt:variant>
      <vt:variant>
        <vt:i4>5046356</vt:i4>
      </vt:variant>
      <vt:variant>
        <vt:i4>21</vt:i4>
      </vt:variant>
      <vt:variant>
        <vt:i4>0</vt:i4>
      </vt:variant>
      <vt:variant>
        <vt:i4>5</vt:i4>
      </vt:variant>
      <vt:variant>
        <vt:lpwstr>https://ich.unesco.org/en/Resolutions/6.GA/9</vt:lpwstr>
      </vt:variant>
      <vt:variant>
        <vt:lpwstr/>
      </vt:variant>
      <vt:variant>
        <vt:i4>5111832</vt:i4>
      </vt:variant>
      <vt:variant>
        <vt:i4>18</vt:i4>
      </vt:variant>
      <vt:variant>
        <vt:i4>0</vt:i4>
      </vt:variant>
      <vt:variant>
        <vt:i4>5</vt:i4>
      </vt:variant>
      <vt:variant>
        <vt:lpwstr>https://ich.unesco.org/en/Decisions/10.COM/8</vt:lpwstr>
      </vt:variant>
      <vt:variant>
        <vt:lpwstr/>
      </vt:variant>
      <vt:variant>
        <vt:i4>327700</vt:i4>
      </vt:variant>
      <vt:variant>
        <vt:i4>15</vt:i4>
      </vt:variant>
      <vt:variant>
        <vt:i4>0</vt:i4>
      </vt:variant>
      <vt:variant>
        <vt:i4>5</vt:i4>
      </vt:variant>
      <vt:variant>
        <vt:lpwstr>http://www.unesco.org/culture/ich/doc/src/ITH-10-3.GA-CONF.201-Resolution Rev.-EN.doc</vt:lpwstr>
      </vt:variant>
      <vt:variant>
        <vt:lpwstr/>
      </vt:variant>
      <vt:variant>
        <vt:i4>4259864</vt:i4>
      </vt:variant>
      <vt:variant>
        <vt:i4>12</vt:i4>
      </vt:variant>
      <vt:variant>
        <vt:i4>0</vt:i4>
      </vt:variant>
      <vt:variant>
        <vt:i4>5</vt:i4>
      </vt:variant>
      <vt:variant>
        <vt:lpwstr>https://ich.unesco.org/en/Decisions/11.COM/6</vt:lpwstr>
      </vt:variant>
      <vt:variant>
        <vt:lpwstr/>
      </vt:variant>
      <vt:variant>
        <vt:i4>5177368</vt:i4>
      </vt:variant>
      <vt:variant>
        <vt:i4>9</vt:i4>
      </vt:variant>
      <vt:variant>
        <vt:i4>0</vt:i4>
      </vt:variant>
      <vt:variant>
        <vt:i4>5</vt:i4>
      </vt:variant>
      <vt:variant>
        <vt:lpwstr>https://ich.unesco.org/en/Decisions/10.COM/9</vt:lpwstr>
      </vt:variant>
      <vt:variant>
        <vt:lpwstr/>
      </vt:variant>
      <vt:variant>
        <vt:i4>2490480</vt:i4>
      </vt:variant>
      <vt:variant>
        <vt:i4>6</vt:i4>
      </vt:variant>
      <vt:variant>
        <vt:i4>0</vt:i4>
      </vt:variant>
      <vt:variant>
        <vt:i4>5</vt:i4>
      </vt:variant>
      <vt:variant>
        <vt:lpwstr>https://ich.unesco.org/en/Decisions/9.COM/7</vt:lpwstr>
      </vt:variant>
      <vt:variant>
        <vt:lpwstr/>
      </vt:variant>
      <vt:variant>
        <vt:i4>7078006</vt:i4>
      </vt:variant>
      <vt:variant>
        <vt:i4>3</vt:i4>
      </vt:variant>
      <vt:variant>
        <vt:i4>0</vt:i4>
      </vt:variant>
      <vt:variant>
        <vt:i4>5</vt:i4>
      </vt:variant>
      <vt:variant>
        <vt:lpwstr>http://www.unesco.org/culture/ich/doc/src/00192-EN-PDF.pdf</vt:lpwstr>
      </vt:variant>
      <vt:variant>
        <vt:lpwstr/>
      </vt:variant>
      <vt:variant>
        <vt:i4>5570634</vt:i4>
      </vt:variant>
      <vt:variant>
        <vt:i4>0</vt:i4>
      </vt:variant>
      <vt:variant>
        <vt:i4>0</vt:i4>
      </vt:variant>
      <vt:variant>
        <vt:i4>5</vt:i4>
      </vt:variant>
      <vt:variant>
        <vt:lpwstr>../../../../../2016/2016-06_6GA_PARIS/Resolutions/6GA_Resolutions_EN.docx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Shin, Eunkyung</dc:creator>
  <cp:keywords/>
  <cp:lastModifiedBy>Shin, Eunkyung</cp:lastModifiedBy>
  <cp:revision>3</cp:revision>
  <dcterms:created xsi:type="dcterms:W3CDTF">2018-05-04T15:35:00Z</dcterms:created>
  <dcterms:modified xsi:type="dcterms:W3CDTF">2018-05-04T15:39:00Z</dcterms:modified>
</cp:coreProperties>
</file>