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38D02" w14:textId="403F0FD0" w:rsidR="009F28BC" w:rsidRPr="004936EF" w:rsidRDefault="009F28BC" w:rsidP="009F28BC">
      <w:pPr>
        <w:pStyle w:val="Chapitre"/>
        <w:rPr>
          <w:lang w:val="en-US"/>
        </w:rPr>
      </w:pPr>
      <w:bookmarkStart w:id="0" w:name="_Toc241229778"/>
      <w:bookmarkStart w:id="1" w:name="_Toc241229982"/>
      <w:bookmarkStart w:id="2" w:name="_Toc242165676"/>
      <w:bookmarkStart w:id="3" w:name="_GoBack"/>
      <w:bookmarkEnd w:id="3"/>
      <w:r w:rsidRPr="002662A9">
        <w:rPr>
          <w:lang w:val="en-US"/>
        </w:rPr>
        <w:t xml:space="preserve">Unit </w:t>
      </w:r>
      <w:r w:rsidR="003329EE">
        <w:rPr>
          <w:lang w:val="en-US"/>
        </w:rPr>
        <w:t>49</w:t>
      </w:r>
    </w:p>
    <w:p w14:paraId="46C994E5" w14:textId="6950352B" w:rsidR="006C700E" w:rsidRDefault="006C700E" w:rsidP="006C700E">
      <w:pPr>
        <w:pStyle w:val="HO1"/>
      </w:pPr>
      <w:r w:rsidRPr="00EA4847">
        <w:t>Hand-out</w:t>
      </w:r>
      <w:r w:rsidR="000C100A">
        <w:t xml:space="preserve"> 1</w:t>
      </w:r>
      <w:r w:rsidRPr="00EA4847">
        <w:t>:</w:t>
      </w:r>
    </w:p>
    <w:bookmarkEnd w:id="0"/>
    <w:bookmarkEnd w:id="1"/>
    <w:bookmarkEnd w:id="2"/>
    <w:p w14:paraId="0A32421E" w14:textId="49A57607" w:rsidR="0031587B" w:rsidRDefault="003329EE" w:rsidP="00C73E9C">
      <w:pPr>
        <w:pStyle w:val="HO2"/>
      </w:pPr>
      <w:r>
        <w:t>Revising the operational directives</w:t>
      </w:r>
    </w:p>
    <w:p w14:paraId="566857EC" w14:textId="77777777" w:rsidR="003329EE" w:rsidRPr="008E6382" w:rsidRDefault="003329EE" w:rsidP="003329EE">
      <w:pPr>
        <w:pStyle w:val="Texte1"/>
        <w:rPr>
          <w:lang w:val="en-US"/>
        </w:rPr>
      </w:pPr>
      <w:r w:rsidRPr="008E6382">
        <w:rPr>
          <w:b/>
          <w:bCs/>
          <w:szCs w:val="20"/>
          <w:lang w:val="en-US"/>
        </w:rPr>
        <w:t>(A)</w:t>
      </w:r>
      <w:r w:rsidRPr="008E6382">
        <w:rPr>
          <w:lang w:val="en-US"/>
        </w:rPr>
        <w:t xml:space="preserve"> </w:t>
      </w:r>
      <w:r w:rsidRPr="008E6382">
        <w:rPr>
          <w:b/>
          <w:bCs/>
          <w:lang w:val="en-US" w:eastAsia="en-GB"/>
        </w:rPr>
        <w:t>Decision 8.COM 5c.1 at 11(b) requests the Secretariat to:</w:t>
      </w:r>
    </w:p>
    <w:p w14:paraId="6CDE443C" w14:textId="65DA9203" w:rsidR="003329EE" w:rsidRPr="005F5FFD" w:rsidRDefault="003329EE" w:rsidP="008E6382">
      <w:pPr>
        <w:pStyle w:val="Quote"/>
        <w:rPr>
          <w:rFonts w:eastAsia="Calibri"/>
          <w:lang w:val="en-GB"/>
        </w:rPr>
      </w:pPr>
      <w:bookmarkStart w:id="4" w:name="_Toc366662809"/>
      <w:bookmarkStart w:id="5" w:name="_Toc366662879"/>
      <w:bookmarkStart w:id="6" w:name="_Toc366837341"/>
      <w:r w:rsidRPr="005F5FFD">
        <w:rPr>
          <w:rFonts w:eastAsia="Calibri"/>
          <w:lang w:val="en-GB"/>
        </w:rPr>
        <w:t>Revise all relevant documents and forms (including the Operational Directives, the Periodic Reporting formats, and nomination files) to include gender-specific guidance and questions</w:t>
      </w:r>
      <w:bookmarkEnd w:id="4"/>
      <w:bookmarkEnd w:id="5"/>
      <w:bookmarkEnd w:id="6"/>
      <w:r w:rsidRPr="005F5FFD">
        <w:rPr>
          <w:rFonts w:eastAsia="Calibri"/>
          <w:lang w:val="en-GB"/>
        </w:rPr>
        <w:t xml:space="preserve"> (Recommendation 1)</w:t>
      </w:r>
    </w:p>
    <w:p w14:paraId="25ECB05A" w14:textId="77777777" w:rsidR="003329EE" w:rsidRPr="003329EE" w:rsidRDefault="003329EE" w:rsidP="008E6382">
      <w:pPr>
        <w:pStyle w:val="Texte1"/>
        <w:spacing w:before="240"/>
        <w:rPr>
          <w:lang w:val="en-US"/>
        </w:rPr>
      </w:pPr>
      <w:r w:rsidRPr="008E6382">
        <w:rPr>
          <w:b/>
          <w:bCs/>
          <w:lang w:val="en-US"/>
        </w:rPr>
        <w:t>(B)</w:t>
      </w:r>
      <w:r w:rsidRPr="003329EE">
        <w:rPr>
          <w:lang w:val="en-US"/>
        </w:rPr>
        <w:t xml:space="preserve"> </w:t>
      </w:r>
      <w:r w:rsidRPr="008E6382">
        <w:rPr>
          <w:b/>
          <w:bCs/>
          <w:lang w:val="en-US"/>
        </w:rPr>
        <w:t>Paragraph 14 of Draft Operational Directives on ‘Safeguarding intangible cultural heritage and sustainable development at the national level’ (Annex to Document ITH/14/9.COM/13.b):</w:t>
      </w:r>
    </w:p>
    <w:p w14:paraId="04363E99" w14:textId="77777777" w:rsidR="003329EE" w:rsidRPr="008E6382" w:rsidRDefault="003329EE" w:rsidP="008E6382">
      <w:pPr>
        <w:pStyle w:val="Quote"/>
        <w:rPr>
          <w:rFonts w:eastAsia="Calibri"/>
        </w:rPr>
      </w:pPr>
      <w:r w:rsidRPr="005F5FFD">
        <w:rPr>
          <w:rFonts w:eastAsia="Calibri"/>
          <w:lang w:val="en-GB"/>
        </w:rPr>
        <w:t xml:space="preserve">States Parties shall endeavour to foster the contributions of intangible cultural heritage to greater gender equality and to eliminating gender-based discrimination, while recognizing that communities pass on their values, norms and expectations related to gender through intangible cultural heritage and it is therefore a privileged context in which community members’ gender identities are shaped. </w:t>
      </w:r>
      <w:r w:rsidRPr="008E6382">
        <w:rPr>
          <w:rFonts w:eastAsia="Calibri"/>
        </w:rPr>
        <w:t xml:space="preserve">To </w:t>
      </w:r>
      <w:proofErr w:type="spellStart"/>
      <w:r w:rsidRPr="008E6382">
        <w:rPr>
          <w:rFonts w:eastAsia="Calibri"/>
        </w:rPr>
        <w:t>that</w:t>
      </w:r>
      <w:proofErr w:type="spellEnd"/>
      <w:r w:rsidRPr="008E6382">
        <w:rPr>
          <w:rFonts w:eastAsia="Calibri"/>
        </w:rPr>
        <w:t xml:space="preserve"> end, States Parties are encouraged to:</w:t>
      </w:r>
    </w:p>
    <w:p w14:paraId="300C1527" w14:textId="77777777" w:rsidR="003329EE" w:rsidRPr="005F5FFD" w:rsidRDefault="003329EE" w:rsidP="008E6382">
      <w:pPr>
        <w:pStyle w:val="Quote"/>
        <w:numPr>
          <w:ilvl w:val="0"/>
          <w:numId w:val="160"/>
        </w:numPr>
        <w:rPr>
          <w:rFonts w:eastAsia="Calibri"/>
          <w:lang w:val="en-GB"/>
        </w:rPr>
      </w:pPr>
      <w:r w:rsidRPr="005F5FFD">
        <w:rPr>
          <w:rFonts w:eastAsia="Calibri"/>
          <w:lang w:val="en-GB"/>
        </w:rPr>
        <w:t>take advantage of intangible cultural heritage’s potential to create common spaces for dialogue on how best to achieve gender equality, taking into account the diverse perspectives of all stakeholders;</w:t>
      </w:r>
    </w:p>
    <w:p w14:paraId="5A943B07" w14:textId="77777777" w:rsidR="003329EE" w:rsidRPr="005F5FFD" w:rsidRDefault="003329EE" w:rsidP="008E6382">
      <w:pPr>
        <w:pStyle w:val="Quote"/>
        <w:numPr>
          <w:ilvl w:val="0"/>
          <w:numId w:val="160"/>
        </w:numPr>
        <w:rPr>
          <w:rFonts w:eastAsia="Calibri"/>
          <w:lang w:val="en-GB"/>
        </w:rPr>
      </w:pPr>
      <w:r w:rsidRPr="005F5FFD">
        <w:rPr>
          <w:rFonts w:eastAsia="Calibri"/>
          <w:lang w:val="en-GB"/>
        </w:rPr>
        <w:t>promote the important role that intangible cultural heritage can play in building mutual respect among communities and groups whose members may not share the same conceptions of gender;</w:t>
      </w:r>
    </w:p>
    <w:p w14:paraId="03A96EC9" w14:textId="77777777" w:rsidR="003329EE" w:rsidRPr="005F5FFD" w:rsidRDefault="003329EE" w:rsidP="008E6382">
      <w:pPr>
        <w:pStyle w:val="Quote"/>
        <w:numPr>
          <w:ilvl w:val="0"/>
          <w:numId w:val="160"/>
        </w:numPr>
        <w:rPr>
          <w:rFonts w:eastAsia="Calibri"/>
          <w:lang w:val="en-GB"/>
        </w:rPr>
      </w:pPr>
      <w:r w:rsidRPr="005F5FFD">
        <w:rPr>
          <w:rFonts w:eastAsia="Calibri"/>
          <w:lang w:val="en-GB"/>
        </w:rPr>
        <w:t>foster scientific studies and research methodologies, including those conducted by the communities themselves, aimed at understanding the diversity of gender roles within particular expressions of intangible cultural heritage;</w:t>
      </w:r>
    </w:p>
    <w:p w14:paraId="160BD66F" w14:textId="7676F196" w:rsidR="003329EE" w:rsidRPr="005F5FFD" w:rsidRDefault="003329EE" w:rsidP="008E6382">
      <w:pPr>
        <w:pStyle w:val="Quote"/>
        <w:numPr>
          <w:ilvl w:val="0"/>
          <w:numId w:val="160"/>
        </w:numPr>
        <w:rPr>
          <w:lang w:val="en-GB"/>
        </w:rPr>
      </w:pPr>
      <w:proofErr w:type="gramStart"/>
      <w:r w:rsidRPr="005F5FFD">
        <w:rPr>
          <w:rFonts w:eastAsia="Calibri"/>
          <w:lang w:val="en-GB"/>
        </w:rPr>
        <w:t>ensure</w:t>
      </w:r>
      <w:proofErr w:type="gramEnd"/>
      <w:r w:rsidRPr="005F5FFD">
        <w:rPr>
          <w:rFonts w:eastAsia="Calibri"/>
          <w:lang w:val="en-GB"/>
        </w:rPr>
        <w:t xml:space="preserve"> gender equality in the planning, management and implementation of safeguarding measures, at all levels and in all contexts, in order to take full advantage of the diverse perspect</w:t>
      </w:r>
      <w:r w:rsidR="008E6382" w:rsidRPr="005F5FFD">
        <w:rPr>
          <w:rFonts w:eastAsia="Calibri"/>
          <w:lang w:val="en-GB"/>
        </w:rPr>
        <w:t>ives of all members of society.</w:t>
      </w:r>
    </w:p>
    <w:p w14:paraId="4222BC7A" w14:textId="5CD80E8F" w:rsidR="003329EE" w:rsidRPr="008E6382" w:rsidRDefault="003329EE" w:rsidP="008E6382">
      <w:pPr>
        <w:pStyle w:val="Texte1"/>
        <w:spacing w:before="240"/>
        <w:rPr>
          <w:rFonts w:eastAsia="Calibri"/>
          <w:bCs/>
          <w:lang w:val="en-US"/>
        </w:rPr>
      </w:pPr>
      <w:r w:rsidRPr="008E6382">
        <w:rPr>
          <w:rFonts w:eastAsia="Calibri"/>
          <w:b/>
          <w:lang w:val="en-US"/>
        </w:rPr>
        <w:t>(C)</w:t>
      </w:r>
      <w:r w:rsidRPr="008E6382">
        <w:rPr>
          <w:rFonts w:eastAsia="Calibri"/>
          <w:bCs/>
          <w:lang w:val="en-US"/>
        </w:rPr>
        <w:t xml:space="preserve"> </w:t>
      </w:r>
      <w:r w:rsidR="005F5FFD">
        <w:rPr>
          <w:rFonts w:eastAsia="Calibri"/>
          <w:bCs/>
          <w:lang w:val="en-US"/>
        </w:rPr>
        <w:t>Additional</w:t>
      </w:r>
      <w:r w:rsidRPr="008E6382">
        <w:rPr>
          <w:rFonts w:eastAsia="Calibri"/>
          <w:bCs/>
          <w:lang w:val="en-US"/>
        </w:rPr>
        <w:t xml:space="preserve"> documents available online that reflect </w:t>
      </w:r>
      <w:r w:rsidR="005F5FFD">
        <w:rPr>
          <w:rFonts w:eastAsia="Calibri"/>
          <w:bCs/>
          <w:lang w:val="en-US"/>
        </w:rPr>
        <w:t xml:space="preserve">an increase in the </w:t>
      </w:r>
      <w:r w:rsidRPr="008E6382">
        <w:rPr>
          <w:rFonts w:eastAsia="Calibri"/>
          <w:bCs/>
          <w:lang w:val="en-US"/>
        </w:rPr>
        <w:t xml:space="preserve">gender </w:t>
      </w:r>
      <w:r w:rsidR="005F5FFD">
        <w:rPr>
          <w:rFonts w:eastAsia="Calibri"/>
          <w:bCs/>
          <w:lang w:val="en-US"/>
        </w:rPr>
        <w:t xml:space="preserve">responsive approach </w:t>
      </w:r>
      <w:r w:rsidR="005F5FFD" w:rsidRPr="008E6382">
        <w:rPr>
          <w:rFonts w:eastAsia="Calibri"/>
          <w:bCs/>
          <w:lang w:val="en-US"/>
        </w:rPr>
        <w:t>by State parties</w:t>
      </w:r>
      <w:r w:rsidR="005F5FFD">
        <w:rPr>
          <w:rFonts w:eastAsia="Calibri"/>
          <w:bCs/>
          <w:lang w:val="en-US"/>
        </w:rPr>
        <w:t xml:space="preserve"> include</w:t>
      </w:r>
      <w:r w:rsidRPr="008E6382">
        <w:rPr>
          <w:rFonts w:eastAsia="Calibri"/>
          <w:bCs/>
          <w:lang w:val="en-US"/>
        </w:rPr>
        <w:t xml:space="preserve">: Periodic reports, Aide-memoire and </w:t>
      </w:r>
      <w:proofErr w:type="gramStart"/>
      <w:r w:rsidRPr="008E6382">
        <w:rPr>
          <w:rFonts w:eastAsia="Calibri"/>
          <w:bCs/>
          <w:lang w:val="en-US"/>
        </w:rPr>
        <w:t xml:space="preserve">Nominations </w:t>
      </w:r>
      <w:proofErr w:type="gramEnd"/>
      <w:r w:rsidR="005F5FFD">
        <w:rPr>
          <w:rStyle w:val="FootnoteReference"/>
          <w:rFonts w:eastAsia="Calibri"/>
          <w:bCs/>
          <w:lang w:val="en-US"/>
        </w:rPr>
        <w:footnoteReference w:id="1"/>
      </w:r>
      <w:r w:rsidRPr="008E6382">
        <w:rPr>
          <w:rFonts w:eastAsia="Calibri"/>
          <w:bCs/>
          <w:lang w:val="en-US"/>
        </w:rPr>
        <w:t>.</w:t>
      </w:r>
    </w:p>
    <w:sectPr w:rsidR="003329EE" w:rsidRPr="008E6382" w:rsidSect="009B3A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FA0B7" w14:textId="77777777" w:rsidR="00044005" w:rsidRDefault="00044005" w:rsidP="000A699C">
      <w:pPr>
        <w:spacing w:before="0" w:after="0"/>
      </w:pPr>
      <w:r>
        <w:separator/>
      </w:r>
    </w:p>
  </w:endnote>
  <w:endnote w:type="continuationSeparator" w:id="0">
    <w:p w14:paraId="6B6A2CAD" w14:textId="77777777" w:rsidR="00044005" w:rsidRDefault="00044005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F16C" w14:textId="430B2F50" w:rsidR="00044005" w:rsidRDefault="00044005" w:rsidP="004936EF">
    <w:pPr>
      <w:pStyle w:val="Footer"/>
    </w:pPr>
    <w:r w:rsidRPr="002A3923">
      <w:rPr>
        <w:noProof/>
        <w:lang w:val="fr-FR" w:eastAsia="fr-FR"/>
      </w:rPr>
      <w:drawing>
        <wp:anchor distT="0" distB="0" distL="114300" distR="114300" simplePos="0" relativeHeight="251759616" behindDoc="0" locked="1" layoutInCell="1" allowOverlap="0" wp14:anchorId="3FDEFB64" wp14:editId="685EF368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© UNESCO • </w:t>
    </w:r>
    <w:proofErr w:type="spellStart"/>
    <w:r>
      <w:t>Not</w:t>
    </w:r>
    <w:proofErr w:type="spellEnd"/>
    <w:r>
      <w:t xml:space="preserve"> to be </w:t>
    </w:r>
    <w:proofErr w:type="spellStart"/>
    <w:r>
      <w:t>reproduced</w:t>
    </w:r>
    <w:proofErr w:type="spellEnd"/>
    <w:r>
      <w:t xml:space="preserve"> </w:t>
    </w:r>
    <w:proofErr w:type="spellStart"/>
    <w:r>
      <w:t>without</w:t>
    </w:r>
    <w:proofErr w:type="spellEnd"/>
    <w:r>
      <w:t xml:space="preserve"> </w:t>
    </w:r>
    <w:proofErr w:type="spellStart"/>
    <w:r>
      <w:t>permission</w:t>
    </w:r>
    <w:proofErr w:type="spellEnd"/>
    <w:r>
      <w:tab/>
      <w:t>U0</w:t>
    </w:r>
    <w:r w:rsidR="00254C5C">
      <w:t>06</w:t>
    </w:r>
    <w:r>
      <w:t>-v1.</w:t>
    </w:r>
    <w:proofErr w:type="gramStart"/>
    <w:r>
      <w:t>0-HO-EN</w:t>
    </w:r>
    <w:proofErr w:type="gramEnd"/>
    <w:r w:rsidDel="00F22FFD">
      <w:rPr>
        <w:rStyle w:val="PageNumber"/>
      </w:rPr>
      <w:t xml:space="preserve"> </w:t>
    </w:r>
  </w:p>
  <w:p w14:paraId="43055D74" w14:textId="77777777" w:rsidR="00044005" w:rsidRDefault="00044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1F22F225" w:rsidR="00044005" w:rsidRPr="007D60D5" w:rsidRDefault="00044005">
    <w:pPr>
      <w:pStyle w:val="Footer"/>
    </w:pPr>
    <w:r>
      <w:t>U0</w:t>
    </w:r>
    <w:r w:rsidR="00254C5C">
      <w:t>06</w:t>
    </w:r>
    <w:r>
      <w:t>-v1.</w:t>
    </w:r>
    <w:proofErr w:type="gramStart"/>
    <w:r>
      <w:t>0-HO-EN</w:t>
    </w:r>
    <w:proofErr w:type="gramEnd"/>
    <w:r>
      <w:tab/>
      <w:t xml:space="preserve">© UNESCO • </w:t>
    </w:r>
    <w:proofErr w:type="spellStart"/>
    <w:r>
      <w:t>Not</w:t>
    </w:r>
    <w:proofErr w:type="spellEnd"/>
    <w:r>
      <w:t xml:space="preserve"> to be </w:t>
    </w:r>
    <w:proofErr w:type="spellStart"/>
    <w:r>
      <w:t>reproduced</w:t>
    </w:r>
    <w:proofErr w:type="spellEnd"/>
    <w:r>
      <w:t xml:space="preserve"> </w:t>
    </w:r>
    <w:proofErr w:type="spellStart"/>
    <w:r>
      <w:t>without</w:t>
    </w:r>
    <w:proofErr w:type="spellEnd"/>
    <w:r>
      <w:t xml:space="preserve"> </w:t>
    </w:r>
    <w:proofErr w:type="spellStart"/>
    <w:r>
      <w:t>permission</w:t>
    </w:r>
    <w:proofErr w:type="spellEnd"/>
    <w:r>
      <w:tab/>
    </w:r>
    <w:r w:rsidRPr="005B7AFC">
      <w:rPr>
        <w:noProof/>
        <w:lang w:val="fr-FR" w:eastAsia="fr-FR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1E157" w14:textId="788C9E2A" w:rsidR="005B432B" w:rsidRDefault="00B923F8" w:rsidP="005B432B">
    <w:pPr>
      <w:pStyle w:val="Footer"/>
      <w:tabs>
        <w:tab w:val="left" w:pos="2093"/>
      </w:tabs>
    </w:pPr>
    <w:r>
      <w:rPr>
        <w:noProof/>
        <w:lang w:val="fr-FR" w:eastAsia="fr-FR"/>
      </w:rPr>
      <w:drawing>
        <wp:anchor distT="0" distB="0" distL="114300" distR="114300" simplePos="0" relativeHeight="251778048" behindDoc="0" locked="0" layoutInCell="1" allowOverlap="1" wp14:anchorId="459C9A4F" wp14:editId="1FC5D3E6">
          <wp:simplePos x="0" y="0"/>
          <wp:positionH relativeFrom="column">
            <wp:posOffset>2533015</wp:posOffset>
          </wp:positionH>
          <wp:positionV relativeFrom="paragraph">
            <wp:posOffset>7620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9EE">
      <w:t>U049</w:t>
    </w:r>
    <w:r w:rsidR="005B432B">
      <w:t>-v1.</w:t>
    </w:r>
    <w:proofErr w:type="gramStart"/>
    <w:r w:rsidR="005B432B">
      <w:t>0-HO</w:t>
    </w:r>
    <w:r w:rsidR="000C100A">
      <w:t>1</w:t>
    </w:r>
    <w:r w:rsidR="005B432B">
      <w:t>-EN</w:t>
    </w:r>
    <w:proofErr w:type="gramEnd"/>
    <w:r w:rsidR="005B432B">
      <w:tab/>
    </w:r>
    <w:r w:rsidR="00425288">
      <w:tab/>
    </w:r>
    <w:r w:rsidR="005B432B">
      <w:tab/>
    </w:r>
    <w:r w:rsidR="005B432B" w:rsidRPr="00473E47">
      <w:rPr>
        <w:noProof/>
        <w:szCs w:val="20"/>
        <w:lang w:val="fr-FR" w:eastAsia="fr-FR"/>
      </w:rPr>
      <w:drawing>
        <wp:anchor distT="0" distB="0" distL="114300" distR="114300" simplePos="0" relativeHeight="251776000" behindDoc="0" locked="1" layoutInCell="1" allowOverlap="0" wp14:anchorId="5E3A2480" wp14:editId="779733F0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450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5B522" w14:textId="77777777" w:rsidR="00044005" w:rsidRDefault="00044005" w:rsidP="000A699C">
      <w:pPr>
        <w:spacing w:before="0" w:after="0"/>
      </w:pPr>
      <w:r>
        <w:separator/>
      </w:r>
    </w:p>
  </w:footnote>
  <w:footnote w:type="continuationSeparator" w:id="0">
    <w:p w14:paraId="47B8F248" w14:textId="77777777" w:rsidR="00044005" w:rsidRDefault="00044005" w:rsidP="000A699C">
      <w:pPr>
        <w:spacing w:before="0" w:after="0"/>
      </w:pPr>
      <w:r>
        <w:continuationSeparator/>
      </w:r>
    </w:p>
  </w:footnote>
  <w:footnote w:id="1">
    <w:p w14:paraId="7193FA9D" w14:textId="77777777" w:rsidR="005F5FFD" w:rsidRDefault="005F5FFD" w:rsidP="005F5FF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See examples of </w:t>
      </w:r>
      <w:r>
        <w:rPr>
          <w:lang w:val="en-GB"/>
        </w:rPr>
        <w:t xml:space="preserve">Nominations by </w:t>
      </w:r>
      <w:hyperlink r:id="rId1" w:history="1">
        <w:r w:rsidRPr="00791D3C">
          <w:rPr>
            <w:rStyle w:val="Hyperlink"/>
            <w:lang w:val="en-GB"/>
          </w:rPr>
          <w:t>Japan</w:t>
        </w:r>
      </w:hyperlink>
      <w:r>
        <w:rPr>
          <w:lang w:val="en-GB"/>
        </w:rPr>
        <w:t xml:space="preserve"> and the </w:t>
      </w:r>
      <w:hyperlink r:id="rId2" w:history="1">
        <w:r w:rsidRPr="00791D3C">
          <w:rPr>
            <w:rStyle w:val="Hyperlink"/>
            <w:lang w:val="en-GB"/>
          </w:rPr>
          <w:t>Republic of Korea</w:t>
        </w:r>
      </w:hyperlink>
      <w:r>
        <w:rPr>
          <w:lang w:val="en-GB"/>
        </w:rPr>
        <w:t xml:space="preserve"> in 8 COM, as well as </w:t>
      </w:r>
      <w:hyperlink r:id="rId3" w:history="1">
        <w:r w:rsidRPr="004B60CA">
          <w:rPr>
            <w:rStyle w:val="Hyperlink"/>
            <w:lang w:val="en-GB"/>
          </w:rPr>
          <w:t>Burundi</w:t>
        </w:r>
      </w:hyperlink>
      <w:r>
        <w:rPr>
          <w:lang w:val="en-GB"/>
        </w:rPr>
        <w:t xml:space="preserve"> and </w:t>
      </w:r>
      <w:hyperlink r:id="rId4" w:history="1">
        <w:r w:rsidRPr="004B60CA">
          <w:rPr>
            <w:rStyle w:val="Hyperlink"/>
            <w:lang w:val="en-GB"/>
          </w:rPr>
          <w:t>Portugal</w:t>
        </w:r>
      </w:hyperlink>
      <w:r>
        <w:rPr>
          <w:lang w:val="en-GB"/>
        </w:rPr>
        <w:t xml:space="preserve"> in 9 COM. </w:t>
      </w:r>
    </w:p>
    <w:p w14:paraId="55025FFB" w14:textId="77777777" w:rsidR="005F5FFD" w:rsidRPr="00BC3337" w:rsidRDefault="005F5FFD" w:rsidP="005F5FFD">
      <w:pPr>
        <w:pStyle w:val="FootnoteText"/>
        <w:rPr>
          <w:lang w:val="en-GB"/>
        </w:rPr>
      </w:pPr>
      <w:r>
        <w:rPr>
          <w:lang w:val="en-GB"/>
        </w:rPr>
        <w:t>Also see the</w:t>
      </w:r>
      <w:r w:rsidRPr="008B4DDC">
        <w:t xml:space="preserve"> </w:t>
      </w:r>
      <w:r w:rsidRPr="008B4DDC">
        <w:rPr>
          <w:lang w:val="en-GB"/>
        </w:rPr>
        <w:t>23 July 2014: Aide-</w:t>
      </w:r>
      <w:proofErr w:type="spellStart"/>
      <w:r w:rsidRPr="008B4DDC">
        <w:rPr>
          <w:lang w:val="en-GB"/>
        </w:rPr>
        <w:t>mémoires</w:t>
      </w:r>
      <w:proofErr w:type="spellEnd"/>
      <w:r w:rsidRPr="008B4DDC">
        <w:rPr>
          <w:lang w:val="en-GB"/>
        </w:rPr>
        <w:t xml:space="preserve"> for completing nominations</w:t>
      </w:r>
      <w:r>
        <w:rPr>
          <w:lang w:val="en-GB"/>
        </w:rPr>
        <w:t xml:space="preserve"> for the </w:t>
      </w:r>
      <w:r w:rsidRPr="008B4DDC">
        <w:rPr>
          <w:lang w:val="en-GB"/>
        </w:rPr>
        <w:t xml:space="preserve">RL </w:t>
      </w:r>
      <w:r w:rsidRPr="00BC3337">
        <w:rPr>
          <w:lang w:val="en-GB"/>
        </w:rPr>
        <w:t>(</w:t>
      </w:r>
      <w:proofErr w:type="spellStart"/>
      <w:r w:rsidRPr="00BC3337">
        <w:rPr>
          <w:lang w:val="en-GB"/>
        </w:rPr>
        <w:fldChar w:fldCharType="begin"/>
      </w:r>
      <w:r w:rsidRPr="00BC3337">
        <w:rPr>
          <w:lang w:val="en-GB"/>
        </w:rPr>
        <w:instrText xml:space="preserve"> HYPERLINK "http://www.unesco.org/culture/ich/doc/src/ICH-02-2016_aide-mémoire-EN.doc" \t "_blank" </w:instrText>
      </w:r>
      <w:r w:rsidRPr="00BC3337">
        <w:rPr>
          <w:lang w:val="en-GB"/>
        </w:rPr>
        <w:fldChar w:fldCharType="separate"/>
      </w:r>
      <w:r w:rsidRPr="00BC3337">
        <w:rPr>
          <w:lang w:val="en-GB"/>
        </w:rPr>
        <w:t>English</w:t>
      </w:r>
      <w:r w:rsidRPr="00BC3337">
        <w:rPr>
          <w:lang w:val="en-GB"/>
        </w:rPr>
        <w:fldChar w:fldCharType="end"/>
      </w:r>
      <w:r w:rsidRPr="00BC3337">
        <w:rPr>
          <w:lang w:val="en-GB"/>
        </w:rPr>
        <w:t>|</w:t>
      </w:r>
      <w:hyperlink r:id="rId5" w:tgtFrame="_blank" w:history="1">
        <w:r w:rsidRPr="00BC3337">
          <w:rPr>
            <w:lang w:val="en-GB"/>
          </w:rPr>
          <w:t>French</w:t>
        </w:r>
        <w:proofErr w:type="spellEnd"/>
      </w:hyperlink>
      <w:r w:rsidRPr="00BC3337">
        <w:rPr>
          <w:lang w:val="en-GB"/>
        </w:rPr>
        <w:t>)</w:t>
      </w:r>
      <w:r>
        <w:rPr>
          <w:rFonts w:asciiTheme="minorHAnsi" w:eastAsiaTheme="minorEastAsia" w:hAnsiTheme="minorHAnsi" w:cstheme="minorBidi"/>
          <w:snapToGrid/>
          <w:sz w:val="22"/>
          <w:szCs w:val="22"/>
          <w:lang w:val="en" w:eastAsia="fr-FR"/>
        </w:rPr>
        <w:t xml:space="preserve"> </w:t>
      </w:r>
      <w:r>
        <w:rPr>
          <w:lang w:val="en-GB"/>
        </w:rPr>
        <w:t>and USL</w:t>
      </w:r>
      <w:r w:rsidRPr="00BC3337">
        <w:rPr>
          <w:lang w:val="en-GB"/>
        </w:rPr>
        <w:t xml:space="preserve"> (</w:t>
      </w:r>
      <w:proofErr w:type="spellStart"/>
      <w:r w:rsidRPr="00BC3337">
        <w:rPr>
          <w:lang w:val="en-GB"/>
        </w:rPr>
        <w:fldChar w:fldCharType="begin"/>
      </w:r>
      <w:r w:rsidRPr="00BC3337">
        <w:rPr>
          <w:lang w:val="en-GB"/>
        </w:rPr>
        <w:instrText xml:space="preserve"> HYPERLINK "http://www.unesco.org/culture/ich/doc/src/ICH-01-2016_aide-mémoire-EN.doc" \t "_blank" </w:instrText>
      </w:r>
      <w:r w:rsidRPr="00BC3337">
        <w:rPr>
          <w:lang w:val="en-GB"/>
        </w:rPr>
        <w:fldChar w:fldCharType="separate"/>
      </w:r>
      <w:r w:rsidRPr="00BC3337">
        <w:rPr>
          <w:lang w:val="en-GB"/>
        </w:rPr>
        <w:t>English</w:t>
      </w:r>
      <w:r w:rsidRPr="00BC3337">
        <w:rPr>
          <w:lang w:val="en-GB"/>
        </w:rPr>
        <w:fldChar w:fldCharType="end"/>
      </w:r>
      <w:r w:rsidRPr="00BC3337">
        <w:rPr>
          <w:lang w:val="en-GB"/>
        </w:rPr>
        <w:t>|</w:t>
      </w:r>
      <w:hyperlink r:id="rId6" w:tgtFrame="_blank" w:history="1">
        <w:r w:rsidRPr="00BC3337">
          <w:rPr>
            <w:lang w:val="en-GB"/>
          </w:rPr>
          <w:t>French</w:t>
        </w:r>
        <w:proofErr w:type="spellEnd"/>
      </w:hyperlink>
      <w:r>
        <w:rPr>
          <w:lang w:val="en-GB"/>
        </w:rPr>
        <w:t>)</w:t>
      </w:r>
    </w:p>
    <w:p w14:paraId="67B35EB0" w14:textId="5728FF44" w:rsidR="005F5FFD" w:rsidRPr="005F5FFD" w:rsidRDefault="005F5FFD" w:rsidP="005F5FFD">
      <w:pPr>
        <w:pStyle w:val="FootnoteText"/>
        <w:rPr>
          <w:lang w:val="en-GB"/>
        </w:rPr>
      </w:pPr>
      <w:r>
        <w:rPr>
          <w:lang w:val="en-GB"/>
        </w:rPr>
        <w:t xml:space="preserve">Also see  various examples of </w:t>
      </w:r>
      <w:hyperlink r:id="rId7" w:history="1">
        <w:r w:rsidRPr="00BE0E1E">
          <w:rPr>
            <w:rStyle w:val="Hyperlink"/>
            <w:lang w:val="en-GB"/>
          </w:rPr>
          <w:t>period reports</w:t>
        </w:r>
      </w:hyperlink>
      <w:r>
        <w:rPr>
          <w:lang w:val="en-GB"/>
        </w:rPr>
        <w:t xml:space="preserve"> (from</w:t>
      </w:r>
      <w:hyperlink r:id="rId8" w:history="1">
        <w:r w:rsidRPr="00BE0E1E">
          <w:rPr>
            <w:rStyle w:val="Hyperlink"/>
            <w:lang w:val="en-GB"/>
          </w:rPr>
          <w:t xml:space="preserve"> Egypt</w:t>
        </w:r>
      </w:hyperlink>
      <w:r>
        <w:rPr>
          <w:lang w:val="en-GB"/>
        </w:rPr>
        <w:t xml:space="preserve">, </w:t>
      </w:r>
      <w:hyperlink r:id="rId9" w:history="1">
        <w:r w:rsidRPr="00BE0E1E">
          <w:rPr>
            <w:rStyle w:val="Hyperlink"/>
            <w:lang w:val="en-GB"/>
          </w:rPr>
          <w:t>Brazil</w:t>
        </w:r>
      </w:hyperlink>
      <w:r>
        <w:rPr>
          <w:lang w:val="en-GB"/>
        </w:rPr>
        <w:t xml:space="preserve">, </w:t>
      </w:r>
      <w:hyperlink r:id="rId10" w:history="1">
        <w:r w:rsidRPr="00BE0E1E">
          <w:rPr>
            <w:rStyle w:val="Hyperlink"/>
            <w:lang w:val="en-GB"/>
          </w:rPr>
          <w:t>Burkina Faso</w:t>
        </w:r>
      </w:hyperlink>
      <w:r>
        <w:rPr>
          <w:lang w:val="en-GB"/>
        </w:rPr>
        <w:t xml:space="preserve">, </w:t>
      </w:r>
      <w:hyperlink r:id="rId11" w:history="1">
        <w:r w:rsidRPr="00BE0E1E">
          <w:rPr>
            <w:rStyle w:val="Hyperlink"/>
            <w:lang w:val="en-GB"/>
          </w:rPr>
          <w:t>Vietnam</w:t>
        </w:r>
      </w:hyperlink>
      <w:r>
        <w:rPr>
          <w:lang w:val="en-GB"/>
        </w:rPr>
        <w:t xml:space="preserve">, etc.) and </w:t>
      </w:r>
      <w:hyperlink r:id="rId12" w:history="1">
        <w:r w:rsidRPr="008D23BB">
          <w:rPr>
            <w:rStyle w:val="Hyperlink"/>
            <w:lang w:val="en-GB"/>
          </w:rPr>
          <w:t>reports submitted to the Committee</w:t>
        </w:r>
      </w:hyperlink>
      <w:r>
        <w:rPr>
          <w:lang w:val="en-GB"/>
        </w:rPr>
        <w:t xml:space="preserve"> that note a gender-responsive approach,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6A5A327A" w:rsidR="00044005" w:rsidRDefault="0004400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100A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ab/>
    </w:r>
    <w:r w:rsidR="005B432B">
      <w:rPr>
        <w:rStyle w:val="PageNumber"/>
      </w:rPr>
      <w:t xml:space="preserve">Unit 6: </w:t>
    </w:r>
    <w:proofErr w:type="spellStart"/>
    <w:r w:rsidR="005B432B">
      <w:rPr>
        <w:rStyle w:val="PageNumber"/>
      </w:rPr>
      <w:t>Identification</w:t>
    </w:r>
    <w:proofErr w:type="spellEnd"/>
    <w:r w:rsidR="005B432B">
      <w:rPr>
        <w:rStyle w:val="PageNumber"/>
      </w:rPr>
      <w:t xml:space="preserve"> and </w:t>
    </w:r>
    <w:proofErr w:type="spellStart"/>
    <w:r w:rsidR="005B432B">
      <w:rPr>
        <w:rStyle w:val="PageNumber"/>
      </w:rPr>
      <w:t>inventorying</w:t>
    </w:r>
    <w:proofErr w:type="spellEnd"/>
    <w:r>
      <w:tab/>
    </w:r>
    <w:proofErr w:type="spellStart"/>
    <w:r>
      <w:t>Hand</w:t>
    </w:r>
    <w:proofErr w:type="spellEnd"/>
    <w:r>
      <w:t>-out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65F6AB01" w:rsidR="00044005" w:rsidRPr="004A4AD6" w:rsidRDefault="00044005" w:rsidP="00D25BBB">
    <w:pPr>
      <w:pStyle w:val="Header"/>
    </w:pPr>
    <w:proofErr w:type="spellStart"/>
    <w:r>
      <w:t>Hand</w:t>
    </w:r>
    <w:proofErr w:type="spellEnd"/>
    <w:r>
      <w:t>-out</w:t>
    </w:r>
    <w:r>
      <w:tab/>
    </w:r>
    <w:r w:rsidR="005B432B">
      <w:rPr>
        <w:rStyle w:val="PageNumber"/>
      </w:rPr>
      <w:t xml:space="preserve">Unit 6: </w:t>
    </w:r>
    <w:proofErr w:type="spellStart"/>
    <w:r w:rsidR="005B432B">
      <w:rPr>
        <w:rStyle w:val="PageNumber"/>
      </w:rPr>
      <w:t>Identification</w:t>
    </w:r>
    <w:proofErr w:type="spellEnd"/>
    <w:r w:rsidR="005B432B">
      <w:rPr>
        <w:rStyle w:val="PageNumber"/>
      </w:rPr>
      <w:t xml:space="preserve"> and </w:t>
    </w:r>
    <w:proofErr w:type="spellStart"/>
    <w:r w:rsidR="005B432B">
      <w:rPr>
        <w:rStyle w:val="PageNumber"/>
      </w:rPr>
      <w:t>inventorying</w:t>
    </w:r>
    <w:proofErr w:type="spellEnd"/>
    <w:r w:rsidR="005B432B"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100A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2F4594A5" w:rsidR="00044005" w:rsidRPr="002305AA" w:rsidRDefault="00254C5C">
    <w:pPr>
      <w:pStyle w:val="Header"/>
    </w:pPr>
    <w:r>
      <w:tab/>
    </w:r>
    <w:proofErr w:type="spellStart"/>
    <w:r>
      <w:t>Hand</w:t>
    </w:r>
    <w:proofErr w:type="spellEnd"/>
    <w:r>
      <w:t>-out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8662E2"/>
    <w:multiLevelType w:val="hybridMultilevel"/>
    <w:tmpl w:val="8FECEE90"/>
    <w:lvl w:ilvl="0" w:tplc="040C0017">
      <w:start w:val="1"/>
      <w:numFmt w:val="lowerLetter"/>
      <w:lvlText w:val="%1)"/>
      <w:lvlJc w:val="left"/>
      <w:pPr>
        <w:ind w:left="1854" w:hanging="360"/>
      </w:pPr>
    </w:lvl>
    <w:lvl w:ilvl="1" w:tplc="040A0019" w:tentative="1">
      <w:start w:val="1"/>
      <w:numFmt w:val="lowerLetter"/>
      <w:lvlText w:val="%2."/>
      <w:lvlJc w:val="left"/>
      <w:pPr>
        <w:ind w:left="2574" w:hanging="360"/>
      </w:pPr>
    </w:lvl>
    <w:lvl w:ilvl="2" w:tplc="040A001B" w:tentative="1">
      <w:start w:val="1"/>
      <w:numFmt w:val="lowerRoman"/>
      <w:lvlText w:val="%3."/>
      <w:lvlJc w:val="right"/>
      <w:pPr>
        <w:ind w:left="3294" w:hanging="180"/>
      </w:pPr>
    </w:lvl>
    <w:lvl w:ilvl="3" w:tplc="040A000F" w:tentative="1">
      <w:start w:val="1"/>
      <w:numFmt w:val="decimal"/>
      <w:lvlText w:val="%4."/>
      <w:lvlJc w:val="left"/>
      <w:pPr>
        <w:ind w:left="4014" w:hanging="360"/>
      </w:pPr>
    </w:lvl>
    <w:lvl w:ilvl="4" w:tplc="040A0019" w:tentative="1">
      <w:start w:val="1"/>
      <w:numFmt w:val="lowerLetter"/>
      <w:lvlText w:val="%5."/>
      <w:lvlJc w:val="left"/>
      <w:pPr>
        <w:ind w:left="4734" w:hanging="360"/>
      </w:pPr>
    </w:lvl>
    <w:lvl w:ilvl="5" w:tplc="040A001B" w:tentative="1">
      <w:start w:val="1"/>
      <w:numFmt w:val="lowerRoman"/>
      <w:lvlText w:val="%6."/>
      <w:lvlJc w:val="right"/>
      <w:pPr>
        <w:ind w:left="5454" w:hanging="180"/>
      </w:pPr>
    </w:lvl>
    <w:lvl w:ilvl="6" w:tplc="040A000F" w:tentative="1">
      <w:start w:val="1"/>
      <w:numFmt w:val="decimal"/>
      <w:lvlText w:val="%7."/>
      <w:lvlJc w:val="left"/>
      <w:pPr>
        <w:ind w:left="6174" w:hanging="360"/>
      </w:pPr>
    </w:lvl>
    <w:lvl w:ilvl="7" w:tplc="040A0019" w:tentative="1">
      <w:start w:val="1"/>
      <w:numFmt w:val="lowerLetter"/>
      <w:lvlText w:val="%8."/>
      <w:lvlJc w:val="left"/>
      <w:pPr>
        <w:ind w:left="6894" w:hanging="360"/>
      </w:pPr>
    </w:lvl>
    <w:lvl w:ilvl="8" w:tplc="0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FE77FC"/>
    <w:multiLevelType w:val="hybridMultilevel"/>
    <w:tmpl w:val="188E83D0"/>
    <w:lvl w:ilvl="0" w:tplc="27043C84">
      <w:start w:val="30"/>
      <w:numFmt w:val="decimal"/>
      <w:pStyle w:val="paragraph1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2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4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9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3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3959EA"/>
    <w:multiLevelType w:val="hybridMultilevel"/>
    <w:tmpl w:val="52D89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664FD1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7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1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2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7"/>
  </w:num>
  <w:num w:numId="3">
    <w:abstractNumId w:val="22"/>
  </w:num>
  <w:num w:numId="4">
    <w:abstractNumId w:val="82"/>
  </w:num>
  <w:num w:numId="5">
    <w:abstractNumId w:val="11"/>
  </w:num>
  <w:num w:numId="6">
    <w:abstractNumId w:val="59"/>
  </w:num>
  <w:num w:numId="7">
    <w:abstractNumId w:val="58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9"/>
  </w:num>
  <w:num w:numId="13">
    <w:abstractNumId w:val="79"/>
  </w:num>
  <w:num w:numId="14">
    <w:abstractNumId w:val="30"/>
  </w:num>
  <w:num w:numId="15">
    <w:abstractNumId w:val="72"/>
  </w:num>
  <w:num w:numId="16">
    <w:abstractNumId w:val="17"/>
  </w:num>
  <w:num w:numId="17">
    <w:abstractNumId w:val="43"/>
  </w:num>
  <w:num w:numId="18">
    <w:abstractNumId w:val="38"/>
  </w:num>
  <w:num w:numId="19">
    <w:abstractNumId w:val="70"/>
  </w:num>
  <w:num w:numId="20">
    <w:abstractNumId w:val="51"/>
  </w:num>
  <w:num w:numId="21">
    <w:abstractNumId w:val="10"/>
  </w:num>
  <w:num w:numId="22">
    <w:abstractNumId w:val="5"/>
  </w:num>
  <w:num w:numId="23">
    <w:abstractNumId w:val="63"/>
  </w:num>
  <w:num w:numId="24">
    <w:abstractNumId w:val="40"/>
  </w:num>
  <w:num w:numId="25">
    <w:abstractNumId w:val="48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5"/>
  </w:num>
  <w:num w:numId="31">
    <w:abstractNumId w:val="71"/>
  </w:num>
  <w:num w:numId="32">
    <w:abstractNumId w:val="74"/>
  </w:num>
  <w:num w:numId="33">
    <w:abstractNumId w:val="19"/>
  </w:num>
  <w:num w:numId="34">
    <w:abstractNumId w:val="0"/>
  </w:num>
  <w:num w:numId="35">
    <w:abstractNumId w:val="78"/>
  </w:num>
  <w:num w:numId="36">
    <w:abstractNumId w:val="27"/>
  </w:num>
  <w:num w:numId="37">
    <w:abstractNumId w:val="66"/>
  </w:num>
  <w:num w:numId="38">
    <w:abstractNumId w:val="78"/>
  </w:num>
  <w:num w:numId="39">
    <w:abstractNumId w:val="2"/>
  </w:num>
  <w:num w:numId="40">
    <w:abstractNumId w:val="61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7"/>
  </w:num>
  <w:num w:numId="45">
    <w:abstractNumId w:val="31"/>
  </w:num>
  <w:num w:numId="46">
    <w:abstractNumId w:val="65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5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8"/>
  </w:num>
  <w:num w:numId="54">
    <w:abstractNumId w:val="78"/>
  </w:num>
  <w:num w:numId="55">
    <w:abstractNumId w:val="78"/>
  </w:num>
  <w:num w:numId="56">
    <w:abstractNumId w:val="78"/>
  </w:num>
  <w:num w:numId="57">
    <w:abstractNumId w:val="78"/>
  </w:num>
  <w:num w:numId="58">
    <w:abstractNumId w:val="83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60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9"/>
  </w:num>
  <w:num w:numId="93">
    <w:abstractNumId w:val="57"/>
  </w:num>
  <w:num w:numId="94">
    <w:abstractNumId w:val="54"/>
  </w:num>
  <w:num w:numId="95">
    <w:abstractNumId w:val="44"/>
    <w:lvlOverride w:ilvl="0">
      <w:startOverride w:val="2"/>
    </w:lvlOverride>
  </w:num>
  <w:num w:numId="96">
    <w:abstractNumId w:val="52"/>
  </w:num>
  <w:num w:numId="97">
    <w:abstractNumId w:val="67"/>
  </w:num>
  <w:num w:numId="98">
    <w:abstractNumId w:val="64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6"/>
  </w:num>
  <w:num w:numId="113">
    <w:abstractNumId w:val="81"/>
  </w:num>
  <w:num w:numId="114">
    <w:abstractNumId w:val="73"/>
  </w:num>
  <w:num w:numId="115">
    <w:abstractNumId w:val="34"/>
    <w:lvlOverride w:ilvl="0">
      <w:startOverride w:val="1"/>
    </w:lvlOverride>
  </w:num>
  <w:num w:numId="116">
    <w:abstractNumId w:val="53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80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2"/>
  </w:num>
  <w:num w:numId="141">
    <w:abstractNumId w:val="34"/>
    <w:lvlOverride w:ilvl="0">
      <w:startOverride w:val="1"/>
    </w:lvlOverride>
  </w:num>
  <w:num w:numId="142">
    <w:abstractNumId w:val="64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6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68"/>
  </w:num>
  <w:num w:numId="160">
    <w:abstractNumId w:val="46"/>
  </w:num>
  <w:num w:numId="161">
    <w:abstractNumId w:val="50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00A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E10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9EE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288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5FFD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82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0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6FD2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3F8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 Char Char Char,Footnote Text Char Char Char Char, Char, Char Char Char Char,fn,footnote text,5_G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aliases w:val="Footnote Text Char Char Char Char Char Char,Footnote Text Char Char Char Char Char1, Char Char, Char Char Char Char Char,fn Char,footnote text Char,5_G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shortdesc1">
    <w:name w:val="short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329EE"/>
    <w:pPr>
      <w:tabs>
        <w:tab w:val="clear" w:pos="567"/>
      </w:tabs>
      <w:snapToGrid/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napToGrid/>
      <w:szCs w:val="22"/>
      <w:lang w:val="fr-FR" w:eastAsia="fr-FR"/>
    </w:rPr>
  </w:style>
  <w:style w:type="character" w:customStyle="1" w:styleId="MargeChar">
    <w:name w:val="Marge Char"/>
    <w:rsid w:val="003329EE"/>
    <w:rPr>
      <w:rFonts w:ascii="Arial" w:eastAsia="Times New Roman" w:hAnsi="Arial" w:cs="Times New Roman"/>
      <w:snapToGrid w:val="0"/>
      <w:szCs w:val="24"/>
      <w:lang w:val="fr-FR"/>
    </w:rPr>
  </w:style>
  <w:style w:type="paragraph" w:customStyle="1" w:styleId="paragraph1">
    <w:name w:val="paragraph 1"/>
    <w:basedOn w:val="Normal"/>
    <w:link w:val="paragraph1Char"/>
    <w:qFormat/>
    <w:rsid w:val="005F5FFD"/>
    <w:pPr>
      <w:numPr>
        <w:numId w:val="161"/>
      </w:numPr>
      <w:tabs>
        <w:tab w:val="clear" w:pos="567"/>
      </w:tabs>
      <w:spacing w:before="0" w:after="60" w:line="280" w:lineRule="exact"/>
    </w:pPr>
    <w:rPr>
      <w:snapToGrid/>
      <w:sz w:val="20"/>
      <w:szCs w:val="22"/>
      <w:lang w:val="fr-FR"/>
    </w:rPr>
  </w:style>
  <w:style w:type="character" w:customStyle="1" w:styleId="paragraph1Char">
    <w:name w:val="paragraph 1 Char"/>
    <w:link w:val="paragraph1"/>
    <w:rsid w:val="005F5FFD"/>
    <w:rPr>
      <w:rFonts w:ascii="Arial" w:eastAsia="SimSun" w:hAnsi="Arial" w:cs="Arial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 Char Char Char,Footnote Text Char Char Char Char, Char, Char Char Char Char,fn,footnote text,5_G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aliases w:val="Footnote Text Char Char Char Char Char Char,Footnote Text Char Char Char Char Char1, Char Char, Char Char Char Char Char,fn Char,footnote text Char,5_G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shortdesc1">
    <w:name w:val="short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329EE"/>
    <w:pPr>
      <w:tabs>
        <w:tab w:val="clear" w:pos="567"/>
      </w:tabs>
      <w:snapToGrid/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napToGrid/>
      <w:szCs w:val="22"/>
      <w:lang w:val="fr-FR" w:eastAsia="fr-FR"/>
    </w:rPr>
  </w:style>
  <w:style w:type="character" w:customStyle="1" w:styleId="MargeChar">
    <w:name w:val="Marge Char"/>
    <w:rsid w:val="003329EE"/>
    <w:rPr>
      <w:rFonts w:ascii="Arial" w:eastAsia="Times New Roman" w:hAnsi="Arial" w:cs="Times New Roman"/>
      <w:snapToGrid w:val="0"/>
      <w:szCs w:val="24"/>
      <w:lang w:val="fr-FR"/>
    </w:rPr>
  </w:style>
  <w:style w:type="paragraph" w:customStyle="1" w:styleId="paragraph1">
    <w:name w:val="paragraph 1"/>
    <w:basedOn w:val="Normal"/>
    <w:link w:val="paragraph1Char"/>
    <w:qFormat/>
    <w:rsid w:val="005F5FFD"/>
    <w:pPr>
      <w:numPr>
        <w:numId w:val="161"/>
      </w:numPr>
      <w:tabs>
        <w:tab w:val="clear" w:pos="567"/>
      </w:tabs>
      <w:spacing w:before="0" w:after="60" w:line="280" w:lineRule="exact"/>
    </w:pPr>
    <w:rPr>
      <w:snapToGrid/>
      <w:sz w:val="20"/>
      <w:szCs w:val="22"/>
      <w:lang w:val="fr-FR"/>
    </w:rPr>
  </w:style>
  <w:style w:type="character" w:customStyle="1" w:styleId="paragraph1Char">
    <w:name w:val="paragraph 1 Char"/>
    <w:link w:val="paragraph1"/>
    <w:rsid w:val="005F5FFD"/>
    <w:rPr>
      <w:rFonts w:ascii="Arial" w:eastAsia="SimSun" w:hAnsi="Arial" w:cs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culture/ich/doc/download.php?versionID=18480" TargetMode="External"/><Relationship Id="rId3" Type="http://schemas.openxmlformats.org/officeDocument/2006/relationships/hyperlink" Target="http://www.unesco.org/culture/ich/index.php?lg=en&amp;pg=00011&amp;RL=00989" TargetMode="External"/><Relationship Id="rId7" Type="http://schemas.openxmlformats.org/officeDocument/2006/relationships/hyperlink" Target="http://www.unesco.org/culture/ich/index.php?lg=en&amp;pg=00460" TargetMode="External"/><Relationship Id="rId12" Type="http://schemas.openxmlformats.org/officeDocument/2006/relationships/hyperlink" Target="http://www.unesco.org/culture/ich/index.php?lg=en&amp;pg=00460" TargetMode="External"/><Relationship Id="rId2" Type="http://schemas.openxmlformats.org/officeDocument/2006/relationships/hyperlink" Target="http://www.unesco.org/culture/ich/index.php?lg=en&amp;pg=00011&amp;RL=00881" TargetMode="External"/><Relationship Id="rId1" Type="http://schemas.openxmlformats.org/officeDocument/2006/relationships/hyperlink" Target="http://www.unesco.org/culture/ich/index.php?lg=en&amp;pg=00011&amp;RL=00869" TargetMode="External"/><Relationship Id="rId6" Type="http://schemas.openxmlformats.org/officeDocument/2006/relationships/hyperlink" Target="http://www.unesco.org/culture/ich/doc/src/ICH-01-2016_aide-m&#233;moire-FR.doc" TargetMode="External"/><Relationship Id="rId11" Type="http://schemas.openxmlformats.org/officeDocument/2006/relationships/hyperlink" Target="http://www.unesco.org/culture/ich/doc/download.php?versionID=18524" TargetMode="External"/><Relationship Id="rId5" Type="http://schemas.openxmlformats.org/officeDocument/2006/relationships/hyperlink" Target="http://www.unesco.org/culture/ich/doc/src/ICH-02-2016_aide-m&#233;moire-FR.docx" TargetMode="External"/><Relationship Id="rId10" Type="http://schemas.openxmlformats.org/officeDocument/2006/relationships/hyperlink" Target="http://www.unesco.org/culture/ich/doc/download.php?versionID=33231" TargetMode="External"/><Relationship Id="rId4" Type="http://schemas.openxmlformats.org/officeDocument/2006/relationships/hyperlink" Target="http://www.unesco.org/culture/ich/index.php?lg=en&amp;pg=00011&amp;RL=01007" TargetMode="External"/><Relationship Id="rId9" Type="http://schemas.openxmlformats.org/officeDocument/2006/relationships/hyperlink" Target="http://www.unesco.org/culture/ich/doc/download.php?versionID=26287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CBBE-18EE-4B84-9410-9740D73E5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022736-38A1-4F88-8756-AAB94AD4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1959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2014-07-23T14:14:00Z</dcterms:created>
  <dcterms:modified xsi:type="dcterms:W3CDTF">2018-02-22T08:40:00Z</dcterms:modified>
</cp:coreProperties>
</file>