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50A4E619" w:rsidR="009F28BC" w:rsidRPr="004936EF" w:rsidRDefault="009F28BC" w:rsidP="009F28BC">
      <w:pPr>
        <w:pStyle w:val="Chapitre"/>
        <w:rPr>
          <w:lang w:val="en-US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2662A9">
        <w:rPr>
          <w:lang w:val="en-US"/>
        </w:rPr>
        <w:t xml:space="preserve">Unit </w:t>
      </w:r>
      <w:r w:rsidR="0064147C">
        <w:rPr>
          <w:lang w:val="en-US"/>
        </w:rPr>
        <w:t>49</w:t>
      </w:r>
    </w:p>
    <w:p w14:paraId="46C994E5" w14:textId="6892FC79" w:rsidR="006C700E" w:rsidRDefault="006C700E" w:rsidP="006C700E">
      <w:pPr>
        <w:pStyle w:val="HO1"/>
      </w:pPr>
      <w:r w:rsidRPr="00EA4847">
        <w:t>Hand-out</w:t>
      </w:r>
      <w:r w:rsidR="007C3CE3">
        <w:t xml:space="preserve"> 7</w:t>
      </w:r>
      <w:r w:rsidRPr="00EA4847">
        <w:t>:</w:t>
      </w:r>
    </w:p>
    <w:bookmarkEnd w:id="0"/>
    <w:bookmarkEnd w:id="1"/>
    <w:bookmarkEnd w:id="2"/>
    <w:p w14:paraId="0A32421E" w14:textId="336ED069" w:rsidR="0031587B" w:rsidRDefault="007C3CE3" w:rsidP="00C73E9C">
      <w:pPr>
        <w:pStyle w:val="HO2"/>
      </w:pPr>
      <w:r>
        <w:t>heterogeneity of communities</w:t>
      </w:r>
    </w:p>
    <w:p w14:paraId="58B4F092" w14:textId="32B1737D" w:rsidR="007C3CE3" w:rsidRPr="0064147C" w:rsidRDefault="007C3CE3" w:rsidP="007C3CE3">
      <w:pPr>
        <w:pStyle w:val="Texte1"/>
        <w:rPr>
          <w:rFonts w:eastAsiaTheme="minorHAnsi"/>
          <w:b/>
          <w:bCs/>
          <w:lang w:val="en-US"/>
        </w:rPr>
      </w:pPr>
      <w:r w:rsidRPr="0064147C">
        <w:rPr>
          <w:rFonts w:eastAsiaTheme="minorHAnsi"/>
          <w:b/>
          <w:bCs/>
          <w:i/>
          <w:iCs/>
          <w:lang w:val="en-US"/>
        </w:rPr>
        <w:t>Note on ‘</w:t>
      </w:r>
      <w:r w:rsidRPr="0064147C">
        <w:rPr>
          <w:b/>
          <w:bCs/>
          <w:i/>
          <w:iCs/>
          <w:lang w:val="en-US"/>
        </w:rPr>
        <w:t>Heterogeneity of communities</w:t>
      </w:r>
      <w:r w:rsidRPr="0064147C">
        <w:rPr>
          <w:rFonts w:eastAsiaTheme="minorHAnsi"/>
          <w:b/>
          <w:bCs/>
          <w:i/>
          <w:iCs/>
          <w:lang w:val="en-US"/>
        </w:rPr>
        <w:t>’</w:t>
      </w:r>
      <w:r w:rsidRPr="0064147C">
        <w:rPr>
          <w:rFonts w:eastAsiaTheme="minorHAnsi"/>
          <w:b/>
          <w:bCs/>
          <w:lang w:val="en-US"/>
        </w:rPr>
        <w:t xml:space="preserve"> from the Aide-mémoire </w:t>
      </w:r>
      <w:r w:rsidRPr="0064147C">
        <w:rPr>
          <w:b/>
          <w:bCs/>
          <w:lang w:val="en-US"/>
        </w:rPr>
        <w:t xml:space="preserve">for </w:t>
      </w:r>
      <w:proofErr w:type="gramStart"/>
      <w:r w:rsidRPr="0064147C">
        <w:rPr>
          <w:b/>
          <w:bCs/>
          <w:lang w:val="en-US"/>
        </w:rPr>
        <w:t>Completing</w:t>
      </w:r>
      <w:proofErr w:type="gramEnd"/>
      <w:r w:rsidRPr="0064147C">
        <w:rPr>
          <w:rFonts w:eastAsiaTheme="minorHAnsi"/>
          <w:b/>
          <w:bCs/>
          <w:lang w:val="en-US"/>
        </w:rPr>
        <w:t xml:space="preserve"> </w:t>
      </w:r>
      <w:r w:rsidRPr="0064147C">
        <w:rPr>
          <w:b/>
          <w:bCs/>
          <w:lang w:val="en-US"/>
        </w:rPr>
        <w:t xml:space="preserve">a Nomination to the </w:t>
      </w:r>
      <w:r w:rsidRPr="0064147C">
        <w:rPr>
          <w:rFonts w:eastAsiaTheme="minorHAnsi"/>
          <w:b/>
          <w:bCs/>
          <w:lang w:val="en-US"/>
        </w:rPr>
        <w:t>Representative List:</w:t>
      </w:r>
    </w:p>
    <w:p w14:paraId="44D15BB3" w14:textId="7F8F2CAA" w:rsidR="007C3CE3" w:rsidRPr="007C3CE3" w:rsidRDefault="007C3CE3" w:rsidP="007C3CE3">
      <w:pPr>
        <w:pStyle w:val="Texte1"/>
      </w:pPr>
      <w:r w:rsidRPr="0064147C">
        <w:rPr>
          <w:lang w:val="en-US"/>
        </w:rPr>
        <w:t xml:space="preserve">Even if communities can be created by their shared attachment to particular forms of heritage that ‘provide them with a sense of identity and continuity’ (Article 2.1 of the Convention), that does not mean that their members all share a single vision of that heritage or have </w:t>
      </w:r>
      <w:r w:rsidRPr="0064147C">
        <w:rPr>
          <w:lang w:val="en-US" w:bidi="th-TH"/>
        </w:rPr>
        <w:t>the</w:t>
      </w:r>
      <w:r w:rsidRPr="0064147C">
        <w:rPr>
          <w:lang w:val="en-US"/>
        </w:rPr>
        <w:t xml:space="preserve"> same aspirations for it. Their widest possible participation is necessary especially because communities are heterogeneous, as the Committee recalled: ‘communities are to participate as widely as possible in the process of elaboration of nominations which should reflect the diversity of their expectations and demands…’ </w:t>
      </w:r>
      <w:r w:rsidRPr="00916782">
        <w:t>(</w:t>
      </w:r>
      <w:proofErr w:type="spellStart"/>
      <w:r w:rsidRPr="00916782">
        <w:t>Paragraph</w:t>
      </w:r>
      <w:proofErr w:type="spellEnd"/>
      <w:r w:rsidRPr="00916782">
        <w:t xml:space="preserve"> 30)</w:t>
      </w:r>
      <w:r>
        <w:t>.</w:t>
      </w:r>
    </w:p>
    <w:sectPr w:rsidR="007C3CE3" w:rsidRPr="007C3CE3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Footer"/>
    </w:pPr>
    <w:r w:rsidRPr="002A3923">
      <w:rPr>
        <w:noProof/>
        <w:lang w:val="fr-FR" w:eastAsia="fr-FR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  <w:t>U0</w:t>
    </w:r>
    <w:r w:rsidR="00254C5C">
      <w:t>06</w:t>
    </w:r>
    <w:r>
      <w:t>-v1.</w:t>
    </w:r>
    <w:proofErr w:type="gramStart"/>
    <w:r>
      <w:t>0-HO-EN</w:t>
    </w:r>
    <w:proofErr w:type="gramEnd"/>
    <w:r w:rsidDel="00F22FFD"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Footer"/>
    </w:pPr>
    <w:r>
      <w:t>U0</w:t>
    </w:r>
    <w:r w:rsidR="00254C5C">
      <w:t>06</w:t>
    </w:r>
    <w:r>
      <w:t>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6D7AB2CC" w:rsidR="005B432B" w:rsidRDefault="00B64FFF" w:rsidP="005B432B">
    <w:pPr>
      <w:pStyle w:val="Footer"/>
      <w:tabs>
        <w:tab w:val="left" w:pos="2093"/>
      </w:tabs>
    </w:pPr>
    <w:r>
      <w:rPr>
        <w:noProof/>
        <w:lang w:val="fr-FR" w:eastAsia="fr-FR"/>
      </w:rPr>
      <w:drawing>
        <wp:anchor distT="0" distB="0" distL="114300" distR="114300" simplePos="0" relativeHeight="251778048" behindDoc="0" locked="0" layoutInCell="1" allowOverlap="1" wp14:anchorId="172A278F" wp14:editId="0A08F4C8">
          <wp:simplePos x="0" y="0"/>
          <wp:positionH relativeFrom="column">
            <wp:posOffset>2628265</wp:posOffset>
          </wp:positionH>
          <wp:positionV relativeFrom="paragraph">
            <wp:posOffset>-12065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E3">
      <w:t>U049</w:t>
    </w:r>
    <w:r w:rsidR="005B432B">
      <w:t>-v1.</w:t>
    </w:r>
    <w:proofErr w:type="gramStart"/>
    <w:r w:rsidR="005B432B">
      <w:t>0-HO</w:t>
    </w:r>
    <w:r w:rsidR="007C3CE3">
      <w:t>7</w:t>
    </w:r>
    <w:r w:rsidR="005B432B">
      <w:t>-EN</w:t>
    </w:r>
    <w:proofErr w:type="gramEnd"/>
    <w:r w:rsidR="005B432B">
      <w:tab/>
    </w:r>
    <w:r w:rsidR="007D7A03">
      <w:tab/>
    </w:r>
    <w:r w:rsidR="005B432B">
      <w:tab/>
    </w:r>
    <w:r w:rsidR="005B432B" w:rsidRPr="00473E47">
      <w:rPr>
        <w:noProof/>
        <w:szCs w:val="20"/>
        <w:lang w:val="fr-FR" w:eastAsia="fr-FR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044005" w:rsidRDefault="00044005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>
      <w:tab/>
    </w:r>
    <w:proofErr w:type="spellStart"/>
    <w:r>
      <w:t>Hand</w:t>
    </w:r>
    <w:proofErr w:type="spellEnd"/>
    <w:r>
      <w:t>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 w:rsidR="005B432B">
      <w:rPr>
        <w:rStyle w:val="PageNumber"/>
      </w:rPr>
      <w:t xml:space="preserve">Unit 6: </w:t>
    </w:r>
    <w:proofErr w:type="spellStart"/>
    <w:r w:rsidR="005B432B">
      <w:rPr>
        <w:rStyle w:val="PageNumber"/>
      </w:rPr>
      <w:t>Identification</w:t>
    </w:r>
    <w:proofErr w:type="spellEnd"/>
    <w:r w:rsidR="005B432B">
      <w:rPr>
        <w:rStyle w:val="PageNumber"/>
      </w:rPr>
      <w:t xml:space="preserve"> and </w:t>
    </w:r>
    <w:proofErr w:type="spellStart"/>
    <w:r w:rsidR="005B432B">
      <w:rPr>
        <w:rStyle w:val="PageNumber"/>
      </w:rPr>
      <w:t>inventorying</w:t>
    </w:r>
    <w:proofErr w:type="spellEnd"/>
    <w:r w:rsidR="005B432B"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F4594A5" w:rsidR="00044005" w:rsidRPr="002305AA" w:rsidRDefault="00254C5C">
    <w:pPr>
      <w:pStyle w:val="Header"/>
    </w:pPr>
    <w:r>
      <w:tab/>
    </w:r>
    <w:proofErr w:type="spellStart"/>
    <w:r>
      <w:t>Hand</w:t>
    </w:r>
    <w:proofErr w:type="spellEnd"/>
    <w:r>
      <w:t>-out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47C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CE3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03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5F9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4FFF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9967-3655-4F4B-B8D1-54CA542A4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EA612-4C29-477D-BD35-4CDFCBF2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2018-02-22T08:42:00Z</dcterms:modified>
</cp:coreProperties>
</file>