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9C2F" w14:textId="77777777" w:rsidR="00104257" w:rsidRPr="00D92B71" w:rsidRDefault="00104257" w:rsidP="00584021">
      <w:pPr>
        <w:spacing w:before="1440"/>
        <w:ind w:hanging="567"/>
        <w:jc w:val="center"/>
        <w:rPr>
          <w:rFonts w:ascii="Arial" w:hAnsi="Arial" w:cs="Arial"/>
          <w:b/>
          <w:szCs w:val="22"/>
          <w:lang w:val="fr-FR"/>
        </w:rPr>
      </w:pPr>
      <w:r w:rsidRPr="00BC0A09">
        <w:rPr>
          <w:rFonts w:ascii="Arial" w:hAnsi="Arial" w:cs="Arial"/>
          <w:b/>
          <w:szCs w:val="22"/>
          <w:lang w:val="fr-FR"/>
        </w:rPr>
        <w:t>CONVENTION POUR LA SAUVEGARDE DU</w:t>
      </w:r>
      <w:r w:rsidRPr="00BC0A09">
        <w:rPr>
          <w:rFonts w:ascii="Arial" w:hAnsi="Arial" w:cs="Arial"/>
          <w:b/>
          <w:szCs w:val="22"/>
          <w:lang w:val="fr-FR"/>
        </w:rPr>
        <w:br/>
        <w:t>PATRIMOINE CULTUREL IMMATÉRIEL</w:t>
      </w:r>
    </w:p>
    <w:p w14:paraId="73796CB8" w14:textId="77777777" w:rsidR="00104257" w:rsidRPr="00974CFE" w:rsidRDefault="00104257" w:rsidP="00584021">
      <w:pPr>
        <w:spacing w:before="840" w:after="0"/>
        <w:ind w:hanging="567"/>
        <w:jc w:val="center"/>
        <w:rPr>
          <w:rFonts w:ascii="Arial" w:eastAsiaTheme="minorEastAsia" w:hAnsi="Arial" w:cs="Arial"/>
          <w:b/>
          <w:szCs w:val="22"/>
          <w:lang w:val="fr-FR" w:eastAsia="ko-KR"/>
        </w:rPr>
      </w:pPr>
      <w:r w:rsidRPr="009D27D0">
        <w:rPr>
          <w:rFonts w:ascii="Arial" w:eastAsiaTheme="minorEastAsia" w:hAnsi="Arial" w:cs="Arial"/>
          <w:b/>
          <w:szCs w:val="22"/>
          <w:lang w:val="fr-FR" w:eastAsia="ko-KR"/>
        </w:rPr>
        <w:t xml:space="preserve">Groupe de travail intergouvernemental à </w:t>
      </w:r>
      <w:r w:rsidRPr="00974CFE">
        <w:rPr>
          <w:rFonts w:ascii="Arial" w:eastAsiaTheme="minorEastAsia" w:hAnsi="Arial" w:cs="Arial"/>
          <w:b/>
          <w:szCs w:val="22"/>
          <w:lang w:val="fr-FR" w:eastAsia="ko-KR"/>
        </w:rPr>
        <w:t>composition non limitée dans le cadre de la réflexion globale sur les mécanismes de la Convention de 2003</w:t>
      </w:r>
    </w:p>
    <w:p w14:paraId="144CD126" w14:textId="77777777" w:rsidR="00104257" w:rsidRPr="00F43933" w:rsidRDefault="00104257" w:rsidP="00584021">
      <w:pPr>
        <w:spacing w:before="840" w:after="0"/>
        <w:ind w:hanging="567"/>
        <w:jc w:val="center"/>
        <w:rPr>
          <w:rFonts w:ascii="Arial" w:eastAsiaTheme="minorEastAsia" w:hAnsi="Arial" w:cs="Arial"/>
          <w:b/>
          <w:szCs w:val="22"/>
          <w:lang w:val="fr-FR" w:eastAsia="ko-KR"/>
        </w:rPr>
      </w:pPr>
      <w:r w:rsidRPr="00F43933">
        <w:rPr>
          <w:rFonts w:ascii="Arial" w:eastAsiaTheme="minorEastAsia" w:hAnsi="Arial" w:cs="Arial"/>
          <w:b/>
          <w:szCs w:val="22"/>
          <w:lang w:val="fr-FR" w:eastAsia="ko-KR"/>
        </w:rPr>
        <w:t>En ligne</w:t>
      </w:r>
    </w:p>
    <w:p w14:paraId="62004D7C" w14:textId="77777777" w:rsidR="00104257" w:rsidRPr="002454D5" w:rsidRDefault="00104257" w:rsidP="00584021">
      <w:pPr>
        <w:spacing w:after="0"/>
        <w:ind w:hanging="567"/>
        <w:jc w:val="center"/>
        <w:rPr>
          <w:rFonts w:ascii="Arial" w:eastAsiaTheme="minorEastAsia" w:hAnsi="Arial" w:cs="Arial"/>
          <w:b/>
          <w:szCs w:val="22"/>
          <w:lang w:val="fr-FR" w:eastAsia="ko-KR"/>
        </w:rPr>
      </w:pPr>
      <w:r w:rsidRPr="002454D5">
        <w:rPr>
          <w:rFonts w:ascii="Arial" w:eastAsiaTheme="minorEastAsia" w:hAnsi="Arial" w:cs="Arial"/>
          <w:b/>
          <w:szCs w:val="22"/>
          <w:lang w:val="fr-FR" w:eastAsia="ko-KR"/>
        </w:rPr>
        <w:t>9h30 – 17h30 (Paris time / UTC+2)</w:t>
      </w:r>
    </w:p>
    <w:p w14:paraId="40A96E1B" w14:textId="77777777" w:rsidR="00104257" w:rsidRPr="00431E50" w:rsidRDefault="00104257" w:rsidP="00584021">
      <w:pPr>
        <w:spacing w:after="0"/>
        <w:ind w:hanging="567"/>
        <w:jc w:val="center"/>
        <w:rPr>
          <w:rFonts w:ascii="Arial" w:hAnsi="Arial" w:cs="Arial"/>
          <w:b/>
          <w:szCs w:val="22"/>
          <w:lang w:val="fr-FR"/>
        </w:rPr>
      </w:pPr>
      <w:r w:rsidRPr="00F43933">
        <w:rPr>
          <w:rFonts w:ascii="Arial" w:eastAsiaTheme="minorEastAsia" w:hAnsi="Arial" w:cs="Arial"/>
          <w:b/>
          <w:szCs w:val="22"/>
          <w:lang w:val="fr-FR" w:eastAsia="ko-KR"/>
        </w:rPr>
        <w:t>9 et 10 septembre</w:t>
      </w:r>
      <w:r w:rsidRPr="00F43933">
        <w:rPr>
          <w:rFonts w:ascii="Arial" w:hAnsi="Arial" w:cs="Arial"/>
          <w:b/>
          <w:szCs w:val="22"/>
          <w:lang w:val="fr-FR"/>
        </w:rPr>
        <w:t xml:space="preserve"> 2021 (Partie II)</w:t>
      </w:r>
    </w:p>
    <w:p w14:paraId="3EF1D667" w14:textId="77777777" w:rsidR="00104257" w:rsidRPr="00431E50" w:rsidRDefault="00104257" w:rsidP="00584021">
      <w:pPr>
        <w:pStyle w:val="Sansinterligne2"/>
        <w:spacing w:before="720"/>
        <w:ind w:hanging="567"/>
        <w:jc w:val="center"/>
        <w:rPr>
          <w:rFonts w:ascii="Arial" w:hAnsi="Arial" w:cs="Arial"/>
          <w:b/>
          <w:sz w:val="22"/>
          <w:szCs w:val="22"/>
        </w:rPr>
      </w:pPr>
      <w:r w:rsidRPr="00431E50">
        <w:rPr>
          <w:rFonts w:ascii="Arial" w:hAnsi="Arial" w:cs="Arial"/>
          <w:b/>
          <w:sz w:val="22"/>
          <w:szCs w:val="22"/>
          <w:u w:val="single"/>
        </w:rPr>
        <w:t>Point 7 de l’Ordre du jour </w:t>
      </w:r>
      <w:r w:rsidRPr="00431E50">
        <w:rPr>
          <w:rFonts w:ascii="Arial" w:hAnsi="Arial" w:cs="Arial"/>
          <w:b/>
          <w:sz w:val="22"/>
          <w:szCs w:val="22"/>
        </w:rPr>
        <w:t>:</w:t>
      </w:r>
    </w:p>
    <w:p w14:paraId="5EBB0A07" w14:textId="77777777" w:rsidR="00104257" w:rsidRPr="00431E50" w:rsidRDefault="00104257" w:rsidP="00584021">
      <w:pPr>
        <w:pStyle w:val="Sansinterligne2"/>
        <w:spacing w:after="1200"/>
        <w:ind w:hanging="567"/>
        <w:jc w:val="center"/>
        <w:rPr>
          <w:rFonts w:ascii="Arial" w:hAnsi="Arial" w:cs="Arial"/>
          <w:b/>
          <w:sz w:val="22"/>
          <w:szCs w:val="22"/>
        </w:rPr>
      </w:pPr>
      <w:r w:rsidRPr="00431E50">
        <w:rPr>
          <w:rFonts w:ascii="Arial" w:hAnsi="Arial" w:cs="Arial"/>
          <w:b/>
          <w:sz w:val="22"/>
          <w:szCs w:val="22"/>
        </w:rPr>
        <w:t>Autres questions nécessitant une réflexion plus approfondie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5E4D8D" w14:paraId="11E38FB5" w14:textId="77777777" w:rsidTr="00D1707A">
        <w:trPr>
          <w:jc w:val="center"/>
        </w:trPr>
        <w:tc>
          <w:tcPr>
            <w:tcW w:w="5670" w:type="dxa"/>
            <w:vAlign w:val="center"/>
          </w:tcPr>
          <w:p w14:paraId="3AB020B5" w14:textId="44F07A65" w:rsidR="00CB500D" w:rsidRPr="00431E50" w:rsidRDefault="00104257" w:rsidP="00D5674A">
            <w:pPr>
              <w:pStyle w:val="Sansinterligne2"/>
              <w:spacing w:before="200" w:after="200"/>
              <w:jc w:val="both"/>
              <w:rPr>
                <w:rFonts w:ascii="Arial" w:hAnsi="Arial" w:cs="Arial"/>
                <w:bCs/>
                <w:sz w:val="22"/>
                <w:szCs w:val="22"/>
              </w:rPr>
            </w:pPr>
            <w:r w:rsidRPr="00431E50">
              <w:rPr>
                <w:rFonts w:ascii="Arial" w:hAnsi="Arial" w:cs="Arial"/>
                <w:bCs/>
                <w:sz w:val="22"/>
                <w:szCs w:val="22"/>
              </w:rPr>
              <w:t xml:space="preserve">En concluant la première partie de sa réunion (en ligne, les 8 et 9 juillet 2021), le groupe de travail intergouvernemental à composition non limitée a décidé de discuter </w:t>
            </w:r>
            <w:r w:rsidR="003C6304">
              <w:rPr>
                <w:rFonts w:ascii="Arial" w:hAnsi="Arial" w:cs="Arial"/>
                <w:bCs/>
                <w:sz w:val="22"/>
                <w:szCs w:val="22"/>
              </w:rPr>
              <w:t>plus en détail</w:t>
            </w:r>
            <w:r w:rsidRPr="00431E50">
              <w:rPr>
                <w:rFonts w:ascii="Arial" w:hAnsi="Arial" w:cs="Arial"/>
                <w:bCs/>
                <w:sz w:val="22"/>
                <w:szCs w:val="22"/>
              </w:rPr>
              <w:t xml:space="preserve"> </w:t>
            </w:r>
            <w:r w:rsidR="003C6304">
              <w:rPr>
                <w:rFonts w:ascii="Arial" w:hAnsi="Arial" w:cs="Arial"/>
                <w:bCs/>
                <w:sz w:val="22"/>
                <w:szCs w:val="22"/>
              </w:rPr>
              <w:t>d’</w:t>
            </w:r>
            <w:r w:rsidRPr="00431E50">
              <w:rPr>
                <w:rFonts w:ascii="Arial" w:hAnsi="Arial" w:cs="Arial"/>
                <w:bCs/>
                <w:sz w:val="22"/>
                <w:szCs w:val="22"/>
              </w:rPr>
              <w:t xml:space="preserve">un certain nombre de questions </w:t>
            </w:r>
            <w:r w:rsidR="00B7741B">
              <w:rPr>
                <w:rFonts w:ascii="Arial" w:hAnsi="Arial" w:cs="Arial"/>
                <w:bCs/>
                <w:sz w:val="22"/>
                <w:szCs w:val="22"/>
              </w:rPr>
              <w:t>lors de la reprise de</w:t>
            </w:r>
            <w:r w:rsidRPr="00431E50">
              <w:rPr>
                <w:rFonts w:ascii="Arial" w:hAnsi="Arial" w:cs="Arial"/>
                <w:bCs/>
                <w:sz w:val="22"/>
                <w:szCs w:val="22"/>
              </w:rPr>
              <w:t xml:space="preserve"> la deuxième partie de sa réunion. Le présent document fournit des informations et des propositions supplémentaires concernant D) la faisabilité, les rôles et la fonctionnalité de la création d'une plateforme/réseau/forum pour le suivi des éléments inscrits et E) le nombre de dossiers par cycle.</w:t>
            </w:r>
          </w:p>
        </w:tc>
      </w:tr>
    </w:tbl>
    <w:p w14:paraId="5A14B7F8" w14:textId="6FE227CB" w:rsidR="00E22B99" w:rsidRPr="00431E50" w:rsidRDefault="00851458" w:rsidP="00584021">
      <w:pPr>
        <w:pStyle w:val="1GAPara"/>
        <w:numPr>
          <w:ilvl w:val="0"/>
          <w:numId w:val="0"/>
        </w:numPr>
        <w:ind w:left="567" w:hanging="567"/>
        <w:rPr>
          <w:lang w:val="fr-FR"/>
        </w:rPr>
      </w:pPr>
      <w:r w:rsidRPr="00431E50">
        <w:rPr>
          <w:lang w:val="fr-FR"/>
        </w:rPr>
        <w:br w:type="page"/>
      </w:r>
    </w:p>
    <w:p w14:paraId="7DB6B935" w14:textId="7DA39144" w:rsidR="001D2891" w:rsidRPr="002454D5" w:rsidRDefault="00104257" w:rsidP="00584021">
      <w:pPr>
        <w:pStyle w:val="1GAPara"/>
        <w:numPr>
          <w:ilvl w:val="0"/>
          <w:numId w:val="0"/>
        </w:numPr>
        <w:ind w:left="567" w:hanging="567"/>
        <w:rPr>
          <w:b/>
          <w:bCs/>
          <w:lang w:val="fr-FR"/>
        </w:rPr>
      </w:pPr>
      <w:r w:rsidRPr="002454D5">
        <w:rPr>
          <w:b/>
          <w:bCs/>
          <w:lang w:val="fr-FR"/>
        </w:rPr>
        <w:lastRenderedPageBreak/>
        <w:t>Contexte</w:t>
      </w:r>
    </w:p>
    <w:p w14:paraId="756BF3B2" w14:textId="6A6667E0" w:rsidR="00B7741B" w:rsidRDefault="00B7741B" w:rsidP="00584021">
      <w:pPr>
        <w:pStyle w:val="1GAPara"/>
        <w:ind w:hanging="567"/>
        <w:jc w:val="both"/>
        <w:rPr>
          <w:lang w:val="fr-FR"/>
        </w:rPr>
      </w:pPr>
      <w:r w:rsidRPr="00B7741B">
        <w:rPr>
          <w:lang w:val="fr-FR"/>
        </w:rPr>
        <w:t xml:space="preserve">Le présent document vise à la fois à présenter une cartographie des propositions qui ont </w:t>
      </w:r>
      <w:r>
        <w:rPr>
          <w:lang w:val="fr-FR"/>
        </w:rPr>
        <w:t xml:space="preserve">émergé </w:t>
      </w:r>
      <w:r w:rsidRPr="00B7741B">
        <w:rPr>
          <w:lang w:val="fr-FR"/>
        </w:rPr>
        <w:t xml:space="preserve">à la suite des conseils d'experts et des discussions tenues au cours de la </w:t>
      </w:r>
      <w:r w:rsidR="003C6304">
        <w:rPr>
          <w:lang w:val="fr-FR"/>
        </w:rPr>
        <w:t>Partie I</w:t>
      </w:r>
      <w:r w:rsidRPr="00B7741B">
        <w:rPr>
          <w:lang w:val="fr-FR"/>
        </w:rPr>
        <w:t xml:space="preserve"> du groupe de travail intergouvernemental à composition non limitée (ci-après</w:t>
      </w:r>
      <w:r>
        <w:rPr>
          <w:lang w:val="fr-FR"/>
        </w:rPr>
        <w:t xml:space="preserve"> désigné</w:t>
      </w:r>
      <w:r w:rsidRPr="00B7741B">
        <w:rPr>
          <w:lang w:val="fr-FR"/>
        </w:rPr>
        <w:t xml:space="preserve"> « le groupe de travail ») et </w:t>
      </w:r>
      <w:r>
        <w:rPr>
          <w:lang w:val="fr-FR"/>
        </w:rPr>
        <w:t xml:space="preserve">à </w:t>
      </w:r>
      <w:r w:rsidRPr="00B7741B">
        <w:rPr>
          <w:lang w:val="fr-FR"/>
        </w:rPr>
        <w:t>analyser davantage le</w:t>
      </w:r>
      <w:r>
        <w:rPr>
          <w:lang w:val="fr-FR"/>
        </w:rPr>
        <w:t>s</w:t>
      </w:r>
      <w:r w:rsidRPr="00B7741B">
        <w:rPr>
          <w:lang w:val="fr-FR"/>
        </w:rPr>
        <w:t xml:space="preserve"> fonctionnalités et rôles </w:t>
      </w:r>
      <w:r>
        <w:rPr>
          <w:lang w:val="fr-FR"/>
        </w:rPr>
        <w:t xml:space="preserve">potentiels </w:t>
      </w:r>
      <w:r w:rsidRPr="00B7741B">
        <w:rPr>
          <w:lang w:val="fr-FR"/>
        </w:rPr>
        <w:t xml:space="preserve">de ces propositions afin que leur faisabilité puisse être discutée </w:t>
      </w:r>
      <w:r>
        <w:rPr>
          <w:lang w:val="fr-FR"/>
        </w:rPr>
        <w:t>de manière plus détaillée</w:t>
      </w:r>
      <w:r w:rsidRPr="00B7741B">
        <w:rPr>
          <w:lang w:val="fr-FR"/>
        </w:rPr>
        <w:t xml:space="preserve"> lors de la </w:t>
      </w:r>
      <w:r>
        <w:rPr>
          <w:lang w:val="fr-FR"/>
        </w:rPr>
        <w:t>P</w:t>
      </w:r>
      <w:r w:rsidRPr="00B7741B">
        <w:rPr>
          <w:lang w:val="fr-FR"/>
        </w:rPr>
        <w:t>artie II de la réunion.</w:t>
      </w:r>
    </w:p>
    <w:p w14:paraId="4EB2E051" w14:textId="75ABF78E" w:rsidR="003F4D2D" w:rsidRPr="009D27D0" w:rsidRDefault="003F4D2D" w:rsidP="00584021">
      <w:pPr>
        <w:pStyle w:val="1GAPara"/>
        <w:ind w:hanging="567"/>
        <w:jc w:val="both"/>
        <w:rPr>
          <w:lang w:val="fr-FR"/>
        </w:rPr>
      </w:pPr>
      <w:r w:rsidRPr="00BC0A09">
        <w:rPr>
          <w:lang w:val="fr-FR"/>
        </w:rPr>
        <w:t xml:space="preserve">Si </w:t>
      </w:r>
      <w:r w:rsidRPr="00D92B71">
        <w:rPr>
          <w:lang w:val="fr-FR"/>
        </w:rPr>
        <w:t xml:space="preserve">la </w:t>
      </w:r>
      <w:r w:rsidR="003724C2" w:rsidRPr="00431E50">
        <w:rPr>
          <w:lang w:val="fr-FR"/>
        </w:rPr>
        <w:t>Partie I</w:t>
      </w:r>
      <w:r w:rsidRPr="00431E50">
        <w:rPr>
          <w:lang w:val="fr-FR"/>
        </w:rPr>
        <w:t xml:space="preserve"> a permis de clarifier de nombreuses questions relatives aux thèmes de réflexion, il a été décidé de discuter à nouveau d'une série de questions lors de la </w:t>
      </w:r>
      <w:r w:rsidR="003724C2" w:rsidRPr="00431E50">
        <w:rPr>
          <w:lang w:val="fr-FR"/>
        </w:rPr>
        <w:t>Partie II</w:t>
      </w:r>
      <w:r w:rsidRPr="00431E50">
        <w:rPr>
          <w:lang w:val="fr-FR"/>
        </w:rPr>
        <w:t xml:space="preserve"> </w:t>
      </w:r>
      <w:r w:rsidRPr="00BE073C">
        <w:rPr>
          <w:lang w:val="fr-FR"/>
        </w:rPr>
        <w:t xml:space="preserve">(voir le paragraphe 12 des </w:t>
      </w:r>
      <w:hyperlink r:id="rId8" w:history="1">
        <w:r w:rsidR="003724C2" w:rsidRPr="00BE073C">
          <w:rPr>
            <w:rStyle w:val="Lienhypertexte"/>
            <w:lang w:val="fr-FR"/>
          </w:rPr>
          <w:t>R</w:t>
        </w:r>
        <w:r w:rsidRPr="00BE073C">
          <w:rPr>
            <w:rStyle w:val="Lienhypertexte"/>
            <w:lang w:val="fr-FR"/>
          </w:rPr>
          <w:t xml:space="preserve">ecommandations de la </w:t>
        </w:r>
        <w:r w:rsidR="003724C2" w:rsidRPr="00BE073C">
          <w:rPr>
            <w:rStyle w:val="Lienhypertexte"/>
            <w:lang w:val="fr-FR"/>
          </w:rPr>
          <w:t>Partie I</w:t>
        </w:r>
        <w:r w:rsidRPr="00BE073C">
          <w:rPr>
            <w:rStyle w:val="Lienhypertexte"/>
            <w:lang w:val="fr-FR"/>
          </w:rPr>
          <w:t xml:space="preserve"> du groupe de travail intergouvernemental à composition non limitée</w:t>
        </w:r>
      </w:hyperlink>
      <w:r w:rsidRPr="00BE073C">
        <w:rPr>
          <w:lang w:val="fr-FR"/>
        </w:rPr>
        <w:t>).</w:t>
      </w:r>
      <w:r w:rsidRPr="00BC0A09">
        <w:rPr>
          <w:lang w:val="fr-FR"/>
        </w:rPr>
        <w:t xml:space="preserve"> </w:t>
      </w:r>
      <w:r w:rsidRPr="00D92B71">
        <w:rPr>
          <w:lang w:val="fr-FR"/>
        </w:rPr>
        <w:t xml:space="preserve">Le groupe de travail a demandé au Secrétariat de fournir des informations complémentaires en tenant compte des points convenus à cet égard. </w:t>
      </w:r>
    </w:p>
    <w:p w14:paraId="426BD2C9" w14:textId="3E16CBEC" w:rsidR="005E1133" w:rsidRPr="00F43933" w:rsidRDefault="00B3542A" w:rsidP="00584021">
      <w:pPr>
        <w:pStyle w:val="1GAPara"/>
        <w:ind w:hanging="567"/>
        <w:jc w:val="both"/>
        <w:rPr>
          <w:lang w:val="fr-FR"/>
        </w:rPr>
      </w:pPr>
      <w:r w:rsidRPr="00974CFE">
        <w:rPr>
          <w:lang w:val="fr-FR"/>
        </w:rPr>
        <w:t xml:space="preserve">Parmi ceux-ci, trois sujets considérés comme prioritaires sont traités dans le document de travail </w:t>
      </w:r>
      <w:hyperlink r:id="rId9" w:history="1">
        <w:r w:rsidR="007F64A8" w:rsidRPr="007F64A8">
          <w:rPr>
            <w:rStyle w:val="Lienhypertexte"/>
            <w:lang w:val="fr-FR"/>
          </w:rPr>
          <w:t>LHE/21/16.COM WG/6</w:t>
        </w:r>
      </w:hyperlink>
      <w:r w:rsidRPr="00F43933">
        <w:rPr>
          <w:lang w:val="fr-FR"/>
        </w:rPr>
        <w:t>, à savoir :</w:t>
      </w:r>
    </w:p>
    <w:p w14:paraId="1BA16592" w14:textId="77777777" w:rsidR="003724C2" w:rsidRPr="00431E50" w:rsidRDefault="003724C2" w:rsidP="00D5674A">
      <w:pPr>
        <w:pStyle w:val="1GAPara"/>
        <w:numPr>
          <w:ilvl w:val="0"/>
          <w:numId w:val="0"/>
        </w:numPr>
        <w:ind w:left="720" w:hanging="11"/>
        <w:jc w:val="both"/>
        <w:rPr>
          <w:lang w:val="fr-FR"/>
        </w:rPr>
      </w:pPr>
      <w:r w:rsidRPr="00F43933">
        <w:rPr>
          <w:lang w:val="fr-FR"/>
        </w:rPr>
        <w:t>A : une procédure simplifiée pour le trans</w:t>
      </w:r>
      <w:r w:rsidRPr="00431E50">
        <w:rPr>
          <w:lang w:val="fr-FR"/>
        </w:rPr>
        <w:t>fert d’éléments entre les Listes ainsi que l’inclusion dans le Registre des expériences de sauvegarde qui ont réussi à améliorer la viabilité des éléments inscrits sur la Liste de sauvegarde urgente ;</w:t>
      </w:r>
    </w:p>
    <w:p w14:paraId="19C2418C" w14:textId="77777777" w:rsidR="003724C2" w:rsidRPr="00431E50" w:rsidRDefault="003724C2" w:rsidP="00D5674A">
      <w:pPr>
        <w:pStyle w:val="1GAPara"/>
        <w:numPr>
          <w:ilvl w:val="0"/>
          <w:numId w:val="0"/>
        </w:numPr>
        <w:ind w:left="720" w:hanging="11"/>
        <w:jc w:val="both"/>
        <w:rPr>
          <w:lang w:val="fr-FR"/>
        </w:rPr>
      </w:pPr>
      <w:r w:rsidRPr="00431E50">
        <w:rPr>
          <w:lang w:val="fr-FR"/>
        </w:rPr>
        <w:t>B : une procédure spécifique pour retirer des éléments des Listes de la Convention, notamment l’introduction de mesures provisoires ;</w:t>
      </w:r>
    </w:p>
    <w:p w14:paraId="7B38F55B" w14:textId="77777777" w:rsidR="0087071D" w:rsidRDefault="003724C2" w:rsidP="00D5674A">
      <w:pPr>
        <w:pStyle w:val="1GAPara"/>
        <w:numPr>
          <w:ilvl w:val="0"/>
          <w:numId w:val="0"/>
        </w:numPr>
        <w:ind w:left="720" w:hanging="11"/>
        <w:jc w:val="both"/>
        <w:rPr>
          <w:rFonts w:asciiTheme="minorBidi" w:hAnsiTheme="minorBidi" w:cstheme="minorBidi"/>
          <w:i/>
          <w:iCs/>
          <w:lang w:val="fr-FR"/>
        </w:rPr>
      </w:pPr>
      <w:r w:rsidRPr="00431E50">
        <w:rPr>
          <w:lang w:val="fr-FR"/>
        </w:rPr>
        <w:t>C : Des procédures révisées pour l’inscription d’éléments sur une base étendue.</w:t>
      </w:r>
      <w:r w:rsidR="0087071D">
        <w:rPr>
          <w:rFonts w:asciiTheme="minorBidi" w:hAnsiTheme="minorBidi" w:cstheme="minorBidi"/>
          <w:i/>
          <w:iCs/>
          <w:lang w:val="fr-FR"/>
        </w:rPr>
        <w:t xml:space="preserve"> </w:t>
      </w:r>
    </w:p>
    <w:p w14:paraId="46B25409" w14:textId="3474ADB6" w:rsidR="00F46755" w:rsidRPr="0087071D" w:rsidRDefault="00B3542A" w:rsidP="00584021">
      <w:pPr>
        <w:pStyle w:val="1GAPara"/>
        <w:ind w:hanging="567"/>
        <w:jc w:val="both"/>
        <w:rPr>
          <w:rFonts w:asciiTheme="minorBidi" w:hAnsiTheme="minorBidi" w:cstheme="minorBidi"/>
          <w:i/>
          <w:iCs/>
          <w:lang w:val="fr-FR"/>
        </w:rPr>
      </w:pPr>
      <w:r w:rsidRPr="0087071D">
        <w:rPr>
          <w:lang w:val="fr-FR"/>
        </w:rPr>
        <w:t>Le présent document vise à traiter d'autres questions que celles mentionnées ci-dessus, notamment :</w:t>
      </w:r>
    </w:p>
    <w:p w14:paraId="4588DF0A" w14:textId="77777777" w:rsidR="003724C2" w:rsidRPr="00431E50" w:rsidRDefault="003724C2" w:rsidP="00D5674A">
      <w:pPr>
        <w:pStyle w:val="1GAPara"/>
        <w:numPr>
          <w:ilvl w:val="0"/>
          <w:numId w:val="0"/>
        </w:numPr>
        <w:ind w:left="720" w:hanging="11"/>
        <w:jc w:val="both"/>
        <w:rPr>
          <w:lang w:val="fr-FR"/>
        </w:rPr>
      </w:pPr>
      <w:r w:rsidRPr="00431E50">
        <w:rPr>
          <w:lang w:val="fr-FR"/>
        </w:rPr>
        <w:t>D : Faisabilité, rôles et fonctionnalité de la création d’une plateforme en ligne « indépendante », un réseau d’éléments inscrits et un forum spécial (paragraphes 12.c et 12.d des recommandations de la Partie I).</w:t>
      </w:r>
    </w:p>
    <w:p w14:paraId="1B77ED8E" w14:textId="3868D496" w:rsidR="0087071D" w:rsidRPr="00BE073C" w:rsidRDefault="003724C2" w:rsidP="00D5674A">
      <w:pPr>
        <w:pStyle w:val="1GAPara"/>
        <w:numPr>
          <w:ilvl w:val="0"/>
          <w:numId w:val="0"/>
        </w:numPr>
        <w:ind w:left="720" w:hanging="11"/>
        <w:jc w:val="both"/>
        <w:rPr>
          <w:lang w:val="fr-FR"/>
        </w:rPr>
      </w:pPr>
      <w:r w:rsidRPr="00431E50">
        <w:rPr>
          <w:lang w:val="fr-FR"/>
        </w:rPr>
        <w:t>E : Nombre de dossiers par cycle, en particulier les trois propositions spécifiques formulées lors de la Partie I du groupe de travail (paragraphes 12.i, 12.j et 12.k des recommandations de la Partie I).</w:t>
      </w:r>
    </w:p>
    <w:p w14:paraId="6DB876F5" w14:textId="4A46DC22" w:rsidR="003724C2" w:rsidRPr="0087071D" w:rsidRDefault="003724C2" w:rsidP="00584021">
      <w:pPr>
        <w:pStyle w:val="1GAPara"/>
        <w:ind w:hanging="567"/>
        <w:jc w:val="both"/>
        <w:rPr>
          <w:lang w:val="fr-FR"/>
        </w:rPr>
      </w:pPr>
      <w:r w:rsidRPr="00D5674A">
        <w:rPr>
          <w:lang w:val="fr-FR"/>
        </w:rPr>
        <w:t xml:space="preserve">Dans la Partie I de sa réunion, le groupe de travail a recommandé d’entamer une réflexion en vue d’une mise en œuvre plus large de l’Article 18 de la Convention (paragraphe 10 des recommandations de la Partie I), tandis que l’éventuelle « suppression ou reformulation des critères, autres que le critère P.9 » pourrait être discutée plus en détail dans l’attente de cette réflexion (paragraphe 12.a des recommandations de la Partie I). </w:t>
      </w:r>
      <w:r w:rsidRPr="00BE073C">
        <w:rPr>
          <w:lang w:val="fr-FR"/>
        </w:rPr>
        <w:t>Étant donné les liens directs entre les critères de sélection, la nature du Registre et la mise en œuvre plus large de l’Article 18, il pourrait être plus efficace d’encadrer toute discussion sur d’éventuelles modifications des critères dans le cadre d’une</w:t>
      </w:r>
      <w:r w:rsidRPr="0087071D">
        <w:rPr>
          <w:lang w:val="fr-FR"/>
        </w:rPr>
        <w:t xml:space="preserve"> future réflexion sur la mise en œuvre de l’Article 18. En même temps, compte tenu du fait que les propositions pour le Registre des bonnes pratiques de sauvegarde doivent satisfaire au mieux les critères de sélection (paragraphe 7 des Directives opérationnelles) et non pas répondre strictement à chacun des critères, le groupe de travail pourrait souhaiter recommander que le Comité invite l’Organe d’évaluation à prendre note des discussions des réunions d’experts et du groupe de travail intergouvernemental en adoptant une approche globale lors de l’évaluation des propositions pour le Registre. </w:t>
      </w:r>
    </w:p>
    <w:p w14:paraId="5CC12047" w14:textId="77777777" w:rsidR="003724C2" w:rsidRPr="00431E50" w:rsidRDefault="003724C2" w:rsidP="00584021">
      <w:pPr>
        <w:pStyle w:val="1GAPara"/>
        <w:ind w:hanging="567"/>
        <w:jc w:val="both"/>
        <w:rPr>
          <w:lang w:val="fr-FR"/>
        </w:rPr>
      </w:pPr>
      <w:r w:rsidRPr="00431E50">
        <w:rPr>
          <w:lang w:val="fr-FR"/>
        </w:rPr>
        <w:t>Pour les questions devant faire l’objet d’une discussion plus approfondie conformément aux paragraphes 12.b et 12.g des recommandations de la Partie I, les documents de travail de la Partie I restent pertinents.</w:t>
      </w:r>
    </w:p>
    <w:p w14:paraId="56104C18" w14:textId="6B94BC8C" w:rsidR="007153CE" w:rsidRPr="0087071D" w:rsidRDefault="00104257" w:rsidP="00155E12">
      <w:pPr>
        <w:pStyle w:val="1GAPara"/>
        <w:numPr>
          <w:ilvl w:val="0"/>
          <w:numId w:val="7"/>
        </w:numPr>
        <w:ind w:hanging="567"/>
        <w:jc w:val="both"/>
        <w:rPr>
          <w:b/>
          <w:bCs/>
          <w:lang w:val="fr-FR"/>
        </w:rPr>
      </w:pPr>
      <w:r w:rsidRPr="0087071D">
        <w:rPr>
          <w:b/>
          <w:bCs/>
          <w:lang w:val="fr-FR"/>
        </w:rPr>
        <w:t>Faisabilité, rôles et fonctionnalité pour la création d’une plateforme/réseau/forum pour le suivi des éléments inscrits</w:t>
      </w:r>
    </w:p>
    <w:p w14:paraId="2D37EDD8" w14:textId="2FB45BAC" w:rsidR="003724C2" w:rsidRPr="003E6297" w:rsidRDefault="003724C2" w:rsidP="00722B6D">
      <w:pPr>
        <w:pStyle w:val="1GAPara"/>
        <w:ind w:hanging="567"/>
        <w:jc w:val="both"/>
        <w:rPr>
          <w:lang w:val="fr-FR"/>
        </w:rPr>
      </w:pPr>
      <w:r w:rsidRPr="00431E50">
        <w:rPr>
          <w:lang w:val="fr-FR"/>
        </w:rPr>
        <w:lastRenderedPageBreak/>
        <w:t>Au cours de la Partie I de la réunion, le groupe de travail a examiné les différentes façons d’améliorer le suivi des éléments inscrits et éventuellement de faciliter la participation de la communauté, sur la base des suggestions faites par la réunion d’experts de la Catégorie VI en mai 2021</w:t>
      </w:r>
      <w:r w:rsidR="00B7741B">
        <w:rPr>
          <w:lang w:val="fr-FR"/>
        </w:rPr>
        <w:t>, qui peuvent être consultées</w:t>
      </w:r>
      <w:r w:rsidR="005225F2">
        <w:rPr>
          <w:lang w:val="fr-FR"/>
        </w:rPr>
        <w:t xml:space="preserve"> dans les rapports des réunions des groupes d’experts</w:t>
      </w:r>
      <w:r w:rsidRPr="00431E50">
        <w:rPr>
          <w:lang w:val="fr-FR"/>
        </w:rPr>
        <w:t>. Trois types de fonctions et de rôles ont été envisagés par le groupe de travail – une plateforme, un réseau ou un forum</w:t>
      </w:r>
      <w:r w:rsidR="003C6304">
        <w:rPr>
          <w:lang w:val="fr-FR"/>
        </w:rPr>
        <w:t xml:space="preserve"> pour représenter la voix des communautés </w:t>
      </w:r>
      <w:r w:rsidR="00E82DFB">
        <w:rPr>
          <w:lang w:val="fr-FR"/>
        </w:rPr>
        <w:t>porteuses</w:t>
      </w:r>
      <w:r w:rsidRPr="00431E50">
        <w:rPr>
          <w:lang w:val="fr-FR"/>
        </w:rPr>
        <w:t xml:space="preserve"> – tout en reconnaissant que ces différentes fonctions et différents rôles pourraient être combinés. Les propositions ont été généralement reçues avec intérêt, </w:t>
      </w:r>
      <w:r w:rsidR="005225F2">
        <w:rPr>
          <w:lang w:val="fr-FR"/>
        </w:rPr>
        <w:t>cependant</w:t>
      </w:r>
      <w:r w:rsidRPr="00431E50">
        <w:rPr>
          <w:lang w:val="fr-FR"/>
        </w:rPr>
        <w:t xml:space="preserve"> le groupe de travail a demandé à recevoir plus de précisions concernant les fonctionnalités, les rôles et leur faisabilité pour la création d’un(e) tel(le) plateforme/réseau/forum</w:t>
      </w:r>
      <w:r w:rsidRPr="00CD2CF2">
        <w:rPr>
          <w:lang w:val="fr-FR"/>
        </w:rPr>
        <w:t>.</w:t>
      </w:r>
      <w:r w:rsidR="003E6297" w:rsidRPr="00CD2CF2">
        <w:rPr>
          <w:lang w:val="fr-FR"/>
        </w:rPr>
        <w:t xml:space="preserve"> Les rapports des groupes d’experts 2 et 3 ont abordé</w:t>
      </w:r>
      <w:r w:rsidR="00E82DFB" w:rsidRPr="00CD2CF2">
        <w:rPr>
          <w:lang w:val="fr-FR"/>
        </w:rPr>
        <w:t xml:space="preserve"> les questions relatives au suivi des éléments inscrits en détail</w:t>
      </w:r>
      <w:r w:rsidR="003E6297" w:rsidRPr="00CD2CF2">
        <w:rPr>
          <w:lang w:val="fr-FR"/>
        </w:rPr>
        <w:t>. Il convient de noter que la mise en place, le maintien et le financement de cette plateforme, ce réseau ou ce forum, ainsi que le statut qu’ils auraient dans le cadre de la Convention n’ont pas été spécifié</w:t>
      </w:r>
      <w:r w:rsidR="00E82DFB" w:rsidRPr="00CD2CF2">
        <w:rPr>
          <w:lang w:val="fr-FR"/>
        </w:rPr>
        <w:t>s</w:t>
      </w:r>
      <w:r w:rsidR="003E6297" w:rsidRPr="00CD2CF2">
        <w:rPr>
          <w:lang w:val="fr-FR"/>
        </w:rPr>
        <w:t xml:space="preserve"> par les experts</w:t>
      </w:r>
      <w:r w:rsidR="00E82DFB" w:rsidRPr="00CD2CF2">
        <w:rPr>
          <w:lang w:val="fr-FR"/>
        </w:rPr>
        <w:t>, et ce intentionnellement</w:t>
      </w:r>
      <w:r w:rsidR="003E6297" w:rsidRPr="00CD2CF2">
        <w:rPr>
          <w:lang w:val="fr-FR"/>
        </w:rPr>
        <w:t>. En effet, ces questions administratives, financières et techniques doivent être décidées</w:t>
      </w:r>
      <w:r w:rsidR="003E6297" w:rsidRPr="00431E50">
        <w:rPr>
          <w:lang w:val="fr-FR"/>
        </w:rPr>
        <w:t xml:space="preserve"> par les mécanismes intergouvernementaux de la Convention.</w:t>
      </w:r>
    </w:p>
    <w:p w14:paraId="5A0B1C15" w14:textId="14EBFA72" w:rsidR="00BE40AC" w:rsidRPr="00BE40AC" w:rsidRDefault="00DD6F60" w:rsidP="00584021">
      <w:pPr>
        <w:pStyle w:val="1GAPara"/>
        <w:ind w:hanging="567"/>
        <w:jc w:val="both"/>
        <w:rPr>
          <w:lang w:val="fr-FR"/>
        </w:rPr>
      </w:pPr>
      <w:r w:rsidRPr="00431E50">
        <w:rPr>
          <w:b/>
          <w:bCs/>
          <w:lang w:val="fr-FR"/>
        </w:rPr>
        <w:t>Statut de la plateforme</w:t>
      </w:r>
      <w:r w:rsidR="00E82DFB">
        <w:rPr>
          <w:b/>
          <w:bCs/>
          <w:lang w:val="fr-FR"/>
        </w:rPr>
        <w:t>,</w:t>
      </w:r>
      <w:r w:rsidRPr="00431E50">
        <w:rPr>
          <w:b/>
          <w:bCs/>
          <w:lang w:val="fr-FR"/>
        </w:rPr>
        <w:t xml:space="preserve"> du réseau et du forum indépendants :</w:t>
      </w:r>
      <w:r w:rsidR="00584021">
        <w:rPr>
          <w:b/>
          <w:bCs/>
          <w:lang w:val="fr-FR"/>
        </w:rPr>
        <w:t xml:space="preserve"> </w:t>
      </w:r>
      <w:r w:rsidR="00584021" w:rsidRPr="00584021">
        <w:rPr>
          <w:lang w:val="fr-FR"/>
        </w:rPr>
        <w:t xml:space="preserve">Sur la base des propositions de la réunion d'experts de Catégorie VI, le groupe de travail a examiné trois fonctions décrites dans les paragraphes ci-dessous. </w:t>
      </w:r>
      <w:r w:rsidR="00BC0A09" w:rsidRPr="002454D5">
        <w:rPr>
          <w:lang w:val="fr-FR"/>
        </w:rPr>
        <w:t>Si les premières discussions du groupe de travail considéraient que ces fonctions pouvaient être combinées, ces trois fonctions remplissent concrètement des rôles différents et leur mise en œuvre n'est pas nécessairement liée les unes aux autres. Il pourrait donc être envisag</w:t>
      </w:r>
      <w:r w:rsidR="00584021">
        <w:rPr>
          <w:lang w:val="fr-FR"/>
        </w:rPr>
        <w:t>é</w:t>
      </w:r>
      <w:r w:rsidR="00BC0A09" w:rsidRPr="002454D5">
        <w:rPr>
          <w:lang w:val="fr-FR"/>
        </w:rPr>
        <w:t xml:space="preserve"> de les confier à différentes entités, par exemple, les ONG accréditées (pour la plateforme </w:t>
      </w:r>
      <w:r w:rsidR="00BE40AC" w:rsidRPr="002454D5">
        <w:rPr>
          <w:lang w:val="fr-FR"/>
        </w:rPr>
        <w:t xml:space="preserve">– voir document </w:t>
      </w:r>
      <w:hyperlink r:id="rId10" w:history="1">
        <w:r w:rsidR="007F64A8" w:rsidRPr="007F64A8">
          <w:rPr>
            <w:rStyle w:val="Lienhypertexte"/>
            <w:lang w:val="fr-FR"/>
          </w:rPr>
          <w:t>LHE/21/16.COM WG/6</w:t>
        </w:r>
      </w:hyperlink>
      <w:r w:rsidR="00BE40AC" w:rsidRPr="002454D5">
        <w:rPr>
          <w:lang w:val="fr-FR"/>
        </w:rPr>
        <w:t xml:space="preserve">), </w:t>
      </w:r>
      <w:r w:rsidR="00BE40AC" w:rsidRPr="00BE40AC">
        <w:rPr>
          <w:lang w:val="fr-FR"/>
        </w:rPr>
        <w:t>le Secréta</w:t>
      </w:r>
      <w:r w:rsidR="00BE40AC" w:rsidRPr="00D92B71">
        <w:rPr>
          <w:lang w:val="fr-FR"/>
        </w:rPr>
        <w:t xml:space="preserve">riat de la Convention (pour le réseau d’éléments inscrits) et le Secrétariat de la Convention </w:t>
      </w:r>
      <w:r w:rsidR="00BE40AC">
        <w:rPr>
          <w:lang w:val="fr-FR"/>
        </w:rPr>
        <w:t>et/ou le</w:t>
      </w:r>
      <w:r w:rsidR="00BE40AC" w:rsidRPr="00BE40AC">
        <w:rPr>
          <w:lang w:val="fr-FR"/>
        </w:rPr>
        <w:t xml:space="preserve"> Forum des ONG du PCI</w:t>
      </w:r>
      <w:r w:rsidR="00584021">
        <w:rPr>
          <w:rStyle w:val="Appelnotedebasdep"/>
          <w:lang w:val="fr-FR"/>
        </w:rPr>
        <w:footnoteReference w:id="1"/>
      </w:r>
      <w:r w:rsidR="00BE40AC" w:rsidRPr="00BE40AC">
        <w:rPr>
          <w:lang w:val="fr-FR"/>
        </w:rPr>
        <w:t xml:space="preserve"> (pour le forum spécial).</w:t>
      </w:r>
      <w:r w:rsidR="00E82DFB" w:rsidRPr="00E82DFB">
        <w:rPr>
          <w:lang w:val="fr-FR"/>
        </w:rPr>
        <w:t xml:space="preserve"> Il est proposé que le groupe de travail considère chacune de ces fonctions séparément lorsqu'il discute de leur faisabilité et de leurs rôles respectifs.</w:t>
      </w:r>
    </w:p>
    <w:p w14:paraId="76432177" w14:textId="0B710E55" w:rsidR="00B02F7A" w:rsidRPr="00E82DFB" w:rsidRDefault="00BE40AC" w:rsidP="00584021">
      <w:pPr>
        <w:pStyle w:val="1GAPara"/>
        <w:ind w:hanging="567"/>
        <w:jc w:val="both"/>
        <w:rPr>
          <w:lang w:val="fr-FR"/>
        </w:rPr>
      </w:pPr>
      <w:r w:rsidRPr="00E82DFB">
        <w:rPr>
          <w:b/>
          <w:bCs/>
          <w:lang w:val="fr-FR"/>
        </w:rPr>
        <w:t>P</w:t>
      </w:r>
      <w:r w:rsidR="004A607B" w:rsidRPr="00E82DFB">
        <w:rPr>
          <w:b/>
          <w:bCs/>
          <w:lang w:val="fr-FR"/>
        </w:rPr>
        <w:t>la</w:t>
      </w:r>
      <w:r w:rsidR="00104257" w:rsidRPr="00E82DFB">
        <w:rPr>
          <w:b/>
          <w:bCs/>
          <w:lang w:val="fr-FR"/>
        </w:rPr>
        <w:t>teforme pour le suivi des éléments</w:t>
      </w:r>
      <w:r w:rsidRPr="00E82DFB">
        <w:rPr>
          <w:b/>
          <w:bCs/>
          <w:lang w:val="fr-FR"/>
        </w:rPr>
        <w:t xml:space="preserve"> inscrits </w:t>
      </w:r>
      <w:r w:rsidR="00EF30C9" w:rsidRPr="00E82DFB">
        <w:rPr>
          <w:lang w:val="fr-FR"/>
        </w:rPr>
        <w:t>:</w:t>
      </w:r>
      <w:r w:rsidR="00E82DFB">
        <w:rPr>
          <w:lang w:val="fr-FR"/>
        </w:rPr>
        <w:t xml:space="preserve"> </w:t>
      </w:r>
      <w:r w:rsidR="00866735" w:rsidRPr="00E82DFB">
        <w:rPr>
          <w:lang w:val="fr-FR"/>
        </w:rPr>
        <w:t>El</w:t>
      </w:r>
      <w:r w:rsidR="007F64A8" w:rsidRPr="00E82DFB">
        <w:rPr>
          <w:lang w:val="fr-FR"/>
        </w:rPr>
        <w:t>l</w:t>
      </w:r>
      <w:r w:rsidR="00866735" w:rsidRPr="00E82DFB">
        <w:rPr>
          <w:lang w:val="fr-FR"/>
        </w:rPr>
        <w:t>e</w:t>
      </w:r>
      <w:r w:rsidR="007F64A8" w:rsidRPr="00E82DFB">
        <w:rPr>
          <w:lang w:val="fr-FR"/>
        </w:rPr>
        <w:t xml:space="preserve"> est destiné</w:t>
      </w:r>
      <w:r w:rsidR="00866735" w:rsidRPr="00E82DFB">
        <w:rPr>
          <w:lang w:val="fr-FR"/>
        </w:rPr>
        <w:t>e</w:t>
      </w:r>
      <w:r w:rsidR="007F64A8" w:rsidRPr="00E82DFB">
        <w:rPr>
          <w:lang w:val="fr-FR"/>
        </w:rPr>
        <w:t xml:space="preserve"> à servir de plateforme pour coordonner la prestation de services consultatifs au Comité dans le cadre du suivi des éléments inscrits (voir document</w:t>
      </w:r>
      <w:r w:rsidR="00866735" w:rsidRPr="00E82DFB">
        <w:rPr>
          <w:lang w:val="fr-FR"/>
        </w:rPr>
        <w:t xml:space="preserve"> </w:t>
      </w:r>
      <w:hyperlink r:id="rId11" w:history="1">
        <w:r w:rsidR="00866735" w:rsidRPr="00E82DFB">
          <w:rPr>
            <w:rStyle w:val="Lienhypertexte"/>
            <w:lang w:val="fr-FR"/>
          </w:rPr>
          <w:t>LHE/21/16.COM WG/6</w:t>
        </w:r>
      </w:hyperlink>
      <w:r w:rsidR="00866735" w:rsidRPr="00E82DFB">
        <w:rPr>
          <w:lang w:val="fr-FR"/>
        </w:rPr>
        <w:t>).</w:t>
      </w:r>
      <w:r w:rsidR="00E82DFB">
        <w:rPr>
          <w:lang w:val="fr-FR"/>
        </w:rPr>
        <w:t xml:space="preserve"> Cela</w:t>
      </w:r>
      <w:r w:rsidR="00D92B71" w:rsidRPr="00E82DFB">
        <w:rPr>
          <w:lang w:val="fr-FR"/>
        </w:rPr>
        <w:t xml:space="preserve"> permettrait au Comité de bénéficier de l’expertise de représentants communautaires d’éléments inscrits et de bonnes pratiques de sauvegarde sélectionnées, d’ONG accréditées, de Chaires </w:t>
      </w:r>
      <w:r w:rsidR="00E82DFB">
        <w:rPr>
          <w:lang w:val="fr-FR"/>
        </w:rPr>
        <w:t>de l’</w:t>
      </w:r>
      <w:r w:rsidR="00D92B71" w:rsidRPr="00E82DFB">
        <w:rPr>
          <w:lang w:val="fr-FR"/>
        </w:rPr>
        <w:t xml:space="preserve">UNESCO, d’institutions expertes pertinentes, de facilitateurs de l’UNESCO, de Centres de catégorie 2. Alors que la plateforme serait gérée sur une base mondiale, le dialogue interrégional pourrait être facilité en même temps par des « salles » régionales ou similaires. </w:t>
      </w:r>
    </w:p>
    <w:p w14:paraId="7DA8D9FF" w14:textId="1F430089" w:rsidR="007840C8" w:rsidRPr="00722B6D" w:rsidRDefault="003E6297">
      <w:pPr>
        <w:pStyle w:val="1GAPara"/>
        <w:ind w:left="709" w:hanging="709"/>
        <w:jc w:val="both"/>
        <w:rPr>
          <w:rStyle w:val="Lienhypertexte"/>
          <w:rFonts w:asciiTheme="minorBidi" w:hAnsiTheme="minorBidi" w:cstheme="minorBidi"/>
          <w:color w:val="auto"/>
          <w:u w:val="none"/>
          <w:lang w:val="fr-FR"/>
        </w:rPr>
      </w:pPr>
      <w:r w:rsidRPr="003E6297">
        <w:rPr>
          <w:lang w:val="fr-FR"/>
        </w:rPr>
        <w:t>La Convention fournit un cadre précis et clair pour la prestation de services consultatifs au Comité</w:t>
      </w:r>
      <w:r w:rsidR="00E82DFB">
        <w:rPr>
          <w:lang w:val="fr-FR"/>
        </w:rPr>
        <w:t xml:space="preserve"> </w:t>
      </w:r>
      <w:r w:rsidR="00866735" w:rsidRPr="00722B6D">
        <w:rPr>
          <w:lang w:val="fr-FR"/>
        </w:rPr>
        <w:t xml:space="preserve">: </w:t>
      </w:r>
      <w:hyperlink r:id="rId12" w:history="1">
        <w:r w:rsidR="00866735" w:rsidRPr="00722B6D">
          <w:rPr>
            <w:rStyle w:val="Lienhypertexte"/>
            <w:lang w:val="fr-FR"/>
          </w:rPr>
          <w:t>L'article 9</w:t>
        </w:r>
      </w:hyperlink>
      <w:r w:rsidR="00866735" w:rsidRPr="00722B6D">
        <w:rPr>
          <w:lang w:val="fr-FR"/>
        </w:rPr>
        <w:t xml:space="preserve"> établit un système d'accréditation pour les organisations non gouvernementales (ONG) ayant des compétences reconnues dans le domaine du patrimoine culturel immatériel pour contribuer à titre consultatif aux travaux du Comité. Si les organes directeurs ont besoin de services consultatifs dans le suivi des éléments inscrits, que ce soit de la part d'experts, de communautés et/ou d'autres parties prenantes pertinentes, l'article 9 de la Convention constitue une base statutaire que le groupe de travail devrait prendre en compte dans ses débats.</w:t>
      </w:r>
      <w:r w:rsidR="00866735">
        <w:rPr>
          <w:lang w:val="fr-FR"/>
        </w:rPr>
        <w:t xml:space="preserve"> </w:t>
      </w:r>
    </w:p>
    <w:p w14:paraId="41358F1A" w14:textId="63F65F09" w:rsidR="00E015DB" w:rsidRPr="00431E50" w:rsidRDefault="00584021" w:rsidP="00722B6D">
      <w:pPr>
        <w:pStyle w:val="1GAPara"/>
        <w:ind w:left="709" w:hanging="709"/>
        <w:jc w:val="both"/>
        <w:rPr>
          <w:rFonts w:asciiTheme="minorBidi" w:hAnsiTheme="minorBidi" w:cstheme="minorBidi"/>
          <w:lang w:val="fr-FR"/>
        </w:rPr>
      </w:pPr>
      <w:r>
        <w:rPr>
          <w:rFonts w:asciiTheme="minorBidi" w:hAnsiTheme="minorBidi" w:cstheme="minorBidi"/>
          <w:lang w:val="fr-FR"/>
        </w:rPr>
        <w:t>Il</w:t>
      </w:r>
      <w:r w:rsidR="009D27D0" w:rsidRPr="009D27D0">
        <w:rPr>
          <w:rFonts w:asciiTheme="minorBidi" w:hAnsiTheme="minorBidi" w:cstheme="minorBidi"/>
          <w:lang w:val="fr-FR"/>
        </w:rPr>
        <w:t xml:space="preserve"> est clairement dans l’intérêt de la Convention et de ses organes directeurs de bénéficier de l’avis d’un large éventail de parties prenantes, notamment des communautés concernées, dans le suivi des éléments inscrits. Cependant, une préoccupation première devrait être </w:t>
      </w:r>
      <w:r w:rsidR="009D27D0" w:rsidRPr="009D27D0">
        <w:rPr>
          <w:rFonts w:asciiTheme="minorBidi" w:hAnsiTheme="minorBidi" w:cstheme="minorBidi"/>
          <w:lang w:val="fr-FR"/>
        </w:rPr>
        <w:lastRenderedPageBreak/>
        <w:t>d’éviter d’établir des services consultatifs parallèles, ce qui ne serait pas rentable et pourrait en fait compliquer le travail du Comité. Étant donné que la Convention prévoit un mécanisme spécifique pour les organisations consultatives afin d’aider le Comité à remplir ses fonctions et que l’Assemblée générale et le Comité ont reconnu que ce mécanisme était sous-utilisé</w:t>
      </w:r>
      <w:r>
        <w:rPr>
          <w:rStyle w:val="Appelnotedebasdep"/>
          <w:rFonts w:asciiTheme="minorBidi" w:hAnsiTheme="minorBidi" w:cstheme="minorBidi"/>
          <w:lang w:val="fr-FR"/>
        </w:rPr>
        <w:footnoteReference w:id="2"/>
      </w:r>
      <w:r w:rsidR="009D27D0" w:rsidRPr="009D27D0">
        <w:rPr>
          <w:rFonts w:asciiTheme="minorBidi" w:hAnsiTheme="minorBidi" w:cstheme="minorBidi"/>
          <w:lang w:val="fr-FR"/>
        </w:rPr>
        <w:t>, il serait logique de renforcer l’application de l’Article 9, peut-être par une extension des fonctions consultatives par le biais des ONG accréditées pour inclure une telle plateforme, plutôt que de créer un mécanisme consultatif distinct.</w:t>
      </w:r>
      <w:r w:rsidR="00FD0D76" w:rsidRPr="00431E50">
        <w:rPr>
          <w:rFonts w:asciiTheme="minorBidi" w:hAnsiTheme="minorBidi" w:cstheme="minorBidi"/>
          <w:lang w:val="fr-FR"/>
        </w:rPr>
        <w:t xml:space="preserve"> </w:t>
      </w:r>
      <w:r w:rsidR="00E83AC1" w:rsidRPr="00431E50">
        <w:rPr>
          <w:rFonts w:asciiTheme="minorBidi" w:hAnsiTheme="minorBidi" w:cstheme="minorBidi"/>
          <w:lang w:val="fr-FR"/>
        </w:rPr>
        <w:t>Les</w:t>
      </w:r>
      <w:r w:rsidR="00E015DB" w:rsidRPr="00431E50">
        <w:rPr>
          <w:rFonts w:asciiTheme="minorBidi" w:hAnsiTheme="minorBidi" w:cstheme="minorBidi"/>
          <w:lang w:val="fr-FR"/>
        </w:rPr>
        <w:t xml:space="preserve"> </w:t>
      </w:r>
      <w:r w:rsidR="00254282" w:rsidRPr="00431E50">
        <w:rPr>
          <w:rFonts w:asciiTheme="minorBidi" w:hAnsiTheme="minorBidi" w:cstheme="minorBidi"/>
          <w:lang w:val="fr-FR"/>
        </w:rPr>
        <w:t>détails de la mise en place et du maintien d'une telle plateforme indépendante peuvent être résumés comme suit :</w:t>
      </w:r>
    </w:p>
    <w:tbl>
      <w:tblPr>
        <w:tblStyle w:val="Grilledutableau"/>
        <w:tblW w:w="9067" w:type="dxa"/>
        <w:tblInd w:w="567" w:type="dxa"/>
        <w:tblLayout w:type="fixed"/>
        <w:tblLook w:val="04A0" w:firstRow="1" w:lastRow="0" w:firstColumn="1" w:lastColumn="0" w:noHBand="0" w:noVBand="1"/>
      </w:tblPr>
      <w:tblGrid>
        <w:gridCol w:w="1555"/>
        <w:gridCol w:w="7512"/>
      </w:tblGrid>
      <w:tr w:rsidR="00A752BD" w:rsidRPr="005E4D8D" w14:paraId="4E8244AB" w14:textId="77777777" w:rsidTr="00DB3B19">
        <w:tc>
          <w:tcPr>
            <w:tcW w:w="1555" w:type="dxa"/>
          </w:tcPr>
          <w:p w14:paraId="3C093510" w14:textId="77777777" w:rsidR="00A752BD" w:rsidRPr="00F43933" w:rsidRDefault="00A752BD" w:rsidP="007F64A8">
            <w:pPr>
              <w:pStyle w:val="1GAPara"/>
              <w:numPr>
                <w:ilvl w:val="0"/>
                <w:numId w:val="0"/>
              </w:numPr>
              <w:spacing w:after="0"/>
              <w:ind w:left="33"/>
              <w:jc w:val="both"/>
              <w:rPr>
                <w:sz w:val="20"/>
                <w:szCs w:val="20"/>
                <w:lang w:val="fr-FR"/>
              </w:rPr>
            </w:pPr>
          </w:p>
        </w:tc>
        <w:tc>
          <w:tcPr>
            <w:tcW w:w="7512" w:type="dxa"/>
            <w:shd w:val="clear" w:color="auto" w:fill="DBE5F1" w:themeFill="accent1" w:themeFillTint="33"/>
          </w:tcPr>
          <w:p w14:paraId="48458BAA" w14:textId="7D489E54" w:rsidR="00A752BD" w:rsidRPr="00431E50" w:rsidRDefault="00D5674A" w:rsidP="007F64A8">
            <w:pPr>
              <w:pStyle w:val="1GAPara"/>
              <w:numPr>
                <w:ilvl w:val="0"/>
                <w:numId w:val="0"/>
              </w:numPr>
              <w:spacing w:after="60"/>
              <w:ind w:left="33"/>
              <w:jc w:val="both"/>
              <w:rPr>
                <w:b/>
                <w:bCs/>
                <w:sz w:val="20"/>
                <w:szCs w:val="20"/>
                <w:lang w:val="fr-FR"/>
              </w:rPr>
            </w:pPr>
            <w:r>
              <w:rPr>
                <w:b/>
                <w:bCs/>
                <w:sz w:val="20"/>
                <w:szCs w:val="20"/>
                <w:lang w:val="fr-FR"/>
              </w:rPr>
              <w:t>P</w:t>
            </w:r>
            <w:r w:rsidR="00254282" w:rsidRPr="00431E50">
              <w:rPr>
                <w:b/>
                <w:bCs/>
                <w:sz w:val="20"/>
                <w:szCs w:val="20"/>
                <w:lang w:val="fr-FR"/>
              </w:rPr>
              <w:t>lateforme pour le suivi des éléments inscrits</w:t>
            </w:r>
          </w:p>
        </w:tc>
      </w:tr>
      <w:tr w:rsidR="000440EA" w:rsidRPr="005E4D8D" w14:paraId="59E234E2" w14:textId="77777777" w:rsidTr="002454D5">
        <w:trPr>
          <w:trHeight w:val="568"/>
        </w:trPr>
        <w:tc>
          <w:tcPr>
            <w:tcW w:w="1555" w:type="dxa"/>
          </w:tcPr>
          <w:p w14:paraId="7691335A" w14:textId="2B006102" w:rsidR="000440EA" w:rsidRPr="002454D5" w:rsidRDefault="000440EA" w:rsidP="007F64A8">
            <w:pPr>
              <w:pStyle w:val="1GAPara"/>
              <w:numPr>
                <w:ilvl w:val="0"/>
                <w:numId w:val="0"/>
              </w:numPr>
              <w:spacing w:after="0"/>
              <w:ind w:left="33"/>
              <w:jc w:val="both"/>
              <w:rPr>
                <w:sz w:val="20"/>
                <w:szCs w:val="20"/>
                <w:lang w:val="fr-FR"/>
              </w:rPr>
            </w:pPr>
            <w:r w:rsidRPr="002454D5">
              <w:rPr>
                <w:sz w:val="20"/>
                <w:szCs w:val="20"/>
                <w:lang w:val="fr-FR"/>
              </w:rPr>
              <w:t>Objectif principal</w:t>
            </w:r>
          </w:p>
        </w:tc>
        <w:tc>
          <w:tcPr>
            <w:tcW w:w="7512" w:type="dxa"/>
            <w:shd w:val="clear" w:color="auto" w:fill="DBE5F1" w:themeFill="accent1" w:themeFillTint="33"/>
          </w:tcPr>
          <w:p w14:paraId="3B6BFEBA" w14:textId="3740BBCF" w:rsidR="000440EA" w:rsidRPr="00BE40AC" w:rsidRDefault="00254282" w:rsidP="007F64A8">
            <w:pPr>
              <w:pStyle w:val="1GAPara"/>
              <w:numPr>
                <w:ilvl w:val="0"/>
                <w:numId w:val="0"/>
              </w:numPr>
              <w:spacing w:after="60"/>
              <w:ind w:left="33"/>
              <w:jc w:val="both"/>
              <w:rPr>
                <w:sz w:val="20"/>
                <w:szCs w:val="20"/>
                <w:lang w:val="fr-FR"/>
              </w:rPr>
            </w:pPr>
            <w:r w:rsidRPr="00BC0A09">
              <w:rPr>
                <w:sz w:val="20"/>
                <w:szCs w:val="20"/>
                <w:lang w:val="fr-FR"/>
              </w:rPr>
              <w:t>Renforcer les mécanismes de suivi</w:t>
            </w:r>
          </w:p>
        </w:tc>
      </w:tr>
      <w:tr w:rsidR="000440EA" w:rsidRPr="005E4D8D" w14:paraId="2A4EB1F2" w14:textId="77777777" w:rsidTr="002454D5">
        <w:trPr>
          <w:trHeight w:val="472"/>
        </w:trPr>
        <w:tc>
          <w:tcPr>
            <w:tcW w:w="1555" w:type="dxa"/>
          </w:tcPr>
          <w:p w14:paraId="56139B6A" w14:textId="4A209E3F" w:rsidR="000440EA" w:rsidRPr="002454D5" w:rsidRDefault="000440EA" w:rsidP="007F64A8">
            <w:pPr>
              <w:pStyle w:val="1GAPara"/>
              <w:numPr>
                <w:ilvl w:val="0"/>
                <w:numId w:val="0"/>
              </w:numPr>
              <w:spacing w:after="0"/>
              <w:ind w:left="33"/>
              <w:jc w:val="both"/>
              <w:rPr>
                <w:sz w:val="20"/>
                <w:szCs w:val="20"/>
                <w:lang w:val="fr-FR"/>
              </w:rPr>
            </w:pPr>
            <w:r w:rsidRPr="002454D5">
              <w:rPr>
                <w:sz w:val="20"/>
                <w:szCs w:val="20"/>
                <w:lang w:val="fr-FR"/>
              </w:rPr>
              <w:t>Structure de soutien</w:t>
            </w:r>
          </w:p>
        </w:tc>
        <w:tc>
          <w:tcPr>
            <w:tcW w:w="7512" w:type="dxa"/>
            <w:shd w:val="clear" w:color="auto" w:fill="DBE5F1" w:themeFill="accent1" w:themeFillTint="33"/>
          </w:tcPr>
          <w:p w14:paraId="493E1F21" w14:textId="19EB9DEF" w:rsidR="000440EA" w:rsidRPr="002454D5" w:rsidRDefault="009D27D0" w:rsidP="007F64A8">
            <w:pPr>
              <w:pStyle w:val="1GAPara"/>
              <w:numPr>
                <w:ilvl w:val="0"/>
                <w:numId w:val="0"/>
              </w:numPr>
              <w:spacing w:after="60"/>
              <w:ind w:left="33"/>
              <w:jc w:val="both"/>
              <w:rPr>
                <w:sz w:val="20"/>
                <w:szCs w:val="20"/>
                <w:lang w:val="fr-FR"/>
              </w:rPr>
            </w:pPr>
            <w:r w:rsidRPr="009D27D0">
              <w:rPr>
                <w:sz w:val="20"/>
                <w:szCs w:val="20"/>
                <w:lang w:val="fr-FR"/>
              </w:rPr>
              <w:t>Forum des ONG du PCI</w:t>
            </w:r>
          </w:p>
        </w:tc>
      </w:tr>
      <w:tr w:rsidR="000440EA" w:rsidRPr="00431E50" w14:paraId="099D93FA" w14:textId="77777777" w:rsidTr="002454D5">
        <w:trPr>
          <w:trHeight w:val="640"/>
        </w:trPr>
        <w:tc>
          <w:tcPr>
            <w:tcW w:w="1555" w:type="dxa"/>
          </w:tcPr>
          <w:p w14:paraId="280D5AA5" w14:textId="6D684B41" w:rsidR="000440EA" w:rsidRPr="002454D5" w:rsidRDefault="000440EA" w:rsidP="007F64A8">
            <w:pPr>
              <w:pStyle w:val="1GAPara"/>
              <w:numPr>
                <w:ilvl w:val="0"/>
                <w:numId w:val="0"/>
              </w:numPr>
              <w:spacing w:after="0"/>
              <w:ind w:left="33"/>
              <w:jc w:val="both"/>
              <w:rPr>
                <w:sz w:val="20"/>
                <w:szCs w:val="20"/>
                <w:lang w:val="fr-FR"/>
              </w:rPr>
            </w:pPr>
            <w:r w:rsidRPr="002454D5">
              <w:rPr>
                <w:sz w:val="20"/>
                <w:szCs w:val="20"/>
                <w:lang w:val="fr-FR"/>
              </w:rPr>
              <w:t>Exigences statutaires</w:t>
            </w:r>
          </w:p>
        </w:tc>
        <w:tc>
          <w:tcPr>
            <w:tcW w:w="7512" w:type="dxa"/>
            <w:shd w:val="clear" w:color="auto" w:fill="DBE5F1" w:themeFill="accent1" w:themeFillTint="33"/>
          </w:tcPr>
          <w:p w14:paraId="4BC15DA8" w14:textId="3C073510" w:rsidR="00254282" w:rsidRPr="002454D5" w:rsidRDefault="00254282" w:rsidP="00155E12">
            <w:pPr>
              <w:pStyle w:val="1GAPara"/>
              <w:numPr>
                <w:ilvl w:val="0"/>
                <w:numId w:val="5"/>
              </w:numPr>
              <w:spacing w:after="60"/>
              <w:ind w:left="33" w:firstLine="0"/>
              <w:jc w:val="both"/>
              <w:rPr>
                <w:sz w:val="20"/>
                <w:szCs w:val="20"/>
                <w:lang w:val="fr-FR"/>
              </w:rPr>
            </w:pPr>
            <w:r w:rsidRPr="002454D5">
              <w:rPr>
                <w:sz w:val="20"/>
                <w:szCs w:val="20"/>
                <w:lang w:val="fr-FR"/>
              </w:rPr>
              <w:t>Décision du Comité</w:t>
            </w:r>
          </w:p>
          <w:p w14:paraId="7E09ECEA" w14:textId="7F16958A" w:rsidR="000440EA" w:rsidRPr="002454D5" w:rsidRDefault="00254282" w:rsidP="00155E12">
            <w:pPr>
              <w:pStyle w:val="1GAPara"/>
              <w:numPr>
                <w:ilvl w:val="0"/>
                <w:numId w:val="5"/>
              </w:numPr>
              <w:spacing w:after="60"/>
              <w:ind w:left="33" w:firstLine="0"/>
              <w:jc w:val="both"/>
              <w:rPr>
                <w:sz w:val="20"/>
                <w:szCs w:val="20"/>
                <w:lang w:val="fr-FR"/>
              </w:rPr>
            </w:pPr>
            <w:r w:rsidRPr="002454D5">
              <w:rPr>
                <w:sz w:val="20"/>
                <w:szCs w:val="20"/>
                <w:lang w:val="fr-FR"/>
              </w:rPr>
              <w:t xml:space="preserve">Modifications des </w:t>
            </w:r>
            <w:r w:rsidR="009D27D0">
              <w:rPr>
                <w:sz w:val="20"/>
                <w:szCs w:val="20"/>
                <w:lang w:val="fr-FR"/>
              </w:rPr>
              <w:t>D</w:t>
            </w:r>
            <w:r w:rsidRPr="002454D5">
              <w:rPr>
                <w:sz w:val="20"/>
                <w:szCs w:val="20"/>
                <w:lang w:val="fr-FR"/>
              </w:rPr>
              <w:t>irectives opérationnelles</w:t>
            </w:r>
          </w:p>
        </w:tc>
      </w:tr>
      <w:tr w:rsidR="000440EA" w:rsidRPr="005E4D8D" w14:paraId="2537D3DB" w14:textId="77777777" w:rsidTr="00DB3B19">
        <w:tc>
          <w:tcPr>
            <w:tcW w:w="1555" w:type="dxa"/>
          </w:tcPr>
          <w:p w14:paraId="7D4298A3" w14:textId="2073C66C" w:rsidR="000440EA" w:rsidRPr="002454D5" w:rsidRDefault="00974CFE" w:rsidP="007F64A8">
            <w:pPr>
              <w:pStyle w:val="1GAPara"/>
              <w:numPr>
                <w:ilvl w:val="0"/>
                <w:numId w:val="0"/>
              </w:numPr>
              <w:spacing w:after="0"/>
              <w:ind w:left="33"/>
              <w:jc w:val="both"/>
              <w:rPr>
                <w:sz w:val="20"/>
                <w:szCs w:val="20"/>
                <w:lang w:val="fr-FR"/>
              </w:rPr>
            </w:pPr>
            <w:r>
              <w:rPr>
                <w:sz w:val="20"/>
                <w:szCs w:val="20"/>
                <w:lang w:val="fr-FR"/>
              </w:rPr>
              <w:t>Affiliation</w:t>
            </w:r>
          </w:p>
        </w:tc>
        <w:tc>
          <w:tcPr>
            <w:tcW w:w="7512" w:type="dxa"/>
            <w:shd w:val="clear" w:color="auto" w:fill="DBE5F1" w:themeFill="accent1" w:themeFillTint="33"/>
          </w:tcPr>
          <w:p w14:paraId="7EE6959B" w14:textId="06EBEF6D" w:rsidR="000440EA" w:rsidRPr="00D92B71" w:rsidRDefault="00254282" w:rsidP="007F64A8">
            <w:pPr>
              <w:pStyle w:val="1GAPara"/>
              <w:numPr>
                <w:ilvl w:val="0"/>
                <w:numId w:val="0"/>
              </w:numPr>
              <w:spacing w:after="60"/>
              <w:ind w:left="33"/>
              <w:jc w:val="both"/>
              <w:rPr>
                <w:sz w:val="20"/>
                <w:szCs w:val="20"/>
                <w:lang w:val="fr-FR"/>
              </w:rPr>
            </w:pPr>
            <w:r w:rsidRPr="00BC0A09">
              <w:rPr>
                <w:sz w:val="20"/>
                <w:szCs w:val="20"/>
                <w:lang w:val="fr-FR"/>
              </w:rPr>
              <w:t xml:space="preserve">Représentants communautaires des éléments inscrits et des </w:t>
            </w:r>
            <w:r w:rsidRPr="00BE40AC">
              <w:rPr>
                <w:sz w:val="20"/>
                <w:szCs w:val="20"/>
                <w:lang w:val="fr-FR"/>
              </w:rPr>
              <w:t xml:space="preserve">bonnes pratiques de sauvegarde sélectionnées, ONG accréditées, Chaires </w:t>
            </w:r>
            <w:r w:rsidR="009D27D0">
              <w:rPr>
                <w:sz w:val="20"/>
                <w:szCs w:val="20"/>
                <w:lang w:val="fr-FR"/>
              </w:rPr>
              <w:t>de l’</w:t>
            </w:r>
            <w:r w:rsidRPr="00BE40AC">
              <w:rPr>
                <w:sz w:val="20"/>
                <w:szCs w:val="20"/>
                <w:lang w:val="fr-FR"/>
              </w:rPr>
              <w:t>UNESCO, institutions expertes, facilitateurs de l'UNESCO, Centres de catégorie 2.</w:t>
            </w:r>
          </w:p>
        </w:tc>
      </w:tr>
      <w:tr w:rsidR="000440EA" w:rsidRPr="005E4D8D" w14:paraId="61EC4C22" w14:textId="77777777" w:rsidTr="00DB3B19">
        <w:tc>
          <w:tcPr>
            <w:tcW w:w="1555" w:type="dxa"/>
          </w:tcPr>
          <w:p w14:paraId="69C72EF4" w14:textId="2A0A0130" w:rsidR="000440EA" w:rsidRPr="002454D5" w:rsidRDefault="000440EA" w:rsidP="007F64A8">
            <w:pPr>
              <w:pStyle w:val="1GAPara"/>
              <w:numPr>
                <w:ilvl w:val="0"/>
                <w:numId w:val="0"/>
              </w:numPr>
              <w:spacing w:after="0"/>
              <w:ind w:left="33"/>
              <w:jc w:val="both"/>
              <w:rPr>
                <w:sz w:val="20"/>
                <w:szCs w:val="20"/>
                <w:lang w:val="fr-FR"/>
              </w:rPr>
            </w:pPr>
            <w:r w:rsidRPr="002454D5">
              <w:rPr>
                <w:sz w:val="20"/>
                <w:szCs w:val="20"/>
                <w:lang w:val="fr-FR"/>
              </w:rPr>
              <w:t>Principales activités</w:t>
            </w:r>
          </w:p>
        </w:tc>
        <w:tc>
          <w:tcPr>
            <w:tcW w:w="7512" w:type="dxa"/>
            <w:shd w:val="clear" w:color="auto" w:fill="DBE5F1" w:themeFill="accent1" w:themeFillTint="33"/>
          </w:tcPr>
          <w:p w14:paraId="7E4F944E" w14:textId="68A4B0C3" w:rsidR="00016C08" w:rsidRPr="00016C08" w:rsidRDefault="009D27D0" w:rsidP="00155E12">
            <w:pPr>
              <w:pStyle w:val="Paragraphedeliste"/>
              <w:numPr>
                <w:ilvl w:val="0"/>
                <w:numId w:val="4"/>
              </w:numPr>
              <w:ind w:left="33" w:firstLine="0"/>
              <w:jc w:val="both"/>
              <w:rPr>
                <w:rFonts w:ascii="Arial" w:hAnsi="Arial" w:cs="Arial"/>
                <w:snapToGrid w:val="0"/>
                <w:sz w:val="20"/>
                <w:szCs w:val="20"/>
                <w:lang w:val="fr-FR" w:eastAsia="en-US"/>
              </w:rPr>
            </w:pPr>
            <w:r w:rsidRPr="009D27D0">
              <w:rPr>
                <w:rFonts w:ascii="Arial" w:hAnsi="Arial" w:cs="Arial"/>
                <w:snapToGrid w:val="0"/>
                <w:sz w:val="20"/>
                <w:szCs w:val="20"/>
                <w:lang w:val="fr-FR" w:eastAsia="en-US"/>
              </w:rPr>
              <w:t>S’engager auprès des communautés et des porteurs sur le suivi des éléments inscrits</w:t>
            </w:r>
          </w:p>
          <w:p w14:paraId="7DD958DB" w14:textId="083C09D8" w:rsidR="009D27D0" w:rsidRPr="009D27D0" w:rsidRDefault="009D27D0" w:rsidP="00155E12">
            <w:pPr>
              <w:pStyle w:val="1GAPara"/>
              <w:numPr>
                <w:ilvl w:val="0"/>
                <w:numId w:val="4"/>
              </w:numPr>
              <w:spacing w:after="60"/>
              <w:ind w:left="33" w:firstLine="0"/>
              <w:jc w:val="both"/>
              <w:rPr>
                <w:sz w:val="20"/>
                <w:szCs w:val="20"/>
                <w:lang w:val="fr-FR"/>
              </w:rPr>
            </w:pPr>
            <w:r w:rsidRPr="009D27D0">
              <w:rPr>
                <w:sz w:val="20"/>
                <w:szCs w:val="20"/>
                <w:lang w:val="fr-FR"/>
              </w:rPr>
              <w:t>Conseil en amont dans le cadre du transfert des éléments</w:t>
            </w:r>
          </w:p>
          <w:p w14:paraId="1632C81E" w14:textId="29ED09F6" w:rsidR="009D27D0" w:rsidRPr="009D27D0" w:rsidRDefault="009D27D0" w:rsidP="00155E12">
            <w:pPr>
              <w:pStyle w:val="1GAPara"/>
              <w:numPr>
                <w:ilvl w:val="0"/>
                <w:numId w:val="4"/>
              </w:numPr>
              <w:spacing w:after="60"/>
              <w:ind w:left="33" w:firstLine="0"/>
              <w:jc w:val="both"/>
              <w:rPr>
                <w:sz w:val="20"/>
                <w:szCs w:val="20"/>
                <w:lang w:val="fr-FR"/>
              </w:rPr>
            </w:pPr>
            <w:r w:rsidRPr="009D27D0">
              <w:rPr>
                <w:sz w:val="20"/>
                <w:szCs w:val="20"/>
                <w:lang w:val="fr-FR"/>
              </w:rPr>
              <w:t>Préparer la justification de l’inscription au registre d’une expérience réussie en matière de sauvegarde</w:t>
            </w:r>
          </w:p>
          <w:p w14:paraId="4DC886B0" w14:textId="5833A0A8" w:rsidR="000440EA" w:rsidRPr="009D27D0" w:rsidRDefault="009D27D0" w:rsidP="00155E12">
            <w:pPr>
              <w:pStyle w:val="1GAPara"/>
              <w:numPr>
                <w:ilvl w:val="0"/>
                <w:numId w:val="4"/>
              </w:numPr>
              <w:spacing w:after="60"/>
              <w:ind w:left="33" w:firstLine="0"/>
              <w:jc w:val="both"/>
              <w:rPr>
                <w:sz w:val="20"/>
                <w:szCs w:val="20"/>
                <w:lang w:val="fr-FR"/>
              </w:rPr>
            </w:pPr>
            <w:r w:rsidRPr="009D27D0">
              <w:rPr>
                <w:sz w:val="20"/>
                <w:szCs w:val="20"/>
                <w:lang w:val="fr-FR"/>
              </w:rPr>
              <w:t>Vérifier les informations et entreprendre des actions de suivi renforcé dans le cadre de la procédure de retrait d’éléments</w:t>
            </w:r>
          </w:p>
        </w:tc>
      </w:tr>
      <w:tr w:rsidR="000440EA" w:rsidRPr="00980ADC" w14:paraId="1A6BEDA6" w14:textId="77777777" w:rsidTr="00E82DFB">
        <w:trPr>
          <w:trHeight w:val="1650"/>
        </w:trPr>
        <w:tc>
          <w:tcPr>
            <w:tcW w:w="1555" w:type="dxa"/>
          </w:tcPr>
          <w:p w14:paraId="4131B202" w14:textId="0BB0BEF7" w:rsidR="000440EA" w:rsidRPr="002454D5" w:rsidRDefault="000440EA" w:rsidP="007F64A8">
            <w:pPr>
              <w:pStyle w:val="1GAPara"/>
              <w:numPr>
                <w:ilvl w:val="0"/>
                <w:numId w:val="0"/>
              </w:numPr>
              <w:spacing w:after="0"/>
              <w:ind w:left="33"/>
              <w:jc w:val="both"/>
              <w:rPr>
                <w:sz w:val="20"/>
                <w:szCs w:val="20"/>
                <w:lang w:val="fr-FR"/>
              </w:rPr>
            </w:pPr>
            <w:r w:rsidRPr="002454D5">
              <w:rPr>
                <w:sz w:val="20"/>
                <w:szCs w:val="20"/>
                <w:lang w:val="fr-FR"/>
              </w:rPr>
              <w:t>Implications financières</w:t>
            </w:r>
          </w:p>
        </w:tc>
        <w:tc>
          <w:tcPr>
            <w:tcW w:w="7512" w:type="dxa"/>
            <w:shd w:val="clear" w:color="auto" w:fill="D9D9D9" w:themeFill="background1" w:themeFillShade="D9"/>
          </w:tcPr>
          <w:p w14:paraId="13E8BA3C" w14:textId="77777777" w:rsidR="009D27D0" w:rsidRPr="00E82DFB" w:rsidRDefault="009D27D0" w:rsidP="00155E12">
            <w:pPr>
              <w:pStyle w:val="1GAPara"/>
              <w:numPr>
                <w:ilvl w:val="0"/>
                <w:numId w:val="5"/>
              </w:numPr>
              <w:spacing w:after="60"/>
              <w:ind w:left="33" w:firstLine="0"/>
              <w:jc w:val="both"/>
              <w:rPr>
                <w:sz w:val="16"/>
                <w:szCs w:val="16"/>
                <w:lang w:val="fr-FR"/>
              </w:rPr>
            </w:pPr>
            <w:r w:rsidRPr="00E82DFB">
              <w:rPr>
                <w:sz w:val="16"/>
                <w:szCs w:val="16"/>
                <w:lang w:val="fr-FR"/>
              </w:rPr>
              <w:t>Des ressources financières supplémentaires pour :</w:t>
            </w:r>
          </w:p>
          <w:p w14:paraId="623D4478" w14:textId="77777777" w:rsidR="009D27D0" w:rsidRPr="00E82DFB" w:rsidRDefault="009D27D0" w:rsidP="00155E12">
            <w:pPr>
              <w:pStyle w:val="1GAPara"/>
              <w:numPr>
                <w:ilvl w:val="1"/>
                <w:numId w:val="5"/>
              </w:numPr>
              <w:spacing w:after="60"/>
              <w:jc w:val="both"/>
              <w:rPr>
                <w:sz w:val="16"/>
                <w:szCs w:val="16"/>
                <w:lang w:val="fr-FR"/>
              </w:rPr>
            </w:pPr>
            <w:proofErr w:type="gramStart"/>
            <w:r w:rsidRPr="00E82DFB">
              <w:rPr>
                <w:sz w:val="16"/>
                <w:szCs w:val="16"/>
                <w:lang w:val="fr-FR"/>
              </w:rPr>
              <w:t>les</w:t>
            </w:r>
            <w:proofErr w:type="gramEnd"/>
            <w:r w:rsidRPr="00E82DFB">
              <w:rPr>
                <w:sz w:val="16"/>
                <w:szCs w:val="16"/>
                <w:lang w:val="fr-FR"/>
              </w:rPr>
              <w:t xml:space="preserve"> coûts administratifs et logistiques pour le maintien du Forum des ONG du PCI et de la plateforme</w:t>
            </w:r>
          </w:p>
          <w:p w14:paraId="6378A408" w14:textId="77777777" w:rsidR="009D27D0" w:rsidRPr="00E82DFB" w:rsidRDefault="009D27D0" w:rsidP="00155E12">
            <w:pPr>
              <w:pStyle w:val="1GAPara"/>
              <w:numPr>
                <w:ilvl w:val="1"/>
                <w:numId w:val="5"/>
              </w:numPr>
              <w:spacing w:after="60"/>
              <w:jc w:val="both"/>
              <w:rPr>
                <w:sz w:val="16"/>
                <w:szCs w:val="16"/>
                <w:lang w:val="fr-FR"/>
              </w:rPr>
            </w:pPr>
            <w:proofErr w:type="gramStart"/>
            <w:r w:rsidRPr="00E82DFB">
              <w:rPr>
                <w:sz w:val="16"/>
                <w:szCs w:val="16"/>
                <w:lang w:val="fr-FR"/>
              </w:rPr>
              <w:t>les</w:t>
            </w:r>
            <w:proofErr w:type="gramEnd"/>
            <w:r w:rsidRPr="00E82DFB">
              <w:rPr>
                <w:sz w:val="16"/>
                <w:szCs w:val="16"/>
                <w:lang w:val="fr-FR"/>
              </w:rPr>
              <w:t xml:space="preserve"> services de gestion des connaissances</w:t>
            </w:r>
          </w:p>
          <w:p w14:paraId="2639AB16" w14:textId="77777777" w:rsidR="009D27D0" w:rsidRPr="00E82DFB" w:rsidRDefault="009D27D0" w:rsidP="00155E12">
            <w:pPr>
              <w:pStyle w:val="1GAPara"/>
              <w:numPr>
                <w:ilvl w:val="0"/>
                <w:numId w:val="5"/>
              </w:numPr>
              <w:spacing w:after="60"/>
              <w:ind w:left="33" w:firstLine="0"/>
              <w:jc w:val="both"/>
              <w:rPr>
                <w:i/>
                <w:iCs/>
                <w:sz w:val="16"/>
                <w:szCs w:val="16"/>
                <w:lang w:val="fr-FR"/>
              </w:rPr>
            </w:pPr>
            <w:r w:rsidRPr="00E82DFB">
              <w:rPr>
                <w:sz w:val="16"/>
                <w:szCs w:val="16"/>
                <w:lang w:val="fr-FR"/>
              </w:rPr>
              <w:t xml:space="preserve">Temps de secrétariat supplémentaire nécessaire pour : </w:t>
            </w:r>
          </w:p>
          <w:p w14:paraId="0D653F37" w14:textId="77777777" w:rsidR="009D27D0" w:rsidRPr="00E82DFB" w:rsidRDefault="009D27D0" w:rsidP="00155E12">
            <w:pPr>
              <w:pStyle w:val="1GAPara"/>
              <w:numPr>
                <w:ilvl w:val="1"/>
                <w:numId w:val="5"/>
              </w:numPr>
              <w:spacing w:after="60"/>
              <w:jc w:val="both"/>
              <w:rPr>
                <w:sz w:val="16"/>
                <w:szCs w:val="16"/>
                <w:lang w:val="fr-FR"/>
              </w:rPr>
            </w:pPr>
            <w:proofErr w:type="gramStart"/>
            <w:r w:rsidRPr="00E82DFB">
              <w:rPr>
                <w:sz w:val="16"/>
                <w:szCs w:val="16"/>
                <w:lang w:val="fr-FR"/>
              </w:rPr>
              <w:t>assurer</w:t>
            </w:r>
            <w:proofErr w:type="gramEnd"/>
            <w:r w:rsidRPr="00E82DFB">
              <w:rPr>
                <w:sz w:val="16"/>
                <w:szCs w:val="16"/>
                <w:lang w:val="fr-FR"/>
              </w:rPr>
              <w:t xml:space="preserve"> la liaison avec le Forum des ONG du PCI et coordonner ses travaux</w:t>
            </w:r>
          </w:p>
          <w:p w14:paraId="04ED4190" w14:textId="329593AD" w:rsidR="000440EA" w:rsidRPr="00E82DFB" w:rsidRDefault="009D27D0" w:rsidP="00155E12">
            <w:pPr>
              <w:pStyle w:val="1GAPara"/>
              <w:numPr>
                <w:ilvl w:val="0"/>
                <w:numId w:val="5"/>
              </w:numPr>
              <w:spacing w:after="60"/>
              <w:ind w:left="33" w:firstLine="0"/>
              <w:jc w:val="both"/>
              <w:rPr>
                <w:sz w:val="16"/>
                <w:szCs w:val="16"/>
                <w:lang w:val="fr-FR"/>
              </w:rPr>
            </w:pPr>
            <w:r w:rsidRPr="00E82DFB">
              <w:rPr>
                <w:sz w:val="16"/>
                <w:szCs w:val="16"/>
                <w:lang w:val="fr-FR"/>
              </w:rPr>
              <w:t xml:space="preserve">Coûts directs liés aux actions de suivi (voir document </w:t>
            </w:r>
            <w:hyperlink r:id="rId13" w:history="1">
              <w:r w:rsidRPr="00E82DFB">
                <w:rPr>
                  <w:rStyle w:val="Lienhypertexte"/>
                  <w:sz w:val="16"/>
                  <w:szCs w:val="16"/>
                  <w:lang w:val="fr-FR"/>
                </w:rPr>
                <w:t>LHE/21/16.COM WG/6</w:t>
              </w:r>
            </w:hyperlink>
            <w:r w:rsidRPr="00E82DFB">
              <w:rPr>
                <w:sz w:val="16"/>
                <w:szCs w:val="16"/>
                <w:lang w:val="fr-FR"/>
              </w:rPr>
              <w:t>)</w:t>
            </w:r>
          </w:p>
        </w:tc>
      </w:tr>
    </w:tbl>
    <w:p w14:paraId="449DE05B" w14:textId="1BC7AB40" w:rsidR="00E015DB" w:rsidRPr="001945B9" w:rsidRDefault="00104257" w:rsidP="00722B6D">
      <w:pPr>
        <w:pStyle w:val="1GAPara"/>
        <w:spacing w:before="240"/>
        <w:ind w:hanging="720"/>
        <w:jc w:val="both"/>
        <w:rPr>
          <w:rFonts w:asciiTheme="minorBidi" w:hAnsiTheme="minorBidi" w:cstheme="minorBidi"/>
          <w:lang w:val="fr-FR"/>
        </w:rPr>
      </w:pPr>
      <w:r w:rsidRPr="002454D5">
        <w:rPr>
          <w:b/>
          <w:bCs/>
          <w:lang w:val="fr-FR"/>
        </w:rPr>
        <w:t>Un réseau d’éléments inscrits </w:t>
      </w:r>
      <w:r w:rsidR="00B36D3C" w:rsidRPr="002454D5">
        <w:rPr>
          <w:lang w:val="fr-FR"/>
        </w:rPr>
        <w:t xml:space="preserve">: </w:t>
      </w:r>
      <w:r w:rsidR="009D27D0" w:rsidRPr="009D27D0">
        <w:rPr>
          <w:lang w:val="fr-FR"/>
        </w:rPr>
        <w:t xml:space="preserve">Le principal objectif de la création d’un réseau d’éléments inscrits est de faciliter spécifiquement le dialogue entre les communautés pratiquant des éléments du patrimoine culturel immatériel qui sont inscrits sur les Listes de la Convention, pour partager des expériences de sauvegarde sans nécessairement passer par les procédures liées au Registre. On espère également que cette approche ciblée et ascendante permettra au Comité de connaître les points de vue des communautés, par exemple, sur des questions thématiques </w:t>
      </w:r>
      <w:r w:rsidR="009D27D0">
        <w:rPr>
          <w:lang w:val="fr-FR"/>
        </w:rPr>
        <w:t>d’intérêt</w:t>
      </w:r>
      <w:r w:rsidR="009D27D0" w:rsidRPr="009D27D0">
        <w:rPr>
          <w:lang w:val="fr-FR"/>
        </w:rPr>
        <w:t xml:space="preserve">, en lançant un appel par le biais du réseau. </w:t>
      </w:r>
      <w:r w:rsidR="00431E50" w:rsidRPr="00431E50">
        <w:rPr>
          <w:lang w:val="fr-FR"/>
        </w:rPr>
        <w:t>En outre, le réseau viserait à faciliter la coopération entre les communautés, à encourager la communication et pourrait offrir des possibilités de renforcement des capacités pour les communautés avec le soutien des ONG accréditées par le biais du Forum des ONG du PCI, des chaires</w:t>
      </w:r>
      <w:r w:rsidR="00974CFE">
        <w:rPr>
          <w:lang w:val="fr-FR"/>
        </w:rPr>
        <w:t xml:space="preserve"> de</w:t>
      </w:r>
      <w:r w:rsidR="00431E50" w:rsidRPr="00431E50">
        <w:rPr>
          <w:lang w:val="fr-FR"/>
        </w:rPr>
        <w:t xml:space="preserve"> UNESCO, des institutions expertes, des facilitateurs de l'UNESCO, des </w:t>
      </w:r>
      <w:r w:rsidR="00974CFE">
        <w:rPr>
          <w:lang w:val="fr-FR"/>
        </w:rPr>
        <w:t>C</w:t>
      </w:r>
      <w:r w:rsidR="00431E50" w:rsidRPr="00431E50">
        <w:rPr>
          <w:lang w:val="fr-FR"/>
        </w:rPr>
        <w:t>entres de catégorie 2 et d'autres parties prenantes concernées.</w:t>
      </w:r>
      <w:r w:rsidR="00974CFE">
        <w:rPr>
          <w:lang w:val="fr-FR"/>
        </w:rPr>
        <w:t xml:space="preserve"> </w:t>
      </w:r>
      <w:r w:rsidR="0049796B" w:rsidRPr="003E6297">
        <w:rPr>
          <w:lang w:val="fr-FR"/>
        </w:rPr>
        <w:t>Il est proposé que le réseau soit soutenu dans ses activités par une équipe dédi</w:t>
      </w:r>
      <w:r w:rsidR="0049796B" w:rsidRPr="001945B9">
        <w:rPr>
          <w:lang w:val="fr-FR"/>
        </w:rPr>
        <w:t>ée au sein du Secrétariat de la Convention. Un réseau d'éléments inscrits pourrait également constituer une base pour l'organisation d'un forum spécial ad hoc sur des thèmes pertinents pour le travail</w:t>
      </w:r>
      <w:r w:rsidR="0049796B" w:rsidRPr="007840C8">
        <w:rPr>
          <w:lang w:val="fr-FR"/>
        </w:rPr>
        <w:t xml:space="preserve"> du Comité</w:t>
      </w:r>
      <w:r w:rsidR="009318B0" w:rsidRPr="00722B6D">
        <w:rPr>
          <w:lang w:val="fr-FR"/>
        </w:rPr>
        <w:t xml:space="preserve"> </w:t>
      </w:r>
      <w:r w:rsidR="009318B0" w:rsidRPr="00E82DFB">
        <w:rPr>
          <w:lang w:val="fr-FR"/>
        </w:rPr>
        <w:t>(</w:t>
      </w:r>
      <w:r w:rsidR="00974CFE" w:rsidRPr="00E82DFB">
        <w:rPr>
          <w:lang w:val="fr-FR"/>
        </w:rPr>
        <w:t xml:space="preserve">voir </w:t>
      </w:r>
      <w:hyperlink w:anchor="_Un_forum_spécial" w:history="1">
        <w:r w:rsidR="007F64A8" w:rsidRPr="00155E12">
          <w:rPr>
            <w:rStyle w:val="Lienhypertexte"/>
            <w:lang w:val="fr-FR"/>
          </w:rPr>
          <w:t>paragraphe 1</w:t>
        </w:r>
        <w:r w:rsidR="003E6297" w:rsidRPr="00155E12">
          <w:rPr>
            <w:rStyle w:val="Lienhypertexte"/>
            <w:lang w:val="fr-FR"/>
          </w:rPr>
          <w:t>3</w:t>
        </w:r>
      </w:hyperlink>
      <w:r w:rsidR="00E015DB" w:rsidRPr="00E82DFB">
        <w:rPr>
          <w:lang w:val="fr-FR"/>
        </w:rPr>
        <w:t xml:space="preserve"> </w:t>
      </w:r>
      <w:r w:rsidR="00974CFE" w:rsidRPr="00E82DFB">
        <w:rPr>
          <w:lang w:val="fr-FR"/>
        </w:rPr>
        <w:t>ci-dessous</w:t>
      </w:r>
      <w:r w:rsidR="009318B0" w:rsidRPr="00E82DFB">
        <w:rPr>
          <w:lang w:val="fr-FR"/>
        </w:rPr>
        <w:t>)</w:t>
      </w:r>
      <w:r w:rsidR="002B5326" w:rsidRPr="00E82DFB">
        <w:rPr>
          <w:lang w:val="fr-FR"/>
        </w:rPr>
        <w:t>.</w:t>
      </w:r>
      <w:r w:rsidR="00E30794" w:rsidRPr="003E6297">
        <w:rPr>
          <w:lang w:val="fr-FR"/>
        </w:rPr>
        <w:t xml:space="preserve"> </w:t>
      </w:r>
      <w:r w:rsidR="0049796B" w:rsidRPr="003E6297">
        <w:rPr>
          <w:rFonts w:asciiTheme="minorBidi" w:hAnsiTheme="minorBidi" w:cstheme="minorBidi"/>
          <w:lang w:val="fr-FR"/>
        </w:rPr>
        <w:t>Les détails de la mise en place et de la maintenance d'un tel réseau peuvent être résumés comme suit :</w:t>
      </w:r>
    </w:p>
    <w:tbl>
      <w:tblPr>
        <w:tblStyle w:val="Grilledutableau"/>
        <w:tblW w:w="9067" w:type="dxa"/>
        <w:tblInd w:w="554" w:type="dxa"/>
        <w:tblLayout w:type="fixed"/>
        <w:tblLook w:val="04A0" w:firstRow="1" w:lastRow="0" w:firstColumn="1" w:lastColumn="0" w:noHBand="0" w:noVBand="1"/>
      </w:tblPr>
      <w:tblGrid>
        <w:gridCol w:w="1555"/>
        <w:gridCol w:w="7512"/>
      </w:tblGrid>
      <w:tr w:rsidR="00A752BD" w:rsidRPr="00431E50" w14:paraId="40DDB214" w14:textId="77777777" w:rsidTr="007F64A8">
        <w:tc>
          <w:tcPr>
            <w:tcW w:w="1555" w:type="dxa"/>
          </w:tcPr>
          <w:p w14:paraId="3988B998" w14:textId="77777777" w:rsidR="00A752BD" w:rsidRPr="00431E50" w:rsidRDefault="00A752BD" w:rsidP="007F64A8">
            <w:pPr>
              <w:pStyle w:val="1GAPara"/>
              <w:keepNext/>
              <w:numPr>
                <w:ilvl w:val="0"/>
                <w:numId w:val="0"/>
              </w:numPr>
              <w:spacing w:after="0"/>
              <w:ind w:hanging="112"/>
              <w:rPr>
                <w:sz w:val="20"/>
                <w:szCs w:val="20"/>
                <w:lang w:val="fr-FR"/>
              </w:rPr>
            </w:pPr>
          </w:p>
        </w:tc>
        <w:tc>
          <w:tcPr>
            <w:tcW w:w="7512" w:type="dxa"/>
            <w:shd w:val="clear" w:color="auto" w:fill="F2DBDB" w:themeFill="accent2" w:themeFillTint="33"/>
          </w:tcPr>
          <w:p w14:paraId="63F49935" w14:textId="358CF359" w:rsidR="00A752BD" w:rsidRPr="002454D5" w:rsidRDefault="0049796B" w:rsidP="007F64A8">
            <w:pPr>
              <w:pStyle w:val="1GAPara"/>
              <w:keepNext/>
              <w:numPr>
                <w:ilvl w:val="0"/>
                <w:numId w:val="0"/>
              </w:numPr>
              <w:spacing w:after="60"/>
              <w:jc w:val="both"/>
              <w:rPr>
                <w:b/>
                <w:bCs/>
                <w:sz w:val="20"/>
                <w:szCs w:val="20"/>
                <w:lang w:val="fr-FR"/>
              </w:rPr>
            </w:pPr>
            <w:r w:rsidRPr="002454D5">
              <w:rPr>
                <w:b/>
                <w:bCs/>
                <w:sz w:val="20"/>
                <w:szCs w:val="20"/>
                <w:lang w:val="fr-FR"/>
              </w:rPr>
              <w:t>Réseau d'éléments inscrits</w:t>
            </w:r>
          </w:p>
        </w:tc>
      </w:tr>
      <w:tr w:rsidR="00A752BD" w:rsidRPr="005E4D8D" w14:paraId="6ADB07A0" w14:textId="77777777" w:rsidTr="007F64A8">
        <w:tc>
          <w:tcPr>
            <w:tcW w:w="1555" w:type="dxa"/>
          </w:tcPr>
          <w:p w14:paraId="14057B2A" w14:textId="2FC6C2D2" w:rsidR="00A752BD" w:rsidRPr="002454D5" w:rsidRDefault="0049796B" w:rsidP="00722B6D">
            <w:pPr>
              <w:pStyle w:val="1GAPara"/>
              <w:numPr>
                <w:ilvl w:val="0"/>
                <w:numId w:val="0"/>
              </w:numPr>
              <w:spacing w:after="0"/>
              <w:jc w:val="both"/>
              <w:rPr>
                <w:sz w:val="20"/>
                <w:szCs w:val="20"/>
                <w:lang w:val="fr-FR"/>
              </w:rPr>
            </w:pPr>
            <w:r w:rsidRPr="002454D5">
              <w:rPr>
                <w:sz w:val="20"/>
                <w:szCs w:val="20"/>
                <w:lang w:val="fr-FR"/>
              </w:rPr>
              <w:t>Objectif principal</w:t>
            </w:r>
          </w:p>
        </w:tc>
        <w:tc>
          <w:tcPr>
            <w:tcW w:w="7512" w:type="dxa"/>
            <w:shd w:val="clear" w:color="auto" w:fill="F2DBDB" w:themeFill="accent2" w:themeFillTint="33"/>
          </w:tcPr>
          <w:p w14:paraId="4EF093AA" w14:textId="2DE81700" w:rsidR="00A752BD" w:rsidRPr="00D92B71" w:rsidRDefault="0049796B" w:rsidP="007F64A8">
            <w:pPr>
              <w:pStyle w:val="1GAPara"/>
              <w:numPr>
                <w:ilvl w:val="0"/>
                <w:numId w:val="0"/>
              </w:numPr>
              <w:spacing w:after="60"/>
              <w:jc w:val="both"/>
              <w:rPr>
                <w:sz w:val="20"/>
                <w:szCs w:val="20"/>
                <w:lang w:val="fr-FR"/>
              </w:rPr>
            </w:pPr>
            <w:r w:rsidRPr="00BC0A09">
              <w:rPr>
                <w:sz w:val="20"/>
                <w:szCs w:val="20"/>
                <w:lang w:val="fr-FR"/>
              </w:rPr>
              <w:t xml:space="preserve">Faciliter les échanges, la communication, le renforcement des capacités et le dialogue sur les </w:t>
            </w:r>
            <w:r w:rsidRPr="00D92B71">
              <w:rPr>
                <w:sz w:val="20"/>
                <w:szCs w:val="20"/>
                <w:lang w:val="fr-FR"/>
              </w:rPr>
              <w:t>expériences de sauvegarde et les questions thématiques.</w:t>
            </w:r>
          </w:p>
        </w:tc>
      </w:tr>
      <w:tr w:rsidR="00A752BD" w:rsidRPr="005E4D8D" w14:paraId="534147ED" w14:textId="77777777" w:rsidTr="007F64A8">
        <w:trPr>
          <w:trHeight w:val="809"/>
        </w:trPr>
        <w:tc>
          <w:tcPr>
            <w:tcW w:w="1555" w:type="dxa"/>
          </w:tcPr>
          <w:p w14:paraId="6FC074FE" w14:textId="4B000855" w:rsidR="00A752BD" w:rsidRPr="002454D5" w:rsidRDefault="0049796B" w:rsidP="00722B6D">
            <w:pPr>
              <w:pStyle w:val="1GAPara"/>
              <w:numPr>
                <w:ilvl w:val="0"/>
                <w:numId w:val="0"/>
              </w:numPr>
              <w:spacing w:after="0"/>
              <w:jc w:val="both"/>
              <w:rPr>
                <w:sz w:val="20"/>
                <w:szCs w:val="20"/>
                <w:lang w:val="fr-FR"/>
              </w:rPr>
            </w:pPr>
            <w:r w:rsidRPr="002454D5">
              <w:rPr>
                <w:sz w:val="20"/>
                <w:szCs w:val="20"/>
                <w:lang w:val="fr-FR"/>
              </w:rPr>
              <w:t>Structure de soutien</w:t>
            </w:r>
          </w:p>
        </w:tc>
        <w:tc>
          <w:tcPr>
            <w:tcW w:w="7512" w:type="dxa"/>
            <w:shd w:val="clear" w:color="auto" w:fill="F2DBDB" w:themeFill="accent2" w:themeFillTint="33"/>
          </w:tcPr>
          <w:p w14:paraId="6C24F39B" w14:textId="1AE1BE06" w:rsidR="00A752BD" w:rsidRPr="00BE40AC" w:rsidRDefault="0049796B" w:rsidP="007F64A8">
            <w:pPr>
              <w:pStyle w:val="1GAPara"/>
              <w:numPr>
                <w:ilvl w:val="0"/>
                <w:numId w:val="0"/>
              </w:numPr>
              <w:spacing w:after="60"/>
              <w:jc w:val="both"/>
              <w:rPr>
                <w:sz w:val="20"/>
                <w:szCs w:val="20"/>
                <w:lang w:val="fr-FR"/>
              </w:rPr>
            </w:pPr>
            <w:r w:rsidRPr="00BC0A09">
              <w:rPr>
                <w:sz w:val="20"/>
                <w:szCs w:val="20"/>
                <w:lang w:val="fr-FR"/>
              </w:rPr>
              <w:t>Secrétariat de la Convention de 2003</w:t>
            </w:r>
          </w:p>
        </w:tc>
      </w:tr>
      <w:tr w:rsidR="00A752BD" w:rsidRPr="00431E50" w14:paraId="161F2EA5" w14:textId="77777777" w:rsidTr="007F64A8">
        <w:trPr>
          <w:trHeight w:val="416"/>
        </w:trPr>
        <w:tc>
          <w:tcPr>
            <w:tcW w:w="1555" w:type="dxa"/>
          </w:tcPr>
          <w:p w14:paraId="0A7141BE" w14:textId="0B9FD0FF" w:rsidR="00A752BD" w:rsidRPr="002454D5" w:rsidRDefault="0049796B" w:rsidP="00722B6D">
            <w:pPr>
              <w:pStyle w:val="1GAPara"/>
              <w:numPr>
                <w:ilvl w:val="0"/>
                <w:numId w:val="0"/>
              </w:numPr>
              <w:spacing w:after="0"/>
              <w:jc w:val="both"/>
              <w:rPr>
                <w:sz w:val="20"/>
                <w:szCs w:val="20"/>
                <w:lang w:val="fr-FR"/>
              </w:rPr>
            </w:pPr>
            <w:r w:rsidRPr="002454D5">
              <w:rPr>
                <w:sz w:val="20"/>
                <w:szCs w:val="20"/>
                <w:lang w:val="fr-FR"/>
              </w:rPr>
              <w:t>Exigences statutaires</w:t>
            </w:r>
          </w:p>
        </w:tc>
        <w:tc>
          <w:tcPr>
            <w:tcW w:w="7512" w:type="dxa"/>
            <w:shd w:val="clear" w:color="auto" w:fill="F2DBDB" w:themeFill="accent2" w:themeFillTint="33"/>
          </w:tcPr>
          <w:p w14:paraId="5625C1C6" w14:textId="067B80D6" w:rsidR="00A752BD" w:rsidRPr="002454D5" w:rsidRDefault="0049796B" w:rsidP="00155E12">
            <w:pPr>
              <w:pStyle w:val="1GAPara"/>
              <w:numPr>
                <w:ilvl w:val="0"/>
                <w:numId w:val="5"/>
              </w:numPr>
              <w:spacing w:after="60"/>
              <w:ind w:left="0" w:firstLine="0"/>
              <w:jc w:val="both"/>
              <w:rPr>
                <w:sz w:val="20"/>
                <w:szCs w:val="20"/>
                <w:lang w:val="fr-FR"/>
              </w:rPr>
            </w:pPr>
            <w:r w:rsidRPr="002454D5">
              <w:rPr>
                <w:sz w:val="20"/>
                <w:szCs w:val="20"/>
                <w:lang w:val="fr-FR"/>
              </w:rPr>
              <w:t>Décision du comité</w:t>
            </w:r>
          </w:p>
        </w:tc>
      </w:tr>
      <w:tr w:rsidR="00A752BD" w:rsidRPr="005E4D8D" w14:paraId="08640DB7" w14:textId="77777777" w:rsidTr="007F64A8">
        <w:trPr>
          <w:trHeight w:val="456"/>
        </w:trPr>
        <w:tc>
          <w:tcPr>
            <w:tcW w:w="1555" w:type="dxa"/>
          </w:tcPr>
          <w:p w14:paraId="454D2DE8" w14:textId="1A7E0421" w:rsidR="00A752BD" w:rsidRPr="002454D5" w:rsidRDefault="00974CFE" w:rsidP="00722B6D">
            <w:pPr>
              <w:pStyle w:val="1GAPara"/>
              <w:numPr>
                <w:ilvl w:val="0"/>
                <w:numId w:val="0"/>
              </w:numPr>
              <w:spacing w:after="0"/>
              <w:jc w:val="both"/>
              <w:rPr>
                <w:sz w:val="20"/>
                <w:szCs w:val="20"/>
                <w:lang w:val="fr-FR"/>
              </w:rPr>
            </w:pPr>
            <w:r>
              <w:rPr>
                <w:sz w:val="20"/>
                <w:szCs w:val="20"/>
                <w:lang w:val="fr-FR"/>
              </w:rPr>
              <w:t>Affiliation</w:t>
            </w:r>
          </w:p>
        </w:tc>
        <w:tc>
          <w:tcPr>
            <w:tcW w:w="7512" w:type="dxa"/>
            <w:shd w:val="clear" w:color="auto" w:fill="F2DBDB" w:themeFill="accent2" w:themeFillTint="33"/>
          </w:tcPr>
          <w:p w14:paraId="04E24395" w14:textId="4AD47E8B" w:rsidR="00A752BD" w:rsidRPr="00BE40AC" w:rsidRDefault="0049796B" w:rsidP="007F64A8">
            <w:pPr>
              <w:pStyle w:val="1GAPara"/>
              <w:numPr>
                <w:ilvl w:val="0"/>
                <w:numId w:val="0"/>
              </w:numPr>
              <w:spacing w:after="60"/>
              <w:jc w:val="both"/>
              <w:rPr>
                <w:sz w:val="20"/>
                <w:szCs w:val="20"/>
                <w:lang w:val="fr-FR"/>
              </w:rPr>
            </w:pPr>
            <w:r w:rsidRPr="00BC0A09">
              <w:rPr>
                <w:sz w:val="20"/>
                <w:szCs w:val="20"/>
                <w:lang w:val="fr-FR"/>
              </w:rPr>
              <w:t>Personnes de contact des éléments inscrits en tant que points focaux</w:t>
            </w:r>
          </w:p>
        </w:tc>
      </w:tr>
      <w:tr w:rsidR="00A752BD" w:rsidRPr="005E4D8D" w14:paraId="47D3DFBD" w14:textId="77777777" w:rsidTr="007F64A8">
        <w:tc>
          <w:tcPr>
            <w:tcW w:w="1555" w:type="dxa"/>
          </w:tcPr>
          <w:p w14:paraId="016EEA0B" w14:textId="5EE27640" w:rsidR="00A752BD" w:rsidRPr="002454D5" w:rsidRDefault="0049796B" w:rsidP="00722B6D">
            <w:pPr>
              <w:pStyle w:val="1GAPara"/>
              <w:numPr>
                <w:ilvl w:val="0"/>
                <w:numId w:val="0"/>
              </w:numPr>
              <w:spacing w:after="0"/>
              <w:jc w:val="both"/>
              <w:rPr>
                <w:sz w:val="20"/>
                <w:szCs w:val="20"/>
                <w:lang w:val="fr-FR"/>
              </w:rPr>
            </w:pPr>
            <w:r w:rsidRPr="002454D5">
              <w:rPr>
                <w:sz w:val="20"/>
                <w:szCs w:val="20"/>
                <w:lang w:val="fr-FR"/>
              </w:rPr>
              <w:t>Principales activités</w:t>
            </w:r>
          </w:p>
        </w:tc>
        <w:tc>
          <w:tcPr>
            <w:tcW w:w="7512" w:type="dxa"/>
            <w:shd w:val="clear" w:color="auto" w:fill="F2DBDB" w:themeFill="accent2" w:themeFillTint="33"/>
          </w:tcPr>
          <w:p w14:paraId="0F8687CA" w14:textId="3681D04F" w:rsidR="0049796B" w:rsidRPr="002454D5" w:rsidRDefault="0049796B" w:rsidP="00155E12">
            <w:pPr>
              <w:pStyle w:val="1GAPara"/>
              <w:numPr>
                <w:ilvl w:val="0"/>
                <w:numId w:val="6"/>
              </w:numPr>
              <w:spacing w:after="60"/>
              <w:ind w:left="0" w:firstLine="0"/>
              <w:jc w:val="both"/>
              <w:rPr>
                <w:sz w:val="20"/>
                <w:szCs w:val="20"/>
                <w:lang w:val="fr-FR"/>
              </w:rPr>
            </w:pPr>
            <w:r w:rsidRPr="002454D5">
              <w:rPr>
                <w:sz w:val="20"/>
                <w:szCs w:val="20"/>
                <w:lang w:val="fr-FR"/>
              </w:rPr>
              <w:t>Coordination de l'échange d'expériences</w:t>
            </w:r>
          </w:p>
          <w:p w14:paraId="38B3B755" w14:textId="240C2BC3" w:rsidR="00974CFE" w:rsidRPr="002454D5" w:rsidRDefault="0049796B" w:rsidP="00155E12">
            <w:pPr>
              <w:pStyle w:val="1GAPara"/>
              <w:numPr>
                <w:ilvl w:val="0"/>
                <w:numId w:val="6"/>
              </w:numPr>
              <w:spacing w:after="60"/>
              <w:ind w:left="0" w:firstLine="0"/>
              <w:jc w:val="both"/>
              <w:rPr>
                <w:sz w:val="20"/>
                <w:szCs w:val="20"/>
                <w:lang w:val="fr-FR"/>
              </w:rPr>
            </w:pPr>
            <w:r w:rsidRPr="002454D5">
              <w:rPr>
                <w:sz w:val="20"/>
                <w:szCs w:val="20"/>
                <w:lang w:val="fr-FR"/>
              </w:rPr>
              <w:t>La communication</w:t>
            </w:r>
          </w:p>
          <w:p w14:paraId="37E14A2D" w14:textId="133061F9" w:rsidR="00A752BD" w:rsidRPr="00974CFE" w:rsidRDefault="0049796B" w:rsidP="00155E12">
            <w:pPr>
              <w:pStyle w:val="1GAPara"/>
              <w:numPr>
                <w:ilvl w:val="0"/>
                <w:numId w:val="6"/>
              </w:numPr>
              <w:spacing w:after="60"/>
              <w:ind w:left="0" w:firstLine="0"/>
              <w:jc w:val="both"/>
              <w:rPr>
                <w:sz w:val="20"/>
                <w:szCs w:val="20"/>
                <w:lang w:val="fr-FR"/>
              </w:rPr>
            </w:pPr>
            <w:r w:rsidRPr="00974CFE">
              <w:rPr>
                <w:sz w:val="20"/>
                <w:szCs w:val="20"/>
                <w:lang w:val="fr-FR"/>
              </w:rPr>
              <w:t xml:space="preserve">Renforcement des capacités (avec le soutien des ONG accréditées par le biais du Forum des ONG du </w:t>
            </w:r>
            <w:r w:rsidR="00732F83" w:rsidRPr="00974CFE">
              <w:rPr>
                <w:sz w:val="20"/>
                <w:szCs w:val="20"/>
                <w:lang w:val="fr-FR"/>
              </w:rPr>
              <w:t>PCI, chaires</w:t>
            </w:r>
            <w:r w:rsidRPr="00974CFE">
              <w:rPr>
                <w:sz w:val="20"/>
                <w:szCs w:val="20"/>
                <w:lang w:val="fr-FR"/>
              </w:rPr>
              <w:t xml:space="preserve"> </w:t>
            </w:r>
            <w:r w:rsidR="00974CFE">
              <w:rPr>
                <w:sz w:val="20"/>
                <w:szCs w:val="20"/>
                <w:lang w:val="fr-FR"/>
              </w:rPr>
              <w:t>de l’</w:t>
            </w:r>
            <w:r w:rsidRPr="00974CFE">
              <w:rPr>
                <w:sz w:val="20"/>
                <w:szCs w:val="20"/>
                <w:lang w:val="fr-FR"/>
              </w:rPr>
              <w:t xml:space="preserve">UNESCO, institutions expertes, facilitateurs de l'UNESCO, </w:t>
            </w:r>
            <w:r w:rsidR="00732F83">
              <w:rPr>
                <w:sz w:val="20"/>
                <w:szCs w:val="20"/>
                <w:lang w:val="fr-FR"/>
              </w:rPr>
              <w:t>C</w:t>
            </w:r>
            <w:r w:rsidRPr="00974CFE">
              <w:rPr>
                <w:sz w:val="20"/>
                <w:szCs w:val="20"/>
                <w:lang w:val="fr-FR"/>
              </w:rPr>
              <w:t>entres de catégorie 2 et autres parties prenantes concernées)</w:t>
            </w:r>
          </w:p>
        </w:tc>
      </w:tr>
      <w:tr w:rsidR="00A752BD" w:rsidRPr="00980ADC" w14:paraId="6A9DC7B4" w14:textId="77777777" w:rsidTr="00722B6D">
        <w:trPr>
          <w:trHeight w:val="1303"/>
        </w:trPr>
        <w:tc>
          <w:tcPr>
            <w:tcW w:w="1555" w:type="dxa"/>
          </w:tcPr>
          <w:p w14:paraId="263B229D" w14:textId="4F82DAD7" w:rsidR="00A752BD" w:rsidRPr="002454D5" w:rsidRDefault="0049796B" w:rsidP="00722B6D">
            <w:pPr>
              <w:pStyle w:val="1GAPara"/>
              <w:numPr>
                <w:ilvl w:val="0"/>
                <w:numId w:val="0"/>
              </w:numPr>
              <w:spacing w:after="0"/>
              <w:jc w:val="both"/>
              <w:rPr>
                <w:sz w:val="20"/>
                <w:szCs w:val="20"/>
                <w:lang w:val="fr-FR"/>
              </w:rPr>
            </w:pPr>
            <w:r w:rsidRPr="002454D5">
              <w:rPr>
                <w:sz w:val="20"/>
                <w:szCs w:val="20"/>
                <w:lang w:val="fr-FR"/>
              </w:rPr>
              <w:t>Implications</w:t>
            </w:r>
            <w:r w:rsidR="003E6297">
              <w:rPr>
                <w:sz w:val="20"/>
                <w:szCs w:val="20"/>
                <w:lang w:val="fr-FR"/>
              </w:rPr>
              <w:t xml:space="preserve"> </w:t>
            </w:r>
            <w:r w:rsidRPr="002454D5">
              <w:rPr>
                <w:sz w:val="20"/>
                <w:szCs w:val="20"/>
                <w:lang w:val="fr-FR"/>
              </w:rPr>
              <w:t>financières</w:t>
            </w:r>
          </w:p>
        </w:tc>
        <w:tc>
          <w:tcPr>
            <w:tcW w:w="7512" w:type="dxa"/>
            <w:shd w:val="clear" w:color="auto" w:fill="D9D9D9" w:themeFill="background1" w:themeFillShade="D9"/>
          </w:tcPr>
          <w:p w14:paraId="346DC9B5" w14:textId="55482EDE" w:rsidR="0049796B" w:rsidRPr="00DC5625" w:rsidRDefault="0049796B" w:rsidP="00155E12">
            <w:pPr>
              <w:pStyle w:val="1GAPara"/>
              <w:numPr>
                <w:ilvl w:val="0"/>
                <w:numId w:val="5"/>
              </w:numPr>
              <w:spacing w:after="60"/>
              <w:ind w:left="0" w:firstLine="0"/>
              <w:jc w:val="both"/>
              <w:rPr>
                <w:sz w:val="16"/>
                <w:szCs w:val="16"/>
                <w:lang w:val="fr-FR"/>
              </w:rPr>
            </w:pPr>
            <w:r w:rsidRPr="00DC5625">
              <w:rPr>
                <w:sz w:val="16"/>
                <w:szCs w:val="16"/>
                <w:lang w:val="fr-FR"/>
              </w:rPr>
              <w:t>Des ressources financières supplémentaires pour :</w:t>
            </w:r>
          </w:p>
          <w:p w14:paraId="28386479" w14:textId="1FF12D91" w:rsidR="005E4D8D" w:rsidRPr="00DC5625" w:rsidRDefault="005E4D8D" w:rsidP="00155E12">
            <w:pPr>
              <w:pStyle w:val="1GAPara"/>
              <w:numPr>
                <w:ilvl w:val="1"/>
                <w:numId w:val="5"/>
              </w:numPr>
              <w:spacing w:after="60"/>
              <w:jc w:val="both"/>
              <w:rPr>
                <w:sz w:val="16"/>
                <w:szCs w:val="16"/>
                <w:lang w:val="fr-FR"/>
              </w:rPr>
            </w:pPr>
            <w:proofErr w:type="gramStart"/>
            <w:r w:rsidRPr="00DC5625">
              <w:rPr>
                <w:sz w:val="16"/>
                <w:szCs w:val="16"/>
                <w:lang w:val="fr-FR"/>
              </w:rPr>
              <w:t>l</w:t>
            </w:r>
            <w:r w:rsidR="00980ADC" w:rsidRPr="00DC5625">
              <w:rPr>
                <w:sz w:val="16"/>
                <w:szCs w:val="16"/>
                <w:lang w:val="fr-FR"/>
              </w:rPr>
              <w:t>e</w:t>
            </w:r>
            <w:proofErr w:type="gramEnd"/>
            <w:r w:rsidR="00980ADC" w:rsidRPr="00DC5625">
              <w:rPr>
                <w:sz w:val="16"/>
                <w:szCs w:val="16"/>
                <w:lang w:val="fr-FR"/>
              </w:rPr>
              <w:t xml:space="preserve"> personnel </w:t>
            </w:r>
            <w:r w:rsidRPr="00DC5625">
              <w:rPr>
                <w:sz w:val="16"/>
                <w:szCs w:val="16"/>
                <w:lang w:val="fr-FR"/>
              </w:rPr>
              <w:t>nécessaire pour assurer</w:t>
            </w:r>
            <w:r w:rsidR="00980ADC" w:rsidRPr="00DC5625">
              <w:rPr>
                <w:sz w:val="16"/>
                <w:szCs w:val="16"/>
                <w:lang w:val="fr-FR"/>
              </w:rPr>
              <w:t xml:space="preserve"> le fonctionnement du réseau</w:t>
            </w:r>
          </w:p>
          <w:p w14:paraId="16807948" w14:textId="01A168A6" w:rsidR="00A752BD" w:rsidRPr="00722B6D" w:rsidRDefault="0049796B" w:rsidP="00155E12">
            <w:pPr>
              <w:pStyle w:val="1GAPara"/>
              <w:numPr>
                <w:ilvl w:val="1"/>
                <w:numId w:val="5"/>
              </w:numPr>
              <w:spacing w:after="60"/>
              <w:jc w:val="both"/>
              <w:rPr>
                <w:sz w:val="16"/>
                <w:szCs w:val="16"/>
                <w:lang w:val="fr-FR"/>
              </w:rPr>
            </w:pPr>
            <w:proofErr w:type="gramStart"/>
            <w:r w:rsidRPr="00722B6D">
              <w:rPr>
                <w:sz w:val="16"/>
                <w:szCs w:val="16"/>
                <w:lang w:val="fr-FR"/>
              </w:rPr>
              <w:t>les</w:t>
            </w:r>
            <w:proofErr w:type="gramEnd"/>
            <w:r w:rsidRPr="00722B6D">
              <w:rPr>
                <w:sz w:val="16"/>
                <w:szCs w:val="16"/>
                <w:lang w:val="fr-FR"/>
              </w:rPr>
              <w:t xml:space="preserve"> frais d'organisation de la réunion (interprétation, techniciens, etc.)</w:t>
            </w:r>
          </w:p>
          <w:p w14:paraId="59B98E47" w14:textId="0F5C6677" w:rsidR="00A752BD" w:rsidRPr="00722B6D" w:rsidRDefault="0049796B" w:rsidP="00155E12">
            <w:pPr>
              <w:pStyle w:val="1GAPara"/>
              <w:numPr>
                <w:ilvl w:val="1"/>
                <w:numId w:val="5"/>
              </w:numPr>
              <w:spacing w:after="60"/>
              <w:jc w:val="both"/>
              <w:rPr>
                <w:sz w:val="16"/>
                <w:szCs w:val="16"/>
                <w:lang w:val="fr-FR"/>
              </w:rPr>
            </w:pPr>
            <w:proofErr w:type="gramStart"/>
            <w:r w:rsidRPr="00722B6D">
              <w:rPr>
                <w:sz w:val="16"/>
                <w:szCs w:val="16"/>
                <w:lang w:val="fr-FR"/>
              </w:rPr>
              <w:t>la</w:t>
            </w:r>
            <w:proofErr w:type="gramEnd"/>
            <w:r w:rsidRPr="00722B6D">
              <w:rPr>
                <w:sz w:val="16"/>
                <w:szCs w:val="16"/>
                <w:lang w:val="fr-FR"/>
              </w:rPr>
              <w:t xml:space="preserve"> traduction de documents</w:t>
            </w:r>
          </w:p>
          <w:p w14:paraId="566DC9B9" w14:textId="03C9C7A6" w:rsidR="00A752BD" w:rsidRPr="00722B6D" w:rsidRDefault="0049796B" w:rsidP="00155E12">
            <w:pPr>
              <w:pStyle w:val="1GAPara"/>
              <w:numPr>
                <w:ilvl w:val="1"/>
                <w:numId w:val="5"/>
              </w:numPr>
              <w:spacing w:after="60"/>
              <w:jc w:val="both"/>
              <w:rPr>
                <w:sz w:val="16"/>
                <w:szCs w:val="16"/>
                <w:lang w:val="fr-FR"/>
              </w:rPr>
            </w:pPr>
            <w:proofErr w:type="gramStart"/>
            <w:r w:rsidRPr="00722B6D">
              <w:rPr>
                <w:sz w:val="16"/>
                <w:szCs w:val="16"/>
                <w:lang w:val="fr-FR"/>
              </w:rPr>
              <w:t>services</w:t>
            </w:r>
            <w:proofErr w:type="gramEnd"/>
            <w:r w:rsidRPr="00722B6D">
              <w:rPr>
                <w:sz w:val="16"/>
                <w:szCs w:val="16"/>
                <w:lang w:val="fr-FR"/>
              </w:rPr>
              <w:t xml:space="preserve"> consultatifs d'experts (le cas échéant)</w:t>
            </w:r>
          </w:p>
        </w:tc>
      </w:tr>
    </w:tbl>
    <w:p w14:paraId="2E950526" w14:textId="187ABFAD" w:rsidR="00155E12" w:rsidRPr="00155E12" w:rsidRDefault="00104257" w:rsidP="007A57D9">
      <w:pPr>
        <w:pStyle w:val="Titre3"/>
        <w:numPr>
          <w:ilvl w:val="0"/>
          <w:numId w:val="9"/>
        </w:numPr>
        <w:spacing w:before="120"/>
        <w:ind w:left="709" w:hanging="567"/>
        <w:jc w:val="both"/>
        <w:rPr>
          <w:rFonts w:asciiTheme="minorBidi" w:hAnsiTheme="minorBidi" w:cstheme="minorBidi"/>
          <w:color w:val="auto"/>
          <w:sz w:val="22"/>
          <w:szCs w:val="22"/>
          <w:lang w:val="fr-FR"/>
        </w:rPr>
      </w:pPr>
      <w:bookmarkStart w:id="0" w:name="_Un_forum_spécial"/>
      <w:bookmarkEnd w:id="0"/>
      <w:r w:rsidRPr="00155E12">
        <w:rPr>
          <w:rFonts w:asciiTheme="minorBidi" w:hAnsiTheme="minorBidi" w:cstheme="minorBidi"/>
          <w:b/>
          <w:bCs/>
          <w:color w:val="auto"/>
          <w:sz w:val="22"/>
          <w:szCs w:val="22"/>
          <w:lang w:val="fr-FR"/>
        </w:rPr>
        <w:t>Un forum spécial :</w:t>
      </w:r>
      <w:r w:rsidRPr="00155E12">
        <w:rPr>
          <w:rFonts w:asciiTheme="minorBidi" w:hAnsiTheme="minorBidi" w:cstheme="minorBidi"/>
          <w:color w:val="auto"/>
          <w:sz w:val="22"/>
          <w:szCs w:val="22"/>
          <w:lang w:val="fr-FR"/>
        </w:rPr>
        <w:t xml:space="preserve"> </w:t>
      </w:r>
      <w:r w:rsidR="009E327B" w:rsidRPr="00155E12">
        <w:rPr>
          <w:rFonts w:asciiTheme="minorBidi" w:hAnsiTheme="minorBidi" w:cstheme="minorBidi"/>
          <w:color w:val="auto"/>
          <w:sz w:val="22"/>
          <w:szCs w:val="22"/>
          <w:lang w:val="fr-FR"/>
        </w:rPr>
        <w:t>Ce forum aurait pour objectif de représenter la voix des communautés et des porteurs de patrimoine vivant en ce qui concerne la Convention de 2003 lors des réunions de ses organes directeurs et autres processus statutaires. Cette suggestion s'inspire du Forum international des peuples autochtones sur le patrimoine mondial (FIPAPM) lancé en 2018 dans le cadre de la Convention de 1972, elle-même calquée sur la Convention des Nations unies sur la diversité biologique et la Convention-cadre des Nations unies sur les changements climatiques (FIPCC). Il s'agirait d'un organe ad hoc visant à soutenir un engagement plus direct et formel avec les organes directeurs de la Convention de 2003 lors de ses réunions statutaires.</w:t>
      </w:r>
    </w:p>
    <w:p w14:paraId="67205341" w14:textId="6D2D92C2" w:rsidR="00751581" w:rsidRPr="00155E12" w:rsidRDefault="001C3B21" w:rsidP="00155E12">
      <w:pPr>
        <w:pStyle w:val="1GAPara"/>
        <w:keepNext/>
        <w:numPr>
          <w:ilvl w:val="0"/>
          <w:numId w:val="10"/>
        </w:numPr>
        <w:spacing w:before="120" w:after="240"/>
        <w:ind w:hanging="578"/>
        <w:jc w:val="both"/>
        <w:rPr>
          <w:lang w:val="fr-FR"/>
        </w:rPr>
      </w:pPr>
      <w:r w:rsidRPr="00155E12">
        <w:rPr>
          <w:lang w:val="fr-FR"/>
        </w:rPr>
        <w:t xml:space="preserve">Sa structure organisationnelle serait fluide et le forum spécial serait convoqué sur une base ad hoc par décision du Comité intergouvernemental. Son rôle serait d'aborder des questions thématiques qui pourraient bénéficier d'un engagement et d'un dialogue plus étroits entre les États parties à la Convention et les praticiens et détenteurs du PCI. Le Secrétariat pourrait </w:t>
      </w:r>
      <w:r w:rsidR="00732F83" w:rsidRPr="00155E12">
        <w:rPr>
          <w:lang w:val="fr-FR"/>
        </w:rPr>
        <w:t xml:space="preserve">collaborer </w:t>
      </w:r>
      <w:r w:rsidRPr="00155E12">
        <w:rPr>
          <w:lang w:val="fr-FR"/>
        </w:rPr>
        <w:t>avec les ONG accréditées et le réseau des éléments inscrits pour identifier les domaines thématiques</w:t>
      </w:r>
      <w:r w:rsidR="001945B9" w:rsidRPr="00155E12">
        <w:rPr>
          <w:lang w:val="fr-FR"/>
        </w:rPr>
        <w:t xml:space="preserve"> clés</w:t>
      </w:r>
      <w:r w:rsidRPr="00155E12">
        <w:rPr>
          <w:lang w:val="fr-FR"/>
        </w:rPr>
        <w:t xml:space="preserve"> et les </w:t>
      </w:r>
      <w:r w:rsidR="00732F83" w:rsidRPr="00155E12">
        <w:rPr>
          <w:lang w:val="fr-FR"/>
        </w:rPr>
        <w:t xml:space="preserve">participants </w:t>
      </w:r>
      <w:r w:rsidR="001945B9" w:rsidRPr="00155E12">
        <w:rPr>
          <w:lang w:val="fr-FR"/>
        </w:rPr>
        <w:t xml:space="preserve">possédant une </w:t>
      </w:r>
      <w:r w:rsidR="003E6297" w:rsidRPr="00155E12">
        <w:rPr>
          <w:lang w:val="fr-FR"/>
        </w:rPr>
        <w:t xml:space="preserve">expérience et </w:t>
      </w:r>
      <w:r w:rsidR="001945B9" w:rsidRPr="00155E12">
        <w:rPr>
          <w:lang w:val="fr-FR"/>
        </w:rPr>
        <w:t>d</w:t>
      </w:r>
      <w:r w:rsidR="003E6297" w:rsidRPr="00155E12">
        <w:rPr>
          <w:lang w:val="fr-FR"/>
        </w:rPr>
        <w:t>es connaissances</w:t>
      </w:r>
      <w:r w:rsidR="001945B9" w:rsidRPr="00155E12">
        <w:rPr>
          <w:lang w:val="fr-FR"/>
        </w:rPr>
        <w:t xml:space="preserve"> pertinentes </w:t>
      </w:r>
      <w:r w:rsidR="007840C8" w:rsidRPr="00155E12">
        <w:rPr>
          <w:lang w:val="fr-FR"/>
        </w:rPr>
        <w:t>à propos des</w:t>
      </w:r>
      <w:r w:rsidR="001945B9" w:rsidRPr="00155E12">
        <w:rPr>
          <w:lang w:val="fr-FR"/>
        </w:rPr>
        <w:t xml:space="preserve"> problématiques à traiter. </w:t>
      </w:r>
      <w:r w:rsidR="00FA64F0" w:rsidRPr="00155E12">
        <w:rPr>
          <w:lang w:val="fr-FR"/>
        </w:rPr>
        <w:t>Les détails de la mise en place et du maintien d'un tel forum peuvent être résumés comme suit :</w:t>
      </w:r>
    </w:p>
    <w:tbl>
      <w:tblPr>
        <w:tblStyle w:val="Grilledutableau"/>
        <w:tblW w:w="9067" w:type="dxa"/>
        <w:tblInd w:w="567" w:type="dxa"/>
        <w:tblLayout w:type="fixed"/>
        <w:tblLook w:val="04A0" w:firstRow="1" w:lastRow="0" w:firstColumn="1" w:lastColumn="0" w:noHBand="0" w:noVBand="1"/>
      </w:tblPr>
      <w:tblGrid>
        <w:gridCol w:w="1555"/>
        <w:gridCol w:w="7512"/>
      </w:tblGrid>
      <w:tr w:rsidR="00A752BD" w:rsidRPr="00431E50" w14:paraId="2C9F470B" w14:textId="77777777" w:rsidTr="00DB3B19">
        <w:tc>
          <w:tcPr>
            <w:tcW w:w="1555" w:type="dxa"/>
          </w:tcPr>
          <w:p w14:paraId="1FEE6D3F" w14:textId="77777777" w:rsidR="00A752BD" w:rsidRPr="00431E50" w:rsidRDefault="00A752BD" w:rsidP="001E1231">
            <w:pPr>
              <w:pStyle w:val="1GAPara"/>
              <w:numPr>
                <w:ilvl w:val="0"/>
                <w:numId w:val="0"/>
              </w:numPr>
              <w:spacing w:after="0"/>
              <w:jc w:val="both"/>
              <w:rPr>
                <w:sz w:val="20"/>
                <w:szCs w:val="20"/>
                <w:lang w:val="fr-FR"/>
              </w:rPr>
            </w:pPr>
          </w:p>
        </w:tc>
        <w:tc>
          <w:tcPr>
            <w:tcW w:w="7512" w:type="dxa"/>
            <w:shd w:val="clear" w:color="auto" w:fill="EAF1DD" w:themeFill="accent3" w:themeFillTint="33"/>
          </w:tcPr>
          <w:p w14:paraId="73D0CEED" w14:textId="4328C7BB" w:rsidR="00A752BD" w:rsidRPr="002454D5" w:rsidRDefault="00FA64F0" w:rsidP="00D5674A">
            <w:pPr>
              <w:pStyle w:val="1GAPara"/>
              <w:numPr>
                <w:ilvl w:val="0"/>
                <w:numId w:val="0"/>
              </w:numPr>
              <w:spacing w:after="60"/>
              <w:ind w:firstLine="35"/>
              <w:jc w:val="both"/>
              <w:rPr>
                <w:b/>
                <w:bCs/>
                <w:sz w:val="20"/>
                <w:szCs w:val="20"/>
                <w:lang w:val="fr-FR"/>
              </w:rPr>
            </w:pPr>
            <w:r w:rsidRPr="002454D5">
              <w:rPr>
                <w:b/>
                <w:bCs/>
                <w:sz w:val="20"/>
                <w:szCs w:val="20"/>
                <w:lang w:val="fr-FR"/>
              </w:rPr>
              <w:t>Forum spécial</w:t>
            </w:r>
          </w:p>
        </w:tc>
      </w:tr>
      <w:tr w:rsidR="00FA64F0" w:rsidRPr="005E4D8D" w14:paraId="5BAE71DA" w14:textId="77777777" w:rsidTr="00DB3B19">
        <w:tc>
          <w:tcPr>
            <w:tcW w:w="1555" w:type="dxa"/>
          </w:tcPr>
          <w:p w14:paraId="75754F07" w14:textId="4790D515" w:rsidR="00FA64F0" w:rsidRPr="002454D5" w:rsidRDefault="00FA64F0" w:rsidP="001E1231">
            <w:pPr>
              <w:pStyle w:val="1GAPara"/>
              <w:numPr>
                <w:ilvl w:val="0"/>
                <w:numId w:val="0"/>
              </w:numPr>
              <w:spacing w:after="0"/>
              <w:jc w:val="both"/>
              <w:rPr>
                <w:sz w:val="20"/>
                <w:szCs w:val="20"/>
                <w:lang w:val="fr-FR"/>
              </w:rPr>
            </w:pPr>
            <w:r w:rsidRPr="002454D5">
              <w:rPr>
                <w:sz w:val="20"/>
                <w:szCs w:val="20"/>
                <w:lang w:val="fr-FR"/>
              </w:rPr>
              <w:t>Objectif principal</w:t>
            </w:r>
          </w:p>
        </w:tc>
        <w:tc>
          <w:tcPr>
            <w:tcW w:w="7512" w:type="dxa"/>
            <w:shd w:val="clear" w:color="auto" w:fill="EAF1DD" w:themeFill="accent3" w:themeFillTint="33"/>
          </w:tcPr>
          <w:p w14:paraId="33082CE1" w14:textId="7F06909A" w:rsidR="00FA64F0" w:rsidRPr="00D92B71" w:rsidRDefault="00FA64F0" w:rsidP="00D5674A">
            <w:pPr>
              <w:pStyle w:val="1GAPara"/>
              <w:numPr>
                <w:ilvl w:val="0"/>
                <w:numId w:val="0"/>
              </w:numPr>
              <w:spacing w:after="60"/>
              <w:ind w:firstLine="35"/>
              <w:jc w:val="both"/>
              <w:rPr>
                <w:sz w:val="20"/>
                <w:szCs w:val="20"/>
                <w:lang w:val="fr-FR"/>
              </w:rPr>
            </w:pPr>
            <w:r w:rsidRPr="00BC0A09">
              <w:rPr>
                <w:sz w:val="20"/>
                <w:szCs w:val="20"/>
                <w:lang w:val="fr-FR"/>
              </w:rPr>
              <w:t xml:space="preserve">Soutenir un engagement plus direct du Comité avec les </w:t>
            </w:r>
            <w:r w:rsidR="00732F83">
              <w:rPr>
                <w:sz w:val="20"/>
                <w:szCs w:val="20"/>
                <w:lang w:val="fr-FR"/>
              </w:rPr>
              <w:t>C</w:t>
            </w:r>
            <w:r w:rsidR="00016C08">
              <w:rPr>
                <w:sz w:val="20"/>
                <w:szCs w:val="20"/>
                <w:lang w:val="fr-FR"/>
              </w:rPr>
              <w:t>o</w:t>
            </w:r>
            <w:r w:rsidRPr="00BC0A09">
              <w:rPr>
                <w:sz w:val="20"/>
                <w:szCs w:val="20"/>
                <w:lang w:val="fr-FR"/>
              </w:rPr>
              <w:t xml:space="preserve">mmunautés et les détenteurs du patrimoine vivant (sur une base ad </w:t>
            </w:r>
            <w:r w:rsidRPr="00D92B71">
              <w:rPr>
                <w:sz w:val="20"/>
                <w:szCs w:val="20"/>
                <w:lang w:val="fr-FR"/>
              </w:rPr>
              <w:t>hoc).</w:t>
            </w:r>
          </w:p>
        </w:tc>
      </w:tr>
      <w:tr w:rsidR="00FA64F0" w:rsidRPr="005E4D8D" w14:paraId="6FA52998" w14:textId="77777777" w:rsidTr="002454D5">
        <w:trPr>
          <w:trHeight w:val="464"/>
        </w:trPr>
        <w:tc>
          <w:tcPr>
            <w:tcW w:w="1555" w:type="dxa"/>
          </w:tcPr>
          <w:p w14:paraId="77A5F988" w14:textId="584DB270" w:rsidR="00FA64F0" w:rsidRPr="002454D5" w:rsidRDefault="00FA64F0" w:rsidP="001E1231">
            <w:pPr>
              <w:pStyle w:val="1GAPara"/>
              <w:numPr>
                <w:ilvl w:val="0"/>
                <w:numId w:val="0"/>
              </w:numPr>
              <w:spacing w:after="0"/>
              <w:jc w:val="both"/>
              <w:rPr>
                <w:sz w:val="20"/>
                <w:szCs w:val="20"/>
                <w:lang w:val="fr-FR"/>
              </w:rPr>
            </w:pPr>
            <w:r w:rsidRPr="002454D5">
              <w:rPr>
                <w:sz w:val="20"/>
                <w:szCs w:val="20"/>
                <w:lang w:val="fr-FR"/>
              </w:rPr>
              <w:t>Structure de soutien</w:t>
            </w:r>
          </w:p>
        </w:tc>
        <w:tc>
          <w:tcPr>
            <w:tcW w:w="7512" w:type="dxa"/>
            <w:shd w:val="clear" w:color="auto" w:fill="EAF1DD" w:themeFill="accent3" w:themeFillTint="33"/>
          </w:tcPr>
          <w:p w14:paraId="6121FAF3" w14:textId="17DBFCC8" w:rsidR="00FA64F0" w:rsidRPr="002454D5" w:rsidRDefault="00732F83" w:rsidP="00D5674A">
            <w:pPr>
              <w:pStyle w:val="1GAPara"/>
              <w:numPr>
                <w:ilvl w:val="0"/>
                <w:numId w:val="0"/>
              </w:numPr>
              <w:spacing w:after="60"/>
              <w:ind w:firstLine="35"/>
              <w:jc w:val="both"/>
              <w:rPr>
                <w:sz w:val="20"/>
                <w:szCs w:val="20"/>
                <w:lang w:val="fr-FR"/>
              </w:rPr>
            </w:pPr>
            <w:r w:rsidRPr="00732F83">
              <w:rPr>
                <w:sz w:val="20"/>
                <w:szCs w:val="20"/>
                <w:lang w:val="fr-FR"/>
              </w:rPr>
              <w:t>Secrétariat de la Convention de 2003 avec le soutien du Forum des ONG du PCI et du réseau des éléments inscrits</w:t>
            </w:r>
          </w:p>
        </w:tc>
      </w:tr>
      <w:tr w:rsidR="00FA64F0" w:rsidRPr="00431E50" w14:paraId="2353F6F0" w14:textId="77777777" w:rsidTr="002454D5">
        <w:trPr>
          <w:trHeight w:val="486"/>
        </w:trPr>
        <w:tc>
          <w:tcPr>
            <w:tcW w:w="1555" w:type="dxa"/>
          </w:tcPr>
          <w:p w14:paraId="3E6972EA" w14:textId="5BFF55D5" w:rsidR="00FA64F0" w:rsidRPr="002454D5" w:rsidRDefault="00FA64F0" w:rsidP="001E1231">
            <w:pPr>
              <w:pStyle w:val="1GAPara"/>
              <w:numPr>
                <w:ilvl w:val="0"/>
                <w:numId w:val="0"/>
              </w:numPr>
              <w:spacing w:after="0"/>
              <w:jc w:val="both"/>
              <w:rPr>
                <w:sz w:val="20"/>
                <w:szCs w:val="20"/>
                <w:lang w:val="fr-FR"/>
              </w:rPr>
            </w:pPr>
            <w:r w:rsidRPr="002454D5">
              <w:rPr>
                <w:sz w:val="20"/>
                <w:szCs w:val="20"/>
                <w:lang w:val="fr-FR"/>
              </w:rPr>
              <w:t>Exigences statutaires</w:t>
            </w:r>
          </w:p>
        </w:tc>
        <w:tc>
          <w:tcPr>
            <w:tcW w:w="7512" w:type="dxa"/>
            <w:shd w:val="clear" w:color="auto" w:fill="EAF1DD" w:themeFill="accent3" w:themeFillTint="33"/>
          </w:tcPr>
          <w:p w14:paraId="4B7003F0" w14:textId="40A75EFF" w:rsidR="00FA64F0" w:rsidRPr="00732F83" w:rsidRDefault="00FA64F0" w:rsidP="00155E12">
            <w:pPr>
              <w:pStyle w:val="1GAPara"/>
              <w:numPr>
                <w:ilvl w:val="0"/>
                <w:numId w:val="5"/>
              </w:numPr>
              <w:spacing w:after="60"/>
              <w:ind w:left="170" w:firstLine="35"/>
              <w:jc w:val="both"/>
              <w:rPr>
                <w:sz w:val="20"/>
                <w:szCs w:val="20"/>
                <w:lang w:val="fr-FR"/>
              </w:rPr>
            </w:pPr>
            <w:r w:rsidRPr="00BC0A09">
              <w:rPr>
                <w:sz w:val="20"/>
                <w:szCs w:val="20"/>
                <w:lang w:val="fr-FR"/>
              </w:rPr>
              <w:t>Décision du comité</w:t>
            </w:r>
          </w:p>
        </w:tc>
      </w:tr>
      <w:tr w:rsidR="00FA64F0" w:rsidRPr="005E4D8D" w14:paraId="631567B7" w14:textId="77777777" w:rsidTr="00DB3B19">
        <w:tc>
          <w:tcPr>
            <w:tcW w:w="1555" w:type="dxa"/>
          </w:tcPr>
          <w:p w14:paraId="7C339059" w14:textId="4991EFD7" w:rsidR="00FA64F0" w:rsidRPr="002454D5" w:rsidRDefault="00FA64F0" w:rsidP="001E1231">
            <w:pPr>
              <w:pStyle w:val="1GAPara"/>
              <w:numPr>
                <w:ilvl w:val="0"/>
                <w:numId w:val="0"/>
              </w:numPr>
              <w:spacing w:after="0"/>
              <w:jc w:val="both"/>
              <w:rPr>
                <w:sz w:val="20"/>
                <w:szCs w:val="20"/>
                <w:lang w:val="fr-FR"/>
              </w:rPr>
            </w:pPr>
            <w:r w:rsidRPr="002454D5">
              <w:rPr>
                <w:sz w:val="20"/>
                <w:szCs w:val="20"/>
                <w:lang w:val="fr-FR"/>
              </w:rPr>
              <w:t>Adhésion</w:t>
            </w:r>
          </w:p>
        </w:tc>
        <w:tc>
          <w:tcPr>
            <w:tcW w:w="7512" w:type="dxa"/>
            <w:shd w:val="clear" w:color="auto" w:fill="EAF1DD" w:themeFill="accent3" w:themeFillTint="33"/>
          </w:tcPr>
          <w:p w14:paraId="78C97188" w14:textId="4C9C960E" w:rsidR="00FA64F0" w:rsidRPr="00D92B71" w:rsidRDefault="00FA64F0" w:rsidP="00D5674A">
            <w:pPr>
              <w:pStyle w:val="1GAPara"/>
              <w:numPr>
                <w:ilvl w:val="0"/>
                <w:numId w:val="0"/>
              </w:numPr>
              <w:spacing w:after="60"/>
              <w:ind w:firstLine="35"/>
              <w:jc w:val="both"/>
              <w:rPr>
                <w:sz w:val="20"/>
                <w:szCs w:val="20"/>
                <w:lang w:val="fr-FR"/>
              </w:rPr>
            </w:pPr>
            <w:r w:rsidRPr="00BC0A09">
              <w:rPr>
                <w:sz w:val="20"/>
                <w:szCs w:val="20"/>
                <w:lang w:val="fr-FR"/>
              </w:rPr>
              <w:t xml:space="preserve">Pas de membres permanents. Sélection des </w:t>
            </w:r>
            <w:r w:rsidRPr="00D92B71">
              <w:rPr>
                <w:sz w:val="20"/>
                <w:szCs w:val="20"/>
                <w:lang w:val="fr-FR"/>
              </w:rPr>
              <w:t>représentants communautaires en fonction des sessions</w:t>
            </w:r>
          </w:p>
        </w:tc>
      </w:tr>
      <w:tr w:rsidR="00FA64F0" w:rsidRPr="005E4D8D" w14:paraId="7C09FE6C" w14:textId="77777777" w:rsidTr="00DB3B19">
        <w:tc>
          <w:tcPr>
            <w:tcW w:w="1555" w:type="dxa"/>
          </w:tcPr>
          <w:p w14:paraId="3E4A8900" w14:textId="7E76DA10" w:rsidR="00FA64F0" w:rsidRPr="002454D5" w:rsidRDefault="00FA64F0" w:rsidP="001E1231">
            <w:pPr>
              <w:pStyle w:val="1GAPara"/>
              <w:numPr>
                <w:ilvl w:val="0"/>
                <w:numId w:val="0"/>
              </w:numPr>
              <w:spacing w:after="0"/>
              <w:jc w:val="both"/>
              <w:rPr>
                <w:sz w:val="20"/>
                <w:szCs w:val="20"/>
                <w:lang w:val="fr-FR"/>
              </w:rPr>
            </w:pPr>
            <w:r w:rsidRPr="002454D5">
              <w:rPr>
                <w:sz w:val="20"/>
                <w:szCs w:val="20"/>
                <w:lang w:val="fr-FR"/>
              </w:rPr>
              <w:t>Principales activités</w:t>
            </w:r>
          </w:p>
        </w:tc>
        <w:tc>
          <w:tcPr>
            <w:tcW w:w="7512" w:type="dxa"/>
            <w:shd w:val="clear" w:color="auto" w:fill="EAF1DD" w:themeFill="accent3" w:themeFillTint="33"/>
          </w:tcPr>
          <w:p w14:paraId="3FE1631D" w14:textId="6FDDC008" w:rsidR="00FA64F0" w:rsidRPr="002454D5" w:rsidRDefault="00FA64F0" w:rsidP="00155E12">
            <w:pPr>
              <w:pStyle w:val="1GAPara"/>
              <w:numPr>
                <w:ilvl w:val="0"/>
                <w:numId w:val="4"/>
              </w:numPr>
              <w:spacing w:after="60"/>
              <w:ind w:firstLine="35"/>
              <w:jc w:val="both"/>
              <w:rPr>
                <w:sz w:val="20"/>
                <w:szCs w:val="20"/>
                <w:lang w:val="fr-FR"/>
              </w:rPr>
            </w:pPr>
            <w:r w:rsidRPr="002454D5">
              <w:rPr>
                <w:sz w:val="20"/>
                <w:szCs w:val="20"/>
                <w:lang w:val="fr-FR"/>
              </w:rPr>
              <w:t>Sélection des participants</w:t>
            </w:r>
          </w:p>
          <w:p w14:paraId="5B483444" w14:textId="6D7D3249" w:rsidR="00FA64F0" w:rsidRPr="00D92B71" w:rsidRDefault="00FA64F0" w:rsidP="00155E12">
            <w:pPr>
              <w:pStyle w:val="1GAPara"/>
              <w:numPr>
                <w:ilvl w:val="0"/>
                <w:numId w:val="4"/>
              </w:numPr>
              <w:spacing w:after="60"/>
              <w:ind w:firstLine="35"/>
              <w:jc w:val="both"/>
              <w:rPr>
                <w:sz w:val="20"/>
                <w:szCs w:val="20"/>
                <w:lang w:val="fr-FR"/>
              </w:rPr>
            </w:pPr>
            <w:r w:rsidRPr="00BC0A09">
              <w:rPr>
                <w:sz w:val="20"/>
                <w:szCs w:val="20"/>
                <w:lang w:val="fr-FR"/>
              </w:rPr>
              <w:t xml:space="preserve">Voyage et participation aux réunions du </w:t>
            </w:r>
            <w:r w:rsidR="00732F83">
              <w:rPr>
                <w:sz w:val="20"/>
                <w:szCs w:val="20"/>
                <w:lang w:val="fr-FR"/>
              </w:rPr>
              <w:t>C</w:t>
            </w:r>
            <w:r w:rsidRPr="00BC0A09">
              <w:rPr>
                <w:sz w:val="20"/>
                <w:szCs w:val="20"/>
                <w:lang w:val="fr-FR"/>
              </w:rPr>
              <w:t>omité</w:t>
            </w:r>
          </w:p>
        </w:tc>
      </w:tr>
      <w:tr w:rsidR="00FA64F0" w:rsidRPr="00431E50" w14:paraId="062D938F" w14:textId="77777777" w:rsidTr="001E1231">
        <w:trPr>
          <w:trHeight w:val="1317"/>
        </w:trPr>
        <w:tc>
          <w:tcPr>
            <w:tcW w:w="1555" w:type="dxa"/>
          </w:tcPr>
          <w:p w14:paraId="75115EA7" w14:textId="69A21C79" w:rsidR="00FA64F0" w:rsidRPr="002454D5" w:rsidRDefault="00FA64F0" w:rsidP="001E1231">
            <w:pPr>
              <w:pStyle w:val="1GAPara"/>
              <w:numPr>
                <w:ilvl w:val="0"/>
                <w:numId w:val="0"/>
              </w:numPr>
              <w:spacing w:after="0"/>
              <w:jc w:val="both"/>
              <w:rPr>
                <w:sz w:val="20"/>
                <w:szCs w:val="20"/>
                <w:lang w:val="fr-FR"/>
              </w:rPr>
            </w:pPr>
            <w:bookmarkStart w:id="1" w:name="_Hlk80971455"/>
            <w:r w:rsidRPr="002454D5">
              <w:rPr>
                <w:sz w:val="20"/>
                <w:szCs w:val="20"/>
                <w:lang w:val="fr-FR"/>
              </w:rPr>
              <w:lastRenderedPageBreak/>
              <w:t>Implications financières</w:t>
            </w:r>
          </w:p>
        </w:tc>
        <w:tc>
          <w:tcPr>
            <w:tcW w:w="7512" w:type="dxa"/>
            <w:shd w:val="clear" w:color="auto" w:fill="D9D9D9" w:themeFill="background1" w:themeFillShade="D9"/>
          </w:tcPr>
          <w:p w14:paraId="0F5C1888" w14:textId="77777777" w:rsidR="00732F83" w:rsidRPr="001E1231" w:rsidRDefault="00732F83" w:rsidP="00155E12">
            <w:pPr>
              <w:pStyle w:val="1GAPara"/>
              <w:numPr>
                <w:ilvl w:val="0"/>
                <w:numId w:val="5"/>
              </w:numPr>
              <w:spacing w:after="60"/>
              <w:ind w:firstLine="35"/>
              <w:jc w:val="both"/>
              <w:rPr>
                <w:sz w:val="16"/>
                <w:szCs w:val="16"/>
                <w:lang w:val="fr-FR"/>
              </w:rPr>
            </w:pPr>
            <w:r w:rsidRPr="001E1231">
              <w:rPr>
                <w:sz w:val="16"/>
                <w:szCs w:val="16"/>
                <w:lang w:val="fr-FR"/>
              </w:rPr>
              <w:t>Des ressources financières supplémentaires pour :</w:t>
            </w:r>
          </w:p>
          <w:p w14:paraId="5B25D2E0" w14:textId="77777777" w:rsidR="00732F83" w:rsidRPr="001E1231" w:rsidRDefault="00732F83" w:rsidP="00155E12">
            <w:pPr>
              <w:pStyle w:val="1GAPara"/>
              <w:numPr>
                <w:ilvl w:val="0"/>
                <w:numId w:val="5"/>
              </w:numPr>
              <w:spacing w:after="60"/>
              <w:ind w:firstLine="35"/>
              <w:jc w:val="both"/>
              <w:rPr>
                <w:sz w:val="16"/>
                <w:szCs w:val="16"/>
                <w:lang w:val="fr-FR"/>
              </w:rPr>
            </w:pPr>
            <w:proofErr w:type="gramStart"/>
            <w:r w:rsidRPr="001E1231">
              <w:rPr>
                <w:sz w:val="16"/>
                <w:szCs w:val="16"/>
                <w:lang w:val="fr-FR"/>
              </w:rPr>
              <w:t>les</w:t>
            </w:r>
            <w:proofErr w:type="gramEnd"/>
            <w:r w:rsidRPr="001E1231">
              <w:rPr>
                <w:sz w:val="16"/>
                <w:szCs w:val="16"/>
                <w:lang w:val="fr-FR"/>
              </w:rPr>
              <w:t xml:space="preserve"> frais de voyage des représentants et des porteurs communautaires</w:t>
            </w:r>
          </w:p>
          <w:p w14:paraId="5517C16D" w14:textId="77777777" w:rsidR="00732F83" w:rsidRPr="001E1231" w:rsidRDefault="00732F83" w:rsidP="00155E12">
            <w:pPr>
              <w:pStyle w:val="1GAPara"/>
              <w:numPr>
                <w:ilvl w:val="0"/>
                <w:numId w:val="5"/>
              </w:numPr>
              <w:spacing w:after="60"/>
              <w:ind w:firstLine="35"/>
              <w:jc w:val="both"/>
              <w:rPr>
                <w:sz w:val="16"/>
                <w:szCs w:val="16"/>
                <w:lang w:val="fr-FR"/>
              </w:rPr>
            </w:pPr>
            <w:proofErr w:type="gramStart"/>
            <w:r w:rsidRPr="001E1231">
              <w:rPr>
                <w:sz w:val="16"/>
                <w:szCs w:val="16"/>
                <w:lang w:val="fr-FR"/>
              </w:rPr>
              <w:t>l’organisation</w:t>
            </w:r>
            <w:proofErr w:type="gramEnd"/>
            <w:r w:rsidRPr="001E1231">
              <w:rPr>
                <w:sz w:val="16"/>
                <w:szCs w:val="16"/>
                <w:lang w:val="fr-FR"/>
              </w:rPr>
              <w:t xml:space="preserve"> des événements durant les sessions du Comité</w:t>
            </w:r>
          </w:p>
          <w:p w14:paraId="0B645B93" w14:textId="77777777" w:rsidR="00732F83" w:rsidRPr="001E1231" w:rsidRDefault="00732F83" w:rsidP="00155E12">
            <w:pPr>
              <w:pStyle w:val="1GAPara"/>
              <w:numPr>
                <w:ilvl w:val="0"/>
                <w:numId w:val="5"/>
              </w:numPr>
              <w:spacing w:after="60"/>
              <w:ind w:firstLine="35"/>
              <w:jc w:val="both"/>
              <w:rPr>
                <w:sz w:val="16"/>
                <w:szCs w:val="16"/>
                <w:lang w:val="fr-FR"/>
              </w:rPr>
            </w:pPr>
            <w:r w:rsidRPr="001E1231">
              <w:rPr>
                <w:sz w:val="16"/>
                <w:szCs w:val="16"/>
                <w:lang w:val="fr-FR"/>
              </w:rPr>
              <w:t xml:space="preserve">Temps de secrétariat supplémentaire requis pour : </w:t>
            </w:r>
          </w:p>
          <w:p w14:paraId="14CFD47B" w14:textId="77777777" w:rsidR="00732F83" w:rsidRPr="001E1231" w:rsidRDefault="00732F83" w:rsidP="00155E12">
            <w:pPr>
              <w:pStyle w:val="1GAPara"/>
              <w:numPr>
                <w:ilvl w:val="1"/>
                <w:numId w:val="5"/>
              </w:numPr>
              <w:spacing w:after="60"/>
              <w:ind w:firstLine="35"/>
              <w:jc w:val="both"/>
              <w:rPr>
                <w:sz w:val="16"/>
                <w:szCs w:val="16"/>
                <w:lang w:val="fr-FR"/>
              </w:rPr>
            </w:pPr>
            <w:proofErr w:type="gramStart"/>
            <w:r w:rsidRPr="001E1231">
              <w:rPr>
                <w:sz w:val="16"/>
                <w:szCs w:val="16"/>
                <w:lang w:val="fr-FR"/>
              </w:rPr>
              <w:t>l’identification</w:t>
            </w:r>
            <w:proofErr w:type="gramEnd"/>
            <w:r w:rsidRPr="001E1231">
              <w:rPr>
                <w:sz w:val="16"/>
                <w:szCs w:val="16"/>
                <w:lang w:val="fr-FR"/>
              </w:rPr>
              <w:t xml:space="preserve"> des participants et liaison avec le Forum des ONG du PCI et le réseau des éléments inscrits </w:t>
            </w:r>
          </w:p>
          <w:p w14:paraId="5F3EC58D" w14:textId="657356A5" w:rsidR="00FA64F0" w:rsidRPr="001E1231" w:rsidRDefault="00FA64F0" w:rsidP="00155E12">
            <w:pPr>
              <w:pStyle w:val="1GAPara"/>
              <w:numPr>
                <w:ilvl w:val="0"/>
                <w:numId w:val="5"/>
              </w:numPr>
              <w:spacing w:after="60"/>
              <w:ind w:firstLine="35"/>
              <w:jc w:val="both"/>
              <w:rPr>
                <w:sz w:val="16"/>
                <w:szCs w:val="16"/>
                <w:lang w:val="fr-FR"/>
              </w:rPr>
            </w:pPr>
            <w:r w:rsidRPr="001E1231">
              <w:rPr>
                <w:sz w:val="16"/>
                <w:szCs w:val="16"/>
                <w:lang w:val="fr-FR"/>
              </w:rPr>
              <w:t>Temps supplémentaire du Comité</w:t>
            </w:r>
          </w:p>
        </w:tc>
      </w:tr>
    </w:tbl>
    <w:bookmarkEnd w:id="1"/>
    <w:p w14:paraId="6C56B429" w14:textId="63DC5EC0" w:rsidR="00104257" w:rsidRPr="00D92B71" w:rsidRDefault="003F50C3" w:rsidP="00155E12">
      <w:pPr>
        <w:pStyle w:val="1GAPara"/>
        <w:keepNext/>
        <w:numPr>
          <w:ilvl w:val="0"/>
          <w:numId w:val="8"/>
        </w:numPr>
        <w:spacing w:before="240"/>
        <w:ind w:hanging="578"/>
        <w:jc w:val="both"/>
        <w:rPr>
          <w:lang w:val="fr-FR"/>
        </w:rPr>
      </w:pPr>
      <w:r w:rsidRPr="00BC0A09">
        <w:rPr>
          <w:b/>
          <w:bCs/>
          <w:lang w:val="fr-FR"/>
        </w:rPr>
        <w:t>N</w:t>
      </w:r>
      <w:r w:rsidR="00104257" w:rsidRPr="00D92B71">
        <w:rPr>
          <w:b/>
          <w:bCs/>
          <w:lang w:val="fr-FR"/>
        </w:rPr>
        <w:t>ombre de dossiers par cycle</w:t>
      </w:r>
    </w:p>
    <w:p w14:paraId="339D8B94" w14:textId="0FE04F6D" w:rsidR="00F43933" w:rsidRPr="00314D8C" w:rsidRDefault="00F43933" w:rsidP="00866735">
      <w:pPr>
        <w:pStyle w:val="1GAPara"/>
        <w:ind w:hanging="720"/>
        <w:jc w:val="both"/>
        <w:rPr>
          <w:rFonts w:asciiTheme="minorBidi" w:hAnsiTheme="minorBidi" w:cstheme="minorBidi"/>
          <w:lang w:val="fr-FR"/>
        </w:rPr>
      </w:pPr>
      <w:r w:rsidRPr="00F43933">
        <w:rPr>
          <w:rFonts w:asciiTheme="minorBidi" w:hAnsiTheme="minorBidi" w:cstheme="minorBidi"/>
          <w:lang w:val="fr-FR"/>
        </w:rPr>
        <w:t>Il est évident que la réforme des mécanismes d’inscription sur les listes aurait des implications importantes sur le nombre annuel de dossiers pouvant être traités par le Comité, l’Organe d’évaluation et le Secrétariat. Le groupe de travail a pris note, lors de sa réunion de la Partie I, qu’étant donné qu’un nombre élevé de dossiers (en particulier des candidatures multinationales) continuent d’être présentés chaque année et avec 180 États parties, il ne serait pas possible, dans les circonstances actuelles, de respecter le principe de traitement d’un dossier par État partie tous les deux ans, et encore moins de répondre aux priorités énoncées au paragraphe 34 des Directives opérationnelles ; des mesures alternatives devraient être introduites.</w:t>
      </w:r>
    </w:p>
    <w:p w14:paraId="23C03994" w14:textId="10433841" w:rsidR="00314D8C" w:rsidRPr="00BE073C" w:rsidRDefault="00F43933" w:rsidP="00722B6D">
      <w:pPr>
        <w:pStyle w:val="1GAPara"/>
        <w:ind w:hanging="720"/>
        <w:jc w:val="both"/>
        <w:rPr>
          <w:lang w:val="fr-FR"/>
        </w:rPr>
      </w:pPr>
      <w:r w:rsidRPr="00314D8C">
        <w:rPr>
          <w:lang w:val="fr-FR"/>
        </w:rPr>
        <w:t xml:space="preserve">Les membres du groupe de travail ont commencé à discuter des trois points suivants à la fin de la Partie I de la réunion, mais le temps n’était pas suffisant pour définir clairement les enjeux (entre crochets dans la recommandation de la Partie I). </w:t>
      </w:r>
      <w:r w:rsidRPr="00BE073C">
        <w:rPr>
          <w:lang w:val="fr-FR"/>
        </w:rPr>
        <w:t>Il serait donc nécessaire que la Partie II de la réunion se mette d’abord d’accord sur le traitement de ces questions.</w:t>
      </w:r>
    </w:p>
    <w:p w14:paraId="1C232A6A" w14:textId="048CAC72" w:rsidR="00314D8C" w:rsidRPr="00314D8C" w:rsidRDefault="00F43933" w:rsidP="00314D8C">
      <w:pPr>
        <w:ind w:left="709" w:firstLine="142"/>
        <w:jc w:val="both"/>
        <w:rPr>
          <w:rFonts w:ascii="Arial" w:hAnsi="Arial" w:cs="Arial"/>
          <w:lang w:val="fr-FR"/>
        </w:rPr>
      </w:pPr>
      <w:r w:rsidRPr="00314D8C">
        <w:rPr>
          <w:rFonts w:ascii="Arial" w:hAnsi="Arial" w:cs="Arial"/>
          <w:lang w:val="fr-FR"/>
        </w:rPr>
        <w:t>[12.i. Envisager la possibilité de revoir l’adaptabilité de la composition et des méthodes de travail de l’Organe d’évaluation pour permettre l’évaluation d’un plus grand nombre de dossiers par cycle, tout en tenant compte de la représentation géographique ;]</w:t>
      </w:r>
    </w:p>
    <w:p w14:paraId="523390AB" w14:textId="6F9E0498" w:rsidR="00F43933" w:rsidRPr="00BE073C" w:rsidRDefault="00F43933" w:rsidP="00314D8C">
      <w:pPr>
        <w:ind w:left="709" w:firstLine="142"/>
        <w:jc w:val="both"/>
        <w:rPr>
          <w:rFonts w:ascii="Arial" w:hAnsi="Arial" w:cs="Arial"/>
          <w:lang w:val="fr-FR"/>
        </w:rPr>
      </w:pPr>
      <w:r w:rsidRPr="00BE073C">
        <w:rPr>
          <w:rFonts w:ascii="Arial" w:hAnsi="Arial" w:cs="Arial"/>
          <w:lang w:val="fr-FR"/>
        </w:rPr>
        <w:t>[12.j. Envisager la possibilité d’examiner deux dossiers par État tous les trois ans en alternant entre une nomination sur la Liste représentative et la Liste de sauvegarde urgente ou le Registre des bonnes pratiques de sauvegarde ;]</w:t>
      </w:r>
    </w:p>
    <w:p w14:paraId="72504297" w14:textId="0C17984A" w:rsidR="00F43933" w:rsidRPr="00BE073C" w:rsidRDefault="00F43933" w:rsidP="00314D8C">
      <w:pPr>
        <w:ind w:left="709" w:firstLine="142"/>
        <w:jc w:val="both"/>
        <w:rPr>
          <w:rFonts w:ascii="Arial" w:hAnsi="Arial" w:cs="Arial"/>
          <w:lang w:val="fr-FR"/>
        </w:rPr>
      </w:pPr>
      <w:r w:rsidRPr="00BE073C">
        <w:rPr>
          <w:rFonts w:ascii="Arial" w:hAnsi="Arial" w:cs="Arial"/>
          <w:lang w:val="fr-FR"/>
        </w:rPr>
        <w:t>[12.k. Envisager la possibilité de transférer toutes les demandes d’assistance internationale au Bureau du Comité intergouvernemental pour la sauvegarde du Patrimoine culturel immatériel.]</w:t>
      </w:r>
    </w:p>
    <w:p w14:paraId="34EA7399" w14:textId="3198E22C" w:rsidR="00C3642B" w:rsidRPr="00BE073C" w:rsidRDefault="00F43933" w:rsidP="00722B6D">
      <w:pPr>
        <w:pStyle w:val="1GAPara"/>
        <w:ind w:hanging="720"/>
        <w:jc w:val="both"/>
        <w:rPr>
          <w:lang w:val="fr-FR"/>
        </w:rPr>
      </w:pPr>
      <w:r w:rsidRPr="00BE073C">
        <w:rPr>
          <w:lang w:val="fr-FR"/>
        </w:rPr>
        <w:t xml:space="preserve">À cet égard, il faut noter que les recommandations de la Partie I du groupe de travail n’entraîneraient pas de diminution significative de la charge de travail </w:t>
      </w:r>
      <w:r w:rsidR="001945B9">
        <w:rPr>
          <w:lang w:val="fr-FR"/>
        </w:rPr>
        <w:t xml:space="preserve">actuelle </w:t>
      </w:r>
      <w:r w:rsidRPr="00BE073C">
        <w:rPr>
          <w:lang w:val="fr-FR"/>
        </w:rPr>
        <w:t>des intervenants</w:t>
      </w:r>
      <w:r w:rsidRPr="00BE073C" w:rsidDel="00F43933">
        <w:rPr>
          <w:lang w:val="fr-FR"/>
        </w:rPr>
        <w:t xml:space="preserve"> </w:t>
      </w:r>
      <w:r w:rsidR="00FA64F0" w:rsidRPr="00BE073C">
        <w:rPr>
          <w:lang w:val="fr-FR"/>
        </w:rPr>
        <w:t xml:space="preserve">et, en fonction des décisions qui seront finalement prises, pourraient même l'augmenter.  Par conséquent, le nombre actuel de dossiers annuels (55 - 60) devrait au mieux être maintenu. </w:t>
      </w:r>
      <w:r w:rsidR="00104257" w:rsidRPr="00BE073C">
        <w:rPr>
          <w:lang w:val="fr-FR"/>
        </w:rPr>
        <w:t xml:space="preserve"> Le</w:t>
      </w:r>
      <w:r w:rsidR="009F6A06" w:rsidRPr="00BE073C">
        <w:rPr>
          <w:lang w:val="fr-FR"/>
        </w:rPr>
        <w:t xml:space="preserve"> </w:t>
      </w:r>
      <w:r w:rsidR="00104257" w:rsidRPr="00BE073C">
        <w:rPr>
          <w:lang w:val="fr-FR"/>
        </w:rPr>
        <w:t>groupe de travail pourrait</w:t>
      </w:r>
      <w:r w:rsidR="007840C8">
        <w:rPr>
          <w:lang w:val="fr-FR"/>
        </w:rPr>
        <w:t xml:space="preserve"> donc souhaiter</w:t>
      </w:r>
      <w:r w:rsidR="00104257" w:rsidRPr="00BE073C">
        <w:rPr>
          <w:lang w:val="fr-FR"/>
        </w:rPr>
        <w:t xml:space="preserve"> envisager les mesures alternatives suivantes en termes de nombre annuel de dossiers par cycle à traiter :</w:t>
      </w:r>
    </w:p>
    <w:p w14:paraId="50158737" w14:textId="18AD82ED" w:rsidR="00F43933" w:rsidRPr="00F43933" w:rsidRDefault="00F43933" w:rsidP="00314D8C">
      <w:pPr>
        <w:pStyle w:val="Paragraphedeliste"/>
        <w:numPr>
          <w:ilvl w:val="1"/>
          <w:numId w:val="3"/>
        </w:numPr>
        <w:spacing w:before="120"/>
        <w:ind w:hanging="567"/>
        <w:jc w:val="both"/>
        <w:rPr>
          <w:rFonts w:ascii="Arial" w:hAnsi="Arial" w:cs="Arial"/>
          <w:lang w:val="fr-FR"/>
        </w:rPr>
      </w:pPr>
      <w:proofErr w:type="gramStart"/>
      <w:r w:rsidRPr="00F43933">
        <w:rPr>
          <w:rFonts w:ascii="Arial" w:hAnsi="Arial" w:cs="Arial"/>
          <w:lang w:val="fr-FR"/>
        </w:rPr>
        <w:t>un</w:t>
      </w:r>
      <w:proofErr w:type="gramEnd"/>
      <w:r w:rsidRPr="00F43933">
        <w:rPr>
          <w:rFonts w:ascii="Arial" w:hAnsi="Arial" w:cs="Arial"/>
          <w:lang w:val="fr-FR"/>
        </w:rPr>
        <w:t xml:space="preserve"> </w:t>
      </w:r>
      <w:r>
        <w:rPr>
          <w:rFonts w:ascii="Arial" w:hAnsi="Arial" w:cs="Arial"/>
          <w:lang w:val="fr-FR"/>
        </w:rPr>
        <w:t>dossier</w:t>
      </w:r>
      <w:r w:rsidRPr="00F43933">
        <w:rPr>
          <w:rFonts w:ascii="Arial" w:hAnsi="Arial" w:cs="Arial"/>
          <w:lang w:val="fr-FR"/>
        </w:rPr>
        <w:t xml:space="preserve"> par État partie soumissionnaire tous les trois ans au lieu de tous les deux ans, ou</w:t>
      </w:r>
    </w:p>
    <w:p w14:paraId="64F138EC" w14:textId="77777777" w:rsidR="00F43933" w:rsidRPr="00F43933" w:rsidRDefault="00F43933" w:rsidP="00314D8C">
      <w:pPr>
        <w:pStyle w:val="Paragraphedeliste"/>
        <w:numPr>
          <w:ilvl w:val="1"/>
          <w:numId w:val="3"/>
        </w:numPr>
        <w:spacing w:before="120"/>
        <w:ind w:hanging="567"/>
        <w:jc w:val="both"/>
        <w:rPr>
          <w:rFonts w:ascii="Arial" w:hAnsi="Arial" w:cs="Arial"/>
          <w:lang w:val="fr-FR"/>
        </w:rPr>
      </w:pPr>
      <w:proofErr w:type="gramStart"/>
      <w:r w:rsidRPr="00F43933">
        <w:rPr>
          <w:rFonts w:ascii="Arial" w:hAnsi="Arial" w:cs="Arial"/>
          <w:lang w:val="fr-FR"/>
        </w:rPr>
        <w:t>un</w:t>
      </w:r>
      <w:proofErr w:type="gramEnd"/>
      <w:r w:rsidRPr="00F43933">
        <w:rPr>
          <w:rFonts w:ascii="Arial" w:hAnsi="Arial" w:cs="Arial"/>
          <w:lang w:val="fr-FR"/>
        </w:rPr>
        <w:t xml:space="preserve"> dossier national ou un dossier multinational par État soumissionnaire dans un cycle donné, ou</w:t>
      </w:r>
    </w:p>
    <w:p w14:paraId="54980AD3" w14:textId="0FBE7CE9" w:rsidR="00C3642B" w:rsidRPr="00314D8C" w:rsidRDefault="00F43933" w:rsidP="00314D8C">
      <w:pPr>
        <w:pStyle w:val="Paragraphedeliste"/>
        <w:numPr>
          <w:ilvl w:val="1"/>
          <w:numId w:val="3"/>
        </w:numPr>
        <w:spacing w:before="120"/>
        <w:ind w:hanging="567"/>
        <w:jc w:val="both"/>
        <w:rPr>
          <w:rFonts w:ascii="Arial" w:hAnsi="Arial" w:cs="Arial"/>
          <w:lang w:val="fr-FR"/>
        </w:rPr>
      </w:pPr>
      <w:proofErr w:type="gramStart"/>
      <w:r w:rsidRPr="00F43933">
        <w:rPr>
          <w:rFonts w:ascii="Arial" w:hAnsi="Arial" w:cs="Arial"/>
          <w:lang w:val="fr-FR"/>
        </w:rPr>
        <w:t>abandonner</w:t>
      </w:r>
      <w:proofErr w:type="gramEnd"/>
      <w:r w:rsidRPr="00F43933">
        <w:rPr>
          <w:rFonts w:ascii="Arial" w:hAnsi="Arial" w:cs="Arial"/>
          <w:lang w:val="fr-FR"/>
        </w:rPr>
        <w:t xml:space="preserve"> le principe d’un dossier par État partie tous les deux ans et n’appliquer que les priorités telles que définies au paragraphe 34 des Directives opérationnelles.</w:t>
      </w:r>
    </w:p>
    <w:sectPr w:rsidR="00C3642B" w:rsidRPr="00314D8C" w:rsidSect="002938F2">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8372E" w14:textId="77777777" w:rsidR="00D1707A" w:rsidRDefault="00D1707A" w:rsidP="002938F2">
      <w:r>
        <w:separator/>
      </w:r>
    </w:p>
    <w:p w14:paraId="7539968E" w14:textId="77777777" w:rsidR="00D1707A" w:rsidRDefault="00D1707A"/>
  </w:endnote>
  <w:endnote w:type="continuationSeparator" w:id="0">
    <w:p w14:paraId="04E42AB8" w14:textId="77777777" w:rsidR="00D1707A" w:rsidRDefault="00D1707A" w:rsidP="002938F2">
      <w:r>
        <w:continuationSeparator/>
      </w:r>
    </w:p>
    <w:p w14:paraId="40479488" w14:textId="77777777" w:rsidR="00D1707A" w:rsidRDefault="00D17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08D1D" w14:textId="33B24D2D" w:rsidR="00D1707A" w:rsidRDefault="00D1707A" w:rsidP="00251750">
      <w:r>
        <w:separator/>
      </w:r>
    </w:p>
  </w:footnote>
  <w:footnote w:type="continuationSeparator" w:id="0">
    <w:p w14:paraId="55A36150" w14:textId="77777777" w:rsidR="00D1707A" w:rsidRDefault="00D1707A" w:rsidP="002938F2">
      <w:r>
        <w:continuationSeparator/>
      </w:r>
    </w:p>
    <w:p w14:paraId="77D90DD4" w14:textId="77777777" w:rsidR="00D1707A" w:rsidRDefault="00D1707A"/>
  </w:footnote>
  <w:footnote w:id="1">
    <w:p w14:paraId="31125132" w14:textId="6F8092F2" w:rsidR="00584021" w:rsidRPr="00722B6D" w:rsidRDefault="00584021" w:rsidP="007F64A8">
      <w:pPr>
        <w:ind w:left="709" w:hanging="709"/>
        <w:rPr>
          <w:rFonts w:ascii="Arial" w:hAnsi="Arial" w:cs="Arial"/>
          <w:sz w:val="18"/>
          <w:szCs w:val="18"/>
          <w:lang w:val="fr-FR"/>
        </w:rPr>
      </w:pPr>
      <w:r w:rsidRPr="007F64A8">
        <w:rPr>
          <w:rStyle w:val="Appelnotedebasdep"/>
          <w:rFonts w:ascii="Arial" w:hAnsi="Arial" w:cs="Arial"/>
          <w:sz w:val="18"/>
          <w:szCs w:val="18"/>
          <w:vertAlign w:val="baseline"/>
        </w:rPr>
        <w:footnoteRef/>
      </w:r>
      <w:r w:rsidRPr="00722B6D">
        <w:rPr>
          <w:rFonts w:ascii="Arial" w:hAnsi="Arial" w:cs="Arial"/>
          <w:sz w:val="18"/>
          <w:szCs w:val="18"/>
          <w:lang w:val="fr-FR"/>
        </w:rPr>
        <w:t xml:space="preserve">.  </w:t>
      </w:r>
      <w:r w:rsidRPr="00722B6D">
        <w:rPr>
          <w:rFonts w:ascii="Arial" w:hAnsi="Arial" w:cs="Arial"/>
          <w:sz w:val="18"/>
          <w:szCs w:val="18"/>
          <w:lang w:val="fr-FR"/>
        </w:rPr>
        <w:tab/>
      </w:r>
      <w:r w:rsidR="007F64A8" w:rsidRPr="00722B6D">
        <w:rPr>
          <w:rFonts w:ascii="Arial" w:hAnsi="Arial" w:cs="Arial"/>
          <w:sz w:val="18"/>
          <w:szCs w:val="18"/>
          <w:lang w:val="fr-FR"/>
        </w:rPr>
        <w:t>Le Forum des ONG du PCI a été initialement créé en 2010 par des ONG accréditées au titre de la Convention, en tant que plateforme informelle de communication, de mise en réseau, d'échange et de coopération. Coordonné par un comité directeur entièrement élu et composé de sept personnes, il constitue désormais une plateforme de coopération internationale et régionale entre les ONG accréditées par le biais de groupes de travail thématiques et régionaux et coordonne la contribution des ONG accréditées aux débats des organes directeurs de la Convention à chaque session. En tant que tel, le Forum des ONG du PCI - lui-même une ONG enregistrée en France mais non accréditée au titre de la Convention - fonctionne, d'une certaine manière, comme une entité indépendante coordonnant la contribution des ONG accréditées aux travaux du Comité.</w:t>
      </w:r>
    </w:p>
  </w:footnote>
  <w:footnote w:id="2">
    <w:p w14:paraId="5DEEB8F9" w14:textId="739B7A77" w:rsidR="00584021" w:rsidRPr="007F64A8" w:rsidRDefault="00584021" w:rsidP="007F64A8">
      <w:pPr>
        <w:pStyle w:val="Notedebasdepage"/>
        <w:ind w:left="709"/>
        <w:jc w:val="both"/>
        <w:rPr>
          <w:rFonts w:ascii="Arial" w:hAnsi="Arial" w:cs="Arial"/>
          <w:sz w:val="18"/>
          <w:szCs w:val="18"/>
        </w:rPr>
      </w:pPr>
      <w:r w:rsidRPr="007F64A8">
        <w:rPr>
          <w:rStyle w:val="Appelnotedebasdep"/>
          <w:rFonts w:ascii="Arial" w:hAnsi="Arial" w:cs="Arial"/>
          <w:sz w:val="18"/>
          <w:szCs w:val="18"/>
        </w:rPr>
        <w:footnoteRef/>
      </w:r>
      <w:r w:rsidR="007F64A8" w:rsidRPr="007F64A8">
        <w:rPr>
          <w:rStyle w:val="Appelnotedebasdep"/>
          <w:rFonts w:ascii="Arial" w:hAnsi="Arial" w:cs="Arial"/>
          <w:sz w:val="18"/>
          <w:szCs w:val="18"/>
          <w:vertAlign w:val="baseline"/>
        </w:rPr>
        <w:t xml:space="preserve">Dans le contexte de la réflexion sur les moyens possibles de renforcer la participation des ONG dans le cadre de la Convention, l'Assemblée générale a </w:t>
      </w:r>
      <w:r w:rsidR="007F64A8">
        <w:rPr>
          <w:rStyle w:val="Appelnotedebasdep"/>
          <w:rFonts w:ascii="Arial" w:hAnsi="Arial" w:cs="Arial"/>
          <w:sz w:val="18"/>
          <w:szCs w:val="18"/>
          <w:vertAlign w:val="baseline"/>
        </w:rPr>
        <w:t>« </w:t>
      </w:r>
      <w:r w:rsidR="007F64A8" w:rsidRPr="007F64A8">
        <w:rPr>
          <w:rStyle w:val="Appelnotedebasdep"/>
          <w:rFonts w:ascii="Arial" w:hAnsi="Arial" w:cs="Arial"/>
          <w:sz w:val="18"/>
          <w:szCs w:val="18"/>
          <w:vertAlign w:val="baseline"/>
        </w:rPr>
        <w:t>reconnu le rôle important et le potentiel inexploité du Forum des ONG du PCI et des organisations non gouvernementales accréditées</w:t>
      </w:r>
      <w:r w:rsidR="007F64A8">
        <w:rPr>
          <w:rStyle w:val="Appelnotedebasdep"/>
          <w:rFonts w:ascii="Arial" w:hAnsi="Arial" w:cs="Arial"/>
          <w:sz w:val="18"/>
          <w:szCs w:val="18"/>
          <w:vertAlign w:val="baseline"/>
        </w:rPr>
        <w:t> »</w:t>
      </w:r>
      <w:r w:rsidR="007F64A8" w:rsidRPr="007F64A8">
        <w:rPr>
          <w:rStyle w:val="Appelnotedebasdep"/>
          <w:rFonts w:ascii="Arial" w:hAnsi="Arial" w:cs="Arial"/>
          <w:sz w:val="18"/>
          <w:szCs w:val="18"/>
          <w:vertAlign w:val="baseline"/>
        </w:rPr>
        <w:t xml:space="preserve"> </w:t>
      </w:r>
      <w:r w:rsidRPr="007F64A8">
        <w:rPr>
          <w:rFonts w:ascii="Arial" w:hAnsi="Arial" w:cs="Arial"/>
          <w:sz w:val="18"/>
          <w:szCs w:val="18"/>
        </w:rPr>
        <w:t>(</w:t>
      </w:r>
      <w:r w:rsidR="00E30794">
        <w:rPr>
          <w:rFonts w:ascii="Arial" w:hAnsi="Arial" w:cs="Arial"/>
          <w:sz w:val="18"/>
          <w:szCs w:val="18"/>
        </w:rPr>
        <w:t>Résolution</w:t>
      </w:r>
      <w:r w:rsidRPr="007F64A8">
        <w:rPr>
          <w:rFonts w:ascii="Arial" w:hAnsi="Arial" w:cs="Arial"/>
          <w:sz w:val="18"/>
          <w:szCs w:val="18"/>
        </w:rPr>
        <w:t xml:space="preserve"> </w:t>
      </w:r>
      <w:hyperlink r:id="rId1" w:history="1">
        <w:r w:rsidRPr="007F64A8">
          <w:rPr>
            <w:rStyle w:val="Lienhypertexte"/>
            <w:rFonts w:ascii="Arial" w:hAnsi="Arial" w:cs="Arial"/>
            <w:sz w:val="18"/>
            <w:szCs w:val="18"/>
          </w:rPr>
          <w:t>8.GA 12</w:t>
        </w:r>
      </w:hyperlink>
      <w:r w:rsidRPr="007F64A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7670C5D7" w:rsidR="00D1707A" w:rsidRPr="002B7155" w:rsidRDefault="00D1707A" w:rsidP="007E4E37">
    <w:pPr>
      <w:pStyle w:val="En-tte"/>
      <w:rPr>
        <w:rFonts w:ascii="Arial" w:hAnsi="Arial" w:cs="Arial"/>
        <w:lang w:val="fr-FR"/>
      </w:rPr>
    </w:pPr>
    <w:r w:rsidRPr="002B7155">
      <w:rPr>
        <w:rFonts w:ascii="Arial" w:hAnsi="Arial" w:cs="Arial"/>
        <w:sz w:val="20"/>
        <w:szCs w:val="20"/>
        <w:lang w:val="fr-FR"/>
      </w:rPr>
      <w:t>LHE/21/1</w:t>
    </w:r>
    <w:r w:rsidRPr="002B7155">
      <w:rPr>
        <w:rFonts w:ascii="Arial" w:eastAsiaTheme="minorEastAsia" w:hAnsi="Arial" w:cs="Arial"/>
        <w:sz w:val="20"/>
        <w:szCs w:val="20"/>
        <w:lang w:val="fr-FR" w:eastAsia="ko-KR"/>
      </w:rPr>
      <w:t>6</w:t>
    </w:r>
    <w:r w:rsidRPr="002B7155">
      <w:rPr>
        <w:rFonts w:ascii="Arial" w:hAnsi="Arial" w:cs="Arial"/>
        <w:sz w:val="20"/>
        <w:szCs w:val="20"/>
        <w:lang w:val="fr-FR"/>
      </w:rPr>
      <w:t>.COM</w:t>
    </w:r>
    <w:r w:rsidRPr="002B7155">
      <w:rPr>
        <w:rFonts w:ascii="Arial" w:eastAsiaTheme="minorEastAsia" w:hAnsi="Arial" w:cs="Arial" w:hint="eastAsia"/>
        <w:sz w:val="20"/>
        <w:szCs w:val="20"/>
        <w:lang w:val="fr-FR" w:eastAsia="ko-KR"/>
      </w:rPr>
      <w:t xml:space="preserve"> WG</w:t>
    </w:r>
    <w:r w:rsidRPr="002B7155">
      <w:rPr>
        <w:rFonts w:ascii="Arial" w:hAnsi="Arial" w:cs="Arial"/>
        <w:sz w:val="20"/>
        <w:szCs w:val="20"/>
        <w:lang w:val="fr-FR"/>
      </w:rPr>
      <w:t>/</w:t>
    </w:r>
    <w:r>
      <w:rPr>
        <w:rFonts w:ascii="Arial" w:eastAsiaTheme="minorEastAsia" w:hAnsi="Arial" w:cs="Arial"/>
        <w:sz w:val="20"/>
        <w:szCs w:val="20"/>
        <w:lang w:val="fr-FR" w:eastAsia="ko-KR"/>
      </w:rPr>
      <w:t>7</w:t>
    </w:r>
    <w:r w:rsidRPr="002B7155">
      <w:rPr>
        <w:rFonts w:ascii="Arial" w:hAnsi="Arial" w:cs="Arial"/>
        <w:sz w:val="20"/>
        <w:szCs w:val="20"/>
        <w:lang w:val="fr-FR"/>
      </w:rPr>
      <w:t xml:space="preserve"> – page </w:t>
    </w:r>
    <w:r w:rsidRPr="00D81948">
      <w:rPr>
        <w:rStyle w:val="Numrodepage"/>
        <w:rFonts w:ascii="Arial" w:hAnsi="Arial" w:cs="Arial"/>
        <w:sz w:val="20"/>
        <w:szCs w:val="20"/>
      </w:rPr>
      <w:fldChar w:fldCharType="begin"/>
    </w:r>
    <w:r w:rsidRPr="002B7155">
      <w:rPr>
        <w:rStyle w:val="Numrodepage"/>
        <w:rFonts w:ascii="Arial" w:hAnsi="Arial" w:cs="Arial"/>
        <w:sz w:val="20"/>
        <w:szCs w:val="20"/>
        <w:lang w:val="fr-FR"/>
      </w:rPr>
      <w:instrText xml:space="preserve"> PAGE </w:instrText>
    </w:r>
    <w:r w:rsidRPr="00D81948">
      <w:rPr>
        <w:rStyle w:val="Numrodepage"/>
        <w:rFonts w:ascii="Arial" w:hAnsi="Arial" w:cs="Arial"/>
        <w:sz w:val="20"/>
        <w:szCs w:val="20"/>
      </w:rPr>
      <w:fldChar w:fldCharType="separate"/>
    </w:r>
    <w:r w:rsidRPr="002B7155">
      <w:rPr>
        <w:rStyle w:val="Numrodepage"/>
        <w:rFonts w:ascii="Arial" w:hAnsi="Arial" w:cs="Arial"/>
        <w:noProof/>
        <w:sz w:val="20"/>
        <w:szCs w:val="20"/>
        <w:lang w:val="fr-FR"/>
      </w:rPr>
      <w:t>2</w:t>
    </w:r>
    <w:r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02A9DEC8" w:rsidR="00D1707A" w:rsidRPr="007E4E37" w:rsidRDefault="00D1707A" w:rsidP="007250E3">
    <w:pPr>
      <w:pStyle w:val="En-tte"/>
      <w:ind w:left="2544" w:firstLine="3693"/>
      <w:jc w:val="right"/>
      <w:rPr>
        <w:rFonts w:ascii="Arial" w:hAnsi="Arial" w:cs="Arial"/>
      </w:rPr>
    </w:pPr>
    <w:r>
      <w:rPr>
        <w:rFonts w:ascii="Arial" w:hAnsi="Arial" w:cs="Arial"/>
        <w:sz w:val="20"/>
        <w:szCs w:val="20"/>
        <w:lang w:val="en-US"/>
      </w:rPr>
      <w:t>LHE/21/1</w:t>
    </w:r>
    <w:r>
      <w:rPr>
        <w:rFonts w:ascii="Arial" w:eastAsiaTheme="minorEastAsia" w:hAnsi="Arial" w:cs="Arial"/>
        <w:sz w:val="20"/>
        <w:szCs w:val="20"/>
        <w:lang w:val="en-US" w:eastAsia="ko-KR"/>
      </w:rPr>
      <w:t>6</w:t>
    </w:r>
    <w:r>
      <w:rPr>
        <w:rFonts w:ascii="Arial" w:hAnsi="Arial" w:cs="Arial"/>
        <w:sz w:val="20"/>
        <w:szCs w:val="20"/>
        <w:lang w:val="en-US"/>
      </w:rPr>
      <w:t>.COM</w:t>
    </w:r>
    <w:r>
      <w:rPr>
        <w:rFonts w:ascii="Arial" w:eastAsiaTheme="minorEastAsia" w:hAnsi="Arial" w:cs="Arial" w:hint="eastAsia"/>
        <w:sz w:val="20"/>
        <w:szCs w:val="20"/>
        <w:lang w:val="en-US" w:eastAsia="ko-KR"/>
      </w:rPr>
      <w:t xml:space="preserve"> WG</w:t>
    </w:r>
    <w:r>
      <w:rPr>
        <w:rFonts w:ascii="Arial" w:hAnsi="Arial" w:cs="Arial"/>
        <w:sz w:val="20"/>
        <w:szCs w:val="20"/>
        <w:lang w:val="en-US"/>
      </w:rPr>
      <w:t>/</w:t>
    </w:r>
    <w:r>
      <w:rPr>
        <w:rFonts w:ascii="Arial" w:eastAsiaTheme="minorEastAsia" w:hAnsi="Arial" w:cs="Arial"/>
        <w:sz w:val="20"/>
        <w:szCs w:val="20"/>
        <w:lang w:val="en-US" w:eastAsia="ko-KR"/>
      </w:rPr>
      <w:t>7</w:t>
    </w:r>
    <w:r>
      <w:rPr>
        <w:rFonts w:ascii="Arial" w:hAnsi="Arial" w:cs="Arial"/>
        <w:sz w:val="20"/>
        <w:szCs w:val="20"/>
        <w:lang w:val="en-US"/>
      </w:rPr>
      <w:t xml:space="preserve"> </w:t>
    </w:r>
    <w:r w:rsidRPr="00EF563B">
      <w:rPr>
        <w:rFonts w:ascii="Arial" w:hAnsi="Arial" w:cs="Arial"/>
        <w:sz w:val="20"/>
        <w:szCs w:val="20"/>
        <w:lang w:val="en-US"/>
      </w:rPr>
      <w:t xml:space="preserve">– page </w:t>
    </w:r>
    <w:r w:rsidRPr="00EF563B">
      <w:rPr>
        <w:rStyle w:val="Numrodepage"/>
        <w:rFonts w:ascii="Arial" w:hAnsi="Arial" w:cs="Arial"/>
        <w:sz w:val="20"/>
        <w:szCs w:val="20"/>
      </w:rPr>
      <w:fldChar w:fldCharType="begin"/>
    </w:r>
    <w:r w:rsidRPr="00EF563B">
      <w:rPr>
        <w:rStyle w:val="Numrodepage"/>
        <w:rFonts w:ascii="Arial" w:hAnsi="Arial" w:cs="Arial"/>
        <w:sz w:val="20"/>
        <w:szCs w:val="20"/>
        <w:lang w:val="en-US"/>
      </w:rPr>
      <w:instrText xml:space="preserve"> </w:instrText>
    </w:r>
    <w:r>
      <w:rPr>
        <w:rStyle w:val="Numrodepage"/>
        <w:rFonts w:ascii="Arial" w:hAnsi="Arial" w:cs="Arial"/>
        <w:sz w:val="20"/>
        <w:szCs w:val="20"/>
        <w:lang w:val="en-US"/>
      </w:rPr>
      <w:instrText>PAGE</w:instrText>
    </w:r>
    <w:r w:rsidRPr="00EF563B">
      <w:rPr>
        <w:rStyle w:val="Numrodepage"/>
        <w:rFonts w:ascii="Arial" w:hAnsi="Arial" w:cs="Arial"/>
        <w:sz w:val="20"/>
        <w:szCs w:val="20"/>
        <w:lang w:val="en-US"/>
      </w:rPr>
      <w:instrText xml:space="preserve"> </w:instrText>
    </w:r>
    <w:r w:rsidRPr="00EF563B">
      <w:rPr>
        <w:rStyle w:val="Numrodepage"/>
        <w:rFonts w:ascii="Arial" w:hAnsi="Arial" w:cs="Arial"/>
        <w:sz w:val="20"/>
        <w:szCs w:val="20"/>
      </w:rPr>
      <w:fldChar w:fldCharType="separate"/>
    </w:r>
    <w:r>
      <w:rPr>
        <w:rStyle w:val="Numrodepage"/>
        <w:rFonts w:ascii="Arial" w:hAnsi="Arial" w:cs="Arial"/>
        <w:noProof/>
        <w:sz w:val="20"/>
        <w:szCs w:val="20"/>
        <w:lang w:val="en-US"/>
      </w:rPr>
      <w:t>3</w:t>
    </w:r>
    <w:r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403B2EC1" w:rsidR="00D1707A" w:rsidRPr="008724E5" w:rsidRDefault="005C7D31">
    <w:pPr>
      <w:pStyle w:val="En-tte"/>
    </w:pPr>
    <w:r>
      <w:rPr>
        <w:noProof/>
      </w:rPr>
      <w:drawing>
        <wp:inline distT="0" distB="0" distL="0" distR="0" wp14:anchorId="397D7D27" wp14:editId="1E370F3F">
          <wp:extent cx="1644015" cy="988695"/>
          <wp:effectExtent l="0" t="0" r="0" b="190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44015" cy="988695"/>
                  </a:xfrm>
                  <a:prstGeom prst="rect">
                    <a:avLst/>
                  </a:prstGeom>
                </pic:spPr>
              </pic:pic>
            </a:graphicData>
          </a:graphic>
        </wp:inline>
      </w:drawing>
    </w:r>
  </w:p>
  <w:p w14:paraId="278AC81C" w14:textId="6640EA2C" w:rsidR="00D1707A" w:rsidRPr="003519FF" w:rsidRDefault="00D1707A" w:rsidP="002938F2">
    <w:pPr>
      <w:pStyle w:val="En-tte"/>
      <w:spacing w:after="520"/>
      <w:jc w:val="right"/>
      <w:rPr>
        <w:rFonts w:ascii="Arial" w:eastAsiaTheme="minorEastAsia" w:hAnsi="Arial" w:cs="Arial"/>
        <w:b/>
        <w:sz w:val="44"/>
        <w:szCs w:val="44"/>
        <w:lang w:val="pt-PT" w:eastAsia="ko-KR"/>
      </w:rPr>
    </w:pPr>
    <w:r w:rsidRPr="003519FF">
      <w:rPr>
        <w:rFonts w:ascii="Arial" w:hAnsi="Arial" w:cs="Arial"/>
        <w:b/>
        <w:sz w:val="44"/>
        <w:szCs w:val="44"/>
        <w:lang w:val="pt-PT"/>
      </w:rPr>
      <w:t>1</w:t>
    </w:r>
    <w:r w:rsidRPr="003519FF">
      <w:rPr>
        <w:rFonts w:ascii="Arial" w:eastAsiaTheme="minorEastAsia" w:hAnsi="Arial" w:cs="Arial"/>
        <w:b/>
        <w:sz w:val="44"/>
        <w:szCs w:val="44"/>
        <w:lang w:val="pt-PT" w:eastAsia="ko-KR"/>
      </w:rPr>
      <w:t>6</w:t>
    </w:r>
    <w:r w:rsidRPr="003519FF">
      <w:rPr>
        <w:rFonts w:ascii="Arial" w:hAnsi="Arial" w:cs="Arial"/>
        <w:b/>
        <w:sz w:val="44"/>
        <w:szCs w:val="44"/>
        <w:lang w:val="pt-PT"/>
      </w:rPr>
      <w:t xml:space="preserve"> COM</w:t>
    </w:r>
    <w:r w:rsidRPr="003519FF">
      <w:rPr>
        <w:rFonts w:ascii="Arial" w:eastAsiaTheme="minorEastAsia" w:hAnsi="Arial" w:cs="Arial" w:hint="eastAsia"/>
        <w:b/>
        <w:sz w:val="44"/>
        <w:szCs w:val="44"/>
        <w:lang w:val="pt-PT" w:eastAsia="ko-KR"/>
      </w:rPr>
      <w:t xml:space="preserve"> WG</w:t>
    </w:r>
  </w:p>
  <w:p w14:paraId="122B936C" w14:textId="188018F4" w:rsidR="00D1707A" w:rsidRPr="00BE0AED" w:rsidRDefault="00D1707A" w:rsidP="002D396D">
    <w:pPr>
      <w:spacing w:after="0"/>
      <w:jc w:val="right"/>
      <w:rPr>
        <w:rFonts w:ascii="Arial" w:eastAsiaTheme="minorEastAsia" w:hAnsi="Arial" w:cs="Arial"/>
        <w:b/>
        <w:szCs w:val="22"/>
        <w:lang w:val="pt-PT" w:eastAsia="ko-KR"/>
      </w:rPr>
    </w:pPr>
    <w:r w:rsidRPr="00BE0AED">
      <w:rPr>
        <w:rFonts w:ascii="Arial" w:hAnsi="Arial" w:cs="Arial"/>
        <w:b/>
        <w:szCs w:val="22"/>
        <w:lang w:val="pt-PT"/>
      </w:rPr>
      <w:t>LHE/21/1</w:t>
    </w:r>
    <w:r w:rsidRPr="00BE0AED">
      <w:rPr>
        <w:rFonts w:ascii="Arial" w:eastAsiaTheme="minorEastAsia" w:hAnsi="Arial" w:cs="Arial"/>
        <w:b/>
        <w:szCs w:val="22"/>
        <w:lang w:val="pt-PT" w:eastAsia="ko-KR"/>
      </w:rPr>
      <w:t>6</w:t>
    </w:r>
    <w:r w:rsidRPr="00BE0AED">
      <w:rPr>
        <w:rFonts w:ascii="Arial" w:hAnsi="Arial" w:cs="Arial"/>
        <w:b/>
        <w:szCs w:val="22"/>
        <w:lang w:val="pt-PT"/>
      </w:rPr>
      <w:t>.COM</w:t>
    </w:r>
    <w:r w:rsidRPr="00BE0AED">
      <w:rPr>
        <w:rFonts w:ascii="Arial" w:eastAsiaTheme="minorEastAsia" w:hAnsi="Arial" w:cs="Arial" w:hint="eastAsia"/>
        <w:b/>
        <w:szCs w:val="22"/>
        <w:lang w:val="pt-PT" w:eastAsia="ko-KR"/>
      </w:rPr>
      <w:t xml:space="preserve"> WG</w:t>
    </w:r>
    <w:r w:rsidRPr="00BE0AED">
      <w:rPr>
        <w:rFonts w:ascii="Arial" w:hAnsi="Arial" w:cs="Arial"/>
        <w:b/>
        <w:szCs w:val="22"/>
        <w:lang w:val="pt-PT"/>
      </w:rPr>
      <w:t>/</w:t>
    </w:r>
    <w:r>
      <w:rPr>
        <w:rFonts w:ascii="Arial" w:eastAsiaTheme="minorEastAsia" w:hAnsi="Arial" w:cs="Arial"/>
        <w:b/>
        <w:szCs w:val="22"/>
        <w:lang w:val="pt-PT" w:eastAsia="ko-KR"/>
      </w:rPr>
      <w:t>7</w:t>
    </w:r>
  </w:p>
  <w:p w14:paraId="2CC34105" w14:textId="6D5DD3A2" w:rsidR="00D1707A" w:rsidRPr="00104257" w:rsidRDefault="00D1707A" w:rsidP="00C81439">
    <w:pPr>
      <w:spacing w:after="0"/>
      <w:jc w:val="right"/>
      <w:rPr>
        <w:rFonts w:ascii="Arial" w:eastAsiaTheme="minorEastAsia" w:hAnsi="Arial" w:cs="Arial"/>
        <w:b/>
        <w:szCs w:val="22"/>
        <w:lang w:val="fr-FR" w:eastAsia="ko-KR"/>
      </w:rPr>
    </w:pPr>
    <w:r w:rsidRPr="00722B6D">
      <w:rPr>
        <w:rFonts w:ascii="Arial" w:hAnsi="Arial" w:cs="Arial"/>
        <w:b/>
        <w:szCs w:val="22"/>
        <w:lang w:val="fr-FR"/>
      </w:rPr>
      <w:t xml:space="preserve">Paris, </w:t>
    </w:r>
    <w:r w:rsidR="00104257" w:rsidRPr="00722B6D">
      <w:rPr>
        <w:rFonts w:ascii="Arial" w:hAnsi="Arial" w:cs="Arial"/>
        <w:b/>
        <w:szCs w:val="22"/>
        <w:lang w:val="fr-FR"/>
      </w:rPr>
      <w:t>0</w:t>
    </w:r>
    <w:r w:rsidR="002454D5" w:rsidRPr="00722B6D">
      <w:rPr>
        <w:rFonts w:ascii="Arial" w:hAnsi="Arial" w:cs="Arial"/>
        <w:b/>
        <w:szCs w:val="22"/>
        <w:lang w:val="fr-FR"/>
      </w:rPr>
      <w:t>3</w:t>
    </w:r>
    <w:r w:rsidRPr="00722B6D">
      <w:rPr>
        <w:rFonts w:ascii="Arial" w:hAnsi="Arial" w:cs="Arial"/>
        <w:b/>
        <w:szCs w:val="22"/>
        <w:lang w:val="fr-FR"/>
      </w:rPr>
      <w:t xml:space="preserve"> </w:t>
    </w:r>
    <w:r w:rsidR="00104257" w:rsidRPr="00722B6D">
      <w:rPr>
        <w:rFonts w:ascii="Arial" w:hAnsi="Arial" w:cs="Arial"/>
        <w:b/>
        <w:szCs w:val="22"/>
        <w:lang w:val="fr-FR"/>
      </w:rPr>
      <w:t>septembre</w:t>
    </w:r>
    <w:r w:rsidR="00176331" w:rsidRPr="00722B6D">
      <w:rPr>
        <w:rFonts w:ascii="Arial" w:hAnsi="Arial" w:cs="Arial"/>
        <w:b/>
        <w:szCs w:val="22"/>
        <w:lang w:val="fr-FR"/>
      </w:rPr>
      <w:t xml:space="preserve"> </w:t>
    </w:r>
    <w:r w:rsidRPr="00722B6D">
      <w:rPr>
        <w:rFonts w:ascii="Arial" w:hAnsi="Arial" w:cs="Arial"/>
        <w:b/>
        <w:szCs w:val="22"/>
        <w:lang w:val="fr-FR"/>
      </w:rPr>
      <w:t>2021</w:t>
    </w:r>
  </w:p>
  <w:p w14:paraId="59A22BCA" w14:textId="79FEA752" w:rsidR="00D1707A" w:rsidRPr="00104257" w:rsidRDefault="003C6304" w:rsidP="00C81439">
    <w:pPr>
      <w:spacing w:after="0"/>
      <w:jc w:val="right"/>
      <w:rPr>
        <w:rFonts w:ascii="Arial" w:hAnsi="Arial" w:cs="Arial"/>
        <w:b/>
        <w:szCs w:val="22"/>
        <w:lang w:val="fr-FR"/>
      </w:rPr>
    </w:pPr>
    <w:r w:rsidRPr="00104257">
      <w:rPr>
        <w:rFonts w:ascii="Arial" w:hAnsi="Arial" w:cs="Arial"/>
        <w:b/>
        <w:szCs w:val="22"/>
        <w:lang w:val="fr-FR"/>
      </w:rPr>
      <w:t>Original :</w:t>
    </w:r>
    <w:r w:rsidR="00D1707A" w:rsidRPr="00104257">
      <w:rPr>
        <w:rFonts w:ascii="Arial" w:hAnsi="Arial" w:cs="Arial"/>
        <w:b/>
        <w:szCs w:val="22"/>
        <w:lang w:val="fr-FR"/>
      </w:rPr>
      <w:t xml:space="preserve"> </w:t>
    </w:r>
    <w:r>
      <w:rPr>
        <w:rFonts w:ascii="Arial" w:hAnsi="Arial" w:cs="Arial"/>
        <w:b/>
        <w:szCs w:val="22"/>
        <w:lang w:val="fr-FR"/>
      </w:rPr>
      <w:t>a</w:t>
    </w:r>
    <w:r w:rsidR="00104257" w:rsidRPr="00104257">
      <w:rPr>
        <w:rFonts w:ascii="Arial" w:hAnsi="Arial" w:cs="Arial"/>
        <w:b/>
        <w:szCs w:val="22"/>
        <w:lang w:val="fr-FR"/>
      </w:rPr>
      <w:t>nglais</w:t>
    </w:r>
  </w:p>
  <w:p w14:paraId="3D76CF75" w14:textId="77777777" w:rsidR="00D1707A" w:rsidRPr="00104257" w:rsidRDefault="00D1707A">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214D"/>
    <w:multiLevelType w:val="hybridMultilevel"/>
    <w:tmpl w:val="9B8817D2"/>
    <w:lvl w:ilvl="0" w:tplc="8FC62600">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A205A"/>
    <w:multiLevelType w:val="hybridMultilevel"/>
    <w:tmpl w:val="7902B848"/>
    <w:lvl w:ilvl="0" w:tplc="79841BE0">
      <w:start w:val="1"/>
      <w:numFmt w:val="decimal"/>
      <w:lvlText w:val="%1."/>
      <w:lvlJc w:val="left"/>
      <w:pPr>
        <w:ind w:left="63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E2363B2"/>
    <w:multiLevelType w:val="hybridMultilevel"/>
    <w:tmpl w:val="8E12D324"/>
    <w:lvl w:ilvl="0" w:tplc="F9FCD88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07BFE"/>
    <w:multiLevelType w:val="hybridMultilevel"/>
    <w:tmpl w:val="A5CAAA60"/>
    <w:lvl w:ilvl="0" w:tplc="4192F3D4">
      <w:start w:val="1"/>
      <w:numFmt w:val="decimal"/>
      <w:pStyle w:val="1GAPara"/>
      <w:lvlText w:val="%1."/>
      <w:lvlJc w:val="left"/>
      <w:pPr>
        <w:ind w:left="720" w:hanging="360"/>
      </w:pPr>
      <w:rPr>
        <w:rFonts w:hint="default"/>
        <w:i w:val="0"/>
        <w:i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437E4B"/>
    <w:multiLevelType w:val="hybridMultilevel"/>
    <w:tmpl w:val="C6623FE8"/>
    <w:lvl w:ilvl="0" w:tplc="8FD2115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F3D3D"/>
    <w:multiLevelType w:val="hybridMultilevel"/>
    <w:tmpl w:val="CC8CAF74"/>
    <w:lvl w:ilvl="0" w:tplc="040C0001">
      <w:start w:val="1"/>
      <w:numFmt w:val="bullet"/>
      <w:lvlText w:val=""/>
      <w:lvlJc w:val="left"/>
      <w:pPr>
        <w:ind w:left="360" w:hanging="360"/>
      </w:pPr>
      <w:rPr>
        <w:rFonts w:ascii="Symbol" w:hAnsi="Symbol" w:hint="default"/>
      </w:rPr>
    </w:lvl>
    <w:lvl w:ilvl="1" w:tplc="97E81BFE">
      <w:start w:val="1"/>
      <w:numFmt w:val="bullet"/>
      <w:lvlText w:val="o"/>
      <w:lvlJc w:val="left"/>
      <w:pPr>
        <w:ind w:left="1080" w:hanging="360"/>
      </w:pPr>
      <w:rPr>
        <w:rFonts w:ascii="Courier New" w:hAnsi="Courier New" w:cs="Courier New" w:hint="default"/>
        <w:strike w:val="0"/>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5997831"/>
    <w:multiLevelType w:val="hybridMultilevel"/>
    <w:tmpl w:val="9352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8E90366"/>
    <w:multiLevelType w:val="hybridMultilevel"/>
    <w:tmpl w:val="03EE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8"/>
  </w:num>
  <w:num w:numId="7">
    <w:abstractNumId w:val="5"/>
  </w:num>
  <w:num w:numId="8">
    <w:abstractNumId w:val="0"/>
  </w:num>
  <w:num w:numId="9">
    <w:abstractNumId w:val="3"/>
  </w:num>
  <w:num w:numId="10">
    <w:abstractNumId w:val="4"/>
    <w:lvlOverride w:ilvl="0">
      <w:startOverride w:val="14"/>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322A"/>
    <w:rsid w:val="000047CC"/>
    <w:rsid w:val="000120FD"/>
    <w:rsid w:val="00016C08"/>
    <w:rsid w:val="00021831"/>
    <w:rsid w:val="000248B7"/>
    <w:rsid w:val="00024CBA"/>
    <w:rsid w:val="00026AF2"/>
    <w:rsid w:val="0003607A"/>
    <w:rsid w:val="0003616E"/>
    <w:rsid w:val="00040AFF"/>
    <w:rsid w:val="000440EA"/>
    <w:rsid w:val="00045BAA"/>
    <w:rsid w:val="00047E58"/>
    <w:rsid w:val="00051914"/>
    <w:rsid w:val="00073D20"/>
    <w:rsid w:val="000755E1"/>
    <w:rsid w:val="00076E7B"/>
    <w:rsid w:val="00084713"/>
    <w:rsid w:val="00085541"/>
    <w:rsid w:val="00085CC8"/>
    <w:rsid w:val="0008670B"/>
    <w:rsid w:val="00091B11"/>
    <w:rsid w:val="00093063"/>
    <w:rsid w:val="000A34CE"/>
    <w:rsid w:val="000A4B26"/>
    <w:rsid w:val="000C65E4"/>
    <w:rsid w:val="000D42D9"/>
    <w:rsid w:val="000D4870"/>
    <w:rsid w:val="000D6E3B"/>
    <w:rsid w:val="000E1CD6"/>
    <w:rsid w:val="000E507B"/>
    <w:rsid w:val="000F483B"/>
    <w:rsid w:val="00100E43"/>
    <w:rsid w:val="00104257"/>
    <w:rsid w:val="00105896"/>
    <w:rsid w:val="00106B72"/>
    <w:rsid w:val="00113FB9"/>
    <w:rsid w:val="0011750D"/>
    <w:rsid w:val="00120642"/>
    <w:rsid w:val="00120F43"/>
    <w:rsid w:val="00121B77"/>
    <w:rsid w:val="00125547"/>
    <w:rsid w:val="00126957"/>
    <w:rsid w:val="00134517"/>
    <w:rsid w:val="00134B1E"/>
    <w:rsid w:val="00137E10"/>
    <w:rsid w:val="001412DE"/>
    <w:rsid w:val="00144A4D"/>
    <w:rsid w:val="00145ABB"/>
    <w:rsid w:val="00151351"/>
    <w:rsid w:val="00155E12"/>
    <w:rsid w:val="0015675F"/>
    <w:rsid w:val="00157A20"/>
    <w:rsid w:val="00160F8A"/>
    <w:rsid w:val="00161A9A"/>
    <w:rsid w:val="00164EE1"/>
    <w:rsid w:val="0016687E"/>
    <w:rsid w:val="00174B39"/>
    <w:rsid w:val="0017524C"/>
    <w:rsid w:val="00176331"/>
    <w:rsid w:val="00185D20"/>
    <w:rsid w:val="00186B48"/>
    <w:rsid w:val="00193378"/>
    <w:rsid w:val="001945B9"/>
    <w:rsid w:val="001A431C"/>
    <w:rsid w:val="001A44C1"/>
    <w:rsid w:val="001A57A9"/>
    <w:rsid w:val="001A7BD1"/>
    <w:rsid w:val="001B17B5"/>
    <w:rsid w:val="001B2F76"/>
    <w:rsid w:val="001C3B21"/>
    <w:rsid w:val="001C67A1"/>
    <w:rsid w:val="001C79D5"/>
    <w:rsid w:val="001D00B5"/>
    <w:rsid w:val="001D11C1"/>
    <w:rsid w:val="001D2891"/>
    <w:rsid w:val="001D2C1B"/>
    <w:rsid w:val="001D3B29"/>
    <w:rsid w:val="001D59C8"/>
    <w:rsid w:val="001E1231"/>
    <w:rsid w:val="001E33BF"/>
    <w:rsid w:val="001E4E57"/>
    <w:rsid w:val="001E4EEB"/>
    <w:rsid w:val="001E6026"/>
    <w:rsid w:val="001E6B30"/>
    <w:rsid w:val="001F3696"/>
    <w:rsid w:val="001F37CA"/>
    <w:rsid w:val="002018AA"/>
    <w:rsid w:val="00204B37"/>
    <w:rsid w:val="0020565B"/>
    <w:rsid w:val="002119C5"/>
    <w:rsid w:val="0021266E"/>
    <w:rsid w:val="002161C4"/>
    <w:rsid w:val="002218F0"/>
    <w:rsid w:val="00236771"/>
    <w:rsid w:val="00237E43"/>
    <w:rsid w:val="002454D5"/>
    <w:rsid w:val="00247D24"/>
    <w:rsid w:val="00251750"/>
    <w:rsid w:val="00251C9B"/>
    <w:rsid w:val="00254282"/>
    <w:rsid w:val="002579E6"/>
    <w:rsid w:val="002650D7"/>
    <w:rsid w:val="00266A2C"/>
    <w:rsid w:val="0027198B"/>
    <w:rsid w:val="00273FCC"/>
    <w:rsid w:val="00286C0C"/>
    <w:rsid w:val="00290D5F"/>
    <w:rsid w:val="00292DE8"/>
    <w:rsid w:val="002938F2"/>
    <w:rsid w:val="002968E2"/>
    <w:rsid w:val="00297F84"/>
    <w:rsid w:val="002A0E5C"/>
    <w:rsid w:val="002B167B"/>
    <w:rsid w:val="002B3C74"/>
    <w:rsid w:val="002B5326"/>
    <w:rsid w:val="002B7155"/>
    <w:rsid w:val="002C5280"/>
    <w:rsid w:val="002C65C2"/>
    <w:rsid w:val="002D283F"/>
    <w:rsid w:val="002D396D"/>
    <w:rsid w:val="002E0BBF"/>
    <w:rsid w:val="002F30A8"/>
    <w:rsid w:val="00311D79"/>
    <w:rsid w:val="00314D8C"/>
    <w:rsid w:val="003159DA"/>
    <w:rsid w:val="00315FB2"/>
    <w:rsid w:val="00324C3B"/>
    <w:rsid w:val="003311A4"/>
    <w:rsid w:val="00342034"/>
    <w:rsid w:val="0035037F"/>
    <w:rsid w:val="003519FF"/>
    <w:rsid w:val="0035648A"/>
    <w:rsid w:val="00363995"/>
    <w:rsid w:val="003641DB"/>
    <w:rsid w:val="00365B94"/>
    <w:rsid w:val="003724C2"/>
    <w:rsid w:val="00376B96"/>
    <w:rsid w:val="00384573"/>
    <w:rsid w:val="00385493"/>
    <w:rsid w:val="00394255"/>
    <w:rsid w:val="0039446E"/>
    <w:rsid w:val="003978E3"/>
    <w:rsid w:val="003A4328"/>
    <w:rsid w:val="003C3D09"/>
    <w:rsid w:val="003C430C"/>
    <w:rsid w:val="003C4D9E"/>
    <w:rsid w:val="003C5294"/>
    <w:rsid w:val="003C6304"/>
    <w:rsid w:val="003C7065"/>
    <w:rsid w:val="003D26DD"/>
    <w:rsid w:val="003D4934"/>
    <w:rsid w:val="003E1AB9"/>
    <w:rsid w:val="003E3967"/>
    <w:rsid w:val="003E4B08"/>
    <w:rsid w:val="003E6297"/>
    <w:rsid w:val="003F09F1"/>
    <w:rsid w:val="003F343D"/>
    <w:rsid w:val="003F4D2D"/>
    <w:rsid w:val="003F50C3"/>
    <w:rsid w:val="003F57C0"/>
    <w:rsid w:val="003F67FB"/>
    <w:rsid w:val="00404BB0"/>
    <w:rsid w:val="004108B6"/>
    <w:rsid w:val="00410CD6"/>
    <w:rsid w:val="00414A25"/>
    <w:rsid w:val="00416FF7"/>
    <w:rsid w:val="004206C2"/>
    <w:rsid w:val="004257DC"/>
    <w:rsid w:val="00431E50"/>
    <w:rsid w:val="00434773"/>
    <w:rsid w:val="0043606D"/>
    <w:rsid w:val="0043723F"/>
    <w:rsid w:val="004467E0"/>
    <w:rsid w:val="00447C66"/>
    <w:rsid w:val="00451657"/>
    <w:rsid w:val="00456277"/>
    <w:rsid w:val="00467E65"/>
    <w:rsid w:val="00471B34"/>
    <w:rsid w:val="00477EE6"/>
    <w:rsid w:val="004808A9"/>
    <w:rsid w:val="00481E44"/>
    <w:rsid w:val="00486D57"/>
    <w:rsid w:val="004930C8"/>
    <w:rsid w:val="004933E9"/>
    <w:rsid w:val="0049796B"/>
    <w:rsid w:val="004A04D4"/>
    <w:rsid w:val="004A607B"/>
    <w:rsid w:val="004A682F"/>
    <w:rsid w:val="004B2525"/>
    <w:rsid w:val="004E056C"/>
    <w:rsid w:val="004E2454"/>
    <w:rsid w:val="004E2817"/>
    <w:rsid w:val="004E499E"/>
    <w:rsid w:val="004F211E"/>
    <w:rsid w:val="005016FB"/>
    <w:rsid w:val="00507333"/>
    <w:rsid w:val="00511D17"/>
    <w:rsid w:val="0051444A"/>
    <w:rsid w:val="0051699F"/>
    <w:rsid w:val="005225F2"/>
    <w:rsid w:val="00522E37"/>
    <w:rsid w:val="00524054"/>
    <w:rsid w:val="0052546D"/>
    <w:rsid w:val="0053057E"/>
    <w:rsid w:val="005342C8"/>
    <w:rsid w:val="005414A1"/>
    <w:rsid w:val="00551234"/>
    <w:rsid w:val="0057291B"/>
    <w:rsid w:val="00576266"/>
    <w:rsid w:val="00583EF9"/>
    <w:rsid w:val="00584021"/>
    <w:rsid w:val="005908B4"/>
    <w:rsid w:val="005B7E6B"/>
    <w:rsid w:val="005C0660"/>
    <w:rsid w:val="005C20B5"/>
    <w:rsid w:val="005C2A70"/>
    <w:rsid w:val="005C44B9"/>
    <w:rsid w:val="005C7D31"/>
    <w:rsid w:val="005E1133"/>
    <w:rsid w:val="005E4D8D"/>
    <w:rsid w:val="005F399B"/>
    <w:rsid w:val="006014DC"/>
    <w:rsid w:val="00601DD6"/>
    <w:rsid w:val="00603F71"/>
    <w:rsid w:val="006126AC"/>
    <w:rsid w:val="00620044"/>
    <w:rsid w:val="00622EFE"/>
    <w:rsid w:val="006245DD"/>
    <w:rsid w:val="00627035"/>
    <w:rsid w:val="00632308"/>
    <w:rsid w:val="00636760"/>
    <w:rsid w:val="00636E27"/>
    <w:rsid w:val="00644D34"/>
    <w:rsid w:val="006515C9"/>
    <w:rsid w:val="00652318"/>
    <w:rsid w:val="0065251E"/>
    <w:rsid w:val="00664EFE"/>
    <w:rsid w:val="00665283"/>
    <w:rsid w:val="0067005F"/>
    <w:rsid w:val="00672434"/>
    <w:rsid w:val="0067311D"/>
    <w:rsid w:val="00673F96"/>
    <w:rsid w:val="0067404F"/>
    <w:rsid w:val="0067475E"/>
    <w:rsid w:val="006759E9"/>
    <w:rsid w:val="00681368"/>
    <w:rsid w:val="00693F84"/>
    <w:rsid w:val="006942C0"/>
    <w:rsid w:val="006A0D86"/>
    <w:rsid w:val="006A77F7"/>
    <w:rsid w:val="006B78D0"/>
    <w:rsid w:val="006C0814"/>
    <w:rsid w:val="006C0911"/>
    <w:rsid w:val="006C35BE"/>
    <w:rsid w:val="006C509F"/>
    <w:rsid w:val="006C5CED"/>
    <w:rsid w:val="006D3355"/>
    <w:rsid w:val="006D46FB"/>
    <w:rsid w:val="006D5A48"/>
    <w:rsid w:val="006F2915"/>
    <w:rsid w:val="006F297F"/>
    <w:rsid w:val="0070031E"/>
    <w:rsid w:val="007153CE"/>
    <w:rsid w:val="00722B6D"/>
    <w:rsid w:val="007250E3"/>
    <w:rsid w:val="00725876"/>
    <w:rsid w:val="00732F83"/>
    <w:rsid w:val="00746204"/>
    <w:rsid w:val="00747715"/>
    <w:rsid w:val="00750138"/>
    <w:rsid w:val="00751581"/>
    <w:rsid w:val="0075224F"/>
    <w:rsid w:val="00753DA3"/>
    <w:rsid w:val="007573D0"/>
    <w:rsid w:val="007600EB"/>
    <w:rsid w:val="00762962"/>
    <w:rsid w:val="007631B9"/>
    <w:rsid w:val="00764F50"/>
    <w:rsid w:val="00770A92"/>
    <w:rsid w:val="00776874"/>
    <w:rsid w:val="007777F2"/>
    <w:rsid w:val="007840C8"/>
    <w:rsid w:val="00786785"/>
    <w:rsid w:val="007904E4"/>
    <w:rsid w:val="00790C65"/>
    <w:rsid w:val="00793A96"/>
    <w:rsid w:val="00793D09"/>
    <w:rsid w:val="0079717B"/>
    <w:rsid w:val="007A1845"/>
    <w:rsid w:val="007A3789"/>
    <w:rsid w:val="007A57D9"/>
    <w:rsid w:val="007A7D45"/>
    <w:rsid w:val="007A7D91"/>
    <w:rsid w:val="007B43F7"/>
    <w:rsid w:val="007C03A3"/>
    <w:rsid w:val="007C1B00"/>
    <w:rsid w:val="007C32AF"/>
    <w:rsid w:val="007C4069"/>
    <w:rsid w:val="007C4BC8"/>
    <w:rsid w:val="007D31CE"/>
    <w:rsid w:val="007D5BB7"/>
    <w:rsid w:val="007D6E0B"/>
    <w:rsid w:val="007E0621"/>
    <w:rsid w:val="007E4E37"/>
    <w:rsid w:val="007F3A68"/>
    <w:rsid w:val="007F4B07"/>
    <w:rsid w:val="007F64A8"/>
    <w:rsid w:val="007F7070"/>
    <w:rsid w:val="00801C7B"/>
    <w:rsid w:val="00821B52"/>
    <w:rsid w:val="008324B0"/>
    <w:rsid w:val="0083488D"/>
    <w:rsid w:val="00834E34"/>
    <w:rsid w:val="00835802"/>
    <w:rsid w:val="00843B71"/>
    <w:rsid w:val="008466C3"/>
    <w:rsid w:val="00846884"/>
    <w:rsid w:val="00851458"/>
    <w:rsid w:val="00861A47"/>
    <w:rsid w:val="00862772"/>
    <w:rsid w:val="00866735"/>
    <w:rsid w:val="0087071D"/>
    <w:rsid w:val="008707FF"/>
    <w:rsid w:val="008724E5"/>
    <w:rsid w:val="008855A7"/>
    <w:rsid w:val="00891C7F"/>
    <w:rsid w:val="008A0238"/>
    <w:rsid w:val="008A63EC"/>
    <w:rsid w:val="008B7346"/>
    <w:rsid w:val="008B7E3A"/>
    <w:rsid w:val="008C21AF"/>
    <w:rsid w:val="008C5ECC"/>
    <w:rsid w:val="008D02C1"/>
    <w:rsid w:val="008D3BF7"/>
    <w:rsid w:val="008D4734"/>
    <w:rsid w:val="008F117B"/>
    <w:rsid w:val="008F11A0"/>
    <w:rsid w:val="008F16C6"/>
    <w:rsid w:val="008F28D8"/>
    <w:rsid w:val="008F34A1"/>
    <w:rsid w:val="00902A79"/>
    <w:rsid w:val="00904873"/>
    <w:rsid w:val="009049DD"/>
    <w:rsid w:val="009121CE"/>
    <w:rsid w:val="009127D8"/>
    <w:rsid w:val="00921F65"/>
    <w:rsid w:val="00923D31"/>
    <w:rsid w:val="009245EB"/>
    <w:rsid w:val="009318B0"/>
    <w:rsid w:val="00932035"/>
    <w:rsid w:val="00940428"/>
    <w:rsid w:val="0094252B"/>
    <w:rsid w:val="009448F0"/>
    <w:rsid w:val="009647CC"/>
    <w:rsid w:val="00967E3C"/>
    <w:rsid w:val="0097349C"/>
    <w:rsid w:val="00974CFE"/>
    <w:rsid w:val="00976948"/>
    <w:rsid w:val="00980ADC"/>
    <w:rsid w:val="00993F2D"/>
    <w:rsid w:val="009A2F66"/>
    <w:rsid w:val="009B0225"/>
    <w:rsid w:val="009B4F53"/>
    <w:rsid w:val="009C102E"/>
    <w:rsid w:val="009C2F94"/>
    <w:rsid w:val="009C5C6F"/>
    <w:rsid w:val="009C7251"/>
    <w:rsid w:val="009D27D0"/>
    <w:rsid w:val="009D4547"/>
    <w:rsid w:val="009D5E38"/>
    <w:rsid w:val="009E327B"/>
    <w:rsid w:val="009F0BDD"/>
    <w:rsid w:val="009F34A4"/>
    <w:rsid w:val="009F3988"/>
    <w:rsid w:val="009F6A06"/>
    <w:rsid w:val="00A00D55"/>
    <w:rsid w:val="00A1124B"/>
    <w:rsid w:val="00A117B4"/>
    <w:rsid w:val="00A150C7"/>
    <w:rsid w:val="00A16294"/>
    <w:rsid w:val="00A22EAC"/>
    <w:rsid w:val="00A26801"/>
    <w:rsid w:val="00A40D4F"/>
    <w:rsid w:val="00A43546"/>
    <w:rsid w:val="00A519A2"/>
    <w:rsid w:val="00A5478B"/>
    <w:rsid w:val="00A54904"/>
    <w:rsid w:val="00A6539A"/>
    <w:rsid w:val="00A66A00"/>
    <w:rsid w:val="00A7053F"/>
    <w:rsid w:val="00A70883"/>
    <w:rsid w:val="00A71ECD"/>
    <w:rsid w:val="00A73B6E"/>
    <w:rsid w:val="00A752BD"/>
    <w:rsid w:val="00A76FD1"/>
    <w:rsid w:val="00A77AEB"/>
    <w:rsid w:val="00A805BD"/>
    <w:rsid w:val="00A83196"/>
    <w:rsid w:val="00A86042"/>
    <w:rsid w:val="00AA444A"/>
    <w:rsid w:val="00AA5F63"/>
    <w:rsid w:val="00AB1217"/>
    <w:rsid w:val="00AB1528"/>
    <w:rsid w:val="00AB7CDC"/>
    <w:rsid w:val="00AC2691"/>
    <w:rsid w:val="00AC4107"/>
    <w:rsid w:val="00AD56D8"/>
    <w:rsid w:val="00AE1AA6"/>
    <w:rsid w:val="00AE1B18"/>
    <w:rsid w:val="00AE239F"/>
    <w:rsid w:val="00AF1C32"/>
    <w:rsid w:val="00B02F7A"/>
    <w:rsid w:val="00B11AE3"/>
    <w:rsid w:val="00B23FF2"/>
    <w:rsid w:val="00B3542A"/>
    <w:rsid w:val="00B36D3C"/>
    <w:rsid w:val="00B53036"/>
    <w:rsid w:val="00B5447F"/>
    <w:rsid w:val="00B55F31"/>
    <w:rsid w:val="00B6167A"/>
    <w:rsid w:val="00B63543"/>
    <w:rsid w:val="00B6776E"/>
    <w:rsid w:val="00B67DA3"/>
    <w:rsid w:val="00B72AA6"/>
    <w:rsid w:val="00B74F09"/>
    <w:rsid w:val="00B7741B"/>
    <w:rsid w:val="00B90C8D"/>
    <w:rsid w:val="00B9459D"/>
    <w:rsid w:val="00B95A11"/>
    <w:rsid w:val="00B96080"/>
    <w:rsid w:val="00B973B5"/>
    <w:rsid w:val="00BA06B8"/>
    <w:rsid w:val="00BC0A09"/>
    <w:rsid w:val="00BC2F61"/>
    <w:rsid w:val="00BC7A9F"/>
    <w:rsid w:val="00BD27F9"/>
    <w:rsid w:val="00BD59BD"/>
    <w:rsid w:val="00BD7024"/>
    <w:rsid w:val="00BE073C"/>
    <w:rsid w:val="00BE0AED"/>
    <w:rsid w:val="00BE40AC"/>
    <w:rsid w:val="00BE578E"/>
    <w:rsid w:val="00BF6B4A"/>
    <w:rsid w:val="00C01E8A"/>
    <w:rsid w:val="00C06AEB"/>
    <w:rsid w:val="00C11825"/>
    <w:rsid w:val="00C22F55"/>
    <w:rsid w:val="00C231CB"/>
    <w:rsid w:val="00C26EE2"/>
    <w:rsid w:val="00C30D71"/>
    <w:rsid w:val="00C3642B"/>
    <w:rsid w:val="00C47D20"/>
    <w:rsid w:val="00C5583C"/>
    <w:rsid w:val="00C64210"/>
    <w:rsid w:val="00C6478B"/>
    <w:rsid w:val="00C651FC"/>
    <w:rsid w:val="00C81439"/>
    <w:rsid w:val="00C82E01"/>
    <w:rsid w:val="00C87EF0"/>
    <w:rsid w:val="00C94174"/>
    <w:rsid w:val="00CA078D"/>
    <w:rsid w:val="00CA55B6"/>
    <w:rsid w:val="00CA6FEF"/>
    <w:rsid w:val="00CB0DCC"/>
    <w:rsid w:val="00CB0F37"/>
    <w:rsid w:val="00CB500D"/>
    <w:rsid w:val="00CB644A"/>
    <w:rsid w:val="00CC2BC6"/>
    <w:rsid w:val="00CD2CF2"/>
    <w:rsid w:val="00CD43F2"/>
    <w:rsid w:val="00CE2586"/>
    <w:rsid w:val="00CE5778"/>
    <w:rsid w:val="00D00421"/>
    <w:rsid w:val="00D039FF"/>
    <w:rsid w:val="00D11339"/>
    <w:rsid w:val="00D11C2B"/>
    <w:rsid w:val="00D156D1"/>
    <w:rsid w:val="00D1595C"/>
    <w:rsid w:val="00D1707A"/>
    <w:rsid w:val="00D17570"/>
    <w:rsid w:val="00D249ED"/>
    <w:rsid w:val="00D27707"/>
    <w:rsid w:val="00D32571"/>
    <w:rsid w:val="00D34E14"/>
    <w:rsid w:val="00D35123"/>
    <w:rsid w:val="00D404B7"/>
    <w:rsid w:val="00D45F5E"/>
    <w:rsid w:val="00D54A7D"/>
    <w:rsid w:val="00D54F31"/>
    <w:rsid w:val="00D5674A"/>
    <w:rsid w:val="00D60569"/>
    <w:rsid w:val="00D6246C"/>
    <w:rsid w:val="00D63CB4"/>
    <w:rsid w:val="00D77AB2"/>
    <w:rsid w:val="00D809E5"/>
    <w:rsid w:val="00D81948"/>
    <w:rsid w:val="00D90AA8"/>
    <w:rsid w:val="00D9178D"/>
    <w:rsid w:val="00D92B71"/>
    <w:rsid w:val="00D9501F"/>
    <w:rsid w:val="00DA11AE"/>
    <w:rsid w:val="00DA2E7B"/>
    <w:rsid w:val="00DA2F51"/>
    <w:rsid w:val="00DB3B19"/>
    <w:rsid w:val="00DB47DE"/>
    <w:rsid w:val="00DB50D5"/>
    <w:rsid w:val="00DB6D37"/>
    <w:rsid w:val="00DC5625"/>
    <w:rsid w:val="00DD1999"/>
    <w:rsid w:val="00DD6F60"/>
    <w:rsid w:val="00DE5B97"/>
    <w:rsid w:val="00DE6D29"/>
    <w:rsid w:val="00DF3DA3"/>
    <w:rsid w:val="00DF7C59"/>
    <w:rsid w:val="00E015DB"/>
    <w:rsid w:val="00E03893"/>
    <w:rsid w:val="00E0628F"/>
    <w:rsid w:val="00E06A00"/>
    <w:rsid w:val="00E21B39"/>
    <w:rsid w:val="00E22B99"/>
    <w:rsid w:val="00E258D9"/>
    <w:rsid w:val="00E27C84"/>
    <w:rsid w:val="00E30794"/>
    <w:rsid w:val="00E37B70"/>
    <w:rsid w:val="00E400AE"/>
    <w:rsid w:val="00E439CA"/>
    <w:rsid w:val="00E44112"/>
    <w:rsid w:val="00E5219B"/>
    <w:rsid w:val="00E5497A"/>
    <w:rsid w:val="00E55F11"/>
    <w:rsid w:val="00E573A7"/>
    <w:rsid w:val="00E61D1E"/>
    <w:rsid w:val="00E7087E"/>
    <w:rsid w:val="00E73C43"/>
    <w:rsid w:val="00E77CA6"/>
    <w:rsid w:val="00E77E5B"/>
    <w:rsid w:val="00E824FB"/>
    <w:rsid w:val="00E82DFB"/>
    <w:rsid w:val="00E832FC"/>
    <w:rsid w:val="00E83AC1"/>
    <w:rsid w:val="00E93971"/>
    <w:rsid w:val="00E95338"/>
    <w:rsid w:val="00EA198F"/>
    <w:rsid w:val="00ED6930"/>
    <w:rsid w:val="00EE299F"/>
    <w:rsid w:val="00EF0BCB"/>
    <w:rsid w:val="00EF0E74"/>
    <w:rsid w:val="00EF30C9"/>
    <w:rsid w:val="00EF4C16"/>
    <w:rsid w:val="00F00E8A"/>
    <w:rsid w:val="00F05D28"/>
    <w:rsid w:val="00F16276"/>
    <w:rsid w:val="00F27DA2"/>
    <w:rsid w:val="00F3349E"/>
    <w:rsid w:val="00F33650"/>
    <w:rsid w:val="00F33ADF"/>
    <w:rsid w:val="00F43933"/>
    <w:rsid w:val="00F44466"/>
    <w:rsid w:val="00F46755"/>
    <w:rsid w:val="00F473CB"/>
    <w:rsid w:val="00F50245"/>
    <w:rsid w:val="00F51AFD"/>
    <w:rsid w:val="00F63DDA"/>
    <w:rsid w:val="00F676AD"/>
    <w:rsid w:val="00F705DE"/>
    <w:rsid w:val="00F70858"/>
    <w:rsid w:val="00F7397F"/>
    <w:rsid w:val="00F73FBD"/>
    <w:rsid w:val="00F742F6"/>
    <w:rsid w:val="00F75949"/>
    <w:rsid w:val="00F759FC"/>
    <w:rsid w:val="00F75CF4"/>
    <w:rsid w:val="00F75E82"/>
    <w:rsid w:val="00F775A7"/>
    <w:rsid w:val="00F80CB4"/>
    <w:rsid w:val="00F833CE"/>
    <w:rsid w:val="00F91A2D"/>
    <w:rsid w:val="00F941F0"/>
    <w:rsid w:val="00FA08A0"/>
    <w:rsid w:val="00FA64F0"/>
    <w:rsid w:val="00FB2A49"/>
    <w:rsid w:val="00FC121F"/>
    <w:rsid w:val="00FC7BDD"/>
    <w:rsid w:val="00FD0D76"/>
    <w:rsid w:val="00FD7F8C"/>
    <w:rsid w:val="00FF0B98"/>
    <w:rsid w:val="00FF2B1D"/>
    <w:rsid w:val="00FF791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1">
    <w:name w:val="heading 1"/>
    <w:basedOn w:val="Normal"/>
    <w:next w:val="Normal"/>
    <w:link w:val="Titre1Car"/>
    <w:qFormat/>
    <w:rsid w:val="00E82D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E82DFB"/>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2"/>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auNormal"/>
    <w:next w:val="Grilledutableau"/>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Lienhypertexte">
    <w:name w:val="Hyperlink"/>
    <w:unhideWhenUsed/>
    <w:rsid w:val="005908B4"/>
    <w:rPr>
      <w:color w:val="0000FF"/>
      <w:u w:val="single"/>
    </w:rPr>
  </w:style>
  <w:style w:type="paragraph" w:styleId="Notedebasdepage">
    <w:name w:val="footnote text"/>
    <w:basedOn w:val="Normal"/>
    <w:link w:val="NotedebasdepageCar"/>
    <w:uiPriority w:val="99"/>
    <w:semiHidden/>
    <w:unhideWhenUsed/>
    <w:rsid w:val="005908B4"/>
    <w:pPr>
      <w:spacing w:after="0"/>
    </w:pPr>
    <w:rPr>
      <w:sz w:val="20"/>
      <w:szCs w:val="20"/>
      <w:lang w:val="fr-FR"/>
    </w:rPr>
  </w:style>
  <w:style w:type="character" w:customStyle="1" w:styleId="NotedebasdepageCar">
    <w:name w:val="Note de bas de page Car"/>
    <w:basedOn w:val="Policepardfaut"/>
    <w:link w:val="Notedebasdepage"/>
    <w:uiPriority w:val="99"/>
    <w:semiHidden/>
    <w:rsid w:val="005908B4"/>
    <w:rPr>
      <w:rFonts w:ascii="Times New Roman" w:eastAsia="Times New Roman" w:hAnsi="Times New Roman"/>
    </w:rPr>
  </w:style>
  <w:style w:type="character" w:styleId="Appelnotedebasdep">
    <w:name w:val="footnote reference"/>
    <w:basedOn w:val="Policepardfau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Paragraphedeliste">
    <w:name w:val="List Paragraph"/>
    <w:basedOn w:val="Normal"/>
    <w:uiPriority w:val="34"/>
    <w:qFormat/>
    <w:rsid w:val="005908B4"/>
    <w:pPr>
      <w:ind w:left="720"/>
      <w:contextualSpacing/>
    </w:pPr>
  </w:style>
  <w:style w:type="character" w:styleId="Lienhypertextesuivivisit">
    <w:name w:val="FollowedHyperlink"/>
    <w:basedOn w:val="Policepardfaut"/>
    <w:semiHidden/>
    <w:unhideWhenUsed/>
    <w:rsid w:val="00835802"/>
    <w:rPr>
      <w:color w:val="800080" w:themeColor="followedHyperlink"/>
      <w:u w:val="single"/>
    </w:rPr>
  </w:style>
  <w:style w:type="character" w:styleId="Mentionnonrsolue">
    <w:name w:val="Unresolved Mention"/>
    <w:basedOn w:val="Policepardfaut"/>
    <w:uiPriority w:val="99"/>
    <w:semiHidden/>
    <w:unhideWhenUsed/>
    <w:rsid w:val="004A682F"/>
    <w:rPr>
      <w:color w:val="605E5C"/>
      <w:shd w:val="clear" w:color="auto" w:fill="E1DFDD"/>
    </w:rPr>
  </w:style>
  <w:style w:type="character" w:customStyle="1" w:styleId="Titre1Car">
    <w:name w:val="Titre 1 Car"/>
    <w:basedOn w:val="Policepardfaut"/>
    <w:link w:val="Titre1"/>
    <w:rsid w:val="00E82DFB"/>
    <w:rPr>
      <w:rFonts w:asciiTheme="majorHAnsi" w:eastAsiaTheme="majorEastAsia" w:hAnsiTheme="majorHAnsi" w:cstheme="majorBidi"/>
      <w:color w:val="365F91" w:themeColor="accent1" w:themeShade="BF"/>
      <w:sz w:val="32"/>
      <w:szCs w:val="32"/>
      <w:lang w:val="en-GB"/>
    </w:rPr>
  </w:style>
  <w:style w:type="character" w:customStyle="1" w:styleId="Titre3Car">
    <w:name w:val="Titre 3 Car"/>
    <w:basedOn w:val="Policepardfaut"/>
    <w:link w:val="Titre3"/>
    <w:rsid w:val="00E82DFB"/>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63656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52249-FR.docx" TargetMode="External"/><Relationship Id="rId13" Type="http://schemas.openxmlformats.org/officeDocument/2006/relationships/hyperlink" Target="https://ich.unesco.org/doc/src/LHE-21-16.COM_WG-6-FR.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conven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1-16.COM_WG-6-FR.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doc/src/LHE-21-16.COM_WG-6-FR.docx" TargetMode="External"/><Relationship Id="rId4" Type="http://schemas.openxmlformats.org/officeDocument/2006/relationships/settings" Target="settings.xml"/><Relationship Id="rId9" Type="http://schemas.openxmlformats.org/officeDocument/2006/relationships/hyperlink" Target="https://ich.unesco.org/doc/src/LHE-21-16.COM_WG-6-FR.doc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ch.unesco.org/fr/decisions/8.GA/12?dec=decisions&amp;ref_decision=8.G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2775</Words>
  <Characters>15820</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2021-09-07T14:18:00Z</dcterms:created>
  <dcterms:modified xsi:type="dcterms:W3CDTF">2021-09-07T14:18:00Z</dcterms:modified>
</cp:coreProperties>
</file>