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w:t>
      </w:r>
      <w:r w:rsidR="00E64D6A">
        <w:rPr>
          <w:rFonts w:ascii="Arial" w:hAnsi="Arial" w:cs="Arial"/>
          <w:b/>
          <w:sz w:val="22"/>
          <w:szCs w:val="22"/>
        </w:rPr>
        <w:br/>
      </w:r>
      <w:r w:rsidRPr="00A61C6E">
        <w:rPr>
          <w:rFonts w:ascii="Arial" w:hAnsi="Arial" w:cs="Arial"/>
          <w:b/>
          <w:sz w:val="22"/>
          <w:szCs w:val="22"/>
        </w:rPr>
        <w:t>DU</w:t>
      </w:r>
      <w:r w:rsidR="00E64D6A">
        <w:rPr>
          <w:rFonts w:ascii="Arial" w:hAnsi="Arial" w:cs="Arial"/>
          <w:b/>
          <w:sz w:val="22"/>
          <w:szCs w:val="22"/>
        </w:rPr>
        <w:t xml:space="preserve"> </w:t>
      </w:r>
      <w:r w:rsidRPr="00A61C6E">
        <w:rPr>
          <w:rFonts w:ascii="Arial" w:hAnsi="Arial" w:cs="Arial"/>
          <w:b/>
          <w:sz w:val="22"/>
          <w:szCs w:val="22"/>
        </w:rPr>
        <w:t>PATRIMOINE CULTUREL IMMATÉRIEL</w:t>
      </w:r>
    </w:p>
    <w:p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rsidR="00BC3420" w:rsidRPr="00B43974" w:rsidRDefault="008F09EC" w:rsidP="008F09EC">
      <w:pPr>
        <w:spacing w:before="840"/>
        <w:jc w:val="center"/>
        <w:rPr>
          <w:rFonts w:ascii="Arial" w:hAnsi="Arial" w:cs="Arial"/>
          <w:b/>
          <w:sz w:val="22"/>
          <w:szCs w:val="22"/>
        </w:rPr>
      </w:pPr>
      <w:r>
        <w:rPr>
          <w:rFonts w:ascii="Arial" w:hAnsi="Arial" w:cs="Arial"/>
          <w:b/>
          <w:sz w:val="22"/>
          <w:szCs w:val="22"/>
        </w:rPr>
        <w:t>Quatorz</w:t>
      </w:r>
      <w:r w:rsidRPr="00996303">
        <w:rPr>
          <w:rFonts w:ascii="Arial" w:hAnsi="Arial" w:cs="Arial"/>
          <w:b/>
          <w:sz w:val="22"/>
          <w:szCs w:val="22"/>
        </w:rPr>
        <w:t>ième</w:t>
      </w:r>
      <w:r w:rsidR="00495C25">
        <w:rPr>
          <w:rFonts w:ascii="Arial" w:eastAsiaTheme="minorEastAsia" w:hAnsi="Arial" w:cs="Arial" w:hint="eastAsia"/>
          <w:b/>
          <w:sz w:val="22"/>
          <w:szCs w:val="22"/>
          <w:lang w:eastAsia="ko-KR"/>
        </w:rPr>
        <w:t xml:space="preserve"> </w:t>
      </w:r>
      <w:r w:rsidR="00BC3420" w:rsidRPr="00B43974">
        <w:rPr>
          <w:rFonts w:ascii="Arial" w:hAnsi="Arial" w:cs="Arial"/>
          <w:b/>
          <w:sz w:val="22"/>
          <w:szCs w:val="22"/>
        </w:rPr>
        <w:t>session</w:t>
      </w:r>
    </w:p>
    <w:p w:rsidR="00A61C6E" w:rsidRPr="00A61C6E" w:rsidRDefault="008F09EC" w:rsidP="008F09EC">
      <w:pPr>
        <w:jc w:val="center"/>
        <w:rPr>
          <w:rFonts w:ascii="Arial" w:hAnsi="Arial" w:cs="Arial"/>
          <w:b/>
          <w:sz w:val="22"/>
          <w:szCs w:val="22"/>
        </w:rPr>
      </w:pPr>
      <w:r w:rsidRPr="008F09EC">
        <w:rPr>
          <w:rFonts w:ascii="Arial" w:hAnsi="Arial" w:cs="Arial"/>
          <w:b/>
          <w:sz w:val="22"/>
          <w:szCs w:val="22"/>
        </w:rPr>
        <w:t>Bogotá</w:t>
      </w:r>
      <w:r w:rsidR="00495C25">
        <w:rPr>
          <w:rFonts w:ascii="Arial" w:eastAsiaTheme="minorEastAsia" w:hAnsi="Arial" w:cs="Arial" w:hint="eastAsia"/>
          <w:b/>
          <w:sz w:val="22"/>
          <w:szCs w:val="22"/>
          <w:lang w:eastAsia="ko-KR"/>
        </w:rPr>
        <w:t>,</w:t>
      </w:r>
      <w:r w:rsidR="00616C7B">
        <w:rPr>
          <w:rFonts w:ascii="Arial" w:hAnsi="Arial" w:cs="Arial"/>
          <w:b/>
          <w:sz w:val="22"/>
          <w:szCs w:val="22"/>
        </w:rPr>
        <w:t xml:space="preserve"> République de</w:t>
      </w:r>
      <w:r>
        <w:rPr>
          <w:rFonts w:ascii="Arial" w:hAnsi="Arial" w:cs="Arial"/>
          <w:b/>
          <w:sz w:val="22"/>
          <w:szCs w:val="22"/>
        </w:rPr>
        <w:t xml:space="preserve"> Colombie</w:t>
      </w:r>
    </w:p>
    <w:p w:rsidR="00BC3420" w:rsidRPr="00495C25" w:rsidRDefault="008F09EC" w:rsidP="008F09EC">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9</w:t>
      </w:r>
      <w:r w:rsidR="00461168">
        <w:rPr>
          <w:rFonts w:ascii="Arial" w:eastAsiaTheme="minorEastAsia" w:hAnsi="Arial" w:cs="Arial"/>
          <w:b/>
          <w:sz w:val="22"/>
          <w:szCs w:val="22"/>
          <w:lang w:eastAsia="ko-KR"/>
        </w:rPr>
        <w:t xml:space="preserve"> </w:t>
      </w:r>
      <w:r w:rsidR="00BC3420" w:rsidRPr="00A61C6E">
        <w:rPr>
          <w:rFonts w:ascii="Arial" w:hAnsi="Arial" w:cs="Arial"/>
          <w:b/>
          <w:sz w:val="22"/>
          <w:szCs w:val="22"/>
        </w:rPr>
        <w:t xml:space="preserve">– </w:t>
      </w:r>
      <w:r w:rsidR="00461168">
        <w:rPr>
          <w:rFonts w:ascii="Arial" w:eastAsiaTheme="minorEastAsia" w:hAnsi="Arial" w:cs="Arial"/>
          <w:b/>
          <w:sz w:val="22"/>
          <w:szCs w:val="22"/>
          <w:lang w:eastAsia="ko-KR"/>
        </w:rPr>
        <w:t>1</w:t>
      </w:r>
      <w:r>
        <w:rPr>
          <w:rFonts w:ascii="Arial" w:eastAsiaTheme="minorEastAsia" w:hAnsi="Arial" w:cs="Arial"/>
          <w:b/>
          <w:sz w:val="22"/>
          <w:szCs w:val="22"/>
          <w:lang w:eastAsia="ko-KR"/>
        </w:rPr>
        <w:t>4</w:t>
      </w:r>
      <w:r w:rsidR="00741016">
        <w:rPr>
          <w:rFonts w:ascii="Arial" w:eastAsiaTheme="minorEastAsia" w:hAnsi="Arial" w:cs="Arial"/>
          <w:b/>
          <w:sz w:val="22"/>
          <w:szCs w:val="22"/>
          <w:lang w:eastAsia="ko-KR"/>
        </w:rPr>
        <w:t xml:space="preserve"> </w:t>
      </w:r>
      <w:r w:rsidR="00165170">
        <w:rPr>
          <w:rFonts w:ascii="Arial" w:hAnsi="Arial" w:cs="Arial"/>
          <w:b/>
          <w:sz w:val="22"/>
          <w:szCs w:val="22"/>
        </w:rPr>
        <w:t>décembre</w:t>
      </w:r>
      <w:r w:rsidR="00495C25">
        <w:rPr>
          <w:rFonts w:ascii="Arial" w:hAnsi="Arial" w:cs="Arial"/>
          <w:b/>
          <w:sz w:val="22"/>
          <w:szCs w:val="22"/>
        </w:rPr>
        <w:t xml:space="preserve"> 201</w:t>
      </w:r>
      <w:r>
        <w:rPr>
          <w:rFonts w:ascii="Arial" w:eastAsiaTheme="minorEastAsia" w:hAnsi="Arial" w:cs="Arial"/>
          <w:b/>
          <w:sz w:val="22"/>
          <w:szCs w:val="22"/>
          <w:lang w:eastAsia="ko-KR"/>
        </w:rPr>
        <w:t>9</w:t>
      </w:r>
    </w:p>
    <w:p w:rsidR="008F09EC" w:rsidRPr="00B43974" w:rsidRDefault="008F09EC" w:rsidP="008F09EC">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52155F">
        <w:rPr>
          <w:rFonts w:ascii="Arial" w:hAnsi="Arial" w:cs="Arial"/>
          <w:b/>
          <w:sz w:val="22"/>
          <w:szCs w:val="22"/>
          <w:u w:val="single"/>
        </w:rPr>
        <w:t>10.d</w:t>
      </w:r>
      <w:r w:rsidRPr="00B43974">
        <w:rPr>
          <w:rFonts w:ascii="Arial" w:hAnsi="Arial" w:cs="Arial"/>
          <w:b/>
          <w:sz w:val="22"/>
          <w:szCs w:val="22"/>
          <w:u w:val="single"/>
        </w:rPr>
        <w:t xml:space="preserve"> de l’ordre du jour provisoire</w:t>
      </w:r>
      <w:r w:rsidRPr="008F09EC">
        <w:rPr>
          <w:rFonts w:ascii="Arial" w:hAnsi="Arial" w:cs="Arial"/>
          <w:b/>
          <w:sz w:val="22"/>
          <w:szCs w:val="22"/>
        </w:rPr>
        <w:t> </w:t>
      </w:r>
      <w:r w:rsidRPr="00B43974">
        <w:rPr>
          <w:rFonts w:ascii="Arial" w:hAnsi="Arial" w:cs="Arial"/>
          <w:b/>
          <w:sz w:val="22"/>
          <w:szCs w:val="22"/>
        </w:rPr>
        <w:t>:</w:t>
      </w:r>
    </w:p>
    <w:p w:rsidR="0030484B" w:rsidRPr="004001D1" w:rsidRDefault="0030484B" w:rsidP="0030484B">
      <w:pPr>
        <w:pStyle w:val="Sansinterligne2"/>
        <w:spacing w:after="1200"/>
        <w:jc w:val="center"/>
        <w:rPr>
          <w:rFonts w:ascii="Arial" w:hAnsi="Arial" w:cs="Arial"/>
          <w:b/>
          <w:sz w:val="22"/>
          <w:szCs w:val="22"/>
        </w:rPr>
      </w:pPr>
      <w:r w:rsidRPr="004001D1">
        <w:rPr>
          <w:rFonts w:ascii="Arial" w:hAnsi="Arial"/>
          <w:b/>
          <w:sz w:val="22"/>
        </w:rPr>
        <w:t>Examen d</w:t>
      </w:r>
      <w:r w:rsidR="00E64D6A">
        <w:rPr>
          <w:rFonts w:ascii="Arial" w:hAnsi="Arial"/>
          <w:b/>
          <w:sz w:val="22"/>
        </w:rPr>
        <w:t>es</w:t>
      </w:r>
      <w:r w:rsidRPr="004001D1">
        <w:rPr>
          <w:rFonts w:ascii="Arial" w:hAnsi="Arial"/>
          <w:b/>
          <w:sz w:val="22"/>
        </w:rPr>
        <w:t xml:space="preserve"> demande</w:t>
      </w:r>
      <w:r w:rsidR="00E64D6A">
        <w:rPr>
          <w:rFonts w:ascii="Arial" w:hAnsi="Arial"/>
          <w:b/>
          <w:sz w:val="22"/>
        </w:rPr>
        <w:t>s</w:t>
      </w:r>
      <w:r w:rsidRPr="004001D1">
        <w:rPr>
          <w:rFonts w:ascii="Arial" w:hAnsi="Arial"/>
          <w:b/>
          <w:sz w:val="22"/>
        </w:rPr>
        <w:t xml:space="preserve"> d</w:t>
      </w:r>
      <w:r>
        <w:rPr>
          <w:rFonts w:ascii="Arial" w:hAnsi="Arial"/>
          <w:b/>
          <w:sz w:val="22"/>
        </w:rPr>
        <w:t>’</w:t>
      </w:r>
      <w:r w:rsidRPr="004001D1">
        <w:rPr>
          <w:rFonts w:ascii="Arial" w:hAnsi="Arial"/>
          <w:b/>
          <w:sz w:val="22"/>
        </w:rPr>
        <w:t>assistance internationale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B43974" w:rsidTr="00980353">
        <w:trPr>
          <w:trHeight w:val="3039"/>
          <w:jc w:val="center"/>
        </w:trPr>
        <w:tc>
          <w:tcPr>
            <w:tcW w:w="7825" w:type="dxa"/>
            <w:vAlign w:val="center"/>
          </w:tcPr>
          <w:p w:rsidR="008F09EC" w:rsidRPr="00B43974" w:rsidRDefault="008F09EC" w:rsidP="00FF2F30">
            <w:pPr>
              <w:pStyle w:val="Sansinterligne1"/>
              <w:spacing w:before="200" w:after="200"/>
              <w:jc w:val="center"/>
              <w:rPr>
                <w:rFonts w:ascii="Arial" w:hAnsi="Arial" w:cs="Arial"/>
                <w:b/>
                <w:sz w:val="22"/>
                <w:szCs w:val="22"/>
              </w:rPr>
            </w:pPr>
            <w:r w:rsidRPr="00B43974">
              <w:rPr>
                <w:rFonts w:ascii="Arial" w:hAnsi="Arial" w:cs="Arial"/>
                <w:b/>
                <w:sz w:val="22"/>
                <w:szCs w:val="22"/>
              </w:rPr>
              <w:t>Résumé</w:t>
            </w:r>
          </w:p>
          <w:p w:rsidR="002418B9" w:rsidRPr="00EE6CC6" w:rsidRDefault="002418B9" w:rsidP="002418B9">
            <w:pPr>
              <w:pStyle w:val="Sansinterligne2"/>
              <w:spacing w:before="200" w:after="200"/>
              <w:jc w:val="both"/>
              <w:rPr>
                <w:rFonts w:ascii="Arial" w:hAnsi="Arial" w:cs="Arial"/>
                <w:sz w:val="22"/>
                <w:szCs w:val="22"/>
              </w:rPr>
            </w:pPr>
            <w:r w:rsidRPr="004001D1">
              <w:rPr>
                <w:rFonts w:ascii="Arial" w:hAnsi="Arial"/>
                <w:sz w:val="22"/>
              </w:rPr>
              <w:t>Le présent document comprend l</w:t>
            </w:r>
            <w:r>
              <w:rPr>
                <w:rFonts w:ascii="Arial" w:hAnsi="Arial"/>
                <w:sz w:val="22"/>
              </w:rPr>
              <w:t>a</w:t>
            </w:r>
            <w:r w:rsidRPr="004001D1">
              <w:rPr>
                <w:rFonts w:ascii="Arial" w:hAnsi="Arial"/>
                <w:sz w:val="22"/>
              </w:rPr>
              <w:t xml:space="preserve"> recommandation de l</w:t>
            </w:r>
            <w:r>
              <w:rPr>
                <w:rFonts w:ascii="Arial" w:hAnsi="Arial"/>
                <w:sz w:val="22"/>
              </w:rPr>
              <w:t>’</w:t>
            </w:r>
            <w:r w:rsidRPr="004001D1">
              <w:rPr>
                <w:rFonts w:ascii="Arial" w:hAnsi="Arial"/>
                <w:sz w:val="22"/>
              </w:rPr>
              <w:t>Organe d</w:t>
            </w:r>
            <w:r>
              <w:rPr>
                <w:rFonts w:ascii="Arial" w:hAnsi="Arial"/>
                <w:sz w:val="22"/>
              </w:rPr>
              <w:t>’</w:t>
            </w:r>
            <w:r w:rsidRPr="004001D1">
              <w:rPr>
                <w:rFonts w:ascii="Arial" w:hAnsi="Arial"/>
                <w:sz w:val="22"/>
              </w:rPr>
              <w:t xml:space="preserve">évaluation concernant </w:t>
            </w:r>
            <w:r>
              <w:rPr>
                <w:rFonts w:ascii="Arial" w:hAnsi="Arial"/>
                <w:sz w:val="22"/>
              </w:rPr>
              <w:t>une</w:t>
            </w:r>
            <w:r w:rsidRPr="004001D1">
              <w:rPr>
                <w:rFonts w:ascii="Arial" w:hAnsi="Arial"/>
                <w:sz w:val="22"/>
              </w:rPr>
              <w:t xml:space="preserve"> demande d</w:t>
            </w:r>
            <w:r>
              <w:rPr>
                <w:rFonts w:ascii="Arial" w:hAnsi="Arial"/>
                <w:sz w:val="22"/>
              </w:rPr>
              <w:t>’</w:t>
            </w:r>
            <w:r w:rsidRPr="004001D1">
              <w:rPr>
                <w:rFonts w:ascii="Arial" w:hAnsi="Arial"/>
                <w:sz w:val="22"/>
              </w:rPr>
              <w:t>assistance internationale (</w:t>
            </w:r>
            <w:r>
              <w:rPr>
                <w:rFonts w:ascii="Arial" w:hAnsi="Arial"/>
                <w:sz w:val="22"/>
              </w:rPr>
              <w:t>p</w:t>
            </w:r>
            <w:r w:rsidRPr="004001D1">
              <w:rPr>
                <w:rFonts w:ascii="Arial" w:hAnsi="Arial"/>
                <w:sz w:val="22"/>
              </w:rPr>
              <w:t xml:space="preserve">artie A) et un projet de décision </w:t>
            </w:r>
            <w:r>
              <w:rPr>
                <w:rFonts w:ascii="Arial" w:hAnsi="Arial"/>
                <w:sz w:val="22"/>
              </w:rPr>
              <w:t>pour considération</w:t>
            </w:r>
            <w:r w:rsidRPr="004001D1">
              <w:rPr>
                <w:rFonts w:ascii="Arial" w:hAnsi="Arial"/>
                <w:sz w:val="22"/>
              </w:rPr>
              <w:t xml:space="preserve"> par le Comité (partie B). Un aperçu des dossiers de 201</w:t>
            </w:r>
            <w:r>
              <w:rPr>
                <w:rFonts w:ascii="Arial" w:hAnsi="Arial"/>
                <w:sz w:val="22"/>
              </w:rPr>
              <w:t>9</w:t>
            </w:r>
            <w:r w:rsidRPr="004001D1">
              <w:rPr>
                <w:rFonts w:ascii="Arial" w:hAnsi="Arial"/>
                <w:sz w:val="22"/>
              </w:rPr>
              <w:t xml:space="preserve"> et </w:t>
            </w:r>
            <w:r>
              <w:rPr>
                <w:rFonts w:ascii="Arial" w:hAnsi="Arial"/>
                <w:sz w:val="22"/>
              </w:rPr>
              <w:t>l</w:t>
            </w:r>
            <w:r w:rsidRPr="004001D1">
              <w:rPr>
                <w:rFonts w:ascii="Arial" w:hAnsi="Arial"/>
                <w:sz w:val="22"/>
              </w:rPr>
              <w:t xml:space="preserve">es méthodes de travail de </w:t>
            </w:r>
            <w:r w:rsidRPr="00EE6CC6">
              <w:rPr>
                <w:rFonts w:ascii="Arial" w:hAnsi="Arial"/>
                <w:sz w:val="22"/>
              </w:rPr>
              <w:t xml:space="preserve">l’Organe d’évaluation sont présentés dans le </w:t>
            </w:r>
            <w:r w:rsidRPr="00BE32DB">
              <w:rPr>
                <w:rFonts w:ascii="Arial" w:hAnsi="Arial"/>
                <w:sz w:val="22"/>
              </w:rPr>
              <w:t>document</w:t>
            </w:r>
            <w:r w:rsidRPr="00BE32DB">
              <w:rPr>
                <w:rFonts w:ascii="Arial" w:hAnsi="Arial" w:cs="Arial"/>
                <w:sz w:val="22"/>
                <w:szCs w:val="22"/>
              </w:rPr>
              <w:t xml:space="preserve"> </w:t>
            </w:r>
            <w:hyperlink r:id="rId8" w:history="1">
              <w:r w:rsidRPr="00BE32DB">
                <w:rPr>
                  <w:rStyle w:val="Lienhypertexte"/>
                  <w:rFonts w:ascii="Arial" w:hAnsi="Arial" w:cs="Arial"/>
                  <w:sz w:val="22"/>
                  <w:szCs w:val="22"/>
                </w:rPr>
                <w:t>LHE/19/14.COM/10</w:t>
              </w:r>
            </w:hyperlink>
            <w:r w:rsidRPr="00BE32DB">
              <w:rPr>
                <w:rFonts w:ascii="Arial" w:hAnsi="Arial"/>
                <w:sz w:val="22"/>
              </w:rPr>
              <w:t>.</w:t>
            </w:r>
          </w:p>
          <w:p w:rsidR="008F09EC" w:rsidRPr="00B43974" w:rsidRDefault="002418B9" w:rsidP="00E64D6A">
            <w:pPr>
              <w:pStyle w:val="Sansinterligne1"/>
              <w:spacing w:before="200" w:after="200"/>
              <w:jc w:val="both"/>
              <w:rPr>
                <w:rFonts w:ascii="Arial" w:hAnsi="Arial" w:cs="Arial"/>
                <w:b/>
                <w:sz w:val="22"/>
                <w:szCs w:val="22"/>
              </w:rPr>
            </w:pPr>
            <w:r w:rsidRPr="00EE6CC6">
              <w:rPr>
                <w:rFonts w:ascii="Arial" w:hAnsi="Arial"/>
                <w:b/>
                <w:sz w:val="22"/>
              </w:rPr>
              <w:t xml:space="preserve">Décision requise : </w:t>
            </w:r>
            <w:r w:rsidRPr="00EE6CC6">
              <w:rPr>
                <w:rFonts w:ascii="Arial" w:hAnsi="Arial"/>
                <w:sz w:val="22"/>
              </w:rPr>
              <w:t>paragraphe 2</w:t>
            </w:r>
          </w:p>
        </w:tc>
      </w:tr>
    </w:tbl>
    <w:p w:rsidR="009B5302" w:rsidRDefault="00BC3420" w:rsidP="007E60C6">
      <w:pPr>
        <w:pStyle w:val="COMTitleDecision"/>
        <w:spacing w:before="360" w:after="240"/>
        <w:ind w:left="0"/>
      </w:pPr>
      <w:r w:rsidRPr="00022428">
        <w:br w:type="page"/>
      </w:r>
    </w:p>
    <w:p w:rsidR="00803104" w:rsidRPr="004001D1" w:rsidRDefault="00803104" w:rsidP="00803104">
      <w:pPr>
        <w:pStyle w:val="NoSpacing1"/>
        <w:keepNext/>
        <w:numPr>
          <w:ilvl w:val="0"/>
          <w:numId w:val="18"/>
        </w:numPr>
        <w:tabs>
          <w:tab w:val="left" w:pos="567"/>
        </w:tabs>
        <w:spacing w:after="240"/>
        <w:ind w:left="567" w:hanging="567"/>
        <w:jc w:val="both"/>
        <w:rPr>
          <w:rFonts w:ascii="Arial" w:hAnsi="Arial" w:cs="Arial"/>
          <w:b/>
        </w:rPr>
      </w:pPr>
      <w:bookmarkStart w:id="0" w:name="Recommendation"/>
      <w:r w:rsidRPr="004001D1">
        <w:rPr>
          <w:rFonts w:ascii="Arial" w:hAnsi="Arial"/>
          <w:b/>
        </w:rPr>
        <w:lastRenderedPageBreak/>
        <w:t>Recommandation</w:t>
      </w:r>
    </w:p>
    <w:p w:rsidR="0054720B" w:rsidRPr="004001D1" w:rsidRDefault="0054720B" w:rsidP="00803104">
      <w:pPr>
        <w:pStyle w:val="COMPara"/>
        <w:numPr>
          <w:ilvl w:val="0"/>
          <w:numId w:val="9"/>
        </w:numPr>
        <w:spacing w:before="240"/>
        <w:ind w:left="567" w:hanging="567"/>
        <w:jc w:val="both"/>
      </w:pPr>
      <w:bookmarkStart w:id="1" w:name="Recommends_that_the_committee_approve"/>
      <w:bookmarkStart w:id="2" w:name="Recommends_that_the_committee_refer"/>
      <w:bookmarkEnd w:id="0"/>
      <w:bookmarkEnd w:id="1"/>
      <w:bookmarkEnd w:id="2"/>
      <w:r w:rsidRPr="00631D5A">
        <w:t>L’Organe d’évaluation recommande au Comité d’approuver l</w:t>
      </w:r>
      <w:r>
        <w:t>a</w:t>
      </w:r>
      <w:r w:rsidRPr="00631D5A">
        <w:t xml:space="preserve"> demande d’assistance internationale suivante :</w:t>
      </w:r>
    </w:p>
    <w:tbl>
      <w:tblPr>
        <w:tblW w:w="9072" w:type="dxa"/>
        <w:tblInd w:w="62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702"/>
        <w:gridCol w:w="1417"/>
        <w:gridCol w:w="3687"/>
        <w:gridCol w:w="1315"/>
        <w:gridCol w:w="951"/>
      </w:tblGrid>
      <w:tr w:rsidR="00803104" w:rsidRPr="004001D1" w:rsidTr="00FF76A9">
        <w:trPr>
          <w:cantSplit/>
          <w:tblHeader/>
        </w:trPr>
        <w:tc>
          <w:tcPr>
            <w:tcW w:w="938" w:type="pct"/>
            <w:tcBorders>
              <w:top w:val="single" w:sz="4" w:space="0" w:color="auto"/>
              <w:bottom w:val="single" w:sz="4" w:space="0" w:color="auto"/>
              <w:right w:val="nil"/>
            </w:tcBorders>
            <w:shd w:val="clear" w:color="auto" w:fill="BFBFBF"/>
            <w:vAlign w:val="center"/>
          </w:tcPr>
          <w:p w:rsidR="00803104" w:rsidRPr="004001D1" w:rsidRDefault="00803104" w:rsidP="00FF76A9">
            <w:pPr>
              <w:spacing w:before="120" w:after="120"/>
              <w:jc w:val="center"/>
              <w:rPr>
                <w:rFonts w:ascii="Arial" w:hAnsi="Arial" w:cs="Arial"/>
                <w:sz w:val="22"/>
                <w:szCs w:val="22"/>
              </w:rPr>
            </w:pPr>
            <w:r w:rsidRPr="004001D1">
              <w:rPr>
                <w:rFonts w:ascii="Arial" w:hAnsi="Arial"/>
                <w:b/>
                <w:sz w:val="22"/>
              </w:rPr>
              <w:t>Projet de décision</w:t>
            </w:r>
          </w:p>
        </w:tc>
        <w:tc>
          <w:tcPr>
            <w:tcW w:w="781" w:type="pct"/>
            <w:tcBorders>
              <w:top w:val="single" w:sz="4" w:space="0" w:color="auto"/>
              <w:left w:val="nil"/>
              <w:bottom w:val="single" w:sz="4" w:space="0" w:color="auto"/>
            </w:tcBorders>
            <w:shd w:val="clear" w:color="auto" w:fill="BFBFBF"/>
            <w:vAlign w:val="center"/>
          </w:tcPr>
          <w:p w:rsidR="00803104" w:rsidRPr="004001D1" w:rsidRDefault="00803104" w:rsidP="00FF76A9">
            <w:pPr>
              <w:spacing w:before="120" w:after="120"/>
              <w:jc w:val="center"/>
              <w:rPr>
                <w:rFonts w:ascii="Arial" w:hAnsi="Arial" w:cs="Arial"/>
                <w:sz w:val="22"/>
                <w:szCs w:val="22"/>
              </w:rPr>
            </w:pPr>
            <w:r w:rsidRPr="004001D1">
              <w:rPr>
                <w:rFonts w:ascii="Arial" w:hAnsi="Arial"/>
                <w:b/>
                <w:sz w:val="22"/>
              </w:rPr>
              <w:t>État demandeur</w:t>
            </w:r>
          </w:p>
        </w:tc>
        <w:tc>
          <w:tcPr>
            <w:tcW w:w="2032" w:type="pct"/>
            <w:tcBorders>
              <w:top w:val="single" w:sz="4" w:space="0" w:color="auto"/>
              <w:bottom w:val="single" w:sz="4" w:space="0" w:color="auto"/>
            </w:tcBorders>
            <w:shd w:val="clear" w:color="auto" w:fill="BFBFBF"/>
            <w:vAlign w:val="center"/>
          </w:tcPr>
          <w:p w:rsidR="00803104" w:rsidRPr="004001D1" w:rsidRDefault="00803104" w:rsidP="00FF76A9">
            <w:pPr>
              <w:spacing w:before="120" w:after="120"/>
              <w:jc w:val="center"/>
              <w:rPr>
                <w:rFonts w:ascii="Arial" w:hAnsi="Arial" w:cs="Arial"/>
                <w:sz w:val="22"/>
                <w:szCs w:val="22"/>
              </w:rPr>
            </w:pPr>
            <w:r w:rsidRPr="004001D1">
              <w:rPr>
                <w:rFonts w:ascii="Arial" w:hAnsi="Arial"/>
                <w:b/>
                <w:sz w:val="22"/>
              </w:rPr>
              <w:t>Titre</w:t>
            </w:r>
          </w:p>
        </w:tc>
        <w:tc>
          <w:tcPr>
            <w:tcW w:w="725" w:type="pct"/>
            <w:tcBorders>
              <w:top w:val="single" w:sz="4" w:space="0" w:color="auto"/>
              <w:bottom w:val="single" w:sz="4" w:space="0" w:color="auto"/>
            </w:tcBorders>
            <w:shd w:val="clear" w:color="auto" w:fill="BFBFBF"/>
            <w:vAlign w:val="center"/>
          </w:tcPr>
          <w:p w:rsidR="00803104" w:rsidRPr="004001D1" w:rsidRDefault="00803104" w:rsidP="00FF76A9">
            <w:pPr>
              <w:spacing w:before="120" w:after="120"/>
              <w:jc w:val="center"/>
              <w:rPr>
                <w:rFonts w:ascii="Arial" w:hAnsi="Arial" w:cs="Arial"/>
                <w:b/>
                <w:bCs/>
                <w:sz w:val="22"/>
                <w:szCs w:val="22"/>
              </w:rPr>
            </w:pPr>
            <w:r w:rsidRPr="004001D1">
              <w:rPr>
                <w:rFonts w:ascii="Arial" w:hAnsi="Arial"/>
                <w:b/>
                <w:sz w:val="22"/>
              </w:rPr>
              <w:t>Montant demandé</w:t>
            </w:r>
          </w:p>
        </w:tc>
        <w:tc>
          <w:tcPr>
            <w:tcW w:w="524" w:type="pct"/>
            <w:tcBorders>
              <w:top w:val="single" w:sz="4" w:space="0" w:color="auto"/>
              <w:bottom w:val="single" w:sz="4" w:space="0" w:color="auto"/>
            </w:tcBorders>
            <w:shd w:val="clear" w:color="auto" w:fill="BFBFBF"/>
            <w:vAlign w:val="center"/>
          </w:tcPr>
          <w:p w:rsidR="00803104" w:rsidRPr="004001D1" w:rsidRDefault="00803104" w:rsidP="00FF76A9">
            <w:pPr>
              <w:spacing w:before="120" w:after="120"/>
              <w:jc w:val="center"/>
              <w:rPr>
                <w:rFonts w:ascii="Arial" w:hAnsi="Arial" w:cs="Arial"/>
                <w:sz w:val="22"/>
                <w:szCs w:val="22"/>
              </w:rPr>
            </w:pPr>
            <w:r w:rsidRPr="004001D1">
              <w:rPr>
                <w:rFonts w:ascii="Arial" w:hAnsi="Arial"/>
                <w:b/>
                <w:sz w:val="22"/>
              </w:rPr>
              <w:t>Dossier n°</w:t>
            </w:r>
          </w:p>
        </w:tc>
      </w:tr>
      <w:tr w:rsidR="00803104" w:rsidRPr="004001D1" w:rsidTr="00FF76A9">
        <w:trPr>
          <w:cantSplit/>
          <w:tblHeader/>
        </w:trPr>
        <w:tc>
          <w:tcPr>
            <w:tcW w:w="938" w:type="pct"/>
            <w:tcBorders>
              <w:top w:val="single" w:sz="4" w:space="0" w:color="auto"/>
              <w:bottom w:val="single" w:sz="4" w:space="0" w:color="auto"/>
              <w:right w:val="nil"/>
            </w:tcBorders>
          </w:tcPr>
          <w:p w:rsidR="00803104" w:rsidRPr="004001D1" w:rsidRDefault="005F5909" w:rsidP="008242AB">
            <w:pPr>
              <w:spacing w:before="120" w:after="120"/>
              <w:rPr>
                <w:rFonts w:ascii="Arial" w:hAnsi="Arial" w:cs="Arial"/>
                <w:sz w:val="22"/>
                <w:szCs w:val="22"/>
              </w:rPr>
            </w:pPr>
            <w:hyperlink w:anchor="Decision_10d" w:history="1">
              <w:r w:rsidR="000E7B50" w:rsidRPr="00980353">
                <w:rPr>
                  <w:rStyle w:val="Lienhypertexte"/>
                  <w:rFonts w:ascii="Arial" w:hAnsi="Arial"/>
                  <w:sz w:val="22"/>
                </w:rPr>
                <w:t>14.COM 10.d</w:t>
              </w:r>
            </w:hyperlink>
          </w:p>
        </w:tc>
        <w:tc>
          <w:tcPr>
            <w:tcW w:w="781" w:type="pct"/>
            <w:tcBorders>
              <w:top w:val="single" w:sz="4" w:space="0" w:color="auto"/>
              <w:left w:val="nil"/>
              <w:bottom w:val="single" w:sz="4" w:space="0" w:color="auto"/>
            </w:tcBorders>
          </w:tcPr>
          <w:p w:rsidR="00803104" w:rsidRPr="004001D1" w:rsidRDefault="0054720B" w:rsidP="00FF76A9">
            <w:pPr>
              <w:spacing w:before="120" w:after="120"/>
              <w:jc w:val="center"/>
              <w:rPr>
                <w:rFonts w:ascii="Arial" w:hAnsi="Arial" w:cs="Arial"/>
                <w:sz w:val="22"/>
                <w:szCs w:val="22"/>
              </w:rPr>
            </w:pPr>
            <w:r w:rsidRPr="00FF76A9">
              <w:rPr>
                <w:rFonts w:ascii="Arial" w:hAnsi="Arial" w:cs="Arial"/>
                <w:sz w:val="22"/>
                <w:szCs w:val="22"/>
              </w:rPr>
              <w:t>Burkina Faso</w:t>
            </w:r>
          </w:p>
        </w:tc>
        <w:tc>
          <w:tcPr>
            <w:tcW w:w="2032" w:type="pct"/>
            <w:tcBorders>
              <w:top w:val="single" w:sz="4" w:space="0" w:color="auto"/>
              <w:bottom w:val="single" w:sz="4" w:space="0" w:color="auto"/>
            </w:tcBorders>
          </w:tcPr>
          <w:p w:rsidR="00803104" w:rsidRPr="008242AB" w:rsidRDefault="003E40A6" w:rsidP="00FF76A9">
            <w:pPr>
              <w:spacing w:before="120" w:after="120"/>
              <w:rPr>
                <w:rFonts w:ascii="Arial" w:hAnsi="Arial" w:cs="Arial"/>
                <w:sz w:val="22"/>
                <w:szCs w:val="22"/>
              </w:rPr>
            </w:pPr>
            <w:r w:rsidRPr="008242AB">
              <w:rPr>
                <w:rFonts w:ascii="Arial" w:hAnsi="Arial" w:cs="Arial"/>
                <w:sz w:val="22"/>
                <w:szCs w:val="22"/>
              </w:rPr>
              <w:t>Renforcement des capacités des acteurs intervenant dans la sauvegarde du patrimoine culturel immatériel au Burkina Faso</w:t>
            </w:r>
          </w:p>
        </w:tc>
        <w:tc>
          <w:tcPr>
            <w:tcW w:w="725" w:type="pct"/>
            <w:tcBorders>
              <w:top w:val="single" w:sz="4" w:space="0" w:color="auto"/>
              <w:bottom w:val="single" w:sz="4" w:space="0" w:color="auto"/>
            </w:tcBorders>
          </w:tcPr>
          <w:p w:rsidR="00803104" w:rsidRDefault="00C42659" w:rsidP="00FF76A9">
            <w:pPr>
              <w:spacing w:before="120"/>
              <w:jc w:val="center"/>
              <w:rPr>
                <w:rFonts w:ascii="Arial" w:hAnsi="Arial"/>
                <w:sz w:val="22"/>
              </w:rPr>
            </w:pPr>
            <w:r w:rsidRPr="00C42659">
              <w:rPr>
                <w:rFonts w:ascii="Arial" w:hAnsi="Arial" w:cs="Arial"/>
                <w:sz w:val="22"/>
                <w:szCs w:val="22"/>
              </w:rPr>
              <w:t>387</w:t>
            </w:r>
            <w:r>
              <w:rPr>
                <w:rFonts w:ascii="Arial" w:hAnsi="Arial" w:cs="Arial"/>
                <w:sz w:val="22"/>
                <w:szCs w:val="22"/>
              </w:rPr>
              <w:t> </w:t>
            </w:r>
            <w:r w:rsidRPr="00C42659">
              <w:rPr>
                <w:rFonts w:ascii="Arial" w:hAnsi="Arial" w:cs="Arial"/>
                <w:sz w:val="22"/>
                <w:szCs w:val="22"/>
              </w:rPr>
              <w:t>770</w:t>
            </w:r>
            <w:bookmarkStart w:id="3" w:name="_GoBack"/>
            <w:bookmarkEnd w:id="3"/>
          </w:p>
          <w:p w:rsidR="00803104" w:rsidRPr="004001D1" w:rsidRDefault="00803104" w:rsidP="00FF76A9">
            <w:pPr>
              <w:spacing w:before="120" w:after="120"/>
              <w:contextualSpacing/>
              <w:jc w:val="center"/>
              <w:rPr>
                <w:rFonts w:ascii="Arial" w:hAnsi="Arial" w:cs="Arial"/>
                <w:sz w:val="22"/>
                <w:szCs w:val="22"/>
              </w:rPr>
            </w:pPr>
            <w:r w:rsidRPr="004001D1">
              <w:rPr>
                <w:rFonts w:ascii="Arial" w:hAnsi="Arial"/>
                <w:sz w:val="22"/>
              </w:rPr>
              <w:t>dollars des États-Unis</w:t>
            </w:r>
          </w:p>
        </w:tc>
        <w:tc>
          <w:tcPr>
            <w:tcW w:w="524" w:type="pct"/>
            <w:tcBorders>
              <w:top w:val="single" w:sz="4" w:space="0" w:color="auto"/>
              <w:bottom w:val="single" w:sz="4" w:space="0" w:color="auto"/>
            </w:tcBorders>
          </w:tcPr>
          <w:p w:rsidR="00803104" w:rsidRPr="004001D1" w:rsidRDefault="005F5909" w:rsidP="00FF76A9">
            <w:pPr>
              <w:spacing w:before="120" w:after="120"/>
              <w:jc w:val="center"/>
              <w:rPr>
                <w:rFonts w:ascii="Arial" w:hAnsi="Arial" w:cs="Arial"/>
                <w:bCs/>
                <w:sz w:val="22"/>
                <w:szCs w:val="22"/>
              </w:rPr>
            </w:pPr>
            <w:hyperlink r:id="rId9" w:anchor="10.d.1" w:history="1">
              <w:r w:rsidR="003E40A6" w:rsidRPr="00B5109C">
                <w:rPr>
                  <w:rStyle w:val="Lienhypertexte"/>
                  <w:rFonts w:ascii="Arial" w:hAnsi="Arial" w:cs="Arial"/>
                  <w:sz w:val="22"/>
                  <w:szCs w:val="22"/>
                </w:rPr>
                <w:t>01501</w:t>
              </w:r>
            </w:hyperlink>
          </w:p>
        </w:tc>
      </w:tr>
    </w:tbl>
    <w:p w:rsidR="00803104" w:rsidRPr="00EE6CC6" w:rsidRDefault="00803104" w:rsidP="00803104">
      <w:pPr>
        <w:pStyle w:val="NoSpacing1"/>
        <w:keepNext/>
        <w:numPr>
          <w:ilvl w:val="0"/>
          <w:numId w:val="18"/>
        </w:numPr>
        <w:tabs>
          <w:tab w:val="left" w:pos="567"/>
        </w:tabs>
        <w:spacing w:before="360" w:after="240"/>
        <w:ind w:hanging="930"/>
        <w:jc w:val="both"/>
        <w:rPr>
          <w:rFonts w:ascii="Arial" w:hAnsi="Arial" w:cs="Arial"/>
          <w:b/>
        </w:rPr>
      </w:pPr>
      <w:r w:rsidRPr="00EE6CC6">
        <w:rPr>
          <w:rFonts w:ascii="Arial" w:hAnsi="Arial"/>
          <w:b/>
        </w:rPr>
        <w:t>Projet de décision</w:t>
      </w:r>
    </w:p>
    <w:p w:rsidR="00803104" w:rsidRPr="00EE6CC6" w:rsidRDefault="00803104" w:rsidP="00803104">
      <w:pPr>
        <w:pStyle w:val="DocMain"/>
        <w:keepNext/>
        <w:numPr>
          <w:ilvl w:val="0"/>
          <w:numId w:val="9"/>
        </w:numPr>
        <w:tabs>
          <w:tab w:val="left" w:pos="567"/>
        </w:tabs>
        <w:ind w:left="567" w:hanging="567"/>
      </w:pPr>
      <w:bookmarkStart w:id="4" w:name="_DRAFT_DECISION_10.COM"/>
      <w:bookmarkEnd w:id="4"/>
      <w:r w:rsidRPr="00EE6CC6">
        <w:t>Le Comité souhaitera peut-être adopter la décision suivante :</w:t>
      </w:r>
    </w:p>
    <w:p w:rsidR="00803104" w:rsidRPr="00EE6CC6" w:rsidRDefault="00803104" w:rsidP="00803104">
      <w:pPr>
        <w:pStyle w:val="Titre2"/>
        <w:spacing w:before="360" w:after="120"/>
        <w:ind w:left="567"/>
        <w:rPr>
          <w:rFonts w:ascii="Arial" w:hAnsi="Arial" w:cs="Arial"/>
          <w:bCs w:val="0"/>
          <w:i w:val="0"/>
          <w:iCs w:val="0"/>
          <w:sz w:val="22"/>
          <w:szCs w:val="22"/>
        </w:rPr>
      </w:pPr>
      <w:bookmarkStart w:id="5" w:name="Decision_10d"/>
      <w:r w:rsidRPr="00EE6CC6">
        <w:rPr>
          <w:rFonts w:ascii="Arial" w:hAnsi="Arial"/>
          <w:i w:val="0"/>
          <w:sz w:val="22"/>
        </w:rPr>
        <w:t>PROJET DE DÉCISION 1</w:t>
      </w:r>
      <w:r w:rsidR="009D3AB1" w:rsidRPr="00EE6CC6">
        <w:rPr>
          <w:rFonts w:ascii="Arial" w:hAnsi="Arial"/>
          <w:i w:val="0"/>
          <w:sz w:val="22"/>
        </w:rPr>
        <w:t>4</w:t>
      </w:r>
      <w:r w:rsidRPr="00EE6CC6">
        <w:rPr>
          <w:rFonts w:ascii="Arial" w:hAnsi="Arial"/>
          <w:i w:val="0"/>
          <w:sz w:val="22"/>
        </w:rPr>
        <w:t>.COM 10.d</w:t>
      </w:r>
      <w:bookmarkEnd w:id="5"/>
      <w:r w:rsidRPr="00EE6CC6">
        <w:tab/>
      </w:r>
      <w:r w:rsidRPr="00EE6CC6">
        <w:rPr>
          <w:rFonts w:ascii="Arial" w:hAnsi="Arial" w:cs="Arial"/>
          <w:noProof/>
          <w:sz w:val="22"/>
          <w:szCs w:val="22"/>
          <w:lang w:eastAsia="ja-JP"/>
        </w:rPr>
        <w:drawing>
          <wp:inline distT="0" distB="0" distL="0" distR="0" wp14:anchorId="5B82FCA1" wp14:editId="4B2286ED">
            <wp:extent cx="104775" cy="104775"/>
            <wp:effectExtent l="0" t="0" r="9525" b="9525"/>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803104" w:rsidRPr="00EE6CC6" w:rsidRDefault="00803104" w:rsidP="00803104">
      <w:pPr>
        <w:keepNext/>
        <w:tabs>
          <w:tab w:val="left" w:pos="567"/>
          <w:tab w:val="left" w:pos="1134"/>
          <w:tab w:val="left" w:pos="1701"/>
          <w:tab w:val="left" w:pos="2268"/>
        </w:tabs>
        <w:spacing w:before="120" w:after="120"/>
        <w:ind w:left="567"/>
        <w:jc w:val="both"/>
        <w:rPr>
          <w:rFonts w:ascii="Arial" w:eastAsia="SimSun" w:hAnsi="Arial" w:cs="Arial"/>
          <w:sz w:val="22"/>
          <w:szCs w:val="22"/>
        </w:rPr>
      </w:pPr>
      <w:r w:rsidRPr="00EE6CC6">
        <w:rPr>
          <w:rFonts w:ascii="Arial" w:hAnsi="Arial" w:cs="Arial"/>
          <w:sz w:val="22"/>
          <w:szCs w:val="22"/>
        </w:rPr>
        <w:t>Le Comité,</w:t>
      </w:r>
    </w:p>
    <w:p w:rsidR="00C9471A" w:rsidRPr="00EE6CC6" w:rsidRDefault="00C9471A" w:rsidP="00E33C27">
      <w:pPr>
        <w:pStyle w:val="Style1"/>
        <w:ind w:left="1134"/>
      </w:pPr>
      <w:r w:rsidRPr="00EE6CC6">
        <w:rPr>
          <w:u w:val="single"/>
        </w:rPr>
        <w:t>Rappelant</w:t>
      </w:r>
      <w:r w:rsidRPr="00EE6CC6">
        <w:t xml:space="preserve"> l’article 23 de la Convention ainsi que le chapitre I.4 des Directives opérationnelles </w:t>
      </w:r>
      <w:r w:rsidR="003A6A27" w:rsidRPr="00EE6CC6">
        <w:t xml:space="preserve">relatifs à l’admissibilité et aux critères </w:t>
      </w:r>
      <w:r w:rsidRPr="00EE6CC6">
        <w:t>des demandes d’assistance internationale,</w:t>
      </w:r>
    </w:p>
    <w:p w:rsidR="00C9471A" w:rsidRPr="00EE6CC6" w:rsidRDefault="00C9471A" w:rsidP="00E33C27">
      <w:pPr>
        <w:pStyle w:val="Style1"/>
        <w:ind w:left="1134"/>
        <w:rPr>
          <w:u w:val="single"/>
        </w:rPr>
      </w:pPr>
      <w:r w:rsidRPr="00EE6CC6">
        <w:rPr>
          <w:u w:val="single"/>
        </w:rPr>
        <w:t>Ayant examiné</w:t>
      </w:r>
      <w:r w:rsidRPr="00EE6CC6">
        <w:t xml:space="preserve"> le document </w:t>
      </w:r>
      <w:r w:rsidR="006632EA" w:rsidRPr="00EE6CC6">
        <w:t>LHE/19/14.COM/</w:t>
      </w:r>
      <w:proofErr w:type="gramStart"/>
      <w:r w:rsidR="006632EA" w:rsidRPr="00EE6CC6">
        <w:t>10.d</w:t>
      </w:r>
      <w:proofErr w:type="gramEnd"/>
      <w:r w:rsidRPr="00EE6CC6">
        <w:t xml:space="preserve"> ainsi que la demande d’assistance internationale n°01501 soumise par le Burkina Faso,</w:t>
      </w:r>
    </w:p>
    <w:p w:rsidR="00C9471A" w:rsidRPr="00EE6CC6" w:rsidRDefault="00C9471A" w:rsidP="00E33C27">
      <w:pPr>
        <w:pStyle w:val="Style1"/>
        <w:ind w:left="1134"/>
      </w:pPr>
      <w:r w:rsidRPr="00EE6CC6">
        <w:rPr>
          <w:u w:val="single"/>
        </w:rPr>
        <w:t>Prend note</w:t>
      </w:r>
      <w:r w:rsidRPr="00EE6CC6">
        <w:t xml:space="preserve"> que le Burkina Faso a demandé une assistance internationale pour le projet intitulé </w:t>
      </w:r>
      <w:r w:rsidRPr="00EE6CC6">
        <w:rPr>
          <w:b/>
        </w:rPr>
        <w:t>Renforcement des capacités des acteurs intervenant dans la sauvegarde du patrimoine culturel immatériel au Burkina Faso</w:t>
      </w:r>
      <w:r w:rsidRPr="00EE6CC6">
        <w:t> :</w:t>
      </w:r>
    </w:p>
    <w:p w:rsidR="00C9471A" w:rsidRDefault="00C9471A" w:rsidP="00E33C27">
      <w:pPr>
        <w:pStyle w:val="Style1"/>
        <w:numPr>
          <w:ilvl w:val="0"/>
          <w:numId w:val="0"/>
        </w:numPr>
        <w:ind w:left="1134"/>
      </w:pPr>
      <w:r w:rsidRPr="00EE6CC6">
        <w:t xml:space="preserve">Le projet proposé, d’une durée de vingt-quatre mois, vise à renforcer les capacités des acteurs intervenant dans la sauvegarde du patrimoine culturel immatériel au Burkina Faso. Un inventaire réalisé dans le cadre de la mise en œuvre de la Convention a mis en évidence la nécessité de constituer une masse critique d’acteurs capables d’intervenir dans l’ensemble du processus de sauvegarde du patrimoine vivant à l’échelle nationale. Dans ce contexte, ce projet porte sur la formation des formateurs : il devrait permettre la création d’une équipe de 10 facilitateurs nationaux qui assureront la formation de 225 acteurs locaux. Plus précisément, il répond aux objectifs suivants : mise en place d’un programme de formation sur la sauvegarde du patrimoine vivant ; production et diffusion d’informations et d’outils de communication pour garantir la bonne compréhension du concept de patrimoine culturel immatériel et </w:t>
      </w:r>
      <w:r w:rsidR="0004205A" w:rsidRPr="00EE6CC6">
        <w:t>son application dans les</w:t>
      </w:r>
      <w:r w:rsidRPr="00EE6CC6">
        <w:t xml:space="preserve"> politiques publiques locales; et création d’un réseau de facilitateurs et d’autres acteurs qui soutiendra la mise en œuvre de la Convention au niveau local. Le projet se déroulera en deux phases. La première</w:t>
      </w:r>
      <w:r w:rsidR="0004205A" w:rsidRPr="00EE6CC6">
        <w:t xml:space="preserve"> étape de douze mois</w:t>
      </w:r>
      <w:r w:rsidRPr="00EE6CC6">
        <w:t xml:space="preserve"> consistera à former 110 personnes parmi lesquelles seront sélectionnés dix facilitateurs nationaux. Deux experts internationaux du patrimoine vivant seront invités à participer à ce processus. Pendant la seconde phase, les dix facilitateurs formeront 225 personnes dans le cadre de neufs ateliers régionaux. Il est attendu que ces acteurs travaillent ensuite en concertation avec les communautés locales pour assurer la sauvegarde du pat</w:t>
      </w:r>
      <w:r w:rsidR="00A041FD">
        <w:t>rimoine vivant au niveau local.</w:t>
      </w:r>
    </w:p>
    <w:p w:rsidR="008D463B" w:rsidRDefault="008D463B" w:rsidP="007044BC">
      <w:pPr>
        <w:pStyle w:val="Style1"/>
        <w:keepNext/>
        <w:ind w:left="1134"/>
      </w:pPr>
      <w:r w:rsidRPr="00EE6CC6">
        <w:rPr>
          <w:u w:val="single"/>
        </w:rPr>
        <w:lastRenderedPageBreak/>
        <w:t>Prend note en outre</w:t>
      </w:r>
      <w:r w:rsidRPr="00EE6CC6">
        <w:t xml:space="preserve"> que cette assistance concerne l’appui à un projet mis en œuvre au niveau national, conformément à l’article 20 (c) de la Convention, et qu’elle prend la forme d'</w:t>
      </w:r>
      <w:r w:rsidRPr="00EE6CC6">
        <w:rPr>
          <w:b/>
        </w:rPr>
        <w:t>octroi d’un don</w:t>
      </w:r>
      <w:r w:rsidRPr="00EE6CC6">
        <w:t>, conformément à l’article 21 (g) de la Convention ;</w:t>
      </w:r>
    </w:p>
    <w:p w:rsidR="00C9471A" w:rsidRPr="00EE6CC6" w:rsidRDefault="00C9471A" w:rsidP="00E33C27">
      <w:pPr>
        <w:pStyle w:val="Style1"/>
        <w:keepNext/>
        <w:ind w:left="1134"/>
      </w:pPr>
      <w:r w:rsidRPr="00EE6CC6">
        <w:rPr>
          <w:u w:val="single"/>
        </w:rPr>
        <w:t>Prend note</w:t>
      </w:r>
      <w:r w:rsidR="002C0A7D" w:rsidRPr="00EE6CC6">
        <w:rPr>
          <w:u w:val="single"/>
        </w:rPr>
        <w:t xml:space="preserve"> également</w:t>
      </w:r>
      <w:r w:rsidRPr="00EE6CC6">
        <w:t xml:space="preserve"> que le Burkina Faso a demandé une allocation d'un montant de 387 770 dollars des États-Unis du Fonds du patrimoine culturel immatériel pour la mise en œuvre de ce projet ;</w:t>
      </w:r>
    </w:p>
    <w:p w:rsidR="00C9471A" w:rsidRPr="00EE6CC6" w:rsidRDefault="005C2DC2" w:rsidP="00E33C27">
      <w:pPr>
        <w:pStyle w:val="Style1"/>
        <w:keepNext/>
        <w:ind w:left="1134"/>
      </w:pPr>
      <w:r w:rsidRPr="00EE6CC6">
        <w:rPr>
          <w:u w:val="single"/>
        </w:rPr>
        <w:t>Estime</w:t>
      </w:r>
      <w:r w:rsidRPr="00EE6CC6">
        <w:t xml:space="preserve"> </w:t>
      </w:r>
      <w:r w:rsidR="00C9471A" w:rsidRPr="00EE6CC6">
        <w:t>que, d’après les informations contenues dans le dossier, la demande satisfait aux critères d’octroi de l’assistance internationale énoncés aux paragraphes 10 et 12 des Directives opérationnelles comme suit :</w:t>
      </w:r>
    </w:p>
    <w:p w:rsidR="00292CDB" w:rsidRPr="00EE6CC6" w:rsidRDefault="00C9471A" w:rsidP="00E33C27">
      <w:pPr>
        <w:tabs>
          <w:tab w:val="left" w:pos="1134"/>
          <w:tab w:val="left" w:pos="1701"/>
          <w:tab w:val="left" w:pos="2268"/>
        </w:tabs>
        <w:spacing w:before="120" w:after="120"/>
        <w:ind w:left="1134"/>
        <w:jc w:val="both"/>
        <w:rPr>
          <w:rFonts w:ascii="Arial" w:hAnsi="Arial" w:cs="Arial"/>
          <w:b/>
          <w:bCs/>
          <w:sz w:val="22"/>
          <w:szCs w:val="22"/>
        </w:rPr>
      </w:pPr>
      <w:r w:rsidRPr="00EE6CC6">
        <w:rPr>
          <w:rFonts w:ascii="Arial" w:hAnsi="Arial" w:cs="Arial"/>
          <w:b/>
          <w:bCs/>
          <w:sz w:val="22"/>
          <w:szCs w:val="22"/>
        </w:rPr>
        <w:t>Critère A.1 </w:t>
      </w:r>
      <w:r w:rsidRPr="00EE6CC6">
        <w:rPr>
          <w:rFonts w:ascii="Arial" w:hAnsi="Arial" w:cs="Arial"/>
          <w:sz w:val="22"/>
          <w:szCs w:val="22"/>
        </w:rPr>
        <w:t xml:space="preserve">: Le Conseil supérieur des chefs traditionnels et coutumiers du Burkina Faso, organisation qui réunit l’ensemble des chefs traditionnels et coutumiers du pays, a participé à l’ensemble du processus d’élaboration du projet au nom de toutes les communautés qu’il représente. Le projet a aussi fait l’objet de discussions avec des associations et des </w:t>
      </w:r>
      <w:r w:rsidR="00412741" w:rsidRPr="00EE6CC6">
        <w:rPr>
          <w:rFonts w:ascii="Arial" w:hAnsi="Arial" w:cs="Arial"/>
          <w:sz w:val="22"/>
          <w:szCs w:val="22"/>
        </w:rPr>
        <w:t>organisations non gouvernementales</w:t>
      </w:r>
      <w:r w:rsidRPr="00EE6CC6">
        <w:rPr>
          <w:rFonts w:ascii="Arial" w:hAnsi="Arial" w:cs="Arial"/>
          <w:sz w:val="22"/>
          <w:szCs w:val="22"/>
        </w:rPr>
        <w:t xml:space="preserve"> impliquées dans la sauvegarde du patrimoine culturel immatériel. Les activités seront mises en œuvre pour et par les membres des communautés concernées, y compris des femmes et des jeunes. </w:t>
      </w:r>
      <w:r w:rsidR="0004205A" w:rsidRPr="00EE6CC6">
        <w:rPr>
          <w:rFonts w:ascii="Arial" w:hAnsi="Arial" w:cs="Arial"/>
          <w:sz w:val="22"/>
          <w:szCs w:val="22"/>
        </w:rPr>
        <w:t>Bien que l</w:t>
      </w:r>
      <w:r w:rsidRPr="00EE6CC6">
        <w:rPr>
          <w:rFonts w:ascii="Arial" w:hAnsi="Arial" w:cs="Arial"/>
          <w:sz w:val="22"/>
          <w:szCs w:val="22"/>
        </w:rPr>
        <w:t>es facilitateurs de la première phase ne seront pas nécessairement des membres des communautés en question</w:t>
      </w:r>
      <w:r w:rsidR="00646847" w:rsidRPr="00EE6CC6">
        <w:rPr>
          <w:rFonts w:ascii="Arial" w:hAnsi="Arial" w:cs="Arial"/>
          <w:sz w:val="22"/>
          <w:szCs w:val="22"/>
        </w:rPr>
        <w:t>, l</w:t>
      </w:r>
      <w:r w:rsidR="0004205A" w:rsidRPr="00EE6CC6">
        <w:rPr>
          <w:rFonts w:ascii="Arial" w:hAnsi="Arial" w:cs="Arial"/>
          <w:sz w:val="22"/>
          <w:szCs w:val="22"/>
        </w:rPr>
        <w:t>ors de la seconde phase les facilitateurs seront issus des communautés sélectionnées lors de la première phase.</w:t>
      </w:r>
    </w:p>
    <w:p w:rsidR="00C9471A" w:rsidRPr="00EE6CC6" w:rsidRDefault="00C9471A" w:rsidP="00E33C27">
      <w:pPr>
        <w:tabs>
          <w:tab w:val="left" w:pos="1134"/>
          <w:tab w:val="left" w:pos="1701"/>
          <w:tab w:val="left" w:pos="2268"/>
        </w:tabs>
        <w:spacing w:before="120" w:after="120"/>
        <w:ind w:left="1134"/>
        <w:jc w:val="both"/>
        <w:rPr>
          <w:rFonts w:ascii="Arial" w:hAnsi="Arial" w:cs="Arial"/>
          <w:sz w:val="22"/>
          <w:szCs w:val="22"/>
        </w:rPr>
      </w:pPr>
      <w:r w:rsidRPr="00EE6CC6">
        <w:rPr>
          <w:rFonts w:ascii="Arial" w:hAnsi="Arial" w:cs="Arial"/>
          <w:b/>
          <w:bCs/>
          <w:sz w:val="22"/>
          <w:szCs w:val="22"/>
        </w:rPr>
        <w:t>Critère A.2 </w:t>
      </w:r>
      <w:r w:rsidRPr="00EE6CC6">
        <w:rPr>
          <w:rFonts w:ascii="Arial" w:hAnsi="Arial" w:cs="Arial"/>
          <w:sz w:val="22"/>
          <w:szCs w:val="22"/>
        </w:rPr>
        <w:t>: Le budget est détaillé et adapté. Il présente clairement les dépenses associées aux activités, qui sont précisément décrites. Les montants prévus sont suffisants pour garantir la mise en œuvre du projet. La grande majorité des fonds (89 %) sera consacrée aux formations qui constituent le cœur du projet. Les 11 % restants seront alloués au suivi du projet, à la préparation des rapports et à la campagne de communication.</w:t>
      </w:r>
    </w:p>
    <w:p w:rsidR="00C9471A" w:rsidRPr="00EE6CC6" w:rsidRDefault="00C9471A" w:rsidP="00E33C27">
      <w:pPr>
        <w:tabs>
          <w:tab w:val="left" w:pos="1134"/>
          <w:tab w:val="left" w:pos="1701"/>
          <w:tab w:val="left" w:pos="2268"/>
        </w:tabs>
        <w:spacing w:before="120" w:after="120"/>
        <w:ind w:left="1134"/>
        <w:jc w:val="both"/>
        <w:rPr>
          <w:rFonts w:ascii="Arial" w:hAnsi="Arial" w:cs="Arial"/>
          <w:sz w:val="22"/>
          <w:szCs w:val="22"/>
        </w:rPr>
      </w:pPr>
      <w:r w:rsidRPr="00EE6CC6">
        <w:rPr>
          <w:rFonts w:ascii="Arial" w:hAnsi="Arial" w:cs="Arial"/>
          <w:b/>
          <w:bCs/>
          <w:sz w:val="22"/>
          <w:szCs w:val="22"/>
        </w:rPr>
        <w:t>Critère</w:t>
      </w:r>
      <w:r w:rsidRPr="00EE6CC6">
        <w:rPr>
          <w:rFonts w:ascii="Arial" w:hAnsi="Arial" w:cs="Arial"/>
          <w:sz w:val="22"/>
          <w:szCs w:val="22"/>
        </w:rPr>
        <w:t xml:space="preserve"> </w:t>
      </w:r>
      <w:r w:rsidRPr="00EE6CC6">
        <w:rPr>
          <w:rFonts w:ascii="Arial" w:hAnsi="Arial" w:cs="Arial"/>
          <w:b/>
          <w:bCs/>
          <w:sz w:val="22"/>
          <w:szCs w:val="22"/>
        </w:rPr>
        <w:t>A.3</w:t>
      </w:r>
      <w:r w:rsidRPr="00EE6CC6">
        <w:rPr>
          <w:rFonts w:ascii="Arial" w:hAnsi="Arial" w:cs="Arial"/>
          <w:sz w:val="22"/>
          <w:szCs w:val="22"/>
        </w:rPr>
        <w:t> : Les activités proposées, bien qu’ambitieuses, correspondent aux objectifs et aux résultats escomptés du projet. Elles sont réalisables selon le calendrier proposé. Elles sont présentées comme la prochaine étape pratique de la sauvegarde du patrimoine culturel</w:t>
      </w:r>
      <w:r w:rsidR="00646847" w:rsidRPr="00EE6CC6">
        <w:rPr>
          <w:rFonts w:ascii="Arial" w:hAnsi="Arial" w:cs="Arial"/>
          <w:sz w:val="22"/>
          <w:szCs w:val="22"/>
        </w:rPr>
        <w:t xml:space="preserve"> immatériel</w:t>
      </w:r>
      <w:r w:rsidRPr="00EE6CC6">
        <w:rPr>
          <w:rFonts w:ascii="Arial" w:hAnsi="Arial" w:cs="Arial"/>
          <w:sz w:val="22"/>
          <w:szCs w:val="22"/>
        </w:rPr>
        <w:t xml:space="preserve"> au Burkina Faso</w:t>
      </w:r>
      <w:r w:rsidR="00496D36" w:rsidRPr="00EE6CC6">
        <w:rPr>
          <w:rFonts w:ascii="Arial" w:hAnsi="Arial" w:cs="Arial"/>
          <w:sz w:val="22"/>
          <w:szCs w:val="22"/>
        </w:rPr>
        <w:t>,</w:t>
      </w:r>
      <w:r w:rsidR="0083360B" w:rsidRPr="00EE6CC6">
        <w:rPr>
          <w:rFonts w:ascii="Arial" w:hAnsi="Arial" w:cs="Arial"/>
          <w:sz w:val="22"/>
          <w:szCs w:val="22"/>
        </w:rPr>
        <w:t xml:space="preserve"> </w:t>
      </w:r>
      <w:r w:rsidRPr="00EE6CC6">
        <w:rPr>
          <w:rFonts w:ascii="Arial" w:hAnsi="Arial" w:cs="Arial"/>
          <w:sz w:val="22"/>
          <w:szCs w:val="22"/>
        </w:rPr>
        <w:t>car elles tiennent compte des expériences nationales précédentes et des problèmes déjà rencontrés. La mise en œuvre du projet sera assurée par un comité d’examen et une unité de gestion. Ces entités seront également chargées du suivi et de l’évaluation, qui reposent également sur des mécanismes clairs. En outre, le projet s’inscrit dans le cadre du Plan stratégique pour le développement du patrimoine culturel du Burkina Faso</w:t>
      </w:r>
      <w:r w:rsidR="00496D36" w:rsidRPr="00EE6CC6">
        <w:rPr>
          <w:rFonts w:ascii="Arial" w:hAnsi="Arial" w:cs="Arial"/>
          <w:sz w:val="22"/>
          <w:szCs w:val="22"/>
        </w:rPr>
        <w:t>, qui couvre la période de 2019 à 2028</w:t>
      </w:r>
      <w:r w:rsidRPr="00EE6CC6">
        <w:rPr>
          <w:rFonts w:ascii="Arial" w:hAnsi="Arial" w:cs="Arial"/>
          <w:sz w:val="22"/>
          <w:szCs w:val="22"/>
        </w:rPr>
        <w:t>. Il inclut la participation d’autorités nationales, régionales et locales, mais aussi d’</w:t>
      </w:r>
      <w:r w:rsidR="00412741" w:rsidRPr="00EE6CC6">
        <w:rPr>
          <w:rFonts w:ascii="Arial" w:hAnsi="Arial" w:cs="Arial"/>
          <w:sz w:val="22"/>
          <w:szCs w:val="22"/>
        </w:rPr>
        <w:t>organisations non gouvernementales</w:t>
      </w:r>
      <w:r w:rsidRPr="00EE6CC6">
        <w:rPr>
          <w:rFonts w:ascii="Arial" w:hAnsi="Arial" w:cs="Arial"/>
          <w:sz w:val="22"/>
          <w:szCs w:val="22"/>
        </w:rPr>
        <w:t xml:space="preserve"> et d’organisations locales.</w:t>
      </w:r>
    </w:p>
    <w:p w:rsidR="00C9471A" w:rsidRPr="00EE6CC6" w:rsidRDefault="00C9471A" w:rsidP="00E33C27">
      <w:pPr>
        <w:tabs>
          <w:tab w:val="left" w:pos="1134"/>
          <w:tab w:val="left" w:pos="1701"/>
          <w:tab w:val="left" w:pos="2268"/>
        </w:tabs>
        <w:spacing w:before="120" w:after="120"/>
        <w:ind w:left="1134"/>
        <w:jc w:val="both"/>
        <w:rPr>
          <w:rFonts w:ascii="Arial" w:hAnsi="Arial" w:cs="Arial"/>
          <w:sz w:val="22"/>
          <w:szCs w:val="22"/>
        </w:rPr>
      </w:pPr>
      <w:r w:rsidRPr="00EE6CC6">
        <w:rPr>
          <w:rFonts w:ascii="Arial" w:hAnsi="Arial" w:cs="Arial"/>
          <w:b/>
          <w:bCs/>
          <w:sz w:val="22"/>
          <w:szCs w:val="22"/>
        </w:rPr>
        <w:t>Critère A.4</w:t>
      </w:r>
      <w:r w:rsidRPr="00EE6CC6">
        <w:rPr>
          <w:rFonts w:ascii="Arial" w:hAnsi="Arial" w:cs="Arial"/>
          <w:sz w:val="22"/>
          <w:szCs w:val="22"/>
        </w:rPr>
        <w:t xml:space="preserve"> : Le programme de formation vise à établir un vaste réseau d’acteurs disposant des outils appropriés pour assurer la sauvegarde du patrimoine culturel immatériel, ainsi qu’une équipe de facilitateurs à même </w:t>
      </w:r>
      <w:r w:rsidR="00646847" w:rsidRPr="00EE6CC6">
        <w:rPr>
          <w:rFonts w:ascii="Arial" w:hAnsi="Arial" w:cs="Arial"/>
          <w:sz w:val="22"/>
          <w:szCs w:val="22"/>
        </w:rPr>
        <w:t>de répliquer</w:t>
      </w:r>
      <w:r w:rsidRPr="00EE6CC6">
        <w:rPr>
          <w:rFonts w:ascii="Arial" w:hAnsi="Arial" w:cs="Arial"/>
          <w:sz w:val="22"/>
          <w:szCs w:val="22"/>
        </w:rPr>
        <w:t xml:space="preserve"> </w:t>
      </w:r>
      <w:r w:rsidR="00646847" w:rsidRPr="00EE6CC6">
        <w:rPr>
          <w:rFonts w:ascii="Arial" w:hAnsi="Arial" w:cs="Arial"/>
          <w:sz w:val="22"/>
          <w:szCs w:val="22"/>
        </w:rPr>
        <w:t xml:space="preserve">la formation </w:t>
      </w:r>
      <w:r w:rsidRPr="00EE6CC6">
        <w:rPr>
          <w:rFonts w:ascii="Arial" w:hAnsi="Arial" w:cs="Arial"/>
          <w:sz w:val="22"/>
          <w:szCs w:val="22"/>
        </w:rPr>
        <w:t xml:space="preserve">aussi largement que possible dans de nombreuses régions. La masse critique d’acteurs disposant des connaissances relatives au patrimoine culturel immatériel sera en mesure de soutenir les activités, les projets et les programmes de sauvegarde à l’issue du projet, en particulier grâce à la mise en œuvre des plans de sauvegarde </w:t>
      </w:r>
      <w:r w:rsidR="00E712DA" w:rsidRPr="00EE6CC6">
        <w:rPr>
          <w:rFonts w:ascii="Arial" w:hAnsi="Arial" w:cs="Arial"/>
          <w:sz w:val="22"/>
          <w:szCs w:val="22"/>
        </w:rPr>
        <w:t>résultant du projet</w:t>
      </w:r>
      <w:r w:rsidRPr="00EE6CC6">
        <w:rPr>
          <w:rFonts w:ascii="Arial" w:hAnsi="Arial" w:cs="Arial"/>
          <w:sz w:val="22"/>
          <w:szCs w:val="22"/>
        </w:rPr>
        <w:t>. En outre, le projet donnera aux communautés concernées les moyens de gérer leur propre patrimoine vivant, contribuant ainsi à la sauvegarde systématique du patrimoine culturel immatériel du Burkina Faso.</w:t>
      </w:r>
    </w:p>
    <w:p w:rsidR="00C9471A" w:rsidRPr="00EE6CC6" w:rsidRDefault="00C9471A" w:rsidP="00E33C27">
      <w:pPr>
        <w:tabs>
          <w:tab w:val="left" w:pos="1134"/>
          <w:tab w:val="left" w:pos="1701"/>
          <w:tab w:val="left" w:pos="2268"/>
        </w:tabs>
        <w:spacing w:before="120" w:after="120"/>
        <w:ind w:left="1134"/>
        <w:jc w:val="both"/>
        <w:rPr>
          <w:rFonts w:ascii="Arial" w:hAnsi="Arial" w:cs="Arial"/>
          <w:sz w:val="22"/>
          <w:szCs w:val="22"/>
        </w:rPr>
      </w:pPr>
      <w:r w:rsidRPr="00EE6CC6">
        <w:rPr>
          <w:rFonts w:ascii="Arial" w:hAnsi="Arial" w:cs="Arial"/>
          <w:b/>
          <w:bCs/>
          <w:sz w:val="22"/>
          <w:szCs w:val="22"/>
        </w:rPr>
        <w:t>Critère A.5</w:t>
      </w:r>
      <w:r w:rsidRPr="00EE6CC6">
        <w:rPr>
          <w:rFonts w:ascii="Arial" w:hAnsi="Arial" w:cs="Arial"/>
          <w:sz w:val="22"/>
          <w:szCs w:val="22"/>
        </w:rPr>
        <w:t> : L’État partie fournira 20 % du budget total. La plupart des montants versés aux participants (internationaux comme nationaux) proviendront du Fonds du patrimoine culturel immatériel</w:t>
      </w:r>
      <w:r w:rsidR="00646847" w:rsidRPr="00EE6CC6">
        <w:rPr>
          <w:rFonts w:ascii="Arial" w:hAnsi="Arial" w:cs="Arial"/>
          <w:sz w:val="22"/>
          <w:szCs w:val="22"/>
        </w:rPr>
        <w:t>.</w:t>
      </w:r>
      <w:r w:rsidRPr="00EE6CC6">
        <w:rPr>
          <w:rFonts w:ascii="Arial" w:hAnsi="Arial" w:cs="Arial"/>
          <w:sz w:val="22"/>
          <w:szCs w:val="22"/>
        </w:rPr>
        <w:t xml:space="preserve"> L’État partie couvrira les paiements aux institutions et les petites dépenses, liées notamment à l’organisation d’ateliers, à la confection de banderoles, à la couverture médiatique du projet, à la réalisation de programmes télévisuels et radiophoniques, aux transports et à l’achat de fournitures de bureau. Elles incluent </w:t>
      </w:r>
      <w:r w:rsidRPr="00EE6CC6">
        <w:rPr>
          <w:rFonts w:ascii="Arial" w:hAnsi="Arial" w:cs="Arial"/>
          <w:sz w:val="22"/>
          <w:szCs w:val="22"/>
        </w:rPr>
        <w:lastRenderedPageBreak/>
        <w:t>également les frais engagés dans le cadre du suivi et de l’évaluation du projet, ainsi que pour la rédaction des rapports.</w:t>
      </w:r>
    </w:p>
    <w:p w:rsidR="00C9471A" w:rsidRPr="00EE6CC6" w:rsidRDefault="00C9471A" w:rsidP="00E33C27">
      <w:pPr>
        <w:tabs>
          <w:tab w:val="left" w:pos="1134"/>
          <w:tab w:val="left" w:pos="1701"/>
          <w:tab w:val="left" w:pos="2268"/>
        </w:tabs>
        <w:spacing w:before="120" w:after="120"/>
        <w:ind w:left="1134"/>
        <w:jc w:val="both"/>
        <w:rPr>
          <w:rFonts w:ascii="Arial" w:hAnsi="Arial" w:cs="Arial"/>
          <w:sz w:val="22"/>
          <w:szCs w:val="22"/>
        </w:rPr>
      </w:pPr>
      <w:r w:rsidRPr="00EE6CC6">
        <w:rPr>
          <w:rFonts w:ascii="Arial" w:hAnsi="Arial" w:cs="Arial"/>
          <w:b/>
          <w:bCs/>
          <w:sz w:val="22"/>
          <w:szCs w:val="22"/>
        </w:rPr>
        <w:t>Critère A.6</w:t>
      </w:r>
      <w:r w:rsidRPr="00EE6CC6">
        <w:rPr>
          <w:rFonts w:ascii="Arial" w:hAnsi="Arial" w:cs="Arial"/>
          <w:sz w:val="22"/>
          <w:szCs w:val="22"/>
        </w:rPr>
        <w:t xml:space="preserve"> : L’objectif </w:t>
      </w:r>
      <w:r w:rsidR="00646847" w:rsidRPr="00EE6CC6">
        <w:rPr>
          <w:rFonts w:ascii="Arial" w:hAnsi="Arial" w:cs="Arial"/>
          <w:sz w:val="22"/>
          <w:szCs w:val="22"/>
        </w:rPr>
        <w:t xml:space="preserve">spécifique </w:t>
      </w:r>
      <w:r w:rsidRPr="00EE6CC6">
        <w:rPr>
          <w:rFonts w:ascii="Arial" w:hAnsi="Arial" w:cs="Arial"/>
          <w:sz w:val="22"/>
          <w:szCs w:val="22"/>
        </w:rPr>
        <w:t xml:space="preserve">de la demande d’assistance est de renforcer les capacités locales et nationales de sauvegarde du patrimoine culturel immatériel. Le projet proposé </w:t>
      </w:r>
      <w:r w:rsidR="00646847" w:rsidRPr="00EE6CC6">
        <w:rPr>
          <w:rFonts w:ascii="Arial" w:hAnsi="Arial" w:cs="Arial"/>
          <w:sz w:val="22"/>
          <w:szCs w:val="22"/>
        </w:rPr>
        <w:t xml:space="preserve">pourrait renforcer </w:t>
      </w:r>
      <w:r w:rsidRPr="00EE6CC6">
        <w:rPr>
          <w:rFonts w:ascii="Arial" w:hAnsi="Arial" w:cs="Arial"/>
          <w:sz w:val="22"/>
          <w:szCs w:val="22"/>
        </w:rPr>
        <w:t xml:space="preserve">la prise de décisions et favoriser des changements de comportement susceptibles d’améliorer la sauvegarde du patrimoine culturel immatériel, notamment en encourageant l’adoption d’une approche ascendante de sa gestion. En outre, le projet inclut des activités de suivi et d’évaluation ainsi que la préparation de rapports. Cela permettrait </w:t>
      </w:r>
      <w:r w:rsidR="00646847" w:rsidRPr="00EE6CC6">
        <w:rPr>
          <w:rFonts w:ascii="Arial" w:hAnsi="Arial" w:cs="Arial"/>
          <w:sz w:val="22"/>
          <w:szCs w:val="22"/>
        </w:rPr>
        <w:t xml:space="preserve">de générer </w:t>
      </w:r>
      <w:r w:rsidRPr="00EE6CC6">
        <w:rPr>
          <w:rFonts w:ascii="Arial" w:hAnsi="Arial" w:cs="Arial"/>
          <w:sz w:val="22"/>
          <w:szCs w:val="22"/>
        </w:rPr>
        <w:t>des retours</w:t>
      </w:r>
      <w:r w:rsidR="00646847" w:rsidRPr="00EE6CC6">
        <w:rPr>
          <w:rFonts w:ascii="Arial" w:hAnsi="Arial" w:cs="Arial"/>
          <w:sz w:val="22"/>
          <w:szCs w:val="22"/>
        </w:rPr>
        <w:t xml:space="preserve"> d’informations</w:t>
      </w:r>
      <w:r w:rsidRPr="00EE6CC6">
        <w:rPr>
          <w:rFonts w:ascii="Arial" w:hAnsi="Arial" w:cs="Arial"/>
          <w:sz w:val="22"/>
          <w:szCs w:val="22"/>
        </w:rPr>
        <w:t xml:space="preserve"> précieux sur la stratégie adoptée, sur les mesures concrètes prises en matière de formation et sur </w:t>
      </w:r>
      <w:r w:rsidR="00646847" w:rsidRPr="00EE6CC6">
        <w:rPr>
          <w:rFonts w:ascii="Arial" w:hAnsi="Arial" w:cs="Arial"/>
          <w:sz w:val="22"/>
          <w:szCs w:val="22"/>
        </w:rPr>
        <w:t>l’impact</w:t>
      </w:r>
      <w:r w:rsidRPr="00EE6CC6">
        <w:rPr>
          <w:rFonts w:ascii="Arial" w:hAnsi="Arial" w:cs="Arial"/>
          <w:sz w:val="22"/>
          <w:szCs w:val="22"/>
        </w:rPr>
        <w:t xml:space="preserve"> du projet sur la sauvegarde du patrimoine culturel immatériel au Burkina Faso.</w:t>
      </w:r>
    </w:p>
    <w:p w:rsidR="00C9471A" w:rsidRPr="00EE6CC6" w:rsidRDefault="00C9471A" w:rsidP="00E33C27">
      <w:pPr>
        <w:tabs>
          <w:tab w:val="left" w:pos="1134"/>
          <w:tab w:val="left" w:pos="1701"/>
          <w:tab w:val="left" w:pos="2268"/>
        </w:tabs>
        <w:spacing w:before="120" w:after="120"/>
        <w:ind w:left="1134"/>
        <w:jc w:val="both"/>
        <w:rPr>
          <w:rFonts w:ascii="Arial" w:hAnsi="Arial" w:cs="Arial"/>
          <w:sz w:val="22"/>
          <w:szCs w:val="22"/>
        </w:rPr>
      </w:pPr>
      <w:r w:rsidRPr="00EE6CC6">
        <w:rPr>
          <w:rFonts w:ascii="Arial" w:hAnsi="Arial" w:cs="Arial"/>
          <w:b/>
          <w:bCs/>
          <w:sz w:val="22"/>
          <w:szCs w:val="22"/>
        </w:rPr>
        <w:t>Critère A.7 </w:t>
      </w:r>
      <w:r w:rsidRPr="00EE6CC6">
        <w:rPr>
          <w:rFonts w:ascii="Arial" w:hAnsi="Arial" w:cs="Arial"/>
          <w:sz w:val="22"/>
          <w:szCs w:val="22"/>
        </w:rPr>
        <w:t>: L’État partie a bénéficié d’une assistance internationale du Fonds du patrimoine culturel immatériel, pour un projet intitulé « L’inventaire et la promotion du patrimoine culturel immatériel au Burkina Faso » (2013–2018, 262 080 dollars des États-Unis). Ce projet a été mené avec succès et conformément a</w:t>
      </w:r>
      <w:r w:rsidR="00A041FD">
        <w:rPr>
          <w:rFonts w:ascii="Arial" w:hAnsi="Arial" w:cs="Arial"/>
          <w:sz w:val="22"/>
          <w:szCs w:val="22"/>
        </w:rPr>
        <w:t>ux réglementations de l’UNESCO.</w:t>
      </w:r>
    </w:p>
    <w:p w:rsidR="00C9471A" w:rsidRPr="00EE6CC6" w:rsidRDefault="00C9471A" w:rsidP="00E33C27">
      <w:pPr>
        <w:tabs>
          <w:tab w:val="left" w:pos="1134"/>
          <w:tab w:val="left" w:pos="1701"/>
          <w:tab w:val="left" w:pos="2268"/>
        </w:tabs>
        <w:spacing w:before="120" w:after="120"/>
        <w:ind w:left="1134"/>
        <w:jc w:val="both"/>
        <w:rPr>
          <w:rFonts w:ascii="Arial" w:hAnsi="Arial" w:cs="Arial"/>
          <w:sz w:val="22"/>
          <w:szCs w:val="22"/>
        </w:rPr>
      </w:pPr>
      <w:r w:rsidRPr="00EE6CC6">
        <w:rPr>
          <w:rFonts w:ascii="Arial" w:hAnsi="Arial" w:cs="Arial"/>
          <w:b/>
          <w:bCs/>
          <w:sz w:val="22"/>
          <w:szCs w:val="22"/>
        </w:rPr>
        <w:t>Paragraphe 10(a)</w:t>
      </w:r>
      <w:r w:rsidRPr="00EE6CC6">
        <w:rPr>
          <w:rFonts w:ascii="Arial" w:hAnsi="Arial" w:cs="Arial"/>
          <w:sz w:val="22"/>
          <w:szCs w:val="22"/>
        </w:rPr>
        <w:t> : De portée nationale, le projet proposé implique des participants des treize régions administratives du Burkina Faso. Il fait également intervenir de nombreuses institutions nationales aux responsabilités bien définies. Deux experts internationaux, membres du réseau des facilitateurs de l’UNESCO pour la mise en œuvre de la Convention, seront invités. L’un dirigera les sessions de formation, l’autre réalisera une évaluation externe.</w:t>
      </w:r>
    </w:p>
    <w:p w:rsidR="00C9471A" w:rsidRPr="00EE6CC6" w:rsidRDefault="00C9471A" w:rsidP="00E33C27">
      <w:pPr>
        <w:tabs>
          <w:tab w:val="left" w:pos="1134"/>
          <w:tab w:val="left" w:pos="1701"/>
          <w:tab w:val="left" w:pos="2268"/>
        </w:tabs>
        <w:spacing w:before="120" w:after="120"/>
        <w:ind w:left="1134"/>
        <w:jc w:val="both"/>
        <w:rPr>
          <w:rFonts w:ascii="Arial" w:hAnsi="Arial" w:cs="Arial"/>
          <w:sz w:val="22"/>
          <w:szCs w:val="22"/>
        </w:rPr>
      </w:pPr>
      <w:r w:rsidRPr="00EE6CC6">
        <w:rPr>
          <w:rFonts w:ascii="Arial" w:hAnsi="Arial" w:cs="Arial"/>
          <w:b/>
          <w:bCs/>
          <w:sz w:val="22"/>
          <w:szCs w:val="22"/>
        </w:rPr>
        <w:t>Paragraphe 10(b) </w:t>
      </w:r>
      <w:r w:rsidRPr="00EE6CC6">
        <w:rPr>
          <w:rFonts w:ascii="Arial" w:hAnsi="Arial" w:cs="Arial"/>
          <w:sz w:val="22"/>
          <w:szCs w:val="22"/>
        </w:rPr>
        <w:t xml:space="preserve">: Le projet n’aura pas d’effet multiplicateur direct et n’encouragera pas les contributions financières et techniques venant d’autres sources ; mais il permettra de constituer un grand groupe d’acteurs (335 au total) capables de soutenir les futurs projets de sauvegarde du patrimoine culturel immatériel. En outre, ces acteurs pourront garantir la prise en compte du patrimoine culturel immatériel dans les plans de développements locaux ayant indirectement le potentiel d’attirer de nouveaux financements destinés à la sauvegarde du patrimoine vivant. Le projet proposé pourrait également être une source d’inspiration, ou </w:t>
      </w:r>
      <w:r w:rsidR="00646847" w:rsidRPr="00EE6CC6">
        <w:rPr>
          <w:rFonts w:ascii="Arial" w:hAnsi="Arial" w:cs="Arial"/>
          <w:sz w:val="22"/>
          <w:szCs w:val="22"/>
        </w:rPr>
        <w:t xml:space="preserve">de </w:t>
      </w:r>
      <w:r w:rsidRPr="00EE6CC6">
        <w:rPr>
          <w:rFonts w:ascii="Arial" w:hAnsi="Arial" w:cs="Arial"/>
          <w:sz w:val="22"/>
          <w:szCs w:val="22"/>
        </w:rPr>
        <w:t xml:space="preserve">méthodologie </w:t>
      </w:r>
      <w:r w:rsidR="00646847" w:rsidRPr="00EE6CC6">
        <w:rPr>
          <w:rFonts w:ascii="Arial" w:hAnsi="Arial" w:cs="Arial"/>
          <w:sz w:val="22"/>
          <w:szCs w:val="22"/>
        </w:rPr>
        <w:t xml:space="preserve">à reproduire </w:t>
      </w:r>
      <w:r w:rsidR="00F345EA">
        <w:rPr>
          <w:rFonts w:ascii="Arial" w:hAnsi="Arial" w:cs="Arial"/>
          <w:sz w:val="22"/>
          <w:szCs w:val="22"/>
        </w:rPr>
        <w:t>dans d’autres États.</w:t>
      </w:r>
    </w:p>
    <w:p w:rsidR="00C9471A" w:rsidRPr="00EE6CC6" w:rsidRDefault="00466FD1" w:rsidP="00E33C27">
      <w:pPr>
        <w:pStyle w:val="Style1"/>
        <w:ind w:left="1134"/>
      </w:pPr>
      <w:r w:rsidRPr="00EE6CC6">
        <w:rPr>
          <w:u w:val="single"/>
        </w:rPr>
        <w:t>Décide d’a</w:t>
      </w:r>
      <w:r w:rsidR="00C9471A" w:rsidRPr="00EE6CC6">
        <w:rPr>
          <w:u w:val="single"/>
        </w:rPr>
        <w:t>pprouve</w:t>
      </w:r>
      <w:r w:rsidRPr="00EE6CC6">
        <w:rPr>
          <w:u w:val="single"/>
        </w:rPr>
        <w:t>r</w:t>
      </w:r>
      <w:r w:rsidR="00C9471A" w:rsidRPr="00EE6CC6">
        <w:t xml:space="preserve"> la demande d’assistance internationale du Burkina Faso pour le projet intitulé </w:t>
      </w:r>
      <w:r w:rsidR="00C9471A" w:rsidRPr="00EE6CC6">
        <w:rPr>
          <w:b/>
        </w:rPr>
        <w:t>Renforcement des capacités des acteurs intervenant dans la sauvegarde du patrimoine culturel immatériel au Burkina Faso</w:t>
      </w:r>
      <w:r w:rsidR="00C9471A" w:rsidRPr="00EE6CC6">
        <w:t xml:space="preserve"> et </w:t>
      </w:r>
      <w:r w:rsidR="00C9471A" w:rsidRPr="00EE6CC6">
        <w:rPr>
          <w:u w:val="single"/>
        </w:rPr>
        <w:t>accorde</w:t>
      </w:r>
      <w:r w:rsidR="00C9471A" w:rsidRPr="00EE6CC6">
        <w:t xml:space="preserve"> à cette fin le montant de 387 770 dollars des États-Unis à l’État partie ;</w:t>
      </w:r>
    </w:p>
    <w:p w:rsidR="00C9471A" w:rsidRPr="00EE6CC6" w:rsidRDefault="00C9471A" w:rsidP="00E33C27">
      <w:pPr>
        <w:pStyle w:val="Style1"/>
        <w:ind w:left="1134"/>
      </w:pPr>
      <w:r w:rsidRPr="00EE6CC6">
        <w:rPr>
          <w:u w:val="single"/>
        </w:rPr>
        <w:t>Félicite</w:t>
      </w:r>
      <w:r w:rsidRPr="00EE6CC6">
        <w:t xml:space="preserve"> l’État partie d’avoir soumis un projet très bien structuré présentant clairement ses objectifs, ses activités et les résultats escomptés, ainsi qu’un budget complet et un calendrier précis, et visant à renforcer les capacités d’un grand nombre d’acteurs locaux à l’échelle nationale ;</w:t>
      </w:r>
    </w:p>
    <w:p w:rsidR="00461168" w:rsidRPr="005D58CD" w:rsidRDefault="00C9471A" w:rsidP="005D58CD">
      <w:pPr>
        <w:pStyle w:val="Style1"/>
        <w:ind w:left="1134"/>
      </w:pPr>
      <w:r w:rsidRPr="00EE6CC6">
        <w:rPr>
          <w:u w:val="single"/>
        </w:rPr>
        <w:t>Invite</w:t>
      </w:r>
      <w:r w:rsidRPr="00EE6CC6">
        <w:t xml:space="preserve"> l’État partie à utiliser le formulaire ICH-04</w:t>
      </w:r>
      <w:r w:rsidR="004F2C58" w:rsidRPr="00EE6CC6">
        <w:t>-Rapport</w:t>
      </w:r>
      <w:r w:rsidRPr="00EE6CC6">
        <w:t xml:space="preserve"> pour rendre compte de l’utilisation de l’assistance accordée.</w:t>
      </w:r>
    </w:p>
    <w:sectPr w:rsidR="00461168" w:rsidRPr="005D58CD" w:rsidSect="007044BC">
      <w:headerReference w:type="even" r:id="rId12"/>
      <w:headerReference w:type="default" r:id="rId13"/>
      <w:headerReference w:type="first" r:id="rId1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76" w:rsidRDefault="00B35376" w:rsidP="00655736">
      <w:r>
        <w:separator/>
      </w:r>
    </w:p>
    <w:p w:rsidR="00B35376" w:rsidRDefault="00B35376"/>
    <w:p w:rsidR="00B35376" w:rsidRDefault="00B35376" w:rsidP="002E58D4"/>
    <w:p w:rsidR="00B35376" w:rsidRDefault="00B35376" w:rsidP="002E58D4"/>
    <w:p w:rsidR="00B35376" w:rsidRDefault="00B35376" w:rsidP="002E58D4"/>
  </w:endnote>
  <w:endnote w:type="continuationSeparator" w:id="0">
    <w:p w:rsidR="00B35376" w:rsidRDefault="00B35376" w:rsidP="00655736">
      <w:r>
        <w:continuationSeparator/>
      </w:r>
    </w:p>
    <w:p w:rsidR="00B35376" w:rsidRDefault="00B35376"/>
    <w:p w:rsidR="00B35376" w:rsidRDefault="00B35376" w:rsidP="002E58D4"/>
    <w:p w:rsidR="00B35376" w:rsidRDefault="00B35376" w:rsidP="002E58D4"/>
    <w:p w:rsidR="00B35376" w:rsidRDefault="00B35376"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76" w:rsidRDefault="00B35376" w:rsidP="00655736">
      <w:r>
        <w:separator/>
      </w:r>
    </w:p>
    <w:p w:rsidR="00B35376" w:rsidRDefault="00B35376"/>
    <w:p w:rsidR="00B35376" w:rsidRDefault="00B35376" w:rsidP="002E58D4"/>
    <w:p w:rsidR="00B35376" w:rsidRDefault="00B35376" w:rsidP="002E58D4"/>
    <w:p w:rsidR="00B35376" w:rsidRDefault="00B35376" w:rsidP="002E58D4"/>
  </w:footnote>
  <w:footnote w:type="continuationSeparator" w:id="0">
    <w:p w:rsidR="00B35376" w:rsidRDefault="00B35376" w:rsidP="00655736">
      <w:r>
        <w:continuationSeparator/>
      </w:r>
    </w:p>
    <w:p w:rsidR="00B35376" w:rsidRDefault="00B35376"/>
    <w:p w:rsidR="00B35376" w:rsidRDefault="00B35376" w:rsidP="002E58D4"/>
    <w:p w:rsidR="00B35376" w:rsidRDefault="00B35376" w:rsidP="002E58D4"/>
    <w:p w:rsidR="00B35376" w:rsidRDefault="00B35376"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01" w:rsidRPr="002E58D4" w:rsidRDefault="008F09EC" w:rsidP="00461168">
    <w:pPr>
      <w:pStyle w:val="En-tte"/>
      <w:rPr>
        <w:rFonts w:ascii="Arial" w:hAnsi="Arial" w:cs="Arial"/>
        <w:lang w:val="en-US"/>
      </w:rPr>
    </w:pPr>
    <w:r>
      <w:rPr>
        <w:rFonts w:ascii="Arial" w:hAnsi="Arial" w:cs="Arial"/>
        <w:sz w:val="20"/>
        <w:szCs w:val="20"/>
        <w:lang w:val="en-US"/>
      </w:rPr>
      <w:t>LHE/19/14.COM</w:t>
    </w:r>
    <w:r w:rsidR="00E9376C">
      <w:rPr>
        <w:rFonts w:ascii="Arial" w:hAnsi="Arial" w:cs="Arial"/>
        <w:sz w:val="20"/>
        <w:szCs w:val="20"/>
        <w:lang w:val="en-US"/>
      </w:rPr>
      <w:t>/</w:t>
    </w:r>
    <w:r w:rsidR="00803104">
      <w:rPr>
        <w:rFonts w:ascii="Arial" w:hAnsi="Arial" w:cs="Arial"/>
        <w:sz w:val="20"/>
        <w:szCs w:val="20"/>
        <w:lang w:val="en-US"/>
      </w:rPr>
      <w:t>10.d</w:t>
    </w:r>
    <w:r w:rsidR="00E9376C" w:rsidRPr="00EF563B">
      <w:rPr>
        <w:rFonts w:ascii="Arial" w:hAnsi="Arial" w:cs="Arial"/>
        <w:sz w:val="20"/>
        <w:szCs w:val="20"/>
        <w:lang w:val="en-US"/>
      </w:rPr>
      <w:t xml:space="preserve"> –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5F5909">
      <w:rPr>
        <w:rStyle w:val="Numrodepage"/>
        <w:rFonts w:ascii="Arial" w:hAnsi="Arial" w:cs="Arial"/>
        <w:noProof/>
        <w:sz w:val="20"/>
        <w:szCs w:val="20"/>
        <w:lang w:val="en-US"/>
      </w:rPr>
      <w:t>4</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01" w:rsidRPr="00BC3420" w:rsidRDefault="008F09EC" w:rsidP="00461168">
    <w:pPr>
      <w:pStyle w:val="En-tte"/>
      <w:jc w:val="right"/>
      <w:rPr>
        <w:rFonts w:ascii="Arial" w:hAnsi="Arial" w:cs="Arial"/>
        <w:lang w:val="en-US"/>
      </w:rPr>
    </w:pPr>
    <w:r>
      <w:rPr>
        <w:rFonts w:ascii="Arial" w:hAnsi="Arial" w:cs="Arial"/>
        <w:sz w:val="20"/>
        <w:szCs w:val="20"/>
        <w:lang w:val="en-US"/>
      </w:rPr>
      <w:t>LHE/19/14.COM</w:t>
    </w:r>
    <w:r w:rsidR="002C0D14">
      <w:rPr>
        <w:rFonts w:ascii="Arial" w:hAnsi="Arial" w:cs="Arial"/>
        <w:sz w:val="20"/>
        <w:szCs w:val="20"/>
        <w:lang w:val="en-US"/>
      </w:rPr>
      <w:t>/</w:t>
    </w:r>
    <w:r w:rsidR="00ED3311">
      <w:rPr>
        <w:rFonts w:ascii="Arial" w:hAnsi="Arial" w:cs="Arial"/>
        <w:sz w:val="20"/>
        <w:szCs w:val="20"/>
        <w:lang w:val="en-US"/>
      </w:rPr>
      <w:t>10.d</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5F5909">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6C" w:rsidRPr="008B64DF" w:rsidRDefault="00AF5AE5">
    <w:pPr>
      <w:pStyle w:val="En-tte"/>
      <w:rPr>
        <w:sz w:val="22"/>
        <w:szCs w:val="22"/>
      </w:rPr>
    </w:pPr>
    <w:r>
      <w:rPr>
        <w:noProof/>
        <w:lang w:eastAsia="ja-JP"/>
      </w:rPr>
      <w:drawing>
        <wp:anchor distT="0" distB="0" distL="114300" distR="114300" simplePos="0" relativeHeight="251657728" behindDoc="0" locked="0" layoutInCell="1" allowOverlap="1">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CC6" w:rsidRPr="00E639B9" w:rsidRDefault="00EE6CC6" w:rsidP="00EE6CC6">
    <w:pPr>
      <w:pStyle w:val="En-tte"/>
      <w:spacing w:after="520"/>
      <w:jc w:val="right"/>
      <w:rPr>
        <w:rFonts w:ascii="Arial" w:hAnsi="Arial" w:cs="Arial"/>
        <w:b/>
        <w:sz w:val="44"/>
        <w:szCs w:val="44"/>
      </w:rPr>
    </w:pPr>
    <w:r w:rsidRPr="00E639B9">
      <w:rPr>
        <w:rFonts w:ascii="Arial" w:hAnsi="Arial" w:cs="Arial"/>
        <w:b/>
        <w:sz w:val="44"/>
        <w:szCs w:val="44"/>
      </w:rPr>
      <w:t>14</w:t>
    </w:r>
    <w:r w:rsidR="002D46CC" w:rsidRPr="00E639B9">
      <w:rPr>
        <w:rFonts w:ascii="Arial" w:hAnsi="Arial" w:cs="Arial"/>
        <w:b/>
        <w:sz w:val="44"/>
        <w:szCs w:val="44"/>
      </w:rPr>
      <w:t xml:space="preserve"> COM</w:t>
    </w:r>
  </w:p>
  <w:p w:rsidR="00A7365A" w:rsidRDefault="00A7365A" w:rsidP="00EE6CC6">
    <w:pPr>
      <w:jc w:val="right"/>
      <w:rPr>
        <w:rFonts w:ascii="Arial" w:hAnsi="Arial" w:cs="Arial"/>
        <w:b/>
        <w:sz w:val="22"/>
        <w:szCs w:val="22"/>
      </w:rPr>
    </w:pPr>
    <w:r w:rsidRPr="00E5429F">
      <w:rPr>
        <w:rFonts w:ascii="Arial" w:hAnsi="Arial" w:cs="Arial"/>
        <w:b/>
        <w:sz w:val="22"/>
        <w:szCs w:val="22"/>
      </w:rPr>
      <w:t>LHE/19/14.COM/</w:t>
    </w:r>
    <w:proofErr w:type="gramStart"/>
    <w:r w:rsidRPr="00E5429F">
      <w:rPr>
        <w:rFonts w:ascii="Arial" w:hAnsi="Arial" w:cs="Arial"/>
        <w:b/>
        <w:sz w:val="22"/>
        <w:szCs w:val="22"/>
      </w:rPr>
      <w:t>10.d</w:t>
    </w:r>
    <w:proofErr w:type="gramEnd"/>
  </w:p>
  <w:p w:rsidR="00EE6CC6" w:rsidRPr="00EA7CEF" w:rsidRDefault="00EE6CC6" w:rsidP="00EE6CC6">
    <w:pPr>
      <w:jc w:val="right"/>
      <w:rPr>
        <w:rFonts w:ascii="Arial" w:hAnsi="Arial" w:cs="Arial"/>
        <w:b/>
        <w:sz w:val="22"/>
        <w:szCs w:val="22"/>
      </w:rPr>
    </w:pPr>
    <w:r w:rsidRPr="00EA7CEF">
      <w:rPr>
        <w:rFonts w:ascii="Arial" w:hAnsi="Arial" w:cs="Arial"/>
        <w:b/>
        <w:sz w:val="22"/>
        <w:szCs w:val="22"/>
      </w:rPr>
      <w:t xml:space="preserve">Paris, </w:t>
    </w:r>
    <w:r w:rsidRPr="00E64D6A">
      <w:rPr>
        <w:rFonts w:ascii="Arial" w:hAnsi="Arial" w:cs="Arial"/>
        <w:b/>
        <w:sz w:val="22"/>
        <w:szCs w:val="22"/>
      </w:rPr>
      <w:t xml:space="preserve">le </w:t>
    </w:r>
    <w:r w:rsidR="00E64D6A">
      <w:rPr>
        <w:rFonts w:ascii="Arial" w:hAnsi="Arial" w:cs="Arial"/>
        <w:b/>
        <w:sz w:val="22"/>
        <w:szCs w:val="22"/>
      </w:rPr>
      <w:t>7</w:t>
    </w:r>
    <w:r w:rsidR="00E5429F" w:rsidRPr="00E64D6A">
      <w:rPr>
        <w:rFonts w:ascii="Arial" w:hAnsi="Arial" w:cs="Arial"/>
        <w:b/>
        <w:sz w:val="22"/>
        <w:szCs w:val="22"/>
      </w:rPr>
      <w:t xml:space="preserve"> novembre</w:t>
    </w:r>
    <w:r w:rsidRPr="00E64D6A">
      <w:rPr>
        <w:rFonts w:ascii="Arial" w:hAnsi="Arial" w:cs="Arial"/>
        <w:b/>
        <w:sz w:val="22"/>
        <w:szCs w:val="22"/>
      </w:rPr>
      <w:t xml:space="preserve"> 2019</w:t>
    </w:r>
  </w:p>
  <w:p w:rsidR="00E9376C" w:rsidRPr="008B64DF" w:rsidRDefault="00EE6CC6" w:rsidP="00EE6CC6">
    <w:pPr>
      <w:jc w:val="right"/>
      <w:rPr>
        <w:sz w:val="22"/>
        <w:szCs w:val="22"/>
      </w:rPr>
    </w:pPr>
    <w:r w:rsidRPr="00EA7CEF">
      <w:rPr>
        <w:rFonts w:ascii="Arial" w:hAnsi="Arial" w:cs="Arial"/>
        <w:b/>
        <w:sz w:val="22"/>
        <w:szCs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E7117AC"/>
    <w:multiLevelType w:val="multilevel"/>
    <w:tmpl w:val="E70EBFFC"/>
    <w:numStyleLink w:val="Headingsubdecision"/>
  </w:abstractNum>
  <w:abstractNum w:abstractNumId="11"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8"/>
  </w:num>
  <w:num w:numId="5">
    <w:abstractNumId w:val="16"/>
  </w:num>
  <w:num w:numId="6">
    <w:abstractNumId w:val="0"/>
  </w:num>
  <w:num w:numId="7">
    <w:abstractNumId w:val="2"/>
  </w:num>
  <w:num w:numId="8">
    <w:abstractNumId w:val="9"/>
  </w:num>
  <w:num w:numId="9">
    <w:abstractNumId w:val="6"/>
  </w:num>
  <w:num w:numId="10">
    <w:abstractNumId w:val="8"/>
  </w:num>
  <w:num w:numId="11">
    <w:abstractNumId w:val="5"/>
  </w:num>
  <w:num w:numId="12">
    <w:abstractNumId w:val="4"/>
  </w:num>
  <w:num w:numId="13">
    <w:abstractNumId w:val="12"/>
  </w:num>
  <w:num w:numId="14">
    <w:abstractNumId w:val="3"/>
  </w:num>
  <w:num w:numId="15">
    <w:abstractNumId w:val="17"/>
  </w:num>
  <w:num w:numId="16">
    <w:abstractNumId w:val="11"/>
  </w:num>
  <w:num w:numId="17">
    <w:abstractNumId w:val="8"/>
    <w:lvlOverride w:ilvl="0">
      <w:startOverride w:val="1"/>
    </w:lvlOverride>
  </w:num>
  <w:num w:numId="18">
    <w:abstractNumId w:val="14"/>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20BFC"/>
    <w:rsid w:val="00022428"/>
    <w:rsid w:val="000263BA"/>
    <w:rsid w:val="0003530D"/>
    <w:rsid w:val="0004205A"/>
    <w:rsid w:val="0005176E"/>
    <w:rsid w:val="00077AB7"/>
    <w:rsid w:val="00081CD8"/>
    <w:rsid w:val="0008329C"/>
    <w:rsid w:val="00084924"/>
    <w:rsid w:val="000A7F0E"/>
    <w:rsid w:val="000E21B2"/>
    <w:rsid w:val="000E6CD7"/>
    <w:rsid w:val="000E7B50"/>
    <w:rsid w:val="000F3A3F"/>
    <w:rsid w:val="000F49EF"/>
    <w:rsid w:val="00164D56"/>
    <w:rsid w:val="00165170"/>
    <w:rsid w:val="00167B10"/>
    <w:rsid w:val="0019264E"/>
    <w:rsid w:val="00196C1B"/>
    <w:rsid w:val="001A766C"/>
    <w:rsid w:val="001B0F73"/>
    <w:rsid w:val="0020150F"/>
    <w:rsid w:val="00222A2D"/>
    <w:rsid w:val="002407AF"/>
    <w:rsid w:val="002418B9"/>
    <w:rsid w:val="00273BBE"/>
    <w:rsid w:val="00280D62"/>
    <w:rsid w:val="00292CDB"/>
    <w:rsid w:val="002A6C11"/>
    <w:rsid w:val="002A6F73"/>
    <w:rsid w:val="002C0A7D"/>
    <w:rsid w:val="002C0D14"/>
    <w:rsid w:val="002D46CC"/>
    <w:rsid w:val="002E3D25"/>
    <w:rsid w:val="002E58D4"/>
    <w:rsid w:val="0030484B"/>
    <w:rsid w:val="0033515C"/>
    <w:rsid w:val="00345E09"/>
    <w:rsid w:val="00346B7F"/>
    <w:rsid w:val="003845BE"/>
    <w:rsid w:val="00384F17"/>
    <w:rsid w:val="0039548F"/>
    <w:rsid w:val="003A6A27"/>
    <w:rsid w:val="003C1678"/>
    <w:rsid w:val="003D069C"/>
    <w:rsid w:val="003E07D8"/>
    <w:rsid w:val="003E2A08"/>
    <w:rsid w:val="003E40A6"/>
    <w:rsid w:val="003F113A"/>
    <w:rsid w:val="004121A0"/>
    <w:rsid w:val="00412741"/>
    <w:rsid w:val="004239C7"/>
    <w:rsid w:val="00440F9B"/>
    <w:rsid w:val="004421E5"/>
    <w:rsid w:val="00443880"/>
    <w:rsid w:val="00452284"/>
    <w:rsid w:val="00461168"/>
    <w:rsid w:val="00466FD1"/>
    <w:rsid w:val="00467FBE"/>
    <w:rsid w:val="00475DA1"/>
    <w:rsid w:val="00486948"/>
    <w:rsid w:val="00495C25"/>
    <w:rsid w:val="00496D36"/>
    <w:rsid w:val="0049705E"/>
    <w:rsid w:val="004C2296"/>
    <w:rsid w:val="004F2C58"/>
    <w:rsid w:val="00501801"/>
    <w:rsid w:val="005156B9"/>
    <w:rsid w:val="005158FF"/>
    <w:rsid w:val="0052155F"/>
    <w:rsid w:val="00526B7B"/>
    <w:rsid w:val="005308CE"/>
    <w:rsid w:val="0054720B"/>
    <w:rsid w:val="0057439C"/>
    <w:rsid w:val="00595D6A"/>
    <w:rsid w:val="005B0127"/>
    <w:rsid w:val="005C094D"/>
    <w:rsid w:val="005C2DC2"/>
    <w:rsid w:val="005C4B73"/>
    <w:rsid w:val="005D3195"/>
    <w:rsid w:val="005D58CD"/>
    <w:rsid w:val="005E6D4C"/>
    <w:rsid w:val="005F4742"/>
    <w:rsid w:val="005F5909"/>
    <w:rsid w:val="00600D93"/>
    <w:rsid w:val="00616C7B"/>
    <w:rsid w:val="00627C5C"/>
    <w:rsid w:val="00646847"/>
    <w:rsid w:val="00655736"/>
    <w:rsid w:val="00662B56"/>
    <w:rsid w:val="006632EA"/>
    <w:rsid w:val="00663B8D"/>
    <w:rsid w:val="006923BD"/>
    <w:rsid w:val="00696C8D"/>
    <w:rsid w:val="006A2AC2"/>
    <w:rsid w:val="006A3617"/>
    <w:rsid w:val="006B5001"/>
    <w:rsid w:val="006C3EBA"/>
    <w:rsid w:val="006C4A86"/>
    <w:rsid w:val="006D21D9"/>
    <w:rsid w:val="006D2536"/>
    <w:rsid w:val="006E46E4"/>
    <w:rsid w:val="007044BC"/>
    <w:rsid w:val="00717AAB"/>
    <w:rsid w:val="00717DBD"/>
    <w:rsid w:val="007226F9"/>
    <w:rsid w:val="00741016"/>
    <w:rsid w:val="00755905"/>
    <w:rsid w:val="00764CF9"/>
    <w:rsid w:val="00784B8C"/>
    <w:rsid w:val="00793754"/>
    <w:rsid w:val="007945D8"/>
    <w:rsid w:val="007A2314"/>
    <w:rsid w:val="007B28A6"/>
    <w:rsid w:val="007E027E"/>
    <w:rsid w:val="007E60C6"/>
    <w:rsid w:val="00803104"/>
    <w:rsid w:val="008064F0"/>
    <w:rsid w:val="00823A11"/>
    <w:rsid w:val="008242AB"/>
    <w:rsid w:val="00824EF7"/>
    <w:rsid w:val="0083360B"/>
    <w:rsid w:val="0085414A"/>
    <w:rsid w:val="0086269D"/>
    <w:rsid w:val="00863302"/>
    <w:rsid w:val="008712A2"/>
    <w:rsid w:val="00871C8F"/>
    <w:rsid w:val="008724E5"/>
    <w:rsid w:val="008802E2"/>
    <w:rsid w:val="00884A9D"/>
    <w:rsid w:val="008A4E1E"/>
    <w:rsid w:val="008B64DF"/>
    <w:rsid w:val="008C0E44"/>
    <w:rsid w:val="008C296C"/>
    <w:rsid w:val="008C5D9E"/>
    <w:rsid w:val="008D4305"/>
    <w:rsid w:val="008D463B"/>
    <w:rsid w:val="008F09EC"/>
    <w:rsid w:val="008F5FC8"/>
    <w:rsid w:val="0091339A"/>
    <w:rsid w:val="00913D86"/>
    <w:rsid w:val="0091620B"/>
    <w:rsid w:val="009163A7"/>
    <w:rsid w:val="00922E3E"/>
    <w:rsid w:val="00933C6B"/>
    <w:rsid w:val="00950F68"/>
    <w:rsid w:val="009620DE"/>
    <w:rsid w:val="00962119"/>
    <w:rsid w:val="00974249"/>
    <w:rsid w:val="00980353"/>
    <w:rsid w:val="009A18CD"/>
    <w:rsid w:val="009B5302"/>
    <w:rsid w:val="009D3AB1"/>
    <w:rsid w:val="009E1B50"/>
    <w:rsid w:val="00A041FD"/>
    <w:rsid w:val="00A12558"/>
    <w:rsid w:val="00A13903"/>
    <w:rsid w:val="00A318A5"/>
    <w:rsid w:val="00A34ED5"/>
    <w:rsid w:val="00A3543D"/>
    <w:rsid w:val="00A45DBF"/>
    <w:rsid w:val="00A61C6E"/>
    <w:rsid w:val="00A7365A"/>
    <w:rsid w:val="00A755A2"/>
    <w:rsid w:val="00A90761"/>
    <w:rsid w:val="00AB2C36"/>
    <w:rsid w:val="00AD1A86"/>
    <w:rsid w:val="00AE103E"/>
    <w:rsid w:val="00AF0A07"/>
    <w:rsid w:val="00AF2094"/>
    <w:rsid w:val="00AF5AE5"/>
    <w:rsid w:val="00AF625E"/>
    <w:rsid w:val="00AF721B"/>
    <w:rsid w:val="00B152B1"/>
    <w:rsid w:val="00B35376"/>
    <w:rsid w:val="00B42BB0"/>
    <w:rsid w:val="00B43974"/>
    <w:rsid w:val="00B5109C"/>
    <w:rsid w:val="00B7246E"/>
    <w:rsid w:val="00B90701"/>
    <w:rsid w:val="00BC3420"/>
    <w:rsid w:val="00BD52C9"/>
    <w:rsid w:val="00BE32DB"/>
    <w:rsid w:val="00BE6354"/>
    <w:rsid w:val="00C358C4"/>
    <w:rsid w:val="00C377F5"/>
    <w:rsid w:val="00C37B95"/>
    <w:rsid w:val="00C42659"/>
    <w:rsid w:val="00C63807"/>
    <w:rsid w:val="00C70EA7"/>
    <w:rsid w:val="00C7516E"/>
    <w:rsid w:val="00C9471A"/>
    <w:rsid w:val="00CD1678"/>
    <w:rsid w:val="00CF6E22"/>
    <w:rsid w:val="00D24877"/>
    <w:rsid w:val="00D447BA"/>
    <w:rsid w:val="00D75D42"/>
    <w:rsid w:val="00D76A78"/>
    <w:rsid w:val="00DA36ED"/>
    <w:rsid w:val="00DB4A84"/>
    <w:rsid w:val="00DC0F3C"/>
    <w:rsid w:val="00DC237E"/>
    <w:rsid w:val="00DE34F1"/>
    <w:rsid w:val="00DF4942"/>
    <w:rsid w:val="00E22288"/>
    <w:rsid w:val="00E33C27"/>
    <w:rsid w:val="00E5429F"/>
    <w:rsid w:val="00E60B9D"/>
    <w:rsid w:val="00E627B1"/>
    <w:rsid w:val="00E62B4C"/>
    <w:rsid w:val="00E639B9"/>
    <w:rsid w:val="00E64D6A"/>
    <w:rsid w:val="00E712DA"/>
    <w:rsid w:val="00E731C1"/>
    <w:rsid w:val="00E77A77"/>
    <w:rsid w:val="00E9376C"/>
    <w:rsid w:val="00EA40AC"/>
    <w:rsid w:val="00EA602C"/>
    <w:rsid w:val="00ED3311"/>
    <w:rsid w:val="00ED3691"/>
    <w:rsid w:val="00EE6CC6"/>
    <w:rsid w:val="00F134B7"/>
    <w:rsid w:val="00F14E2B"/>
    <w:rsid w:val="00F345EA"/>
    <w:rsid w:val="00F421CA"/>
    <w:rsid w:val="00F5556B"/>
    <w:rsid w:val="00F575C9"/>
    <w:rsid w:val="00F576CB"/>
    <w:rsid w:val="00FC0E61"/>
    <w:rsid w:val="00FC2940"/>
    <w:rsid w:val="00FC4715"/>
    <w:rsid w:val="00FD1226"/>
    <w:rsid w:val="00FF0905"/>
    <w:rsid w:val="00FF0B9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paragraph" w:customStyle="1" w:styleId="COMPara">
    <w:name w:val="COM Para"/>
    <w:qFormat/>
    <w:rsid w:val="00803104"/>
    <w:pPr>
      <w:spacing w:after="120"/>
      <w:ind w:left="567" w:hanging="567"/>
    </w:pPr>
    <w:rPr>
      <w:rFonts w:ascii="Arial" w:eastAsia="Times New Roman" w:hAnsi="Arial" w:cs="Arial"/>
      <w:snapToGrid w:val="0"/>
      <w:sz w:val="22"/>
      <w:szCs w:val="22"/>
      <w:lang w:bidi="fr-FR"/>
    </w:rPr>
  </w:style>
  <w:style w:type="paragraph" w:customStyle="1" w:styleId="DocMain">
    <w:name w:val="Doc_Main"/>
    <w:basedOn w:val="Normal"/>
    <w:rsid w:val="00803104"/>
    <w:pPr>
      <w:spacing w:before="240" w:after="240"/>
      <w:ind w:left="720" w:hanging="360"/>
      <w:jc w:val="both"/>
    </w:pPr>
    <w:rPr>
      <w:rFonts w:ascii="Arial" w:eastAsia="SimSun" w:hAnsi="Arial" w:cs="Arial"/>
      <w:sz w:val="22"/>
      <w:szCs w:val="22"/>
      <w:lang w:bidi="fr-FR"/>
    </w:rPr>
  </w:style>
  <w:style w:type="paragraph" w:customStyle="1" w:styleId="NoSpacing1">
    <w:name w:val="No Spacing1"/>
    <w:rsid w:val="00803104"/>
    <w:rPr>
      <w:sz w:val="22"/>
      <w:szCs w:val="22"/>
      <w:lang w:bidi="fr-FR"/>
    </w:rPr>
  </w:style>
  <w:style w:type="paragraph" w:customStyle="1" w:styleId="Style1">
    <w:name w:val="Style1"/>
    <w:basedOn w:val="Normal"/>
    <w:link w:val="Style1Char"/>
    <w:qFormat/>
    <w:rsid w:val="00C9471A"/>
    <w:pPr>
      <w:numPr>
        <w:ilvl w:val="1"/>
        <w:numId w:val="20"/>
      </w:numPr>
      <w:tabs>
        <w:tab w:val="left" w:pos="1134"/>
        <w:tab w:val="left" w:pos="1701"/>
        <w:tab w:val="left" w:pos="2268"/>
      </w:tabs>
      <w:spacing w:before="120" w:after="120"/>
      <w:jc w:val="both"/>
    </w:pPr>
    <w:rPr>
      <w:rFonts w:ascii="Arial" w:hAnsi="Arial" w:cs="Arial"/>
      <w:sz w:val="22"/>
      <w:szCs w:val="22"/>
    </w:rPr>
  </w:style>
  <w:style w:type="numbering" w:customStyle="1" w:styleId="Headingsubdecision">
    <w:name w:val="Heading sub decision"/>
    <w:uiPriority w:val="99"/>
    <w:rsid w:val="00C9471A"/>
    <w:pPr>
      <w:numPr>
        <w:numId w:val="19"/>
      </w:numPr>
    </w:pPr>
  </w:style>
  <w:style w:type="character" w:customStyle="1" w:styleId="Style1Char">
    <w:name w:val="Style1 Char"/>
    <w:basedOn w:val="Policepardfaut"/>
    <w:link w:val="Style1"/>
    <w:rsid w:val="00C9471A"/>
    <w:rPr>
      <w:rFonts w:ascii="Arial" w:eastAsia="Times New Roman" w:hAnsi="Arial" w:cs="Arial"/>
      <w:sz w:val="22"/>
      <w:szCs w:val="22"/>
    </w:rPr>
  </w:style>
  <w:style w:type="character" w:styleId="Lienhypertextesuivivisit">
    <w:name w:val="FollowedHyperlink"/>
    <w:basedOn w:val="Policepardfaut"/>
    <w:uiPriority w:val="99"/>
    <w:semiHidden/>
    <w:unhideWhenUsed/>
    <w:rsid w:val="00B51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10-FR.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Recommendation"/><Relationship Id="rId4" Type="http://schemas.openxmlformats.org/officeDocument/2006/relationships/settings" Target="settings.xml"/><Relationship Id="rId9" Type="http://schemas.openxmlformats.org/officeDocument/2006/relationships/hyperlink" Target="https://ich.unesco.org/fr/10d-international-assistance-requests-0110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BEE6-2662-4B37-80F9-0C1F2C85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12</TotalTime>
  <Pages>4</Pages>
  <Words>1662</Words>
  <Characters>9142</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11</cp:revision>
  <cp:lastPrinted>2019-10-14T14:10:00Z</cp:lastPrinted>
  <dcterms:created xsi:type="dcterms:W3CDTF">2019-11-05T17:53:00Z</dcterms:created>
  <dcterms:modified xsi:type="dcterms:W3CDTF">2019-11-07T19:34:00Z</dcterms:modified>
</cp:coreProperties>
</file>