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2CA3" w14:textId="601542F8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КОНВЕНЦИЯ ОБ ОХРАНЕ</w:t>
      </w:r>
      <w:r>
        <w:rPr>
          <w:rFonts w:ascii="Arial" w:hAnsi="Arial"/>
          <w:b/>
          <w:sz w:val="22"/>
          <w:szCs w:val="22"/>
        </w:rPr>
        <w:br/>
        <w:t>НЕМАТЕРИАЛЬНОГО КУЛЬТУРНОГО НАСЛЕДИЯ</w:t>
      </w:r>
    </w:p>
    <w:p w14:paraId="20B82F5A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ГЕНЕРАЛЬНАЯ АССАМБЛЕЯ ГОСУДАРСТВ-УЧАСТНИКОВ КОНВЕНЦИИ</w:t>
      </w:r>
    </w:p>
    <w:p w14:paraId="54FD43C5" w14:textId="77777777" w:rsidR="00D95C4C" w:rsidRPr="00FD624F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Восьмая сессия</w:t>
      </w:r>
    </w:p>
    <w:p w14:paraId="131DBFA0" w14:textId="77777777"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Штаб-квартира ЮНЕСКО, зал I</w:t>
      </w:r>
    </w:p>
    <w:p w14:paraId="774D158B" w14:textId="49EF5967" w:rsidR="00655736" w:rsidRPr="00414643" w:rsidRDefault="00D25762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8-10 сентября 2020 г</w:t>
      </w:r>
      <w:r w:rsidR="002728F6">
        <w:rPr>
          <w:rFonts w:ascii="Arial" w:hAnsi="Arial"/>
          <w:b/>
          <w:sz w:val="22"/>
          <w:szCs w:val="22"/>
        </w:rPr>
        <w:t>.</w:t>
      </w:r>
    </w:p>
    <w:p w14:paraId="63406D14" w14:textId="506EF269" w:rsidR="00655736" w:rsidRPr="00414643" w:rsidRDefault="00655736" w:rsidP="00316F60">
      <w:pPr>
        <w:pStyle w:val="Sansinterligne2"/>
        <w:spacing w:before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Пункт 15 предварительной повестки дня:</w:t>
      </w:r>
    </w:p>
    <w:p w14:paraId="39A59493" w14:textId="4F28A368" w:rsidR="002F312A" w:rsidRPr="00414643" w:rsidRDefault="002728F6" w:rsidP="00316F60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 w:rsidRPr="002728F6">
        <w:rPr>
          <w:rFonts w:ascii="Arial" w:hAnsi="Arial"/>
          <w:b/>
          <w:sz w:val="22"/>
          <w:szCs w:val="22"/>
        </w:rPr>
        <w:t xml:space="preserve">Контроль за реализацией рекомендаций Рабочей группы открытого состава по вопросам управления, процедурам и методам работы руководящих органов ЮНЕСКО </w:t>
      </w:r>
      <w:r w:rsidR="00817F87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6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7"/>
      </w:tblGrid>
      <w:tr w:rsidR="00655736" w:rsidRPr="00CF60FD" w14:paraId="74EEAB66" w14:textId="77777777" w:rsidTr="00E958E2">
        <w:trPr>
          <w:jc w:val="center"/>
        </w:trPr>
        <w:tc>
          <w:tcPr>
            <w:tcW w:w="6557" w:type="dxa"/>
            <w:vAlign w:val="center"/>
          </w:tcPr>
          <w:p w14:paraId="20418BFE" w14:textId="6511B767" w:rsidR="0057439C" w:rsidRDefault="002728F6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Содержание</w:t>
            </w:r>
          </w:p>
          <w:p w14:paraId="7A5676D0" w14:textId="5BFCF093" w:rsidR="00D743BB" w:rsidRPr="003E7867" w:rsidRDefault="00D743BB" w:rsidP="002F31CF">
            <w:pPr>
              <w:pStyle w:val="Sansinterligne1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867">
              <w:rPr>
                <w:rFonts w:ascii="Arial" w:hAnsi="Arial"/>
                <w:sz w:val="22"/>
                <w:szCs w:val="22"/>
              </w:rPr>
              <w:t xml:space="preserve">Седьмая сессия Генеральной Ассамблеи государств-участников Конвенции 2003 года попросила включить в повестку дня нынешней сессии Генеральной Ассамблеи пункт, посвященный двум взаимосвязанным вопросам, касающимся </w:t>
            </w:r>
            <w:r w:rsidR="002728F6" w:rsidRPr="003E7867">
              <w:rPr>
                <w:rFonts w:ascii="Arial" w:hAnsi="Arial"/>
                <w:sz w:val="22"/>
                <w:szCs w:val="22"/>
              </w:rPr>
              <w:t>управления</w:t>
            </w:r>
            <w:r w:rsidRPr="003E7867">
              <w:rPr>
                <w:rFonts w:ascii="Arial" w:hAnsi="Arial"/>
                <w:sz w:val="22"/>
                <w:szCs w:val="22"/>
              </w:rPr>
              <w:t xml:space="preserve">, процедур и методов работы Конвенции 2003 года. В данном документе представлена </w:t>
            </w:r>
            <w:r w:rsidRPr="003E7867">
              <w:rPr>
                <w:rFonts w:ascii="Arial" w:hAnsi="Arial"/>
                <w:sz w:val="22"/>
                <w:szCs w:val="22"/>
                <w:highlight w:val="yellow"/>
              </w:rPr>
              <w:t>​​</w:t>
            </w:r>
            <w:r w:rsidRPr="003E7867">
              <w:rPr>
                <w:rFonts w:ascii="Arial" w:hAnsi="Arial"/>
                <w:sz w:val="22"/>
                <w:szCs w:val="22"/>
              </w:rPr>
              <w:t xml:space="preserve">информация о прогрессе, достигнутом в этом отношении, </w:t>
            </w:r>
            <w:r w:rsidR="002F31CF" w:rsidRPr="003E7867">
              <w:rPr>
                <w:rFonts w:ascii="Arial" w:hAnsi="Arial"/>
                <w:sz w:val="22"/>
                <w:szCs w:val="22"/>
              </w:rPr>
              <w:t xml:space="preserve">а также </w:t>
            </w:r>
            <w:r w:rsidRPr="003E7867">
              <w:rPr>
                <w:rFonts w:ascii="Arial" w:hAnsi="Arial"/>
                <w:sz w:val="22"/>
                <w:szCs w:val="22"/>
              </w:rPr>
              <w:t>предложени</w:t>
            </w:r>
            <w:r w:rsidR="002F31CF" w:rsidRPr="003E7867">
              <w:rPr>
                <w:rFonts w:ascii="Arial" w:hAnsi="Arial"/>
                <w:sz w:val="22"/>
                <w:szCs w:val="22"/>
              </w:rPr>
              <w:t>я</w:t>
            </w:r>
            <w:r w:rsidRPr="003E7867">
              <w:rPr>
                <w:rFonts w:ascii="Arial" w:hAnsi="Arial"/>
                <w:sz w:val="22"/>
                <w:szCs w:val="22"/>
              </w:rPr>
              <w:t xml:space="preserve"> </w:t>
            </w:r>
            <w:r w:rsidR="002F31CF" w:rsidRPr="003E7867">
              <w:rPr>
                <w:rFonts w:ascii="Arial" w:hAnsi="Arial"/>
                <w:sz w:val="22"/>
                <w:szCs w:val="22"/>
              </w:rPr>
              <w:t xml:space="preserve">касательно </w:t>
            </w:r>
            <w:r w:rsidRPr="003E7867">
              <w:rPr>
                <w:rFonts w:ascii="Arial" w:hAnsi="Arial"/>
                <w:sz w:val="22"/>
                <w:szCs w:val="22"/>
              </w:rPr>
              <w:t>дальнейших действий.</w:t>
            </w:r>
          </w:p>
          <w:p w14:paraId="0DA458C8" w14:textId="11A60F99" w:rsidR="00655736" w:rsidRPr="00414643" w:rsidRDefault="00FB6630" w:rsidP="00D743BB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867">
              <w:rPr>
                <w:rFonts w:ascii="Arial" w:hAnsi="Arial"/>
                <w:b/>
                <w:bCs/>
                <w:sz w:val="22"/>
                <w:szCs w:val="22"/>
              </w:rPr>
              <w:t xml:space="preserve">Требуемое решение: </w:t>
            </w:r>
            <w:r w:rsidRPr="003E7867">
              <w:rPr>
                <w:rFonts w:ascii="Arial" w:hAnsi="Arial"/>
                <w:sz w:val="22"/>
                <w:szCs w:val="22"/>
              </w:rPr>
              <w:t xml:space="preserve">пункт </w:t>
            </w:r>
            <w:r w:rsidR="001B13C5" w:rsidRPr="003E7867">
              <w:rPr>
                <w:rFonts w:ascii="Arial" w:hAnsi="Arial"/>
                <w:sz w:val="22"/>
                <w:szCs w:val="22"/>
                <w:lang w:val="fr-FR"/>
              </w:rPr>
              <w:t>12</w:t>
            </w:r>
          </w:p>
        </w:tc>
      </w:tr>
    </w:tbl>
    <w:p w14:paraId="0332517C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14:paraId="3C6CA50A" w14:textId="2AB10C0B" w:rsidR="00FC78E8" w:rsidRDefault="00FC78E8" w:rsidP="006749EF">
      <w:pPr>
        <w:pStyle w:val="GAPara"/>
        <w:numPr>
          <w:ilvl w:val="0"/>
          <w:numId w:val="19"/>
        </w:numPr>
        <w:ind w:left="567" w:hanging="567"/>
        <w:jc w:val="both"/>
      </w:pPr>
      <w:r>
        <w:lastRenderedPageBreak/>
        <w:t xml:space="preserve">Седьмая сессия Генеральной Ассамблеи государств-участников Конвенции 2003 года попросила включить в повестку дня нынешней сессии Генеральной Ассамблеи пункт, посвященный двум взаимосвязанным вопросам, касающимся </w:t>
      </w:r>
      <w:r w:rsidR="002F31CF">
        <w:t>управления</w:t>
      </w:r>
      <w:r>
        <w:t>, процедур и методов работы Конвенции 2003</w:t>
      </w:r>
      <w:r w:rsidR="002F31CF">
        <w:t xml:space="preserve"> г.</w:t>
      </w:r>
      <w:r>
        <w:t>:</w:t>
      </w:r>
    </w:p>
    <w:p w14:paraId="13C7B456" w14:textId="416F1D5A" w:rsidR="00F8791F" w:rsidRPr="00E94D04" w:rsidRDefault="002F31CF" w:rsidP="00F8791F">
      <w:pPr>
        <w:pStyle w:val="Marge"/>
        <w:numPr>
          <w:ilvl w:val="1"/>
          <w:numId w:val="19"/>
        </w:numPr>
      </w:pPr>
      <w:r w:rsidRPr="00EA4B38">
        <w:t xml:space="preserve">Контроль за реализацией </w:t>
      </w:r>
      <w:r w:rsidR="00F8791F">
        <w:t xml:space="preserve">соответствующих рекомендаций </w:t>
      </w:r>
      <w:r>
        <w:t xml:space="preserve">Рабочей </w:t>
      </w:r>
      <w:r w:rsidR="00F8791F">
        <w:t>группы открытого состава по управлению, процедурам и методам работы руководящих органов ЮНЕСКО, в том числе путем предложения проекта поправок к Правилам процедуры Генеральной Ассамблеи (</w:t>
      </w:r>
      <w:hyperlink r:id="rId8" w:history="1">
        <w:r w:rsidR="00F8791F">
          <w:rPr>
            <w:rStyle w:val="Hyperlink"/>
          </w:rPr>
          <w:t>Резолюция 7.GA 12</w:t>
        </w:r>
      </w:hyperlink>
      <w:r w:rsidR="00F8791F">
        <w:t>);</w:t>
      </w:r>
    </w:p>
    <w:p w14:paraId="2F0443CF" w14:textId="7FF0F0C8" w:rsidR="00E94D04" w:rsidRPr="00E94D04" w:rsidRDefault="00E94D04" w:rsidP="00FC78E8">
      <w:pPr>
        <w:pStyle w:val="Marge"/>
        <w:numPr>
          <w:ilvl w:val="1"/>
          <w:numId w:val="19"/>
        </w:numPr>
      </w:pPr>
      <w:r>
        <w:t>Обеспечение согласованности Правил процедуры шести конвенций в области культуры (</w:t>
      </w:r>
      <w:hyperlink r:id="rId9" w:history="1">
        <w:r>
          <w:rPr>
            <w:rStyle w:val="Hyperlink"/>
          </w:rPr>
          <w:t>Резолюция 7.GA 13</w:t>
        </w:r>
      </w:hyperlink>
      <w:r>
        <w:rPr>
          <w:rStyle w:val="Hyperlink"/>
        </w:rPr>
        <w:t>).</w:t>
      </w:r>
    </w:p>
    <w:p w14:paraId="7E8B00FC" w14:textId="661DB376" w:rsidR="0021539E" w:rsidRPr="00C81CF1" w:rsidRDefault="0021539E" w:rsidP="00F14584">
      <w:pPr>
        <w:pStyle w:val="GAPara"/>
        <w:numPr>
          <w:ilvl w:val="0"/>
          <w:numId w:val="19"/>
        </w:numPr>
        <w:ind w:left="567" w:hanging="567"/>
        <w:jc w:val="both"/>
        <w:rPr>
          <w:rStyle w:val="Hyperlink"/>
          <w:rFonts w:cs="Times New Roman"/>
          <w:snapToGrid/>
          <w:color w:val="auto"/>
          <w:szCs w:val="24"/>
          <w:u w:val="none"/>
        </w:rPr>
      </w:pPr>
      <w:r>
        <w:t xml:space="preserve">На своей тридцать восьмой сессии в 2015 году </w:t>
      </w:r>
      <w:r>
        <w:rPr>
          <w:snapToGrid/>
        </w:rPr>
        <w:t>(</w:t>
      </w:r>
      <w:hyperlink r:id="rId10" w:history="1">
        <w:r>
          <w:rPr>
            <w:rStyle w:val="Hyperlink"/>
          </w:rPr>
          <w:t xml:space="preserve">Резолюция </w:t>
        </w:r>
        <w:r w:rsidR="00E958E2" w:rsidRPr="00E958E2">
          <w:rPr>
            <w:rStyle w:val="Hyperlink"/>
          </w:rPr>
          <w:t>38C/</w:t>
        </w:r>
        <w:r>
          <w:rPr>
            <w:rStyle w:val="Hyperlink"/>
          </w:rPr>
          <w:t>101</w:t>
        </w:r>
      </w:hyperlink>
      <w:r>
        <w:rPr>
          <w:rStyle w:val="Hyperlink"/>
        </w:rPr>
        <w:t>;</w:t>
      </w:r>
      <w:r>
        <w:rPr>
          <w:rStyle w:val="Hyperlink"/>
          <w:color w:val="auto"/>
          <w:u w:val="none"/>
        </w:rPr>
        <w:t xml:space="preserve"> документ 38 C/23)</w:t>
      </w:r>
      <w:r>
        <w:t xml:space="preserve"> Генеральная конференция ЮНЕСКО предложила всем межправительственным программам, комитетам и органам конвенций обсудить </w:t>
      </w:r>
      <w:r w:rsidR="00A65680">
        <w:t xml:space="preserve">реализацию </w:t>
      </w:r>
      <w:r>
        <w:t>рекомендаци</w:t>
      </w:r>
      <w:r w:rsidR="00A65680">
        <w:t>й</w:t>
      </w:r>
      <w:r>
        <w:t xml:space="preserve"> отчета ревизора со стороны для улучшения их управления с помощью конкретных мер. </w:t>
      </w:r>
      <w:r>
        <w:rPr>
          <w:snapToGrid/>
        </w:rPr>
        <w:t xml:space="preserve">В то же время на той же сессии Генеральной конференции была создана Рабочая группа открытого состава по управлению, </w:t>
      </w:r>
      <w:r>
        <w:t>процедурам</w:t>
      </w:r>
      <w:r>
        <w:rPr>
          <w:snapToGrid/>
        </w:rPr>
        <w:t xml:space="preserve"> и методам работы руководящих органов ЮНЕСКО с целью обеспечения большей синергии, согласованности, эффективности и воздействия</w:t>
      </w:r>
      <w:r>
        <w:rPr>
          <w:rStyle w:val="Hyperlink"/>
          <w:color w:val="auto"/>
          <w:u w:val="none"/>
        </w:rPr>
        <w:t>.</w:t>
      </w:r>
    </w:p>
    <w:p w14:paraId="309C2E1A" w14:textId="1C7A93E8" w:rsidR="00582029" w:rsidRPr="00582029" w:rsidRDefault="00960DD0" w:rsidP="00582029">
      <w:pPr>
        <w:pStyle w:val="GAPara"/>
        <w:numPr>
          <w:ilvl w:val="0"/>
          <w:numId w:val="19"/>
        </w:numPr>
        <w:ind w:left="567" w:hanging="567"/>
        <w:jc w:val="both"/>
        <w:rPr>
          <w:snapToGrid/>
        </w:rPr>
      </w:pPr>
      <w:r>
        <w:t xml:space="preserve">Отмечая несоответствие правил процедуры различных </w:t>
      </w:r>
      <w:r w:rsidR="0010600B">
        <w:t xml:space="preserve">руководящих органов </w:t>
      </w:r>
      <w:r>
        <w:t>конвенций ЮНЕСКО в области культуры и в соответствии с рекомендациями ревизора со стороны, Генеральная Ассамблея на своей шестой сессии в 2016 году предложила государствам-участникам представить предложения по внесению изменений в ее Правила процедуры (</w:t>
      </w:r>
      <w:hyperlink r:id="rId11" w:history="1">
        <w:r>
          <w:rPr>
            <w:rStyle w:val="Hyperlink"/>
          </w:rPr>
          <w:t>Резолюция 6.GA 11</w:t>
        </w:r>
      </w:hyperlink>
      <w:r>
        <w:t xml:space="preserve">) для повышения согласованности между шестью конвенциями ЮНЕСКО в области культуры. </w:t>
      </w:r>
    </w:p>
    <w:p w14:paraId="7F9D2D56" w14:textId="185505E0" w:rsidR="00582029" w:rsidRDefault="00582029" w:rsidP="00582029">
      <w:pPr>
        <w:pStyle w:val="GAPara"/>
        <w:numPr>
          <w:ilvl w:val="0"/>
          <w:numId w:val="19"/>
        </w:numPr>
        <w:ind w:left="567" w:hanging="567"/>
        <w:jc w:val="both"/>
        <w:rPr>
          <w:snapToGrid/>
        </w:rPr>
      </w:pPr>
      <w:r>
        <w:t>На своей тридцать девятой сессии в 2017 году Генеральная конференция рассмотрела отчет Рабочей группы открытого состава (</w:t>
      </w:r>
      <w:hyperlink r:id="rId12" w:history="1">
        <w:r>
          <w:rPr>
            <w:rStyle w:val="Hyperlink"/>
          </w:rPr>
          <w:t>документ 39 C/20</w:t>
        </w:r>
      </w:hyperlink>
      <w:r>
        <w:t>) и своей резолюцией 39 C/87 одобрила рекомендации группы с поправками, внесенными Комиссией APX</w:t>
      </w:r>
      <w:r>
        <w:rPr>
          <w:rStyle w:val="FootnoteReference"/>
        </w:rPr>
        <w:footnoteReference w:id="1"/>
      </w:r>
      <w:r>
        <w:t xml:space="preserve"> в </w:t>
      </w:r>
      <w:hyperlink r:id="rId13" w:history="1">
        <w:r>
          <w:rPr>
            <w:rStyle w:val="Hyperlink"/>
          </w:rPr>
          <w:t>документ</w:t>
        </w:r>
        <w:r w:rsidR="003E7867">
          <w:rPr>
            <w:rStyle w:val="Hyperlink"/>
            <w:lang w:val="fr-FR"/>
          </w:rPr>
          <w:t> </w:t>
        </w:r>
        <w:bookmarkStart w:id="0" w:name="_GoBack"/>
        <w:bookmarkEnd w:id="0"/>
        <w:r>
          <w:rPr>
            <w:rStyle w:val="Hyperlink"/>
          </w:rPr>
          <w:t>39 C/70</w:t>
        </w:r>
      </w:hyperlink>
      <w:r>
        <w:t xml:space="preserve">. Кроме того, в той же </w:t>
      </w:r>
      <w:r w:rsidR="0010600B">
        <w:t xml:space="preserve">резолюции </w:t>
      </w:r>
      <w:r>
        <w:t>Генеральная конференция предложила Исполнительному совету, Генеральному директору и руководящим структурам различных органов, рассмотренных Рабочей группой открытого состава по управлению, выполнить, в соответствующих случаях, одобренные рекомендации. Рассмотрение на двенадцатой сессии Комитета ограничилось теми рекомендациями Рабочей группы открытого состава, в которых конкретно упоминается Конвенция 2003 года (</w:t>
      </w:r>
      <w:hyperlink r:id="rId14" w:history="1">
        <w:r>
          <w:rPr>
            <w:rStyle w:val="Hyperlink"/>
          </w:rPr>
          <w:t>документ ITH/17/12.COM/16</w:t>
        </w:r>
      </w:hyperlink>
      <w:r>
        <w:t xml:space="preserve">; </w:t>
      </w:r>
      <w:hyperlink r:id="rId15" w:history="1">
        <w:r>
          <w:rPr>
            <w:rStyle w:val="Hyperlink"/>
          </w:rPr>
          <w:t>Решение 12.COM 16</w:t>
        </w:r>
      </w:hyperlink>
      <w:r>
        <w:t>).</w:t>
      </w:r>
    </w:p>
    <w:p w14:paraId="482E9F35" w14:textId="25130266" w:rsidR="003F7B9D" w:rsidRPr="00CF60FD" w:rsidRDefault="00D64233" w:rsidP="00D64233">
      <w:pPr>
        <w:pStyle w:val="GAPara"/>
        <w:numPr>
          <w:ilvl w:val="0"/>
          <w:numId w:val="19"/>
        </w:numPr>
        <w:ind w:left="567" w:hanging="567"/>
        <w:jc w:val="both"/>
        <w:rPr>
          <w:snapToGrid/>
        </w:rPr>
      </w:pPr>
      <w:r>
        <w:t xml:space="preserve">Впоследствии в 2018 году седьмая сессия Генеральной Ассамблеи одновременно рассмотрела два отдельных вопроса, касающихся </w:t>
      </w:r>
      <w:r w:rsidR="0010600B">
        <w:t xml:space="preserve">реализации </w:t>
      </w:r>
      <w:r w:rsidR="00077030">
        <w:t xml:space="preserve">рекомендаций </w:t>
      </w:r>
      <w:r>
        <w:t xml:space="preserve">Рабочей группы открытого состава и пересмотра Правил процедуры Генеральной Ассамблеи. </w:t>
      </w:r>
      <w:r w:rsidR="00077030">
        <w:t xml:space="preserve">В соответствии с </w:t>
      </w:r>
      <w:r>
        <w:t>некотор</w:t>
      </w:r>
      <w:r w:rsidR="00077030">
        <w:t xml:space="preserve">ыми </w:t>
      </w:r>
      <w:r>
        <w:t>рекомендация</w:t>
      </w:r>
      <w:r w:rsidR="00077030">
        <w:t>ми</w:t>
      </w:r>
      <w:r>
        <w:t xml:space="preserve"> Рабочей группы открытого состава</w:t>
      </w:r>
      <w:r w:rsidR="00077030">
        <w:t xml:space="preserve">, содержащими </w:t>
      </w:r>
      <w:r>
        <w:t xml:space="preserve">призыв к обеспечению согласованности правил и процедур международных и межправительственных органов ЮНЕСКО, </w:t>
      </w:r>
      <w:r w:rsidR="00077030">
        <w:t xml:space="preserve">а также </w:t>
      </w:r>
      <w:r>
        <w:t>отчет</w:t>
      </w:r>
      <w:r w:rsidR="00077030">
        <w:t>а</w:t>
      </w:r>
      <w:r>
        <w:t xml:space="preserve"> ревизора со стороны:</w:t>
      </w:r>
    </w:p>
    <w:p w14:paraId="6A12466B" w14:textId="654FC13E" w:rsidR="00D64233" w:rsidRPr="007C1514" w:rsidRDefault="004B048B" w:rsidP="00CF60FD">
      <w:pPr>
        <w:pStyle w:val="GAPara"/>
        <w:numPr>
          <w:ilvl w:val="0"/>
          <w:numId w:val="40"/>
        </w:numPr>
        <w:jc w:val="both"/>
        <w:rPr>
          <w:snapToGrid/>
        </w:rPr>
      </w:pPr>
      <w:r>
        <w:t>Ассамблея приняла к сведению предложения, представленные шестью государствами-участниками (</w:t>
      </w:r>
      <w:hyperlink r:id="rId16" w:history="1">
        <w:r>
          <w:rPr>
            <w:rStyle w:val="Hyperlink"/>
          </w:rPr>
          <w:t>документ ITH/18/7.GA/13</w:t>
        </w:r>
      </w:hyperlink>
      <w:r>
        <w:t>), и попросила Секретариат, помимо прочего, подготовить сводный набор проектов поправок для рассмотрения на нынешней сессии Генеральной Ассамблеи (</w:t>
      </w:r>
      <w:hyperlink r:id="rId17" w:history="1">
        <w:r>
          <w:rPr>
            <w:rStyle w:val="Hyperlink"/>
          </w:rPr>
          <w:t>Резолюция 7.GA 13</w:t>
        </w:r>
      </w:hyperlink>
      <w:r>
        <w:t xml:space="preserve">). В то же время Генеральная Ассамблея подчеркнула «решающую роль Сектора культуры» в </w:t>
      </w:r>
      <w:r w:rsidR="00077030">
        <w:t xml:space="preserve">подготовке </w:t>
      </w:r>
      <w:r>
        <w:t>матрицы, «содержащей сводные поправки к правилам процедуры вышеупомянутых органов».</w:t>
      </w:r>
    </w:p>
    <w:p w14:paraId="6CCB036B" w14:textId="4C3D31A7" w:rsidR="0021539E" w:rsidRPr="006749EF" w:rsidRDefault="001B5301" w:rsidP="00CF60FD">
      <w:pPr>
        <w:pStyle w:val="GAPara"/>
        <w:numPr>
          <w:ilvl w:val="0"/>
          <w:numId w:val="40"/>
        </w:numPr>
        <w:jc w:val="both"/>
      </w:pPr>
      <w:r>
        <w:lastRenderedPageBreak/>
        <w:t>В то же время седьмая сессия Ассамблеи также проверила статус каждой рекомендации рабочей группы открытого состава по управлению, процедурам и методам работы ЮНЕСКО (</w:t>
      </w:r>
      <w:hyperlink r:id="rId18" w:history="1">
        <w:r>
          <w:rPr>
            <w:rStyle w:val="Hyperlink"/>
          </w:rPr>
          <w:t>документ ITH/18/7.GA/12</w:t>
        </w:r>
      </w:hyperlink>
      <w:r>
        <w:t>) и попросила, чтобы Секретариат, помимо прочего, предложил проект поправок к Правилам процедуры Генеральной Ассамблеи (</w:t>
      </w:r>
      <w:hyperlink r:id="rId19" w:history="1">
        <w:r>
          <w:rPr>
            <w:rStyle w:val="Hyperlink"/>
          </w:rPr>
          <w:t>Резолюция 7.GA 12</w:t>
        </w:r>
      </w:hyperlink>
      <w:r>
        <w:t>).</w:t>
      </w:r>
    </w:p>
    <w:p w14:paraId="6617334B" w14:textId="4A29B1B0" w:rsidR="000B1862" w:rsidRPr="00783377" w:rsidRDefault="00ED652D" w:rsidP="000B1862">
      <w:pPr>
        <w:pStyle w:val="GAPara"/>
        <w:numPr>
          <w:ilvl w:val="0"/>
          <w:numId w:val="19"/>
        </w:numPr>
        <w:ind w:left="567" w:hanging="567"/>
        <w:jc w:val="both"/>
      </w:pPr>
      <w:r w:rsidRPr="00783377">
        <w:t xml:space="preserve">Впоследствии </w:t>
      </w:r>
      <w:r w:rsidR="00A63C09" w:rsidRPr="00783377">
        <w:t>Секретариаты всех к</w:t>
      </w:r>
      <w:r w:rsidRPr="00783377">
        <w:t>онвенци</w:t>
      </w:r>
      <w:r w:rsidR="00A63C09" w:rsidRPr="00783377">
        <w:t>й</w:t>
      </w:r>
      <w:r w:rsidRPr="00783377">
        <w:t xml:space="preserve"> </w:t>
      </w:r>
      <w:r w:rsidR="00A63C09" w:rsidRPr="00783377">
        <w:t xml:space="preserve">в сфере культуры </w:t>
      </w:r>
      <w:r w:rsidRPr="00783377">
        <w:t xml:space="preserve">создали рабочую группу для проведения неофициального сравнительного анализа Правил процедур этих документов. </w:t>
      </w:r>
      <w:r w:rsidR="00A63C09" w:rsidRPr="00783377">
        <w:t>Р</w:t>
      </w:r>
      <w:r w:rsidRPr="00783377">
        <w:t xml:space="preserve">абота, проделанная группой, </w:t>
      </w:r>
      <w:r w:rsidR="005B2E7A">
        <w:t xml:space="preserve">привела к обсуждению </w:t>
      </w:r>
      <w:r w:rsidRPr="00783377">
        <w:t>несколько вопросов, преимущественно касающихся того, какие Правила процедуры следует использовать в качестве исходных для обеспечения согласованности.</w:t>
      </w:r>
    </w:p>
    <w:p w14:paraId="40F6731E" w14:textId="5EA216EF" w:rsidR="00273128" w:rsidRDefault="000B1862" w:rsidP="000B1862">
      <w:pPr>
        <w:pStyle w:val="GAPara"/>
        <w:numPr>
          <w:ilvl w:val="0"/>
          <w:numId w:val="19"/>
        </w:numPr>
        <w:ind w:left="567" w:hanging="567"/>
        <w:jc w:val="both"/>
      </w:pPr>
      <w:r>
        <w:t>Статус каждой рекомендации Рабочей группы открытого состава дополнительно обсуждался на тринадцатой сессии Комитета в 2018 году (</w:t>
      </w:r>
      <w:hyperlink r:id="rId20" w:history="1">
        <w:r>
          <w:rPr>
            <w:rStyle w:val="Hyperlink"/>
          </w:rPr>
          <w:t>документ ITH/18/13.COM/17</w:t>
        </w:r>
      </w:hyperlink>
      <w:r>
        <w:t xml:space="preserve">; </w:t>
      </w:r>
      <w:hyperlink r:id="rId21" w:history="1">
        <w:r>
          <w:rPr>
            <w:rStyle w:val="Hyperlink"/>
          </w:rPr>
          <w:t>Решение 13.COM 17</w:t>
        </w:r>
      </w:hyperlink>
      <w:r>
        <w:t>). В следующем году четырнадцатая сессия (</w:t>
      </w:r>
      <w:hyperlink r:id="rId22" w:history="1">
        <w:r>
          <w:rPr>
            <w:rStyle w:val="Hyperlink"/>
          </w:rPr>
          <w:t>документ LHE/19/14.COM/19</w:t>
        </w:r>
      </w:hyperlink>
      <w:r>
        <w:t>) Комитета приняла к сведению</w:t>
      </w:r>
      <w:r w:rsidR="005B2E7A" w:rsidRPr="00F14584">
        <w:t xml:space="preserve"> </w:t>
      </w:r>
      <w:r w:rsidR="005B2E7A">
        <w:t>тот факт</w:t>
      </w:r>
      <w:r>
        <w:t xml:space="preserve">, что многие рекомендации в настоящее время закрыты, а некоторые из них считаются передовой практикой после </w:t>
      </w:r>
      <w:r w:rsidR="00566516">
        <w:t xml:space="preserve">того, предпринимаются </w:t>
      </w:r>
      <w:r>
        <w:t>соответствующи</w:t>
      </w:r>
      <w:r w:rsidR="00566516">
        <w:t>е меры для их реализации</w:t>
      </w:r>
      <w:r>
        <w:t xml:space="preserve">. Кроме того, по большинству невыполненных рекомендаций уже принят набор смягчающих мер, при этом в то же время некоторые другие вопросы требуют действий со стороны государств-участников на долгосрочной основе. </w:t>
      </w:r>
    </w:p>
    <w:p w14:paraId="02B56EF3" w14:textId="5754281F" w:rsidR="00273128" w:rsidRPr="00C21BD0" w:rsidRDefault="00273128" w:rsidP="00555191">
      <w:pPr>
        <w:pStyle w:val="GAPara"/>
        <w:numPr>
          <w:ilvl w:val="0"/>
          <w:numId w:val="19"/>
        </w:numPr>
        <w:ind w:left="567" w:hanging="567"/>
        <w:jc w:val="both"/>
      </w:pPr>
      <w:r>
        <w:t>Наглядным примером усилий Секретариата по продолжению деятельности в ответ на рекомендации Рабочей группы открытого состава является включение пункта 8 в предварительную повестку дня текущей сессии Генеральной Ассамблеи для обсуждения вклада государств-участников Конвенции 2003 года в подготовку новой Среднесрочной стратегии на 2022-2029 годы (41</w:t>
      </w:r>
      <w:r w:rsidR="00566516">
        <w:t xml:space="preserve"> </w:t>
      </w:r>
      <w:r>
        <w:t>C/4) и проекта Программы и бюджета на 2022-2025 годы (41</w:t>
      </w:r>
      <w:r w:rsidR="00FF6103">
        <w:t xml:space="preserve"> </w:t>
      </w:r>
      <w:r>
        <w:t xml:space="preserve">C/5) посредством электронных консультаций, проведенных в мае 2020 года (документ </w:t>
      </w:r>
      <w:hyperlink r:id="rId23" w:history="1">
        <w:r w:rsidRPr="00D13400">
          <w:rPr>
            <w:rStyle w:val="Hyperlink"/>
          </w:rPr>
          <w:t>LHE/20/8.GA/8</w:t>
        </w:r>
      </w:hyperlink>
      <w:r>
        <w:t>). Электронная консультация и пункт 8 предварительной повестки дня являются прямым ответом на рекомендацию 74 Рабочей группы открытого состава, согласно которой все международные и межправительственные органы должны иметь возможность представить официальные материалы для документов ЮНЕСКО: среднесрочная стратегия C/4 и проект Программы и бюджета С/5.</w:t>
      </w:r>
    </w:p>
    <w:p w14:paraId="43E927DC" w14:textId="5F50ECAE" w:rsidR="000B1862" w:rsidRPr="00A6279B" w:rsidRDefault="000B1862" w:rsidP="000B1862">
      <w:pPr>
        <w:pStyle w:val="GAPara"/>
        <w:numPr>
          <w:ilvl w:val="0"/>
          <w:numId w:val="19"/>
        </w:numPr>
        <w:ind w:left="567" w:hanging="567"/>
        <w:jc w:val="both"/>
      </w:pPr>
      <w:r>
        <w:t xml:space="preserve">Хотя вопрос «обеспечения согласованности» фигурирует в ряде рекомендаций рабочей группы (например, 58, 65, 66, 67, </w:t>
      </w:r>
      <w:r w:rsidRPr="00F14584">
        <w:t>71 и 96</w:t>
      </w:r>
      <w:r>
        <w:t>), большинство из которых считаются текущими, четырнадцатая сессия Комитета пришла к выводу, что руководящие органы и Секретариат добились устойчивого прогресса в обеспечении рационального управления Конвенцией 2003 года</w:t>
      </w:r>
      <w:r w:rsidR="00E958E2">
        <w:t>,</w:t>
      </w:r>
      <w:r>
        <w:t xml:space="preserve"> и попросила Секретариат продолжать отчитываться «по мере необходимости» о дальнейшем прогрессе в отношении статуса рекомендаций (</w:t>
      </w:r>
      <w:hyperlink r:id="rId24" w:history="1">
        <w:r>
          <w:rPr>
            <w:rStyle w:val="Hyperlink"/>
          </w:rPr>
          <w:t>Решение 14.COM 19</w:t>
        </w:r>
      </w:hyperlink>
      <w:r>
        <w:t>).</w:t>
      </w:r>
    </w:p>
    <w:p w14:paraId="2317A129" w14:textId="0B56BD46" w:rsidR="000B1862" w:rsidRDefault="000B1862" w:rsidP="000B1862">
      <w:pPr>
        <w:pStyle w:val="GAPara"/>
        <w:numPr>
          <w:ilvl w:val="0"/>
          <w:numId w:val="19"/>
        </w:numPr>
        <w:ind w:left="567" w:hanging="567"/>
        <w:jc w:val="both"/>
      </w:pPr>
      <w:r>
        <w:t xml:space="preserve">Между тем, нынешней сессии Генеральной Ассамблеи предлагается в соответствии с пунктом 7 предварительной повестки дня </w:t>
      </w:r>
      <w:r w:rsidR="00FF6103">
        <w:t xml:space="preserve">рассмотреть </w:t>
      </w:r>
      <w:r>
        <w:t>предлагаемую поправку к Положению о финансах Специального счета для Фонда охраны нематериального культурного наследия Конвенции 2003 года для согласования с Типовым положением о финансах для Специального счета для конвенций, одобренным Исполнительным советом ЮНЕСКО (</w:t>
      </w:r>
      <w:hyperlink r:id="rId25" w:history="1">
        <w:r>
          <w:rPr>
            <w:rStyle w:val="Hyperlink"/>
          </w:rPr>
          <w:t>документ LHE/20/8.GA/7 </w:t>
        </w:r>
        <w:proofErr w:type="spellStart"/>
        <w:r>
          <w:rPr>
            <w:rStyle w:val="Hyperlink"/>
          </w:rPr>
          <w:t>Rev</w:t>
        </w:r>
        <w:proofErr w:type="spellEnd"/>
        <w:r>
          <w:rPr>
            <w:rStyle w:val="Hyperlink"/>
          </w:rPr>
          <w:t>.</w:t>
        </w:r>
      </w:hyperlink>
      <w:r>
        <w:t>). Это можно считать уместным примером усилий по обеспечению согласованности правил, регулирующих Конвенцию 2003 года, с тем чтобы они, насколько это возможно, соответствовали аналогичными правилам, регулирующим другие документы, за которые несет ответственность Организация.</w:t>
      </w:r>
    </w:p>
    <w:p w14:paraId="6E5F0761" w14:textId="38F7C1F6" w:rsidR="00C42C66" w:rsidRDefault="001F18B9" w:rsidP="006749EF">
      <w:pPr>
        <w:pStyle w:val="GAPara"/>
        <w:numPr>
          <w:ilvl w:val="0"/>
          <w:numId w:val="19"/>
        </w:numPr>
        <w:ind w:left="567" w:hanging="567"/>
        <w:jc w:val="both"/>
      </w:pPr>
      <w:r>
        <w:t xml:space="preserve">Учитывая, что основная цель обеспечения согласованности Правил процедуры состояла в том, чтобы отреагировать на рекомендации рабочей группы открытого состава, а также учитывая, что </w:t>
      </w:r>
      <w:r w:rsidR="00FF6103">
        <w:t xml:space="preserve">четырнадцатая сессия Комитета подтвердила достижение </w:t>
      </w:r>
      <w:r>
        <w:t>достаточн</w:t>
      </w:r>
      <w:r w:rsidR="00FF6103">
        <w:t xml:space="preserve">ого </w:t>
      </w:r>
      <w:r>
        <w:t>прогресс</w:t>
      </w:r>
      <w:r w:rsidR="00FF6103">
        <w:t>а</w:t>
      </w:r>
      <w:r>
        <w:t xml:space="preserve"> по этим рекомендациям, Секретариат предлагает, чтобы этот вопрос теперь считался закрытым без необходимости представления отчета </w:t>
      </w:r>
      <w:r>
        <w:lastRenderedPageBreak/>
        <w:t xml:space="preserve">на следующей сессии Генеральной Ассамблеи. Излишне говорить, что Секретариат продолжит свою работу по выявлению дальнейших возможностей обеспечения согласованности правил процедуры </w:t>
      </w:r>
      <w:r w:rsidR="00FF6103">
        <w:t xml:space="preserve">руководящих органов </w:t>
      </w:r>
      <w:r>
        <w:t>Конвенции 2003 года с правилами других конвенций в области культуры, когда это уместно и возможно, и будет соответственно отчитываться перед руководящими органами Конвенции.</w:t>
      </w:r>
    </w:p>
    <w:p w14:paraId="4EAAF5DF" w14:textId="7FF00B52" w:rsidR="008A1ED4" w:rsidRPr="005A4A42" w:rsidRDefault="00FF6103" w:rsidP="008A1ED4">
      <w:pPr>
        <w:keepNext/>
        <w:numPr>
          <w:ilvl w:val="0"/>
          <w:numId w:val="19"/>
        </w:numPr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 w:rsidRPr="00FF6103">
        <w:rPr>
          <w:rFonts w:ascii="Arial" w:hAnsi="Arial"/>
          <w:sz w:val="22"/>
        </w:rPr>
        <w:t>Генеральной ассамблее предлагается принять резолюцию следующего содержания</w:t>
      </w:r>
      <w:r w:rsidR="008A1ED4">
        <w:rPr>
          <w:rFonts w:ascii="Arial" w:hAnsi="Arial"/>
          <w:sz w:val="22"/>
        </w:rPr>
        <w:t>:</w:t>
      </w:r>
    </w:p>
    <w:p w14:paraId="0FA73991" w14:textId="07A11013" w:rsidR="008A1ED4" w:rsidRDefault="00F010E0" w:rsidP="008A1ED4">
      <w:pPr>
        <w:pStyle w:val="GATitleResolution"/>
      </w:pPr>
      <w:r>
        <w:t>ПРОЕКТ РЕЗОЛЮЦИИ 8.GA 15</w:t>
      </w:r>
    </w:p>
    <w:p w14:paraId="1D582314" w14:textId="77777777" w:rsidR="008A1ED4" w:rsidRPr="005A4A42" w:rsidRDefault="008A1ED4" w:rsidP="008A1ED4">
      <w:pPr>
        <w:pStyle w:val="GAPreambulaResolution"/>
        <w:rPr>
          <w:rFonts w:eastAsia="SimSun"/>
        </w:rPr>
      </w:pPr>
      <w:r>
        <w:t>Генеральная Ассамблея,</w:t>
      </w:r>
    </w:p>
    <w:p w14:paraId="594680F8" w14:textId="12D1FDCE" w:rsidR="008A1ED4" w:rsidRPr="00555191" w:rsidRDefault="008A1ED4" w:rsidP="00555191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>
        <w:t>Рассмотрев</w:t>
      </w:r>
      <w:r>
        <w:rPr>
          <w:u w:val="none"/>
        </w:rPr>
        <w:t xml:space="preserve"> документ LHE/20/8.GA/15,</w:t>
      </w:r>
    </w:p>
    <w:p w14:paraId="00CE879C" w14:textId="7AA6DD24" w:rsidR="008A1ED4" w:rsidRPr="00345CB4" w:rsidRDefault="008A1ED4" w:rsidP="002B2472">
      <w:pPr>
        <w:pStyle w:val="COMParaDecision"/>
        <w:numPr>
          <w:ilvl w:val="0"/>
          <w:numId w:val="10"/>
        </w:numPr>
        <w:ind w:left="1134" w:hanging="567"/>
      </w:pPr>
      <w:r>
        <w:t>Ссылаясь</w:t>
      </w:r>
      <w:r>
        <w:rPr>
          <w:u w:val="none"/>
        </w:rPr>
        <w:t xml:space="preserve"> на документы LHE/20/8.GA/7 </w:t>
      </w:r>
      <w:proofErr w:type="spellStart"/>
      <w:r>
        <w:rPr>
          <w:u w:val="none"/>
        </w:rPr>
        <w:t>Rev</w:t>
      </w:r>
      <w:proofErr w:type="spellEnd"/>
      <w:r>
        <w:rPr>
          <w:u w:val="none"/>
        </w:rPr>
        <w:t xml:space="preserve">., LHE/20/8.GA/8, </w:t>
      </w:r>
      <w:hyperlink r:id="rId26" w:history="1">
        <w:r>
          <w:rPr>
            <w:rStyle w:val="Hyperlink"/>
          </w:rPr>
          <w:t>LHE/19/14.COM/19</w:t>
        </w:r>
      </w:hyperlink>
      <w:r>
        <w:rPr>
          <w:rStyle w:val="Hyperlink"/>
        </w:rPr>
        <w:t xml:space="preserve">, </w:t>
      </w:r>
      <w:hyperlink r:id="rId27" w:history="1">
        <w:r>
          <w:rPr>
            <w:rStyle w:val="Hyperlink"/>
          </w:rPr>
          <w:t>ITH/18/13.COM/17</w:t>
        </w:r>
      </w:hyperlink>
      <w:r>
        <w:rPr>
          <w:u w:val="none"/>
        </w:rPr>
        <w:t xml:space="preserve">, </w:t>
      </w:r>
      <w:hyperlink r:id="rId28" w:history="1">
        <w:r>
          <w:rPr>
            <w:rStyle w:val="Hyperlink"/>
          </w:rPr>
          <w:t>ITH/17/12.COM/16</w:t>
        </w:r>
      </w:hyperlink>
      <w:r>
        <w:rPr>
          <w:u w:val="none"/>
        </w:rPr>
        <w:t xml:space="preserve">, </w:t>
      </w:r>
      <w:hyperlink r:id="rId29" w:history="1">
        <w:r>
          <w:rPr>
            <w:rStyle w:val="Hyperlink"/>
          </w:rPr>
          <w:t>ITH/18/7.GA/13</w:t>
        </w:r>
      </w:hyperlink>
      <w:r>
        <w:rPr>
          <w:u w:val="none"/>
        </w:rPr>
        <w:t xml:space="preserve"> и </w:t>
      </w:r>
      <w:hyperlink r:id="rId30" w:history="1">
        <w:r>
          <w:rPr>
            <w:rStyle w:val="Hyperlink"/>
          </w:rPr>
          <w:t>ITH/18/7.GA/12</w:t>
        </w:r>
      </w:hyperlink>
      <w:r>
        <w:rPr>
          <w:u w:val="none"/>
        </w:rPr>
        <w:t xml:space="preserve">, Решения </w:t>
      </w:r>
      <w:hyperlink r:id="rId31" w:history="1">
        <w:r>
          <w:rPr>
            <w:rStyle w:val="Hyperlink"/>
          </w:rPr>
          <w:t>14.COM 19</w:t>
        </w:r>
      </w:hyperlink>
      <w:r>
        <w:rPr>
          <w:rStyle w:val="Hyperlink"/>
        </w:rPr>
        <w:t>,</w:t>
      </w:r>
      <w:r>
        <w:rPr>
          <w:rStyle w:val="Hyperlink"/>
          <w:u w:val="none"/>
        </w:rPr>
        <w:t xml:space="preserve"> </w:t>
      </w:r>
      <w:hyperlink r:id="rId32" w:history="1">
        <w:r>
          <w:rPr>
            <w:rStyle w:val="Hyperlink"/>
          </w:rPr>
          <w:t>13.COM 17</w:t>
        </w:r>
      </w:hyperlink>
      <w:r>
        <w:rPr>
          <w:u w:val="none"/>
        </w:rPr>
        <w:t xml:space="preserve">, </w:t>
      </w:r>
      <w:hyperlink r:id="rId33" w:history="1">
        <w:r>
          <w:rPr>
            <w:rStyle w:val="Hyperlink"/>
          </w:rPr>
          <w:t>12.COM 16</w:t>
        </w:r>
      </w:hyperlink>
      <w:r>
        <w:rPr>
          <w:rStyle w:val="Hyperlink"/>
          <w:color w:val="auto"/>
          <w:u w:val="none"/>
        </w:rPr>
        <w:t xml:space="preserve"> </w:t>
      </w:r>
      <w:r w:rsidR="00E958E2">
        <w:rPr>
          <w:u w:val="none"/>
        </w:rPr>
        <w:t>и</w:t>
      </w:r>
      <w:r>
        <w:rPr>
          <w:u w:val="none"/>
        </w:rPr>
        <w:t xml:space="preserve"> </w:t>
      </w:r>
      <w:r w:rsidR="00E958E2">
        <w:rPr>
          <w:u w:val="none"/>
        </w:rPr>
        <w:t>Резолюции</w:t>
      </w:r>
      <w:r>
        <w:rPr>
          <w:u w:val="none"/>
        </w:rPr>
        <w:t xml:space="preserve"> </w:t>
      </w:r>
      <w:hyperlink r:id="rId34" w:history="1">
        <w:r>
          <w:rPr>
            <w:rStyle w:val="Hyperlink"/>
          </w:rPr>
          <w:t>7.GA 12</w:t>
        </w:r>
      </w:hyperlink>
      <w:r>
        <w:rPr>
          <w:u w:val="none"/>
        </w:rPr>
        <w:t xml:space="preserve">, </w:t>
      </w:r>
      <w:hyperlink r:id="rId35" w:history="1">
        <w:r>
          <w:rPr>
            <w:rStyle w:val="Hyperlink"/>
          </w:rPr>
          <w:t>7.GA 13</w:t>
        </w:r>
      </w:hyperlink>
      <w:r>
        <w:rPr>
          <w:u w:val="none"/>
        </w:rPr>
        <w:t xml:space="preserve"> и </w:t>
      </w:r>
      <w:hyperlink r:id="rId36" w:history="1">
        <w:r>
          <w:rPr>
            <w:rStyle w:val="Hyperlink"/>
          </w:rPr>
          <w:t>6.GA 11</w:t>
        </w:r>
      </w:hyperlink>
      <w:r>
        <w:rPr>
          <w:u w:val="none"/>
        </w:rPr>
        <w:t>,</w:t>
      </w:r>
    </w:p>
    <w:p w14:paraId="0E35132A" w14:textId="77777777" w:rsidR="00744371" w:rsidRDefault="008A1ED4" w:rsidP="00744371">
      <w:pPr>
        <w:pStyle w:val="COMParaDecision"/>
        <w:numPr>
          <w:ilvl w:val="0"/>
          <w:numId w:val="10"/>
        </w:numPr>
        <w:ind w:left="1134" w:hanging="567"/>
      </w:pPr>
      <w:r>
        <w:t>Также ссылаясь на</w:t>
      </w:r>
      <w:r>
        <w:rPr>
          <w:u w:val="none"/>
        </w:rPr>
        <w:t xml:space="preserve"> </w:t>
      </w:r>
      <w:hyperlink r:id="rId37" w:history="1">
        <w:r>
          <w:rPr>
            <w:rStyle w:val="Hyperlink"/>
          </w:rPr>
          <w:t>Резолюцию 38C/101</w:t>
        </w:r>
      </w:hyperlink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</w:rPr>
        <w:t xml:space="preserve">и </w:t>
      </w:r>
      <w:hyperlink r:id="rId38" w:history="1">
        <w:r>
          <w:rPr>
            <w:rStyle w:val="Hyperlink"/>
          </w:rPr>
          <w:t>Резолюцию 39 C/87</w:t>
        </w:r>
      </w:hyperlink>
      <w:r>
        <w:rPr>
          <w:u w:val="none"/>
        </w:rPr>
        <w:t>,</w:t>
      </w:r>
    </w:p>
    <w:p w14:paraId="252CDB2C" w14:textId="0A41D0BE" w:rsidR="002B2472" w:rsidRPr="00362E48" w:rsidRDefault="002B2472" w:rsidP="002B2472">
      <w:pPr>
        <w:pStyle w:val="COMParaDecision"/>
        <w:numPr>
          <w:ilvl w:val="0"/>
          <w:numId w:val="10"/>
        </w:numPr>
        <w:ind w:left="1134" w:hanging="567"/>
      </w:pPr>
      <w:r>
        <w:t>Призывает</w:t>
      </w:r>
      <w:r>
        <w:rPr>
          <w:u w:val="none"/>
        </w:rPr>
        <w:t xml:space="preserve"> Сектор культуры продолжать свою работу, где это уместно, по обеспечению согласованности правил процедуры руководящих органов конвенци</w:t>
      </w:r>
      <w:r w:rsidR="00FF6103">
        <w:rPr>
          <w:u w:val="none"/>
        </w:rPr>
        <w:t xml:space="preserve">й </w:t>
      </w:r>
      <w:r>
        <w:rPr>
          <w:u w:val="none"/>
        </w:rPr>
        <w:t xml:space="preserve">в области культуры в соответствии с </w:t>
      </w:r>
      <w:hyperlink r:id="rId39" w:history="1">
        <w:r>
          <w:rPr>
            <w:rStyle w:val="Hyperlink"/>
          </w:rPr>
          <w:t>Резолюцией 7.GA 13</w:t>
        </w:r>
      </w:hyperlink>
      <w:r>
        <w:rPr>
          <w:u w:val="none"/>
        </w:rPr>
        <w:t>;</w:t>
      </w:r>
    </w:p>
    <w:p w14:paraId="03E5A30D" w14:textId="1206F7DC" w:rsidR="008A1ED4" w:rsidRPr="00EC66A0" w:rsidRDefault="00FF6103" w:rsidP="00EC66A0">
      <w:pPr>
        <w:pStyle w:val="COMParaDecision"/>
        <w:numPr>
          <w:ilvl w:val="0"/>
          <w:numId w:val="10"/>
        </w:numPr>
        <w:ind w:left="1134" w:hanging="567"/>
        <w:rPr>
          <w:snapToGrid w:val="0"/>
          <w:lang w:eastAsia="en-US"/>
        </w:rPr>
      </w:pPr>
      <w:r w:rsidRPr="00F14584">
        <w:t>С</w:t>
      </w:r>
      <w:r w:rsidR="002B2472">
        <w:t>читает,</w:t>
      </w:r>
      <w:r w:rsidR="002B2472">
        <w:rPr>
          <w:u w:val="none"/>
        </w:rPr>
        <w:t xml:space="preserve"> что был достигнут достаточный прогресс в </w:t>
      </w:r>
      <w:r>
        <w:rPr>
          <w:u w:val="none"/>
        </w:rPr>
        <w:t xml:space="preserve">реализации </w:t>
      </w:r>
      <w:r w:rsidR="002B2472">
        <w:rPr>
          <w:u w:val="none"/>
        </w:rPr>
        <w:t xml:space="preserve">соответствующих рекомендаций Рабочей группы открытого состава по управлению, процедурам и методам работы руководящих органов ЮНЕСКО, которые требуют внимания со стороны Генеральной Ассамблеи и </w:t>
      </w:r>
      <w:r w:rsidR="002B2472">
        <w:t>просит,</w:t>
      </w:r>
      <w:r w:rsidR="002B2472">
        <w:rPr>
          <w:u w:val="none"/>
        </w:rPr>
        <w:t xml:space="preserve"> чтобы Секретариат продолжал сообщать по мере необходимости о дальнейшем прогрессе в отношении статуса рекомендаций.</w:t>
      </w:r>
    </w:p>
    <w:sectPr w:rsidR="008A1ED4" w:rsidRPr="00EC66A0" w:rsidSect="00176720">
      <w:headerReference w:type="even" r:id="rId40"/>
      <w:headerReference w:type="default" r:id="rId41"/>
      <w:headerReference w:type="first" r:id="rId4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4F76" w14:textId="77777777" w:rsidR="005D77BD" w:rsidRDefault="005D77BD" w:rsidP="00655736">
      <w:r>
        <w:separator/>
      </w:r>
    </w:p>
  </w:endnote>
  <w:endnote w:type="continuationSeparator" w:id="0">
    <w:p w14:paraId="2E469F8A" w14:textId="77777777" w:rsidR="005D77BD" w:rsidRDefault="005D77B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61C6" w14:textId="77777777" w:rsidR="005D77BD" w:rsidRDefault="005D77BD" w:rsidP="00655736">
      <w:r>
        <w:separator/>
      </w:r>
    </w:p>
  </w:footnote>
  <w:footnote w:type="continuationSeparator" w:id="0">
    <w:p w14:paraId="09BF3E1A" w14:textId="77777777" w:rsidR="005D77BD" w:rsidRDefault="005D77BD" w:rsidP="00655736">
      <w:r>
        <w:continuationSeparator/>
      </w:r>
    </w:p>
  </w:footnote>
  <w:footnote w:id="1">
    <w:p w14:paraId="4BE12B5C" w14:textId="6520F60B" w:rsidR="00582029" w:rsidRPr="00E863FC" w:rsidRDefault="00582029" w:rsidP="009E7C68">
      <w:pPr>
        <w:pStyle w:val="FootnoteText"/>
        <w:ind w:left="567" w:hanging="567"/>
        <w:rPr>
          <w:rFonts w:asciiTheme="minorBidi" w:hAnsiTheme="minorBidi" w:cstheme="minorBidi"/>
          <w:sz w:val="18"/>
          <w:szCs w:val="18"/>
        </w:rPr>
      </w:pPr>
      <w:r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/>
          <w:sz w:val="18"/>
          <w:szCs w:val="18"/>
        </w:rPr>
        <w:t xml:space="preserve">. </w:t>
      </w:r>
      <w:r>
        <w:rPr>
          <w:rFonts w:asciiTheme="minorBidi" w:hAnsiTheme="minorBidi"/>
          <w:sz w:val="18"/>
          <w:szCs w:val="18"/>
        </w:rPr>
        <w:tab/>
      </w:r>
      <w:r w:rsidR="009E7C68">
        <w:rPr>
          <w:rFonts w:asciiTheme="minorBidi" w:hAnsiTheme="minorBidi"/>
          <w:sz w:val="18"/>
          <w:szCs w:val="18"/>
        </w:rPr>
        <w:t>Комиссия Генеральной конференции по а</w:t>
      </w:r>
      <w:r>
        <w:rPr>
          <w:rFonts w:asciiTheme="minorBidi" w:hAnsiTheme="minorBidi"/>
          <w:sz w:val="18"/>
          <w:szCs w:val="18"/>
        </w:rPr>
        <w:t>дминистра</w:t>
      </w:r>
      <w:r w:rsidR="009E7C68">
        <w:rPr>
          <w:rFonts w:asciiTheme="minorBidi" w:hAnsiTheme="minorBidi"/>
          <w:sz w:val="18"/>
          <w:szCs w:val="18"/>
        </w:rPr>
        <w:t xml:space="preserve">тивным </w:t>
      </w:r>
      <w:r>
        <w:rPr>
          <w:rFonts w:asciiTheme="minorBidi" w:hAnsiTheme="minorBidi"/>
          <w:sz w:val="18"/>
          <w:szCs w:val="18"/>
        </w:rPr>
        <w:t>и общи</w:t>
      </w:r>
      <w:r w:rsidR="009E7C68">
        <w:rPr>
          <w:rFonts w:asciiTheme="minorBidi" w:hAnsiTheme="minorBidi"/>
          <w:sz w:val="18"/>
          <w:szCs w:val="18"/>
        </w:rPr>
        <w:t>м</w:t>
      </w:r>
      <w:r>
        <w:rPr>
          <w:rFonts w:asciiTheme="minorBidi" w:hAnsiTheme="minorBidi"/>
          <w:sz w:val="18"/>
          <w:szCs w:val="18"/>
        </w:rPr>
        <w:t xml:space="preserve"> вопрос</w:t>
      </w:r>
      <w:r w:rsidR="009E7C68">
        <w:rPr>
          <w:rFonts w:asciiTheme="minorBidi" w:hAnsiTheme="minorBidi"/>
          <w:sz w:val="18"/>
          <w:szCs w:val="18"/>
        </w:rPr>
        <w:t>ам</w:t>
      </w:r>
      <w:r>
        <w:rPr>
          <w:rFonts w:asciiTheme="minorBidi" w:hAnsiTheme="minorBidi"/>
          <w:sz w:val="18"/>
          <w:szCs w:val="18"/>
        </w:rPr>
        <w:t>, поддержк</w:t>
      </w:r>
      <w:r w:rsidR="009E7C68">
        <w:rPr>
          <w:rFonts w:asciiTheme="minorBidi" w:hAnsiTheme="minorBidi"/>
          <w:sz w:val="18"/>
          <w:szCs w:val="18"/>
        </w:rPr>
        <w:t>и</w:t>
      </w:r>
      <w:r>
        <w:rPr>
          <w:rFonts w:asciiTheme="minorBidi" w:hAnsiTheme="minorBidi"/>
          <w:sz w:val="18"/>
          <w:szCs w:val="18"/>
        </w:rPr>
        <w:t xml:space="preserve"> </w:t>
      </w:r>
      <w:r w:rsidR="009E7C68">
        <w:rPr>
          <w:rFonts w:asciiTheme="minorBidi" w:hAnsiTheme="minorBidi"/>
          <w:sz w:val="18"/>
          <w:szCs w:val="18"/>
        </w:rPr>
        <w:t xml:space="preserve">выполнения </w:t>
      </w:r>
      <w:r>
        <w:rPr>
          <w:rFonts w:asciiTheme="minorBidi" w:hAnsiTheme="minorBidi"/>
          <w:sz w:val="18"/>
          <w:szCs w:val="18"/>
        </w:rPr>
        <w:t>программ и внешним связям.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0D4C" w14:textId="46AAC8D5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LHE/20/8.GA/15 – страница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EC66A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8218" w14:textId="6AD9E905" w:rsidR="00D95C4C" w:rsidRPr="0063300C" w:rsidRDefault="0022458F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LHE/20/8.GA/</w:t>
    </w:r>
    <w:r w:rsidR="00B96B09">
      <w:rPr>
        <w:rFonts w:ascii="Arial" w:hAnsi="Arial"/>
        <w:sz w:val="20"/>
        <w:szCs w:val="20"/>
      </w:rPr>
      <w:t xml:space="preserve">15 – страница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EC66A0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FC11" w14:textId="3CC0BF7B" w:rsidR="00D95C4C" w:rsidRPr="008724E5" w:rsidRDefault="002728F6">
    <w:pPr>
      <w:pStyle w:val="Header"/>
    </w:pPr>
    <w:r>
      <w:rPr>
        <w:rFonts w:ascii="Arial" w:hAnsi="Arial" w:cs="Arial"/>
        <w:b/>
        <w:noProof/>
        <w:sz w:val="44"/>
        <w:szCs w:val="44"/>
        <w:lang w:val="fr-FR"/>
      </w:rPr>
      <w:drawing>
        <wp:anchor distT="0" distB="0" distL="114300" distR="114300" simplePos="0" relativeHeight="251659776" behindDoc="0" locked="0" layoutInCell="1" allowOverlap="1" wp14:anchorId="75A8AD8A" wp14:editId="67AE9EA0">
          <wp:simplePos x="0" y="0"/>
          <wp:positionH relativeFrom="page">
            <wp:posOffset>164008</wp:posOffset>
          </wp:positionH>
          <wp:positionV relativeFrom="page">
            <wp:posOffset>171628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1FE3A" w14:textId="77777777" w:rsidR="00D95C4C" w:rsidRPr="00D25762" w:rsidRDefault="006F41B4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8 GA</w:t>
    </w:r>
  </w:p>
  <w:p w14:paraId="7842E031" w14:textId="3DCC745E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LHE/20/8.GA/15</w:t>
    </w:r>
  </w:p>
  <w:p w14:paraId="389FB1EF" w14:textId="2D574C11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 w:rsidRPr="00F14584">
      <w:rPr>
        <w:rFonts w:ascii="Arial" w:hAnsi="Arial"/>
        <w:b/>
        <w:sz w:val="22"/>
        <w:szCs w:val="22"/>
      </w:rPr>
      <w:t xml:space="preserve">Париж, </w:t>
    </w:r>
    <w:r w:rsidR="001B13C5" w:rsidRPr="00F14584">
      <w:rPr>
        <w:rFonts w:ascii="Arial" w:hAnsi="Arial"/>
        <w:b/>
        <w:sz w:val="22"/>
        <w:szCs w:val="22"/>
      </w:rPr>
      <w:t xml:space="preserve">4 </w:t>
    </w:r>
    <w:r w:rsidR="002728F6" w:rsidRPr="00F14584">
      <w:rPr>
        <w:rFonts w:ascii="Arial" w:hAnsi="Arial"/>
        <w:b/>
        <w:sz w:val="22"/>
        <w:szCs w:val="22"/>
      </w:rPr>
      <w:t xml:space="preserve">сентября </w:t>
    </w:r>
    <w:r w:rsidRPr="00F14584">
      <w:rPr>
        <w:rFonts w:ascii="Arial" w:hAnsi="Arial"/>
        <w:b/>
        <w:sz w:val="22"/>
        <w:szCs w:val="22"/>
      </w:rPr>
      <w:t>2020</w:t>
    </w:r>
  </w:p>
  <w:p w14:paraId="6179FAA9" w14:textId="789B6EB1" w:rsidR="00D95C4C" w:rsidRPr="00555191" w:rsidRDefault="002728F6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О</w:t>
    </w:r>
    <w:r w:rsidR="00D95C4C">
      <w:rPr>
        <w:rFonts w:ascii="Arial" w:hAnsi="Arial"/>
        <w:b/>
        <w:sz w:val="22"/>
        <w:szCs w:val="22"/>
      </w:rPr>
      <w:t>ригинал: английский</w:t>
    </w:r>
  </w:p>
  <w:p w14:paraId="1F920142" w14:textId="77777777" w:rsidR="00540FE0" w:rsidRPr="00F14584" w:rsidRDefault="00540FE0" w:rsidP="00540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FD3"/>
    <w:multiLevelType w:val="hybridMultilevel"/>
    <w:tmpl w:val="A76459EE"/>
    <w:lvl w:ilvl="0" w:tplc="5E36D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044427B"/>
    <w:multiLevelType w:val="hybridMultilevel"/>
    <w:tmpl w:val="4D6A39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050B"/>
    <w:multiLevelType w:val="hybridMultilevel"/>
    <w:tmpl w:val="B0E4A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4A22308"/>
    <w:multiLevelType w:val="hybridMultilevel"/>
    <w:tmpl w:val="297AB420"/>
    <w:lvl w:ilvl="0" w:tplc="AFB64EC8">
      <w:start w:val="6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F7E20C1"/>
    <w:multiLevelType w:val="hybridMultilevel"/>
    <w:tmpl w:val="8960B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0"/>
  </w:num>
  <w:num w:numId="5">
    <w:abstractNumId w:val="18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1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3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0"/>
  </w:num>
  <w:num w:numId="38">
    <w:abstractNumId w:val="6"/>
  </w:num>
  <w:num w:numId="39">
    <w:abstractNumId w:val="6"/>
  </w:num>
  <w:num w:numId="40">
    <w:abstractNumId w:val="3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41A66"/>
    <w:rsid w:val="0005176E"/>
    <w:rsid w:val="000765F7"/>
    <w:rsid w:val="00077030"/>
    <w:rsid w:val="00077AB7"/>
    <w:rsid w:val="00081CD8"/>
    <w:rsid w:val="000A3E40"/>
    <w:rsid w:val="000A7F0E"/>
    <w:rsid w:val="000B1862"/>
    <w:rsid w:val="000C0D61"/>
    <w:rsid w:val="000F3A3F"/>
    <w:rsid w:val="00102557"/>
    <w:rsid w:val="0010600B"/>
    <w:rsid w:val="00117EEB"/>
    <w:rsid w:val="00141A3D"/>
    <w:rsid w:val="00164D56"/>
    <w:rsid w:val="00167B10"/>
    <w:rsid w:val="00170D77"/>
    <w:rsid w:val="0017402F"/>
    <w:rsid w:val="00176720"/>
    <w:rsid w:val="00196C1B"/>
    <w:rsid w:val="001A6D6E"/>
    <w:rsid w:val="001A7DA9"/>
    <w:rsid w:val="001B0F73"/>
    <w:rsid w:val="001B13C5"/>
    <w:rsid w:val="001B5301"/>
    <w:rsid w:val="001B6812"/>
    <w:rsid w:val="001C4825"/>
    <w:rsid w:val="001D1AE3"/>
    <w:rsid w:val="001D5C04"/>
    <w:rsid w:val="001F18B9"/>
    <w:rsid w:val="001F2712"/>
    <w:rsid w:val="0020027A"/>
    <w:rsid w:val="0021539E"/>
    <w:rsid w:val="00222A2D"/>
    <w:rsid w:val="00223029"/>
    <w:rsid w:val="0022458F"/>
    <w:rsid w:val="00234745"/>
    <w:rsid w:val="002407AF"/>
    <w:rsid w:val="002415CA"/>
    <w:rsid w:val="00257145"/>
    <w:rsid w:val="002728F6"/>
    <w:rsid w:val="00273128"/>
    <w:rsid w:val="002B2472"/>
    <w:rsid w:val="002C09E3"/>
    <w:rsid w:val="002C475F"/>
    <w:rsid w:val="002D7033"/>
    <w:rsid w:val="002F312A"/>
    <w:rsid w:val="002F31CF"/>
    <w:rsid w:val="00316F60"/>
    <w:rsid w:val="00335C6B"/>
    <w:rsid w:val="00344B1F"/>
    <w:rsid w:val="00345CB4"/>
    <w:rsid w:val="0035000E"/>
    <w:rsid w:val="003549B8"/>
    <w:rsid w:val="0039795F"/>
    <w:rsid w:val="003A493E"/>
    <w:rsid w:val="003B1AAD"/>
    <w:rsid w:val="003D069C"/>
    <w:rsid w:val="003D7646"/>
    <w:rsid w:val="003E7867"/>
    <w:rsid w:val="003F113A"/>
    <w:rsid w:val="003F7B9D"/>
    <w:rsid w:val="004027E4"/>
    <w:rsid w:val="00414643"/>
    <w:rsid w:val="00414C9A"/>
    <w:rsid w:val="0042539E"/>
    <w:rsid w:val="00427451"/>
    <w:rsid w:val="004421E5"/>
    <w:rsid w:val="00452284"/>
    <w:rsid w:val="00464C0C"/>
    <w:rsid w:val="004677DF"/>
    <w:rsid w:val="004856CA"/>
    <w:rsid w:val="0048632D"/>
    <w:rsid w:val="0049705E"/>
    <w:rsid w:val="004A34A0"/>
    <w:rsid w:val="004A43DE"/>
    <w:rsid w:val="004B048B"/>
    <w:rsid w:val="004B0E30"/>
    <w:rsid w:val="004C594C"/>
    <w:rsid w:val="004C70D6"/>
    <w:rsid w:val="004D5FE6"/>
    <w:rsid w:val="004F6BB0"/>
    <w:rsid w:val="00526B7B"/>
    <w:rsid w:val="005308CE"/>
    <w:rsid w:val="00540FE0"/>
    <w:rsid w:val="005438FC"/>
    <w:rsid w:val="00555191"/>
    <w:rsid w:val="00566516"/>
    <w:rsid w:val="00571FB4"/>
    <w:rsid w:val="00573A3B"/>
    <w:rsid w:val="0057439C"/>
    <w:rsid w:val="00582029"/>
    <w:rsid w:val="00595F83"/>
    <w:rsid w:val="005A386D"/>
    <w:rsid w:val="005B0127"/>
    <w:rsid w:val="005B2E7A"/>
    <w:rsid w:val="005B7A35"/>
    <w:rsid w:val="005C4B73"/>
    <w:rsid w:val="005D77BD"/>
    <w:rsid w:val="005E1D2B"/>
    <w:rsid w:val="00600D93"/>
    <w:rsid w:val="0061133E"/>
    <w:rsid w:val="0063300C"/>
    <w:rsid w:val="00655736"/>
    <w:rsid w:val="00663B8D"/>
    <w:rsid w:val="00666C30"/>
    <w:rsid w:val="006749EF"/>
    <w:rsid w:val="00696C8D"/>
    <w:rsid w:val="006A2AC2"/>
    <w:rsid w:val="006A3617"/>
    <w:rsid w:val="006A62CD"/>
    <w:rsid w:val="006B4F1C"/>
    <w:rsid w:val="006B6783"/>
    <w:rsid w:val="006D5012"/>
    <w:rsid w:val="006E300A"/>
    <w:rsid w:val="006E46E4"/>
    <w:rsid w:val="006F41B4"/>
    <w:rsid w:val="00703749"/>
    <w:rsid w:val="00703FBF"/>
    <w:rsid w:val="00717DA5"/>
    <w:rsid w:val="00727AFE"/>
    <w:rsid w:val="00744371"/>
    <w:rsid w:val="00744484"/>
    <w:rsid w:val="00763A0D"/>
    <w:rsid w:val="00763EE6"/>
    <w:rsid w:val="00773188"/>
    <w:rsid w:val="00783377"/>
    <w:rsid w:val="00783782"/>
    <w:rsid w:val="00784B8C"/>
    <w:rsid w:val="00793872"/>
    <w:rsid w:val="007A3CF5"/>
    <w:rsid w:val="007D77B6"/>
    <w:rsid w:val="00817F87"/>
    <w:rsid w:val="00823A11"/>
    <w:rsid w:val="008277DF"/>
    <w:rsid w:val="00834663"/>
    <w:rsid w:val="00837CAF"/>
    <w:rsid w:val="00852866"/>
    <w:rsid w:val="0085414A"/>
    <w:rsid w:val="0086269D"/>
    <w:rsid w:val="0086543A"/>
    <w:rsid w:val="008724E5"/>
    <w:rsid w:val="0087381D"/>
    <w:rsid w:val="00884A9D"/>
    <w:rsid w:val="0088512B"/>
    <w:rsid w:val="00892185"/>
    <w:rsid w:val="008948AA"/>
    <w:rsid w:val="008A1ED4"/>
    <w:rsid w:val="008A2B2D"/>
    <w:rsid w:val="008A4E1E"/>
    <w:rsid w:val="008B2844"/>
    <w:rsid w:val="008C296C"/>
    <w:rsid w:val="008D0CFE"/>
    <w:rsid w:val="008D4305"/>
    <w:rsid w:val="009163A7"/>
    <w:rsid w:val="00940AE2"/>
    <w:rsid w:val="00946D0B"/>
    <w:rsid w:val="00960DD0"/>
    <w:rsid w:val="00991367"/>
    <w:rsid w:val="00991AF2"/>
    <w:rsid w:val="009A18CD"/>
    <w:rsid w:val="009E7C68"/>
    <w:rsid w:val="00A12558"/>
    <w:rsid w:val="00A13903"/>
    <w:rsid w:val="00A34ED5"/>
    <w:rsid w:val="00A45DBF"/>
    <w:rsid w:val="00A63C09"/>
    <w:rsid w:val="00A645DF"/>
    <w:rsid w:val="00A65680"/>
    <w:rsid w:val="00A65C29"/>
    <w:rsid w:val="00A755A2"/>
    <w:rsid w:val="00AA6660"/>
    <w:rsid w:val="00AB2C36"/>
    <w:rsid w:val="00AB70B6"/>
    <w:rsid w:val="00AD1A86"/>
    <w:rsid w:val="00AD3E62"/>
    <w:rsid w:val="00AD5F03"/>
    <w:rsid w:val="00AE103E"/>
    <w:rsid w:val="00AE6927"/>
    <w:rsid w:val="00AF0A07"/>
    <w:rsid w:val="00AF4AEC"/>
    <w:rsid w:val="00AF625E"/>
    <w:rsid w:val="00B275D9"/>
    <w:rsid w:val="00B40BA0"/>
    <w:rsid w:val="00B570C0"/>
    <w:rsid w:val="00B831C7"/>
    <w:rsid w:val="00B96B09"/>
    <w:rsid w:val="00BB04AF"/>
    <w:rsid w:val="00BB4FB7"/>
    <w:rsid w:val="00BC0FD0"/>
    <w:rsid w:val="00BD52C9"/>
    <w:rsid w:val="00BE3442"/>
    <w:rsid w:val="00BE6354"/>
    <w:rsid w:val="00C13BF3"/>
    <w:rsid w:val="00C15914"/>
    <w:rsid w:val="00C21BD0"/>
    <w:rsid w:val="00C23A97"/>
    <w:rsid w:val="00C424CF"/>
    <w:rsid w:val="00C42C66"/>
    <w:rsid w:val="00C55760"/>
    <w:rsid w:val="00C70EA7"/>
    <w:rsid w:val="00C7516E"/>
    <w:rsid w:val="00C75770"/>
    <w:rsid w:val="00C81CF1"/>
    <w:rsid w:val="00CB605C"/>
    <w:rsid w:val="00CF60FD"/>
    <w:rsid w:val="00D00B2B"/>
    <w:rsid w:val="00D13400"/>
    <w:rsid w:val="00D139B4"/>
    <w:rsid w:val="00D24877"/>
    <w:rsid w:val="00D25762"/>
    <w:rsid w:val="00D33B90"/>
    <w:rsid w:val="00D417A5"/>
    <w:rsid w:val="00D64233"/>
    <w:rsid w:val="00D743BB"/>
    <w:rsid w:val="00D87792"/>
    <w:rsid w:val="00D91E28"/>
    <w:rsid w:val="00D95C4C"/>
    <w:rsid w:val="00DA05B5"/>
    <w:rsid w:val="00DA36ED"/>
    <w:rsid w:val="00DA7AD2"/>
    <w:rsid w:val="00DC7A5D"/>
    <w:rsid w:val="00DE34F1"/>
    <w:rsid w:val="00DF4942"/>
    <w:rsid w:val="00E04251"/>
    <w:rsid w:val="00E11D5E"/>
    <w:rsid w:val="00E36AAA"/>
    <w:rsid w:val="00E627B1"/>
    <w:rsid w:val="00E9376C"/>
    <w:rsid w:val="00E94D04"/>
    <w:rsid w:val="00E958E2"/>
    <w:rsid w:val="00EA335E"/>
    <w:rsid w:val="00EA528C"/>
    <w:rsid w:val="00EC66A0"/>
    <w:rsid w:val="00ED440A"/>
    <w:rsid w:val="00ED652D"/>
    <w:rsid w:val="00EF19A6"/>
    <w:rsid w:val="00EF1FD0"/>
    <w:rsid w:val="00EF2896"/>
    <w:rsid w:val="00EF34E2"/>
    <w:rsid w:val="00EF4F1F"/>
    <w:rsid w:val="00EF69E3"/>
    <w:rsid w:val="00F010E0"/>
    <w:rsid w:val="00F14584"/>
    <w:rsid w:val="00F53DE9"/>
    <w:rsid w:val="00F576CB"/>
    <w:rsid w:val="00F660FF"/>
    <w:rsid w:val="00F71A02"/>
    <w:rsid w:val="00F8791F"/>
    <w:rsid w:val="00FB4D29"/>
    <w:rsid w:val="00FB6630"/>
    <w:rsid w:val="00FC7581"/>
    <w:rsid w:val="00FC78E8"/>
    <w:rsid w:val="00FD1226"/>
    <w:rsid w:val="00FD158F"/>
    <w:rsid w:val="00FF4830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D1F95A"/>
  <w15:docId w15:val="{BE04FE01-CAFC-42E0-9F71-3A5A73D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FC78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12"/>
    <w:rPr>
      <w:rFonts w:ascii="Times New Roman" w:eastAsia="Times New Roman" w:hAnsi="Times New Roman"/>
      <w:lang w:val="ru-RU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12"/>
    <w:rPr>
      <w:rFonts w:ascii="Times New Roman" w:eastAsia="Times New Roman" w:hAnsi="Times New Roman"/>
      <w:b/>
      <w:bCs/>
      <w:lang w:val="ru-RU" w:eastAsia="fr-FR"/>
    </w:rPr>
  </w:style>
  <w:style w:type="paragraph" w:customStyle="1" w:styleId="Texteduscnario">
    <w:name w:val="Texte du scénario"/>
    <w:basedOn w:val="Normal"/>
    <w:qFormat/>
    <w:rsid w:val="00AE6927"/>
    <w:pPr>
      <w:spacing w:after="240" w:line="360" w:lineRule="auto"/>
      <w:jc w:val="both"/>
    </w:pPr>
    <w:rPr>
      <w:rFonts w:ascii="Arial" w:eastAsia="SimSun" w:hAnsi="Arial" w:cs="Arial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CF1"/>
    <w:rPr>
      <w:rFonts w:ascii="Times New Roman" w:eastAsia="Times New Roman" w:hAnsi="Times New Roman"/>
      <w:lang w:val="ru-RU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8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7.GA/12" TargetMode="External"/><Relationship Id="rId13" Type="http://schemas.openxmlformats.org/officeDocument/2006/relationships/hyperlink" Target="https://unesdoc.unesco.org/ark:/48223/pf0000260089_rus" TargetMode="External"/><Relationship Id="rId18" Type="http://schemas.openxmlformats.org/officeDocument/2006/relationships/hyperlink" Target="https://ich.unesco.org/doc/src/ITH-18-7.GA-12-EN.docx" TargetMode="External"/><Relationship Id="rId26" Type="http://schemas.openxmlformats.org/officeDocument/2006/relationships/hyperlink" Target="https://ich.unesco.org/doc/src/LHE-19-14.COM-19-EN.docx" TargetMode="External"/><Relationship Id="rId39" Type="http://schemas.openxmlformats.org/officeDocument/2006/relationships/hyperlink" Target="https://ich.unesco.org/en/Resolutions/7.GA/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3.COM/17" TargetMode="External"/><Relationship Id="rId34" Type="http://schemas.openxmlformats.org/officeDocument/2006/relationships/hyperlink" Target="https://ich.unesco.org/en/Resolutions/7.GA/12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unesdoc.unesco.org/images/0025/002590/259081e.pdf" TargetMode="External"/><Relationship Id="rId17" Type="http://schemas.openxmlformats.org/officeDocument/2006/relationships/hyperlink" Target="https://ich.unesco.org/en/Resolutions/7.GA/13" TargetMode="External"/><Relationship Id="rId25" Type="http://schemas.openxmlformats.org/officeDocument/2006/relationships/hyperlink" Target="https://ich.unesco.org/doc/src/LHE-20-8.GA-7_Rev.-EN.docx" TargetMode="External"/><Relationship Id="rId33" Type="http://schemas.openxmlformats.org/officeDocument/2006/relationships/hyperlink" Target="https://ich.unesco.org/en/Decisions/12.COM/16" TargetMode="External"/><Relationship Id="rId38" Type="http://schemas.openxmlformats.org/officeDocument/2006/relationships/hyperlink" Target="https://en.unesco.org/sites/default/files/39c-res87-governance-e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ITH-18-7.GA-13-EN.docx" TargetMode="External"/><Relationship Id="rId20" Type="http://schemas.openxmlformats.org/officeDocument/2006/relationships/hyperlink" Target="https://ich.unesco.org/doc/src/ITH-18-13.COM-17-EN.docx" TargetMode="External"/><Relationship Id="rId29" Type="http://schemas.openxmlformats.org/officeDocument/2006/relationships/hyperlink" Target="https://ich.unesco.org/doc/src/ITH-18-7.GA-13-EN.docx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6.GA/11" TargetMode="External"/><Relationship Id="rId24" Type="http://schemas.openxmlformats.org/officeDocument/2006/relationships/hyperlink" Target="https://ich.unesco.org/en/Decisions/14.COM/19" TargetMode="External"/><Relationship Id="rId32" Type="http://schemas.openxmlformats.org/officeDocument/2006/relationships/hyperlink" Target="https://ich.unesco.org/en/Decisions/13.COM/17" TargetMode="External"/><Relationship Id="rId37" Type="http://schemas.openxmlformats.org/officeDocument/2006/relationships/hyperlink" Target="http://www.unesco.org/new/fileadmin/MULTIMEDIA/HQ/GBS/38GC/pdf/101_Resolution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2.COM/16" TargetMode="External"/><Relationship Id="rId23" Type="http://schemas.openxmlformats.org/officeDocument/2006/relationships/hyperlink" Target="https://ich.unesco.org/doc/src/LHE-20-8.GA-8-RU.docx" TargetMode="External"/><Relationship Id="rId28" Type="http://schemas.openxmlformats.org/officeDocument/2006/relationships/hyperlink" Target="https://ich.unesco.org/doc/src/ITH-17-12.COM-16-EN.docx" TargetMode="External"/><Relationship Id="rId36" Type="http://schemas.openxmlformats.org/officeDocument/2006/relationships/hyperlink" Target="https://ich.unesco.org/en/Resolutions/6.GA/11" TargetMode="External"/><Relationship Id="rId10" Type="http://schemas.openxmlformats.org/officeDocument/2006/relationships/hyperlink" Target="http://www.unesco.org/new/fileadmin/MULTIMEDIA/HQ/GBS/38GC/pdf/101_Resolution.pdf" TargetMode="External"/><Relationship Id="rId19" Type="http://schemas.openxmlformats.org/officeDocument/2006/relationships/hyperlink" Target="https://ich.unesco.org/en/Decisions/7.GA/12" TargetMode="External"/><Relationship Id="rId31" Type="http://schemas.openxmlformats.org/officeDocument/2006/relationships/hyperlink" Target="https://ich.unesco.org/en/Decisions/14.COM/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Resolutions/7.GA/13" TargetMode="External"/><Relationship Id="rId14" Type="http://schemas.openxmlformats.org/officeDocument/2006/relationships/hyperlink" Target="https://ich.unesco.org/doc/src/ITH-17-12.COM-16-EN.docx" TargetMode="External"/><Relationship Id="rId22" Type="http://schemas.openxmlformats.org/officeDocument/2006/relationships/hyperlink" Target="https://ich.unesco.org/doc/src/LHE-19-14.COM-19-EN.docx" TargetMode="External"/><Relationship Id="rId27" Type="http://schemas.openxmlformats.org/officeDocument/2006/relationships/hyperlink" Target="https://ich.unesco.org/doc/src/ITH-18-13.COM-17-EN.docx" TargetMode="External"/><Relationship Id="rId30" Type="http://schemas.openxmlformats.org/officeDocument/2006/relationships/hyperlink" Target="https://ich.unesco.org/doc/src/ITH-18-7.GA-12-EN.docx" TargetMode="External"/><Relationship Id="rId35" Type="http://schemas.openxmlformats.org/officeDocument/2006/relationships/hyperlink" Target="https://ich.unesco.org/en/Resolutions/7.GA/13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C49-7216-4BF4-A3D5-8436EE5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Thibault, Alice</cp:lastModifiedBy>
  <cp:revision>10</cp:revision>
  <cp:lastPrinted>2020-08-27T13:18:00Z</cp:lastPrinted>
  <dcterms:created xsi:type="dcterms:W3CDTF">2020-09-04T07:32:00Z</dcterms:created>
  <dcterms:modified xsi:type="dcterms:W3CDTF">2020-09-04T16:23:00Z</dcterms:modified>
</cp:coreProperties>
</file>