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92AA6" w14:textId="77777777" w:rsidR="00270D80" w:rsidRPr="00A8230D" w:rsidRDefault="00270D80" w:rsidP="00270D80">
      <w:pPr>
        <w:spacing w:before="1440"/>
        <w:jc w:val="center"/>
        <w:rPr>
          <w:rFonts w:asciiTheme="minorBidi" w:hAnsiTheme="minorBidi" w:cstheme="minorBidi"/>
          <w:b/>
          <w:sz w:val="22"/>
          <w:szCs w:val="22"/>
        </w:rPr>
      </w:pPr>
      <w:r w:rsidRPr="00A8230D">
        <w:rPr>
          <w:rFonts w:asciiTheme="minorBidi" w:hAnsiTheme="minorBidi" w:cstheme="minorBidi"/>
          <w:b/>
          <w:sz w:val="22"/>
          <w:szCs w:val="22"/>
        </w:rPr>
        <w:t>CONVENTION POUR LA SAUVEGARDE DU</w:t>
      </w:r>
      <w:r w:rsidRPr="00A8230D">
        <w:rPr>
          <w:rFonts w:asciiTheme="minorBidi" w:hAnsiTheme="minorBidi" w:cstheme="minorBidi"/>
          <w:b/>
          <w:sz w:val="22"/>
          <w:szCs w:val="22"/>
        </w:rPr>
        <w:br/>
        <w:t>PATRIMOINE CULTUREL IMMATÉRIEL</w:t>
      </w:r>
    </w:p>
    <w:p w14:paraId="4AE87C79" w14:textId="77777777" w:rsidR="00270D80" w:rsidRPr="00A8230D" w:rsidRDefault="00270D80" w:rsidP="00270D80">
      <w:pPr>
        <w:spacing w:before="1200"/>
        <w:jc w:val="center"/>
        <w:rPr>
          <w:rFonts w:asciiTheme="minorBidi" w:hAnsiTheme="minorBidi" w:cstheme="minorBidi"/>
          <w:b/>
          <w:sz w:val="22"/>
          <w:szCs w:val="22"/>
        </w:rPr>
      </w:pPr>
      <w:r w:rsidRPr="00A8230D">
        <w:rPr>
          <w:rFonts w:asciiTheme="minorBidi" w:hAnsiTheme="minorBidi" w:cstheme="minorBidi"/>
          <w:b/>
          <w:sz w:val="22"/>
          <w:szCs w:val="22"/>
        </w:rPr>
        <w:t>COMITÉ INTERGOUVERNEMENTAL DE SAUVEGARDE</w:t>
      </w:r>
      <w:r w:rsidRPr="00A8230D">
        <w:rPr>
          <w:rFonts w:asciiTheme="minorBidi" w:hAnsiTheme="minorBidi" w:cstheme="minorBidi"/>
          <w:b/>
          <w:sz w:val="22"/>
          <w:szCs w:val="22"/>
        </w:rPr>
        <w:br/>
        <w:t>DU PATRIMOINE CULTUREL IMMATÉRIEL</w:t>
      </w:r>
    </w:p>
    <w:p w14:paraId="6A7938FA" w14:textId="77777777" w:rsidR="002E2E42" w:rsidRPr="00A8230D" w:rsidRDefault="002E2E42" w:rsidP="002E2E42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A8230D">
        <w:rPr>
          <w:rFonts w:ascii="Arial" w:hAnsi="Arial"/>
          <w:b/>
          <w:sz w:val="22"/>
        </w:rPr>
        <w:t>Seizième session</w:t>
      </w:r>
    </w:p>
    <w:p w14:paraId="478BC3A2" w14:textId="0002CA2E" w:rsidR="002E2E42" w:rsidRPr="00A8230D" w:rsidRDefault="00DB749C" w:rsidP="002E2E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En ligne</w:t>
      </w:r>
    </w:p>
    <w:p w14:paraId="57DCFE82" w14:textId="77777777" w:rsidR="002E2E42" w:rsidRPr="00A8230D" w:rsidRDefault="002E2E42" w:rsidP="002E2E42">
      <w:pPr>
        <w:jc w:val="center"/>
        <w:rPr>
          <w:rFonts w:ascii="Arial" w:hAnsi="Arial" w:cs="Arial"/>
          <w:b/>
          <w:sz w:val="22"/>
          <w:szCs w:val="22"/>
        </w:rPr>
      </w:pPr>
      <w:r w:rsidRPr="00A8230D">
        <w:rPr>
          <w:rFonts w:ascii="Arial" w:hAnsi="Arial"/>
          <w:b/>
          <w:sz w:val="22"/>
        </w:rPr>
        <w:t>13 - 18 décembre 2021</w:t>
      </w:r>
    </w:p>
    <w:p w14:paraId="541CA734" w14:textId="53C4B63D" w:rsidR="002E2E42" w:rsidRPr="00A8230D" w:rsidRDefault="002E2E42" w:rsidP="002E2E42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A8230D">
        <w:rPr>
          <w:rFonts w:ascii="Arial" w:hAnsi="Arial"/>
          <w:b/>
          <w:sz w:val="22"/>
          <w:u w:val="single"/>
        </w:rPr>
        <w:t>Point 11 de l</w:t>
      </w:r>
      <w:r w:rsidR="00A8230D" w:rsidRPr="00A8230D">
        <w:rPr>
          <w:rFonts w:ascii="Arial" w:hAnsi="Arial"/>
          <w:b/>
          <w:sz w:val="22"/>
          <w:u w:val="single"/>
        </w:rPr>
        <w:t>’</w:t>
      </w:r>
      <w:r w:rsidRPr="00A8230D">
        <w:rPr>
          <w:rFonts w:ascii="Arial" w:hAnsi="Arial"/>
          <w:b/>
          <w:sz w:val="22"/>
          <w:u w:val="single"/>
        </w:rPr>
        <w:t>ordre du jour provisoire</w:t>
      </w:r>
      <w:r w:rsidRPr="00A8230D">
        <w:rPr>
          <w:rFonts w:ascii="Arial" w:hAnsi="Arial"/>
          <w:b/>
          <w:sz w:val="22"/>
        </w:rPr>
        <w:t> :</w:t>
      </w:r>
    </w:p>
    <w:p w14:paraId="6A4757E5" w14:textId="64F8D2FE" w:rsidR="002E2E42" w:rsidRPr="00A8230D" w:rsidRDefault="002E2E42" w:rsidP="002E2E42">
      <w:pPr>
        <w:pStyle w:val="Sansinterligne2"/>
        <w:spacing w:after="960"/>
        <w:jc w:val="center"/>
        <w:rPr>
          <w:rFonts w:ascii="Arial" w:hAnsi="Arial" w:cs="Arial"/>
          <w:b/>
          <w:sz w:val="22"/>
          <w:szCs w:val="22"/>
        </w:rPr>
      </w:pPr>
      <w:r w:rsidRPr="00A8230D">
        <w:rPr>
          <w:rFonts w:ascii="Arial" w:hAnsi="Arial"/>
          <w:b/>
          <w:sz w:val="22"/>
        </w:rPr>
        <w:t xml:space="preserve">Suivi des éléments inscrits sur les </w:t>
      </w:r>
      <w:r w:rsidR="00F515BB" w:rsidRPr="00A8230D">
        <w:rPr>
          <w:rFonts w:ascii="Arial" w:hAnsi="Arial"/>
          <w:b/>
          <w:sz w:val="22"/>
        </w:rPr>
        <w:t>L</w:t>
      </w:r>
      <w:r w:rsidRPr="00A8230D">
        <w:rPr>
          <w:rFonts w:ascii="Arial" w:hAnsi="Arial"/>
          <w:b/>
          <w:sz w:val="22"/>
        </w:rPr>
        <w:t>istes de la Convention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2E2E42" w:rsidRPr="00A8230D" w14:paraId="44FC5696" w14:textId="77777777" w:rsidTr="00F22C32">
        <w:trPr>
          <w:jc w:val="center"/>
        </w:trPr>
        <w:tc>
          <w:tcPr>
            <w:tcW w:w="5670" w:type="dxa"/>
            <w:vAlign w:val="center"/>
          </w:tcPr>
          <w:p w14:paraId="4E03DC82" w14:textId="77777777" w:rsidR="002E2E42" w:rsidRPr="00A8230D" w:rsidRDefault="002E2E42" w:rsidP="00F22C32">
            <w:pPr>
              <w:pStyle w:val="Sansinterligne1"/>
              <w:spacing w:before="200" w:after="20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230D">
              <w:rPr>
                <w:rFonts w:ascii="Arial" w:hAnsi="Arial"/>
                <w:b/>
                <w:sz w:val="22"/>
              </w:rPr>
              <w:t>Résumé</w:t>
            </w:r>
          </w:p>
          <w:p w14:paraId="052F4BC9" w14:textId="3C90140F" w:rsidR="002E2E42" w:rsidRPr="00A8230D" w:rsidRDefault="002E2E42" w:rsidP="00F22C32">
            <w:pPr>
              <w:pStyle w:val="Sansinterligne2"/>
              <w:spacing w:before="200" w:after="20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8230D">
              <w:rPr>
                <w:rFonts w:ascii="Arial" w:hAnsi="Arial"/>
                <w:sz w:val="22"/>
              </w:rPr>
              <w:t xml:space="preserve">Le présent document propose un résumé des correspondances </w:t>
            </w:r>
            <w:r w:rsidR="00131DC8" w:rsidRPr="00A8230D">
              <w:rPr>
                <w:rFonts w:ascii="Arial" w:hAnsi="Arial"/>
                <w:sz w:val="22"/>
              </w:rPr>
              <w:t xml:space="preserve">reçues </w:t>
            </w:r>
            <w:r w:rsidRPr="00A8230D">
              <w:rPr>
                <w:rFonts w:ascii="Arial" w:hAnsi="Arial"/>
                <w:sz w:val="22"/>
              </w:rPr>
              <w:t xml:space="preserve">(entre </w:t>
            </w:r>
            <w:r w:rsidR="007E03D6" w:rsidRPr="00A8230D">
              <w:rPr>
                <w:rFonts w:ascii="Arial" w:hAnsi="Arial"/>
                <w:sz w:val="22"/>
              </w:rPr>
              <w:t xml:space="preserve">octobre </w:t>
            </w:r>
            <w:r w:rsidRPr="00A8230D">
              <w:rPr>
                <w:rFonts w:ascii="Arial" w:hAnsi="Arial"/>
                <w:sz w:val="22"/>
              </w:rPr>
              <w:t>2019 et juin 2021) de tiers concernant six éléments inscrits et deux candidatures en cours d</w:t>
            </w:r>
            <w:r w:rsidR="00A8230D" w:rsidRPr="00A8230D">
              <w:rPr>
                <w:rFonts w:ascii="Arial" w:hAnsi="Arial"/>
                <w:sz w:val="22"/>
              </w:rPr>
              <w:t>’</w:t>
            </w:r>
            <w:r w:rsidRPr="00A8230D">
              <w:rPr>
                <w:rFonts w:ascii="Arial" w:hAnsi="Arial"/>
                <w:sz w:val="22"/>
              </w:rPr>
              <w:t xml:space="preserve">examen pour une inscription éventuelle sur les Listes de la Convention, suite à la demande de la quatorzième session du Comité </w:t>
            </w:r>
            <w:r w:rsidRPr="00A8230D"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="00D01000" w:rsidRPr="00A8230D">
              <w:rPr>
                <w:rFonts w:asciiTheme="minorBidi" w:hAnsiTheme="minorBidi" w:cstheme="minorBidi"/>
                <w:sz w:val="22"/>
                <w:szCs w:val="22"/>
              </w:rPr>
              <w:t>Décision </w:t>
            </w:r>
            <w:hyperlink r:id="rId8" w:history="1">
              <w:r w:rsidR="00D01000" w:rsidRPr="00A8230D">
                <w:rPr>
                  <w:rStyle w:val="Hyperlink"/>
                  <w:rFonts w:ascii="Arial" w:hAnsi="Arial"/>
                  <w:sz w:val="22"/>
                </w:rPr>
                <w:t>14.COM 14</w:t>
              </w:r>
            </w:hyperlink>
            <w:r w:rsidRPr="00A8230D">
              <w:t>).</w:t>
            </w:r>
          </w:p>
          <w:p w14:paraId="027B085C" w14:textId="737C2142" w:rsidR="002E2E42" w:rsidRPr="00A8230D" w:rsidRDefault="002E2E42" w:rsidP="00F22C32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230D">
              <w:rPr>
                <w:rFonts w:ascii="Arial" w:hAnsi="Arial"/>
                <w:b/>
                <w:bCs/>
                <w:sz w:val="22"/>
              </w:rPr>
              <w:t>Décision requise </w:t>
            </w:r>
            <w:r w:rsidRPr="00A8230D">
              <w:rPr>
                <w:rFonts w:ascii="Arial" w:hAnsi="Arial"/>
                <w:sz w:val="22"/>
              </w:rPr>
              <w:t>:</w:t>
            </w:r>
            <w:r w:rsidRPr="00A8230D">
              <w:rPr>
                <w:rFonts w:ascii="Arial" w:hAnsi="Arial"/>
                <w:b/>
                <w:bCs/>
                <w:sz w:val="22"/>
              </w:rPr>
              <w:t xml:space="preserve"> </w:t>
            </w:r>
            <w:r w:rsidRPr="00A8230D">
              <w:rPr>
                <w:rFonts w:ascii="Arial" w:hAnsi="Arial"/>
                <w:sz w:val="22"/>
              </w:rPr>
              <w:t xml:space="preserve">paragraphe </w:t>
            </w:r>
            <w:r w:rsidR="00F515BB" w:rsidRPr="00A8230D">
              <w:rPr>
                <w:rFonts w:ascii="Arial" w:hAnsi="Arial"/>
                <w:sz w:val="22"/>
              </w:rPr>
              <w:t>7</w:t>
            </w:r>
          </w:p>
        </w:tc>
      </w:tr>
    </w:tbl>
    <w:p w14:paraId="1F9295EF" w14:textId="77777777" w:rsidR="002E2E42" w:rsidRPr="00A8230D" w:rsidRDefault="002E2E42" w:rsidP="002E2E42">
      <w:pPr>
        <w:pStyle w:val="ListParagraph"/>
        <w:keepLines/>
        <w:numPr>
          <w:ilvl w:val="0"/>
          <w:numId w:val="13"/>
        </w:numPr>
        <w:spacing w:after="240"/>
        <w:ind w:left="567" w:hanging="567"/>
        <w:contextualSpacing w:val="0"/>
        <w:rPr>
          <w:rFonts w:ascii="Arial" w:hAnsi="Arial" w:cs="Arial"/>
          <w:b/>
          <w:snapToGrid w:val="0"/>
          <w:sz w:val="22"/>
          <w:szCs w:val="22"/>
        </w:rPr>
      </w:pPr>
      <w:r w:rsidRPr="00A8230D">
        <w:br w:type="page"/>
      </w:r>
    </w:p>
    <w:p w14:paraId="558EA958" w14:textId="77777777" w:rsidR="002E2E42" w:rsidRPr="00A8230D" w:rsidRDefault="002E2E42" w:rsidP="005B183E">
      <w:pPr>
        <w:pStyle w:val="COMPara"/>
        <w:numPr>
          <w:ilvl w:val="0"/>
          <w:numId w:val="0"/>
        </w:numPr>
        <w:autoSpaceDE w:val="0"/>
        <w:autoSpaceDN w:val="0"/>
        <w:adjustRightInd w:val="0"/>
        <w:spacing w:before="120"/>
        <w:jc w:val="both"/>
        <w:rPr>
          <w:b/>
        </w:rPr>
      </w:pPr>
      <w:r w:rsidRPr="00A8230D">
        <w:rPr>
          <w:b/>
        </w:rPr>
        <w:lastRenderedPageBreak/>
        <w:t>Introduction</w:t>
      </w:r>
    </w:p>
    <w:p w14:paraId="5D0385A9" w14:textId="402E7310" w:rsidR="002E2E42" w:rsidRPr="00A8230D" w:rsidRDefault="002E2E42" w:rsidP="005B183E">
      <w:pPr>
        <w:pStyle w:val="COMPara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</w:pPr>
      <w:r w:rsidRPr="00A8230D">
        <w:t>À l</w:t>
      </w:r>
      <w:r w:rsidR="00A8230D" w:rsidRPr="00A8230D">
        <w:t>’</w:t>
      </w:r>
      <w:r w:rsidRPr="00A8230D">
        <w:t>occasion de sa quatorzième session en 2019, le Comité a demandé au Secrétariat de continuer</w:t>
      </w:r>
      <w:r w:rsidR="00131DC8" w:rsidRPr="00A8230D">
        <w:t xml:space="preserve"> la pratique, commencée lors de</w:t>
      </w:r>
      <w:r w:rsidRPr="00A8230D">
        <w:t xml:space="preserve"> la session précédente</w:t>
      </w:r>
      <w:r w:rsidRPr="00A8230D">
        <w:rPr>
          <w:rStyle w:val="FootnoteReference"/>
        </w:rPr>
        <w:footnoteReference w:id="1"/>
      </w:r>
      <w:r w:rsidRPr="00A8230D">
        <w:t xml:space="preserve">, de porter à son attention les informations </w:t>
      </w:r>
      <w:r w:rsidR="00131DC8" w:rsidRPr="00A8230D">
        <w:t xml:space="preserve">reçues </w:t>
      </w:r>
      <w:r w:rsidRPr="00A8230D">
        <w:t>de tiers concernant des éléments déjà inscrits et des candidatures soumises en vue d</w:t>
      </w:r>
      <w:r w:rsidR="00A8230D" w:rsidRPr="00A8230D">
        <w:t>’</w:t>
      </w:r>
      <w:r w:rsidRPr="00A8230D">
        <w:t>une inscription éventuelle sur les Listes de la Convention</w:t>
      </w:r>
      <w:r w:rsidR="00131DC8" w:rsidRPr="00A8230D">
        <w:t>. La demande étant de le faire</w:t>
      </w:r>
      <w:r w:rsidRPr="00A8230D">
        <w:t xml:space="preserve"> sous</w:t>
      </w:r>
      <w:r w:rsidR="00131DC8" w:rsidRPr="00A8230D">
        <w:t xml:space="preserve"> la</w:t>
      </w:r>
      <w:r w:rsidRPr="00A8230D">
        <w:t xml:space="preserve"> forme d</w:t>
      </w:r>
      <w:r w:rsidR="00A8230D" w:rsidRPr="00A8230D">
        <w:t>’</w:t>
      </w:r>
      <w:r w:rsidR="00131DC8" w:rsidRPr="00A8230D">
        <w:t>un</w:t>
      </w:r>
      <w:r w:rsidRPr="00A8230D">
        <w:t xml:space="preserve"> résumé à inclure dans un document de travail (</w:t>
      </w:r>
      <w:r w:rsidR="00356F78" w:rsidRPr="00A8230D">
        <w:t>Décision </w:t>
      </w:r>
      <w:hyperlink r:id="rId9" w:history="1">
        <w:r w:rsidR="00356F78" w:rsidRPr="00A8230D">
          <w:rPr>
            <w:rStyle w:val="Hyperlink"/>
          </w:rPr>
          <w:t>14.COM 14</w:t>
        </w:r>
      </w:hyperlink>
      <w:r w:rsidRPr="00A8230D">
        <w:rPr>
          <w:rStyle w:val="Hyperlink"/>
          <w:color w:val="auto"/>
        </w:rPr>
        <w:t>)</w:t>
      </w:r>
      <w:r w:rsidRPr="00A8230D">
        <w:t xml:space="preserve">. Le présent document fait le point sur les correspondances reçues entre </w:t>
      </w:r>
      <w:r w:rsidR="00E04880" w:rsidRPr="00A8230D">
        <w:t xml:space="preserve">octobre </w:t>
      </w:r>
      <w:r w:rsidRPr="00A8230D">
        <w:t>2019 et juin 202</w:t>
      </w:r>
      <w:r w:rsidR="00131DC8" w:rsidRPr="00A8230D">
        <w:t>1</w:t>
      </w:r>
      <w:r w:rsidRPr="00A8230D">
        <w:rPr>
          <w:rStyle w:val="FootnoteReference"/>
        </w:rPr>
        <w:footnoteReference w:id="2"/>
      </w:r>
      <w:r w:rsidRPr="00A8230D">
        <w:t>, gérées conformément aux « Orientations concernant le traitement de la correspondance du public ou d</w:t>
      </w:r>
      <w:r w:rsidR="00A8230D" w:rsidRPr="00A8230D">
        <w:t>’</w:t>
      </w:r>
      <w:r w:rsidRPr="00A8230D">
        <w:t>autres parties concernées au sujet des candidatures » adoptées par la septième session du Comité en 2012 (</w:t>
      </w:r>
      <w:r w:rsidR="00356F78" w:rsidRPr="00A8230D">
        <w:t>Décision </w:t>
      </w:r>
      <w:hyperlink r:id="rId10" w:history="1">
        <w:r w:rsidR="00356F78" w:rsidRPr="00A8230D">
          <w:rPr>
            <w:rStyle w:val="Hyperlink"/>
          </w:rPr>
          <w:t>7.COM 15</w:t>
        </w:r>
      </w:hyperlink>
      <w:r w:rsidRPr="00A8230D">
        <w:t>).</w:t>
      </w:r>
    </w:p>
    <w:p w14:paraId="6B2B856D" w14:textId="77777777" w:rsidR="002E2E42" w:rsidRPr="00A8230D" w:rsidRDefault="002E2E42" w:rsidP="005B183E">
      <w:pPr>
        <w:pStyle w:val="COMPara"/>
        <w:numPr>
          <w:ilvl w:val="0"/>
          <w:numId w:val="0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A8230D">
        <w:rPr>
          <w:b/>
        </w:rPr>
        <w:t>Cas des éléments inscrits</w:t>
      </w:r>
    </w:p>
    <w:p w14:paraId="7FAA890D" w14:textId="64559F04" w:rsidR="002E2E42" w:rsidRPr="00A8230D" w:rsidRDefault="002E2E42" w:rsidP="005B183E">
      <w:pPr>
        <w:pStyle w:val="COMPara"/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jc w:val="both"/>
      </w:pPr>
      <w:r w:rsidRPr="00A8230D">
        <w:t xml:space="preserve">Au cours de la période considérée, </w:t>
      </w:r>
      <w:r w:rsidRPr="00A8230D">
        <w:rPr>
          <w:b/>
        </w:rPr>
        <w:t>six</w:t>
      </w:r>
      <w:r w:rsidRPr="00A8230D">
        <w:t xml:space="preserve"> </w:t>
      </w:r>
      <w:r w:rsidRPr="00A8230D">
        <w:rPr>
          <w:b/>
        </w:rPr>
        <w:t>cas</w:t>
      </w:r>
      <w:r w:rsidRPr="00A8230D">
        <w:t xml:space="preserve"> relatifs à des éléments inscrits ont fait l</w:t>
      </w:r>
      <w:r w:rsidR="00A8230D" w:rsidRPr="00A8230D">
        <w:t>’</w:t>
      </w:r>
      <w:r w:rsidRPr="00A8230D">
        <w:t xml:space="preserve">objet de correspondances (Annexe 1), cinq pour des éléments inscrits sur la Liste représentative </w:t>
      </w:r>
      <w:r w:rsidR="00131DC8" w:rsidRPr="00A8230D">
        <w:t>du patrimoine culturel immatériel de l</w:t>
      </w:r>
      <w:r w:rsidR="00A8230D" w:rsidRPr="00A8230D">
        <w:t>’</w:t>
      </w:r>
      <w:r w:rsidR="00131DC8" w:rsidRPr="00A8230D">
        <w:t xml:space="preserve">humanité </w:t>
      </w:r>
      <w:r w:rsidRPr="00A8230D">
        <w:t>et un pour un élément inscrit sur la Liste d</w:t>
      </w:r>
      <w:r w:rsidR="00131DC8" w:rsidRPr="00A8230D">
        <w:t>u patrimoine culturel immatériel nécessitant un</w:t>
      </w:r>
      <w:r w:rsidRPr="00A8230D">
        <w:t>e sauvegarde urgente. Les correspondances ont soulevé des problèmes susceptibles d</w:t>
      </w:r>
      <w:r w:rsidR="00A8230D" w:rsidRPr="00A8230D">
        <w:t>’</w:t>
      </w:r>
      <w:r w:rsidRPr="00A8230D">
        <w:t>affecter la viabilité de</w:t>
      </w:r>
      <w:r w:rsidR="00131DC8" w:rsidRPr="00A8230D">
        <w:t xml:space="preserve">s </w:t>
      </w:r>
      <w:r w:rsidRPr="00A8230D">
        <w:t>élément</w:t>
      </w:r>
      <w:r w:rsidR="00131DC8" w:rsidRPr="00A8230D">
        <w:t>s</w:t>
      </w:r>
      <w:r w:rsidRPr="00A8230D">
        <w:t>, tels l</w:t>
      </w:r>
      <w:r w:rsidR="00A8230D" w:rsidRPr="00A8230D">
        <w:t>’</w:t>
      </w:r>
      <w:r w:rsidRPr="00A8230D">
        <w:t>évolution des espaces associés à la pratique des éléments, des inquiétudes concernant l</w:t>
      </w:r>
      <w:r w:rsidR="00A8230D" w:rsidRPr="00A8230D">
        <w:t>’</w:t>
      </w:r>
      <w:r w:rsidRPr="00A8230D">
        <w:t>exigence de respect mutuel entre les communautés, des cas de mépris et d</w:t>
      </w:r>
      <w:r w:rsidR="00A8230D" w:rsidRPr="00A8230D">
        <w:t>’</w:t>
      </w:r>
      <w:r w:rsidRPr="00A8230D">
        <w:t xml:space="preserve">appropriation illicite </w:t>
      </w:r>
      <w:r w:rsidR="00FF732D" w:rsidRPr="00A8230D">
        <w:t xml:space="preserve">ainsi que </w:t>
      </w:r>
      <w:r w:rsidRPr="00A8230D">
        <w:t>des inquiétudes concernant le manque de soutien technique et financier à la mise en œuvre d</w:t>
      </w:r>
      <w:r w:rsidR="00A8230D" w:rsidRPr="00A8230D">
        <w:t>’</w:t>
      </w:r>
      <w:r w:rsidRPr="00A8230D">
        <w:t>u</w:t>
      </w:r>
      <w:r w:rsidR="00FF732D" w:rsidRPr="00A8230D">
        <w:t>n</w:t>
      </w:r>
      <w:r w:rsidRPr="00A8230D">
        <w:t xml:space="preserve"> plan de sauvegarde.</w:t>
      </w:r>
    </w:p>
    <w:p w14:paraId="4C58ABA3" w14:textId="389221A5" w:rsidR="002E2E42" w:rsidRPr="00A8230D" w:rsidRDefault="002E2E42" w:rsidP="005B183E">
      <w:pPr>
        <w:pStyle w:val="COMPara"/>
        <w:numPr>
          <w:ilvl w:val="0"/>
          <w:numId w:val="14"/>
        </w:numPr>
        <w:autoSpaceDE w:val="0"/>
        <w:autoSpaceDN w:val="0"/>
        <w:adjustRightInd w:val="0"/>
        <w:snapToGrid w:val="0"/>
        <w:ind w:left="567" w:hanging="567"/>
        <w:jc w:val="both"/>
      </w:pPr>
      <w:r w:rsidRPr="00A8230D">
        <w:t xml:space="preserve">Les correspondances ont été envoyées par différentes parties prenantes : individus extérieurs aux communautés concernées, membres des communautés, universités, </w:t>
      </w:r>
      <w:r w:rsidR="003E6646" w:rsidRPr="00A8230D">
        <w:t>organisations non gouvernementales (</w:t>
      </w:r>
      <w:r w:rsidRPr="00A8230D">
        <w:t>ONG</w:t>
      </w:r>
      <w:r w:rsidR="003E6646" w:rsidRPr="00A8230D">
        <w:t>)</w:t>
      </w:r>
      <w:r w:rsidRPr="00A8230D">
        <w:t xml:space="preserve"> et médias. Une correspondance anonyme n</w:t>
      </w:r>
      <w:r w:rsidR="00A8230D" w:rsidRPr="00A8230D">
        <w:t>’</w:t>
      </w:r>
      <w:r w:rsidRPr="00A8230D">
        <w:t>a pas été traitée</w:t>
      </w:r>
      <w:r w:rsidR="00EB27D3" w:rsidRPr="00A8230D">
        <w:t xml:space="preserve"> car il a été </w:t>
      </w:r>
      <w:r w:rsidRPr="00A8230D">
        <w:t>considér</w:t>
      </w:r>
      <w:r w:rsidR="00EB27D3" w:rsidRPr="00A8230D">
        <w:t>é</w:t>
      </w:r>
      <w:r w:rsidRPr="00A8230D">
        <w:t xml:space="preserve"> que l</w:t>
      </w:r>
      <w:r w:rsidR="00A8230D" w:rsidRPr="00A8230D">
        <w:t>’</w:t>
      </w:r>
      <w:r w:rsidRPr="00A8230D">
        <w:t xml:space="preserve">absence de coordonnées </w:t>
      </w:r>
      <w:r w:rsidR="00E06263" w:rsidRPr="00A8230D">
        <w:t>faisait</w:t>
      </w:r>
      <w:r w:rsidRPr="00A8230D">
        <w:t xml:space="preserve"> douter de la crédibilité du contenu</w:t>
      </w:r>
      <w:r w:rsidR="00E06263" w:rsidRPr="00A8230D">
        <w:t xml:space="preserve"> dans ce cas particulier</w:t>
      </w:r>
      <w:r w:rsidRPr="00A8230D">
        <w:t>. S</w:t>
      </w:r>
      <w:r w:rsidR="00A8230D" w:rsidRPr="00A8230D">
        <w:t>’</w:t>
      </w:r>
      <w:r w:rsidRPr="00A8230D">
        <w:t xml:space="preserve">agissant de la répartition régionale, les éléments concernés </w:t>
      </w:r>
      <w:r w:rsidR="003E6646" w:rsidRPr="00A8230D">
        <w:t xml:space="preserve">provenaient du </w:t>
      </w:r>
      <w:r w:rsidRPr="00A8230D">
        <w:t xml:space="preserve">Groupe électoral I (deux cas), </w:t>
      </w:r>
      <w:r w:rsidR="003E6646" w:rsidRPr="00A8230D">
        <w:t xml:space="preserve">du </w:t>
      </w:r>
      <w:r w:rsidRPr="00A8230D">
        <w:t xml:space="preserve">Groupe électoral II (deux cas) et </w:t>
      </w:r>
      <w:r w:rsidR="003E6646" w:rsidRPr="00A8230D">
        <w:t xml:space="preserve">du </w:t>
      </w:r>
      <w:r w:rsidRPr="00A8230D">
        <w:t>Groupe électoral III (deux cas). Sur les six cas traités, seul un État partie a envoyé une réponse.</w:t>
      </w:r>
    </w:p>
    <w:p w14:paraId="00BD660F" w14:textId="77777777" w:rsidR="002E2E42" w:rsidRPr="00A8230D" w:rsidRDefault="002E2E42" w:rsidP="005B183E">
      <w:pPr>
        <w:pStyle w:val="COMPara"/>
        <w:numPr>
          <w:ilvl w:val="0"/>
          <w:numId w:val="0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A8230D">
        <w:rPr>
          <w:b/>
        </w:rPr>
        <w:t>Cas des candidatures en cours</w:t>
      </w:r>
    </w:p>
    <w:p w14:paraId="295403DE" w14:textId="7988B486" w:rsidR="002E2E42" w:rsidRPr="00A8230D" w:rsidRDefault="002E2E42" w:rsidP="00B37A67">
      <w:pPr>
        <w:pStyle w:val="COMPara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567" w:hanging="567"/>
        <w:jc w:val="both"/>
      </w:pPr>
      <w:r w:rsidRPr="00A8230D">
        <w:t xml:space="preserve">Au cours de la période considérée, </w:t>
      </w:r>
      <w:r w:rsidRPr="00A8230D">
        <w:rPr>
          <w:b/>
        </w:rPr>
        <w:t>deux candidatures</w:t>
      </w:r>
      <w:r w:rsidRPr="00A8230D">
        <w:t xml:space="preserve"> en cours d</w:t>
      </w:r>
      <w:r w:rsidR="00A8230D" w:rsidRPr="00A8230D">
        <w:t>’</w:t>
      </w:r>
      <w:r w:rsidRPr="00A8230D">
        <w:t>examen pour une inscription éventuelle sur la Liste représentative ont fait l</w:t>
      </w:r>
      <w:r w:rsidR="00A8230D" w:rsidRPr="00A8230D">
        <w:t>’</w:t>
      </w:r>
      <w:r w:rsidRPr="00A8230D">
        <w:t>objet de correspondances (Annexe 2).</w:t>
      </w:r>
      <w:r w:rsidR="00B37A67" w:rsidRPr="00A8230D">
        <w:t xml:space="preserve">Pour le premier </w:t>
      </w:r>
      <w:r w:rsidRPr="00A8230D">
        <w:t xml:space="preserve">cas concernant </w:t>
      </w:r>
      <w:r w:rsidR="00B37A67" w:rsidRPr="00A8230D">
        <w:t xml:space="preserve">la Turquie, </w:t>
      </w:r>
      <w:r w:rsidRPr="00A8230D">
        <w:t xml:space="preserve">un État partie </w:t>
      </w:r>
      <w:r w:rsidR="00B37A67" w:rsidRPr="00A8230D">
        <w:t xml:space="preserve">avait initié la correspondance </w:t>
      </w:r>
      <w:r w:rsidRPr="00A8230D">
        <w:t>s</w:t>
      </w:r>
      <w:r w:rsidR="00A8230D" w:rsidRPr="00A8230D">
        <w:t>’</w:t>
      </w:r>
      <w:r w:rsidRPr="00A8230D">
        <w:t>inquiétant de l</w:t>
      </w:r>
      <w:r w:rsidR="00A8230D" w:rsidRPr="00A8230D">
        <w:t>’</w:t>
      </w:r>
      <w:r w:rsidRPr="00A8230D">
        <w:t>étendue géographique, des fonctions sociales et de la signification culturelle de l</w:t>
      </w:r>
      <w:r w:rsidR="00A8230D" w:rsidRPr="00A8230D">
        <w:t>’</w:t>
      </w:r>
      <w:r w:rsidRPr="00A8230D">
        <w:t>élément soumis, tel qu</w:t>
      </w:r>
      <w:r w:rsidR="00A8230D" w:rsidRPr="00A8230D">
        <w:t>’</w:t>
      </w:r>
      <w:r w:rsidRPr="00A8230D">
        <w:t>il a été identifié dans le dossier</w:t>
      </w:r>
      <w:r w:rsidR="00250B1D" w:rsidRPr="00A8230D">
        <w:t xml:space="preserve"> (la candidature de la Turquie a été porté à la connaissance des membres du Comité et du public sur la </w:t>
      </w:r>
      <w:hyperlink r:id="rId11" w:history="1">
        <w:r w:rsidR="00250B1D" w:rsidRPr="00A8230D">
          <w:rPr>
            <w:rStyle w:val="Hyperlink"/>
          </w:rPr>
          <w:t>page web</w:t>
        </w:r>
      </w:hyperlink>
      <w:r w:rsidR="00250B1D" w:rsidRPr="00A8230D">
        <w:t xml:space="preserve"> dédiée aux candidatures du cycle 2021)</w:t>
      </w:r>
      <w:r w:rsidRPr="00A8230D">
        <w:t xml:space="preserve">. </w:t>
      </w:r>
      <w:r w:rsidR="00250B1D" w:rsidRPr="00A8230D">
        <w:t xml:space="preserve">Pour le deuxième </w:t>
      </w:r>
      <w:r w:rsidRPr="00A8230D">
        <w:t xml:space="preserve">cas, concernant </w:t>
      </w:r>
      <w:r w:rsidR="00250B1D" w:rsidRPr="00A8230D">
        <w:t>l</w:t>
      </w:r>
      <w:r w:rsidR="00A8230D" w:rsidRPr="00A8230D">
        <w:t>’</w:t>
      </w:r>
      <w:r w:rsidR="00250B1D" w:rsidRPr="00A8230D">
        <w:t>Italie</w:t>
      </w:r>
      <w:r w:rsidRPr="00A8230D">
        <w:t xml:space="preserve">, </w:t>
      </w:r>
      <w:r w:rsidR="00250B1D" w:rsidRPr="00A8230D">
        <w:t>l</w:t>
      </w:r>
      <w:r w:rsidR="00A8230D" w:rsidRPr="00A8230D">
        <w:t>’</w:t>
      </w:r>
      <w:r w:rsidR="00250B1D" w:rsidRPr="00A8230D">
        <w:t xml:space="preserve">information </w:t>
      </w:r>
      <w:r w:rsidRPr="00A8230D">
        <w:t>a été porté directement à la connaissance de l</w:t>
      </w:r>
      <w:r w:rsidR="00A8230D" w:rsidRPr="00A8230D">
        <w:t>’</w:t>
      </w:r>
      <w:r w:rsidRPr="00A8230D">
        <w:t>Organe d</w:t>
      </w:r>
      <w:r w:rsidR="00A8230D" w:rsidRPr="00A8230D">
        <w:t>’</w:t>
      </w:r>
      <w:r w:rsidRPr="00A8230D">
        <w:t>évaluation par une ONG s</w:t>
      </w:r>
      <w:r w:rsidR="00A8230D" w:rsidRPr="00A8230D">
        <w:t>’</w:t>
      </w:r>
      <w:r w:rsidRPr="00A8230D">
        <w:t>inquiétant du bien-être animal dans la pratique de l</w:t>
      </w:r>
      <w:r w:rsidR="00A8230D" w:rsidRPr="00A8230D">
        <w:t>’</w:t>
      </w:r>
      <w:r w:rsidRPr="00A8230D">
        <w:t>élément. Une réponse a été fournie par l</w:t>
      </w:r>
      <w:r w:rsidR="00A8230D" w:rsidRPr="00A8230D">
        <w:t>’</w:t>
      </w:r>
      <w:r w:rsidR="006E6401" w:rsidRPr="00A8230D">
        <w:t>E</w:t>
      </w:r>
      <w:r w:rsidRPr="00A8230D">
        <w:t>tat soumissionnaire pour le premier cas mais pas pour le deuxième.</w:t>
      </w:r>
    </w:p>
    <w:p w14:paraId="1725357E" w14:textId="1E6CC2ED" w:rsidR="002E2E42" w:rsidRPr="00A8230D" w:rsidRDefault="002E2E42" w:rsidP="005B183E">
      <w:pPr>
        <w:pStyle w:val="COMPara"/>
        <w:numPr>
          <w:ilvl w:val="0"/>
          <w:numId w:val="0"/>
        </w:numPr>
        <w:autoSpaceDE w:val="0"/>
        <w:autoSpaceDN w:val="0"/>
        <w:adjustRightInd w:val="0"/>
        <w:spacing w:before="240"/>
        <w:jc w:val="both"/>
        <w:rPr>
          <w:b/>
        </w:rPr>
      </w:pPr>
      <w:r w:rsidRPr="00A8230D">
        <w:rPr>
          <w:b/>
        </w:rPr>
        <w:t>Voie à suivre</w:t>
      </w:r>
    </w:p>
    <w:p w14:paraId="0981CE16" w14:textId="416226C5" w:rsidR="002E2E42" w:rsidRPr="00A8230D" w:rsidRDefault="002E2E42" w:rsidP="005B183E">
      <w:pPr>
        <w:pStyle w:val="COMPara"/>
        <w:numPr>
          <w:ilvl w:val="0"/>
          <w:numId w:val="14"/>
        </w:numPr>
        <w:autoSpaceDE w:val="0"/>
        <w:autoSpaceDN w:val="0"/>
        <w:adjustRightInd w:val="0"/>
        <w:snapToGrid w:val="0"/>
        <w:spacing w:before="120"/>
        <w:ind w:left="567" w:hanging="567"/>
        <w:jc w:val="both"/>
        <w:rPr>
          <w:rFonts w:eastAsia="SimSun"/>
        </w:rPr>
      </w:pPr>
      <w:r w:rsidRPr="00A8230D">
        <w:t>Les problèmes liés au suivi des éléments inscrits et des candidatures en cours d</w:t>
      </w:r>
      <w:r w:rsidR="00A8230D" w:rsidRPr="00A8230D">
        <w:t>’</w:t>
      </w:r>
      <w:r w:rsidRPr="00A8230D">
        <w:t>examen font l</w:t>
      </w:r>
      <w:r w:rsidR="00A8230D" w:rsidRPr="00A8230D">
        <w:t>’</w:t>
      </w:r>
      <w:r w:rsidRPr="00A8230D">
        <w:t>objet d</w:t>
      </w:r>
      <w:r w:rsidR="00A8230D" w:rsidRPr="00A8230D">
        <w:t>’</w:t>
      </w:r>
      <w:r w:rsidRPr="00A8230D">
        <w:t xml:space="preserve">une réflexion </w:t>
      </w:r>
      <w:r w:rsidR="00F834C0" w:rsidRPr="00A8230D">
        <w:t xml:space="preserve">globale </w:t>
      </w:r>
      <w:r w:rsidRPr="00A8230D">
        <w:t>sur les mécanismes d</w:t>
      </w:r>
      <w:r w:rsidR="00A8230D" w:rsidRPr="00A8230D">
        <w:t>’</w:t>
      </w:r>
      <w:r w:rsidRPr="00A8230D">
        <w:t>inscription de la Convention de 2003 (</w:t>
      </w:r>
      <w:r w:rsidR="00D01000" w:rsidRPr="00A8230D">
        <w:t>Décision </w:t>
      </w:r>
      <w:hyperlink r:id="rId12" w:history="1">
        <w:r w:rsidR="00D01000" w:rsidRPr="00A8230D">
          <w:rPr>
            <w:rStyle w:val="Hyperlink"/>
            <w:rFonts w:asciiTheme="minorBidi" w:hAnsiTheme="minorBidi"/>
          </w:rPr>
          <w:t>13.COM 9</w:t>
        </w:r>
      </w:hyperlink>
      <w:r w:rsidRPr="00A8230D">
        <w:rPr>
          <w:rStyle w:val="Hyperlink"/>
          <w:rFonts w:asciiTheme="minorBidi" w:hAnsiTheme="minorBidi"/>
          <w:color w:val="auto"/>
          <w:u w:val="none"/>
        </w:rPr>
        <w:t>)</w:t>
      </w:r>
      <w:r w:rsidRPr="00A8230D">
        <w:t>. Les progrès accomplis seront étudiés à l</w:t>
      </w:r>
      <w:r w:rsidR="00A8230D" w:rsidRPr="00A8230D">
        <w:t>’</w:t>
      </w:r>
      <w:r w:rsidRPr="00A8230D">
        <w:t xml:space="preserve">occasion de la présente session du Comité (document de travail </w:t>
      </w:r>
      <w:hyperlink r:id="rId13" w:history="1">
        <w:r w:rsidRPr="00A8230D">
          <w:rPr>
            <w:rStyle w:val="Hyperlink"/>
          </w:rPr>
          <w:t>LHE/21/16.COM 14</w:t>
        </w:r>
      </w:hyperlink>
      <w:r w:rsidRPr="00A8230D">
        <w:t>). Cette réflexion a produit un certain nombre d</w:t>
      </w:r>
      <w:r w:rsidR="00A8230D" w:rsidRPr="00A8230D">
        <w:t>’</w:t>
      </w:r>
      <w:r w:rsidRPr="00A8230D">
        <w:t xml:space="preserve">idées concernant le rôle des communautés, des groupes et des individus, la façon dont le suivi des éléments inscrits peut être lié la soumission des rapports périodiques </w:t>
      </w:r>
      <w:r w:rsidR="00D749AE" w:rsidRPr="00A8230D">
        <w:t xml:space="preserve">ainsi que </w:t>
      </w:r>
      <w:r w:rsidRPr="00A8230D">
        <w:t xml:space="preserve">la faisabilité </w:t>
      </w:r>
      <w:r w:rsidR="00D749AE" w:rsidRPr="00A8230D">
        <w:t xml:space="preserve">de la création et du </w:t>
      </w:r>
      <w:r w:rsidRPr="00A8230D">
        <w:t>fonctionnement d</w:t>
      </w:r>
      <w:r w:rsidR="00A8230D" w:rsidRPr="00A8230D">
        <w:t>’</w:t>
      </w:r>
      <w:r w:rsidRPr="00A8230D">
        <w:t>une plateforme/d</w:t>
      </w:r>
      <w:r w:rsidR="00A8230D" w:rsidRPr="00A8230D">
        <w:t>’</w:t>
      </w:r>
      <w:r w:rsidRPr="00A8230D">
        <w:t>un réseau/d</w:t>
      </w:r>
      <w:r w:rsidR="00A8230D" w:rsidRPr="00A8230D">
        <w:t>’</w:t>
      </w:r>
      <w:r w:rsidRPr="00A8230D">
        <w:t>un forum pour le suivi des éléments inscrits.</w:t>
      </w:r>
    </w:p>
    <w:p w14:paraId="53CBD504" w14:textId="6C0605F0" w:rsidR="002E2E42" w:rsidRPr="00A8230D" w:rsidRDefault="002E2E42" w:rsidP="005B183E">
      <w:pPr>
        <w:pStyle w:val="COMPara"/>
        <w:numPr>
          <w:ilvl w:val="0"/>
          <w:numId w:val="14"/>
        </w:numPr>
        <w:spacing w:before="120"/>
        <w:ind w:left="567" w:hanging="567"/>
        <w:jc w:val="both"/>
        <w:rPr>
          <w:rFonts w:eastAsia="SimSun"/>
        </w:rPr>
      </w:pPr>
      <w:r w:rsidRPr="00A8230D">
        <w:t>Dans le même temps, le Comité souhaitera peut-être demander au Secrétariat de continuer de porter à son attention les informations fournies par des tiers sur l</w:t>
      </w:r>
      <w:r w:rsidR="00A8230D" w:rsidRPr="00A8230D">
        <w:t>’</w:t>
      </w:r>
      <w:r w:rsidRPr="00A8230D">
        <w:t xml:space="preserve">état </w:t>
      </w:r>
      <w:r w:rsidR="00D749AE" w:rsidRPr="00A8230D">
        <w:t xml:space="preserve">actuel </w:t>
      </w:r>
      <w:r w:rsidRPr="00A8230D">
        <w:t>des éléments inscrits, éventuellement sous la forme d</w:t>
      </w:r>
      <w:r w:rsidR="00A8230D" w:rsidRPr="00A8230D">
        <w:t>’</w:t>
      </w:r>
      <w:r w:rsidRPr="00A8230D">
        <w:t>un résumé à intégrer à un document de travail sur le suivi des éléments inscrits.</w:t>
      </w:r>
    </w:p>
    <w:p w14:paraId="4DB7EF0B" w14:textId="77777777" w:rsidR="002E2E42" w:rsidRPr="00A8230D" w:rsidRDefault="002E2E42" w:rsidP="005B183E">
      <w:pPr>
        <w:pStyle w:val="COMPara"/>
        <w:numPr>
          <w:ilvl w:val="0"/>
          <w:numId w:val="14"/>
        </w:numPr>
        <w:adjustRightInd w:val="0"/>
        <w:spacing w:before="120"/>
        <w:ind w:left="567" w:hanging="567"/>
        <w:jc w:val="both"/>
        <w:rPr>
          <w:rFonts w:eastAsia="SimSun"/>
        </w:rPr>
      </w:pPr>
      <w:r w:rsidRPr="00A8230D">
        <w:t>Le Comité souhaitera peut-être adopter la décision suivante :</w:t>
      </w:r>
    </w:p>
    <w:p w14:paraId="245A44C0" w14:textId="0F449D05" w:rsidR="002E2E42" w:rsidRPr="00A8230D" w:rsidRDefault="002E2E42" w:rsidP="005B183E">
      <w:pPr>
        <w:pStyle w:val="COMPara"/>
        <w:numPr>
          <w:ilvl w:val="0"/>
          <w:numId w:val="0"/>
        </w:numPr>
        <w:autoSpaceDE w:val="0"/>
        <w:autoSpaceDN w:val="0"/>
        <w:adjustRightInd w:val="0"/>
        <w:spacing w:before="240"/>
        <w:ind w:left="567" w:hanging="6"/>
        <w:jc w:val="both"/>
        <w:rPr>
          <w:rFonts w:eastAsia="SimSun"/>
          <w:b/>
          <w:bCs/>
        </w:rPr>
      </w:pPr>
      <w:r w:rsidRPr="00A8230D">
        <w:rPr>
          <w:b/>
        </w:rPr>
        <w:t>PROJET DE DÉCISION 16.COM</w:t>
      </w:r>
      <w:r w:rsidR="00E43591">
        <w:rPr>
          <w:b/>
        </w:rPr>
        <w:t> </w:t>
      </w:r>
      <w:r w:rsidRPr="00A8230D">
        <w:rPr>
          <w:b/>
        </w:rPr>
        <w:t>11</w:t>
      </w:r>
    </w:p>
    <w:p w14:paraId="360C45BA" w14:textId="77777777" w:rsidR="002E2E42" w:rsidRPr="00A8230D" w:rsidRDefault="002E2E42" w:rsidP="005B183E">
      <w:pPr>
        <w:pStyle w:val="COMPreambulaDecisions"/>
        <w:rPr>
          <w:rFonts w:eastAsia="SimSun"/>
        </w:rPr>
      </w:pPr>
      <w:r w:rsidRPr="00A8230D">
        <w:t>Le Comité,</w:t>
      </w:r>
    </w:p>
    <w:p w14:paraId="0FDBD175" w14:textId="09EB9450" w:rsidR="002E2E42" w:rsidRPr="00A8230D" w:rsidRDefault="002E2E42" w:rsidP="005B183E">
      <w:pPr>
        <w:pStyle w:val="COMParaDecision"/>
      </w:pPr>
      <w:r w:rsidRPr="00A8230D">
        <w:t>Ayant examiné</w:t>
      </w:r>
      <w:r w:rsidRPr="00A8230D">
        <w:rPr>
          <w:u w:val="none"/>
        </w:rPr>
        <w:t xml:space="preserve"> le document LHE/21/16.COM/11</w:t>
      </w:r>
      <w:r w:rsidR="00531A86">
        <w:rPr>
          <w:u w:val="none"/>
        </w:rPr>
        <w:t xml:space="preserve"> Rev.</w:t>
      </w:r>
      <w:r w:rsidRPr="00A8230D">
        <w:rPr>
          <w:u w:val="none"/>
        </w:rPr>
        <w:t>,</w:t>
      </w:r>
    </w:p>
    <w:p w14:paraId="7EFF23A8" w14:textId="3E1EC731" w:rsidR="002E2E42" w:rsidRPr="00A8230D" w:rsidRDefault="002E2E42" w:rsidP="005B183E">
      <w:pPr>
        <w:pStyle w:val="COMParaDecision"/>
        <w:rPr>
          <w:b/>
          <w:bCs/>
          <w:u w:val="none"/>
        </w:rPr>
      </w:pPr>
      <w:r w:rsidRPr="00A8230D">
        <w:t>Rappelant</w:t>
      </w:r>
      <w:r w:rsidRPr="00A8230D">
        <w:rPr>
          <w:u w:val="none"/>
        </w:rPr>
        <w:t xml:space="preserve"> </w:t>
      </w:r>
      <w:hyperlink r:id="rId14" w:history="1">
        <w:r w:rsidRPr="00A8230D">
          <w:rPr>
            <w:rStyle w:val="Hyperlink"/>
            <w:color w:val="auto"/>
            <w:u w:val="none"/>
          </w:rPr>
          <w:t xml:space="preserve">les </w:t>
        </w:r>
        <w:r w:rsidR="00A8230D">
          <w:rPr>
            <w:rStyle w:val="Hyperlink"/>
            <w:color w:val="auto"/>
            <w:u w:val="none"/>
          </w:rPr>
          <w:t>d</w:t>
        </w:r>
        <w:r w:rsidR="00A8230D" w:rsidRPr="00A8230D">
          <w:rPr>
            <w:rStyle w:val="Hyperlink"/>
            <w:color w:val="auto"/>
            <w:u w:val="none"/>
          </w:rPr>
          <w:t xml:space="preserve">écisions </w:t>
        </w:r>
        <w:r w:rsidRPr="00A8230D">
          <w:rPr>
            <w:rStyle w:val="Hyperlink"/>
          </w:rPr>
          <w:t>7.COM 15</w:t>
        </w:r>
      </w:hyperlink>
      <w:r w:rsidRPr="001A05BF">
        <w:rPr>
          <w:rStyle w:val="Hyperlink"/>
          <w:color w:val="auto"/>
          <w:u w:val="none"/>
        </w:rPr>
        <w:t>,</w:t>
      </w:r>
      <w:r w:rsidRPr="00A8230D">
        <w:rPr>
          <w:rStyle w:val="Hyperlink"/>
          <w:u w:val="none"/>
        </w:rPr>
        <w:t xml:space="preserve"> </w:t>
      </w:r>
      <w:hyperlink r:id="rId15" w:history="1">
        <w:r w:rsidRPr="00A8230D">
          <w:rPr>
            <w:rStyle w:val="Hyperlink"/>
          </w:rPr>
          <w:t>13.COM 9</w:t>
        </w:r>
      </w:hyperlink>
      <w:r w:rsidRPr="00A8230D">
        <w:rPr>
          <w:rStyle w:val="Hyperlink"/>
          <w:u w:val="none"/>
        </w:rPr>
        <w:t xml:space="preserve"> </w:t>
      </w:r>
      <w:r w:rsidRPr="00A8230D">
        <w:rPr>
          <w:u w:val="none"/>
        </w:rPr>
        <w:t xml:space="preserve">et </w:t>
      </w:r>
      <w:hyperlink r:id="rId16" w:history="1">
        <w:r w:rsidRPr="00A8230D">
          <w:rPr>
            <w:rStyle w:val="Hyperlink"/>
          </w:rPr>
          <w:t>14.COM 14</w:t>
        </w:r>
      </w:hyperlink>
      <w:r w:rsidRPr="00A8230D">
        <w:rPr>
          <w:u w:val="none"/>
        </w:rPr>
        <w:t>,</w:t>
      </w:r>
    </w:p>
    <w:p w14:paraId="1D07E00A" w14:textId="22B41A86" w:rsidR="002E2E42" w:rsidRPr="00A8230D" w:rsidRDefault="002E2E42" w:rsidP="005B183E">
      <w:pPr>
        <w:pStyle w:val="COMParaDecision"/>
      </w:pPr>
      <w:r w:rsidRPr="00A8230D">
        <w:t>Prend note</w:t>
      </w:r>
      <w:r w:rsidRPr="00A8230D">
        <w:rPr>
          <w:u w:val="none"/>
        </w:rPr>
        <w:t xml:space="preserve"> des correspondances relatives à des éléments inscrits et à des candidatures en cours, portées à l</w:t>
      </w:r>
      <w:r w:rsidR="00A8230D" w:rsidRPr="00A8230D">
        <w:rPr>
          <w:u w:val="none"/>
        </w:rPr>
        <w:t>’</w:t>
      </w:r>
      <w:r w:rsidRPr="00A8230D">
        <w:rPr>
          <w:u w:val="none"/>
        </w:rPr>
        <w:t>attention du Secrétariat sur la période considérée, telles qu</w:t>
      </w:r>
      <w:r w:rsidR="00A8230D" w:rsidRPr="00A8230D">
        <w:rPr>
          <w:u w:val="none"/>
        </w:rPr>
        <w:t>’</w:t>
      </w:r>
      <w:r w:rsidRPr="00A8230D">
        <w:rPr>
          <w:u w:val="none"/>
        </w:rPr>
        <w:t>indiquées dans l</w:t>
      </w:r>
      <w:r w:rsidR="00A8230D">
        <w:rPr>
          <w:u w:val="none"/>
        </w:rPr>
        <w:t xml:space="preserve">es </w:t>
      </w:r>
      <w:r w:rsidR="007178A5" w:rsidRPr="00A8230D">
        <w:rPr>
          <w:u w:val="none"/>
        </w:rPr>
        <w:t>annexe</w:t>
      </w:r>
      <w:r w:rsidR="00A8230D">
        <w:rPr>
          <w:u w:val="none"/>
        </w:rPr>
        <w:t>s</w:t>
      </w:r>
      <w:r w:rsidR="007178A5" w:rsidRPr="00A8230D">
        <w:rPr>
          <w:u w:val="none"/>
        </w:rPr>
        <w:t xml:space="preserve"> du</w:t>
      </w:r>
      <w:r w:rsidRPr="00A8230D">
        <w:rPr>
          <w:u w:val="none"/>
        </w:rPr>
        <w:t xml:space="preserve"> présent document, et </w:t>
      </w:r>
      <w:r w:rsidRPr="00A8230D">
        <w:t>encourage</w:t>
      </w:r>
      <w:r w:rsidRPr="00A8230D">
        <w:rPr>
          <w:u w:val="none"/>
        </w:rPr>
        <w:t xml:space="preserve"> les États parties concernés à </w:t>
      </w:r>
      <w:r w:rsidR="007178A5" w:rsidRPr="00A8230D">
        <w:rPr>
          <w:u w:val="none"/>
        </w:rPr>
        <w:t xml:space="preserve">fournir des réponses </w:t>
      </w:r>
      <w:r w:rsidRPr="00A8230D">
        <w:rPr>
          <w:u w:val="none"/>
        </w:rPr>
        <w:t>aux préoccupations exprimées par des tiers ;</w:t>
      </w:r>
    </w:p>
    <w:p w14:paraId="522AAAC9" w14:textId="7E402E43" w:rsidR="002E2E42" w:rsidRPr="00A8230D" w:rsidRDefault="002E2E42" w:rsidP="005B183E">
      <w:pPr>
        <w:pStyle w:val="COMParaDecision"/>
        <w:rPr>
          <w:u w:val="none"/>
        </w:rPr>
      </w:pPr>
      <w:r w:rsidRPr="00A8230D">
        <w:t>Demande</w:t>
      </w:r>
      <w:r w:rsidRPr="00A8230D">
        <w:rPr>
          <w:u w:val="none"/>
        </w:rPr>
        <w:t xml:space="preserve"> au Secrétariat, en attendant les conclusions de la réflexion globale sur les mécanismes d</w:t>
      </w:r>
      <w:r w:rsidR="00A8230D" w:rsidRPr="00A8230D">
        <w:rPr>
          <w:u w:val="none"/>
        </w:rPr>
        <w:t>’</w:t>
      </w:r>
      <w:r w:rsidRPr="00A8230D">
        <w:rPr>
          <w:u w:val="none"/>
        </w:rPr>
        <w:t xml:space="preserve">inscription </w:t>
      </w:r>
      <w:r w:rsidR="00A8230D">
        <w:rPr>
          <w:u w:val="none"/>
        </w:rPr>
        <w:t xml:space="preserve">sur les listes </w:t>
      </w:r>
      <w:r w:rsidRPr="00A8230D">
        <w:rPr>
          <w:u w:val="none"/>
        </w:rPr>
        <w:t xml:space="preserve">de la Convention de 2003, de continuer de porter à </w:t>
      </w:r>
      <w:r w:rsidR="007178A5" w:rsidRPr="00A8230D">
        <w:rPr>
          <w:u w:val="none"/>
        </w:rPr>
        <w:t>l</w:t>
      </w:r>
      <w:r w:rsidR="00A8230D" w:rsidRPr="00A8230D">
        <w:rPr>
          <w:u w:val="none"/>
        </w:rPr>
        <w:t>’</w:t>
      </w:r>
      <w:r w:rsidRPr="00A8230D">
        <w:rPr>
          <w:u w:val="none"/>
        </w:rPr>
        <w:t>attention</w:t>
      </w:r>
      <w:r w:rsidR="007178A5" w:rsidRPr="00A8230D">
        <w:rPr>
          <w:u w:val="none"/>
        </w:rPr>
        <w:t xml:space="preserve"> d</w:t>
      </w:r>
      <w:r w:rsidR="00D01000" w:rsidRPr="00A8230D">
        <w:rPr>
          <w:u w:val="none"/>
        </w:rPr>
        <w:t>u</w:t>
      </w:r>
      <w:r w:rsidR="007178A5" w:rsidRPr="00A8230D">
        <w:rPr>
          <w:u w:val="none"/>
        </w:rPr>
        <w:t xml:space="preserve"> Comité </w:t>
      </w:r>
      <w:r w:rsidRPr="00A8230D">
        <w:rPr>
          <w:u w:val="none"/>
        </w:rPr>
        <w:t xml:space="preserve">les informations </w:t>
      </w:r>
      <w:r w:rsidR="007178A5" w:rsidRPr="00A8230D">
        <w:rPr>
          <w:u w:val="none"/>
        </w:rPr>
        <w:t xml:space="preserve">reçues </w:t>
      </w:r>
      <w:r w:rsidRPr="00A8230D">
        <w:rPr>
          <w:u w:val="none"/>
        </w:rPr>
        <w:t xml:space="preserve">par des tiers </w:t>
      </w:r>
      <w:r w:rsidR="007178A5" w:rsidRPr="00A8230D">
        <w:rPr>
          <w:u w:val="none"/>
        </w:rPr>
        <w:t xml:space="preserve">concernant </w:t>
      </w:r>
      <w:r w:rsidRPr="00A8230D">
        <w:rPr>
          <w:u w:val="none"/>
        </w:rPr>
        <w:t>des éléments déjà inscrits et des candidatures en cours</w:t>
      </w:r>
      <w:r w:rsidR="007178A5" w:rsidRPr="00A8230D">
        <w:rPr>
          <w:u w:val="none"/>
        </w:rPr>
        <w:t>,</w:t>
      </w:r>
      <w:r w:rsidRPr="00A8230D">
        <w:rPr>
          <w:u w:val="none"/>
        </w:rPr>
        <w:t xml:space="preserve"> sous la forme d</w:t>
      </w:r>
      <w:r w:rsidR="00A8230D" w:rsidRPr="00A8230D">
        <w:rPr>
          <w:u w:val="none"/>
        </w:rPr>
        <w:t>’</w:t>
      </w:r>
      <w:r w:rsidRPr="00A8230D">
        <w:rPr>
          <w:u w:val="none"/>
        </w:rPr>
        <w:t>un résumé à inclure dans un document de travail.</w:t>
      </w:r>
    </w:p>
    <w:p w14:paraId="49E6C1FA" w14:textId="77777777" w:rsidR="002E2E42" w:rsidRPr="00A8230D" w:rsidRDefault="002E2E42" w:rsidP="002E2E42">
      <w:pPr>
        <w:shd w:val="clear" w:color="auto" w:fill="FFFFFF" w:themeFill="background1"/>
        <w:spacing w:before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4AC6F4F" w14:textId="77777777" w:rsidR="002E2E42" w:rsidRPr="00A8230D" w:rsidRDefault="002E2E42" w:rsidP="002E2E4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8230D">
        <w:br w:type="page"/>
      </w:r>
    </w:p>
    <w:p w14:paraId="5636FB38" w14:textId="77777777" w:rsidR="002E2E42" w:rsidRPr="00A8230D" w:rsidRDefault="002E2E42" w:rsidP="002E2E42">
      <w:pPr>
        <w:shd w:val="clear" w:color="auto" w:fill="FFFFFF" w:themeFill="background1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A8230D">
        <w:rPr>
          <w:rFonts w:ascii="Arial" w:hAnsi="Arial"/>
          <w:b/>
          <w:sz w:val="22"/>
        </w:rPr>
        <w:t>Annexe 1</w:t>
      </w:r>
    </w:p>
    <w:p w14:paraId="1650852A" w14:textId="77777777" w:rsidR="002E2E42" w:rsidRPr="00A8230D" w:rsidRDefault="002E2E42" w:rsidP="002E2E4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A8230D">
        <w:rPr>
          <w:rFonts w:ascii="Arial" w:hAnsi="Arial"/>
          <w:b/>
          <w:sz w:val="22"/>
        </w:rPr>
        <w:t>Cas concernant des éléments inscrits portés à la connaissance du Secrétariat</w:t>
      </w:r>
    </w:p>
    <w:p w14:paraId="2A114C5D" w14:textId="5C71A723" w:rsidR="002E2E42" w:rsidRPr="00A8230D" w:rsidRDefault="002E2E42" w:rsidP="005B183E">
      <w:pPr>
        <w:shd w:val="clear" w:color="auto" w:fill="FFFFFF" w:themeFill="background1"/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A8230D">
        <w:rPr>
          <w:rFonts w:ascii="Arial" w:hAnsi="Arial"/>
          <w:b/>
          <w:sz w:val="22"/>
        </w:rPr>
        <w:t xml:space="preserve">entre </w:t>
      </w:r>
      <w:r w:rsidR="007E03D6" w:rsidRPr="00A8230D">
        <w:rPr>
          <w:rFonts w:ascii="Arial" w:hAnsi="Arial"/>
          <w:b/>
          <w:sz w:val="22"/>
        </w:rPr>
        <w:t xml:space="preserve">octobre </w:t>
      </w:r>
      <w:r w:rsidRPr="00A8230D">
        <w:rPr>
          <w:rFonts w:ascii="Arial" w:hAnsi="Arial"/>
          <w:b/>
          <w:sz w:val="22"/>
        </w:rPr>
        <w:t>2019 et juin 2021</w:t>
      </w:r>
    </w:p>
    <w:tbl>
      <w:tblPr>
        <w:tblStyle w:val="TableGrid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7"/>
        <w:gridCol w:w="1213"/>
        <w:gridCol w:w="2170"/>
        <w:gridCol w:w="2184"/>
        <w:gridCol w:w="2150"/>
      </w:tblGrid>
      <w:tr w:rsidR="002E2E42" w:rsidRPr="00A8230D" w14:paraId="38DCFC20" w14:textId="77777777" w:rsidTr="00F22C32">
        <w:trPr>
          <w:cantSplit/>
          <w:trHeight w:val="835"/>
        </w:trPr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6C2D5667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Élément</w:t>
            </w:r>
          </w:p>
          <w:p w14:paraId="22589126" w14:textId="7F3BC02A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(Liste, année d</w:t>
            </w:r>
            <w:r w:rsidR="00A8230D" w:rsidRPr="00A8230D">
              <w:rPr>
                <w:rFonts w:ascii="Arial" w:hAnsi="Arial"/>
                <w:b/>
                <w:sz w:val="20"/>
              </w:rPr>
              <w:t>’</w:t>
            </w:r>
            <w:r w:rsidRPr="00A8230D">
              <w:rPr>
                <w:rFonts w:ascii="Arial" w:hAnsi="Arial"/>
                <w:b/>
                <w:sz w:val="20"/>
              </w:rPr>
              <w:t>inscription)</w:t>
            </w:r>
          </w:p>
        </w:tc>
        <w:tc>
          <w:tcPr>
            <w:tcW w:w="1213" w:type="dxa"/>
            <w:shd w:val="clear" w:color="auto" w:fill="D9D9D9" w:themeFill="background1" w:themeFillShade="D9"/>
            <w:vAlign w:val="center"/>
          </w:tcPr>
          <w:p w14:paraId="3AC52FA7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État(s) partie(s)</w:t>
            </w:r>
          </w:p>
        </w:tc>
        <w:tc>
          <w:tcPr>
            <w:tcW w:w="2170" w:type="dxa"/>
            <w:shd w:val="clear" w:color="auto" w:fill="D9D9D9" w:themeFill="background1" w:themeFillShade="D9"/>
            <w:vAlign w:val="center"/>
          </w:tcPr>
          <w:p w14:paraId="39C1F322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Nature des problèmes</w:t>
            </w:r>
          </w:p>
        </w:tc>
        <w:tc>
          <w:tcPr>
            <w:tcW w:w="2184" w:type="dxa"/>
            <w:shd w:val="clear" w:color="auto" w:fill="D9D9D9" w:themeFill="background1" w:themeFillShade="D9"/>
            <w:vAlign w:val="center"/>
          </w:tcPr>
          <w:p w14:paraId="6099348B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Correspondances reçues et parties concernées</w:t>
            </w:r>
          </w:p>
        </w:tc>
        <w:tc>
          <w:tcPr>
            <w:tcW w:w="2150" w:type="dxa"/>
            <w:shd w:val="clear" w:color="auto" w:fill="D9D9D9" w:themeFill="background1" w:themeFillShade="D9"/>
            <w:vAlign w:val="center"/>
          </w:tcPr>
          <w:p w14:paraId="7081A67D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Action</w:t>
            </w:r>
          </w:p>
        </w:tc>
      </w:tr>
      <w:tr w:rsidR="002E2E42" w:rsidRPr="00A8230D" w14:paraId="61989447" w14:textId="77777777" w:rsidTr="00F22C32">
        <w:trPr>
          <w:cantSplit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</w:tcPr>
          <w:p w14:paraId="10C13510" w14:textId="324806F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color w:val="000000"/>
                <w:sz w:val="20"/>
              </w:rPr>
              <w:t>L</w:t>
            </w:r>
            <w:r w:rsidR="00A8230D" w:rsidRPr="00A8230D">
              <w:rPr>
                <w:rFonts w:ascii="Arial" w:hAnsi="Arial"/>
                <w:b/>
                <w:color w:val="000000"/>
                <w:sz w:val="20"/>
              </w:rPr>
              <w:t>’</w:t>
            </w:r>
            <w:r w:rsidRPr="00A8230D">
              <w:rPr>
                <w:rFonts w:ascii="Arial" w:hAnsi="Arial"/>
                <w:b/>
                <w:color w:val="000000"/>
                <w:sz w:val="20"/>
              </w:rPr>
              <w:t xml:space="preserve">équitation de tradition française </w:t>
            </w:r>
            <w:r w:rsidRPr="00A8230D">
              <w:rPr>
                <w:rFonts w:ascii="Arial" w:hAnsi="Arial"/>
                <w:sz w:val="20"/>
              </w:rPr>
              <w:t>(Liste représentative, 201</w:t>
            </w:r>
            <w:r w:rsidR="00F328B0" w:rsidRPr="00A8230D">
              <w:rPr>
                <w:rFonts w:ascii="Arial" w:hAnsi="Arial"/>
                <w:sz w:val="20"/>
              </w:rPr>
              <w:t>1</w:t>
            </w:r>
            <w:r w:rsidRPr="00A8230D">
              <w:rPr>
                <w:rFonts w:ascii="Arial" w:hAnsi="Arial"/>
                <w:sz w:val="20"/>
              </w:rPr>
              <w:t>)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auto"/>
          </w:tcPr>
          <w:p w14:paraId="5F1D6DB1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230D">
              <w:rPr>
                <w:rFonts w:ascii="Arial" w:hAnsi="Arial"/>
                <w:color w:val="000000"/>
                <w:sz w:val="20"/>
              </w:rPr>
              <w:t>France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07061910" w14:textId="3D2F42A1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aménagement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espace associé à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élément.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</w:tcPr>
          <w:p w14:paraId="0FFC34A9" w14:textId="2156623B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Courriers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individu (représentant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 xml:space="preserve">une organisation de la société civile) ; </w:t>
            </w:r>
            <w:r w:rsidR="003029C5" w:rsidRPr="00A8230D">
              <w:rPr>
                <w:rFonts w:asciiTheme="minorBidi" w:hAnsiTheme="minorBidi"/>
                <w:sz w:val="20"/>
              </w:rPr>
              <w:t>décembre 2020</w:t>
            </w:r>
            <w:r w:rsidRPr="00A8230D">
              <w:rPr>
                <w:rFonts w:asciiTheme="minorBidi" w:hAnsiTheme="minorBidi"/>
                <w:sz w:val="20"/>
              </w:rPr>
              <w:t>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14:paraId="597CF390" w14:textId="2EC0706F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Correspondances transmises à la Délégation permanente de la France en février 2021</w:t>
            </w:r>
            <w:r w:rsidR="00E04880" w:rsidRPr="00A8230D">
              <w:rPr>
                <w:rFonts w:asciiTheme="minorBidi" w:hAnsiTheme="minorBidi"/>
                <w:sz w:val="20"/>
              </w:rPr>
              <w:t>;</w:t>
            </w:r>
            <w:r w:rsidRPr="00A8230D">
              <w:rPr>
                <w:rFonts w:asciiTheme="minorBidi" w:hAnsiTheme="minorBidi"/>
                <w:sz w:val="20"/>
              </w:rPr>
              <w:t xml:space="preserve"> </w:t>
            </w:r>
          </w:p>
          <w:p w14:paraId="2998AFAF" w14:textId="0A034069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Aucune réponse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État partie.</w:t>
            </w:r>
          </w:p>
        </w:tc>
      </w:tr>
      <w:tr w:rsidR="002E2E42" w:rsidRPr="00A8230D" w14:paraId="509C06D3" w14:textId="77777777" w:rsidTr="00F22C32">
        <w:trPr>
          <w:cantSplit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</w:tcPr>
          <w:p w14:paraId="357D617A" w14:textId="39CAC0DB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bCs/>
                <w:sz w:val="20"/>
              </w:rPr>
              <w:t xml:space="preserve">Les festivités </w:t>
            </w:r>
            <w:proofErr w:type="spellStart"/>
            <w:r w:rsidRPr="00A8230D">
              <w:rPr>
                <w:rFonts w:ascii="Arial" w:hAnsi="Arial"/>
                <w:b/>
                <w:bCs/>
                <w:sz w:val="20"/>
              </w:rPr>
              <w:t>Busó</w:t>
            </w:r>
            <w:proofErr w:type="spellEnd"/>
            <w:r w:rsidRPr="00A8230D">
              <w:rPr>
                <w:rFonts w:ascii="Arial" w:hAnsi="Arial"/>
                <w:b/>
                <w:bCs/>
                <w:sz w:val="20"/>
              </w:rPr>
              <w:t xml:space="preserve"> de Mohács : une coutume de carnaval masqué marquant la fin de l</w:t>
            </w:r>
            <w:r w:rsidR="00A8230D" w:rsidRPr="00A8230D">
              <w:rPr>
                <w:rFonts w:ascii="Arial" w:hAnsi="Arial"/>
                <w:b/>
                <w:bCs/>
                <w:sz w:val="20"/>
              </w:rPr>
              <w:t>’</w:t>
            </w:r>
            <w:r w:rsidRPr="00A8230D">
              <w:rPr>
                <w:rFonts w:ascii="Arial" w:hAnsi="Arial"/>
                <w:b/>
                <w:bCs/>
                <w:sz w:val="20"/>
              </w:rPr>
              <w:t>hiver</w:t>
            </w:r>
            <w:r w:rsidRPr="00A8230D">
              <w:rPr>
                <w:rFonts w:ascii="Arial" w:hAnsi="Arial"/>
                <w:sz w:val="20"/>
              </w:rPr>
              <w:t xml:space="preserve"> (Liste représentative, 2009)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auto"/>
          </w:tcPr>
          <w:p w14:paraId="26115E90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color w:val="000000"/>
                <w:sz w:val="20"/>
              </w:rPr>
              <w:t>Hongrie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03657A9B" w14:textId="32555AB1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exigence de respect mutuel entre les communautés.</w:t>
            </w:r>
          </w:p>
          <w:p w14:paraId="671D39F0" w14:textId="77777777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</w:tcPr>
          <w:p w14:paraId="67449DC7" w14:textId="7B58275F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E-mail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individu n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appartenant pas aux communautés</w:t>
            </w:r>
            <w:r w:rsidR="00E04880" w:rsidRPr="00A8230D">
              <w:rPr>
                <w:rFonts w:asciiTheme="minorBidi" w:hAnsiTheme="minorBidi"/>
                <w:sz w:val="20"/>
              </w:rPr>
              <w:t> ;</w:t>
            </w:r>
            <w:r w:rsidRPr="00A8230D">
              <w:rPr>
                <w:rFonts w:asciiTheme="minorBidi" w:hAnsiTheme="minorBidi"/>
                <w:sz w:val="20"/>
              </w:rPr>
              <w:t xml:space="preserve"> février 2020.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14:paraId="4E65C338" w14:textId="59FA35B3" w:rsidR="002E2E42" w:rsidRPr="00A8230D" w:rsidRDefault="002E2E42" w:rsidP="003029C5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Correspondance transmise à la Délégation permanente de la Hongrie en février 2020</w:t>
            </w:r>
            <w:r w:rsidR="00E04880" w:rsidRPr="00A8230D">
              <w:rPr>
                <w:rFonts w:asciiTheme="minorBidi" w:hAnsiTheme="minorBidi"/>
                <w:sz w:val="20"/>
              </w:rPr>
              <w:t>;</w:t>
            </w:r>
          </w:p>
          <w:p w14:paraId="22BD3B63" w14:textId="7FEB6BC2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Réponse de la Direction du patrimoine culturel immatériel transmise à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expéditeur en juillet 2020.</w:t>
            </w:r>
          </w:p>
        </w:tc>
      </w:tr>
      <w:tr w:rsidR="002E2E42" w:rsidRPr="00A8230D" w14:paraId="0DB6B4AD" w14:textId="77777777" w:rsidTr="00F22C32">
        <w:trPr>
          <w:cantSplit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</w:tcPr>
          <w:p w14:paraId="0CBEBFE5" w14:textId="0591E23F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bCs/>
                <w:sz w:val="20"/>
              </w:rPr>
              <w:t>L</w:t>
            </w:r>
            <w:r w:rsidR="00A8230D" w:rsidRPr="00A8230D">
              <w:rPr>
                <w:rFonts w:ascii="Arial" w:hAnsi="Arial"/>
                <w:b/>
                <w:bCs/>
                <w:sz w:val="20"/>
              </w:rPr>
              <w:t>’</w:t>
            </w:r>
            <w:r w:rsidRPr="00A8230D">
              <w:rPr>
                <w:rFonts w:ascii="Arial" w:hAnsi="Arial"/>
                <w:b/>
                <w:bCs/>
                <w:sz w:val="20"/>
              </w:rPr>
              <w:t xml:space="preserve">espace culturel des </w:t>
            </w:r>
            <w:proofErr w:type="spellStart"/>
            <w:r w:rsidRPr="00A8230D">
              <w:rPr>
                <w:rFonts w:ascii="Arial" w:hAnsi="Arial"/>
                <w:b/>
                <w:bCs/>
                <w:sz w:val="20"/>
              </w:rPr>
              <w:t>Suiti</w:t>
            </w:r>
            <w:proofErr w:type="spellEnd"/>
            <w:r w:rsidRPr="00A8230D">
              <w:rPr>
                <w:rFonts w:ascii="Arial" w:hAnsi="Arial"/>
                <w:b/>
                <w:color w:val="000000"/>
                <w:sz w:val="20"/>
              </w:rPr>
              <w:t xml:space="preserve"> </w:t>
            </w:r>
            <w:r w:rsidRPr="00A8230D">
              <w:rPr>
                <w:rFonts w:ascii="Arial" w:hAnsi="Arial"/>
                <w:sz w:val="20"/>
              </w:rPr>
              <w:t>(Liste de sauvegarde urgente, 2009)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auto"/>
          </w:tcPr>
          <w:p w14:paraId="0CD4759B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color w:val="000000"/>
                <w:sz w:val="20"/>
              </w:rPr>
              <w:t>Lettonie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4DB084BD" w14:textId="6F56A204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impact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une réforme municipale et une demande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évaluation du processus de sauvegarde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élément.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</w:tcPr>
          <w:p w14:paraId="07E120CD" w14:textId="25475C9F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Courrier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membre des communautés (représentant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une autorité communautaire) ;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 </w:t>
            </w:r>
            <w:r w:rsidRPr="00A8230D">
              <w:rPr>
                <w:rFonts w:asciiTheme="minorBidi" w:hAnsiTheme="minorBidi"/>
                <w:sz w:val="20"/>
              </w:rPr>
              <w:t>mai 2021.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14:paraId="62B41FA7" w14:textId="6EEAF8A7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Correspondance transmise à la Délégation permanente de la Lettonie en novembre 2021</w:t>
            </w:r>
            <w:r w:rsidR="00E04880" w:rsidRPr="00A8230D">
              <w:rPr>
                <w:rFonts w:asciiTheme="minorBidi" w:hAnsiTheme="minorBidi"/>
                <w:sz w:val="20"/>
              </w:rPr>
              <w:t>;</w:t>
            </w:r>
            <w:r w:rsidRPr="00A8230D">
              <w:rPr>
                <w:rFonts w:asciiTheme="minorBidi" w:hAnsiTheme="minorBidi"/>
                <w:sz w:val="20"/>
              </w:rPr>
              <w:t xml:space="preserve"> </w:t>
            </w:r>
          </w:p>
          <w:p w14:paraId="332F38F0" w14:textId="3DB90093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Aucune réponse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État partie.</w:t>
            </w:r>
          </w:p>
          <w:p w14:paraId="35A81EEA" w14:textId="77777777" w:rsidR="002E2E42" w:rsidRPr="00A8230D" w:rsidRDefault="002E2E42" w:rsidP="00F22C3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2E42" w:rsidRPr="00A8230D" w14:paraId="683AB0E9" w14:textId="77777777" w:rsidTr="003029C5">
        <w:trPr>
          <w:cantSplit/>
          <w:trHeight w:val="1557"/>
        </w:trPr>
        <w:tc>
          <w:tcPr>
            <w:tcW w:w="1917" w:type="dxa"/>
            <w:tcBorders>
              <w:bottom w:val="single" w:sz="4" w:space="0" w:color="000000"/>
            </w:tcBorders>
            <w:shd w:val="clear" w:color="auto" w:fill="auto"/>
          </w:tcPr>
          <w:p w14:paraId="353E1722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bCs/>
                <w:sz w:val="20"/>
              </w:rPr>
              <w:t xml:space="preserve">La cérémonie rituelle des </w:t>
            </w:r>
            <w:proofErr w:type="spellStart"/>
            <w:r w:rsidRPr="00A8230D">
              <w:rPr>
                <w:rFonts w:ascii="Arial" w:hAnsi="Arial"/>
                <w:b/>
                <w:bCs/>
                <w:sz w:val="20"/>
              </w:rPr>
              <w:t>Voladores</w:t>
            </w:r>
            <w:proofErr w:type="spellEnd"/>
            <w:r w:rsidRPr="00A8230D">
              <w:rPr>
                <w:rFonts w:ascii="Arial" w:hAnsi="Arial"/>
                <w:sz w:val="20"/>
              </w:rPr>
              <w:t xml:space="preserve"> (Liste représentative, 2009)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  <w:shd w:val="clear" w:color="auto" w:fill="auto"/>
          </w:tcPr>
          <w:p w14:paraId="2A0A355D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color w:val="000000"/>
                <w:sz w:val="20"/>
              </w:rPr>
              <w:t>Mexique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14:paraId="64AE0B99" w14:textId="2B2867F6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appropriation illicite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élément et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exigence de respect mutuel entre les communautés.</w:t>
            </w:r>
          </w:p>
        </w:tc>
        <w:tc>
          <w:tcPr>
            <w:tcW w:w="2184" w:type="dxa"/>
            <w:tcBorders>
              <w:bottom w:val="single" w:sz="4" w:space="0" w:color="000000"/>
            </w:tcBorders>
            <w:shd w:val="clear" w:color="auto" w:fill="auto"/>
          </w:tcPr>
          <w:p w14:paraId="03FFCC1F" w14:textId="48290E0D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E-mail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membre des communautés ; juillet 2021.</w:t>
            </w:r>
          </w:p>
          <w:p w14:paraId="32A0835D" w14:textId="0BA4060B" w:rsidR="002E2E42" w:rsidRPr="00A8230D" w:rsidRDefault="002E2E42" w:rsidP="003029C5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Plusieurs comptes rendus dans les médias.</w:t>
            </w:r>
          </w:p>
        </w:tc>
        <w:tc>
          <w:tcPr>
            <w:tcW w:w="2150" w:type="dxa"/>
            <w:tcBorders>
              <w:bottom w:val="single" w:sz="4" w:space="0" w:color="000000"/>
            </w:tcBorders>
          </w:tcPr>
          <w:p w14:paraId="52DC4B1E" w14:textId="2716703D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S/O (</w:t>
            </w:r>
            <w:r w:rsidR="0031103D" w:rsidRPr="00A8230D">
              <w:rPr>
                <w:rFonts w:asciiTheme="minorBidi" w:hAnsiTheme="minorBidi"/>
                <w:sz w:val="20"/>
              </w:rPr>
              <w:t>L</w:t>
            </w:r>
            <w:r w:rsidRPr="00A8230D">
              <w:rPr>
                <w:rFonts w:asciiTheme="minorBidi" w:hAnsiTheme="minorBidi"/>
                <w:sz w:val="20"/>
              </w:rPr>
              <w:t xml:space="preserve">e </w:t>
            </w:r>
            <w:r w:rsidR="0031103D" w:rsidRPr="00A8230D">
              <w:rPr>
                <w:rFonts w:asciiTheme="minorBidi" w:hAnsiTheme="minorBidi"/>
                <w:sz w:val="20"/>
              </w:rPr>
              <w:t>cas</w:t>
            </w:r>
            <w:r w:rsidRPr="00A8230D">
              <w:rPr>
                <w:rFonts w:asciiTheme="minorBidi" w:hAnsiTheme="minorBidi"/>
                <w:sz w:val="20"/>
              </w:rPr>
              <w:t xml:space="preserve"> a été traité par les autorités nationales du Mexique ;</w:t>
            </w:r>
            <w:r w:rsidR="00146562" w:rsidRPr="00A8230D">
              <w:rPr>
                <w:rFonts w:asciiTheme="minorBidi" w:hAnsiTheme="minorBidi"/>
                <w:sz w:val="20"/>
              </w:rPr>
              <w:t xml:space="preserve"> </w:t>
            </w:r>
            <w:r w:rsidRPr="00A8230D">
              <w:rPr>
                <w:rFonts w:asciiTheme="minorBidi" w:hAnsiTheme="minorBidi"/>
                <w:sz w:val="20"/>
              </w:rPr>
              <w:t xml:space="preserve">un </w:t>
            </w:r>
            <w:r w:rsidR="00146562" w:rsidRPr="00A8230D">
              <w:rPr>
                <w:rFonts w:asciiTheme="minorBidi" w:hAnsiTheme="minorBidi"/>
                <w:sz w:val="20"/>
              </w:rPr>
              <w:t>c</w:t>
            </w:r>
            <w:r w:rsidRPr="00A8230D">
              <w:rPr>
                <w:rFonts w:asciiTheme="minorBidi" w:hAnsiTheme="minorBidi"/>
                <w:sz w:val="20"/>
              </w:rPr>
              <w:t>ommuniqué de presse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 </w:t>
            </w:r>
            <w:r w:rsidR="00146562" w:rsidRPr="00A8230D">
              <w:rPr>
                <w:rFonts w:asciiTheme="minorBidi" w:hAnsiTheme="minorBidi"/>
                <w:sz w:val="20"/>
              </w:rPr>
              <w:t xml:space="preserve">a été </w:t>
            </w:r>
            <w:r w:rsidR="003029C5" w:rsidRPr="00A8230D">
              <w:rPr>
                <w:rFonts w:asciiTheme="minorBidi" w:hAnsiTheme="minorBidi"/>
                <w:sz w:val="20"/>
              </w:rPr>
              <w:t>publié par le</w:t>
            </w:r>
            <w:r w:rsidRPr="00A8230D">
              <w:rPr>
                <w:rFonts w:asciiTheme="minorBidi" w:hAnsiTheme="minorBidi"/>
                <w:sz w:val="20"/>
              </w:rPr>
              <w:t xml:space="preserve"> 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Secrétariat </w:t>
            </w:r>
            <w:r w:rsidRPr="00A8230D">
              <w:rPr>
                <w:rFonts w:asciiTheme="minorBidi" w:hAnsiTheme="minorBidi"/>
                <w:sz w:val="20"/>
              </w:rPr>
              <w:t xml:space="preserve">de la </w:t>
            </w:r>
            <w:r w:rsidR="003029C5" w:rsidRPr="00A8230D">
              <w:rPr>
                <w:rFonts w:asciiTheme="minorBidi" w:hAnsiTheme="minorBidi"/>
                <w:sz w:val="20"/>
              </w:rPr>
              <w:t>c</w:t>
            </w:r>
            <w:r w:rsidRPr="00A8230D">
              <w:rPr>
                <w:rFonts w:asciiTheme="minorBidi" w:hAnsiTheme="minorBidi"/>
                <w:sz w:val="20"/>
              </w:rPr>
              <w:t xml:space="preserve">ulture 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du Mexique </w:t>
            </w:r>
            <w:r w:rsidRPr="00A8230D">
              <w:rPr>
                <w:rFonts w:asciiTheme="minorBidi" w:hAnsiTheme="minorBidi"/>
                <w:sz w:val="20"/>
              </w:rPr>
              <w:t>condamn</w:t>
            </w:r>
            <w:r w:rsidR="003029C5" w:rsidRPr="00A8230D">
              <w:rPr>
                <w:rFonts w:asciiTheme="minorBidi" w:hAnsiTheme="minorBidi"/>
                <w:sz w:val="20"/>
              </w:rPr>
              <w:t>ant</w:t>
            </w:r>
            <w:r w:rsidRPr="00A8230D">
              <w:rPr>
                <w:rFonts w:asciiTheme="minorBidi" w:hAnsiTheme="minorBidi"/>
                <w:sz w:val="20"/>
              </w:rPr>
              <w:t xml:space="preserve"> la publicité.</w:t>
            </w:r>
          </w:p>
        </w:tc>
      </w:tr>
      <w:tr w:rsidR="002E2E42" w:rsidRPr="00A8230D" w14:paraId="088E465D" w14:textId="77777777" w:rsidTr="00F22C32">
        <w:trPr>
          <w:cantSplit/>
        </w:trPr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EA1D3E1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Le Tango</w:t>
            </w:r>
            <w:r w:rsidRPr="00A8230D">
              <w:rPr>
                <w:rFonts w:ascii="Arial" w:hAnsi="Arial"/>
                <w:sz w:val="20"/>
              </w:rPr>
              <w:t xml:space="preserve"> (Liste représentative, 2009)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4A3489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8230D">
              <w:rPr>
                <w:rFonts w:ascii="Arial" w:hAnsi="Arial"/>
                <w:color w:val="000000"/>
                <w:sz w:val="20"/>
              </w:rPr>
              <w:t>Argentine et Uruguay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6CE1E6B" w14:textId="18330818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aménagement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espace associé à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élément.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71E6FC" w14:textId="02213E3E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E-mail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membre des communautés (représentant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 xml:space="preserve">une organisation de la société civile) </w:t>
            </w:r>
            <w:r w:rsidR="00E04880" w:rsidRPr="00A8230D">
              <w:rPr>
                <w:rFonts w:asciiTheme="minorBidi" w:hAnsiTheme="minorBidi"/>
                <w:sz w:val="20"/>
              </w:rPr>
              <w:t> ;</w:t>
            </w:r>
            <w:r w:rsidRPr="00A8230D">
              <w:rPr>
                <w:rFonts w:asciiTheme="minorBidi" w:hAnsiTheme="minorBidi"/>
                <w:sz w:val="20"/>
              </w:rPr>
              <w:t xml:space="preserve"> décembre 2019.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</w:tcBorders>
          </w:tcPr>
          <w:p w14:paraId="08B70B8C" w14:textId="505D85F2" w:rsidR="002E2E42" w:rsidRPr="00A8230D" w:rsidRDefault="002E2E42" w:rsidP="00F22C3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Correspondance transmise à la Délégation permanente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Uruguay en janvier 2020</w:t>
            </w:r>
            <w:r w:rsidR="00E04880" w:rsidRPr="00A8230D">
              <w:rPr>
                <w:rFonts w:asciiTheme="minorBidi" w:hAnsiTheme="minorBidi"/>
                <w:sz w:val="20"/>
              </w:rPr>
              <w:t>;</w:t>
            </w:r>
          </w:p>
          <w:p w14:paraId="71429D99" w14:textId="77777777" w:rsidR="002E2E42" w:rsidRPr="00A8230D" w:rsidRDefault="002E2E42" w:rsidP="00F22C3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67F5CB93" w14:textId="2EE88250" w:rsidR="002E2E42" w:rsidRPr="00A8230D" w:rsidRDefault="002E2E42" w:rsidP="00F22C32">
            <w:pPr>
              <w:rPr>
                <w:rFonts w:asciiTheme="minorBidi" w:hAnsiTheme="minorBidi"/>
                <w:sz w:val="20"/>
              </w:rPr>
            </w:pPr>
            <w:r w:rsidRPr="00A8230D">
              <w:rPr>
                <w:rFonts w:asciiTheme="minorBidi" w:hAnsiTheme="minorBidi"/>
                <w:sz w:val="20"/>
              </w:rPr>
              <w:t>- Aucune réponse de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État partie.</w:t>
            </w:r>
          </w:p>
          <w:p w14:paraId="23A4E913" w14:textId="71EB38FA" w:rsidR="000D31D6" w:rsidRPr="00A8230D" w:rsidRDefault="000D31D6" w:rsidP="00F22C3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E2E42" w:rsidRPr="00A8230D" w14:paraId="5BC25206" w14:textId="77777777" w:rsidTr="00F22C32">
        <w:trPr>
          <w:cantSplit/>
        </w:trPr>
        <w:tc>
          <w:tcPr>
            <w:tcW w:w="19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52E03B3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bCs/>
                <w:sz w:val="20"/>
              </w:rPr>
              <w:t>Géants et dragons processionnels de Belgique et de France</w:t>
            </w:r>
            <w:r w:rsidRPr="00A8230D">
              <w:rPr>
                <w:rFonts w:ascii="Arial" w:hAnsi="Arial"/>
                <w:sz w:val="20"/>
              </w:rPr>
              <w:t xml:space="preserve"> (Liste représentative, 2008)</w:t>
            </w:r>
          </w:p>
        </w:tc>
        <w:tc>
          <w:tcPr>
            <w:tcW w:w="12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50C06B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sz w:val="20"/>
              </w:rPr>
              <w:t>Belgique et France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1F2B344" w14:textId="28DC0909" w:rsidR="002E2E42" w:rsidRPr="00A8230D" w:rsidRDefault="002E2E42" w:rsidP="00F22C32">
            <w:pPr>
              <w:spacing w:after="120"/>
              <w:contextualSpacing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exigence de respect mutuel entre les communautés.</w:t>
            </w:r>
          </w:p>
        </w:tc>
        <w:tc>
          <w:tcPr>
            <w:tcW w:w="21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D43536" w14:textId="478FEEBA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E-mail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universitaire n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appartenant pas aux communautés</w:t>
            </w:r>
            <w:r w:rsidR="00E04880" w:rsidRPr="00A8230D">
              <w:rPr>
                <w:rFonts w:asciiTheme="minorBidi" w:hAnsiTheme="minorBidi"/>
                <w:sz w:val="20"/>
              </w:rPr>
              <w:t> ;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 </w:t>
            </w:r>
            <w:r w:rsidRPr="00A8230D">
              <w:rPr>
                <w:rFonts w:asciiTheme="minorBidi" w:hAnsiTheme="minorBidi"/>
                <w:sz w:val="20"/>
              </w:rPr>
              <w:t>décembre 2019.</w:t>
            </w:r>
          </w:p>
          <w:p w14:paraId="1D5F902E" w14:textId="0732B68C" w:rsidR="00726B19" w:rsidRPr="00A8230D" w:rsidRDefault="002E2E42" w:rsidP="00F22C32">
            <w:pPr>
              <w:spacing w:after="120"/>
              <w:rPr>
                <w:rFonts w:asciiTheme="minorBidi" w:hAnsiTheme="minorBidi"/>
                <w:sz w:val="20"/>
              </w:rPr>
            </w:pPr>
            <w:r w:rsidRPr="00A8230D">
              <w:rPr>
                <w:rFonts w:asciiTheme="minorBidi" w:hAnsiTheme="minorBidi"/>
                <w:sz w:val="20"/>
              </w:rPr>
              <w:t xml:space="preserve">- </w:t>
            </w:r>
            <w:r w:rsidR="00726B19" w:rsidRPr="00A8230D">
              <w:rPr>
                <w:rFonts w:asciiTheme="minorBidi" w:hAnsiTheme="minorBidi"/>
                <w:sz w:val="20"/>
              </w:rPr>
              <w:t>Courriel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="00726B19" w:rsidRPr="00A8230D">
              <w:rPr>
                <w:rFonts w:asciiTheme="minorBidi" w:hAnsiTheme="minorBidi"/>
                <w:sz w:val="20"/>
              </w:rPr>
              <w:t>un représentant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="00726B19" w:rsidRPr="00A8230D">
              <w:rPr>
                <w:rFonts w:asciiTheme="minorBidi" w:hAnsiTheme="minorBidi"/>
                <w:sz w:val="20"/>
              </w:rPr>
              <w:t>une organisation de la société civile externe aux communautés ; février 2020.</w:t>
            </w:r>
          </w:p>
          <w:p w14:paraId="160A15B0" w14:textId="5D0FF103" w:rsidR="002E2E42" w:rsidRPr="00A8230D" w:rsidRDefault="00A8230D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</w:rPr>
              <w:t xml:space="preserve">- </w:t>
            </w:r>
            <w:r w:rsidR="002E2E42" w:rsidRPr="00A8230D">
              <w:rPr>
                <w:rFonts w:asciiTheme="minorBidi" w:hAnsiTheme="minorBidi"/>
                <w:sz w:val="20"/>
              </w:rPr>
              <w:t>Plusieurs comptes rendus dans les médias.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</w:tcBorders>
          </w:tcPr>
          <w:p w14:paraId="1BEEB5D7" w14:textId="1EBA2282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Correspondance transmise à la Délégation permanente de la Belgique en décembre 2019.</w:t>
            </w:r>
            <w:r w:rsidR="00E04880" w:rsidRPr="00A8230D">
              <w:rPr>
                <w:rFonts w:asciiTheme="minorBidi" w:hAnsiTheme="minorBidi"/>
                <w:sz w:val="20"/>
              </w:rPr>
              <w:t> ;</w:t>
            </w:r>
          </w:p>
          <w:p w14:paraId="0CE96C45" w14:textId="77777777" w:rsidR="002E2E42" w:rsidRPr="00A8230D" w:rsidRDefault="002E2E42" w:rsidP="00146562">
            <w:pPr>
              <w:rPr>
                <w:rFonts w:asciiTheme="minorBidi" w:hAnsiTheme="minorBidi"/>
                <w:sz w:val="20"/>
              </w:rPr>
            </w:pPr>
            <w:r w:rsidRPr="00A8230D">
              <w:rPr>
                <w:rFonts w:asciiTheme="minorBidi" w:hAnsiTheme="minorBidi"/>
                <w:sz w:val="20"/>
              </w:rPr>
              <w:t xml:space="preserve">- </w:t>
            </w:r>
            <w:r w:rsidR="00146562" w:rsidRPr="00A8230D">
              <w:rPr>
                <w:rFonts w:asciiTheme="minorBidi" w:hAnsiTheme="minorBidi"/>
                <w:sz w:val="20"/>
              </w:rPr>
              <w:t>Plusieurs réunions et échanges ont eu lieu entre le Secrétariat et la délégation du Royaume de Belgique, signalant que la communauté concernée étudie une manière de traiter cette question.</w:t>
            </w:r>
          </w:p>
          <w:p w14:paraId="2FC2B5B9" w14:textId="0781781C" w:rsidR="000D31D6" w:rsidRPr="00A8230D" w:rsidRDefault="000D31D6" w:rsidP="0014656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48D18586" w14:textId="77777777" w:rsidR="002E2E42" w:rsidRPr="00A8230D" w:rsidRDefault="002E2E42" w:rsidP="002E2E42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A8230D">
        <w:br w:type="page"/>
      </w:r>
    </w:p>
    <w:p w14:paraId="28FC3B40" w14:textId="77777777" w:rsidR="002E2E42" w:rsidRPr="00A8230D" w:rsidRDefault="002E2E42" w:rsidP="002E2E42">
      <w:pPr>
        <w:shd w:val="clear" w:color="auto" w:fill="FFFFFF" w:themeFill="background1"/>
        <w:spacing w:before="240" w:after="240"/>
        <w:rPr>
          <w:rFonts w:ascii="Arial" w:hAnsi="Arial" w:cs="Arial"/>
          <w:b/>
          <w:bCs/>
          <w:sz w:val="22"/>
          <w:szCs w:val="22"/>
        </w:rPr>
      </w:pPr>
      <w:r w:rsidRPr="00A8230D">
        <w:rPr>
          <w:rFonts w:ascii="Arial" w:hAnsi="Arial"/>
          <w:b/>
          <w:sz w:val="22"/>
        </w:rPr>
        <w:t>Annexe 2</w:t>
      </w:r>
    </w:p>
    <w:p w14:paraId="3A5DE77A" w14:textId="57924E54" w:rsidR="007E03D6" w:rsidRPr="00A8230D" w:rsidRDefault="007E03D6" w:rsidP="002E2E42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</w:rPr>
      </w:pPr>
      <w:r w:rsidRPr="00A8230D">
        <w:rPr>
          <w:rFonts w:ascii="Arial" w:hAnsi="Arial"/>
          <w:b/>
          <w:sz w:val="22"/>
        </w:rPr>
        <w:t>C</w:t>
      </w:r>
      <w:r w:rsidR="007178A5" w:rsidRPr="00A8230D">
        <w:rPr>
          <w:rFonts w:ascii="Arial" w:hAnsi="Arial"/>
          <w:b/>
          <w:sz w:val="22"/>
        </w:rPr>
        <w:t>as concernant des c</w:t>
      </w:r>
      <w:r w:rsidRPr="00A8230D">
        <w:rPr>
          <w:rFonts w:ascii="Arial" w:hAnsi="Arial"/>
          <w:b/>
          <w:sz w:val="22"/>
        </w:rPr>
        <w:t>andidatures en cours</w:t>
      </w:r>
      <w:r w:rsidR="002E2E42" w:rsidRPr="00A8230D">
        <w:rPr>
          <w:rFonts w:ascii="Arial" w:hAnsi="Arial"/>
          <w:b/>
          <w:sz w:val="22"/>
        </w:rPr>
        <w:t xml:space="preserve"> </w:t>
      </w:r>
      <w:r w:rsidRPr="00A8230D">
        <w:rPr>
          <w:rFonts w:ascii="Arial" w:hAnsi="Arial"/>
          <w:b/>
          <w:sz w:val="22"/>
        </w:rPr>
        <w:t>faisant l</w:t>
      </w:r>
      <w:r w:rsidR="00A8230D" w:rsidRPr="00A8230D">
        <w:rPr>
          <w:rFonts w:ascii="Arial" w:hAnsi="Arial"/>
          <w:b/>
          <w:sz w:val="22"/>
        </w:rPr>
        <w:t>’</w:t>
      </w:r>
      <w:r w:rsidRPr="00A8230D">
        <w:rPr>
          <w:rFonts w:ascii="Arial" w:hAnsi="Arial"/>
          <w:b/>
          <w:sz w:val="22"/>
        </w:rPr>
        <w:t>objet d</w:t>
      </w:r>
      <w:r w:rsidR="00A8230D" w:rsidRPr="00A8230D">
        <w:rPr>
          <w:rFonts w:ascii="Arial" w:hAnsi="Arial"/>
          <w:b/>
          <w:sz w:val="22"/>
        </w:rPr>
        <w:t>’</w:t>
      </w:r>
      <w:r w:rsidRPr="00A8230D">
        <w:rPr>
          <w:rFonts w:ascii="Arial" w:hAnsi="Arial"/>
          <w:b/>
          <w:sz w:val="22"/>
        </w:rPr>
        <w:t xml:space="preserve">une correspondance </w:t>
      </w:r>
    </w:p>
    <w:p w14:paraId="2E550989" w14:textId="3F8613FA" w:rsidR="002E2E42" w:rsidRPr="00A8230D" w:rsidRDefault="002E2E42" w:rsidP="007E03D6">
      <w:pPr>
        <w:shd w:val="clear" w:color="auto" w:fill="FFFFFF" w:themeFill="background1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266"/>
        <w:gridCol w:w="1028"/>
        <w:gridCol w:w="1595"/>
        <w:gridCol w:w="1917"/>
        <w:gridCol w:w="2182"/>
      </w:tblGrid>
      <w:tr w:rsidR="006E6401" w:rsidRPr="00A8230D" w14:paraId="2BEDC60A" w14:textId="77777777" w:rsidTr="00955FBB">
        <w:trPr>
          <w:cantSplit/>
          <w:trHeight w:val="778"/>
        </w:trPr>
        <w:tc>
          <w:tcPr>
            <w:tcW w:w="1651" w:type="dxa"/>
            <w:shd w:val="clear" w:color="auto" w:fill="D9D9D9" w:themeFill="background1" w:themeFillShade="D9"/>
            <w:vAlign w:val="center"/>
          </w:tcPr>
          <w:p w14:paraId="4522B93F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8230D">
              <w:rPr>
                <w:rFonts w:ascii="Arial" w:hAnsi="Arial"/>
                <w:b/>
                <w:sz w:val="20"/>
              </w:rPr>
              <w:t>Candidature (n° de dossier)</w:t>
            </w:r>
          </w:p>
        </w:tc>
        <w:tc>
          <w:tcPr>
            <w:tcW w:w="1266" w:type="dxa"/>
            <w:shd w:val="clear" w:color="auto" w:fill="D9D9D9" w:themeFill="background1" w:themeFillShade="D9"/>
            <w:vAlign w:val="center"/>
          </w:tcPr>
          <w:p w14:paraId="60298977" w14:textId="3DDE210C" w:rsidR="002E2E42" w:rsidRPr="00A8230D" w:rsidRDefault="002E2E42" w:rsidP="00F22C32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A8230D">
              <w:rPr>
                <w:rFonts w:asciiTheme="minorBidi" w:hAnsiTheme="minorBidi"/>
                <w:b/>
                <w:color w:val="000000"/>
                <w:sz w:val="20"/>
              </w:rPr>
              <w:t xml:space="preserve">État(s) </w:t>
            </w:r>
          </w:p>
        </w:tc>
        <w:tc>
          <w:tcPr>
            <w:tcW w:w="1028" w:type="dxa"/>
            <w:shd w:val="clear" w:color="auto" w:fill="D9D9D9" w:themeFill="background1" w:themeFillShade="D9"/>
            <w:vAlign w:val="center"/>
          </w:tcPr>
          <w:p w14:paraId="348B836E" w14:textId="77777777" w:rsidR="002E2E42" w:rsidRPr="00A8230D" w:rsidRDefault="002E2E42" w:rsidP="00F22C32">
            <w:pPr>
              <w:jc w:val="center"/>
              <w:rPr>
                <w:rFonts w:asciiTheme="minorBidi" w:hAnsiTheme="minorBidi" w:cstheme="minorBidi"/>
                <w:b/>
                <w:bCs/>
                <w:color w:val="000000"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Projet de décision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14:paraId="673DEDB2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 xml:space="preserve">Nature des problèmes </w:t>
            </w:r>
          </w:p>
        </w:tc>
        <w:tc>
          <w:tcPr>
            <w:tcW w:w="1917" w:type="dxa"/>
            <w:shd w:val="clear" w:color="auto" w:fill="D9D9D9" w:themeFill="background1" w:themeFillShade="D9"/>
            <w:vAlign w:val="center"/>
          </w:tcPr>
          <w:p w14:paraId="4DD4C498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Correspondances reçues et parties concernées</w:t>
            </w:r>
          </w:p>
        </w:tc>
        <w:tc>
          <w:tcPr>
            <w:tcW w:w="2182" w:type="dxa"/>
            <w:shd w:val="clear" w:color="auto" w:fill="D9D9D9" w:themeFill="background1" w:themeFillShade="D9"/>
            <w:vAlign w:val="center"/>
          </w:tcPr>
          <w:p w14:paraId="7686C984" w14:textId="77777777" w:rsidR="002E2E42" w:rsidRPr="00A8230D" w:rsidRDefault="002E2E42" w:rsidP="00F22C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>Action</w:t>
            </w:r>
          </w:p>
        </w:tc>
      </w:tr>
      <w:tr w:rsidR="006E6401" w:rsidRPr="00A8230D" w14:paraId="77F02DFD" w14:textId="77777777" w:rsidTr="00955FBB">
        <w:trPr>
          <w:cantSplit/>
        </w:trPr>
        <w:tc>
          <w:tcPr>
            <w:tcW w:w="1651" w:type="dxa"/>
            <w:tcBorders>
              <w:bottom w:val="single" w:sz="4" w:space="0" w:color="auto"/>
            </w:tcBorders>
          </w:tcPr>
          <w:p w14:paraId="5BD3357D" w14:textId="77777777" w:rsidR="002E2E42" w:rsidRPr="00A8230D" w:rsidRDefault="002E2E42" w:rsidP="00F22C32">
            <w:pPr>
              <w:spacing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0D">
              <w:rPr>
                <w:rFonts w:ascii="Arial" w:hAnsi="Arial"/>
                <w:b/>
                <w:sz w:val="20"/>
              </w:rPr>
              <w:t xml:space="preserve">La recherche et le cavage de truffes en Italie, connaissances et pratiques traditionnelles </w:t>
            </w:r>
            <w:r w:rsidRPr="00A8230D">
              <w:rPr>
                <w:rFonts w:ascii="Arial" w:hAnsi="Arial"/>
                <w:sz w:val="20"/>
              </w:rPr>
              <w:t>(01395)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14:paraId="50B7DDAB" w14:textId="77777777" w:rsidR="002E2E42" w:rsidRPr="00A8230D" w:rsidRDefault="002E2E42" w:rsidP="00955FBB">
            <w:pPr>
              <w:spacing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8230D">
              <w:rPr>
                <w:rFonts w:ascii="Arial" w:hAnsi="Arial"/>
                <w:sz w:val="20"/>
              </w:rPr>
              <w:t>Italie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38BFBA1F" w14:textId="77777777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16.COM 8.b.18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</w:tcPr>
          <w:p w14:paraId="2E53F84D" w14:textId="6680668E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 xml:space="preserve">Préoccupations concernant le bien-être animal. 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14:paraId="66696EEC" w14:textId="3081AD56" w:rsidR="002E2E42" w:rsidRPr="00A8230D" w:rsidRDefault="002E2E42" w:rsidP="00F22C32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E-mail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 membre des communautés concernées (représentant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une organisation de la société civile)</w:t>
            </w:r>
            <w:r w:rsidR="00E04880" w:rsidRPr="00A8230D">
              <w:rPr>
                <w:rFonts w:asciiTheme="minorBidi" w:hAnsiTheme="minorBidi"/>
                <w:sz w:val="20"/>
              </w:rPr>
              <w:t> ;</w:t>
            </w:r>
            <w:r w:rsidR="003029C5" w:rsidRPr="00A8230D">
              <w:rPr>
                <w:rFonts w:asciiTheme="minorBidi" w:hAnsiTheme="minorBidi"/>
                <w:sz w:val="20"/>
              </w:rPr>
              <w:t xml:space="preserve"> </w:t>
            </w:r>
            <w:r w:rsidRPr="00A8230D">
              <w:rPr>
                <w:rFonts w:asciiTheme="minorBidi" w:hAnsiTheme="minorBidi"/>
                <w:sz w:val="20"/>
              </w:rPr>
              <w:t>mars 2021.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75D1427A" w14:textId="29D682C1" w:rsidR="002E2E42" w:rsidRPr="00A8230D" w:rsidRDefault="002E2E42" w:rsidP="00F22C32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S/O (correspondance adressée directement à l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>Organe d</w:t>
            </w:r>
            <w:r w:rsidR="00A8230D" w:rsidRPr="00A8230D">
              <w:rPr>
                <w:rFonts w:asciiTheme="minorBidi" w:hAnsiTheme="minorBidi"/>
                <w:sz w:val="20"/>
              </w:rPr>
              <w:t>’</w:t>
            </w:r>
            <w:r w:rsidRPr="00A8230D">
              <w:rPr>
                <w:rFonts w:asciiTheme="minorBidi" w:hAnsiTheme="minorBidi"/>
                <w:sz w:val="20"/>
              </w:rPr>
              <w:t xml:space="preserve">évaluation avec une copie au Secrétariat). </w:t>
            </w:r>
          </w:p>
        </w:tc>
      </w:tr>
      <w:tr w:rsidR="00052F4F" w:rsidRPr="00A8230D" w14:paraId="3199ACB0" w14:textId="77777777" w:rsidTr="00955FBB">
        <w:trPr>
          <w:cantSplit/>
        </w:trPr>
        <w:tc>
          <w:tcPr>
            <w:tcW w:w="1651" w:type="dxa"/>
            <w:tcBorders>
              <w:top w:val="single" w:sz="4" w:space="0" w:color="auto"/>
            </w:tcBorders>
          </w:tcPr>
          <w:p w14:paraId="43FB06DB" w14:textId="77777777" w:rsidR="00052F4F" w:rsidRDefault="00052F4F" w:rsidP="00052F4F">
            <w:pPr>
              <w:spacing w:after="120"/>
              <w:contextualSpacing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proofErr w:type="spellStart"/>
            <w:r w:rsidRPr="0082104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Hüsn</w:t>
            </w:r>
            <w:proofErr w:type="spellEnd"/>
            <w:r w:rsidRPr="0082104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-i Hat, la calligraphie traditionnelle dans l’art islamique en Turquie</w:t>
            </w:r>
          </w:p>
          <w:p w14:paraId="542143DC" w14:textId="6D23A6FB" w:rsidR="00B96344" w:rsidRPr="0082104E" w:rsidRDefault="00B96344" w:rsidP="00052F4F">
            <w:pPr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82104E">
              <w:rPr>
                <w:rFonts w:ascii="Arial" w:hAnsi="Arial" w:cs="Arial"/>
                <w:sz w:val="20"/>
                <w:szCs w:val="20"/>
              </w:rPr>
              <w:t>(01684)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14:paraId="1B353FFE" w14:textId="77777777" w:rsidR="00052F4F" w:rsidRPr="00A8230D" w:rsidRDefault="00052F4F" w:rsidP="00052F4F">
            <w:pPr>
              <w:spacing w:after="12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30D">
              <w:rPr>
                <w:rFonts w:ascii="Arial" w:hAnsi="Arial"/>
                <w:sz w:val="20"/>
              </w:rPr>
              <w:t>Turquie</w:t>
            </w:r>
          </w:p>
        </w:tc>
        <w:tc>
          <w:tcPr>
            <w:tcW w:w="1028" w:type="dxa"/>
            <w:tcBorders>
              <w:top w:val="single" w:sz="4" w:space="0" w:color="auto"/>
            </w:tcBorders>
          </w:tcPr>
          <w:p w14:paraId="64E4AA6B" w14:textId="77777777" w:rsidR="00052F4F" w:rsidRPr="00A8230D" w:rsidRDefault="00052F4F" w:rsidP="00052F4F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16.COM 8.b.43</w:t>
            </w:r>
          </w:p>
        </w:tc>
        <w:tc>
          <w:tcPr>
            <w:tcW w:w="1595" w:type="dxa"/>
            <w:tcBorders>
              <w:top w:val="single" w:sz="4" w:space="0" w:color="auto"/>
            </w:tcBorders>
            <w:shd w:val="clear" w:color="auto" w:fill="auto"/>
          </w:tcPr>
          <w:p w14:paraId="336ABF16" w14:textId="0EDA3DF1" w:rsidR="00052F4F" w:rsidRPr="00A8230D" w:rsidRDefault="00052F4F" w:rsidP="00052F4F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Préoccupations concernant l’étendue géographique et l’inclusivité de l’élément, tel qu’il est identifié dans la candidature.</w:t>
            </w:r>
          </w:p>
        </w:tc>
        <w:tc>
          <w:tcPr>
            <w:tcW w:w="1917" w:type="dxa"/>
            <w:tcBorders>
              <w:top w:val="single" w:sz="4" w:space="0" w:color="auto"/>
            </w:tcBorders>
            <w:shd w:val="clear" w:color="auto" w:fill="auto"/>
          </w:tcPr>
          <w:p w14:paraId="21317E45" w14:textId="07D65D56" w:rsidR="00052F4F" w:rsidRPr="00A8230D" w:rsidRDefault="00052F4F" w:rsidP="00052F4F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>- Courrier du ministère du Patrimoine culturel, du Tourisme et de l’Artisanat de la République islamique d’Iran ; juillet 2020.</w:t>
            </w:r>
          </w:p>
          <w:p w14:paraId="02C5D74A" w14:textId="77777777" w:rsidR="00052F4F" w:rsidRPr="00A8230D" w:rsidRDefault="00052F4F" w:rsidP="00052F4F">
            <w:pPr>
              <w:spacing w:after="12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</w:tcPr>
          <w:p w14:paraId="7AE0EA86" w14:textId="652E69FD" w:rsidR="00052F4F" w:rsidRPr="00A8230D" w:rsidRDefault="00052F4F" w:rsidP="00052F4F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A8230D">
              <w:rPr>
                <w:rFonts w:asciiTheme="minorBidi" w:hAnsiTheme="minorBidi"/>
                <w:sz w:val="20"/>
              </w:rPr>
              <w:t xml:space="preserve">- Correspondance transmise à la Délégation permanente de la Turquie ; </w:t>
            </w:r>
          </w:p>
          <w:p w14:paraId="2192232D" w14:textId="77777777" w:rsidR="00052F4F" w:rsidRPr="00A8230D" w:rsidRDefault="00052F4F" w:rsidP="00052F4F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72858663" w14:textId="45C76B68" w:rsidR="00052F4F" w:rsidRPr="00A8230D" w:rsidRDefault="00052F4F" w:rsidP="00052F4F">
            <w:pPr>
              <w:rPr>
                <w:rFonts w:asciiTheme="minorBidi" w:hAnsiTheme="minorBidi"/>
                <w:sz w:val="20"/>
              </w:rPr>
            </w:pPr>
            <w:r w:rsidRPr="00A8230D">
              <w:rPr>
                <w:rFonts w:asciiTheme="minorBidi" w:hAnsiTheme="minorBidi"/>
                <w:sz w:val="20"/>
              </w:rPr>
              <w:t xml:space="preserve">- Réponse fournie par le Ministère de la culture et du tourisme de la Turquie et transmise à la République islamique d’Iran ; mars 2021. </w:t>
            </w:r>
          </w:p>
          <w:p w14:paraId="7E5C2F90" w14:textId="1DDAEB67" w:rsidR="00052F4F" w:rsidRPr="00A8230D" w:rsidRDefault="00052F4F" w:rsidP="00052F4F">
            <w:pPr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</w:p>
        </w:tc>
      </w:tr>
    </w:tbl>
    <w:p w14:paraId="6F829BB3" w14:textId="77777777" w:rsidR="002E2E42" w:rsidRPr="00A8230D" w:rsidRDefault="002E2E42" w:rsidP="002E2E42">
      <w:pPr>
        <w:shd w:val="clear" w:color="auto" w:fill="FFFFFF" w:themeFill="background1"/>
        <w:spacing w:before="24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2C1383A" w14:textId="77777777" w:rsidR="00190205" w:rsidRPr="00A8230D" w:rsidRDefault="00190205" w:rsidP="002E2E42"/>
    <w:sectPr w:rsidR="00190205" w:rsidRPr="00A8230D" w:rsidSect="0065573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B94C9" w14:textId="77777777" w:rsidR="004C7C82" w:rsidRDefault="004C7C82" w:rsidP="00655736">
      <w:r>
        <w:separator/>
      </w:r>
    </w:p>
  </w:endnote>
  <w:endnote w:type="continuationSeparator" w:id="0">
    <w:p w14:paraId="46E84215" w14:textId="77777777" w:rsidR="004C7C82" w:rsidRDefault="004C7C82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229D" w14:textId="77777777" w:rsidR="008445BD" w:rsidRDefault="008445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A5977" w14:textId="77777777" w:rsidR="008445BD" w:rsidRDefault="008445B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60696" w14:textId="77777777" w:rsidR="008445BD" w:rsidRDefault="008445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2D87F" w14:textId="77777777" w:rsidR="004C7C82" w:rsidRDefault="004C7C82" w:rsidP="00655736">
      <w:r>
        <w:separator/>
      </w:r>
    </w:p>
  </w:footnote>
  <w:footnote w:type="continuationSeparator" w:id="0">
    <w:p w14:paraId="204818D7" w14:textId="77777777" w:rsidR="004C7C82" w:rsidRDefault="004C7C82" w:rsidP="00655736">
      <w:r>
        <w:continuationSeparator/>
      </w:r>
    </w:p>
  </w:footnote>
  <w:footnote w:id="1">
    <w:p w14:paraId="7E6A3F51" w14:textId="7758B595" w:rsidR="002E2E42" w:rsidRPr="00955FBB" w:rsidRDefault="002E2E42" w:rsidP="00955FBB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955FBB">
        <w:rPr>
          <w:rStyle w:val="FootnoteReference"/>
          <w:rFonts w:asciiTheme="minorBidi" w:hAnsiTheme="minorBidi" w:cstheme="minorBidi"/>
          <w:sz w:val="18"/>
          <w:szCs w:val="18"/>
          <w:vertAlign w:val="baseline"/>
        </w:rPr>
        <w:footnoteRef/>
      </w:r>
      <w:r w:rsidR="00D01000">
        <w:rPr>
          <w:rFonts w:asciiTheme="minorBidi" w:hAnsiTheme="minorBidi" w:cstheme="minorBidi"/>
          <w:sz w:val="18"/>
          <w:szCs w:val="18"/>
        </w:rPr>
        <w:t>.</w:t>
      </w:r>
      <w:r w:rsidRPr="00955FBB">
        <w:rPr>
          <w:rFonts w:asciiTheme="minorBidi" w:hAnsiTheme="minorBidi" w:cstheme="minorBidi"/>
          <w:sz w:val="18"/>
          <w:szCs w:val="18"/>
        </w:rPr>
        <w:tab/>
        <w:t xml:space="preserve">À l’occasion de sa treizième session en 2018, le Comité a pris note de huit éléments ayant fait l’objet de correspondances (document </w:t>
      </w:r>
      <w:hyperlink r:id="rId1" w:history="1">
        <w:r w:rsidRPr="00955FBB">
          <w:rPr>
            <w:rStyle w:val="Hyperlink"/>
            <w:rFonts w:asciiTheme="minorBidi" w:hAnsiTheme="minorBidi" w:cstheme="minorBidi"/>
            <w:sz w:val="18"/>
            <w:szCs w:val="18"/>
          </w:rPr>
          <w:t>ITH/18/13.COM/9</w:t>
        </w:r>
      </w:hyperlink>
      <w:r w:rsidRPr="00955FBB">
        <w:rPr>
          <w:rStyle w:val="Hyperlink"/>
          <w:rFonts w:asciiTheme="minorBidi" w:hAnsiTheme="minorBidi" w:cstheme="minorBidi"/>
          <w:color w:val="auto"/>
          <w:sz w:val="18"/>
          <w:szCs w:val="18"/>
          <w:u w:val="none"/>
        </w:rPr>
        <w:t xml:space="preserve"> ; </w:t>
      </w:r>
      <w:r w:rsidR="00356F78" w:rsidRPr="00967CA4">
        <w:rPr>
          <w:rFonts w:asciiTheme="minorBidi" w:hAnsiTheme="minorBidi" w:cstheme="minorBidi"/>
          <w:sz w:val="18"/>
          <w:szCs w:val="16"/>
        </w:rPr>
        <w:t xml:space="preserve">Décision </w:t>
      </w:r>
      <w:hyperlink r:id="rId2" w:history="1">
        <w:r w:rsidR="00356F78" w:rsidRPr="00955FBB">
          <w:rPr>
            <w:rStyle w:val="Hyperlink"/>
            <w:rFonts w:asciiTheme="minorBidi" w:hAnsiTheme="minorBidi" w:cstheme="minorBidi"/>
            <w:sz w:val="18"/>
            <w:szCs w:val="18"/>
          </w:rPr>
          <w:t>13.COM 9</w:t>
        </w:r>
      </w:hyperlink>
      <w:r w:rsidRPr="00955FBB">
        <w:rPr>
          <w:rFonts w:asciiTheme="minorBidi" w:hAnsiTheme="minorBidi" w:cstheme="minorBidi"/>
          <w:sz w:val="18"/>
          <w:szCs w:val="18"/>
        </w:rPr>
        <w:t>).</w:t>
      </w:r>
    </w:p>
    <w:p w14:paraId="4D0BF9AB" w14:textId="33DEAB0A" w:rsidR="002E2E42" w:rsidRPr="00955FBB" w:rsidRDefault="002E2E42" w:rsidP="00955FBB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955FBB">
        <w:rPr>
          <w:rFonts w:asciiTheme="minorBidi" w:hAnsiTheme="minorBidi" w:cstheme="minorBidi"/>
          <w:sz w:val="18"/>
          <w:szCs w:val="18"/>
        </w:rPr>
        <w:tab/>
        <w:t xml:space="preserve">À l’occasion de sa quatorzième session en 2019, le Comité a pris note de quatre éléments ayant fait l’objet de correspondances (document </w:t>
      </w:r>
      <w:hyperlink r:id="rId3" w:history="1">
        <w:r w:rsidRPr="00955FBB">
          <w:rPr>
            <w:rStyle w:val="Hyperlink"/>
            <w:rFonts w:asciiTheme="minorBidi" w:hAnsiTheme="minorBidi" w:cstheme="minorBidi"/>
            <w:sz w:val="18"/>
            <w:szCs w:val="18"/>
          </w:rPr>
          <w:t>LHE/19/14.COM/14</w:t>
        </w:r>
      </w:hyperlink>
      <w:r w:rsidRPr="00955FBB">
        <w:rPr>
          <w:rFonts w:asciiTheme="minorBidi" w:hAnsiTheme="minorBidi" w:cstheme="minorBidi"/>
          <w:sz w:val="18"/>
          <w:szCs w:val="18"/>
        </w:rPr>
        <w:t xml:space="preserve"> ; </w:t>
      </w:r>
      <w:r w:rsidR="00356F78" w:rsidRPr="00967CA4">
        <w:rPr>
          <w:rFonts w:asciiTheme="minorBidi" w:hAnsiTheme="minorBidi" w:cstheme="minorBidi"/>
          <w:sz w:val="18"/>
          <w:szCs w:val="16"/>
        </w:rPr>
        <w:t xml:space="preserve">Décision </w:t>
      </w:r>
      <w:hyperlink r:id="rId4" w:history="1">
        <w:r w:rsidR="00356F78" w:rsidRPr="00955FBB">
          <w:rPr>
            <w:rStyle w:val="Hyperlink"/>
            <w:rFonts w:asciiTheme="minorBidi" w:hAnsiTheme="minorBidi" w:cstheme="minorBidi"/>
            <w:sz w:val="18"/>
            <w:szCs w:val="18"/>
          </w:rPr>
          <w:t>14.COM 14</w:t>
        </w:r>
      </w:hyperlink>
      <w:r w:rsidRPr="00955FBB">
        <w:rPr>
          <w:rFonts w:asciiTheme="minorBidi" w:hAnsiTheme="minorBidi" w:cstheme="minorBidi"/>
          <w:sz w:val="18"/>
          <w:szCs w:val="18"/>
        </w:rPr>
        <w:t xml:space="preserve">) </w:t>
      </w:r>
      <w:r w:rsidR="00F834C0" w:rsidRPr="00955FBB">
        <w:rPr>
          <w:rFonts w:asciiTheme="minorBidi" w:hAnsiTheme="minorBidi" w:cstheme="minorBidi"/>
          <w:sz w:val="18"/>
          <w:szCs w:val="18"/>
        </w:rPr>
        <w:t xml:space="preserve">et a également décidé du </w:t>
      </w:r>
      <w:r w:rsidRPr="00955FBB">
        <w:rPr>
          <w:rFonts w:asciiTheme="minorBidi" w:hAnsiTheme="minorBidi" w:cstheme="minorBidi"/>
          <w:sz w:val="18"/>
          <w:szCs w:val="18"/>
        </w:rPr>
        <w:t>retrait d’un élément</w:t>
      </w:r>
      <w:r w:rsidR="009253F4" w:rsidRPr="00955FBB">
        <w:rPr>
          <w:rFonts w:asciiTheme="minorBidi" w:hAnsiTheme="minorBidi" w:cstheme="minorBidi"/>
          <w:sz w:val="18"/>
          <w:szCs w:val="18"/>
        </w:rPr>
        <w:t xml:space="preserve"> (document </w:t>
      </w:r>
      <w:hyperlink r:id="rId5" w:history="1">
        <w:r w:rsidR="009253F4" w:rsidRPr="00955FBB">
          <w:rPr>
            <w:rStyle w:val="Hyperlink"/>
            <w:rFonts w:asciiTheme="minorBidi" w:hAnsiTheme="minorBidi" w:cstheme="minorBidi"/>
            <w:sz w:val="18"/>
            <w:szCs w:val="18"/>
          </w:rPr>
          <w:t>LHE/19/14.COM/12+Add</w:t>
        </w:r>
      </w:hyperlink>
      <w:r w:rsidR="00F834C0" w:rsidRPr="00955FBB">
        <w:rPr>
          <w:rFonts w:asciiTheme="minorBidi" w:hAnsiTheme="minorBidi" w:cstheme="minorBidi"/>
          <w:sz w:val="18"/>
          <w:szCs w:val="18"/>
        </w:rPr>
        <w:t xml:space="preserve"> </w:t>
      </w:r>
      <w:r w:rsidR="009253F4" w:rsidRPr="00955FBB">
        <w:rPr>
          <w:rFonts w:asciiTheme="minorBidi" w:hAnsiTheme="minorBidi" w:cstheme="minorBidi"/>
          <w:sz w:val="18"/>
          <w:szCs w:val="18"/>
        </w:rPr>
        <w:t xml:space="preserve">; </w:t>
      </w:r>
      <w:r w:rsidR="00955FBB" w:rsidRPr="00955FBB">
        <w:rPr>
          <w:rFonts w:asciiTheme="minorBidi" w:hAnsiTheme="minorBidi" w:cstheme="minorBidi"/>
          <w:sz w:val="18"/>
          <w:szCs w:val="18"/>
        </w:rPr>
        <w:t xml:space="preserve">Décision </w:t>
      </w:r>
      <w:hyperlink r:id="rId6" w:history="1">
        <w:r w:rsidR="00955FBB">
          <w:rPr>
            <w:rStyle w:val="Hyperlink"/>
            <w:rFonts w:asciiTheme="minorBidi" w:hAnsiTheme="minorBidi" w:cstheme="minorBidi"/>
            <w:sz w:val="18"/>
            <w:szCs w:val="18"/>
          </w:rPr>
          <w:t>14.COM 12</w:t>
        </w:r>
      </w:hyperlink>
      <w:r w:rsidR="009253F4" w:rsidRPr="00955FBB">
        <w:rPr>
          <w:rFonts w:asciiTheme="minorBidi" w:hAnsiTheme="minorBidi" w:cstheme="minorBidi"/>
          <w:sz w:val="18"/>
          <w:szCs w:val="18"/>
        </w:rPr>
        <w:t>).</w:t>
      </w:r>
    </w:p>
  </w:footnote>
  <w:footnote w:id="2">
    <w:p w14:paraId="5F75E212" w14:textId="5DBFD5F9" w:rsidR="002E2E42" w:rsidRPr="00955FBB" w:rsidRDefault="002E2E42" w:rsidP="00955FBB">
      <w:pPr>
        <w:pStyle w:val="FootnoteText"/>
        <w:spacing w:after="60"/>
        <w:ind w:left="567" w:hanging="567"/>
        <w:jc w:val="both"/>
        <w:rPr>
          <w:rFonts w:asciiTheme="minorBidi" w:hAnsiTheme="minorBidi" w:cstheme="minorBidi"/>
          <w:sz w:val="18"/>
          <w:szCs w:val="18"/>
        </w:rPr>
      </w:pPr>
      <w:r w:rsidRPr="00955FBB">
        <w:rPr>
          <w:rStyle w:val="FootnoteReference"/>
          <w:rFonts w:asciiTheme="minorBidi" w:hAnsiTheme="minorBidi" w:cstheme="minorBidi"/>
          <w:sz w:val="18"/>
          <w:szCs w:val="18"/>
          <w:vertAlign w:val="baseline"/>
        </w:rPr>
        <w:footnoteRef/>
      </w:r>
      <w:r w:rsidR="00D01000">
        <w:rPr>
          <w:rFonts w:asciiTheme="minorBidi" w:hAnsiTheme="minorBidi" w:cstheme="minorBidi"/>
          <w:sz w:val="18"/>
          <w:szCs w:val="18"/>
        </w:rPr>
        <w:t>.</w:t>
      </w:r>
      <w:r w:rsidRPr="00955FBB">
        <w:rPr>
          <w:rFonts w:asciiTheme="minorBidi" w:hAnsiTheme="minorBidi" w:cstheme="minorBidi"/>
          <w:sz w:val="18"/>
          <w:szCs w:val="18"/>
        </w:rPr>
        <w:tab/>
        <w:t>La quinzième session du Comité en 2020 s’est tenue en ligne avec un ordre du jour réduit en raison de la pandémie de COVID-19 n’incluant pas le suivi des éléments inscrits.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A055" w14:textId="1601905E" w:rsidR="00D95C4C" w:rsidRPr="00C23A97" w:rsidRDefault="00C5776D" w:rsidP="006E6401">
    <w:pPr>
      <w:pStyle w:val="Header"/>
      <w:rPr>
        <w:rFonts w:ascii="Arial" w:hAnsi="Arial" w:cs="Arial"/>
      </w:rPr>
    </w:pPr>
    <w:r>
      <w:rPr>
        <w:rFonts w:ascii="Arial" w:hAnsi="Arial"/>
        <w:sz w:val="20"/>
      </w:rPr>
      <w:t>LHE/21/16.COM/11</w:t>
    </w:r>
    <w:r w:rsidR="00531A86">
      <w:rPr>
        <w:rFonts w:ascii="Arial" w:hAnsi="Arial"/>
        <w:sz w:val="20"/>
      </w:rPr>
      <w:t xml:space="preserve"> Rev.</w:t>
    </w:r>
    <w:r w:rsidR="008445BD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– page </w:t>
    </w:r>
    <w:r w:rsidR="00D95C4C" w:rsidRPr="00C23A97">
      <w:rPr>
        <w:rStyle w:val="PageNumber"/>
        <w:rFonts w:ascii="Arial" w:hAnsi="Arial" w:cs="Arial"/>
        <w:sz w:val="20"/>
      </w:rPr>
      <w:fldChar w:fldCharType="begin"/>
    </w:r>
    <w:r w:rsidR="00D95C4C" w:rsidRPr="00C23A97">
      <w:rPr>
        <w:rStyle w:val="PageNumber"/>
        <w:rFonts w:ascii="Arial" w:hAnsi="Arial" w:cs="Arial"/>
        <w:sz w:val="20"/>
      </w:rPr>
      <w:instrText xml:space="preserve"> PAGE </w:instrText>
    </w:r>
    <w:r w:rsidR="00D95C4C" w:rsidRPr="00C23A97">
      <w:rPr>
        <w:rStyle w:val="PageNumber"/>
        <w:rFonts w:ascii="Arial" w:hAnsi="Arial" w:cs="Arial"/>
        <w:sz w:val="20"/>
      </w:rPr>
      <w:fldChar w:fldCharType="separate"/>
    </w:r>
    <w:r w:rsidR="006E75EB">
      <w:rPr>
        <w:rStyle w:val="PageNumber"/>
        <w:rFonts w:ascii="Arial" w:hAnsi="Arial" w:cs="Arial"/>
        <w:sz w:val="20"/>
      </w:rPr>
      <w:t>2</w:t>
    </w:r>
    <w:r w:rsidR="00D95C4C" w:rsidRPr="00C23A97">
      <w:rPr>
        <w:rStyle w:val="PageNumber"/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F231B" w14:textId="06340DC9" w:rsidR="00D95C4C" w:rsidRPr="0063300C" w:rsidRDefault="00C5776D" w:rsidP="006E6401">
    <w:pPr>
      <w:pStyle w:val="Header"/>
      <w:jc w:val="right"/>
      <w:rPr>
        <w:rFonts w:ascii="Arial" w:hAnsi="Arial" w:cs="Arial"/>
      </w:rPr>
    </w:pPr>
    <w:r>
      <w:rPr>
        <w:rFonts w:ascii="Arial" w:hAnsi="Arial"/>
        <w:sz w:val="20"/>
      </w:rPr>
      <w:t>LHE/2</w:t>
    </w:r>
    <w:r w:rsidR="00F515BB">
      <w:rPr>
        <w:rFonts w:ascii="Arial" w:hAnsi="Arial"/>
        <w:sz w:val="20"/>
      </w:rPr>
      <w:t>1</w:t>
    </w:r>
    <w:r>
      <w:rPr>
        <w:rFonts w:ascii="Arial" w:hAnsi="Arial"/>
        <w:sz w:val="20"/>
      </w:rPr>
      <w:t xml:space="preserve">/16.COM/11 </w:t>
    </w:r>
    <w:r w:rsidR="00531A86">
      <w:rPr>
        <w:rFonts w:ascii="Arial" w:hAnsi="Arial"/>
        <w:sz w:val="20"/>
      </w:rPr>
      <w:t>Rev.</w:t>
    </w:r>
    <w:r w:rsidR="008445BD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– page </w:t>
    </w:r>
    <w:r w:rsidR="004A34A0" w:rsidRPr="0063300C">
      <w:rPr>
        <w:rStyle w:val="PageNumber"/>
        <w:rFonts w:ascii="Arial" w:hAnsi="Arial" w:cs="Arial"/>
        <w:sz w:val="20"/>
      </w:rPr>
      <w:fldChar w:fldCharType="begin"/>
    </w:r>
    <w:r w:rsidR="004A34A0" w:rsidRPr="0063300C">
      <w:rPr>
        <w:rStyle w:val="PageNumber"/>
        <w:rFonts w:ascii="Arial" w:hAnsi="Arial" w:cs="Arial"/>
        <w:sz w:val="20"/>
      </w:rPr>
      <w:instrText xml:space="preserve"> PAGE </w:instrText>
    </w:r>
    <w:r w:rsidR="004A34A0" w:rsidRPr="0063300C">
      <w:rPr>
        <w:rStyle w:val="PageNumber"/>
        <w:rFonts w:ascii="Arial" w:hAnsi="Arial" w:cs="Arial"/>
        <w:sz w:val="20"/>
      </w:rPr>
      <w:fldChar w:fldCharType="separate"/>
    </w:r>
    <w:r w:rsidR="00190205">
      <w:rPr>
        <w:rStyle w:val="PageNumber"/>
        <w:rFonts w:ascii="Arial" w:hAnsi="Arial" w:cs="Arial"/>
        <w:sz w:val="20"/>
      </w:rPr>
      <w:t>3</w:t>
    </w:r>
    <w:r w:rsidR="004A34A0" w:rsidRPr="0063300C">
      <w:rPr>
        <w:rStyle w:val="PageNumber"/>
        <w:rFonts w:ascii="Arial" w:hAnsi="Arial" w:cs="Arial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B9E0" w14:textId="72543B07" w:rsidR="00D95C4C" w:rsidRPr="00A8230D" w:rsidRDefault="00270D80">
    <w:pPr>
      <w:pStyle w:val="Header"/>
      <w:rPr>
        <w:sz w:val="22"/>
        <w:szCs w:val="22"/>
      </w:rPr>
    </w:pPr>
    <w:r w:rsidRPr="00A8230D">
      <w:rPr>
        <w:noProof/>
      </w:rPr>
      <w:drawing>
        <wp:anchor distT="0" distB="0" distL="114300" distR="114300" simplePos="0" relativeHeight="251658239" behindDoc="0" locked="0" layoutInCell="1" allowOverlap="1" wp14:anchorId="12BBC592" wp14:editId="7E837722">
          <wp:simplePos x="0" y="0"/>
          <wp:positionH relativeFrom="column">
            <wp:posOffset>13335</wp:posOffset>
          </wp:positionH>
          <wp:positionV relativeFrom="paragraph">
            <wp:posOffset>157480</wp:posOffset>
          </wp:positionV>
          <wp:extent cx="1657350" cy="1391920"/>
          <wp:effectExtent l="0" t="0" r="0" b="0"/>
          <wp:wrapThrough wrapText="bothSides">
            <wp:wrapPolygon edited="0">
              <wp:start x="0" y="0"/>
              <wp:lineTo x="0" y="9460"/>
              <wp:lineTo x="10676" y="9460"/>
              <wp:lineTo x="0" y="10938"/>
              <wp:lineTo x="0" y="21285"/>
              <wp:lineTo x="8690" y="21285"/>
              <wp:lineTo x="14897" y="18920"/>
              <wp:lineTo x="21352" y="14781"/>
              <wp:lineTo x="21352" y="11234"/>
              <wp:lineTo x="10676" y="9460"/>
              <wp:lineTo x="21352" y="9460"/>
              <wp:lineTo x="21352" y="0"/>
              <wp:lineTo x="0" y="0"/>
            </wp:wrapPolygon>
          </wp:wrapThrough>
          <wp:docPr id="4" name="Imag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57B917" w14:textId="6871D70F" w:rsidR="00D95C4C" w:rsidRPr="00A8230D" w:rsidRDefault="00337CEB" w:rsidP="00C5776D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BR"/>
      </w:rPr>
    </w:pPr>
    <w:r w:rsidRPr="00A8230D">
      <w:rPr>
        <w:rFonts w:ascii="Arial" w:hAnsi="Arial"/>
        <w:b/>
        <w:sz w:val="44"/>
        <w:lang w:val="pt-BR"/>
      </w:rPr>
      <w:t>16 COM</w:t>
    </w:r>
  </w:p>
  <w:p w14:paraId="306484B8" w14:textId="5E525B38" w:rsidR="00D95C4C" w:rsidRPr="00B96344" w:rsidRDefault="00C5776D" w:rsidP="00C5776D">
    <w:pPr>
      <w:jc w:val="right"/>
      <w:rPr>
        <w:rFonts w:ascii="Arial" w:hAnsi="Arial" w:cs="Arial"/>
        <w:b/>
        <w:sz w:val="22"/>
        <w:szCs w:val="22"/>
      </w:rPr>
    </w:pPr>
    <w:r w:rsidRPr="00B96344">
      <w:rPr>
        <w:rFonts w:ascii="Arial" w:hAnsi="Arial"/>
        <w:b/>
        <w:sz w:val="22"/>
      </w:rPr>
      <w:t>LHE/21/16.COM/11</w:t>
    </w:r>
    <w:r w:rsidR="00531A86" w:rsidRPr="00B96344">
      <w:rPr>
        <w:rFonts w:ascii="Arial" w:hAnsi="Arial"/>
        <w:b/>
        <w:sz w:val="22"/>
      </w:rPr>
      <w:t xml:space="preserve"> Rev.</w:t>
    </w:r>
  </w:p>
  <w:p w14:paraId="1B4446C3" w14:textId="7584B8A3" w:rsidR="00D95C4C" w:rsidRPr="00B96344" w:rsidRDefault="00D95C4C" w:rsidP="00655736">
    <w:pPr>
      <w:jc w:val="right"/>
      <w:rPr>
        <w:rFonts w:ascii="Arial" w:eastAsiaTheme="minorEastAsia" w:hAnsi="Arial" w:cs="Arial"/>
        <w:b/>
        <w:sz w:val="22"/>
        <w:szCs w:val="22"/>
      </w:rPr>
    </w:pPr>
    <w:r w:rsidRPr="00B96344">
      <w:rPr>
        <w:rFonts w:ascii="Arial" w:hAnsi="Arial"/>
        <w:b/>
        <w:sz w:val="22"/>
      </w:rPr>
      <w:t xml:space="preserve">Paris, le </w:t>
    </w:r>
    <w:r w:rsidR="00531A86" w:rsidRPr="00B96344">
      <w:rPr>
        <w:rFonts w:ascii="Arial" w:hAnsi="Arial"/>
        <w:b/>
        <w:sz w:val="22"/>
      </w:rPr>
      <w:t>14 d</w:t>
    </w:r>
    <w:r w:rsidR="00531A86" w:rsidRPr="00A8230D">
      <w:rPr>
        <w:rFonts w:ascii="Arial" w:hAnsi="Arial"/>
        <w:b/>
        <w:sz w:val="22"/>
      </w:rPr>
      <w:t>é</w:t>
    </w:r>
    <w:r w:rsidR="00531A86" w:rsidRPr="00B96344">
      <w:rPr>
        <w:rFonts w:ascii="Arial" w:hAnsi="Arial"/>
        <w:b/>
        <w:sz w:val="22"/>
      </w:rPr>
      <w:t xml:space="preserve">cembre </w:t>
    </w:r>
    <w:r w:rsidRPr="00B96344">
      <w:rPr>
        <w:rFonts w:ascii="Arial" w:hAnsi="Arial"/>
        <w:b/>
        <w:sz w:val="22"/>
      </w:rPr>
      <w:t>2021</w:t>
    </w:r>
  </w:p>
  <w:p w14:paraId="255B57FF" w14:textId="5B806F31" w:rsidR="00D95C4C" w:rsidRPr="00A77623" w:rsidRDefault="00D95C4C" w:rsidP="00962034">
    <w:pPr>
      <w:spacing w:after="120"/>
      <w:jc w:val="right"/>
      <w:rPr>
        <w:rFonts w:ascii="Arial" w:hAnsi="Arial" w:cs="Arial"/>
        <w:b/>
        <w:sz w:val="22"/>
        <w:szCs w:val="22"/>
      </w:rPr>
    </w:pPr>
    <w:r w:rsidRPr="00A8230D">
      <w:rPr>
        <w:rFonts w:ascii="Arial" w:hAnsi="Arial"/>
        <w:b/>
        <w:sz w:val="22"/>
      </w:rPr>
      <w:t>Original : anglais</w:t>
    </w:r>
  </w:p>
  <w:p w14:paraId="3C4B8B1B" w14:textId="77777777" w:rsidR="00D95C4C" w:rsidRPr="00B96344" w:rsidRDefault="00D95C4C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B1C9C"/>
    <w:multiLevelType w:val="hybridMultilevel"/>
    <w:tmpl w:val="F60E309C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C075DAB"/>
    <w:multiLevelType w:val="hybridMultilevel"/>
    <w:tmpl w:val="5804FE3C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EC52FED"/>
    <w:multiLevelType w:val="hybridMultilevel"/>
    <w:tmpl w:val="7624C5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5F07BFE"/>
    <w:multiLevelType w:val="hybridMultilevel"/>
    <w:tmpl w:val="E24AD55A"/>
    <w:lvl w:ilvl="0" w:tplc="76CAC304">
      <w:start w:val="1"/>
      <w:numFmt w:val="decimal"/>
      <w:pStyle w:val="COM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54BE1"/>
    <w:multiLevelType w:val="hybridMultilevel"/>
    <w:tmpl w:val="8766C2D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97A4DB1"/>
    <w:multiLevelType w:val="hybridMultilevel"/>
    <w:tmpl w:val="93689384"/>
    <w:lvl w:ilvl="0" w:tplc="AC2A6AD6">
      <w:start w:val="1"/>
      <w:numFmt w:val="decimal"/>
      <w:pStyle w:val="COMParaDecision"/>
      <w:lvlText w:val="%1."/>
      <w:lvlJc w:val="left"/>
      <w:pPr>
        <w:ind w:left="1287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AC30BD2"/>
    <w:multiLevelType w:val="hybridMultilevel"/>
    <w:tmpl w:val="2F02E984"/>
    <w:lvl w:ilvl="0" w:tplc="DFC65752">
      <w:start w:val="1"/>
      <w:numFmt w:val="upperRoman"/>
      <w:pStyle w:val="Heading4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410AE"/>
    <w:multiLevelType w:val="hybridMultilevel"/>
    <w:tmpl w:val="FC284EC2"/>
    <w:lvl w:ilvl="0" w:tplc="DD9A1A16">
      <w:start w:val="1"/>
      <w:numFmt w:val="decimal"/>
      <w:lvlText w:val="%1."/>
      <w:lvlJc w:val="left"/>
      <w:pPr>
        <w:ind w:left="1779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499" w:hanging="360"/>
      </w:pPr>
    </w:lvl>
    <w:lvl w:ilvl="2" w:tplc="040C001B" w:tentative="1">
      <w:start w:val="1"/>
      <w:numFmt w:val="lowerRoman"/>
      <w:lvlText w:val="%3."/>
      <w:lvlJc w:val="right"/>
      <w:pPr>
        <w:ind w:left="3219" w:hanging="180"/>
      </w:pPr>
    </w:lvl>
    <w:lvl w:ilvl="3" w:tplc="040C000F" w:tentative="1">
      <w:start w:val="1"/>
      <w:numFmt w:val="decimal"/>
      <w:lvlText w:val="%4."/>
      <w:lvlJc w:val="left"/>
      <w:pPr>
        <w:ind w:left="3939" w:hanging="360"/>
      </w:pPr>
    </w:lvl>
    <w:lvl w:ilvl="4" w:tplc="040C0019" w:tentative="1">
      <w:start w:val="1"/>
      <w:numFmt w:val="lowerLetter"/>
      <w:lvlText w:val="%5."/>
      <w:lvlJc w:val="left"/>
      <w:pPr>
        <w:ind w:left="4659" w:hanging="360"/>
      </w:pPr>
    </w:lvl>
    <w:lvl w:ilvl="5" w:tplc="040C001B" w:tentative="1">
      <w:start w:val="1"/>
      <w:numFmt w:val="lowerRoman"/>
      <w:lvlText w:val="%6."/>
      <w:lvlJc w:val="right"/>
      <w:pPr>
        <w:ind w:left="5379" w:hanging="180"/>
      </w:pPr>
    </w:lvl>
    <w:lvl w:ilvl="6" w:tplc="040C000F" w:tentative="1">
      <w:start w:val="1"/>
      <w:numFmt w:val="decimal"/>
      <w:lvlText w:val="%7."/>
      <w:lvlJc w:val="left"/>
      <w:pPr>
        <w:ind w:left="6099" w:hanging="360"/>
      </w:pPr>
    </w:lvl>
    <w:lvl w:ilvl="7" w:tplc="040C0019" w:tentative="1">
      <w:start w:val="1"/>
      <w:numFmt w:val="lowerLetter"/>
      <w:lvlText w:val="%8."/>
      <w:lvlJc w:val="left"/>
      <w:pPr>
        <w:ind w:left="6819" w:hanging="360"/>
      </w:pPr>
    </w:lvl>
    <w:lvl w:ilvl="8" w:tplc="04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44EA799B"/>
    <w:multiLevelType w:val="hybridMultilevel"/>
    <w:tmpl w:val="E29C370C"/>
    <w:lvl w:ilvl="0" w:tplc="717C0AE2">
      <w:start w:val="15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ECD35B7"/>
    <w:multiLevelType w:val="hybridMultilevel"/>
    <w:tmpl w:val="E40E8992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5C12BE"/>
    <w:multiLevelType w:val="hybridMultilevel"/>
    <w:tmpl w:val="27B4AE7C"/>
    <w:lvl w:ilvl="0" w:tplc="7A1AB7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62713E"/>
    <w:multiLevelType w:val="hybridMultilevel"/>
    <w:tmpl w:val="35E27E5A"/>
    <w:lvl w:ilvl="0" w:tplc="1E1EE1A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CF4"/>
    <w:multiLevelType w:val="hybridMultilevel"/>
    <w:tmpl w:val="C5527DE8"/>
    <w:lvl w:ilvl="0" w:tplc="040C0015">
      <w:start w:val="1"/>
      <w:numFmt w:val="upperLetter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42"/>
    <w:rsid w:val="000048ED"/>
    <w:rsid w:val="00014915"/>
    <w:rsid w:val="00041A66"/>
    <w:rsid w:val="00042D88"/>
    <w:rsid w:val="0005176E"/>
    <w:rsid w:val="00052F4F"/>
    <w:rsid w:val="000765F7"/>
    <w:rsid w:val="00077AB7"/>
    <w:rsid w:val="00081CD8"/>
    <w:rsid w:val="000A7F0E"/>
    <w:rsid w:val="000B1C8F"/>
    <w:rsid w:val="000C0D61"/>
    <w:rsid w:val="000D31D6"/>
    <w:rsid w:val="000F3A3F"/>
    <w:rsid w:val="00102557"/>
    <w:rsid w:val="00131DC8"/>
    <w:rsid w:val="00146562"/>
    <w:rsid w:val="00164D56"/>
    <w:rsid w:val="00167B10"/>
    <w:rsid w:val="0017402F"/>
    <w:rsid w:val="00190205"/>
    <w:rsid w:val="00196C1B"/>
    <w:rsid w:val="001A05BF"/>
    <w:rsid w:val="001B0F73"/>
    <w:rsid w:val="001C2DB7"/>
    <w:rsid w:val="001D14FE"/>
    <w:rsid w:val="001D5C04"/>
    <w:rsid w:val="001F26CF"/>
    <w:rsid w:val="00222A2D"/>
    <w:rsid w:val="00223029"/>
    <w:rsid w:val="00234745"/>
    <w:rsid w:val="002351A6"/>
    <w:rsid w:val="002407AF"/>
    <w:rsid w:val="00250B1D"/>
    <w:rsid w:val="00270D80"/>
    <w:rsid w:val="0027466B"/>
    <w:rsid w:val="002838A5"/>
    <w:rsid w:val="00285BB4"/>
    <w:rsid w:val="002C09E3"/>
    <w:rsid w:val="002D1244"/>
    <w:rsid w:val="002E2E42"/>
    <w:rsid w:val="003029C5"/>
    <w:rsid w:val="0031103D"/>
    <w:rsid w:val="00337CEB"/>
    <w:rsid w:val="00344B58"/>
    <w:rsid w:val="0034539A"/>
    <w:rsid w:val="00345CB4"/>
    <w:rsid w:val="00356F78"/>
    <w:rsid w:val="00375D42"/>
    <w:rsid w:val="003D069C"/>
    <w:rsid w:val="003D7646"/>
    <w:rsid w:val="003E6646"/>
    <w:rsid w:val="003F113A"/>
    <w:rsid w:val="003F3E63"/>
    <w:rsid w:val="00407480"/>
    <w:rsid w:val="0041106C"/>
    <w:rsid w:val="00414643"/>
    <w:rsid w:val="004421E5"/>
    <w:rsid w:val="00452284"/>
    <w:rsid w:val="00457C8E"/>
    <w:rsid w:val="004856CA"/>
    <w:rsid w:val="00487E67"/>
    <w:rsid w:val="0049705E"/>
    <w:rsid w:val="004A2875"/>
    <w:rsid w:val="004A34A0"/>
    <w:rsid w:val="004C7C82"/>
    <w:rsid w:val="005008A8"/>
    <w:rsid w:val="00517FD8"/>
    <w:rsid w:val="00526B7B"/>
    <w:rsid w:val="005308CE"/>
    <w:rsid w:val="00531A86"/>
    <w:rsid w:val="0053318C"/>
    <w:rsid w:val="0057439C"/>
    <w:rsid w:val="005B0127"/>
    <w:rsid w:val="005B183E"/>
    <w:rsid w:val="005B7A35"/>
    <w:rsid w:val="005C4B73"/>
    <w:rsid w:val="005E1D2B"/>
    <w:rsid w:val="005E7074"/>
    <w:rsid w:val="005F2BAF"/>
    <w:rsid w:val="00600D93"/>
    <w:rsid w:val="00626BEA"/>
    <w:rsid w:val="0063300C"/>
    <w:rsid w:val="00651A5B"/>
    <w:rsid w:val="00655736"/>
    <w:rsid w:val="00663B8D"/>
    <w:rsid w:val="00696C8D"/>
    <w:rsid w:val="006A2AC2"/>
    <w:rsid w:val="006A3617"/>
    <w:rsid w:val="006B4452"/>
    <w:rsid w:val="006E46E4"/>
    <w:rsid w:val="006E6401"/>
    <w:rsid w:val="006E75EB"/>
    <w:rsid w:val="007178A5"/>
    <w:rsid w:val="00717DA5"/>
    <w:rsid w:val="00726B19"/>
    <w:rsid w:val="00732B93"/>
    <w:rsid w:val="00744484"/>
    <w:rsid w:val="00747566"/>
    <w:rsid w:val="00773188"/>
    <w:rsid w:val="00783782"/>
    <w:rsid w:val="00784B8C"/>
    <w:rsid w:val="007879E1"/>
    <w:rsid w:val="007C6286"/>
    <w:rsid w:val="007E03D6"/>
    <w:rsid w:val="0082104E"/>
    <w:rsid w:val="00823A11"/>
    <w:rsid w:val="008445BD"/>
    <w:rsid w:val="0085405E"/>
    <w:rsid w:val="0085414A"/>
    <w:rsid w:val="00857EB9"/>
    <w:rsid w:val="0086269D"/>
    <w:rsid w:val="0086543A"/>
    <w:rsid w:val="008724E5"/>
    <w:rsid w:val="00884A9D"/>
    <w:rsid w:val="0088512B"/>
    <w:rsid w:val="008A2B2D"/>
    <w:rsid w:val="008A4E1E"/>
    <w:rsid w:val="008C296C"/>
    <w:rsid w:val="008D4305"/>
    <w:rsid w:val="008E1A85"/>
    <w:rsid w:val="009163A7"/>
    <w:rsid w:val="009253F4"/>
    <w:rsid w:val="00946D0B"/>
    <w:rsid w:val="00955877"/>
    <w:rsid w:val="00955FBB"/>
    <w:rsid w:val="00962034"/>
    <w:rsid w:val="00967CA4"/>
    <w:rsid w:val="009A18CD"/>
    <w:rsid w:val="009D5428"/>
    <w:rsid w:val="00A12558"/>
    <w:rsid w:val="00A13903"/>
    <w:rsid w:val="00A34ED5"/>
    <w:rsid w:val="00A45DBF"/>
    <w:rsid w:val="00A725CF"/>
    <w:rsid w:val="00A755A2"/>
    <w:rsid w:val="00A77623"/>
    <w:rsid w:val="00A8230D"/>
    <w:rsid w:val="00AA6660"/>
    <w:rsid w:val="00AB2C36"/>
    <w:rsid w:val="00AB6DDE"/>
    <w:rsid w:val="00AB70B6"/>
    <w:rsid w:val="00AD1A86"/>
    <w:rsid w:val="00AE103E"/>
    <w:rsid w:val="00AF0A07"/>
    <w:rsid w:val="00AF4AEC"/>
    <w:rsid w:val="00AF625E"/>
    <w:rsid w:val="00B139BE"/>
    <w:rsid w:val="00B2172B"/>
    <w:rsid w:val="00B37A67"/>
    <w:rsid w:val="00B917D2"/>
    <w:rsid w:val="00B96344"/>
    <w:rsid w:val="00BA241A"/>
    <w:rsid w:val="00BB04AF"/>
    <w:rsid w:val="00BD52C9"/>
    <w:rsid w:val="00BE6354"/>
    <w:rsid w:val="00C138D1"/>
    <w:rsid w:val="00C23A97"/>
    <w:rsid w:val="00C24B50"/>
    <w:rsid w:val="00C52EBE"/>
    <w:rsid w:val="00C5776D"/>
    <w:rsid w:val="00C64855"/>
    <w:rsid w:val="00C70EA7"/>
    <w:rsid w:val="00C7433F"/>
    <w:rsid w:val="00C7516E"/>
    <w:rsid w:val="00C75770"/>
    <w:rsid w:val="00CA56BB"/>
    <w:rsid w:val="00CB0542"/>
    <w:rsid w:val="00D00B2B"/>
    <w:rsid w:val="00D01000"/>
    <w:rsid w:val="00D24877"/>
    <w:rsid w:val="00D7105A"/>
    <w:rsid w:val="00D749AE"/>
    <w:rsid w:val="00D8250F"/>
    <w:rsid w:val="00D95C4C"/>
    <w:rsid w:val="00DA36ED"/>
    <w:rsid w:val="00DB749C"/>
    <w:rsid w:val="00DE34F1"/>
    <w:rsid w:val="00DE6160"/>
    <w:rsid w:val="00DF4942"/>
    <w:rsid w:val="00E04880"/>
    <w:rsid w:val="00E06263"/>
    <w:rsid w:val="00E2125F"/>
    <w:rsid w:val="00E244E1"/>
    <w:rsid w:val="00E4150C"/>
    <w:rsid w:val="00E43591"/>
    <w:rsid w:val="00E627B1"/>
    <w:rsid w:val="00E70169"/>
    <w:rsid w:val="00E9376C"/>
    <w:rsid w:val="00E95AE2"/>
    <w:rsid w:val="00EA335E"/>
    <w:rsid w:val="00EA528C"/>
    <w:rsid w:val="00EA580C"/>
    <w:rsid w:val="00EB04FF"/>
    <w:rsid w:val="00EB27D3"/>
    <w:rsid w:val="00EC6F8D"/>
    <w:rsid w:val="00ED39B2"/>
    <w:rsid w:val="00EE49F4"/>
    <w:rsid w:val="00EE5024"/>
    <w:rsid w:val="00EF34E2"/>
    <w:rsid w:val="00F30DC6"/>
    <w:rsid w:val="00F328B0"/>
    <w:rsid w:val="00F32C23"/>
    <w:rsid w:val="00F515BB"/>
    <w:rsid w:val="00F53DE9"/>
    <w:rsid w:val="00F576CB"/>
    <w:rsid w:val="00F7035D"/>
    <w:rsid w:val="00F71A02"/>
    <w:rsid w:val="00F834C0"/>
    <w:rsid w:val="00FA0D63"/>
    <w:rsid w:val="00FD1226"/>
    <w:rsid w:val="00FF4830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F6C37C"/>
  <w15:docId w15:val="{583DBE90-1737-41AF-BFD5-4234A955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semiHidden="1" w:uiPriority="9" w:unhideWhenUsed="1"/>
    <w:lsdException w:name="heading 4" w:uiPriority="0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5CB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rsid w:val="00564D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aliases w:val="COM Heading"/>
    <w:basedOn w:val="Normal"/>
    <w:next w:val="Normal"/>
    <w:link w:val="Heading4Char"/>
    <w:qFormat/>
    <w:rsid w:val="00F71A02"/>
    <w:pPr>
      <w:keepNext/>
      <w:keepLines/>
      <w:numPr>
        <w:numId w:val="12"/>
      </w:numPr>
      <w:tabs>
        <w:tab w:val="left" w:pos="567"/>
      </w:tabs>
      <w:snapToGrid w:val="0"/>
      <w:spacing w:after="240"/>
      <w:ind w:left="567" w:hanging="567"/>
      <w:outlineLvl w:val="3"/>
    </w:pPr>
    <w:rPr>
      <w:rFonts w:ascii="Arial" w:hAnsi="Arial"/>
      <w:b/>
      <w:bCs/>
      <w:snapToGrid w:val="0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24E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724E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8724E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724E5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24E5"/>
    <w:rPr>
      <w:rFonts w:ascii="Tahoma" w:hAnsi="Tahoma" w:cs="Tahoma"/>
      <w:sz w:val="16"/>
      <w:szCs w:val="16"/>
      <w:lang w:val="fr-FR"/>
    </w:rPr>
  </w:style>
  <w:style w:type="paragraph" w:customStyle="1" w:styleId="Sansinterligne2">
    <w:name w:val="Sans interligne2"/>
    <w:uiPriority w:val="1"/>
    <w:rsid w:val="006C3FFC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6C3F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semiHidden/>
    <w:rsid w:val="00EF563B"/>
  </w:style>
  <w:style w:type="character" w:customStyle="1" w:styleId="Heading4Char">
    <w:name w:val="Heading 4 Char"/>
    <w:aliases w:val="COM Heading Char"/>
    <w:link w:val="Heading4"/>
    <w:rsid w:val="00F71A02"/>
    <w:rPr>
      <w:rFonts w:ascii="Arial" w:eastAsia="Times New Roman" w:hAnsi="Arial"/>
      <w:b/>
      <w:bCs/>
      <w:snapToGrid w:val="0"/>
      <w:sz w:val="22"/>
      <w:szCs w:val="24"/>
      <w:lang w:eastAsia="en-US"/>
    </w:rPr>
  </w:style>
  <w:style w:type="paragraph" w:customStyle="1" w:styleId="ColorfulList-Accent11">
    <w:name w:val="Colorful List - Accent 11"/>
    <w:basedOn w:val="Normal"/>
    <w:uiPriority w:val="34"/>
    <w:rsid w:val="00F66657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564DD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">
    <w:name w:val="(b)"/>
    <w:basedOn w:val="Normal"/>
    <w:rsid w:val="00564DDB"/>
    <w:pPr>
      <w:tabs>
        <w:tab w:val="left" w:pos="-737"/>
        <w:tab w:val="left" w:pos="1134"/>
      </w:tabs>
      <w:snapToGrid w:val="0"/>
      <w:spacing w:after="240"/>
      <w:ind w:left="1134" w:hanging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Par">
    <w:name w:val="Par"/>
    <w:basedOn w:val="Normal"/>
    <w:rsid w:val="00564DDB"/>
    <w:pPr>
      <w:tabs>
        <w:tab w:val="left" w:pos="567"/>
      </w:tabs>
      <w:snapToGrid w:val="0"/>
      <w:spacing w:after="240"/>
      <w:ind w:firstLine="567"/>
      <w:jc w:val="both"/>
    </w:pPr>
    <w:rPr>
      <w:rFonts w:ascii="Arial" w:hAnsi="Arial"/>
      <w:snapToGrid w:val="0"/>
      <w:sz w:val="22"/>
      <w:lang w:eastAsia="en-US"/>
    </w:rPr>
  </w:style>
  <w:style w:type="paragraph" w:customStyle="1" w:styleId="Marge">
    <w:name w:val="Marge"/>
    <w:basedOn w:val="Par"/>
    <w:rsid w:val="00564DDB"/>
    <w:pPr>
      <w:ind w:firstLine="0"/>
    </w:pPr>
  </w:style>
  <w:style w:type="paragraph" w:customStyle="1" w:styleId="TIRETbul1cm">
    <w:name w:val="TIRET bul 1cm"/>
    <w:basedOn w:val="Normal"/>
    <w:rsid w:val="00564DDB"/>
    <w:pPr>
      <w:numPr>
        <w:numId w:val="6"/>
      </w:numPr>
      <w:tabs>
        <w:tab w:val="left" w:pos="851"/>
      </w:tabs>
      <w:adjustRightInd w:val="0"/>
      <w:snapToGrid w:val="0"/>
      <w:spacing w:after="240"/>
      <w:jc w:val="both"/>
    </w:pPr>
    <w:rPr>
      <w:rFonts w:ascii="Arial" w:eastAsia="SimSun" w:hAnsi="Arial"/>
      <w:snapToGrid w:val="0"/>
      <w:sz w:val="22"/>
      <w:lang w:eastAsia="zh-CN"/>
    </w:rPr>
  </w:style>
  <w:style w:type="character" w:customStyle="1" w:styleId="apple-style-span">
    <w:name w:val="apple-style-span"/>
    <w:basedOn w:val="DefaultParagraphFont"/>
    <w:rsid w:val="00564DDB"/>
  </w:style>
  <w:style w:type="character" w:customStyle="1" w:styleId="apple-converted-space">
    <w:name w:val="apple-converted-space"/>
    <w:basedOn w:val="DefaultParagraphFont"/>
    <w:rsid w:val="00564DDB"/>
  </w:style>
  <w:style w:type="paragraph" w:customStyle="1" w:styleId="Sansinterligne1">
    <w:name w:val="Sans interligne1"/>
    <w:uiPriority w:val="1"/>
    <w:qFormat/>
    <w:rsid w:val="0057439C"/>
    <w:rPr>
      <w:rFonts w:ascii="Times New Roman" w:eastAsia="Times New Roman" w:hAnsi="Times New Roman"/>
      <w:sz w:val="24"/>
      <w:szCs w:val="24"/>
    </w:rPr>
  </w:style>
  <w:style w:type="paragraph" w:customStyle="1" w:styleId="COMPara">
    <w:name w:val="COM Para"/>
    <w:qFormat/>
    <w:rsid w:val="00345CB4"/>
    <w:pPr>
      <w:numPr>
        <w:numId w:val="9"/>
      </w:numPr>
      <w:spacing w:after="120"/>
    </w:pPr>
    <w:rPr>
      <w:rFonts w:ascii="Arial" w:eastAsia="Times New Roman" w:hAnsi="Arial" w:cs="Arial"/>
      <w:snapToGrid w:val="0"/>
      <w:sz w:val="22"/>
      <w:szCs w:val="22"/>
      <w:lang w:eastAsia="en-US"/>
    </w:rPr>
  </w:style>
  <w:style w:type="paragraph" w:customStyle="1" w:styleId="COMTitleDecision">
    <w:name w:val="COM Title Decision"/>
    <w:basedOn w:val="Normal"/>
    <w:qFormat/>
    <w:rsid w:val="00041A66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</w:rPr>
  </w:style>
  <w:style w:type="paragraph" w:customStyle="1" w:styleId="COMPreambulaDecisions">
    <w:name w:val="COM Preambula Decisions"/>
    <w:basedOn w:val="Normal"/>
    <w:qFormat/>
    <w:rsid w:val="00041A66"/>
    <w:pPr>
      <w:keepNext/>
      <w:spacing w:after="120"/>
      <w:ind w:left="567"/>
      <w:jc w:val="both"/>
    </w:pPr>
    <w:rPr>
      <w:rFonts w:ascii="Arial" w:hAnsi="Arial" w:cs="Arial"/>
      <w:sz w:val="22"/>
      <w:szCs w:val="22"/>
    </w:rPr>
  </w:style>
  <w:style w:type="paragraph" w:customStyle="1" w:styleId="COMParaDecision">
    <w:name w:val="COM Para Decision"/>
    <w:basedOn w:val="Normal"/>
    <w:qFormat/>
    <w:rsid w:val="00345CB4"/>
    <w:pPr>
      <w:numPr>
        <w:numId w:val="10"/>
      </w:numPr>
      <w:autoSpaceDE w:val="0"/>
      <w:autoSpaceDN w:val="0"/>
      <w:adjustRightInd w:val="0"/>
      <w:spacing w:after="120"/>
      <w:ind w:left="1134" w:hanging="567"/>
      <w:jc w:val="both"/>
    </w:pPr>
    <w:rPr>
      <w:rFonts w:ascii="Arial" w:eastAsia="SimSun" w:hAnsi="Arial" w:cs="Arial"/>
      <w:sz w:val="22"/>
      <w:szCs w:val="22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95AE2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A28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E4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E2E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2E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2E42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2E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2E42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E2E4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31D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4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h.unesco.org/fr/Decisions/14.COM/14" TargetMode="External"/><Relationship Id="rId13" Type="http://schemas.openxmlformats.org/officeDocument/2006/relationships/hyperlink" Target="https://ich.unesco.org/doc/src/LHE-21-16.COM-14-FR.doc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ich.unesco.org/fr/Decisions/13.COM/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ch.unesco.org/fr/Decisions/14.COM/14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h.unesco.org/fr/files-2021-under-process-01119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ch.unesco.org/fr/Decisions/13.COM/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h.unesco.org/fr/Decisions/7.COM/1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ch.unesco.org/fr/Decisions/14.COM/14" TargetMode="External"/><Relationship Id="rId14" Type="http://schemas.openxmlformats.org/officeDocument/2006/relationships/hyperlink" Target="https://ich.unesco.org/fr/Decisions/7.COM/15" TargetMode="External"/><Relationship Id="rId22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ch.unesco.org/doc/src/LHE-19-14.COM-14-FR.docx" TargetMode="External"/><Relationship Id="rId2" Type="http://schemas.openxmlformats.org/officeDocument/2006/relationships/hyperlink" Target="https://ich.unesco.org/fr/Decisions/13.COM/9" TargetMode="External"/><Relationship Id="rId1" Type="http://schemas.openxmlformats.org/officeDocument/2006/relationships/hyperlink" Target="https://ich.unesco.org/doc/src/ITH-18-13.COM-9-FR.docx" TargetMode="External"/><Relationship Id="rId6" Type="http://schemas.openxmlformats.org/officeDocument/2006/relationships/hyperlink" Target="https://ich.unesco.org/fr/d%C3%A9cisions/14.COM/12?dec=decisions&amp;ref_decision=14.COM" TargetMode="External"/><Relationship Id="rId5" Type="http://schemas.openxmlformats.org/officeDocument/2006/relationships/hyperlink" Target="https://ich.unesco.org/doc/src/LHE-19-14.COM-12_Add-FR.docx" TargetMode="External"/><Relationship Id="rId4" Type="http://schemas.openxmlformats.org/officeDocument/2006/relationships/hyperlink" Target="https://ich.unesco.org/fr/Decisions/14.COM/1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RE\02-ITH\Convention-Statutory%20Meetings\2015_STATUTORY%20MEETINGS\2015-11_10COM-Windhoek\Documents\0_Templates\10%20COM_Working%20document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E0471-18BB-4418-A13B-F2C5B318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 COM_Working document_EN.dotx</Template>
  <TotalTime>4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UNESCO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Shin, Eunkyung</dc:creator>
  <cp:lastModifiedBy>Nakata, Julien</cp:lastModifiedBy>
  <cp:revision>7</cp:revision>
  <cp:lastPrinted>2021-11-07T12:28:00Z</cp:lastPrinted>
  <dcterms:created xsi:type="dcterms:W3CDTF">2021-12-14T07:38:00Z</dcterms:created>
  <dcterms:modified xsi:type="dcterms:W3CDTF">2021-12-14T07:52:00Z</dcterms:modified>
</cp:coreProperties>
</file>