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59498" w14:textId="77777777" w:rsidR="002938F2" w:rsidRPr="00A854F4" w:rsidRDefault="002938F2" w:rsidP="003C14AE">
      <w:pPr>
        <w:spacing w:before="1200"/>
        <w:jc w:val="center"/>
        <w:rPr>
          <w:rFonts w:ascii="Arial" w:hAnsi="Arial" w:cs="Arial"/>
          <w:b/>
          <w:szCs w:val="22"/>
        </w:rPr>
      </w:pPr>
      <w:r>
        <w:rPr>
          <w:rFonts w:ascii="Arial" w:hAnsi="Arial"/>
          <w:b/>
        </w:rPr>
        <w:t>CONVENTION POUR LA SAUVEGARDE DU</w:t>
      </w:r>
      <w:r>
        <w:rPr>
          <w:rFonts w:ascii="Arial" w:hAnsi="Arial"/>
          <w:b/>
        </w:rPr>
        <w:br/>
        <w:t>PATRIMOINE CULTUREL IMMATÉRIEL</w:t>
      </w:r>
    </w:p>
    <w:p w14:paraId="30A993E8" w14:textId="77777777" w:rsidR="00DA1DD6" w:rsidRPr="006A1A52" w:rsidRDefault="00DA1DD6" w:rsidP="00DA1DD6">
      <w:pPr>
        <w:spacing w:before="1200"/>
        <w:jc w:val="center"/>
        <w:rPr>
          <w:rFonts w:ascii="Arial" w:hAnsi="Arial" w:cs="Arial"/>
          <w:b/>
          <w:szCs w:val="22"/>
        </w:rPr>
      </w:pPr>
      <w:bookmarkStart w:id="0" w:name="_Hlk70514086"/>
      <w:r w:rsidRPr="006A1A52">
        <w:rPr>
          <w:rFonts w:ascii="Arial" w:hAnsi="Arial" w:cs="Arial"/>
          <w:b/>
          <w:szCs w:val="22"/>
        </w:rPr>
        <w:t>COMITÉ INTERGOUVERNEMENTAL DE SAUVEGARDE</w:t>
      </w:r>
      <w:r w:rsidRPr="006A1A52">
        <w:rPr>
          <w:rFonts w:ascii="Arial" w:hAnsi="Arial" w:cs="Arial"/>
          <w:b/>
          <w:szCs w:val="22"/>
        </w:rPr>
        <w:br/>
        <w:t>DU PATRIMOINE CULTUREL IMMATÉRIEL</w:t>
      </w:r>
    </w:p>
    <w:p w14:paraId="1C0EBCF3" w14:textId="77777777" w:rsidR="00FD1941" w:rsidRPr="00A854F4" w:rsidRDefault="00483688" w:rsidP="00FD1941">
      <w:pPr>
        <w:spacing w:before="840" w:after="0"/>
        <w:jc w:val="center"/>
        <w:rPr>
          <w:rFonts w:ascii="Arial" w:eastAsiaTheme="minorEastAsia" w:hAnsi="Arial" w:cs="Arial"/>
          <w:b/>
          <w:szCs w:val="22"/>
        </w:rPr>
      </w:pPr>
      <w:r>
        <w:rPr>
          <w:rFonts w:ascii="Arial" w:hAnsi="Arial"/>
          <w:b/>
        </w:rPr>
        <w:t xml:space="preserve">Seizième </w:t>
      </w:r>
      <w:bookmarkEnd w:id="0"/>
      <w:r>
        <w:rPr>
          <w:rFonts w:ascii="Arial" w:hAnsi="Arial"/>
          <w:b/>
        </w:rPr>
        <w:t>session</w:t>
      </w:r>
    </w:p>
    <w:p w14:paraId="7C738446" w14:textId="3683DAEC" w:rsidR="00FD1941" w:rsidRPr="00A854F4" w:rsidRDefault="00A66C6E" w:rsidP="00483688">
      <w:pPr>
        <w:spacing w:after="0"/>
        <w:jc w:val="center"/>
        <w:rPr>
          <w:rFonts w:ascii="Arial" w:eastAsiaTheme="minorEastAsia" w:hAnsi="Arial" w:cs="Arial"/>
          <w:b/>
          <w:szCs w:val="22"/>
        </w:rPr>
      </w:pPr>
      <w:bookmarkStart w:id="1" w:name="_Hlk70514101"/>
      <w:r>
        <w:rPr>
          <w:rFonts w:ascii="Arial" w:hAnsi="Arial"/>
          <w:b/>
        </w:rPr>
        <w:t>En ligne</w:t>
      </w:r>
    </w:p>
    <w:p w14:paraId="76A67500" w14:textId="77777777" w:rsidR="00FD1941" w:rsidRPr="00A854F4" w:rsidRDefault="00FD1941" w:rsidP="00FD1941">
      <w:pPr>
        <w:spacing w:after="0"/>
        <w:jc w:val="center"/>
        <w:rPr>
          <w:rFonts w:ascii="Arial" w:eastAsiaTheme="minorEastAsia" w:hAnsi="Arial" w:cs="Arial"/>
          <w:b/>
          <w:szCs w:val="22"/>
        </w:rPr>
      </w:pPr>
      <w:r>
        <w:rPr>
          <w:rFonts w:ascii="Arial" w:hAnsi="Arial"/>
          <w:b/>
        </w:rPr>
        <w:t>13 - 18 décembre 2021</w:t>
      </w:r>
    </w:p>
    <w:p w14:paraId="6AE37FB4" w14:textId="77777777" w:rsidR="000543D6" w:rsidRPr="00A854F4" w:rsidRDefault="000543D6" w:rsidP="00FD1941">
      <w:pPr>
        <w:spacing w:after="0"/>
        <w:jc w:val="center"/>
        <w:rPr>
          <w:rFonts w:ascii="Arial" w:eastAsiaTheme="minorEastAsia" w:hAnsi="Arial" w:cs="Arial"/>
          <w:b/>
          <w:szCs w:val="22"/>
          <w:lang w:eastAsia="ko-KR"/>
        </w:rPr>
      </w:pPr>
    </w:p>
    <w:p w14:paraId="34A6FC3A" w14:textId="77777777" w:rsidR="000543D6" w:rsidRPr="00A854F4" w:rsidRDefault="000543D6" w:rsidP="00FD1941">
      <w:pPr>
        <w:spacing w:after="0"/>
        <w:jc w:val="center"/>
        <w:rPr>
          <w:rFonts w:ascii="Arial" w:eastAsiaTheme="minorEastAsia" w:hAnsi="Arial" w:cs="Arial"/>
          <w:b/>
          <w:szCs w:val="22"/>
          <w:lang w:eastAsia="ko-KR"/>
        </w:rPr>
      </w:pPr>
    </w:p>
    <w:p w14:paraId="0526FCD7" w14:textId="77777777" w:rsidR="000543D6" w:rsidRPr="00A854F4" w:rsidRDefault="000543D6" w:rsidP="00FD1941">
      <w:pPr>
        <w:spacing w:after="0"/>
        <w:jc w:val="center"/>
        <w:rPr>
          <w:rFonts w:ascii="Arial" w:eastAsiaTheme="minorEastAsia" w:hAnsi="Arial" w:cs="Arial"/>
          <w:b/>
          <w:szCs w:val="22"/>
          <w:lang w:eastAsia="ko-KR"/>
        </w:rPr>
      </w:pPr>
    </w:p>
    <w:bookmarkEnd w:id="1"/>
    <w:p w14:paraId="43BE6752" w14:textId="77777777" w:rsidR="00132629" w:rsidRPr="00A854F4" w:rsidRDefault="000543D6" w:rsidP="00DA1DD6">
      <w:pPr>
        <w:spacing w:after="0"/>
        <w:contextualSpacing/>
        <w:jc w:val="center"/>
        <w:rPr>
          <w:rFonts w:asciiTheme="minorBidi" w:eastAsiaTheme="minorEastAsia" w:hAnsiTheme="minorBidi" w:cstheme="minorBidi"/>
          <w:b/>
          <w:bCs/>
        </w:rPr>
      </w:pPr>
      <w:r>
        <w:rPr>
          <w:rFonts w:asciiTheme="minorBidi" w:hAnsiTheme="minorBidi"/>
          <w:b/>
        </w:rPr>
        <w:t xml:space="preserve">RAPPORT DE MISE EN ŒUVRE DU PLAN DE DÉPENSES POUR </w:t>
      </w:r>
    </w:p>
    <w:p w14:paraId="7A8E9CDC" w14:textId="77777777" w:rsidR="000543D6" w:rsidRPr="00A854F4" w:rsidRDefault="000543D6" w:rsidP="00DA1DD6">
      <w:pPr>
        <w:spacing w:after="0"/>
        <w:contextualSpacing/>
        <w:jc w:val="center"/>
        <w:rPr>
          <w:rFonts w:asciiTheme="minorBidi" w:eastAsiaTheme="minorEastAsia" w:hAnsiTheme="minorBidi" w:cstheme="minorBidi"/>
          <w:b/>
          <w:bCs/>
        </w:rPr>
      </w:pPr>
      <w:r>
        <w:rPr>
          <w:rFonts w:asciiTheme="minorBidi" w:hAnsiTheme="minorBidi"/>
          <w:b/>
        </w:rPr>
        <w:t>LES « AUTRES FONCTIONS DU COMITÉ »</w:t>
      </w:r>
    </w:p>
    <w:p w14:paraId="7467FD1C" w14:textId="295D3A93" w:rsidR="00DA1DD6" w:rsidRPr="00A854F4" w:rsidRDefault="00EB48DB" w:rsidP="00A07EE9">
      <w:pPr>
        <w:spacing w:after="960"/>
        <w:jc w:val="center"/>
        <w:rPr>
          <w:rFonts w:asciiTheme="minorBidi" w:eastAsiaTheme="minorEastAsia" w:hAnsiTheme="minorBidi" w:cstheme="minorBidi"/>
          <w:b/>
          <w:bCs/>
        </w:rPr>
      </w:pPr>
      <w:r>
        <w:rPr>
          <w:rFonts w:asciiTheme="minorBidi" w:hAnsiTheme="minorBidi"/>
          <w:b/>
        </w:rPr>
        <w:t xml:space="preserve">DU </w:t>
      </w:r>
      <w:r w:rsidR="000543D6">
        <w:rPr>
          <w:rFonts w:asciiTheme="minorBidi" w:hAnsiTheme="minorBidi"/>
          <w:b/>
        </w:rPr>
        <w:t>1</w:t>
      </w:r>
      <w:r w:rsidR="00740572">
        <w:rPr>
          <w:rFonts w:asciiTheme="minorBidi" w:hAnsiTheme="minorBidi"/>
          <w:b/>
        </w:rPr>
        <w:t>ER</w:t>
      </w:r>
      <w:r w:rsidR="000543D6">
        <w:rPr>
          <w:rFonts w:asciiTheme="minorBidi" w:hAnsiTheme="minorBidi"/>
          <w:b/>
        </w:rPr>
        <w:t xml:space="preserve"> JANVIER 2018 AU 30 JUIN 2021</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0543D6" w:rsidRPr="00A854F4" w14:paraId="32195F40" w14:textId="77777777" w:rsidTr="00814980">
        <w:trPr>
          <w:jc w:val="center"/>
        </w:trPr>
        <w:tc>
          <w:tcPr>
            <w:tcW w:w="5670" w:type="dxa"/>
            <w:vAlign w:val="center"/>
          </w:tcPr>
          <w:p w14:paraId="3670FD83" w14:textId="77777777" w:rsidR="000543D6" w:rsidRPr="00A854F4" w:rsidRDefault="000543D6" w:rsidP="00322AB8">
            <w:pPr>
              <w:pStyle w:val="Sansinterligne1"/>
              <w:spacing w:before="200" w:after="120"/>
              <w:jc w:val="center"/>
              <w:rPr>
                <w:rFonts w:ascii="Arial" w:hAnsi="Arial" w:cs="Arial"/>
                <w:b/>
                <w:sz w:val="22"/>
                <w:szCs w:val="22"/>
              </w:rPr>
            </w:pPr>
            <w:r>
              <w:rPr>
                <w:rFonts w:ascii="Arial" w:hAnsi="Arial"/>
                <w:b/>
                <w:sz w:val="22"/>
              </w:rPr>
              <w:t>Résumé</w:t>
            </w:r>
          </w:p>
          <w:p w14:paraId="27BA5346" w14:textId="0E1C8389" w:rsidR="000543D6" w:rsidRPr="00A854F4" w:rsidRDefault="002535D0" w:rsidP="00322AB8">
            <w:pPr>
              <w:pStyle w:val="Sansinterligne2"/>
              <w:spacing w:before="120" w:after="120"/>
              <w:jc w:val="both"/>
              <w:rPr>
                <w:rFonts w:ascii="Arial" w:hAnsi="Arial" w:cs="Arial"/>
                <w:sz w:val="22"/>
                <w:szCs w:val="22"/>
              </w:rPr>
            </w:pPr>
            <w:r>
              <w:rPr>
                <w:rFonts w:ascii="Arial" w:hAnsi="Arial"/>
                <w:sz w:val="22"/>
              </w:rPr>
              <w:t>Le Plan d</w:t>
            </w:r>
            <w:r w:rsidR="00740572">
              <w:rPr>
                <w:rFonts w:ascii="Arial" w:hAnsi="Arial"/>
                <w:sz w:val="22"/>
              </w:rPr>
              <w:t>’</w:t>
            </w:r>
            <w:r>
              <w:rPr>
                <w:rFonts w:ascii="Arial" w:hAnsi="Arial"/>
                <w:sz w:val="22"/>
              </w:rPr>
              <w:t>utilisation des ressources du Fonds du patrimoine culturel immatériel approuvé par l</w:t>
            </w:r>
            <w:r w:rsidR="00740572">
              <w:rPr>
                <w:rFonts w:ascii="Arial" w:hAnsi="Arial"/>
                <w:sz w:val="22"/>
              </w:rPr>
              <w:t>’</w:t>
            </w:r>
            <w:r>
              <w:rPr>
                <w:rFonts w:ascii="Arial" w:hAnsi="Arial"/>
                <w:sz w:val="22"/>
              </w:rPr>
              <w:t>Assemblée générale pour les périodes du 1er janvier 2018 au 31 décembre 2019 et du 1er janvier 2020 au 31 décembre 2021 respectivement, stipulait l</w:t>
            </w:r>
            <w:r w:rsidR="00740572">
              <w:rPr>
                <w:rFonts w:ascii="Arial" w:hAnsi="Arial"/>
                <w:sz w:val="22"/>
              </w:rPr>
              <w:t>’</w:t>
            </w:r>
            <w:r>
              <w:rPr>
                <w:rFonts w:ascii="Arial" w:hAnsi="Arial"/>
                <w:sz w:val="22"/>
              </w:rPr>
              <w:t>allocation de 20 % des ressources aux « autres fonctions du Comité » conformément à l</w:t>
            </w:r>
            <w:r w:rsidR="00740572">
              <w:rPr>
                <w:rFonts w:ascii="Arial" w:hAnsi="Arial"/>
                <w:sz w:val="22"/>
              </w:rPr>
              <w:t>’</w:t>
            </w:r>
            <w:r>
              <w:rPr>
                <w:rFonts w:ascii="Arial" w:hAnsi="Arial"/>
                <w:sz w:val="22"/>
              </w:rPr>
              <w:t xml:space="preserve">article 7 de la Convention et aux </w:t>
            </w:r>
            <w:r w:rsidR="001E7D1E">
              <w:rPr>
                <w:rFonts w:ascii="Arial" w:hAnsi="Arial"/>
                <w:sz w:val="22"/>
              </w:rPr>
              <w:t>d</w:t>
            </w:r>
            <w:r>
              <w:rPr>
                <w:rFonts w:ascii="Arial" w:hAnsi="Arial"/>
                <w:sz w:val="22"/>
              </w:rPr>
              <w:t>irectives opérationnelles. Le présent document propose un rapport de mise en œuvre pour la période du 1er janvier 2018 au 30 juin 2021.</w:t>
            </w:r>
          </w:p>
        </w:tc>
      </w:tr>
    </w:tbl>
    <w:p w14:paraId="1267E448" w14:textId="41ADDD0A" w:rsidR="00D30D7F" w:rsidRPr="00A854F4" w:rsidRDefault="00851458" w:rsidP="00D30D7F">
      <w:pPr>
        <w:pStyle w:val="1GAPara"/>
        <w:jc w:val="both"/>
      </w:pPr>
      <w:r>
        <w:br w:type="page"/>
      </w:r>
      <w:r>
        <w:lastRenderedPageBreak/>
        <w:t>Les Plans d</w:t>
      </w:r>
      <w:r w:rsidR="00740572">
        <w:t>’</w:t>
      </w:r>
      <w:r>
        <w:t>utilisation des ressources du Fonds du patrimoine culturel immatériel (le « Fonds ») adoptés par l</w:t>
      </w:r>
      <w:r w:rsidR="00740572">
        <w:t>’</w:t>
      </w:r>
      <w:r>
        <w:t>Assemblée générale à ses septième et huitième sessions respectivement ont alloué 20 % du budget total aux « autres fonctions du Comité » (ligne budgétaire 3 du plan), conformément à l</w:t>
      </w:r>
      <w:r w:rsidR="00740572">
        <w:t>’</w:t>
      </w:r>
      <w:r>
        <w:t xml:space="preserve">article 7 de la Convention et aux </w:t>
      </w:r>
      <w:r w:rsidR="001E7D1E">
        <w:t>d</w:t>
      </w:r>
      <w:r>
        <w:t>irectives opérationnelles pour la période du 1</w:t>
      </w:r>
      <w:r w:rsidR="005F4645">
        <w:t>er</w:t>
      </w:r>
      <w:r>
        <w:t> janvier 2018 au 31 décembre 2019 (</w:t>
      </w:r>
      <w:r w:rsidR="001E7D1E" w:rsidRPr="001E7D1E">
        <w:t xml:space="preserve">Résolution </w:t>
      </w:r>
      <w:hyperlink r:id="rId8" w:history="1">
        <w:r w:rsidR="001E7D1E">
          <w:rPr>
            <w:rStyle w:val="Hyperlink"/>
          </w:rPr>
          <w:t>7.GA 8</w:t>
        </w:r>
      </w:hyperlink>
      <w:r>
        <w:t>) ainsi que pour la période du 1</w:t>
      </w:r>
      <w:r w:rsidR="005F4645">
        <w:t>er</w:t>
      </w:r>
      <w:r>
        <w:t> janvier 2020 au 31 décembre 2021 (</w:t>
      </w:r>
      <w:r w:rsidR="001E7D1E" w:rsidRPr="001E7D1E">
        <w:t xml:space="preserve">Résolution </w:t>
      </w:r>
      <w:hyperlink r:id="rId9" w:history="1">
        <w:r w:rsidR="001E7D1E">
          <w:rPr>
            <w:rStyle w:val="Hyperlink"/>
          </w:rPr>
          <w:t>8.GA 7</w:t>
        </w:r>
      </w:hyperlink>
      <w:r>
        <w:t xml:space="preserve">). </w:t>
      </w:r>
      <w:r w:rsidR="005C35AE">
        <w:t>L</w:t>
      </w:r>
      <w:r>
        <w:t>e présent document propose un rapport descriptif de la mise en œuvre des « autres fonctions du Comité » pour les deux périodes suivantes :</w:t>
      </w:r>
    </w:p>
    <w:p w14:paraId="36AD6351" w14:textId="60AC202B" w:rsidR="00D30D7F" w:rsidRPr="00A854F4" w:rsidRDefault="00D30D7F" w:rsidP="00D30D7F">
      <w:pPr>
        <w:pStyle w:val="1GAPara"/>
        <w:numPr>
          <w:ilvl w:val="1"/>
          <w:numId w:val="8"/>
        </w:numPr>
        <w:ind w:left="1134" w:hanging="567"/>
        <w:jc w:val="both"/>
      </w:pPr>
      <w:r>
        <w:t>Pour la période du 1</w:t>
      </w:r>
      <w:r w:rsidR="00BB4A7D">
        <w:t>er</w:t>
      </w:r>
      <w:r>
        <w:t> janvier 2018 au 31 décembre 2019, le plan de dépenses pour les « autres fonctions du Comité » a été approuvé par le Bureau du Comité, par délégation de pouvoir de la douzième session du Comité (</w:t>
      </w:r>
      <w:r w:rsidR="001E7D1E" w:rsidRPr="001E7D1E">
        <w:t>Décision </w:t>
      </w:r>
      <w:hyperlink r:id="rId10" w:history="1">
        <w:r w:rsidR="001E7D1E">
          <w:rPr>
            <w:rStyle w:val="Hyperlink"/>
          </w:rPr>
          <w:t>12.COM 7</w:t>
        </w:r>
      </w:hyperlink>
      <w:r w:rsidR="005C35AE">
        <w:rPr>
          <w:rStyle w:val="Hyperlink"/>
        </w:rPr>
        <w:t>)</w:t>
      </w:r>
      <w:r>
        <w:t>, sur la base d</w:t>
      </w:r>
      <w:r w:rsidR="00740572">
        <w:t>’</w:t>
      </w:r>
      <w:r>
        <w:t>une proposition spécifique préparée par le Secrétariat pour l</w:t>
      </w:r>
      <w:r w:rsidR="00740572">
        <w:t>’</w:t>
      </w:r>
      <w:r>
        <w:t>utilisation des fonds de cette catégorie pour la période susmentionnée (</w:t>
      </w:r>
      <w:r w:rsidR="001E7D1E" w:rsidRPr="001E7D1E">
        <w:t>Décision </w:t>
      </w:r>
      <w:hyperlink r:id="rId11" w:history="1">
        <w:r w:rsidR="001E7D1E">
          <w:rPr>
            <w:rStyle w:val="Hyperlink"/>
          </w:rPr>
          <w:t>13.COM 2.BUR 3</w:t>
        </w:r>
      </w:hyperlink>
      <w:r>
        <w:t>) ;</w:t>
      </w:r>
    </w:p>
    <w:p w14:paraId="34C7E701" w14:textId="721AB114" w:rsidR="00D30D7F" w:rsidRPr="00A854F4" w:rsidRDefault="00D30D7F" w:rsidP="00271BEF">
      <w:pPr>
        <w:pStyle w:val="1GAPara"/>
        <w:numPr>
          <w:ilvl w:val="1"/>
          <w:numId w:val="8"/>
        </w:numPr>
        <w:ind w:left="1134" w:hanging="567"/>
        <w:jc w:val="both"/>
      </w:pPr>
      <w:r>
        <w:t>Pour la période du 1</w:t>
      </w:r>
      <w:r w:rsidR="005F4645">
        <w:t>er</w:t>
      </w:r>
      <w:r>
        <w:t> janvier 2020 au 31 décembre 2021, le plan de dépenses pour les « autres fonctions du Comité » a été approuvé par l</w:t>
      </w:r>
      <w:r w:rsidR="00740572">
        <w:t>’</w:t>
      </w:r>
      <w:r>
        <w:t>Assemblée générale (</w:t>
      </w:r>
      <w:r w:rsidR="001E7D1E" w:rsidRPr="001E7D1E">
        <w:t xml:space="preserve">Résolution </w:t>
      </w:r>
      <w:hyperlink r:id="rId12" w:history="1">
        <w:r w:rsidR="001E7D1E">
          <w:rPr>
            <w:rStyle w:val="Hyperlink"/>
          </w:rPr>
          <w:t>8.GA 7</w:t>
        </w:r>
      </w:hyperlink>
      <w:r>
        <w:t>) conformément à la nouvelle procédure d</w:t>
      </w:r>
      <w:r w:rsidR="00740572">
        <w:t>’</w:t>
      </w:r>
      <w:r>
        <w:t>approbation mise en place par la quatorzième session du Comité en 2019 (</w:t>
      </w:r>
      <w:r w:rsidR="001E7D1E" w:rsidRPr="001E7D1E">
        <w:t>Décision </w:t>
      </w:r>
      <w:hyperlink r:id="rId13" w:history="1">
        <w:r w:rsidR="001E7D1E">
          <w:rPr>
            <w:rStyle w:val="Hyperlink"/>
          </w:rPr>
          <w:t>14.COM 7</w:t>
        </w:r>
      </w:hyperlink>
      <w:r>
        <w:t>).</w:t>
      </w:r>
    </w:p>
    <w:p w14:paraId="73F5DD43" w14:textId="0F579608" w:rsidR="00437779" w:rsidRPr="00A854F4" w:rsidRDefault="00814980" w:rsidP="00D30D7F">
      <w:pPr>
        <w:pStyle w:val="1GAPara"/>
        <w:jc w:val="both"/>
      </w:pPr>
      <w:r>
        <w:t>À titre de mesure transitoire suivant la nouvelle procédure d</w:t>
      </w:r>
      <w:r w:rsidR="00740572">
        <w:t>’</w:t>
      </w:r>
      <w:r>
        <w:t>approbation pour les « autres fonctions du Comité » mise en place en 2019, le présent rapport de mise en œuvre porte exceptionnellement sur une période de quarante-deux mois, du 1</w:t>
      </w:r>
      <w:r w:rsidR="005F4645">
        <w:t>er</w:t>
      </w:r>
      <w:r>
        <w:t> janvier 2018 au 30 juin 2021. Un rapport de mise en œuvre portant sur l</w:t>
      </w:r>
      <w:r w:rsidR="00740572">
        <w:t>’</w:t>
      </w:r>
      <w:r>
        <w:t>intégralité de l</w:t>
      </w:r>
      <w:r w:rsidR="00740572">
        <w:t>’</w:t>
      </w:r>
      <w:r>
        <w:t>exercice biennal 2020 – 2021 sera présenté à la neuvième session de l</w:t>
      </w:r>
      <w:r w:rsidR="00740572">
        <w:t>’</w:t>
      </w:r>
      <w:r>
        <w:t>Assemblée générale en 2022.</w:t>
      </w:r>
    </w:p>
    <w:p w14:paraId="3A36539E" w14:textId="61FB9637" w:rsidR="0001236E" w:rsidRPr="00A854F4" w:rsidRDefault="009805D7" w:rsidP="00714FCD">
      <w:pPr>
        <w:pStyle w:val="1GAPara"/>
        <w:jc w:val="both"/>
      </w:pPr>
      <w:r>
        <w:t>Dans la continuité de l</w:t>
      </w:r>
      <w:r w:rsidR="00740572">
        <w:t>’</w:t>
      </w:r>
      <w:r>
        <w:t>approche adoptée lors de l</w:t>
      </w:r>
      <w:r w:rsidR="00740572">
        <w:t>’</w:t>
      </w:r>
      <w:r>
        <w:t xml:space="preserve">exercice précédent, les plans de dépenses approuvés pour les périodes 2018 – 2019 et 2020 – 2021 intégraient </w:t>
      </w:r>
      <w:r>
        <w:rPr>
          <w:rStyle w:val="hps"/>
        </w:rPr>
        <w:t xml:space="preserve">les </w:t>
      </w:r>
      <w:hyperlink r:id="rId14" w:history="1">
        <w:r>
          <w:rPr>
            <w:rStyle w:val="Hyperlink"/>
          </w:rPr>
          <w:t>indicateurs de performance</w:t>
        </w:r>
      </w:hyperlink>
      <w:r>
        <w:rPr>
          <w:rStyle w:val="Hyperlink"/>
        </w:rPr>
        <w:t xml:space="preserve"> </w:t>
      </w:r>
      <w:r>
        <w:t xml:space="preserve"> conformes au Résultat escompté 6 « Identification et sauvegarde du patrimoine culturel immatériel par les États membres et les communautés, notamment par l</w:t>
      </w:r>
      <w:r w:rsidR="00740572">
        <w:t>’</w:t>
      </w:r>
      <w:r>
        <w:t>application effective de la Convention de 2003 », défini dans l</w:t>
      </w:r>
      <w:r w:rsidR="00740572">
        <w:t>’</w:t>
      </w:r>
      <w:r>
        <w:t>axe d</w:t>
      </w:r>
      <w:r w:rsidR="00740572">
        <w:t>’</w:t>
      </w:r>
      <w:r>
        <w:t>action 2 du Grand programme IV sur la Culture des projets 39C/5 et 40 C/5. Le présent document vise à informer les États parties sur la mise en œuvre du programme et sur la façon dont les fonds sont dépensés pour chacun des Résultats escomptés (</w:t>
      </w:r>
      <w:r w:rsidR="00060DA6">
        <w:t>ER</w:t>
      </w:r>
      <w:r>
        <w:t>). Par conséquent, les tableaux ci-dessous présentent des informations sur deux périodes considérées par le rapport pour chaque Résultat escompté, comme suit : (a) un rapport de mise en œuvre final pour la période du 1</w:t>
      </w:r>
      <w:r w:rsidR="005F4645">
        <w:t>er</w:t>
      </w:r>
      <w:r>
        <w:t> janvier 2018 au 31 décembre 2019, approuvé dans le plan de dépenses adopté en juin 2018 ; et (b) un rapport d</w:t>
      </w:r>
      <w:r w:rsidR="00740572">
        <w:t>’</w:t>
      </w:r>
      <w:r>
        <w:t>avancement sur la mise en œuvre pour la période du 1</w:t>
      </w:r>
      <w:r w:rsidR="005F4645">
        <w:t>er</w:t>
      </w:r>
      <w:r>
        <w:t> janvier 2020 au 30 juin 2021, approuvé dans le plan de dépenses adopté en septembre 2020. En outre, un troisième tableau (c) pour chaque Résultat escompté présente une analyse des principales difficultés rencontrées et les mesures correctives adoptées, l</w:t>
      </w:r>
      <w:r w:rsidR="00740572">
        <w:t>’</w:t>
      </w:r>
      <w:r>
        <w:t>accent ayant été mis sur la deuxième période considérée, sévèrement touchée par la pandémie de COVID-19 en cours.</w:t>
      </w:r>
    </w:p>
    <w:p w14:paraId="5132AD0A" w14:textId="371FEE8E" w:rsidR="006E77DF" w:rsidRPr="00A854F4" w:rsidRDefault="0098110C" w:rsidP="00322AB8">
      <w:pPr>
        <w:pStyle w:val="1GAPara"/>
        <w:jc w:val="both"/>
        <w:rPr>
          <w:b/>
          <w:bCs/>
          <w:caps/>
        </w:rPr>
      </w:pPr>
      <w:r>
        <w:t>Les ressources allouées par l</w:t>
      </w:r>
      <w:r w:rsidR="00740572">
        <w:t>’</w:t>
      </w:r>
      <w:r>
        <w:t xml:space="preserve">Assemblée générale aux « autres fonctions du Comité » (ligne budgétaire 3) continuent à assurer un soutien unique et irremplaçable à un certain nombre de mesures préalables et transversales ayant un impact global et à long terme pour la mise en œuvre de la Convention. Au cours des deux derniers exercices biennaux, cette ligne budgétaire a permis de soutenir les </w:t>
      </w:r>
      <w:r>
        <w:rPr>
          <w:b/>
        </w:rPr>
        <w:t>principaux aspects de la mise en œuvre de la Convention</w:t>
      </w:r>
      <w:r>
        <w:t xml:space="preserve">, comme demandé par le Comité. Elle a notamment contribué à la </w:t>
      </w:r>
      <w:r>
        <w:rPr>
          <w:b/>
        </w:rPr>
        <w:t>bonne gouvernance de la Convention de 2003</w:t>
      </w:r>
      <w:r>
        <w:t xml:space="preserve"> grâce à un suivi précis et efficace de tous les mécanismes statutaires de la Convention, à un accès transparent à un large éventail d</w:t>
      </w:r>
      <w:r w:rsidR="00740572">
        <w:t>’</w:t>
      </w:r>
      <w:r>
        <w:t>informations et à de meilleures synergies et interactions avec diverses parties prenantes, notamment en encourageant une plus grande participation des organisations non gouvernementales (ONG) et en soutenant le travail en ligne des organes directeurs et de l</w:t>
      </w:r>
      <w:r w:rsidR="00740572">
        <w:t>’</w:t>
      </w:r>
      <w:r>
        <w:t>Organe d</w:t>
      </w:r>
      <w:r w:rsidR="00740572">
        <w:t>’</w:t>
      </w:r>
      <w:r>
        <w:t xml:space="preserve">évaluation (Résultat escompté 1). Les fonds ont assuré un soutien essentiel au </w:t>
      </w:r>
      <w:r>
        <w:rPr>
          <w:b/>
        </w:rPr>
        <w:t>programme global de renforcement des capacités</w:t>
      </w:r>
      <w:r>
        <w:t xml:space="preserve"> visant à soutenir les États et les communautés dans leur mise en œuvre de la Convention, au niveau national, grâce à des partenariats institutionnels plus diversifiés, mais également grâce à une formation au contenu et au format plus variés et répondant aux défis actuels (Résultat escompté 2). En outre, dans </w:t>
      </w:r>
      <w:r>
        <w:lastRenderedPageBreak/>
        <w:t xml:space="preserve">le contexte du </w:t>
      </w:r>
      <w:r>
        <w:rPr>
          <w:b/>
        </w:rPr>
        <w:t>Programme de développement durable à l</w:t>
      </w:r>
      <w:r w:rsidR="00740572">
        <w:rPr>
          <w:b/>
        </w:rPr>
        <w:t>’</w:t>
      </w:r>
      <w:r>
        <w:rPr>
          <w:b/>
        </w:rPr>
        <w:t>horizon 2030</w:t>
      </w:r>
      <w:r>
        <w:t>, les fonds ont été consacrés à l</w:t>
      </w:r>
      <w:r w:rsidR="00740572">
        <w:t>’</w:t>
      </w:r>
      <w:r>
        <w:t>intégration du patrimoine culturel immatériel dans les plans, les politiques et les programmes de développement, de façon à mieux intégrer le patrimoine vivant dans les programmes plus larges de l</w:t>
      </w:r>
      <w:r w:rsidR="00740572">
        <w:t>’</w:t>
      </w:r>
      <w:r>
        <w:t>UNESCO et à renforcer sa contribution à l</w:t>
      </w:r>
      <w:r w:rsidR="00740572">
        <w:t>’</w:t>
      </w:r>
      <w:r>
        <w:t>accomplissement des objectifs de développement durable (ODD), en particulier des objectifs ayant trait à l</w:t>
      </w:r>
      <w:r w:rsidR="00740572">
        <w:t>’</w:t>
      </w:r>
      <w:r>
        <w:t xml:space="preserve">éducation, au genre, au changement climatique, aux peuples autochtones et à la jeunesse (Résultat escompté 3). Enfin, cette ligne budgétaire a permis de soutenir des initiatives visant à améliorer la </w:t>
      </w:r>
      <w:r>
        <w:rPr>
          <w:b/>
        </w:rPr>
        <w:t>visibilité de la Convention</w:t>
      </w:r>
      <w:r>
        <w:t>, notamment grâce à l</w:t>
      </w:r>
      <w:r w:rsidR="00740572">
        <w:t>’</w:t>
      </w:r>
      <w:r>
        <w:t>élaboration d</w:t>
      </w:r>
      <w:r w:rsidR="00740572">
        <w:t>’</w:t>
      </w:r>
      <w:r>
        <w:t>interfaces et d</w:t>
      </w:r>
      <w:r w:rsidR="00740572">
        <w:t>’</w:t>
      </w:r>
      <w:r>
        <w:t>outils interactifs mis à disposition sur le site Internet de la Convention et à des actions de communication (Résultat escompté 4).</w:t>
      </w:r>
    </w:p>
    <w:p w14:paraId="20252DE7" w14:textId="480FB849" w:rsidR="00724AAD" w:rsidRPr="00A854F4" w:rsidRDefault="00724AAD" w:rsidP="00322AB8">
      <w:pPr>
        <w:pStyle w:val="1GAPara"/>
        <w:numPr>
          <w:ilvl w:val="0"/>
          <w:numId w:val="0"/>
        </w:numPr>
        <w:spacing w:before="360"/>
        <w:ind w:left="567" w:hanging="567"/>
        <w:jc w:val="both"/>
        <w:rPr>
          <w:b/>
          <w:bCs/>
          <w:caps/>
        </w:rPr>
      </w:pPr>
      <w:r>
        <w:rPr>
          <w:b/>
          <w:caps/>
        </w:rPr>
        <w:t xml:space="preserve">Évaluation par résultat </w:t>
      </w:r>
      <w:r w:rsidR="00BB4A7D">
        <w:rPr>
          <w:b/>
          <w:caps/>
        </w:rPr>
        <w:t>escomptÉ</w:t>
      </w:r>
      <w:r w:rsidR="00F832FE" w:rsidRPr="00A854F4">
        <w:rPr>
          <w:rStyle w:val="FootnoteReference"/>
          <w:b/>
          <w:bCs/>
          <w:caps/>
        </w:rPr>
        <w:footnoteReference w:id="1"/>
      </w:r>
    </w:p>
    <w:p w14:paraId="4D5EC584" w14:textId="1E1DB4F1" w:rsidR="00724AAD" w:rsidRPr="00A854F4" w:rsidRDefault="00724AAD" w:rsidP="00724AAD">
      <w:pPr>
        <w:keepNext/>
        <w:spacing w:before="240"/>
        <w:jc w:val="both"/>
        <w:rPr>
          <w:rFonts w:ascii="Arial" w:hAnsi="Arial" w:cs="Arial"/>
          <w:szCs w:val="22"/>
        </w:rPr>
      </w:pPr>
      <w:r>
        <w:rPr>
          <w:rFonts w:ascii="Arial" w:hAnsi="Arial"/>
        </w:rPr>
        <w:t xml:space="preserve"> « Autres fonctions du Comité » pour la période du 1</w:t>
      </w:r>
      <w:r w:rsidR="00BB4A7D">
        <w:rPr>
          <w:rFonts w:ascii="Arial" w:hAnsi="Arial"/>
        </w:rPr>
        <w:t>er</w:t>
      </w:r>
      <w:r>
        <w:rPr>
          <w:rFonts w:ascii="Arial" w:hAnsi="Arial"/>
        </w:rPr>
        <w:t xml:space="preserve"> janvier 2018 au 31 décembre 2019 : </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4083"/>
        <w:gridCol w:w="1700"/>
      </w:tblGrid>
      <w:tr w:rsidR="00724AAD" w:rsidRPr="00A854F4" w14:paraId="37BC99BC" w14:textId="77777777" w:rsidTr="00C35DA5">
        <w:trPr>
          <w:trHeight w:val="465"/>
          <w:jc w:val="center"/>
        </w:trPr>
        <w:tc>
          <w:tcPr>
            <w:tcW w:w="2000" w:type="pct"/>
            <w:shd w:val="clear" w:color="auto" w:fill="C6D9F1"/>
            <w:vAlign w:val="center"/>
          </w:tcPr>
          <w:p w14:paraId="47CC478C" w14:textId="77777777" w:rsidR="00724AAD" w:rsidRPr="00A854F4" w:rsidRDefault="00724AAD" w:rsidP="00C35DA5">
            <w:pPr>
              <w:keepNext/>
              <w:spacing w:before="120"/>
              <w:jc w:val="center"/>
              <w:rPr>
                <w:rFonts w:ascii="Arial" w:eastAsia="Calibri" w:hAnsi="Arial" w:cs="Arial"/>
                <w:b/>
                <w:sz w:val="20"/>
                <w:szCs w:val="20"/>
              </w:rPr>
            </w:pPr>
            <w:r>
              <w:rPr>
                <w:rFonts w:ascii="Arial" w:hAnsi="Arial"/>
                <w:b/>
                <w:sz w:val="20"/>
              </w:rPr>
              <w:t>Budget approuvé pour 2018-2019</w:t>
            </w:r>
          </w:p>
        </w:tc>
        <w:tc>
          <w:tcPr>
            <w:tcW w:w="2118" w:type="pct"/>
            <w:shd w:val="clear" w:color="auto" w:fill="C6D9F1"/>
            <w:vAlign w:val="center"/>
          </w:tcPr>
          <w:p w14:paraId="02E1A399" w14:textId="77777777" w:rsidR="00724AAD" w:rsidRPr="00A854F4" w:rsidRDefault="00724AAD" w:rsidP="00C35DA5">
            <w:pPr>
              <w:keepNext/>
              <w:spacing w:before="120"/>
              <w:jc w:val="center"/>
              <w:rPr>
                <w:rFonts w:ascii="Arial" w:eastAsia="Calibri" w:hAnsi="Arial" w:cs="Arial"/>
                <w:b/>
                <w:sz w:val="20"/>
                <w:szCs w:val="20"/>
              </w:rPr>
            </w:pPr>
            <w:r>
              <w:rPr>
                <w:rFonts w:ascii="Arial" w:hAnsi="Arial"/>
                <w:b/>
                <w:sz w:val="20"/>
              </w:rPr>
              <w:t>Dépenses au 31/12/2019</w:t>
            </w:r>
          </w:p>
        </w:tc>
        <w:tc>
          <w:tcPr>
            <w:tcW w:w="882" w:type="pct"/>
            <w:shd w:val="clear" w:color="auto" w:fill="C6D9F1"/>
            <w:vAlign w:val="center"/>
          </w:tcPr>
          <w:p w14:paraId="254DE0FA" w14:textId="77777777" w:rsidR="00724AAD" w:rsidRPr="00A854F4" w:rsidRDefault="00724AAD" w:rsidP="00C35DA5">
            <w:pPr>
              <w:keepNext/>
              <w:spacing w:before="120"/>
              <w:jc w:val="center"/>
              <w:rPr>
                <w:rFonts w:ascii="Arial" w:eastAsia="Calibri" w:hAnsi="Arial" w:cs="Arial"/>
                <w:b/>
                <w:sz w:val="20"/>
                <w:szCs w:val="20"/>
              </w:rPr>
            </w:pPr>
            <w:r>
              <w:rPr>
                <w:rFonts w:ascii="Arial" w:hAnsi="Arial"/>
                <w:b/>
                <w:sz w:val="20"/>
              </w:rPr>
              <w:t>Taux de dépense (%)</w:t>
            </w:r>
            <w:r>
              <w:rPr>
                <w:rFonts w:ascii="Arial" w:hAnsi="Arial"/>
                <w:b/>
                <w:sz w:val="20"/>
              </w:rPr>
              <w:br/>
              <w:t>au 31/12/2019</w:t>
            </w:r>
          </w:p>
        </w:tc>
      </w:tr>
      <w:tr w:rsidR="00724AAD" w:rsidRPr="00A854F4" w14:paraId="56574702" w14:textId="77777777" w:rsidTr="00C35DA5">
        <w:trPr>
          <w:trHeight w:val="465"/>
          <w:jc w:val="center"/>
        </w:trPr>
        <w:tc>
          <w:tcPr>
            <w:tcW w:w="2000" w:type="pct"/>
            <w:shd w:val="clear" w:color="auto" w:fill="auto"/>
          </w:tcPr>
          <w:p w14:paraId="596293A4" w14:textId="77777777" w:rsidR="00724AAD" w:rsidRPr="00A854F4" w:rsidRDefault="00724AAD" w:rsidP="00C35DA5">
            <w:pPr>
              <w:keepNext/>
              <w:spacing w:before="120"/>
              <w:jc w:val="center"/>
              <w:rPr>
                <w:rFonts w:ascii="Arial" w:eastAsia="Calibri" w:hAnsi="Arial" w:cs="Arial"/>
                <w:sz w:val="20"/>
                <w:szCs w:val="20"/>
              </w:rPr>
            </w:pPr>
            <w:r>
              <w:rPr>
                <w:rFonts w:ascii="Arial" w:hAnsi="Arial"/>
                <w:sz w:val="20"/>
              </w:rPr>
              <w:t>1 718 184,00</w:t>
            </w:r>
          </w:p>
        </w:tc>
        <w:tc>
          <w:tcPr>
            <w:tcW w:w="2118" w:type="pct"/>
            <w:shd w:val="clear" w:color="auto" w:fill="auto"/>
          </w:tcPr>
          <w:p w14:paraId="35C6EC52" w14:textId="77777777" w:rsidR="00724AAD" w:rsidRPr="00A854F4" w:rsidRDefault="00724AAD" w:rsidP="00C35DA5">
            <w:pPr>
              <w:keepNext/>
              <w:spacing w:before="120"/>
              <w:jc w:val="center"/>
              <w:rPr>
                <w:rFonts w:ascii="Arial" w:eastAsia="Calibri" w:hAnsi="Arial" w:cs="Arial"/>
                <w:sz w:val="20"/>
                <w:szCs w:val="20"/>
              </w:rPr>
            </w:pPr>
            <w:r>
              <w:rPr>
                <w:rFonts w:ascii="Arial" w:hAnsi="Arial"/>
                <w:sz w:val="20"/>
              </w:rPr>
              <w:t>1 575 954,48</w:t>
            </w:r>
          </w:p>
        </w:tc>
        <w:tc>
          <w:tcPr>
            <w:tcW w:w="882" w:type="pct"/>
            <w:shd w:val="clear" w:color="auto" w:fill="auto"/>
          </w:tcPr>
          <w:p w14:paraId="2B64D54A" w14:textId="77777777" w:rsidR="00724AAD" w:rsidRPr="00A854F4" w:rsidRDefault="00724AAD" w:rsidP="00C35DA5">
            <w:pPr>
              <w:keepNext/>
              <w:spacing w:before="120"/>
              <w:jc w:val="center"/>
              <w:rPr>
                <w:rFonts w:ascii="Arial" w:eastAsia="Calibri" w:hAnsi="Arial" w:cs="Arial"/>
                <w:sz w:val="20"/>
                <w:szCs w:val="20"/>
              </w:rPr>
            </w:pPr>
            <w:r>
              <w:rPr>
                <w:rFonts w:ascii="Arial" w:hAnsi="Arial"/>
                <w:sz w:val="20"/>
              </w:rPr>
              <w:t>91,7 %</w:t>
            </w:r>
          </w:p>
        </w:tc>
      </w:tr>
    </w:tbl>
    <w:p w14:paraId="6D4BEA5F" w14:textId="74B35505" w:rsidR="00724AAD" w:rsidRPr="00A854F4" w:rsidRDefault="00724AAD" w:rsidP="00724AAD">
      <w:pPr>
        <w:keepNext/>
        <w:spacing w:before="240"/>
        <w:jc w:val="both"/>
        <w:rPr>
          <w:rFonts w:ascii="Arial" w:hAnsi="Arial" w:cs="Arial"/>
          <w:szCs w:val="22"/>
        </w:rPr>
      </w:pPr>
      <w:r>
        <w:rPr>
          <w:rFonts w:ascii="Arial" w:hAnsi="Arial"/>
        </w:rPr>
        <w:t>« Autres fonctions du Comité » pour la période du 1</w:t>
      </w:r>
      <w:r w:rsidR="00BB4A7D">
        <w:rPr>
          <w:rFonts w:ascii="Arial" w:hAnsi="Arial"/>
        </w:rPr>
        <w:t>er</w:t>
      </w:r>
      <w:r>
        <w:rPr>
          <w:rFonts w:ascii="Arial" w:hAnsi="Arial"/>
        </w:rPr>
        <w:t xml:space="preserve"> janvier 2020 au 30 juin 2021 : </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4083"/>
        <w:gridCol w:w="1700"/>
      </w:tblGrid>
      <w:tr w:rsidR="00724AAD" w:rsidRPr="00A854F4" w14:paraId="5C61ED95" w14:textId="77777777" w:rsidTr="00322AB8">
        <w:trPr>
          <w:trHeight w:val="465"/>
          <w:jc w:val="center"/>
        </w:trPr>
        <w:tc>
          <w:tcPr>
            <w:tcW w:w="2000" w:type="pct"/>
            <w:shd w:val="clear" w:color="auto" w:fill="92D050"/>
            <w:vAlign w:val="center"/>
          </w:tcPr>
          <w:p w14:paraId="146B25C4" w14:textId="77777777" w:rsidR="00724AAD" w:rsidRPr="00A854F4" w:rsidRDefault="00724AAD" w:rsidP="00C35DA5">
            <w:pPr>
              <w:keepNext/>
              <w:spacing w:before="120"/>
              <w:jc w:val="center"/>
              <w:rPr>
                <w:rFonts w:ascii="Arial" w:eastAsia="Calibri" w:hAnsi="Arial" w:cs="Arial"/>
                <w:sz w:val="20"/>
                <w:szCs w:val="20"/>
              </w:rPr>
            </w:pPr>
            <w:r>
              <w:rPr>
                <w:rFonts w:ascii="Arial" w:hAnsi="Arial"/>
                <w:b/>
                <w:sz w:val="20"/>
              </w:rPr>
              <w:t>Budget approuvé pour 2020-2021</w:t>
            </w:r>
          </w:p>
        </w:tc>
        <w:tc>
          <w:tcPr>
            <w:tcW w:w="2118" w:type="pct"/>
            <w:shd w:val="clear" w:color="auto" w:fill="92D050"/>
            <w:vAlign w:val="center"/>
          </w:tcPr>
          <w:p w14:paraId="6D948F5D" w14:textId="77777777" w:rsidR="00724AAD" w:rsidRPr="00A854F4" w:rsidRDefault="00724AAD" w:rsidP="00C35DA5">
            <w:pPr>
              <w:keepNext/>
              <w:spacing w:before="120"/>
              <w:jc w:val="center"/>
              <w:rPr>
                <w:rFonts w:ascii="Arial" w:eastAsia="Calibri" w:hAnsi="Arial" w:cs="Arial"/>
                <w:sz w:val="20"/>
                <w:szCs w:val="20"/>
              </w:rPr>
            </w:pPr>
            <w:r>
              <w:rPr>
                <w:rFonts w:ascii="Arial" w:hAnsi="Arial"/>
                <w:b/>
                <w:sz w:val="20"/>
              </w:rPr>
              <w:t>Dépenses au 30/06/2021</w:t>
            </w:r>
          </w:p>
        </w:tc>
        <w:tc>
          <w:tcPr>
            <w:tcW w:w="882" w:type="pct"/>
            <w:shd w:val="clear" w:color="auto" w:fill="92D050"/>
            <w:vAlign w:val="center"/>
          </w:tcPr>
          <w:p w14:paraId="774CE7B4" w14:textId="77777777" w:rsidR="00724AAD" w:rsidRPr="00A854F4" w:rsidRDefault="00724AAD" w:rsidP="00C35DA5">
            <w:pPr>
              <w:keepNext/>
              <w:spacing w:before="120"/>
              <w:jc w:val="center"/>
              <w:rPr>
                <w:rFonts w:ascii="Arial" w:eastAsia="Calibri" w:hAnsi="Arial" w:cs="Arial"/>
                <w:sz w:val="20"/>
                <w:szCs w:val="20"/>
              </w:rPr>
            </w:pPr>
            <w:r>
              <w:rPr>
                <w:rFonts w:ascii="Arial" w:hAnsi="Arial"/>
                <w:b/>
                <w:sz w:val="20"/>
              </w:rPr>
              <w:t>Taux de dépense (%)</w:t>
            </w:r>
            <w:r>
              <w:rPr>
                <w:rFonts w:ascii="Arial" w:hAnsi="Arial"/>
                <w:b/>
                <w:sz w:val="20"/>
              </w:rPr>
              <w:br/>
              <w:t>au 30/06/2021</w:t>
            </w:r>
          </w:p>
        </w:tc>
      </w:tr>
      <w:tr w:rsidR="00724AAD" w:rsidRPr="00A854F4" w14:paraId="2CEA5B46" w14:textId="77777777" w:rsidTr="00C35DA5">
        <w:trPr>
          <w:trHeight w:val="465"/>
          <w:jc w:val="center"/>
        </w:trPr>
        <w:tc>
          <w:tcPr>
            <w:tcW w:w="2000" w:type="pct"/>
            <w:shd w:val="clear" w:color="auto" w:fill="FFFFFF" w:themeFill="background1"/>
            <w:vAlign w:val="center"/>
          </w:tcPr>
          <w:p w14:paraId="33E45D73" w14:textId="77777777" w:rsidR="00724AAD" w:rsidRPr="00A854F4" w:rsidRDefault="00724AAD" w:rsidP="00C35DA5">
            <w:pPr>
              <w:keepNext/>
              <w:spacing w:before="120"/>
              <w:jc w:val="center"/>
              <w:rPr>
                <w:rFonts w:ascii="Arial" w:eastAsia="Calibri" w:hAnsi="Arial" w:cs="Arial"/>
                <w:bCs/>
                <w:sz w:val="20"/>
                <w:szCs w:val="20"/>
              </w:rPr>
            </w:pPr>
            <w:r>
              <w:rPr>
                <w:rFonts w:ascii="Arial" w:hAnsi="Arial"/>
                <w:sz w:val="20"/>
              </w:rPr>
              <w:t>1 568 076,00</w:t>
            </w:r>
          </w:p>
        </w:tc>
        <w:tc>
          <w:tcPr>
            <w:tcW w:w="2118" w:type="pct"/>
            <w:shd w:val="clear" w:color="auto" w:fill="FFFFFF" w:themeFill="background1"/>
            <w:vAlign w:val="center"/>
          </w:tcPr>
          <w:p w14:paraId="5AE1C2F7" w14:textId="77777777" w:rsidR="00724AAD" w:rsidRPr="00A854F4" w:rsidRDefault="00724AAD" w:rsidP="00C35DA5">
            <w:pPr>
              <w:keepNext/>
              <w:spacing w:before="120"/>
              <w:jc w:val="center"/>
              <w:rPr>
                <w:rFonts w:ascii="Arial" w:eastAsia="Calibri" w:hAnsi="Arial" w:cs="Arial"/>
                <w:bCs/>
                <w:sz w:val="20"/>
                <w:szCs w:val="20"/>
              </w:rPr>
            </w:pPr>
            <w:r>
              <w:rPr>
                <w:rFonts w:ascii="Arial" w:hAnsi="Arial"/>
                <w:sz w:val="20"/>
              </w:rPr>
              <w:t>694 654,74</w:t>
            </w:r>
          </w:p>
        </w:tc>
        <w:tc>
          <w:tcPr>
            <w:tcW w:w="882" w:type="pct"/>
            <w:shd w:val="clear" w:color="auto" w:fill="FFFFFF" w:themeFill="background1"/>
            <w:vAlign w:val="center"/>
          </w:tcPr>
          <w:p w14:paraId="220174CB" w14:textId="77777777" w:rsidR="00724AAD" w:rsidRPr="00A854F4" w:rsidRDefault="00724AAD" w:rsidP="00C35DA5">
            <w:pPr>
              <w:keepNext/>
              <w:spacing w:before="120"/>
              <w:jc w:val="center"/>
              <w:rPr>
                <w:rFonts w:ascii="Arial" w:eastAsia="Calibri" w:hAnsi="Arial" w:cs="Arial"/>
                <w:bCs/>
                <w:sz w:val="20"/>
                <w:szCs w:val="20"/>
              </w:rPr>
            </w:pPr>
            <w:r>
              <w:rPr>
                <w:rFonts w:ascii="Arial" w:hAnsi="Arial"/>
                <w:sz w:val="20"/>
              </w:rPr>
              <w:t>44,3 %</w:t>
            </w:r>
          </w:p>
        </w:tc>
      </w:tr>
    </w:tbl>
    <w:p w14:paraId="35BC69DE" w14:textId="485BEF09" w:rsidR="00724AAD" w:rsidRPr="00515DDB" w:rsidRDefault="00724AAD" w:rsidP="00512DD8">
      <w:pPr>
        <w:keepNext/>
        <w:spacing w:before="360"/>
        <w:rPr>
          <w:rFonts w:ascii="Arial" w:hAnsi="Arial"/>
          <w:b/>
        </w:rPr>
      </w:pPr>
      <w:r>
        <w:rPr>
          <w:rFonts w:ascii="Arial" w:hAnsi="Arial"/>
          <w:b/>
        </w:rPr>
        <w:t>Résultat escompté 1 :</w:t>
      </w:r>
      <w:r w:rsidR="00541A1C">
        <w:rPr>
          <w:rFonts w:ascii="Arial" w:hAnsi="Arial"/>
          <w:b/>
        </w:rPr>
        <w:t xml:space="preserve"> </w:t>
      </w:r>
      <w:r>
        <w:rPr>
          <w:rFonts w:ascii="Arial" w:hAnsi="Arial"/>
          <w:b/>
        </w:rPr>
        <w:t>Bonne gouvernance de la Convention de 2003 facilitée par</w:t>
      </w:r>
      <w:r w:rsidR="00541A1C">
        <w:rPr>
          <w:rFonts w:ascii="Arial" w:hAnsi="Arial"/>
          <w:b/>
        </w:rPr>
        <w:t xml:space="preserve"> </w:t>
      </w:r>
      <w:r w:rsidR="000E1A62">
        <w:rPr>
          <w:rFonts w:ascii="Arial" w:hAnsi="Arial"/>
          <w:b/>
        </w:rPr>
        <w:t>l</w:t>
      </w:r>
      <w:r w:rsidR="00740572">
        <w:rPr>
          <w:rFonts w:ascii="Arial" w:hAnsi="Arial"/>
          <w:b/>
        </w:rPr>
        <w:t>’</w:t>
      </w:r>
      <w:r>
        <w:rPr>
          <w:rFonts w:ascii="Arial" w:hAnsi="Arial"/>
          <w:b/>
        </w:rPr>
        <w:t>amélioration du suivi et des services de gestion des connaissances</w:t>
      </w:r>
    </w:p>
    <w:p w14:paraId="18363089" w14:textId="77777777" w:rsidR="00724AAD" w:rsidRPr="00A854F4" w:rsidRDefault="00724AAD" w:rsidP="00724AAD">
      <w:pPr>
        <w:pStyle w:val="ListParagraph"/>
        <w:keepNext/>
        <w:numPr>
          <w:ilvl w:val="0"/>
          <w:numId w:val="13"/>
        </w:numPr>
        <w:spacing w:before="240"/>
        <w:ind w:left="284" w:hanging="284"/>
        <w:jc w:val="both"/>
        <w:rPr>
          <w:rFonts w:ascii="Arial" w:hAnsi="Arial" w:cs="Arial"/>
          <w:b/>
          <w:bCs/>
          <w:sz w:val="22"/>
          <w:szCs w:val="22"/>
        </w:rPr>
      </w:pPr>
      <w:bookmarkStart w:id="2" w:name="_Hlk81489931"/>
      <w:r>
        <w:rPr>
          <w:rFonts w:ascii="Arial" w:hAnsi="Arial"/>
          <w:b/>
          <w:sz w:val="22"/>
        </w:rPr>
        <w:t xml:space="preserve">Rapport de mise en œuvre pour la période du 1er janvier 2018 au 31 décembre 2019. </w:t>
      </w:r>
    </w:p>
    <w:p w14:paraId="71F0A4CC" w14:textId="77777777" w:rsidR="00724AAD" w:rsidRPr="00ED3B35" w:rsidRDefault="00724AAD" w:rsidP="00724AAD">
      <w:pPr>
        <w:pStyle w:val="ListParagraph"/>
        <w:keepNext/>
        <w:spacing w:before="240"/>
        <w:ind w:left="567"/>
        <w:jc w:val="both"/>
        <w:rPr>
          <w:rFonts w:ascii="Arial" w:hAnsi="Arial" w:cs="Arial"/>
          <w:b/>
          <w:bCs/>
          <w:sz w:val="22"/>
          <w:szCs w:val="22"/>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724AAD" w:rsidRPr="00A854F4" w14:paraId="300E1C8D" w14:textId="77777777" w:rsidTr="00C35DA5">
        <w:trPr>
          <w:jc w:val="center"/>
        </w:trPr>
        <w:tc>
          <w:tcPr>
            <w:tcW w:w="1999" w:type="pct"/>
            <w:shd w:val="clear" w:color="auto" w:fill="C6D9F1"/>
            <w:vAlign w:val="center"/>
          </w:tcPr>
          <w:p w14:paraId="37EF2CAE" w14:textId="77777777" w:rsidR="00724AAD" w:rsidRPr="00A854F4" w:rsidRDefault="00724AAD" w:rsidP="00C35DA5">
            <w:pPr>
              <w:keepNext/>
              <w:spacing w:before="120"/>
              <w:jc w:val="center"/>
              <w:rPr>
                <w:rFonts w:ascii="Arial" w:eastAsia="Calibri" w:hAnsi="Arial" w:cs="Arial"/>
                <w:b/>
                <w:sz w:val="20"/>
                <w:szCs w:val="20"/>
              </w:rPr>
            </w:pPr>
            <w:r>
              <w:rPr>
                <w:rFonts w:ascii="Arial" w:hAnsi="Arial"/>
                <w:b/>
                <w:sz w:val="20"/>
              </w:rPr>
              <w:t>Allocation</w:t>
            </w:r>
          </w:p>
        </w:tc>
        <w:tc>
          <w:tcPr>
            <w:tcW w:w="2118" w:type="pct"/>
            <w:shd w:val="clear" w:color="auto" w:fill="C6D9F1"/>
            <w:vAlign w:val="center"/>
          </w:tcPr>
          <w:p w14:paraId="6D91F1BD" w14:textId="77777777" w:rsidR="00724AAD" w:rsidRPr="00A854F4" w:rsidRDefault="00724AAD" w:rsidP="00C35DA5">
            <w:pPr>
              <w:spacing w:before="120"/>
              <w:jc w:val="center"/>
              <w:rPr>
                <w:rFonts w:ascii="Arial" w:eastAsia="Calibri" w:hAnsi="Arial" w:cs="Arial"/>
                <w:b/>
                <w:sz w:val="20"/>
                <w:szCs w:val="20"/>
              </w:rPr>
            </w:pPr>
            <w:r>
              <w:rPr>
                <w:rFonts w:ascii="Arial" w:hAnsi="Arial"/>
                <w:b/>
                <w:sz w:val="20"/>
              </w:rPr>
              <w:t>Dépenses</w:t>
            </w:r>
          </w:p>
        </w:tc>
        <w:tc>
          <w:tcPr>
            <w:tcW w:w="883" w:type="pct"/>
            <w:shd w:val="clear" w:color="auto" w:fill="C6D9F1"/>
            <w:vAlign w:val="center"/>
          </w:tcPr>
          <w:p w14:paraId="12F3DA65" w14:textId="77777777" w:rsidR="00724AAD" w:rsidRPr="00A854F4" w:rsidRDefault="00724AAD" w:rsidP="00C35DA5">
            <w:pPr>
              <w:spacing w:before="120"/>
              <w:jc w:val="center"/>
              <w:rPr>
                <w:rFonts w:ascii="Arial" w:eastAsia="Calibri" w:hAnsi="Arial" w:cs="Arial"/>
                <w:b/>
                <w:sz w:val="20"/>
                <w:szCs w:val="20"/>
              </w:rPr>
            </w:pPr>
            <w:r>
              <w:rPr>
                <w:rFonts w:ascii="Arial" w:hAnsi="Arial"/>
                <w:b/>
                <w:sz w:val="20"/>
              </w:rPr>
              <w:t>Taux de dépense (%)</w:t>
            </w:r>
            <w:r>
              <w:rPr>
                <w:rFonts w:ascii="Arial" w:hAnsi="Arial"/>
                <w:b/>
                <w:sz w:val="20"/>
              </w:rPr>
              <w:br/>
              <w:t>au 31/12/2019</w:t>
            </w:r>
          </w:p>
        </w:tc>
      </w:tr>
      <w:tr w:rsidR="00724AAD" w:rsidRPr="00A854F4" w14:paraId="2ED71B2C" w14:textId="77777777" w:rsidTr="00C35DA5">
        <w:trPr>
          <w:jc w:val="center"/>
        </w:trPr>
        <w:tc>
          <w:tcPr>
            <w:tcW w:w="1999" w:type="pct"/>
            <w:shd w:val="clear" w:color="auto" w:fill="auto"/>
          </w:tcPr>
          <w:p w14:paraId="286A081E" w14:textId="77777777" w:rsidR="00724AAD" w:rsidRPr="00A854F4" w:rsidRDefault="00724AAD" w:rsidP="00C35DA5">
            <w:pPr>
              <w:spacing w:before="120"/>
              <w:jc w:val="center"/>
              <w:rPr>
                <w:rFonts w:ascii="Arial" w:eastAsia="Calibri" w:hAnsi="Arial" w:cs="Arial"/>
                <w:sz w:val="20"/>
                <w:szCs w:val="20"/>
              </w:rPr>
            </w:pPr>
            <w:r>
              <w:rPr>
                <w:rFonts w:ascii="Arial" w:hAnsi="Arial"/>
                <w:sz w:val="20"/>
              </w:rPr>
              <w:t>338 512,00</w:t>
            </w:r>
          </w:p>
        </w:tc>
        <w:tc>
          <w:tcPr>
            <w:tcW w:w="2118" w:type="pct"/>
            <w:shd w:val="clear" w:color="auto" w:fill="auto"/>
          </w:tcPr>
          <w:p w14:paraId="06C637E6" w14:textId="77777777" w:rsidR="00724AAD" w:rsidRPr="00A854F4" w:rsidRDefault="00724AAD" w:rsidP="00C35DA5">
            <w:pPr>
              <w:spacing w:before="120"/>
              <w:jc w:val="center"/>
              <w:rPr>
                <w:rFonts w:ascii="Arial" w:eastAsia="Calibri" w:hAnsi="Arial" w:cs="Arial"/>
                <w:sz w:val="20"/>
                <w:szCs w:val="20"/>
              </w:rPr>
            </w:pPr>
            <w:r>
              <w:rPr>
                <w:rFonts w:ascii="Arial" w:hAnsi="Arial"/>
                <w:sz w:val="20"/>
              </w:rPr>
              <w:t>316 224,46</w:t>
            </w:r>
          </w:p>
        </w:tc>
        <w:tc>
          <w:tcPr>
            <w:tcW w:w="883" w:type="pct"/>
            <w:shd w:val="clear" w:color="auto" w:fill="auto"/>
          </w:tcPr>
          <w:p w14:paraId="7D5B3397" w14:textId="77777777" w:rsidR="00724AAD" w:rsidRPr="00A854F4" w:rsidRDefault="00724AAD" w:rsidP="00C35DA5">
            <w:pPr>
              <w:spacing w:before="120"/>
              <w:jc w:val="center"/>
              <w:rPr>
                <w:rFonts w:ascii="Arial" w:eastAsia="Calibri" w:hAnsi="Arial" w:cs="Arial"/>
                <w:sz w:val="20"/>
                <w:szCs w:val="20"/>
              </w:rPr>
            </w:pPr>
            <w:r>
              <w:rPr>
                <w:rFonts w:ascii="Arial" w:hAnsi="Arial"/>
                <w:sz w:val="20"/>
              </w:rPr>
              <w:t>93,4 %</w:t>
            </w:r>
          </w:p>
        </w:tc>
      </w:tr>
    </w:tbl>
    <w:p w14:paraId="0D3A2F72" w14:textId="77777777" w:rsidR="00724AAD" w:rsidRPr="00A854F4" w:rsidRDefault="00724AAD" w:rsidP="00724AAD">
      <w:pPr>
        <w:spacing w:after="0"/>
        <w:rPr>
          <w:rFonts w:ascii="Arial" w:hAnsi="Arial" w:cs="Arial"/>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697"/>
      </w:tblGrid>
      <w:tr w:rsidR="00724AAD" w:rsidRPr="00A854F4" w14:paraId="6FB5A8AD" w14:textId="77777777" w:rsidTr="00C35DA5">
        <w:trPr>
          <w:tblHeader/>
          <w:jc w:val="center"/>
        </w:trPr>
        <w:tc>
          <w:tcPr>
            <w:tcW w:w="6941" w:type="dxa"/>
            <w:shd w:val="clear" w:color="auto" w:fill="D9D9D9"/>
            <w:vAlign w:val="center"/>
          </w:tcPr>
          <w:p w14:paraId="0C3ACE55" w14:textId="77777777" w:rsidR="00724AAD" w:rsidRPr="00A854F4" w:rsidRDefault="00724AAD" w:rsidP="00C35DA5">
            <w:pPr>
              <w:spacing w:before="60" w:after="60"/>
              <w:jc w:val="center"/>
              <w:rPr>
                <w:rFonts w:ascii="Arial" w:eastAsia="Calibri" w:hAnsi="Arial" w:cs="Arial"/>
                <w:b/>
                <w:sz w:val="20"/>
                <w:szCs w:val="20"/>
              </w:rPr>
            </w:pPr>
            <w:r>
              <w:rPr>
                <w:rFonts w:ascii="Arial" w:hAnsi="Arial"/>
                <w:b/>
                <w:sz w:val="20"/>
              </w:rPr>
              <w:t>Évaluation des résultats :</w:t>
            </w:r>
            <w:r>
              <w:rPr>
                <w:rFonts w:ascii="Arial" w:hAnsi="Arial"/>
                <w:b/>
                <w:sz w:val="20"/>
              </w:rPr>
              <w:br/>
              <w:t>du 01/01/2018 au 31/12/2019</w:t>
            </w:r>
          </w:p>
        </w:tc>
        <w:tc>
          <w:tcPr>
            <w:tcW w:w="2697" w:type="dxa"/>
            <w:shd w:val="clear" w:color="auto" w:fill="D9D9D9"/>
            <w:vAlign w:val="center"/>
          </w:tcPr>
          <w:p w14:paraId="470A42E8" w14:textId="77777777" w:rsidR="00724AAD" w:rsidRPr="00A854F4" w:rsidRDefault="00724AAD" w:rsidP="00C35DA5">
            <w:pPr>
              <w:spacing w:before="60" w:after="60"/>
              <w:jc w:val="center"/>
              <w:rPr>
                <w:rFonts w:ascii="Arial" w:eastAsia="Calibri" w:hAnsi="Arial" w:cs="Arial"/>
                <w:b/>
                <w:sz w:val="20"/>
                <w:szCs w:val="20"/>
              </w:rPr>
            </w:pPr>
            <w:r>
              <w:rPr>
                <w:rFonts w:ascii="Arial" w:hAnsi="Arial"/>
                <w:b/>
                <w:sz w:val="20"/>
              </w:rPr>
              <w:t>Évaluation de la mise en œuvre</w:t>
            </w:r>
          </w:p>
        </w:tc>
      </w:tr>
      <w:tr w:rsidR="00724AAD" w:rsidRPr="00A854F4" w14:paraId="23CDCCC7" w14:textId="77777777" w:rsidTr="00C35DA5">
        <w:trPr>
          <w:jc w:val="center"/>
        </w:trPr>
        <w:tc>
          <w:tcPr>
            <w:tcW w:w="6941" w:type="dxa"/>
            <w:shd w:val="clear" w:color="auto" w:fill="auto"/>
          </w:tcPr>
          <w:p w14:paraId="2714F25B" w14:textId="77777777" w:rsidR="00AE6879" w:rsidRPr="00A854F4" w:rsidRDefault="00AE6879" w:rsidP="00322AB8">
            <w:pPr>
              <w:spacing w:before="60" w:after="60"/>
              <w:jc w:val="both"/>
              <w:rPr>
                <w:rFonts w:ascii="Arial" w:eastAsia="Calibri" w:hAnsi="Arial" w:cs="Arial"/>
                <w:b/>
                <w:bCs/>
                <w:sz w:val="20"/>
                <w:szCs w:val="20"/>
              </w:rPr>
            </w:pPr>
            <w:r>
              <w:rPr>
                <w:rFonts w:ascii="Arial" w:hAnsi="Arial"/>
                <w:b/>
                <w:sz w:val="20"/>
              </w:rPr>
              <w:t>Optimisation des processus et délais de réaction grâce aux interfaces de suivi et aux flux de travail en ligne</w:t>
            </w:r>
          </w:p>
          <w:p w14:paraId="69A24A1F" w14:textId="3D87E8DE" w:rsidR="00724AAD" w:rsidRPr="00A854F4" w:rsidRDefault="00724AAD" w:rsidP="00322AB8">
            <w:pPr>
              <w:numPr>
                <w:ilvl w:val="0"/>
                <w:numId w:val="10"/>
              </w:numPr>
              <w:spacing w:before="60" w:after="60"/>
              <w:ind w:left="357" w:hanging="357"/>
              <w:jc w:val="both"/>
              <w:rPr>
                <w:rFonts w:ascii="Arial" w:eastAsia="Calibri" w:hAnsi="Arial" w:cs="Arial"/>
                <w:sz w:val="20"/>
                <w:szCs w:val="20"/>
              </w:rPr>
            </w:pPr>
            <w:r>
              <w:rPr>
                <w:rFonts w:ascii="Arial" w:hAnsi="Arial"/>
                <w:sz w:val="20"/>
              </w:rPr>
              <w:t>Mise en service d</w:t>
            </w:r>
            <w:r w:rsidR="00740572">
              <w:rPr>
                <w:rFonts w:ascii="Arial" w:hAnsi="Arial"/>
                <w:sz w:val="20"/>
              </w:rPr>
              <w:t>’</w:t>
            </w:r>
            <w:r>
              <w:rPr>
                <w:rFonts w:ascii="Arial" w:hAnsi="Arial"/>
                <w:sz w:val="20"/>
              </w:rPr>
              <w:t>une interface en ligne permettant aux organisations non gouvernementales accréditées (ONG) de soumettre des rapports quadriennaux sur leur contribution à la mise en œuvre de la Convention, à partir du cycle 2019 d</w:t>
            </w:r>
            <w:r w:rsidR="00740572">
              <w:rPr>
                <w:rFonts w:ascii="Arial" w:hAnsi="Arial"/>
                <w:sz w:val="20"/>
              </w:rPr>
              <w:t>’</w:t>
            </w:r>
            <w:r>
              <w:rPr>
                <w:rFonts w:ascii="Arial" w:hAnsi="Arial"/>
                <w:sz w:val="20"/>
              </w:rPr>
              <w:t>examen du statut d</w:t>
            </w:r>
            <w:r w:rsidR="00740572">
              <w:rPr>
                <w:rFonts w:ascii="Arial" w:hAnsi="Arial"/>
                <w:sz w:val="20"/>
              </w:rPr>
              <w:t>’</w:t>
            </w:r>
            <w:r>
              <w:rPr>
                <w:rFonts w:ascii="Arial" w:hAnsi="Arial"/>
                <w:sz w:val="20"/>
              </w:rPr>
              <w:t>accréditation.</w:t>
            </w:r>
          </w:p>
          <w:p w14:paraId="120288E4" w14:textId="77777777" w:rsidR="00724AAD" w:rsidRPr="00A854F4" w:rsidRDefault="00724AAD">
            <w:pPr>
              <w:numPr>
                <w:ilvl w:val="0"/>
                <w:numId w:val="10"/>
              </w:numPr>
              <w:spacing w:before="60" w:after="60"/>
              <w:ind w:left="357" w:hanging="357"/>
              <w:jc w:val="both"/>
              <w:rPr>
                <w:rFonts w:ascii="Arial" w:eastAsia="Calibri" w:hAnsi="Arial" w:cs="Arial"/>
                <w:sz w:val="20"/>
                <w:szCs w:val="20"/>
              </w:rPr>
            </w:pPr>
            <w:r>
              <w:rPr>
                <w:rFonts w:ascii="Arial" w:hAnsi="Arial"/>
                <w:sz w:val="20"/>
              </w:rPr>
              <w:lastRenderedPageBreak/>
              <w:t>Intégration de la correspondance reçue et envoyée dans les « pages pays » des interfaces internes.</w:t>
            </w:r>
          </w:p>
          <w:p w14:paraId="064A4F73" w14:textId="047F14FB" w:rsidR="005451C6" w:rsidRPr="00A854F4" w:rsidRDefault="00AC4B9F">
            <w:pPr>
              <w:numPr>
                <w:ilvl w:val="0"/>
                <w:numId w:val="10"/>
              </w:numPr>
              <w:spacing w:before="60" w:after="60"/>
              <w:ind w:left="357" w:hanging="357"/>
              <w:jc w:val="both"/>
              <w:rPr>
                <w:rFonts w:ascii="Arial" w:eastAsia="Calibri" w:hAnsi="Arial" w:cs="Arial"/>
                <w:sz w:val="20"/>
                <w:szCs w:val="20"/>
              </w:rPr>
            </w:pPr>
            <w:r>
              <w:rPr>
                <w:rFonts w:ascii="Arial" w:hAnsi="Arial"/>
                <w:sz w:val="20"/>
              </w:rPr>
              <w:t>Élaboration d</w:t>
            </w:r>
            <w:r w:rsidR="00740572">
              <w:rPr>
                <w:rFonts w:ascii="Arial" w:hAnsi="Arial"/>
                <w:sz w:val="20"/>
              </w:rPr>
              <w:t>’</w:t>
            </w:r>
            <w:r>
              <w:rPr>
                <w:rFonts w:ascii="Arial" w:hAnsi="Arial"/>
                <w:sz w:val="20"/>
              </w:rPr>
              <w:t>une nouvelle interface pour présenter les demandes d</w:t>
            </w:r>
            <w:r w:rsidR="00740572">
              <w:rPr>
                <w:rFonts w:ascii="Arial" w:hAnsi="Arial"/>
                <w:sz w:val="20"/>
              </w:rPr>
              <w:t>’</w:t>
            </w:r>
            <w:r>
              <w:rPr>
                <w:rFonts w:ascii="Arial" w:hAnsi="Arial"/>
                <w:sz w:val="20"/>
              </w:rPr>
              <w:t>assistance internationale allant jusqu</w:t>
            </w:r>
            <w:r w:rsidR="00740572">
              <w:rPr>
                <w:rFonts w:ascii="Arial" w:hAnsi="Arial"/>
                <w:sz w:val="20"/>
              </w:rPr>
              <w:t>’</w:t>
            </w:r>
            <w:r>
              <w:rPr>
                <w:rFonts w:ascii="Arial" w:hAnsi="Arial"/>
                <w:sz w:val="20"/>
              </w:rPr>
              <w:t>à 100 000 dollars E.U. soumises par les États parties et devant être examinées par le Bureau du Comité.</w:t>
            </w:r>
          </w:p>
        </w:tc>
        <w:tc>
          <w:tcPr>
            <w:tcW w:w="2697" w:type="dxa"/>
          </w:tcPr>
          <w:p w14:paraId="6BD6A03A" w14:textId="77777777" w:rsidR="00724AAD" w:rsidRPr="00A854F4" w:rsidRDefault="00724AAD" w:rsidP="00C35DA5">
            <w:pPr>
              <w:spacing w:before="320" w:after="60"/>
              <w:ind w:left="-103"/>
              <w:jc w:val="center"/>
              <w:rPr>
                <w:rFonts w:ascii="Arial" w:eastAsia="Calibri" w:hAnsi="Arial" w:cs="Arial"/>
                <w:sz w:val="20"/>
                <w:szCs w:val="20"/>
              </w:rPr>
            </w:pPr>
            <w:r>
              <w:rPr>
                <w:rFonts w:ascii="Arial" w:hAnsi="Arial"/>
                <w:sz w:val="20"/>
              </w:rPr>
              <w:lastRenderedPageBreak/>
              <w:t>Accomplie</w:t>
            </w:r>
          </w:p>
        </w:tc>
      </w:tr>
      <w:tr w:rsidR="00724AAD" w:rsidRPr="00A854F4" w14:paraId="55DC91CB" w14:textId="77777777" w:rsidTr="00C35DA5">
        <w:trPr>
          <w:jc w:val="center"/>
        </w:trPr>
        <w:tc>
          <w:tcPr>
            <w:tcW w:w="6941" w:type="dxa"/>
            <w:shd w:val="clear" w:color="auto" w:fill="auto"/>
          </w:tcPr>
          <w:p w14:paraId="2935C3F0" w14:textId="38063E05" w:rsidR="00AE6879" w:rsidRPr="00A854F4" w:rsidRDefault="00AE6879" w:rsidP="00322AB8">
            <w:pPr>
              <w:spacing w:before="60" w:after="60"/>
              <w:jc w:val="both"/>
              <w:rPr>
                <w:rFonts w:ascii="Arial" w:eastAsia="Calibri" w:hAnsi="Arial" w:cs="Arial"/>
                <w:b/>
                <w:bCs/>
                <w:sz w:val="20"/>
                <w:szCs w:val="20"/>
              </w:rPr>
            </w:pPr>
            <w:r>
              <w:rPr>
                <w:rFonts w:ascii="Arial" w:hAnsi="Arial"/>
                <w:b/>
                <w:sz w:val="20"/>
              </w:rPr>
              <w:t>Renforcement de la fonction de centre d</w:t>
            </w:r>
            <w:r w:rsidR="00740572">
              <w:rPr>
                <w:rFonts w:ascii="Arial" w:hAnsi="Arial"/>
                <w:b/>
                <w:sz w:val="20"/>
              </w:rPr>
              <w:t>’</w:t>
            </w:r>
            <w:r>
              <w:rPr>
                <w:rFonts w:ascii="Arial" w:hAnsi="Arial"/>
                <w:b/>
                <w:sz w:val="20"/>
              </w:rPr>
              <w:t>échange d</w:t>
            </w:r>
            <w:r w:rsidR="00740572">
              <w:rPr>
                <w:rFonts w:ascii="Arial" w:hAnsi="Arial"/>
                <w:b/>
                <w:sz w:val="20"/>
              </w:rPr>
              <w:t>’</w:t>
            </w:r>
            <w:r>
              <w:rPr>
                <w:rFonts w:ascii="Arial" w:hAnsi="Arial"/>
                <w:b/>
                <w:sz w:val="20"/>
              </w:rPr>
              <w:t>information du système de gestion des connaissances</w:t>
            </w:r>
          </w:p>
          <w:p w14:paraId="0EAA9945" w14:textId="77777777" w:rsidR="00724AAD" w:rsidRPr="00A854F4" w:rsidRDefault="00724AAD" w:rsidP="00322AB8">
            <w:pPr>
              <w:numPr>
                <w:ilvl w:val="0"/>
                <w:numId w:val="10"/>
              </w:numPr>
              <w:spacing w:before="60" w:after="60"/>
              <w:ind w:left="357" w:hanging="357"/>
              <w:jc w:val="both"/>
              <w:rPr>
                <w:rFonts w:ascii="Arial" w:eastAsia="Calibri" w:hAnsi="Arial" w:cs="Arial"/>
                <w:sz w:val="20"/>
                <w:szCs w:val="20"/>
              </w:rPr>
            </w:pPr>
            <w:r>
              <w:rPr>
                <w:rFonts w:ascii="Arial" w:hAnsi="Arial"/>
                <w:sz w:val="20"/>
              </w:rPr>
              <w:t>Accès libre aux informations concernant : (1) les éléments inscrits ; (2) les ONG accréditées et les (3) projets (fichiers téléchargeables).</w:t>
            </w:r>
          </w:p>
          <w:p w14:paraId="41C69FB1" w14:textId="62860847" w:rsidR="00724AAD" w:rsidRPr="00A854F4" w:rsidRDefault="00724AAD" w:rsidP="00322AB8">
            <w:pPr>
              <w:numPr>
                <w:ilvl w:val="0"/>
                <w:numId w:val="10"/>
              </w:numPr>
              <w:spacing w:before="60" w:after="60"/>
              <w:ind w:left="357" w:hanging="357"/>
              <w:jc w:val="both"/>
              <w:rPr>
                <w:rFonts w:ascii="Arial" w:eastAsia="Calibri" w:hAnsi="Arial" w:cs="Arial"/>
                <w:sz w:val="20"/>
                <w:szCs w:val="20"/>
              </w:rPr>
            </w:pPr>
            <w:r>
              <w:rPr>
                <w:rFonts w:ascii="Arial" w:hAnsi="Arial"/>
                <w:sz w:val="20"/>
              </w:rPr>
              <w:t>Élaboration d</w:t>
            </w:r>
            <w:r w:rsidR="00740572">
              <w:rPr>
                <w:rFonts w:ascii="Arial" w:hAnsi="Arial"/>
                <w:sz w:val="20"/>
              </w:rPr>
              <w:t>’</w:t>
            </w:r>
            <w:r>
              <w:rPr>
                <w:rFonts w:ascii="Arial" w:hAnsi="Arial"/>
                <w:sz w:val="20"/>
              </w:rPr>
              <w:t>un prototype de visualisation des données dans le cadre du projet « Plongez dans le patrimoine culturel immatériel ! », qui permet de parcourir, de façon visuelle et interactive, les éléments inscrits sur les listes.</w:t>
            </w:r>
          </w:p>
          <w:p w14:paraId="7BE928E8" w14:textId="370961E5" w:rsidR="005451C6" w:rsidRPr="00A854F4" w:rsidRDefault="006462B5">
            <w:pPr>
              <w:numPr>
                <w:ilvl w:val="0"/>
                <w:numId w:val="10"/>
              </w:numPr>
              <w:spacing w:before="60" w:after="60"/>
              <w:ind w:left="357" w:hanging="357"/>
              <w:jc w:val="both"/>
              <w:rPr>
                <w:rFonts w:ascii="Arial" w:eastAsia="Calibri" w:hAnsi="Arial" w:cs="Arial"/>
                <w:sz w:val="20"/>
                <w:szCs w:val="20"/>
              </w:rPr>
            </w:pPr>
            <w:r>
              <w:rPr>
                <w:rFonts w:ascii="Arial" w:hAnsi="Arial"/>
                <w:sz w:val="20"/>
              </w:rPr>
              <w:t>Harmonisation de la terminologie avec le Thésaurus de l</w:t>
            </w:r>
            <w:r w:rsidR="00740572">
              <w:rPr>
                <w:rFonts w:ascii="Arial" w:hAnsi="Arial"/>
                <w:sz w:val="20"/>
              </w:rPr>
              <w:t>’</w:t>
            </w:r>
            <w:r>
              <w:rPr>
                <w:rFonts w:ascii="Arial" w:hAnsi="Arial"/>
                <w:sz w:val="20"/>
              </w:rPr>
              <w:t>UNESCO pour l</w:t>
            </w:r>
            <w:r w:rsidR="00740572">
              <w:rPr>
                <w:rFonts w:ascii="Arial" w:hAnsi="Arial"/>
                <w:sz w:val="20"/>
              </w:rPr>
              <w:t>’</w:t>
            </w:r>
            <w:r>
              <w:rPr>
                <w:rFonts w:ascii="Arial" w:hAnsi="Arial"/>
                <w:sz w:val="20"/>
              </w:rPr>
              <w:t>indexation des données et accès efficace aux informations par thème et par concept.</w:t>
            </w:r>
          </w:p>
        </w:tc>
        <w:tc>
          <w:tcPr>
            <w:tcW w:w="2697" w:type="dxa"/>
            <w:shd w:val="clear" w:color="auto" w:fill="auto"/>
          </w:tcPr>
          <w:p w14:paraId="3AD343CB" w14:textId="77777777" w:rsidR="00724AAD" w:rsidRPr="00A854F4" w:rsidRDefault="00724AAD" w:rsidP="00C35DA5">
            <w:pPr>
              <w:spacing w:before="320" w:after="60"/>
              <w:jc w:val="center"/>
              <w:rPr>
                <w:rFonts w:ascii="Arial" w:eastAsia="Calibri" w:hAnsi="Arial" w:cs="Arial"/>
                <w:sz w:val="20"/>
                <w:szCs w:val="20"/>
              </w:rPr>
            </w:pPr>
            <w:r>
              <w:rPr>
                <w:rFonts w:ascii="Arial" w:hAnsi="Arial"/>
                <w:sz w:val="20"/>
              </w:rPr>
              <w:t>Accomplie</w:t>
            </w:r>
          </w:p>
        </w:tc>
      </w:tr>
      <w:tr w:rsidR="00724AAD" w:rsidRPr="00A854F4" w14:paraId="28057159" w14:textId="77777777" w:rsidTr="00C35DA5">
        <w:trPr>
          <w:jc w:val="center"/>
        </w:trPr>
        <w:tc>
          <w:tcPr>
            <w:tcW w:w="6941" w:type="dxa"/>
            <w:shd w:val="clear" w:color="auto" w:fill="auto"/>
          </w:tcPr>
          <w:p w14:paraId="09D20ACA" w14:textId="77777777" w:rsidR="00AE6879" w:rsidRPr="00A854F4" w:rsidRDefault="00AE6879" w:rsidP="00322AB8">
            <w:pPr>
              <w:keepNext/>
              <w:spacing w:before="60" w:after="60"/>
              <w:jc w:val="both"/>
              <w:rPr>
                <w:rFonts w:ascii="Arial" w:eastAsia="Calibri" w:hAnsi="Arial" w:cs="Arial"/>
                <w:b/>
                <w:bCs/>
                <w:sz w:val="20"/>
                <w:szCs w:val="20"/>
              </w:rPr>
            </w:pPr>
            <w:r>
              <w:rPr>
                <w:rFonts w:ascii="Arial" w:hAnsi="Arial"/>
                <w:b/>
                <w:sz w:val="20"/>
              </w:rPr>
              <w:t>Renforcement des interactions avec les principales parties prenantes pour de meilleures synergies</w:t>
            </w:r>
          </w:p>
          <w:p w14:paraId="59F4AC64" w14:textId="28DD2D42" w:rsidR="00724AAD" w:rsidRPr="00A854F4" w:rsidRDefault="00724AAD">
            <w:pPr>
              <w:numPr>
                <w:ilvl w:val="0"/>
                <w:numId w:val="10"/>
              </w:numPr>
              <w:spacing w:before="60" w:after="60"/>
              <w:ind w:left="357" w:hanging="357"/>
              <w:jc w:val="both"/>
              <w:rPr>
                <w:rFonts w:ascii="Arial" w:eastAsia="Calibri" w:hAnsi="Arial" w:cs="Arial"/>
                <w:sz w:val="20"/>
                <w:szCs w:val="20"/>
              </w:rPr>
            </w:pPr>
            <w:r>
              <w:rPr>
                <w:rFonts w:ascii="Arial" w:hAnsi="Arial"/>
                <w:sz w:val="20"/>
              </w:rPr>
              <w:t>Mise en œuvre d</w:t>
            </w:r>
            <w:r w:rsidR="00740572">
              <w:rPr>
                <w:rFonts w:ascii="Arial" w:hAnsi="Arial"/>
                <w:sz w:val="20"/>
              </w:rPr>
              <w:t>’</w:t>
            </w:r>
            <w:r>
              <w:rPr>
                <w:rFonts w:ascii="Arial" w:hAnsi="Arial"/>
                <w:sz w:val="20"/>
              </w:rPr>
              <w:t>une passerelle d</w:t>
            </w:r>
            <w:r w:rsidR="00740572">
              <w:rPr>
                <w:rFonts w:ascii="Arial" w:hAnsi="Arial"/>
                <w:sz w:val="20"/>
              </w:rPr>
              <w:t>’</w:t>
            </w:r>
            <w:r>
              <w:rPr>
                <w:rFonts w:ascii="Arial" w:hAnsi="Arial"/>
                <w:sz w:val="20"/>
              </w:rPr>
              <w:t>authentification unique. Elle permet de s</w:t>
            </w:r>
            <w:r w:rsidR="00740572">
              <w:rPr>
                <w:rFonts w:ascii="Arial" w:hAnsi="Arial"/>
                <w:sz w:val="20"/>
              </w:rPr>
              <w:t>’</w:t>
            </w:r>
            <w:r>
              <w:rPr>
                <w:rFonts w:ascii="Arial" w:hAnsi="Arial"/>
                <w:sz w:val="20"/>
              </w:rPr>
              <w:t>authentifier sur le système d</w:t>
            </w:r>
            <w:r w:rsidR="00740572">
              <w:rPr>
                <w:rFonts w:ascii="Arial" w:hAnsi="Arial"/>
                <w:sz w:val="20"/>
              </w:rPr>
              <w:t>’</w:t>
            </w:r>
            <w:r>
              <w:rPr>
                <w:rFonts w:ascii="Arial" w:hAnsi="Arial"/>
                <w:sz w:val="20"/>
              </w:rPr>
              <w:t>information de la Convention de 2003 à l</w:t>
            </w:r>
            <w:r w:rsidR="00740572">
              <w:rPr>
                <w:rFonts w:ascii="Arial" w:hAnsi="Arial"/>
                <w:sz w:val="20"/>
              </w:rPr>
              <w:t>’</w:t>
            </w:r>
            <w:r>
              <w:rPr>
                <w:rFonts w:ascii="Arial" w:hAnsi="Arial"/>
                <w:sz w:val="20"/>
              </w:rPr>
              <w:t>aide du répertoire de l</w:t>
            </w:r>
            <w:r w:rsidR="00740572">
              <w:rPr>
                <w:rFonts w:ascii="Arial" w:hAnsi="Arial"/>
                <w:sz w:val="20"/>
              </w:rPr>
              <w:t>’</w:t>
            </w:r>
            <w:r>
              <w:rPr>
                <w:rFonts w:ascii="Arial" w:hAnsi="Arial"/>
                <w:sz w:val="20"/>
              </w:rPr>
              <w:t>UNESCO.</w:t>
            </w:r>
          </w:p>
          <w:p w14:paraId="1A865D56" w14:textId="4056728A" w:rsidR="005451C6" w:rsidRPr="00A854F4" w:rsidRDefault="005451C6">
            <w:pPr>
              <w:numPr>
                <w:ilvl w:val="0"/>
                <w:numId w:val="10"/>
              </w:numPr>
              <w:spacing w:before="60" w:after="60"/>
              <w:ind w:left="357" w:hanging="357"/>
              <w:jc w:val="both"/>
              <w:rPr>
                <w:rFonts w:ascii="Arial" w:eastAsia="Calibri" w:hAnsi="Arial" w:cs="Arial"/>
                <w:sz w:val="20"/>
                <w:szCs w:val="20"/>
              </w:rPr>
            </w:pPr>
            <w:r>
              <w:rPr>
                <w:rFonts w:ascii="Arial" w:hAnsi="Arial"/>
                <w:sz w:val="20"/>
              </w:rPr>
              <w:t>Élaboration d</w:t>
            </w:r>
            <w:r w:rsidR="00740572">
              <w:rPr>
                <w:rFonts w:ascii="Arial" w:hAnsi="Arial"/>
                <w:sz w:val="20"/>
              </w:rPr>
              <w:t>’</w:t>
            </w:r>
            <w:r>
              <w:rPr>
                <w:rFonts w:ascii="Arial" w:hAnsi="Arial"/>
                <w:sz w:val="20"/>
              </w:rPr>
              <w:t>un système de références bibliographiques multilingue en ligne pour collecter et recueillir des références de recherche publiées à l</w:t>
            </w:r>
            <w:r w:rsidR="00740572">
              <w:rPr>
                <w:rFonts w:ascii="Arial" w:hAnsi="Arial"/>
                <w:sz w:val="20"/>
              </w:rPr>
              <w:t>’</w:t>
            </w:r>
            <w:r>
              <w:rPr>
                <w:rFonts w:ascii="Arial" w:hAnsi="Arial"/>
                <w:sz w:val="20"/>
              </w:rPr>
              <w:t>échelle internationale et mettant en lumière les différents aspects de la mise en œuvre de la Convention de 2003.</w:t>
            </w:r>
          </w:p>
        </w:tc>
        <w:tc>
          <w:tcPr>
            <w:tcW w:w="2697" w:type="dxa"/>
          </w:tcPr>
          <w:p w14:paraId="2FB75A06" w14:textId="77777777" w:rsidR="00724AAD" w:rsidRPr="00A854F4" w:rsidRDefault="00724AAD" w:rsidP="00C35DA5">
            <w:pPr>
              <w:spacing w:before="320" w:after="60"/>
              <w:jc w:val="center"/>
              <w:rPr>
                <w:rFonts w:ascii="Arial" w:eastAsia="Calibri" w:hAnsi="Arial" w:cs="Arial"/>
                <w:sz w:val="20"/>
                <w:szCs w:val="20"/>
              </w:rPr>
            </w:pPr>
            <w:r>
              <w:rPr>
                <w:rFonts w:ascii="Arial" w:hAnsi="Arial"/>
                <w:sz w:val="20"/>
              </w:rPr>
              <w:t>Accomplie</w:t>
            </w:r>
          </w:p>
        </w:tc>
      </w:tr>
      <w:tr w:rsidR="00724AAD" w:rsidRPr="00A854F4" w14:paraId="7D1ED575" w14:textId="77777777" w:rsidTr="00C35DA5">
        <w:trPr>
          <w:jc w:val="center"/>
        </w:trPr>
        <w:tc>
          <w:tcPr>
            <w:tcW w:w="6941" w:type="dxa"/>
            <w:shd w:val="clear" w:color="auto" w:fill="auto"/>
          </w:tcPr>
          <w:p w14:paraId="73DA1CA6" w14:textId="77777777" w:rsidR="00AE6879" w:rsidRPr="00A854F4" w:rsidRDefault="00AE6879" w:rsidP="00322AB8">
            <w:pPr>
              <w:keepNext/>
              <w:spacing w:before="60" w:after="60"/>
              <w:jc w:val="both"/>
              <w:rPr>
                <w:rFonts w:ascii="Arial" w:eastAsia="Calibri" w:hAnsi="Arial" w:cs="Arial"/>
                <w:b/>
                <w:bCs/>
                <w:sz w:val="20"/>
                <w:szCs w:val="20"/>
              </w:rPr>
            </w:pPr>
            <w:r>
              <w:rPr>
                <w:rFonts w:ascii="Arial" w:hAnsi="Arial"/>
                <w:b/>
                <w:sz w:val="20"/>
              </w:rPr>
              <w:t>Cadre global de résultats pour la Convention complété</w:t>
            </w:r>
          </w:p>
          <w:p w14:paraId="118A0AC9" w14:textId="4F74ED40" w:rsidR="00724AAD" w:rsidRPr="00A854F4" w:rsidRDefault="00724AAD" w:rsidP="00322AB8">
            <w:pPr>
              <w:numPr>
                <w:ilvl w:val="0"/>
                <w:numId w:val="10"/>
              </w:numPr>
              <w:spacing w:before="60" w:after="60"/>
              <w:ind w:left="357" w:hanging="357"/>
              <w:jc w:val="both"/>
              <w:rPr>
                <w:rFonts w:ascii="Arial" w:eastAsia="Calibri" w:hAnsi="Arial" w:cs="Arial"/>
                <w:sz w:val="20"/>
                <w:szCs w:val="20"/>
              </w:rPr>
            </w:pPr>
            <w:r>
              <w:rPr>
                <w:rFonts w:ascii="Arial" w:hAnsi="Arial"/>
                <w:sz w:val="20"/>
              </w:rPr>
              <w:t>Élaboration et publication dans trois langues (anglais, français et espagnol) de notes d</w:t>
            </w:r>
            <w:r w:rsidR="00740572">
              <w:rPr>
                <w:rFonts w:ascii="Arial" w:hAnsi="Arial"/>
                <w:sz w:val="20"/>
              </w:rPr>
              <w:t>’</w:t>
            </w:r>
            <w:r>
              <w:rPr>
                <w:rFonts w:ascii="Arial" w:hAnsi="Arial"/>
                <w:sz w:val="20"/>
              </w:rPr>
              <w:t>orientation pour les vingt-six indicateurs du cadre global de résultats de la Convention sur la page Web dédiée. Révision complète du formulaire ICH-10 pour les rapports périodiques et alignement sur le cadre.</w:t>
            </w:r>
          </w:p>
        </w:tc>
        <w:tc>
          <w:tcPr>
            <w:tcW w:w="2697" w:type="dxa"/>
          </w:tcPr>
          <w:p w14:paraId="77CC8BDF" w14:textId="77777777" w:rsidR="00724AAD" w:rsidRPr="00A854F4" w:rsidRDefault="00724AAD" w:rsidP="00C35DA5">
            <w:pPr>
              <w:spacing w:before="320" w:after="60"/>
              <w:jc w:val="center"/>
              <w:rPr>
                <w:rFonts w:ascii="Arial" w:eastAsia="Calibri" w:hAnsi="Arial" w:cs="Arial"/>
                <w:sz w:val="20"/>
                <w:szCs w:val="20"/>
              </w:rPr>
            </w:pPr>
            <w:r>
              <w:rPr>
                <w:rFonts w:ascii="Arial" w:hAnsi="Arial"/>
                <w:sz w:val="20"/>
              </w:rPr>
              <w:t>Accomplie</w:t>
            </w:r>
          </w:p>
        </w:tc>
      </w:tr>
      <w:tr w:rsidR="00724AAD" w:rsidRPr="00A854F4" w14:paraId="0A03A7B0" w14:textId="77777777" w:rsidTr="00C35DA5">
        <w:trPr>
          <w:jc w:val="center"/>
        </w:trPr>
        <w:tc>
          <w:tcPr>
            <w:tcW w:w="6941" w:type="dxa"/>
            <w:shd w:val="clear" w:color="auto" w:fill="auto"/>
          </w:tcPr>
          <w:p w14:paraId="22EFD5A1" w14:textId="77777777" w:rsidR="00AE6879" w:rsidRPr="00A854F4" w:rsidRDefault="00AE6879" w:rsidP="00322AB8">
            <w:pPr>
              <w:keepNext/>
              <w:spacing w:before="60" w:after="60"/>
              <w:jc w:val="both"/>
              <w:rPr>
                <w:rFonts w:ascii="Arial" w:eastAsia="Calibri" w:hAnsi="Arial" w:cs="Arial"/>
                <w:b/>
                <w:bCs/>
                <w:sz w:val="20"/>
                <w:szCs w:val="20"/>
              </w:rPr>
            </w:pPr>
            <w:r>
              <w:rPr>
                <w:rFonts w:ascii="Arial" w:hAnsi="Arial"/>
                <w:b/>
                <w:sz w:val="20"/>
              </w:rPr>
              <w:t>Révision et publication des textes fondamentaux de la Convention</w:t>
            </w:r>
          </w:p>
          <w:p w14:paraId="65E33928" w14:textId="0CF3C0B1" w:rsidR="00724AAD" w:rsidRPr="00A854F4" w:rsidRDefault="00724AAD" w:rsidP="00322AB8">
            <w:pPr>
              <w:numPr>
                <w:ilvl w:val="0"/>
                <w:numId w:val="10"/>
              </w:numPr>
              <w:spacing w:before="60" w:after="60"/>
              <w:ind w:left="357" w:hanging="357"/>
              <w:jc w:val="both"/>
              <w:rPr>
                <w:rFonts w:ascii="Arial" w:eastAsia="Calibri" w:hAnsi="Arial" w:cs="Arial"/>
                <w:sz w:val="20"/>
                <w:szCs w:val="20"/>
              </w:rPr>
            </w:pPr>
            <w:r>
              <w:rPr>
                <w:rFonts w:ascii="Arial" w:hAnsi="Arial"/>
                <w:sz w:val="20"/>
              </w:rPr>
              <w:t>Conception, édition et publication de la version 2018 des Textes fondamentaux de la Convention dans les six langues de travail de l</w:t>
            </w:r>
            <w:r w:rsidR="00740572">
              <w:rPr>
                <w:rFonts w:ascii="Arial" w:hAnsi="Arial"/>
                <w:sz w:val="20"/>
              </w:rPr>
              <w:t>’</w:t>
            </w:r>
            <w:r>
              <w:rPr>
                <w:rFonts w:ascii="Arial" w:hAnsi="Arial"/>
                <w:sz w:val="20"/>
              </w:rPr>
              <w:t xml:space="preserve">Assemblée générale. Cette version intègre les amendements aux </w:t>
            </w:r>
            <w:r w:rsidR="001E7D1E">
              <w:rPr>
                <w:rFonts w:ascii="Arial" w:hAnsi="Arial"/>
                <w:sz w:val="20"/>
              </w:rPr>
              <w:t>d</w:t>
            </w:r>
            <w:r>
              <w:rPr>
                <w:rFonts w:ascii="Arial" w:hAnsi="Arial"/>
                <w:sz w:val="20"/>
              </w:rPr>
              <w:t>irectives opérationnelles adoptés par la septième session de l</w:t>
            </w:r>
            <w:r w:rsidR="00740572">
              <w:rPr>
                <w:rFonts w:ascii="Arial" w:hAnsi="Arial"/>
                <w:sz w:val="20"/>
              </w:rPr>
              <w:t>’</w:t>
            </w:r>
            <w:r>
              <w:rPr>
                <w:rFonts w:ascii="Arial" w:hAnsi="Arial"/>
                <w:sz w:val="20"/>
              </w:rPr>
              <w:t>Assemblée générale et les amendements au Règlement intérieur du Comité adoptés lors de sa douzième session. Pour la première fois, la publication adopte un langage respectueux de l</w:t>
            </w:r>
            <w:r w:rsidR="00740572">
              <w:rPr>
                <w:rFonts w:ascii="Arial" w:hAnsi="Arial"/>
                <w:sz w:val="20"/>
              </w:rPr>
              <w:t>’</w:t>
            </w:r>
            <w:r>
              <w:rPr>
                <w:rFonts w:ascii="Arial" w:hAnsi="Arial"/>
                <w:sz w:val="20"/>
              </w:rPr>
              <w:t>égalité des genres dans les six langues.</w:t>
            </w:r>
          </w:p>
        </w:tc>
        <w:tc>
          <w:tcPr>
            <w:tcW w:w="2697" w:type="dxa"/>
          </w:tcPr>
          <w:p w14:paraId="5914B229" w14:textId="77777777" w:rsidR="00724AAD" w:rsidRPr="00A854F4" w:rsidRDefault="00724AAD" w:rsidP="00C35DA5">
            <w:pPr>
              <w:spacing w:before="320" w:after="60"/>
              <w:ind w:left="-103"/>
              <w:jc w:val="center"/>
              <w:rPr>
                <w:rFonts w:ascii="Arial" w:eastAsia="Calibri" w:hAnsi="Arial" w:cs="Arial"/>
                <w:sz w:val="20"/>
                <w:szCs w:val="20"/>
              </w:rPr>
            </w:pPr>
            <w:r>
              <w:rPr>
                <w:rFonts w:ascii="Arial" w:hAnsi="Arial"/>
                <w:sz w:val="20"/>
              </w:rPr>
              <w:t>Accomplie</w:t>
            </w:r>
          </w:p>
        </w:tc>
      </w:tr>
    </w:tbl>
    <w:p w14:paraId="4944C7C7" w14:textId="77777777" w:rsidR="00724AAD" w:rsidRPr="00A854F4" w:rsidRDefault="00724AAD" w:rsidP="00724AAD">
      <w:pPr>
        <w:pStyle w:val="ListParagraph"/>
        <w:keepNext/>
        <w:numPr>
          <w:ilvl w:val="0"/>
          <w:numId w:val="13"/>
        </w:numPr>
        <w:spacing w:before="240"/>
        <w:ind w:left="284" w:hanging="284"/>
        <w:jc w:val="both"/>
        <w:rPr>
          <w:rFonts w:ascii="Arial" w:hAnsi="Arial" w:cs="Arial"/>
          <w:b/>
          <w:bCs/>
          <w:sz w:val="22"/>
          <w:szCs w:val="22"/>
        </w:rPr>
      </w:pPr>
      <w:r>
        <w:rPr>
          <w:rFonts w:ascii="Arial" w:hAnsi="Arial"/>
          <w:b/>
          <w:sz w:val="22"/>
        </w:rPr>
        <w:t xml:space="preserve">Rapport de mise en œuvre pour la période du 1er janvier 2020 au 30 juin 2021. </w:t>
      </w:r>
    </w:p>
    <w:p w14:paraId="6EB10A03" w14:textId="77777777" w:rsidR="00724AAD" w:rsidRPr="00ED3B35" w:rsidRDefault="00724AAD" w:rsidP="00724AAD">
      <w:pPr>
        <w:pStyle w:val="ListParagraph"/>
        <w:keepNext/>
        <w:spacing w:before="240"/>
        <w:ind w:left="567"/>
        <w:jc w:val="both"/>
        <w:rPr>
          <w:rFonts w:ascii="Arial" w:hAnsi="Arial" w:cs="Arial"/>
          <w:b/>
          <w:bCs/>
          <w:sz w:val="22"/>
          <w:szCs w:val="22"/>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724AAD" w:rsidRPr="00A854F4" w14:paraId="3A5D9460" w14:textId="77777777" w:rsidTr="00322AB8">
        <w:trPr>
          <w:jc w:val="center"/>
        </w:trPr>
        <w:tc>
          <w:tcPr>
            <w:tcW w:w="1999" w:type="pct"/>
            <w:shd w:val="clear" w:color="auto" w:fill="92D050"/>
            <w:vAlign w:val="center"/>
          </w:tcPr>
          <w:p w14:paraId="18DA0470" w14:textId="77777777" w:rsidR="00724AAD" w:rsidRPr="00A854F4" w:rsidRDefault="00724AAD" w:rsidP="00C35DA5">
            <w:pPr>
              <w:keepNext/>
              <w:spacing w:before="120"/>
              <w:jc w:val="center"/>
              <w:rPr>
                <w:rFonts w:ascii="Arial" w:eastAsia="Calibri" w:hAnsi="Arial" w:cs="Arial"/>
                <w:b/>
                <w:sz w:val="20"/>
                <w:szCs w:val="20"/>
              </w:rPr>
            </w:pPr>
            <w:r>
              <w:rPr>
                <w:rFonts w:ascii="Arial" w:hAnsi="Arial"/>
                <w:b/>
                <w:sz w:val="20"/>
              </w:rPr>
              <w:t>Allocation</w:t>
            </w:r>
          </w:p>
        </w:tc>
        <w:tc>
          <w:tcPr>
            <w:tcW w:w="2118" w:type="pct"/>
            <w:shd w:val="clear" w:color="auto" w:fill="92D050"/>
            <w:vAlign w:val="center"/>
          </w:tcPr>
          <w:p w14:paraId="7EE8ED2A" w14:textId="77777777" w:rsidR="00724AAD" w:rsidRPr="00A854F4" w:rsidRDefault="00724AAD" w:rsidP="00C35DA5">
            <w:pPr>
              <w:spacing w:before="120"/>
              <w:jc w:val="center"/>
              <w:rPr>
                <w:rFonts w:ascii="Arial" w:eastAsia="Calibri" w:hAnsi="Arial" w:cs="Arial"/>
                <w:b/>
                <w:sz w:val="20"/>
                <w:szCs w:val="20"/>
              </w:rPr>
            </w:pPr>
            <w:r>
              <w:rPr>
                <w:rFonts w:ascii="Arial" w:hAnsi="Arial"/>
                <w:b/>
                <w:sz w:val="20"/>
              </w:rPr>
              <w:t>Dépenses</w:t>
            </w:r>
          </w:p>
        </w:tc>
        <w:tc>
          <w:tcPr>
            <w:tcW w:w="883" w:type="pct"/>
            <w:shd w:val="clear" w:color="auto" w:fill="92D050"/>
            <w:vAlign w:val="center"/>
          </w:tcPr>
          <w:p w14:paraId="48DF521A" w14:textId="77777777" w:rsidR="00724AAD" w:rsidRPr="00A854F4" w:rsidRDefault="00724AAD" w:rsidP="00C35DA5">
            <w:pPr>
              <w:spacing w:before="120"/>
              <w:jc w:val="center"/>
              <w:rPr>
                <w:rFonts w:ascii="Arial" w:eastAsia="Calibri" w:hAnsi="Arial" w:cs="Arial"/>
                <w:b/>
                <w:sz w:val="20"/>
                <w:szCs w:val="20"/>
              </w:rPr>
            </w:pPr>
            <w:r>
              <w:rPr>
                <w:rFonts w:ascii="Arial" w:hAnsi="Arial"/>
                <w:b/>
                <w:sz w:val="20"/>
              </w:rPr>
              <w:t>Taux de dépense (%)</w:t>
            </w:r>
            <w:r>
              <w:rPr>
                <w:rFonts w:ascii="Arial" w:hAnsi="Arial"/>
                <w:b/>
                <w:sz w:val="20"/>
              </w:rPr>
              <w:br/>
              <w:t>au 30/06/2021</w:t>
            </w:r>
          </w:p>
        </w:tc>
      </w:tr>
      <w:tr w:rsidR="00724AAD" w:rsidRPr="00A854F4" w14:paraId="638A44E8" w14:textId="77777777" w:rsidTr="00C35DA5">
        <w:trPr>
          <w:jc w:val="center"/>
        </w:trPr>
        <w:tc>
          <w:tcPr>
            <w:tcW w:w="1999" w:type="pct"/>
            <w:shd w:val="clear" w:color="auto" w:fill="auto"/>
          </w:tcPr>
          <w:p w14:paraId="3311F40D" w14:textId="77777777" w:rsidR="00724AAD" w:rsidRPr="00A854F4" w:rsidRDefault="00724AAD" w:rsidP="00C35DA5">
            <w:pPr>
              <w:spacing w:before="120"/>
              <w:jc w:val="center"/>
              <w:rPr>
                <w:rFonts w:ascii="Arial" w:eastAsia="Calibri" w:hAnsi="Arial" w:cs="Arial"/>
                <w:sz w:val="20"/>
                <w:szCs w:val="20"/>
              </w:rPr>
            </w:pPr>
            <w:r>
              <w:rPr>
                <w:rFonts w:ascii="Arial" w:hAnsi="Arial"/>
                <w:sz w:val="20"/>
              </w:rPr>
              <w:t>423 380,00</w:t>
            </w:r>
          </w:p>
        </w:tc>
        <w:tc>
          <w:tcPr>
            <w:tcW w:w="2118" w:type="pct"/>
            <w:shd w:val="clear" w:color="auto" w:fill="auto"/>
          </w:tcPr>
          <w:p w14:paraId="52CC7402" w14:textId="4A4816C4" w:rsidR="00724AAD" w:rsidRPr="00A854F4" w:rsidRDefault="00724AAD" w:rsidP="00C35DA5">
            <w:pPr>
              <w:spacing w:before="120"/>
              <w:jc w:val="center"/>
              <w:rPr>
                <w:rFonts w:ascii="Arial" w:eastAsia="Calibri" w:hAnsi="Arial" w:cs="Arial"/>
                <w:sz w:val="20"/>
                <w:szCs w:val="20"/>
              </w:rPr>
            </w:pPr>
            <w:r>
              <w:rPr>
                <w:rFonts w:ascii="Arial" w:hAnsi="Arial"/>
                <w:sz w:val="20"/>
              </w:rPr>
              <w:t>175</w:t>
            </w:r>
            <w:r w:rsidR="005C35AE">
              <w:rPr>
                <w:rFonts w:ascii="Arial" w:hAnsi="Arial"/>
                <w:sz w:val="20"/>
              </w:rPr>
              <w:t xml:space="preserve"> </w:t>
            </w:r>
            <w:r>
              <w:rPr>
                <w:rFonts w:ascii="Arial" w:hAnsi="Arial"/>
                <w:sz w:val="20"/>
              </w:rPr>
              <w:t>459,21</w:t>
            </w:r>
          </w:p>
        </w:tc>
        <w:tc>
          <w:tcPr>
            <w:tcW w:w="883" w:type="pct"/>
            <w:shd w:val="clear" w:color="auto" w:fill="auto"/>
          </w:tcPr>
          <w:p w14:paraId="088B500A" w14:textId="77777777" w:rsidR="00724AAD" w:rsidRPr="00A854F4" w:rsidRDefault="00724AAD" w:rsidP="00C35DA5">
            <w:pPr>
              <w:spacing w:before="120"/>
              <w:jc w:val="center"/>
              <w:rPr>
                <w:rFonts w:ascii="Arial" w:eastAsia="Calibri" w:hAnsi="Arial" w:cs="Arial"/>
                <w:sz w:val="20"/>
                <w:szCs w:val="20"/>
              </w:rPr>
            </w:pPr>
            <w:r>
              <w:rPr>
                <w:rFonts w:ascii="Arial" w:hAnsi="Arial"/>
                <w:sz w:val="20"/>
              </w:rPr>
              <w:t>41,4 %</w:t>
            </w:r>
          </w:p>
        </w:tc>
      </w:tr>
    </w:tbl>
    <w:p w14:paraId="4A8257BD" w14:textId="25459216" w:rsidR="00724AAD" w:rsidRDefault="00724AAD" w:rsidP="00724AAD">
      <w:pPr>
        <w:spacing w:after="0"/>
        <w:rPr>
          <w:rFonts w:ascii="Arial" w:hAnsi="Arial" w:cs="Arial"/>
          <w:szCs w:val="22"/>
        </w:rPr>
      </w:pPr>
    </w:p>
    <w:p w14:paraId="790228C9" w14:textId="77777777" w:rsidR="00541A1C" w:rsidRPr="00A854F4" w:rsidRDefault="00541A1C" w:rsidP="00724AAD">
      <w:pPr>
        <w:spacing w:after="0"/>
        <w:rPr>
          <w:rFonts w:ascii="Arial" w:hAnsi="Arial" w:cs="Arial"/>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gridCol w:w="2835"/>
      </w:tblGrid>
      <w:tr w:rsidR="00724AAD" w:rsidRPr="00A854F4" w14:paraId="35C98D6A" w14:textId="77777777" w:rsidTr="00C35DA5">
        <w:trPr>
          <w:tblHeader/>
          <w:jc w:val="center"/>
        </w:trPr>
        <w:tc>
          <w:tcPr>
            <w:tcW w:w="6803" w:type="dxa"/>
            <w:shd w:val="clear" w:color="auto" w:fill="D9D9D9"/>
            <w:vAlign w:val="center"/>
          </w:tcPr>
          <w:p w14:paraId="056CD73D" w14:textId="77777777" w:rsidR="00724AAD" w:rsidRPr="00A854F4" w:rsidRDefault="00724AAD" w:rsidP="00C35DA5">
            <w:pPr>
              <w:spacing w:before="60" w:after="60"/>
              <w:jc w:val="center"/>
              <w:rPr>
                <w:rFonts w:ascii="Arial" w:eastAsia="Calibri" w:hAnsi="Arial" w:cs="Arial"/>
                <w:b/>
                <w:sz w:val="20"/>
                <w:szCs w:val="20"/>
              </w:rPr>
            </w:pPr>
            <w:r>
              <w:rPr>
                <w:rFonts w:ascii="Arial" w:hAnsi="Arial"/>
                <w:b/>
                <w:sz w:val="20"/>
              </w:rPr>
              <w:lastRenderedPageBreak/>
              <w:t>Évaluation des progrès :</w:t>
            </w:r>
            <w:r>
              <w:rPr>
                <w:rFonts w:ascii="Arial" w:hAnsi="Arial"/>
                <w:b/>
                <w:sz w:val="20"/>
              </w:rPr>
              <w:br/>
              <w:t>du 01/01/2020 au 30/06/2021</w:t>
            </w:r>
          </w:p>
        </w:tc>
        <w:tc>
          <w:tcPr>
            <w:tcW w:w="2835" w:type="dxa"/>
            <w:shd w:val="clear" w:color="auto" w:fill="D9D9D9"/>
            <w:vAlign w:val="center"/>
          </w:tcPr>
          <w:p w14:paraId="3B89F004" w14:textId="77777777" w:rsidR="00724AAD" w:rsidRPr="00A854F4" w:rsidRDefault="00724AAD" w:rsidP="00C35DA5">
            <w:pPr>
              <w:spacing w:before="60" w:after="60"/>
              <w:jc w:val="center"/>
              <w:rPr>
                <w:rFonts w:ascii="Arial" w:eastAsia="Calibri" w:hAnsi="Arial" w:cs="Arial"/>
                <w:b/>
                <w:sz w:val="20"/>
                <w:szCs w:val="20"/>
              </w:rPr>
            </w:pPr>
            <w:r>
              <w:rPr>
                <w:rFonts w:ascii="Arial" w:hAnsi="Arial"/>
                <w:b/>
                <w:sz w:val="20"/>
              </w:rPr>
              <w:t>Évaluation de la mise en œuvre</w:t>
            </w:r>
          </w:p>
        </w:tc>
      </w:tr>
      <w:tr w:rsidR="00724AAD" w:rsidRPr="00A854F4" w14:paraId="777CBD77" w14:textId="77777777" w:rsidTr="00C35DA5">
        <w:trPr>
          <w:jc w:val="center"/>
        </w:trPr>
        <w:tc>
          <w:tcPr>
            <w:tcW w:w="6803" w:type="dxa"/>
            <w:shd w:val="clear" w:color="auto" w:fill="auto"/>
          </w:tcPr>
          <w:p w14:paraId="1042EBAF" w14:textId="77777777" w:rsidR="00724AAD" w:rsidRPr="00A854F4" w:rsidRDefault="00724AAD" w:rsidP="00322AB8">
            <w:pPr>
              <w:spacing w:before="60" w:after="60"/>
              <w:jc w:val="both"/>
              <w:rPr>
                <w:rFonts w:ascii="Arial" w:eastAsia="Calibri" w:hAnsi="Arial" w:cs="Arial"/>
                <w:b/>
                <w:bCs/>
                <w:sz w:val="20"/>
                <w:szCs w:val="20"/>
              </w:rPr>
            </w:pPr>
            <w:r>
              <w:rPr>
                <w:rFonts w:ascii="Arial" w:hAnsi="Arial"/>
                <w:b/>
                <w:sz w:val="20"/>
              </w:rPr>
              <w:t>Optimisation des processus et délais de réaction grâce aux interfaces de suivi et aux flux de travail en ligne</w:t>
            </w:r>
          </w:p>
          <w:p w14:paraId="725859AF" w14:textId="1AB14F47" w:rsidR="00724AAD" w:rsidRPr="00A854F4" w:rsidRDefault="00724AAD" w:rsidP="00322AB8">
            <w:pPr>
              <w:numPr>
                <w:ilvl w:val="0"/>
                <w:numId w:val="10"/>
              </w:numPr>
              <w:spacing w:before="60" w:after="60"/>
              <w:ind w:left="357" w:hanging="357"/>
              <w:jc w:val="both"/>
              <w:rPr>
                <w:rFonts w:ascii="Arial" w:eastAsia="Calibri" w:hAnsi="Arial" w:cs="Arial"/>
                <w:sz w:val="20"/>
                <w:szCs w:val="20"/>
              </w:rPr>
            </w:pPr>
            <w:r>
              <w:rPr>
                <w:rFonts w:ascii="Arial" w:hAnsi="Arial"/>
                <w:sz w:val="20"/>
              </w:rPr>
              <w:t>Amélioration de l</w:t>
            </w:r>
            <w:r w:rsidR="00740572">
              <w:rPr>
                <w:rFonts w:ascii="Arial" w:hAnsi="Arial"/>
                <w:sz w:val="20"/>
              </w:rPr>
              <w:t>’</w:t>
            </w:r>
            <w:r>
              <w:rPr>
                <w:rFonts w:ascii="Arial" w:hAnsi="Arial"/>
                <w:sz w:val="20"/>
              </w:rPr>
              <w:t>interface en ligne de l</w:t>
            </w:r>
            <w:r w:rsidR="00740572">
              <w:rPr>
                <w:rFonts w:ascii="Arial" w:hAnsi="Arial"/>
                <w:sz w:val="20"/>
              </w:rPr>
              <w:t>’</w:t>
            </w:r>
            <w:r>
              <w:rPr>
                <w:rFonts w:ascii="Arial" w:hAnsi="Arial"/>
                <w:sz w:val="20"/>
              </w:rPr>
              <w:t>Organe d</w:t>
            </w:r>
            <w:r w:rsidR="00740572">
              <w:rPr>
                <w:rFonts w:ascii="Arial" w:hAnsi="Arial"/>
                <w:sz w:val="20"/>
              </w:rPr>
              <w:t>’</w:t>
            </w:r>
            <w:r>
              <w:rPr>
                <w:rFonts w:ascii="Arial" w:hAnsi="Arial"/>
                <w:sz w:val="20"/>
              </w:rPr>
              <w:t xml:space="preserve">évaluation pour faciliter son travail par des moyens </w:t>
            </w:r>
            <w:r w:rsidR="00B341AB">
              <w:rPr>
                <w:rFonts w:ascii="Arial" w:hAnsi="Arial"/>
                <w:sz w:val="20"/>
              </w:rPr>
              <w:t>numériques</w:t>
            </w:r>
            <w:r>
              <w:rPr>
                <w:rFonts w:ascii="Arial" w:hAnsi="Arial"/>
                <w:sz w:val="20"/>
              </w:rPr>
              <w:t>, y compris possibilité de consulter les textes d</w:t>
            </w:r>
            <w:r w:rsidR="00740572">
              <w:rPr>
                <w:rFonts w:ascii="Arial" w:hAnsi="Arial"/>
                <w:sz w:val="20"/>
              </w:rPr>
              <w:t>’</w:t>
            </w:r>
            <w:r>
              <w:rPr>
                <w:rFonts w:ascii="Arial" w:hAnsi="Arial"/>
                <w:sz w:val="20"/>
              </w:rPr>
              <w:t>évaluation respectifs et d</w:t>
            </w:r>
            <w:r w:rsidR="00740572">
              <w:rPr>
                <w:rFonts w:ascii="Arial" w:hAnsi="Arial"/>
                <w:sz w:val="20"/>
              </w:rPr>
              <w:t>’</w:t>
            </w:r>
            <w:r>
              <w:rPr>
                <w:rFonts w:ascii="Arial" w:hAnsi="Arial"/>
                <w:sz w:val="20"/>
              </w:rPr>
              <w:t>échanger entre ses réunions.</w:t>
            </w:r>
          </w:p>
          <w:p w14:paraId="427588DB" w14:textId="011FD4F4" w:rsidR="00724AAD" w:rsidRPr="00A854F4" w:rsidRDefault="00D50750" w:rsidP="00322AB8">
            <w:pPr>
              <w:numPr>
                <w:ilvl w:val="0"/>
                <w:numId w:val="10"/>
              </w:numPr>
              <w:spacing w:before="60" w:after="60"/>
              <w:ind w:left="357" w:hanging="357"/>
              <w:jc w:val="both"/>
              <w:rPr>
                <w:rFonts w:ascii="Arial" w:eastAsia="Calibri" w:hAnsi="Arial" w:cs="Arial"/>
                <w:sz w:val="20"/>
                <w:szCs w:val="20"/>
              </w:rPr>
            </w:pPr>
            <w:r>
              <w:rPr>
                <w:rFonts w:ascii="Arial" w:hAnsi="Arial"/>
                <w:sz w:val="20"/>
              </w:rPr>
              <w:t>Élaboration d</w:t>
            </w:r>
            <w:r w:rsidR="00740572">
              <w:rPr>
                <w:rFonts w:ascii="Arial" w:hAnsi="Arial"/>
                <w:sz w:val="20"/>
              </w:rPr>
              <w:t>’</w:t>
            </w:r>
            <w:r>
              <w:rPr>
                <w:rFonts w:ascii="Arial" w:hAnsi="Arial"/>
                <w:sz w:val="20"/>
              </w:rPr>
              <w:t>un outil en ligne pour améliorer le travail du Comité et de l</w:t>
            </w:r>
            <w:r w:rsidR="00740572">
              <w:rPr>
                <w:rFonts w:ascii="Arial" w:hAnsi="Arial"/>
                <w:sz w:val="20"/>
              </w:rPr>
              <w:t>’</w:t>
            </w:r>
            <w:r>
              <w:rPr>
                <w:rFonts w:ascii="Arial" w:hAnsi="Arial"/>
                <w:sz w:val="20"/>
              </w:rPr>
              <w:t xml:space="preserve">Assemblée générale (événements parallèles, </w:t>
            </w:r>
            <w:r w:rsidR="00541A1C">
              <w:rPr>
                <w:rFonts w:ascii="Arial" w:hAnsi="Arial"/>
                <w:sz w:val="20"/>
              </w:rPr>
              <w:t xml:space="preserve">en ligne </w:t>
            </w:r>
            <w:r>
              <w:rPr>
                <w:rFonts w:ascii="Arial" w:hAnsi="Arial"/>
                <w:sz w:val="20"/>
              </w:rPr>
              <w:t xml:space="preserve">ou </w:t>
            </w:r>
            <w:r w:rsidR="00541A1C">
              <w:rPr>
                <w:rFonts w:ascii="Arial" w:hAnsi="Arial"/>
                <w:sz w:val="20"/>
              </w:rPr>
              <w:t>en présentiel</w:t>
            </w:r>
            <w:r>
              <w:rPr>
                <w:rFonts w:ascii="Arial" w:hAnsi="Arial"/>
                <w:sz w:val="20"/>
              </w:rPr>
              <w:t>, publications, etc.).</w:t>
            </w:r>
          </w:p>
        </w:tc>
        <w:tc>
          <w:tcPr>
            <w:tcW w:w="2835" w:type="dxa"/>
          </w:tcPr>
          <w:p w14:paraId="3210242F" w14:textId="77777777" w:rsidR="00105CF8" w:rsidRPr="00A854F4" w:rsidRDefault="00724AAD" w:rsidP="00C35DA5">
            <w:pPr>
              <w:spacing w:before="320" w:after="60"/>
              <w:jc w:val="center"/>
              <w:rPr>
                <w:rFonts w:ascii="Arial" w:eastAsia="Calibri" w:hAnsi="Arial" w:cs="Arial"/>
                <w:sz w:val="20"/>
                <w:szCs w:val="20"/>
              </w:rPr>
            </w:pPr>
            <w:r>
              <w:rPr>
                <w:rFonts w:ascii="Arial" w:hAnsi="Arial"/>
                <w:sz w:val="20"/>
              </w:rPr>
              <w:t xml:space="preserve">Partiellement accomplie </w:t>
            </w:r>
          </w:p>
          <w:p w14:paraId="3048E4C2" w14:textId="77777777" w:rsidR="00724AAD" w:rsidRPr="00A854F4" w:rsidRDefault="00724AAD" w:rsidP="009C63AA">
            <w:pPr>
              <w:spacing w:after="60"/>
              <w:jc w:val="center"/>
              <w:rPr>
                <w:rFonts w:ascii="Arial" w:eastAsia="Calibri" w:hAnsi="Arial" w:cs="Arial"/>
                <w:sz w:val="20"/>
                <w:szCs w:val="20"/>
              </w:rPr>
            </w:pPr>
            <w:r>
              <w:rPr>
                <w:rFonts w:ascii="Arial" w:hAnsi="Arial"/>
                <w:sz w:val="20"/>
              </w:rPr>
              <w:t>(en cours)</w:t>
            </w:r>
          </w:p>
        </w:tc>
      </w:tr>
      <w:tr w:rsidR="00724AAD" w:rsidRPr="00A854F4" w14:paraId="2D4DEFF5" w14:textId="77777777" w:rsidTr="00C35DA5">
        <w:trPr>
          <w:jc w:val="center"/>
        </w:trPr>
        <w:tc>
          <w:tcPr>
            <w:tcW w:w="6803" w:type="dxa"/>
            <w:shd w:val="clear" w:color="auto" w:fill="auto"/>
          </w:tcPr>
          <w:p w14:paraId="077D7A04" w14:textId="3D393755" w:rsidR="00724AAD" w:rsidRPr="00A854F4" w:rsidRDefault="00724AAD" w:rsidP="00322AB8">
            <w:pPr>
              <w:spacing w:before="60" w:after="60"/>
              <w:jc w:val="both"/>
              <w:rPr>
                <w:rFonts w:ascii="Arial" w:eastAsia="Calibri" w:hAnsi="Arial" w:cs="Arial"/>
                <w:b/>
                <w:bCs/>
                <w:sz w:val="20"/>
                <w:szCs w:val="20"/>
              </w:rPr>
            </w:pPr>
            <w:r>
              <w:rPr>
                <w:rFonts w:ascii="Arial" w:hAnsi="Arial"/>
                <w:b/>
                <w:sz w:val="20"/>
              </w:rPr>
              <w:t>Démonstration de l</w:t>
            </w:r>
            <w:r w:rsidR="00740572">
              <w:rPr>
                <w:rFonts w:ascii="Arial" w:hAnsi="Arial"/>
                <w:b/>
                <w:sz w:val="20"/>
              </w:rPr>
              <w:t>’</w:t>
            </w:r>
            <w:r>
              <w:rPr>
                <w:rFonts w:ascii="Arial" w:hAnsi="Arial"/>
                <w:b/>
                <w:sz w:val="20"/>
              </w:rPr>
              <w:t>importance de sauvegarder le patrimoine vivant pour le développement durable</w:t>
            </w:r>
          </w:p>
          <w:p w14:paraId="73BEA1A0" w14:textId="570C958A" w:rsidR="00724AAD" w:rsidRPr="00A854F4" w:rsidRDefault="00724AAD" w:rsidP="00322AB8">
            <w:pPr>
              <w:numPr>
                <w:ilvl w:val="0"/>
                <w:numId w:val="10"/>
              </w:numPr>
              <w:spacing w:before="60" w:after="60"/>
              <w:ind w:left="357" w:hanging="357"/>
              <w:jc w:val="both"/>
              <w:rPr>
                <w:rFonts w:ascii="Arial" w:eastAsia="Calibri" w:hAnsi="Arial" w:cs="Arial"/>
                <w:sz w:val="20"/>
                <w:szCs w:val="20"/>
              </w:rPr>
            </w:pPr>
            <w:r>
              <w:rPr>
                <w:rFonts w:ascii="Arial" w:hAnsi="Arial"/>
                <w:sz w:val="20"/>
              </w:rPr>
              <w:t>Lancement et mise à disposition de la visualisation et de l</w:t>
            </w:r>
            <w:r w:rsidR="00740572">
              <w:rPr>
                <w:rFonts w:ascii="Arial" w:hAnsi="Arial"/>
                <w:sz w:val="20"/>
              </w:rPr>
              <w:t>’</w:t>
            </w:r>
            <w:r>
              <w:rPr>
                <w:rFonts w:ascii="Arial" w:hAnsi="Arial"/>
                <w:sz w:val="20"/>
              </w:rPr>
              <w:t>indexation des données sur la contribution du patrimoine culturel immatériel aux objectifs de développement durable (ODD) dans deux langues (anglais et français) sur le site Internet de la Convention.</w:t>
            </w:r>
          </w:p>
        </w:tc>
        <w:tc>
          <w:tcPr>
            <w:tcW w:w="2835" w:type="dxa"/>
          </w:tcPr>
          <w:p w14:paraId="734B5D79" w14:textId="77777777" w:rsidR="00724AAD" w:rsidRPr="00A854F4" w:rsidRDefault="00724AAD" w:rsidP="00C35DA5">
            <w:pPr>
              <w:spacing w:before="320" w:after="60"/>
              <w:jc w:val="center"/>
              <w:rPr>
                <w:rFonts w:ascii="Arial" w:eastAsia="Calibri" w:hAnsi="Arial" w:cs="Arial"/>
                <w:sz w:val="20"/>
                <w:szCs w:val="20"/>
              </w:rPr>
            </w:pPr>
            <w:r>
              <w:rPr>
                <w:rFonts w:ascii="Arial" w:hAnsi="Arial"/>
                <w:sz w:val="20"/>
              </w:rPr>
              <w:t>Accomplie</w:t>
            </w:r>
          </w:p>
        </w:tc>
      </w:tr>
      <w:tr w:rsidR="00724AAD" w:rsidRPr="00A854F4" w14:paraId="4D639C1E" w14:textId="77777777" w:rsidTr="00C35DA5">
        <w:trPr>
          <w:jc w:val="center"/>
        </w:trPr>
        <w:tc>
          <w:tcPr>
            <w:tcW w:w="6803" w:type="dxa"/>
            <w:shd w:val="clear" w:color="auto" w:fill="auto"/>
          </w:tcPr>
          <w:p w14:paraId="21FB4D5E" w14:textId="77777777" w:rsidR="00724AAD" w:rsidRPr="00A854F4" w:rsidRDefault="00724AAD" w:rsidP="00322AB8">
            <w:pPr>
              <w:keepNext/>
              <w:spacing w:before="60" w:after="60"/>
              <w:jc w:val="both"/>
              <w:rPr>
                <w:rFonts w:ascii="Arial" w:eastAsia="Calibri" w:hAnsi="Arial" w:cs="Arial"/>
                <w:b/>
                <w:bCs/>
                <w:sz w:val="20"/>
                <w:szCs w:val="20"/>
              </w:rPr>
            </w:pPr>
            <w:r>
              <w:rPr>
                <w:rFonts w:ascii="Arial" w:hAnsi="Arial"/>
                <w:b/>
                <w:sz w:val="20"/>
              </w:rPr>
              <w:t>Renforcement des interactions avec les principales parties prenantes pour de meilleures synergies</w:t>
            </w:r>
          </w:p>
          <w:p w14:paraId="40D3CDF0" w14:textId="404EB2FB" w:rsidR="00724AAD" w:rsidRPr="00A854F4" w:rsidRDefault="005B7298" w:rsidP="00322AB8">
            <w:pPr>
              <w:numPr>
                <w:ilvl w:val="0"/>
                <w:numId w:val="10"/>
              </w:numPr>
              <w:spacing w:before="60" w:after="60"/>
              <w:ind w:left="357" w:hanging="357"/>
              <w:jc w:val="both"/>
              <w:rPr>
                <w:rFonts w:ascii="Arial" w:eastAsia="Calibri" w:hAnsi="Arial" w:cs="Arial"/>
                <w:sz w:val="20"/>
                <w:szCs w:val="20"/>
              </w:rPr>
            </w:pPr>
            <w:r>
              <w:rPr>
                <w:rFonts w:ascii="Arial" w:hAnsi="Arial"/>
                <w:sz w:val="20"/>
              </w:rPr>
              <w:t>Cartographie en cours des domaines de compétences des ONG accréditées en coopération avec le Forum des ONG du PCI, sur la base des demandes d</w:t>
            </w:r>
            <w:r w:rsidR="00740572">
              <w:rPr>
                <w:rFonts w:ascii="Arial" w:hAnsi="Arial"/>
                <w:sz w:val="20"/>
              </w:rPr>
              <w:t>’</w:t>
            </w:r>
            <w:r>
              <w:rPr>
                <w:rFonts w:ascii="Arial" w:hAnsi="Arial"/>
                <w:sz w:val="20"/>
              </w:rPr>
              <w:t>accréditation et des rapports soumis par les ONG, et réalisation d</w:t>
            </w:r>
            <w:r w:rsidR="00740572">
              <w:rPr>
                <w:rFonts w:ascii="Arial" w:hAnsi="Arial"/>
                <w:sz w:val="20"/>
              </w:rPr>
              <w:t>’</w:t>
            </w:r>
            <w:r>
              <w:rPr>
                <w:rFonts w:ascii="Arial" w:hAnsi="Arial"/>
                <w:sz w:val="20"/>
              </w:rPr>
              <w:t>une enquête en ligne.</w:t>
            </w:r>
          </w:p>
          <w:p w14:paraId="18905245" w14:textId="014B07C8" w:rsidR="008D77B7" w:rsidRPr="00A854F4" w:rsidRDefault="008D77B7" w:rsidP="00322AB8">
            <w:pPr>
              <w:numPr>
                <w:ilvl w:val="0"/>
                <w:numId w:val="10"/>
              </w:numPr>
              <w:spacing w:before="60" w:after="60"/>
              <w:ind w:left="357" w:hanging="357"/>
              <w:jc w:val="both"/>
              <w:rPr>
                <w:rFonts w:ascii="Arial" w:eastAsia="Calibri" w:hAnsi="Arial" w:cs="Arial"/>
                <w:sz w:val="20"/>
                <w:szCs w:val="20"/>
              </w:rPr>
            </w:pPr>
            <w:r>
              <w:rPr>
                <w:rFonts w:ascii="Arial" w:hAnsi="Arial"/>
                <w:sz w:val="20"/>
              </w:rPr>
              <w:t>Élaboration en cours d</w:t>
            </w:r>
            <w:r w:rsidR="00740572">
              <w:rPr>
                <w:rFonts w:ascii="Arial" w:hAnsi="Arial"/>
                <w:sz w:val="20"/>
              </w:rPr>
              <w:t>’</w:t>
            </w:r>
            <w:r>
              <w:rPr>
                <w:rFonts w:ascii="Arial" w:hAnsi="Arial"/>
                <w:sz w:val="20"/>
              </w:rPr>
              <w:t>une stratégie destinée à améliorer les mécanismes d</w:t>
            </w:r>
            <w:r w:rsidR="00740572">
              <w:rPr>
                <w:rFonts w:ascii="Arial" w:hAnsi="Arial"/>
                <w:sz w:val="20"/>
              </w:rPr>
              <w:t>’</w:t>
            </w:r>
            <w:r>
              <w:rPr>
                <w:rFonts w:ascii="Arial" w:hAnsi="Arial"/>
                <w:sz w:val="20"/>
              </w:rPr>
              <w:t>assistance internationale, notamment par l</w:t>
            </w:r>
            <w:r w:rsidR="00740572">
              <w:rPr>
                <w:rFonts w:ascii="Arial" w:hAnsi="Arial"/>
                <w:sz w:val="20"/>
              </w:rPr>
              <w:t>’</w:t>
            </w:r>
            <w:r>
              <w:rPr>
                <w:rFonts w:ascii="Arial" w:hAnsi="Arial"/>
                <w:sz w:val="20"/>
              </w:rPr>
              <w:t>élaboration d</w:t>
            </w:r>
            <w:r w:rsidR="00740572">
              <w:rPr>
                <w:rFonts w:ascii="Arial" w:hAnsi="Arial"/>
                <w:sz w:val="20"/>
              </w:rPr>
              <w:t>’</w:t>
            </w:r>
            <w:r>
              <w:rPr>
                <w:rFonts w:ascii="Arial" w:hAnsi="Arial"/>
                <w:sz w:val="20"/>
              </w:rPr>
              <w:t>une trousse à outils de communication.</w:t>
            </w:r>
          </w:p>
        </w:tc>
        <w:tc>
          <w:tcPr>
            <w:tcW w:w="2835" w:type="dxa"/>
          </w:tcPr>
          <w:p w14:paraId="73B0F1FC" w14:textId="77777777" w:rsidR="00105CF8" w:rsidRPr="00A854F4" w:rsidRDefault="00724AAD" w:rsidP="00C35DA5">
            <w:pPr>
              <w:spacing w:before="320" w:after="60"/>
              <w:jc w:val="center"/>
              <w:rPr>
                <w:rFonts w:ascii="Arial" w:eastAsia="Calibri" w:hAnsi="Arial" w:cs="Arial"/>
                <w:sz w:val="20"/>
                <w:szCs w:val="20"/>
              </w:rPr>
            </w:pPr>
            <w:r>
              <w:rPr>
                <w:rFonts w:ascii="Arial" w:hAnsi="Arial"/>
                <w:sz w:val="20"/>
              </w:rPr>
              <w:t xml:space="preserve">Partiellement accomplie </w:t>
            </w:r>
          </w:p>
          <w:p w14:paraId="66405757" w14:textId="77777777" w:rsidR="00724AAD" w:rsidRPr="00A854F4" w:rsidRDefault="00724AAD" w:rsidP="009C63AA">
            <w:pPr>
              <w:spacing w:after="60"/>
              <w:jc w:val="center"/>
              <w:rPr>
                <w:rFonts w:ascii="Arial" w:eastAsia="Calibri" w:hAnsi="Arial" w:cs="Arial"/>
                <w:sz w:val="20"/>
                <w:szCs w:val="20"/>
              </w:rPr>
            </w:pPr>
            <w:r>
              <w:rPr>
                <w:rFonts w:ascii="Arial" w:hAnsi="Arial"/>
                <w:sz w:val="20"/>
              </w:rPr>
              <w:t>(en cours)</w:t>
            </w:r>
          </w:p>
        </w:tc>
      </w:tr>
    </w:tbl>
    <w:p w14:paraId="0168F9E1" w14:textId="77777777" w:rsidR="00724AAD" w:rsidRPr="00A854F4" w:rsidRDefault="00724AAD" w:rsidP="00724AAD">
      <w:pPr>
        <w:pStyle w:val="ListParagraph"/>
        <w:keepNext/>
        <w:numPr>
          <w:ilvl w:val="0"/>
          <w:numId w:val="13"/>
        </w:numPr>
        <w:spacing w:before="240"/>
        <w:ind w:left="284" w:hanging="284"/>
        <w:rPr>
          <w:rFonts w:ascii="Arial" w:hAnsi="Arial" w:cs="Arial"/>
          <w:b/>
          <w:sz w:val="22"/>
          <w:szCs w:val="22"/>
        </w:rPr>
      </w:pPr>
      <w:r>
        <w:rPr>
          <w:rFonts w:ascii="Arial" w:hAnsi="Arial"/>
          <w:b/>
          <w:sz w:val="22"/>
        </w:rPr>
        <w:t>Défis et risques rencontrés dans la mise en œuvre et mesures correctives (2020-2021)</w:t>
      </w:r>
    </w:p>
    <w:p w14:paraId="3346CB16" w14:textId="77777777" w:rsidR="00724AAD" w:rsidRPr="00ED3B35" w:rsidRDefault="00724AAD" w:rsidP="00724AAD">
      <w:pPr>
        <w:pStyle w:val="ListParagraph"/>
        <w:keepNext/>
        <w:spacing w:before="240"/>
        <w:ind w:left="284"/>
        <w:rPr>
          <w:rFonts w:ascii="Arial" w:hAnsi="Arial" w:cs="Arial"/>
          <w:b/>
          <w:sz w:val="22"/>
          <w:szCs w:val="22"/>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724AAD" w:rsidRPr="00A854F4" w14:paraId="76B877AD" w14:textId="77777777" w:rsidTr="00C35DA5">
        <w:trPr>
          <w:tblHeader/>
          <w:jc w:val="center"/>
        </w:trPr>
        <w:tc>
          <w:tcPr>
            <w:tcW w:w="2500" w:type="pct"/>
            <w:shd w:val="clear" w:color="auto" w:fill="D9D9D9"/>
            <w:vAlign w:val="center"/>
          </w:tcPr>
          <w:p w14:paraId="3DE9D420" w14:textId="77777777" w:rsidR="00724AAD" w:rsidRPr="00A854F4" w:rsidRDefault="00724AAD" w:rsidP="00C35DA5">
            <w:pPr>
              <w:keepNext/>
              <w:spacing w:before="60" w:after="60"/>
              <w:jc w:val="center"/>
              <w:rPr>
                <w:rFonts w:ascii="Arial" w:hAnsi="Arial" w:cs="Arial"/>
                <w:b/>
                <w:sz w:val="20"/>
                <w:szCs w:val="20"/>
              </w:rPr>
            </w:pPr>
            <w:r>
              <w:rPr>
                <w:rFonts w:ascii="Arial" w:hAnsi="Arial"/>
                <w:b/>
                <w:sz w:val="20"/>
              </w:rPr>
              <w:t>Principaux défis</w:t>
            </w:r>
          </w:p>
        </w:tc>
        <w:tc>
          <w:tcPr>
            <w:tcW w:w="2500" w:type="pct"/>
            <w:shd w:val="clear" w:color="auto" w:fill="D9D9D9"/>
            <w:vAlign w:val="center"/>
          </w:tcPr>
          <w:p w14:paraId="4E7B9964" w14:textId="77777777" w:rsidR="00724AAD" w:rsidRPr="00A854F4" w:rsidRDefault="00724AAD" w:rsidP="00C35DA5">
            <w:pPr>
              <w:keepNext/>
              <w:spacing w:before="60" w:after="60"/>
              <w:jc w:val="center"/>
              <w:rPr>
                <w:rFonts w:ascii="Arial" w:hAnsi="Arial" w:cs="Arial"/>
                <w:b/>
                <w:sz w:val="20"/>
                <w:szCs w:val="20"/>
              </w:rPr>
            </w:pPr>
            <w:r>
              <w:rPr>
                <w:rFonts w:ascii="Arial" w:hAnsi="Arial"/>
                <w:b/>
                <w:sz w:val="20"/>
              </w:rPr>
              <w:t>Mesures correctives</w:t>
            </w:r>
          </w:p>
        </w:tc>
      </w:tr>
      <w:tr w:rsidR="00724AAD" w:rsidRPr="00A854F4" w14:paraId="04150252" w14:textId="77777777" w:rsidTr="00C35DA5">
        <w:trPr>
          <w:jc w:val="center"/>
        </w:trPr>
        <w:tc>
          <w:tcPr>
            <w:tcW w:w="2500" w:type="pct"/>
            <w:shd w:val="clear" w:color="auto" w:fill="auto"/>
          </w:tcPr>
          <w:p w14:paraId="1DD42CB3" w14:textId="6FBDCA11" w:rsidR="00724AAD" w:rsidRPr="00A854F4" w:rsidRDefault="00622F58" w:rsidP="00C35DA5">
            <w:pPr>
              <w:spacing w:before="60" w:after="60"/>
              <w:jc w:val="both"/>
              <w:rPr>
                <w:rFonts w:ascii="Arial" w:hAnsi="Arial" w:cs="Arial"/>
                <w:sz w:val="20"/>
                <w:szCs w:val="20"/>
              </w:rPr>
            </w:pPr>
            <w:r>
              <w:rPr>
                <w:rFonts w:ascii="Arial" w:hAnsi="Arial"/>
                <w:sz w:val="20"/>
              </w:rPr>
              <w:t>Les opérations du Secrétariat visant à améliorer les services de gestion des connaissances et de suivi ont été et restent fortement affectées par la pandémie de COVID-19, parallèlement au besoin urgent et simultané d</w:t>
            </w:r>
            <w:r w:rsidR="00740572">
              <w:rPr>
                <w:rFonts w:ascii="Arial" w:hAnsi="Arial"/>
                <w:sz w:val="20"/>
              </w:rPr>
              <w:t>’</w:t>
            </w:r>
            <w:r>
              <w:rPr>
                <w:rFonts w:ascii="Arial" w:hAnsi="Arial"/>
                <w:sz w:val="20"/>
              </w:rPr>
              <w:t>améliorer les outils en ligne à mettre à disposition pour le fonctionnement des mécanismes statutaires de la Convention, au vu des difficultés, pour les parties prenantes, d</w:t>
            </w:r>
            <w:r w:rsidR="00740572">
              <w:rPr>
                <w:rFonts w:ascii="Arial" w:hAnsi="Arial"/>
                <w:sz w:val="20"/>
              </w:rPr>
              <w:t>’</w:t>
            </w:r>
            <w:r>
              <w:rPr>
                <w:rFonts w:ascii="Arial" w:hAnsi="Arial"/>
                <w:sz w:val="20"/>
              </w:rPr>
              <w:t>utiliser ces outils pendant la période du confinement.</w:t>
            </w:r>
          </w:p>
        </w:tc>
        <w:tc>
          <w:tcPr>
            <w:tcW w:w="2500" w:type="pct"/>
            <w:shd w:val="clear" w:color="auto" w:fill="auto"/>
          </w:tcPr>
          <w:p w14:paraId="6FC38473" w14:textId="1F3B0BB2" w:rsidR="00A31420" w:rsidRPr="00A854F4" w:rsidRDefault="00662BDB" w:rsidP="00C35DA5">
            <w:pPr>
              <w:spacing w:before="60" w:after="60"/>
              <w:jc w:val="both"/>
              <w:rPr>
                <w:rFonts w:ascii="Arial" w:hAnsi="Arial" w:cs="Arial"/>
                <w:sz w:val="20"/>
                <w:szCs w:val="20"/>
              </w:rPr>
            </w:pPr>
            <w:r>
              <w:rPr>
                <w:rFonts w:ascii="Arial" w:hAnsi="Arial"/>
                <w:sz w:val="20"/>
              </w:rPr>
              <w:t>Pendant la première moitié de l</w:t>
            </w:r>
            <w:r w:rsidR="00740572">
              <w:rPr>
                <w:rFonts w:ascii="Arial" w:hAnsi="Arial"/>
                <w:sz w:val="20"/>
              </w:rPr>
              <w:t>’</w:t>
            </w:r>
            <w:r>
              <w:rPr>
                <w:rFonts w:ascii="Arial" w:hAnsi="Arial"/>
                <w:sz w:val="20"/>
              </w:rPr>
              <w:t>exercice biennal, la priorité a été donnée à l</w:t>
            </w:r>
            <w:r w:rsidR="00740572">
              <w:rPr>
                <w:rFonts w:ascii="Arial" w:hAnsi="Arial"/>
                <w:sz w:val="20"/>
              </w:rPr>
              <w:t>’</w:t>
            </w:r>
            <w:r>
              <w:rPr>
                <w:rFonts w:ascii="Arial" w:hAnsi="Arial"/>
                <w:sz w:val="20"/>
              </w:rPr>
              <w:t>élaboration et à l</w:t>
            </w:r>
            <w:r w:rsidR="00740572">
              <w:rPr>
                <w:rFonts w:ascii="Arial" w:hAnsi="Arial"/>
                <w:sz w:val="20"/>
              </w:rPr>
              <w:t>’</w:t>
            </w:r>
            <w:r>
              <w:rPr>
                <w:rFonts w:ascii="Arial" w:hAnsi="Arial"/>
                <w:sz w:val="20"/>
              </w:rPr>
              <w:t>amélioration des interfaces et des outils en ligne pour les organes directeurs de la Convention et l</w:t>
            </w:r>
            <w:r w:rsidR="00740572">
              <w:rPr>
                <w:rFonts w:ascii="Arial" w:hAnsi="Arial"/>
                <w:sz w:val="20"/>
              </w:rPr>
              <w:t>’</w:t>
            </w:r>
            <w:r>
              <w:rPr>
                <w:rFonts w:ascii="Arial" w:hAnsi="Arial"/>
                <w:sz w:val="20"/>
              </w:rPr>
              <w:t>Organe d</w:t>
            </w:r>
            <w:r w:rsidR="00740572">
              <w:rPr>
                <w:rFonts w:ascii="Arial" w:hAnsi="Arial"/>
                <w:sz w:val="20"/>
              </w:rPr>
              <w:t>’</w:t>
            </w:r>
            <w:r>
              <w:rPr>
                <w:rFonts w:ascii="Arial" w:hAnsi="Arial"/>
                <w:sz w:val="20"/>
              </w:rPr>
              <w:t>évaluation, de façon à veiller à ce que le mandat légal de la Convention ne soit pas interrompu. D</w:t>
            </w:r>
            <w:r w:rsidR="00740572">
              <w:rPr>
                <w:rFonts w:ascii="Arial" w:hAnsi="Arial"/>
                <w:sz w:val="20"/>
              </w:rPr>
              <w:t>’</w:t>
            </w:r>
            <w:r>
              <w:rPr>
                <w:rFonts w:ascii="Arial" w:hAnsi="Arial"/>
                <w:sz w:val="20"/>
              </w:rPr>
              <w:t>autres actions prévues ont été reportées à la deuxième moitié de l</w:t>
            </w:r>
            <w:r w:rsidR="00740572">
              <w:rPr>
                <w:rFonts w:ascii="Arial" w:hAnsi="Arial"/>
                <w:sz w:val="20"/>
              </w:rPr>
              <w:t>’</w:t>
            </w:r>
            <w:r>
              <w:rPr>
                <w:rFonts w:ascii="Arial" w:hAnsi="Arial"/>
                <w:sz w:val="20"/>
              </w:rPr>
              <w:t>exercice biennal.</w:t>
            </w:r>
          </w:p>
          <w:p w14:paraId="3ABD1D2C" w14:textId="77777777" w:rsidR="00724AAD" w:rsidRPr="00A854F4" w:rsidRDefault="00724AAD" w:rsidP="00C35DA5">
            <w:pPr>
              <w:spacing w:before="60" w:after="60"/>
              <w:jc w:val="both"/>
              <w:rPr>
                <w:rFonts w:ascii="Arial" w:hAnsi="Arial" w:cs="Arial"/>
                <w:sz w:val="20"/>
                <w:szCs w:val="20"/>
              </w:rPr>
            </w:pPr>
          </w:p>
        </w:tc>
      </w:tr>
      <w:tr w:rsidR="00C35DA5" w:rsidRPr="00A854F4" w14:paraId="38434E00" w14:textId="77777777" w:rsidTr="00C35DA5">
        <w:trPr>
          <w:jc w:val="center"/>
        </w:trPr>
        <w:tc>
          <w:tcPr>
            <w:tcW w:w="2500" w:type="pct"/>
            <w:shd w:val="clear" w:color="auto" w:fill="auto"/>
          </w:tcPr>
          <w:p w14:paraId="3506B565" w14:textId="373C6848" w:rsidR="00C35DA5" w:rsidRPr="00A854F4" w:rsidRDefault="00C35DA5" w:rsidP="00C35DA5">
            <w:pPr>
              <w:spacing w:before="60" w:after="60"/>
              <w:jc w:val="both"/>
              <w:rPr>
                <w:rFonts w:ascii="Arial" w:hAnsi="Arial" w:cs="Arial"/>
                <w:sz w:val="20"/>
                <w:szCs w:val="20"/>
              </w:rPr>
            </w:pPr>
            <w:r>
              <w:rPr>
                <w:rFonts w:ascii="Arial" w:hAnsi="Arial"/>
                <w:sz w:val="20"/>
              </w:rPr>
              <w:t>En raison de la pandémie de COVID-19, le nombre de demandes d</w:t>
            </w:r>
            <w:r w:rsidR="00740572">
              <w:rPr>
                <w:rFonts w:ascii="Arial" w:hAnsi="Arial"/>
                <w:sz w:val="20"/>
              </w:rPr>
              <w:t>’</w:t>
            </w:r>
            <w:r>
              <w:rPr>
                <w:rFonts w:ascii="Arial" w:hAnsi="Arial"/>
                <w:sz w:val="20"/>
              </w:rPr>
              <w:t>assistance internationale soumises par les États parties a diminué.</w:t>
            </w:r>
          </w:p>
        </w:tc>
        <w:tc>
          <w:tcPr>
            <w:tcW w:w="2500" w:type="pct"/>
            <w:shd w:val="clear" w:color="auto" w:fill="auto"/>
          </w:tcPr>
          <w:p w14:paraId="5D69A09B" w14:textId="5772CAFF" w:rsidR="00C35DA5" w:rsidRPr="00A854F4" w:rsidRDefault="00C35DA5">
            <w:pPr>
              <w:spacing w:before="60" w:after="60"/>
              <w:jc w:val="both"/>
              <w:rPr>
                <w:rFonts w:ascii="Arial" w:eastAsia="Calibri" w:hAnsi="Arial" w:cs="Arial"/>
                <w:sz w:val="20"/>
                <w:szCs w:val="20"/>
              </w:rPr>
            </w:pPr>
            <w:r>
              <w:rPr>
                <w:rFonts w:ascii="Arial" w:hAnsi="Arial"/>
                <w:sz w:val="20"/>
              </w:rPr>
              <w:t>Le Secrétariat est en train de mettre au point une campagne de communication visant à promouvoir les mécanismes d</w:t>
            </w:r>
            <w:r w:rsidR="00740572">
              <w:rPr>
                <w:rFonts w:ascii="Arial" w:hAnsi="Arial"/>
                <w:sz w:val="20"/>
              </w:rPr>
              <w:t>’</w:t>
            </w:r>
            <w:r>
              <w:rPr>
                <w:rFonts w:ascii="Arial" w:hAnsi="Arial"/>
                <w:sz w:val="20"/>
              </w:rPr>
              <w:t>assistance internationale, de façon à encourager la soumission de demandes.</w:t>
            </w:r>
          </w:p>
        </w:tc>
      </w:tr>
    </w:tbl>
    <w:bookmarkEnd w:id="2"/>
    <w:p w14:paraId="09141ADD" w14:textId="237969F9" w:rsidR="00724AAD" w:rsidRPr="00A854F4" w:rsidRDefault="00512DD8" w:rsidP="00512DD8">
      <w:pPr>
        <w:keepNext/>
        <w:spacing w:before="240"/>
        <w:jc w:val="both"/>
        <w:rPr>
          <w:rFonts w:ascii="Arial" w:hAnsi="Arial" w:cs="Arial"/>
          <w:b/>
          <w:szCs w:val="22"/>
        </w:rPr>
      </w:pPr>
      <w:r>
        <w:rPr>
          <w:rFonts w:ascii="Arial" w:hAnsi="Arial"/>
          <w:b/>
        </w:rPr>
        <w:lastRenderedPageBreak/>
        <w:t xml:space="preserve">Résultat escompté </w:t>
      </w:r>
      <w:r w:rsidR="00724AAD">
        <w:rPr>
          <w:rFonts w:ascii="Arial" w:hAnsi="Arial"/>
          <w:b/>
        </w:rPr>
        <w:t>2 :</w:t>
      </w:r>
      <w:r w:rsidR="00541A1C">
        <w:rPr>
          <w:rFonts w:ascii="Arial" w:hAnsi="Arial"/>
          <w:b/>
        </w:rPr>
        <w:t xml:space="preserve"> </w:t>
      </w:r>
      <w:r w:rsidR="00724AAD">
        <w:rPr>
          <w:rFonts w:ascii="Arial" w:hAnsi="Arial"/>
          <w:b/>
        </w:rPr>
        <w:t>Mise en œuvre de la Convention dans les États membres encouragée par un programme de renforcement des capacités consolidé</w:t>
      </w:r>
      <w:r w:rsidR="00724AAD" w:rsidRPr="00A854F4">
        <w:rPr>
          <w:rStyle w:val="FootnoteReference"/>
          <w:rFonts w:ascii="Arial" w:hAnsi="Arial" w:cs="Arial"/>
          <w:szCs w:val="22"/>
        </w:rPr>
        <w:footnoteReference w:id="2"/>
      </w:r>
    </w:p>
    <w:p w14:paraId="635740FD" w14:textId="77777777" w:rsidR="00724AAD" w:rsidRPr="00A854F4" w:rsidRDefault="00724AAD" w:rsidP="00724AAD">
      <w:pPr>
        <w:pStyle w:val="ListParagraph"/>
        <w:keepNext/>
        <w:numPr>
          <w:ilvl w:val="0"/>
          <w:numId w:val="14"/>
        </w:numPr>
        <w:spacing w:before="240"/>
        <w:ind w:left="284" w:hanging="283"/>
        <w:jc w:val="both"/>
        <w:rPr>
          <w:rFonts w:ascii="Arial" w:hAnsi="Arial" w:cs="Arial"/>
          <w:b/>
          <w:bCs/>
          <w:sz w:val="22"/>
          <w:szCs w:val="22"/>
        </w:rPr>
      </w:pPr>
      <w:bookmarkStart w:id="3" w:name="_Hlk81490153"/>
      <w:r>
        <w:rPr>
          <w:rFonts w:ascii="Arial" w:hAnsi="Arial"/>
          <w:b/>
          <w:sz w:val="22"/>
        </w:rPr>
        <w:t xml:space="preserve">Rapport de mise en œuvre pour la période du 1er janvier 2018 au 31 décembre 2019. </w:t>
      </w:r>
    </w:p>
    <w:p w14:paraId="2565064C" w14:textId="77777777" w:rsidR="00724AAD" w:rsidRPr="00ED3B35" w:rsidRDefault="00724AAD" w:rsidP="00724AAD">
      <w:pPr>
        <w:pStyle w:val="ListParagraph"/>
        <w:keepNext/>
        <w:spacing w:before="240"/>
        <w:ind w:left="567"/>
        <w:jc w:val="both"/>
        <w:rPr>
          <w:rFonts w:ascii="Arial" w:hAnsi="Arial" w:cs="Arial"/>
          <w:b/>
          <w:bCs/>
          <w:sz w:val="22"/>
          <w:szCs w:val="22"/>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724AAD" w:rsidRPr="00A854F4" w14:paraId="05AB3926" w14:textId="77777777" w:rsidTr="00C35DA5">
        <w:trPr>
          <w:jc w:val="center"/>
        </w:trPr>
        <w:tc>
          <w:tcPr>
            <w:tcW w:w="1999" w:type="pct"/>
            <w:shd w:val="clear" w:color="auto" w:fill="C6D9F1"/>
            <w:vAlign w:val="center"/>
          </w:tcPr>
          <w:p w14:paraId="2FAF6A07" w14:textId="77777777" w:rsidR="00724AAD" w:rsidRPr="00A854F4" w:rsidRDefault="00724AAD" w:rsidP="00C35DA5">
            <w:pPr>
              <w:keepNext/>
              <w:spacing w:before="120"/>
              <w:jc w:val="center"/>
              <w:rPr>
                <w:rFonts w:ascii="Arial" w:eastAsia="Calibri" w:hAnsi="Arial" w:cs="Arial"/>
                <w:b/>
                <w:sz w:val="20"/>
                <w:szCs w:val="20"/>
              </w:rPr>
            </w:pPr>
            <w:r>
              <w:rPr>
                <w:rFonts w:ascii="Arial" w:hAnsi="Arial"/>
                <w:b/>
                <w:sz w:val="20"/>
              </w:rPr>
              <w:t>Allocation</w:t>
            </w:r>
          </w:p>
        </w:tc>
        <w:tc>
          <w:tcPr>
            <w:tcW w:w="2118" w:type="pct"/>
            <w:shd w:val="clear" w:color="auto" w:fill="C6D9F1"/>
            <w:vAlign w:val="center"/>
          </w:tcPr>
          <w:p w14:paraId="77834EE7" w14:textId="77777777" w:rsidR="00724AAD" w:rsidRPr="00A854F4" w:rsidRDefault="00724AAD" w:rsidP="00C35DA5">
            <w:pPr>
              <w:spacing w:before="120"/>
              <w:jc w:val="center"/>
              <w:rPr>
                <w:rFonts w:ascii="Arial" w:eastAsia="Calibri" w:hAnsi="Arial" w:cs="Arial"/>
                <w:b/>
                <w:sz w:val="20"/>
                <w:szCs w:val="20"/>
              </w:rPr>
            </w:pPr>
            <w:r>
              <w:rPr>
                <w:rFonts w:ascii="Arial" w:hAnsi="Arial"/>
                <w:b/>
                <w:sz w:val="20"/>
              </w:rPr>
              <w:t>Dépenses</w:t>
            </w:r>
          </w:p>
        </w:tc>
        <w:tc>
          <w:tcPr>
            <w:tcW w:w="883" w:type="pct"/>
            <w:shd w:val="clear" w:color="auto" w:fill="C6D9F1"/>
            <w:vAlign w:val="center"/>
          </w:tcPr>
          <w:p w14:paraId="0376F540" w14:textId="77777777" w:rsidR="00724AAD" w:rsidRPr="00A854F4" w:rsidRDefault="00724AAD" w:rsidP="00C35DA5">
            <w:pPr>
              <w:spacing w:before="120"/>
              <w:jc w:val="center"/>
              <w:rPr>
                <w:rFonts w:ascii="Arial" w:eastAsia="Calibri" w:hAnsi="Arial" w:cs="Arial"/>
                <w:b/>
                <w:sz w:val="20"/>
                <w:szCs w:val="20"/>
              </w:rPr>
            </w:pPr>
            <w:r>
              <w:rPr>
                <w:rFonts w:ascii="Arial" w:hAnsi="Arial"/>
                <w:b/>
                <w:sz w:val="20"/>
              </w:rPr>
              <w:t>Taux de dépense (%)</w:t>
            </w:r>
            <w:r>
              <w:rPr>
                <w:rFonts w:ascii="Arial" w:hAnsi="Arial"/>
                <w:b/>
                <w:sz w:val="20"/>
              </w:rPr>
              <w:br/>
              <w:t>au 31/12/2019</w:t>
            </w:r>
          </w:p>
        </w:tc>
      </w:tr>
      <w:tr w:rsidR="00724AAD" w:rsidRPr="00A854F4" w14:paraId="0514540B" w14:textId="77777777" w:rsidTr="00C35DA5">
        <w:trPr>
          <w:jc w:val="center"/>
        </w:trPr>
        <w:tc>
          <w:tcPr>
            <w:tcW w:w="1999" w:type="pct"/>
            <w:shd w:val="clear" w:color="auto" w:fill="auto"/>
          </w:tcPr>
          <w:p w14:paraId="14BC1051" w14:textId="77777777" w:rsidR="00724AAD" w:rsidRPr="00A854F4" w:rsidRDefault="00724AAD" w:rsidP="00C35DA5">
            <w:pPr>
              <w:spacing w:before="120"/>
              <w:jc w:val="center"/>
              <w:rPr>
                <w:rFonts w:ascii="Arial" w:eastAsia="Calibri" w:hAnsi="Arial" w:cs="Arial"/>
                <w:sz w:val="20"/>
                <w:szCs w:val="20"/>
              </w:rPr>
            </w:pPr>
            <w:r>
              <w:rPr>
                <w:rFonts w:ascii="Arial" w:hAnsi="Arial"/>
                <w:sz w:val="20"/>
              </w:rPr>
              <w:t>619 150,00</w:t>
            </w:r>
          </w:p>
        </w:tc>
        <w:tc>
          <w:tcPr>
            <w:tcW w:w="2118" w:type="pct"/>
            <w:shd w:val="clear" w:color="auto" w:fill="auto"/>
          </w:tcPr>
          <w:p w14:paraId="0DCABF08" w14:textId="77777777" w:rsidR="00724AAD" w:rsidRPr="00A854F4" w:rsidRDefault="00724AAD" w:rsidP="00C35DA5">
            <w:pPr>
              <w:spacing w:before="120"/>
              <w:jc w:val="center"/>
              <w:rPr>
                <w:rFonts w:ascii="Arial" w:eastAsia="Calibri" w:hAnsi="Arial" w:cs="Arial"/>
                <w:sz w:val="20"/>
                <w:szCs w:val="20"/>
              </w:rPr>
            </w:pPr>
            <w:r>
              <w:rPr>
                <w:rFonts w:ascii="Arial" w:hAnsi="Arial"/>
                <w:sz w:val="20"/>
              </w:rPr>
              <w:t>559 953,28</w:t>
            </w:r>
          </w:p>
        </w:tc>
        <w:tc>
          <w:tcPr>
            <w:tcW w:w="883" w:type="pct"/>
            <w:shd w:val="clear" w:color="auto" w:fill="auto"/>
          </w:tcPr>
          <w:p w14:paraId="360F53F3" w14:textId="77777777" w:rsidR="00724AAD" w:rsidRPr="00A854F4" w:rsidRDefault="00724AAD" w:rsidP="00C35DA5">
            <w:pPr>
              <w:spacing w:before="120"/>
              <w:jc w:val="center"/>
              <w:rPr>
                <w:rFonts w:ascii="Arial" w:eastAsia="Calibri" w:hAnsi="Arial" w:cs="Arial"/>
                <w:sz w:val="20"/>
                <w:szCs w:val="20"/>
              </w:rPr>
            </w:pPr>
            <w:r>
              <w:rPr>
                <w:rFonts w:ascii="Arial" w:hAnsi="Arial"/>
                <w:sz w:val="20"/>
              </w:rPr>
              <w:t>90,4 %</w:t>
            </w:r>
          </w:p>
        </w:tc>
      </w:tr>
    </w:tbl>
    <w:p w14:paraId="77E8D766" w14:textId="77777777" w:rsidR="00724AAD" w:rsidRPr="00A854F4" w:rsidRDefault="00724AAD" w:rsidP="00724AAD">
      <w:pPr>
        <w:spacing w:after="0"/>
        <w:rPr>
          <w:rFonts w:ascii="Arial" w:hAnsi="Arial" w:cs="Arial"/>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980"/>
      </w:tblGrid>
      <w:tr w:rsidR="00724AAD" w:rsidRPr="00A854F4" w14:paraId="46589669" w14:textId="77777777" w:rsidTr="00C35DA5">
        <w:trPr>
          <w:tblHeader/>
          <w:jc w:val="center"/>
        </w:trPr>
        <w:tc>
          <w:tcPr>
            <w:tcW w:w="6658" w:type="dxa"/>
            <w:shd w:val="clear" w:color="auto" w:fill="D9D9D9"/>
            <w:vAlign w:val="center"/>
          </w:tcPr>
          <w:p w14:paraId="3A9C671B" w14:textId="77777777" w:rsidR="00724AAD" w:rsidRPr="00A854F4" w:rsidRDefault="00724AAD" w:rsidP="00C35DA5">
            <w:pPr>
              <w:spacing w:before="60" w:after="60"/>
              <w:jc w:val="center"/>
              <w:rPr>
                <w:rFonts w:ascii="Arial" w:eastAsia="Calibri" w:hAnsi="Arial" w:cs="Arial"/>
                <w:b/>
                <w:sz w:val="20"/>
                <w:szCs w:val="20"/>
              </w:rPr>
            </w:pPr>
            <w:r>
              <w:rPr>
                <w:rFonts w:ascii="Arial" w:hAnsi="Arial"/>
                <w:b/>
                <w:sz w:val="20"/>
              </w:rPr>
              <w:t>Évaluation des résultats :</w:t>
            </w:r>
            <w:r>
              <w:rPr>
                <w:rFonts w:ascii="Arial" w:hAnsi="Arial"/>
                <w:b/>
                <w:sz w:val="20"/>
              </w:rPr>
              <w:br/>
              <w:t>du 01/01/2018 au 31/12/2019</w:t>
            </w:r>
          </w:p>
        </w:tc>
        <w:tc>
          <w:tcPr>
            <w:tcW w:w="2980" w:type="dxa"/>
            <w:shd w:val="clear" w:color="auto" w:fill="D9D9D9"/>
            <w:vAlign w:val="center"/>
          </w:tcPr>
          <w:p w14:paraId="1D2C44D0" w14:textId="77777777" w:rsidR="00724AAD" w:rsidRPr="00A854F4" w:rsidRDefault="00724AAD" w:rsidP="00C35DA5">
            <w:pPr>
              <w:spacing w:before="60" w:after="60"/>
              <w:jc w:val="center"/>
              <w:rPr>
                <w:rFonts w:ascii="Arial" w:eastAsia="Calibri" w:hAnsi="Arial" w:cs="Arial"/>
                <w:b/>
                <w:sz w:val="20"/>
                <w:szCs w:val="20"/>
              </w:rPr>
            </w:pPr>
            <w:r>
              <w:rPr>
                <w:rFonts w:ascii="Arial" w:hAnsi="Arial"/>
                <w:b/>
                <w:sz w:val="20"/>
              </w:rPr>
              <w:t>Évaluation de la mise en œuvre</w:t>
            </w:r>
          </w:p>
        </w:tc>
      </w:tr>
      <w:tr w:rsidR="00724AAD" w:rsidRPr="00A854F4" w14:paraId="049E129F" w14:textId="77777777" w:rsidTr="00C35DA5">
        <w:trPr>
          <w:jc w:val="center"/>
        </w:trPr>
        <w:tc>
          <w:tcPr>
            <w:tcW w:w="6658" w:type="dxa"/>
            <w:shd w:val="clear" w:color="auto" w:fill="auto"/>
          </w:tcPr>
          <w:p w14:paraId="4F8F127C" w14:textId="77777777" w:rsidR="00724AAD" w:rsidRPr="00A854F4" w:rsidRDefault="00724AAD" w:rsidP="00322AB8">
            <w:pPr>
              <w:spacing w:before="60" w:after="60"/>
              <w:jc w:val="both"/>
              <w:rPr>
                <w:rFonts w:ascii="Arial" w:eastAsia="Calibri" w:hAnsi="Arial" w:cs="Arial"/>
                <w:b/>
                <w:bCs/>
                <w:sz w:val="20"/>
                <w:szCs w:val="20"/>
              </w:rPr>
            </w:pPr>
            <w:r>
              <w:rPr>
                <w:rFonts w:ascii="Arial" w:hAnsi="Arial"/>
                <w:b/>
                <w:sz w:val="20"/>
              </w:rPr>
              <w:t>Réseau de facilitateurs renforcé</w:t>
            </w:r>
          </w:p>
          <w:p w14:paraId="3EC4FECE" w14:textId="41946E51" w:rsidR="00724AAD" w:rsidRPr="00A854F4" w:rsidRDefault="00724AAD">
            <w:pPr>
              <w:pStyle w:val="ListParagraph"/>
              <w:numPr>
                <w:ilvl w:val="0"/>
                <w:numId w:val="17"/>
              </w:numPr>
              <w:spacing w:before="60" w:after="60"/>
              <w:ind w:left="426"/>
              <w:contextualSpacing w:val="0"/>
              <w:jc w:val="both"/>
              <w:rPr>
                <w:rFonts w:ascii="Arial" w:eastAsia="Calibri" w:hAnsi="Arial" w:cs="Arial"/>
                <w:sz w:val="20"/>
                <w:szCs w:val="20"/>
              </w:rPr>
            </w:pPr>
            <w:r>
              <w:rPr>
                <w:rFonts w:ascii="Arial" w:hAnsi="Arial"/>
                <w:sz w:val="20"/>
              </w:rPr>
              <w:t>Refonte d</w:t>
            </w:r>
            <w:r w:rsidR="00740572">
              <w:rPr>
                <w:rFonts w:ascii="Arial" w:hAnsi="Arial"/>
                <w:sz w:val="20"/>
              </w:rPr>
              <w:t>’</w:t>
            </w:r>
            <w:r>
              <w:rPr>
                <w:rFonts w:ascii="Arial" w:hAnsi="Arial"/>
                <w:sz w:val="20"/>
              </w:rPr>
              <w:t>une page Web avec fonction de recherche en ligne et mise à jour des profils de facilitateurs.</w:t>
            </w:r>
          </w:p>
          <w:p w14:paraId="267003EC" w14:textId="7658E3C1" w:rsidR="00724AAD" w:rsidRPr="00A854F4" w:rsidRDefault="00724AAD">
            <w:pPr>
              <w:pStyle w:val="ListParagraph"/>
              <w:numPr>
                <w:ilvl w:val="0"/>
                <w:numId w:val="17"/>
              </w:numPr>
              <w:spacing w:before="60" w:after="60"/>
              <w:ind w:left="426"/>
              <w:contextualSpacing w:val="0"/>
              <w:jc w:val="both"/>
              <w:rPr>
                <w:rFonts w:ascii="Arial" w:eastAsia="Calibri" w:hAnsi="Arial" w:cs="Arial"/>
                <w:sz w:val="20"/>
                <w:szCs w:val="20"/>
              </w:rPr>
            </w:pPr>
            <w:r>
              <w:rPr>
                <w:rFonts w:ascii="Arial" w:hAnsi="Arial"/>
                <w:sz w:val="20"/>
              </w:rPr>
              <w:t>Création et lancement d</w:t>
            </w:r>
            <w:r w:rsidR="00740572">
              <w:rPr>
                <w:rFonts w:ascii="Arial" w:hAnsi="Arial"/>
                <w:sz w:val="20"/>
              </w:rPr>
              <w:t>’</w:t>
            </w:r>
            <w:r>
              <w:rPr>
                <w:rFonts w:ascii="Arial" w:hAnsi="Arial"/>
                <w:sz w:val="20"/>
              </w:rPr>
              <w:t>un groupe de travail interrégional pour le développement du réseau de facilitateurs.</w:t>
            </w:r>
          </w:p>
          <w:p w14:paraId="32533B78" w14:textId="03E34ACE" w:rsidR="00724AAD" w:rsidRPr="00A854F4" w:rsidRDefault="00724AAD">
            <w:pPr>
              <w:pStyle w:val="ListParagraph"/>
              <w:numPr>
                <w:ilvl w:val="0"/>
                <w:numId w:val="17"/>
              </w:numPr>
              <w:spacing w:before="60" w:after="60"/>
              <w:ind w:left="426"/>
              <w:contextualSpacing w:val="0"/>
              <w:jc w:val="both"/>
              <w:rPr>
                <w:rFonts w:ascii="Arial" w:eastAsia="Calibri" w:hAnsi="Arial" w:cs="Arial"/>
                <w:sz w:val="20"/>
                <w:szCs w:val="20"/>
              </w:rPr>
            </w:pPr>
            <w:r>
              <w:rPr>
                <w:rFonts w:ascii="Arial" w:hAnsi="Arial"/>
                <w:sz w:val="20"/>
              </w:rPr>
              <w:t>Réalisation d</w:t>
            </w:r>
            <w:r w:rsidR="00740572">
              <w:rPr>
                <w:rFonts w:ascii="Arial" w:hAnsi="Arial"/>
                <w:sz w:val="20"/>
              </w:rPr>
              <w:t>’</w:t>
            </w:r>
            <w:r>
              <w:rPr>
                <w:rFonts w:ascii="Arial" w:hAnsi="Arial"/>
                <w:sz w:val="20"/>
              </w:rPr>
              <w:t>une étude de faisabilité afin d</w:t>
            </w:r>
            <w:r w:rsidR="00740572">
              <w:rPr>
                <w:rFonts w:ascii="Arial" w:hAnsi="Arial"/>
                <w:sz w:val="20"/>
              </w:rPr>
              <w:t>’</w:t>
            </w:r>
            <w:r>
              <w:rPr>
                <w:rFonts w:ascii="Arial" w:hAnsi="Arial"/>
                <w:sz w:val="20"/>
              </w:rPr>
              <w:t>étudier les partenariats susceptibles de soutenir le réseau et le programme de renforcement des capacités à long terme, avec des recommandations stratégiques.</w:t>
            </w:r>
          </w:p>
          <w:p w14:paraId="3E1D300D" w14:textId="685621DC" w:rsidR="00724AAD" w:rsidRPr="00A854F4" w:rsidRDefault="00724AAD">
            <w:pPr>
              <w:pStyle w:val="ListParagraph"/>
              <w:numPr>
                <w:ilvl w:val="0"/>
                <w:numId w:val="17"/>
              </w:numPr>
              <w:spacing w:before="60" w:after="60"/>
              <w:ind w:left="426"/>
              <w:contextualSpacing w:val="0"/>
              <w:jc w:val="both"/>
              <w:rPr>
                <w:rFonts w:ascii="Arial" w:eastAsia="Calibri" w:hAnsi="Arial" w:cs="Arial"/>
                <w:sz w:val="20"/>
                <w:szCs w:val="20"/>
              </w:rPr>
            </w:pPr>
            <w:r>
              <w:rPr>
                <w:rFonts w:ascii="Arial" w:hAnsi="Arial"/>
                <w:sz w:val="20"/>
              </w:rPr>
              <w:t>Intégration d</w:t>
            </w:r>
            <w:r w:rsidR="00740572">
              <w:rPr>
                <w:rFonts w:ascii="Arial" w:hAnsi="Arial"/>
                <w:sz w:val="20"/>
              </w:rPr>
              <w:t>’</w:t>
            </w:r>
            <w:r>
              <w:rPr>
                <w:rFonts w:ascii="Arial" w:hAnsi="Arial"/>
                <w:sz w:val="20"/>
              </w:rPr>
              <w:t>une deuxième génération de facilitateurs dans le réseau de facilitateurs par le biais de six activités de formation : si, au total, 103 facilitateurs (61 % de femmes) des régions Asie et Pacifique, Afrique, Europe et États arabes ont été formés, cinquante-cinq d</w:t>
            </w:r>
            <w:r w:rsidR="00740572">
              <w:rPr>
                <w:rFonts w:ascii="Arial" w:hAnsi="Arial"/>
                <w:sz w:val="20"/>
              </w:rPr>
              <w:t>’</w:t>
            </w:r>
            <w:r>
              <w:rPr>
                <w:rFonts w:ascii="Arial" w:hAnsi="Arial"/>
                <w:sz w:val="20"/>
              </w:rPr>
              <w:t>entre eux étaient cependant nouveaux (54 % de femmes).</w:t>
            </w:r>
          </w:p>
          <w:p w14:paraId="00C94B2D" w14:textId="41B9700A" w:rsidR="00724AAD" w:rsidRPr="00A854F4" w:rsidRDefault="00CC43F1">
            <w:pPr>
              <w:pStyle w:val="ListParagraph"/>
              <w:numPr>
                <w:ilvl w:val="0"/>
                <w:numId w:val="17"/>
              </w:numPr>
              <w:spacing w:before="60" w:after="60"/>
              <w:ind w:left="426"/>
              <w:contextualSpacing w:val="0"/>
              <w:jc w:val="both"/>
              <w:rPr>
                <w:rFonts w:ascii="Arial" w:eastAsia="Calibri" w:hAnsi="Arial" w:cs="Arial"/>
                <w:sz w:val="20"/>
                <w:szCs w:val="20"/>
              </w:rPr>
            </w:pPr>
            <w:r>
              <w:rPr>
                <w:rFonts w:ascii="Arial" w:hAnsi="Arial"/>
                <w:sz w:val="20"/>
              </w:rPr>
              <w:t>Amélioration de l</w:t>
            </w:r>
            <w:r w:rsidR="00740572">
              <w:rPr>
                <w:rFonts w:ascii="Arial" w:hAnsi="Arial"/>
                <w:sz w:val="20"/>
              </w:rPr>
              <w:t>’</w:t>
            </w:r>
            <w:r>
              <w:rPr>
                <w:rFonts w:ascii="Arial" w:hAnsi="Arial"/>
                <w:sz w:val="20"/>
              </w:rPr>
              <w:t>outil de planification et de rapports en ligne pour les activités de formation avec ajout de fonctionnalités grâce aux commentaires et réactions des principaux groupes d</w:t>
            </w:r>
            <w:r w:rsidR="00740572">
              <w:rPr>
                <w:rFonts w:ascii="Arial" w:hAnsi="Arial"/>
                <w:sz w:val="20"/>
              </w:rPr>
              <w:t>’</w:t>
            </w:r>
            <w:r>
              <w:rPr>
                <w:rFonts w:ascii="Arial" w:hAnsi="Arial"/>
                <w:sz w:val="20"/>
              </w:rPr>
              <w:t>utilisateurs : facilitateurs, bureaux hors-siège de l</w:t>
            </w:r>
            <w:r w:rsidR="00740572">
              <w:rPr>
                <w:rFonts w:ascii="Arial" w:hAnsi="Arial"/>
                <w:sz w:val="20"/>
              </w:rPr>
              <w:t>’</w:t>
            </w:r>
            <w:r>
              <w:rPr>
                <w:rFonts w:ascii="Arial" w:hAnsi="Arial"/>
                <w:sz w:val="20"/>
              </w:rPr>
              <w:t>UNESCO et siège.</w:t>
            </w:r>
          </w:p>
        </w:tc>
        <w:tc>
          <w:tcPr>
            <w:tcW w:w="2980" w:type="dxa"/>
          </w:tcPr>
          <w:p w14:paraId="4555B8C4" w14:textId="77777777" w:rsidR="00724AAD" w:rsidRPr="00A854F4" w:rsidRDefault="00724AAD" w:rsidP="00C35DA5">
            <w:pPr>
              <w:spacing w:before="320" w:after="60"/>
              <w:ind w:left="-111"/>
              <w:jc w:val="center"/>
              <w:rPr>
                <w:rFonts w:ascii="Arial" w:eastAsia="Calibri" w:hAnsi="Arial" w:cs="Arial"/>
                <w:sz w:val="20"/>
                <w:szCs w:val="20"/>
              </w:rPr>
            </w:pPr>
            <w:r>
              <w:rPr>
                <w:rFonts w:ascii="Arial" w:hAnsi="Arial"/>
                <w:sz w:val="20"/>
              </w:rPr>
              <w:t>Accomplie</w:t>
            </w:r>
          </w:p>
        </w:tc>
      </w:tr>
      <w:tr w:rsidR="00724AAD" w:rsidRPr="00A854F4" w14:paraId="2EF7B5FE" w14:textId="77777777" w:rsidTr="00C35DA5">
        <w:trPr>
          <w:jc w:val="center"/>
        </w:trPr>
        <w:tc>
          <w:tcPr>
            <w:tcW w:w="6658" w:type="dxa"/>
            <w:shd w:val="clear" w:color="auto" w:fill="auto"/>
          </w:tcPr>
          <w:p w14:paraId="3F3D0D6B" w14:textId="77777777" w:rsidR="00724AAD" w:rsidRPr="00A854F4" w:rsidRDefault="00724AAD">
            <w:pPr>
              <w:spacing w:before="60" w:after="60"/>
              <w:jc w:val="both"/>
              <w:rPr>
                <w:rFonts w:ascii="Arial" w:eastAsia="Calibri" w:hAnsi="Arial" w:cs="Arial"/>
                <w:b/>
                <w:bCs/>
                <w:sz w:val="20"/>
                <w:szCs w:val="20"/>
              </w:rPr>
            </w:pPr>
            <w:r>
              <w:rPr>
                <w:rFonts w:ascii="Arial" w:hAnsi="Arial"/>
                <w:b/>
                <w:sz w:val="20"/>
              </w:rPr>
              <w:t>Développement du contenu et du format du programme de renforcement de capacités pour répondre aux principaux défis de mise en œuvre</w:t>
            </w:r>
          </w:p>
          <w:p w14:paraId="2438896E" w14:textId="21BBD3FE" w:rsidR="00724AAD" w:rsidRPr="00A854F4" w:rsidRDefault="00724AAD">
            <w:pPr>
              <w:pStyle w:val="ListParagraph"/>
              <w:numPr>
                <w:ilvl w:val="0"/>
                <w:numId w:val="17"/>
              </w:numPr>
              <w:spacing w:before="60" w:after="60"/>
              <w:ind w:left="426"/>
              <w:contextualSpacing w:val="0"/>
              <w:jc w:val="both"/>
              <w:rPr>
                <w:rFonts w:ascii="Arial" w:eastAsia="Calibri" w:hAnsi="Arial" w:cs="Arial"/>
                <w:sz w:val="20"/>
                <w:szCs w:val="20"/>
              </w:rPr>
            </w:pPr>
            <w:r>
              <w:rPr>
                <w:rFonts w:ascii="Arial" w:hAnsi="Arial"/>
                <w:sz w:val="20"/>
              </w:rPr>
              <w:t>Mise au point d</w:t>
            </w:r>
            <w:r w:rsidR="00740572">
              <w:rPr>
                <w:rFonts w:ascii="Arial" w:hAnsi="Arial"/>
                <w:sz w:val="20"/>
              </w:rPr>
              <w:t>’</w:t>
            </w:r>
            <w:r>
              <w:rPr>
                <w:rFonts w:ascii="Arial" w:hAnsi="Arial"/>
                <w:sz w:val="20"/>
              </w:rPr>
              <w:t>une approche spécifique de renforcement des capacités pour la soumission des rapports périodiques au titre de la Convention de 2003 avec l</w:t>
            </w:r>
            <w:r w:rsidR="00740572">
              <w:rPr>
                <w:rFonts w:ascii="Arial" w:hAnsi="Arial"/>
                <w:sz w:val="20"/>
              </w:rPr>
              <w:t>’</w:t>
            </w:r>
            <w:r>
              <w:rPr>
                <w:rFonts w:ascii="Arial" w:hAnsi="Arial"/>
                <w:sz w:val="20"/>
              </w:rPr>
              <w:t>ensemble des documents requis pour une formation de trois jours dans deux langues (anglais et espagnol).</w:t>
            </w:r>
          </w:p>
          <w:p w14:paraId="27FD0659" w14:textId="77777777" w:rsidR="00724AAD" w:rsidRPr="00A854F4" w:rsidRDefault="00724AAD">
            <w:pPr>
              <w:pStyle w:val="ListParagraph"/>
              <w:numPr>
                <w:ilvl w:val="0"/>
                <w:numId w:val="17"/>
              </w:numPr>
              <w:spacing w:before="60" w:after="60"/>
              <w:ind w:left="426"/>
              <w:contextualSpacing w:val="0"/>
              <w:jc w:val="both"/>
              <w:rPr>
                <w:rFonts w:ascii="Arial" w:eastAsia="Calibri" w:hAnsi="Arial" w:cs="Arial"/>
                <w:sz w:val="20"/>
                <w:szCs w:val="20"/>
              </w:rPr>
            </w:pPr>
            <w:r>
              <w:rPr>
                <w:rFonts w:ascii="Arial" w:hAnsi="Arial"/>
                <w:sz w:val="20"/>
              </w:rPr>
              <w:t>Élaboration de nouveaux supports pour une formation de trois jours sur la gestion des risques de catastrophe et intégration de ces supports dans le programme de renforcement des capacités dans deux langues (anglais et espagnol).</w:t>
            </w:r>
          </w:p>
          <w:p w14:paraId="30E93F74" w14:textId="4B305563" w:rsidR="00724AAD" w:rsidRPr="00A854F4" w:rsidRDefault="00724AAD">
            <w:pPr>
              <w:pStyle w:val="ListParagraph"/>
              <w:numPr>
                <w:ilvl w:val="0"/>
                <w:numId w:val="17"/>
              </w:numPr>
              <w:spacing w:before="60" w:after="60"/>
              <w:ind w:left="426"/>
              <w:contextualSpacing w:val="0"/>
              <w:jc w:val="both"/>
              <w:rPr>
                <w:rFonts w:ascii="Arial" w:eastAsia="Calibri" w:hAnsi="Arial" w:cs="Arial"/>
                <w:sz w:val="20"/>
                <w:szCs w:val="20"/>
              </w:rPr>
            </w:pPr>
            <w:r>
              <w:rPr>
                <w:rFonts w:ascii="Arial" w:hAnsi="Arial"/>
                <w:sz w:val="20"/>
              </w:rPr>
              <w:t>Rédaction de deux notes d</w:t>
            </w:r>
            <w:r w:rsidR="00740572">
              <w:rPr>
                <w:rFonts w:ascii="Arial" w:hAnsi="Arial"/>
                <w:sz w:val="20"/>
              </w:rPr>
              <w:t>’</w:t>
            </w:r>
            <w:r>
              <w:rPr>
                <w:rFonts w:ascii="Arial" w:hAnsi="Arial"/>
                <w:sz w:val="20"/>
              </w:rPr>
              <w:t>information thématiques (genre et éducation) destinées à être incluses dans la Note d</w:t>
            </w:r>
            <w:r w:rsidR="00740572">
              <w:rPr>
                <w:rFonts w:ascii="Arial" w:hAnsi="Arial"/>
                <w:sz w:val="20"/>
              </w:rPr>
              <w:t>’</w:t>
            </w:r>
            <w:r>
              <w:rPr>
                <w:rFonts w:ascii="Arial" w:hAnsi="Arial"/>
                <w:sz w:val="20"/>
              </w:rPr>
              <w:t>orientation pour les facilitateurs sur le soutien à l</w:t>
            </w:r>
            <w:r w:rsidR="00740572">
              <w:rPr>
                <w:rFonts w:ascii="Arial" w:hAnsi="Arial"/>
                <w:sz w:val="20"/>
              </w:rPr>
              <w:t>’</w:t>
            </w:r>
            <w:r>
              <w:rPr>
                <w:rFonts w:ascii="Arial" w:hAnsi="Arial"/>
                <w:sz w:val="20"/>
              </w:rPr>
              <w:t>élaboration de politiques dans le domaine de la sauvegarde du patrimoine culturel immatériel.</w:t>
            </w:r>
          </w:p>
          <w:p w14:paraId="7F3404AD" w14:textId="18489BF9" w:rsidR="00724AAD" w:rsidRPr="00A854F4" w:rsidRDefault="00724AAD">
            <w:pPr>
              <w:pStyle w:val="ListParagraph"/>
              <w:numPr>
                <w:ilvl w:val="0"/>
                <w:numId w:val="17"/>
              </w:numPr>
              <w:spacing w:before="60" w:after="60"/>
              <w:ind w:left="426"/>
              <w:contextualSpacing w:val="0"/>
              <w:jc w:val="both"/>
              <w:rPr>
                <w:rFonts w:ascii="Arial" w:eastAsia="Calibri" w:hAnsi="Arial" w:cs="Arial"/>
                <w:sz w:val="20"/>
                <w:szCs w:val="20"/>
              </w:rPr>
            </w:pPr>
            <w:r>
              <w:rPr>
                <w:rFonts w:ascii="Arial" w:hAnsi="Arial"/>
                <w:sz w:val="20"/>
              </w:rPr>
              <w:t>Mise au point d</w:t>
            </w:r>
            <w:r w:rsidR="00740572">
              <w:rPr>
                <w:rFonts w:ascii="Arial" w:hAnsi="Arial"/>
                <w:sz w:val="20"/>
              </w:rPr>
              <w:t>’</w:t>
            </w:r>
            <w:r>
              <w:rPr>
                <w:rFonts w:ascii="Arial" w:hAnsi="Arial"/>
                <w:sz w:val="20"/>
              </w:rPr>
              <w:t>un guide pratique en ligne réunissant plus de trente exemples sur les liens entre la sauvegarde du patrimoine culturel immatériel et le développement durable.</w:t>
            </w:r>
          </w:p>
          <w:p w14:paraId="09A46241" w14:textId="3863F653" w:rsidR="00724AAD" w:rsidRPr="00A854F4" w:rsidRDefault="00724AAD" w:rsidP="00A07EE9">
            <w:pPr>
              <w:pStyle w:val="ListParagraph"/>
              <w:keepLines/>
              <w:numPr>
                <w:ilvl w:val="0"/>
                <w:numId w:val="17"/>
              </w:numPr>
              <w:spacing w:before="60" w:after="60"/>
              <w:ind w:left="425" w:hanging="357"/>
              <w:contextualSpacing w:val="0"/>
              <w:jc w:val="both"/>
              <w:rPr>
                <w:rFonts w:ascii="Arial" w:eastAsia="Calibri" w:hAnsi="Arial" w:cs="Arial"/>
                <w:sz w:val="20"/>
                <w:szCs w:val="20"/>
              </w:rPr>
            </w:pPr>
            <w:r>
              <w:rPr>
                <w:rFonts w:ascii="Arial" w:hAnsi="Arial"/>
                <w:sz w:val="20"/>
              </w:rPr>
              <w:lastRenderedPageBreak/>
              <w:t>Traduction et mise en ligne en anglais et en français de supports de formation sur l</w:t>
            </w:r>
            <w:r w:rsidR="00740572">
              <w:rPr>
                <w:rFonts w:ascii="Arial" w:hAnsi="Arial"/>
                <w:sz w:val="20"/>
              </w:rPr>
              <w:t>’</w:t>
            </w:r>
            <w:r>
              <w:rPr>
                <w:rFonts w:ascii="Arial" w:hAnsi="Arial"/>
                <w:sz w:val="20"/>
              </w:rPr>
              <w:t>élaboration de politiques, les questions liées aux genres, le développement durable et les activités d</w:t>
            </w:r>
            <w:r w:rsidR="00740572">
              <w:rPr>
                <w:rFonts w:ascii="Arial" w:hAnsi="Arial"/>
                <w:sz w:val="20"/>
              </w:rPr>
              <w:t>’</w:t>
            </w:r>
            <w:r>
              <w:rPr>
                <w:rFonts w:ascii="Arial" w:hAnsi="Arial"/>
                <w:sz w:val="20"/>
              </w:rPr>
              <w:t>inventaire pilotes. Une vidéo sur le patrimoine vivant et les questions liées au genre a également été réalisée.</w:t>
            </w:r>
          </w:p>
          <w:p w14:paraId="0259FF68" w14:textId="006A3CC8" w:rsidR="00724AAD" w:rsidRPr="00A854F4" w:rsidRDefault="00724AAD">
            <w:pPr>
              <w:pStyle w:val="ListParagraph"/>
              <w:numPr>
                <w:ilvl w:val="0"/>
                <w:numId w:val="17"/>
              </w:numPr>
              <w:spacing w:before="60" w:after="60"/>
              <w:ind w:left="426"/>
              <w:contextualSpacing w:val="0"/>
              <w:jc w:val="both"/>
              <w:rPr>
                <w:rFonts w:ascii="Arial" w:eastAsia="Calibri" w:hAnsi="Arial" w:cs="Arial"/>
                <w:sz w:val="20"/>
                <w:szCs w:val="20"/>
              </w:rPr>
            </w:pPr>
            <w:r>
              <w:rPr>
                <w:rFonts w:ascii="Arial" w:hAnsi="Arial"/>
                <w:sz w:val="20"/>
              </w:rPr>
              <w:t>Résolution des problèmes techniques relatifs à l</w:t>
            </w:r>
            <w:r w:rsidR="00740572">
              <w:rPr>
                <w:rFonts w:ascii="Arial" w:hAnsi="Arial"/>
                <w:sz w:val="20"/>
              </w:rPr>
              <w:t>’</w:t>
            </w:r>
            <w:r>
              <w:rPr>
                <w:rFonts w:ascii="Arial" w:hAnsi="Arial"/>
                <w:sz w:val="20"/>
              </w:rPr>
              <w:t>outil de navigation grâce aux retours d</w:t>
            </w:r>
            <w:r w:rsidR="00740572">
              <w:rPr>
                <w:rFonts w:ascii="Arial" w:hAnsi="Arial"/>
                <w:sz w:val="20"/>
              </w:rPr>
              <w:t>’</w:t>
            </w:r>
            <w:r>
              <w:rPr>
                <w:rFonts w:ascii="Arial" w:hAnsi="Arial"/>
                <w:sz w:val="20"/>
              </w:rPr>
              <w:t>expériences des utilisateurs partagées par les facilitateurs (téléchargements de documents, ordre d</w:t>
            </w:r>
            <w:r w:rsidR="00740572">
              <w:rPr>
                <w:rFonts w:ascii="Arial" w:hAnsi="Arial"/>
                <w:sz w:val="20"/>
              </w:rPr>
              <w:t>’</w:t>
            </w:r>
            <w:r>
              <w:rPr>
                <w:rFonts w:ascii="Arial" w:hAnsi="Arial"/>
                <w:sz w:val="20"/>
              </w:rPr>
              <w:t>affichage des unités, versions linguistiques multiples).</w:t>
            </w:r>
          </w:p>
        </w:tc>
        <w:tc>
          <w:tcPr>
            <w:tcW w:w="2980" w:type="dxa"/>
            <w:shd w:val="clear" w:color="auto" w:fill="auto"/>
          </w:tcPr>
          <w:p w14:paraId="19CA7D55" w14:textId="51B345D9" w:rsidR="00541A1C" w:rsidRDefault="00724AAD" w:rsidP="00C35DA5">
            <w:pPr>
              <w:spacing w:before="320" w:after="60"/>
              <w:jc w:val="center"/>
              <w:rPr>
                <w:rFonts w:ascii="Arial" w:hAnsi="Arial" w:cs="Arial"/>
                <w:sz w:val="20"/>
              </w:rPr>
            </w:pPr>
            <w:r>
              <w:rPr>
                <w:rFonts w:ascii="Arial" w:hAnsi="Arial"/>
                <w:sz w:val="20"/>
              </w:rPr>
              <w:lastRenderedPageBreak/>
              <w:t>Accomplie</w:t>
            </w:r>
          </w:p>
          <w:p w14:paraId="3E0EC945" w14:textId="77777777" w:rsidR="00541A1C" w:rsidRDefault="00541A1C" w:rsidP="00C35DA5">
            <w:pPr>
              <w:spacing w:before="320" w:after="60"/>
              <w:jc w:val="center"/>
              <w:rPr>
                <w:rFonts w:ascii="Arial" w:hAnsi="Arial" w:cs="Arial"/>
                <w:sz w:val="20"/>
              </w:rPr>
            </w:pPr>
          </w:p>
          <w:p w14:paraId="7EE23545" w14:textId="77777777" w:rsidR="00541A1C" w:rsidRDefault="00541A1C" w:rsidP="00C35DA5">
            <w:pPr>
              <w:spacing w:before="320" w:after="60"/>
              <w:jc w:val="center"/>
              <w:rPr>
                <w:rFonts w:ascii="Arial" w:hAnsi="Arial" w:cs="Arial"/>
                <w:sz w:val="20"/>
              </w:rPr>
            </w:pPr>
          </w:p>
          <w:p w14:paraId="12DF9BEC" w14:textId="77777777" w:rsidR="00541A1C" w:rsidRDefault="00541A1C" w:rsidP="00C35DA5">
            <w:pPr>
              <w:spacing w:before="320" w:after="60"/>
              <w:jc w:val="center"/>
              <w:rPr>
                <w:rFonts w:ascii="Arial" w:hAnsi="Arial" w:cs="Arial"/>
                <w:sz w:val="20"/>
              </w:rPr>
            </w:pPr>
          </w:p>
          <w:p w14:paraId="28EE765A" w14:textId="77777777" w:rsidR="00541A1C" w:rsidRDefault="00541A1C" w:rsidP="00C35DA5">
            <w:pPr>
              <w:spacing w:before="320" w:after="60"/>
              <w:jc w:val="center"/>
              <w:rPr>
                <w:rFonts w:ascii="Arial" w:hAnsi="Arial" w:cs="Arial"/>
                <w:sz w:val="20"/>
              </w:rPr>
            </w:pPr>
          </w:p>
          <w:p w14:paraId="15E0A82E" w14:textId="77777777" w:rsidR="00541A1C" w:rsidRDefault="00541A1C" w:rsidP="00C35DA5">
            <w:pPr>
              <w:spacing w:before="320" w:after="60"/>
              <w:jc w:val="center"/>
              <w:rPr>
                <w:rFonts w:ascii="Arial" w:hAnsi="Arial" w:cs="Arial"/>
                <w:sz w:val="20"/>
              </w:rPr>
            </w:pPr>
          </w:p>
          <w:p w14:paraId="3AA14972" w14:textId="77777777" w:rsidR="00541A1C" w:rsidRDefault="00541A1C" w:rsidP="00C35DA5">
            <w:pPr>
              <w:spacing w:before="320" w:after="60"/>
              <w:jc w:val="center"/>
              <w:rPr>
                <w:rFonts w:ascii="Arial" w:hAnsi="Arial" w:cs="Arial"/>
                <w:sz w:val="20"/>
              </w:rPr>
            </w:pPr>
          </w:p>
          <w:p w14:paraId="51A7D734" w14:textId="1C6D9D03" w:rsidR="00541A1C" w:rsidRPr="00A854F4" w:rsidRDefault="00541A1C">
            <w:pPr>
              <w:spacing w:before="320" w:after="60"/>
              <w:jc w:val="center"/>
              <w:rPr>
                <w:rFonts w:ascii="Arial" w:eastAsia="Calibri" w:hAnsi="Arial" w:cs="Arial"/>
                <w:sz w:val="20"/>
                <w:szCs w:val="20"/>
              </w:rPr>
            </w:pPr>
          </w:p>
        </w:tc>
      </w:tr>
      <w:tr w:rsidR="00724AAD" w:rsidRPr="00A854F4" w14:paraId="06A4FA1D" w14:textId="77777777" w:rsidTr="00C35DA5">
        <w:trPr>
          <w:trHeight w:val="3022"/>
          <w:jc w:val="center"/>
        </w:trPr>
        <w:tc>
          <w:tcPr>
            <w:tcW w:w="6658" w:type="dxa"/>
            <w:shd w:val="clear" w:color="auto" w:fill="auto"/>
          </w:tcPr>
          <w:p w14:paraId="700DA26B" w14:textId="77777777" w:rsidR="00724AAD" w:rsidRPr="00A854F4" w:rsidRDefault="00724AAD">
            <w:pPr>
              <w:spacing w:before="60" w:after="60"/>
              <w:jc w:val="both"/>
              <w:rPr>
                <w:rFonts w:ascii="Arial" w:eastAsia="Calibri" w:hAnsi="Arial" w:cs="Arial"/>
                <w:b/>
                <w:bCs/>
                <w:sz w:val="20"/>
                <w:szCs w:val="20"/>
              </w:rPr>
            </w:pPr>
            <w:r>
              <w:rPr>
                <w:rFonts w:ascii="Arial" w:hAnsi="Arial"/>
                <w:b/>
                <w:sz w:val="20"/>
              </w:rPr>
              <w:t>Suivi du programme de renforcement des capacités assuré et informations partagées avec les partenaires compétents</w:t>
            </w:r>
          </w:p>
          <w:p w14:paraId="561CD835" w14:textId="205F129A" w:rsidR="00724AAD" w:rsidRPr="00A854F4" w:rsidRDefault="00724AAD" w:rsidP="00322AB8">
            <w:pPr>
              <w:pStyle w:val="ListParagraph"/>
              <w:numPr>
                <w:ilvl w:val="0"/>
                <w:numId w:val="17"/>
              </w:numPr>
              <w:spacing w:before="60" w:after="60"/>
              <w:ind w:left="426"/>
              <w:contextualSpacing w:val="0"/>
              <w:jc w:val="both"/>
              <w:rPr>
                <w:rFonts w:ascii="Arial" w:eastAsia="Calibri" w:hAnsi="Arial" w:cs="Arial"/>
                <w:sz w:val="20"/>
                <w:szCs w:val="20"/>
              </w:rPr>
            </w:pPr>
            <w:r>
              <w:rPr>
                <w:rFonts w:ascii="Arial" w:hAnsi="Arial"/>
                <w:sz w:val="20"/>
              </w:rPr>
              <w:t>Préparation d</w:t>
            </w:r>
            <w:r w:rsidR="00740572">
              <w:rPr>
                <w:rFonts w:ascii="Arial" w:hAnsi="Arial"/>
                <w:sz w:val="20"/>
              </w:rPr>
              <w:t>’</w:t>
            </w:r>
            <w:r>
              <w:rPr>
                <w:rFonts w:ascii="Arial" w:hAnsi="Arial"/>
                <w:sz w:val="20"/>
              </w:rPr>
              <w:t>un rapport analytique sur la mise en œuvre du programme de renforcement des capacités pour la sauvegarde du patrimoine culturel immatériel à l</w:t>
            </w:r>
            <w:r w:rsidR="00740572">
              <w:rPr>
                <w:rFonts w:ascii="Arial" w:hAnsi="Arial"/>
                <w:sz w:val="20"/>
              </w:rPr>
              <w:t>’</w:t>
            </w:r>
            <w:r>
              <w:rPr>
                <w:rFonts w:ascii="Arial" w:hAnsi="Arial"/>
                <w:sz w:val="20"/>
              </w:rPr>
              <w:t>échelle internationale à partir des informations recueillies par le biais de l</w:t>
            </w:r>
            <w:r w:rsidR="00740572">
              <w:rPr>
                <w:rFonts w:ascii="Arial" w:hAnsi="Arial"/>
                <w:sz w:val="20"/>
              </w:rPr>
              <w:t>’</w:t>
            </w:r>
            <w:r>
              <w:rPr>
                <w:rFonts w:ascii="Arial" w:hAnsi="Arial"/>
                <w:sz w:val="20"/>
              </w:rPr>
              <w:t>outil de soumission des rapports et de planification d</w:t>
            </w:r>
            <w:r w:rsidR="00740572">
              <w:rPr>
                <w:rFonts w:ascii="Arial" w:hAnsi="Arial"/>
                <w:sz w:val="20"/>
              </w:rPr>
              <w:t>’</w:t>
            </w:r>
            <w:r>
              <w:rPr>
                <w:rFonts w:ascii="Arial" w:hAnsi="Arial"/>
                <w:sz w:val="20"/>
              </w:rPr>
              <w:t>ateliers de formation en ligne.</w:t>
            </w:r>
          </w:p>
          <w:p w14:paraId="2B9F547A" w14:textId="52E567C1" w:rsidR="00724AAD" w:rsidRPr="00A854F4" w:rsidRDefault="00724AAD" w:rsidP="00322AB8">
            <w:pPr>
              <w:pStyle w:val="ListParagraph"/>
              <w:numPr>
                <w:ilvl w:val="0"/>
                <w:numId w:val="17"/>
              </w:numPr>
              <w:spacing w:before="60" w:after="60"/>
              <w:ind w:left="426"/>
              <w:contextualSpacing w:val="0"/>
              <w:jc w:val="both"/>
              <w:rPr>
                <w:rFonts w:ascii="Arial" w:eastAsia="Calibri" w:hAnsi="Arial" w:cs="Arial"/>
                <w:sz w:val="20"/>
                <w:szCs w:val="20"/>
              </w:rPr>
            </w:pPr>
            <w:r>
              <w:rPr>
                <w:rFonts w:ascii="Arial" w:hAnsi="Arial"/>
                <w:sz w:val="20"/>
              </w:rPr>
              <w:t>Développement et partage de connaissances dans toute l</w:t>
            </w:r>
            <w:r w:rsidR="00740572">
              <w:rPr>
                <w:rFonts w:ascii="Arial" w:hAnsi="Arial"/>
                <w:sz w:val="20"/>
              </w:rPr>
              <w:t>’</w:t>
            </w:r>
            <w:r>
              <w:rPr>
                <w:rFonts w:ascii="Arial" w:hAnsi="Arial"/>
                <w:sz w:val="20"/>
              </w:rPr>
              <w:t>organisation, enregistrement et diffusion d</w:t>
            </w:r>
            <w:r w:rsidR="00740572">
              <w:rPr>
                <w:rFonts w:ascii="Arial" w:hAnsi="Arial"/>
                <w:sz w:val="20"/>
              </w:rPr>
              <w:t>’</w:t>
            </w:r>
            <w:r>
              <w:rPr>
                <w:rFonts w:ascii="Arial" w:hAnsi="Arial"/>
                <w:sz w:val="20"/>
              </w:rPr>
              <w:t>une table ronde lors de la treizième session du Comité, intitulée « Le réseau global de facilitateurs : Comment soutient-il les pays dans la mise en œuvre de la Convention ? »</w:t>
            </w:r>
          </w:p>
          <w:p w14:paraId="1A78A364" w14:textId="45CA3C7E" w:rsidR="00724AAD" w:rsidRPr="00A854F4" w:rsidRDefault="00724AAD" w:rsidP="00322AB8">
            <w:pPr>
              <w:pStyle w:val="ListParagraph"/>
              <w:numPr>
                <w:ilvl w:val="0"/>
                <w:numId w:val="17"/>
              </w:numPr>
              <w:spacing w:before="60" w:after="60"/>
              <w:ind w:left="426"/>
              <w:contextualSpacing w:val="0"/>
              <w:jc w:val="both"/>
              <w:rPr>
                <w:rFonts w:ascii="Arial" w:eastAsia="Calibri" w:hAnsi="Arial" w:cs="Arial"/>
                <w:sz w:val="20"/>
                <w:szCs w:val="20"/>
              </w:rPr>
            </w:pPr>
            <w:r>
              <w:rPr>
                <w:rFonts w:ascii="Arial" w:hAnsi="Arial"/>
                <w:sz w:val="20"/>
              </w:rPr>
              <w:t>Élaboration et mise à disposition, dans deux langues (anglais et français), d</w:t>
            </w:r>
            <w:r w:rsidR="00740572">
              <w:rPr>
                <w:rFonts w:ascii="Arial" w:hAnsi="Arial"/>
                <w:sz w:val="20"/>
              </w:rPr>
              <w:t>’</w:t>
            </w:r>
            <w:r>
              <w:rPr>
                <w:rFonts w:ascii="Arial" w:hAnsi="Arial"/>
                <w:sz w:val="20"/>
              </w:rPr>
              <w:t>une brochure sur le programme de renforcement des capacités.</w:t>
            </w:r>
          </w:p>
        </w:tc>
        <w:tc>
          <w:tcPr>
            <w:tcW w:w="2980" w:type="dxa"/>
          </w:tcPr>
          <w:p w14:paraId="2120E95B" w14:textId="77777777" w:rsidR="00724AAD" w:rsidRPr="00A854F4" w:rsidRDefault="00724AAD" w:rsidP="00C35DA5">
            <w:pPr>
              <w:spacing w:before="320" w:after="60"/>
              <w:jc w:val="center"/>
              <w:rPr>
                <w:rFonts w:ascii="Arial" w:eastAsia="Calibri" w:hAnsi="Arial" w:cs="Arial"/>
                <w:sz w:val="20"/>
                <w:szCs w:val="20"/>
              </w:rPr>
            </w:pPr>
            <w:r>
              <w:rPr>
                <w:rFonts w:ascii="Arial" w:hAnsi="Arial"/>
                <w:sz w:val="20"/>
              </w:rPr>
              <w:t>Accomplie</w:t>
            </w:r>
          </w:p>
        </w:tc>
      </w:tr>
      <w:tr w:rsidR="00724AAD" w:rsidRPr="00A854F4" w14:paraId="7DE9E386" w14:textId="77777777" w:rsidTr="00C35DA5">
        <w:trPr>
          <w:jc w:val="center"/>
        </w:trPr>
        <w:tc>
          <w:tcPr>
            <w:tcW w:w="6658" w:type="dxa"/>
            <w:shd w:val="clear" w:color="auto" w:fill="auto"/>
          </w:tcPr>
          <w:p w14:paraId="021BEAE7" w14:textId="77777777" w:rsidR="00724AAD" w:rsidRPr="00A854F4" w:rsidRDefault="00724AAD">
            <w:pPr>
              <w:spacing w:before="60" w:after="60"/>
              <w:jc w:val="both"/>
              <w:rPr>
                <w:rFonts w:ascii="Arial" w:eastAsia="Calibri" w:hAnsi="Arial" w:cs="Arial"/>
                <w:b/>
                <w:bCs/>
                <w:sz w:val="20"/>
                <w:szCs w:val="20"/>
              </w:rPr>
            </w:pPr>
            <w:r>
              <w:rPr>
                <w:rFonts w:ascii="Arial" w:hAnsi="Arial"/>
                <w:b/>
                <w:sz w:val="20"/>
              </w:rPr>
              <w:t>Développement de moyens plus simples de partager des pratiques de sauvegarde.</w:t>
            </w:r>
          </w:p>
          <w:p w14:paraId="040F5486" w14:textId="7A7F7E65" w:rsidR="00724AAD" w:rsidRPr="00A854F4" w:rsidRDefault="00724AAD" w:rsidP="00322AB8">
            <w:pPr>
              <w:pStyle w:val="ListParagraph"/>
              <w:numPr>
                <w:ilvl w:val="0"/>
                <w:numId w:val="17"/>
              </w:numPr>
              <w:spacing w:before="60" w:after="60"/>
              <w:ind w:left="426"/>
              <w:contextualSpacing w:val="0"/>
              <w:jc w:val="both"/>
              <w:rPr>
                <w:rFonts w:ascii="Arial" w:eastAsia="Calibri" w:hAnsi="Arial" w:cs="Arial"/>
                <w:sz w:val="20"/>
                <w:szCs w:val="20"/>
              </w:rPr>
            </w:pPr>
            <w:r>
              <w:rPr>
                <w:rFonts w:ascii="Arial" w:hAnsi="Arial"/>
                <w:sz w:val="20"/>
              </w:rPr>
              <w:t>Réalisation d</w:t>
            </w:r>
            <w:r w:rsidR="00740572">
              <w:rPr>
                <w:rFonts w:ascii="Arial" w:hAnsi="Arial"/>
                <w:sz w:val="20"/>
              </w:rPr>
              <w:t>’</w:t>
            </w:r>
            <w:r>
              <w:rPr>
                <w:rFonts w:ascii="Arial" w:hAnsi="Arial"/>
                <w:sz w:val="20"/>
              </w:rPr>
              <w:t>une enquête en ligne sur les moyens les plus simples de partager des pratiques de sauvegarde. Participation de 225 organisations et institutions dans le domaine du patrimoine culturel immatériel.</w:t>
            </w:r>
          </w:p>
        </w:tc>
        <w:tc>
          <w:tcPr>
            <w:tcW w:w="2980" w:type="dxa"/>
          </w:tcPr>
          <w:p w14:paraId="5B2A396D" w14:textId="77777777" w:rsidR="00724AAD" w:rsidRPr="00A854F4" w:rsidRDefault="00724AAD" w:rsidP="00C35DA5">
            <w:pPr>
              <w:spacing w:before="320" w:after="60"/>
              <w:jc w:val="center"/>
              <w:rPr>
                <w:rFonts w:ascii="Arial" w:eastAsia="Calibri" w:hAnsi="Arial" w:cs="Arial"/>
                <w:sz w:val="20"/>
                <w:szCs w:val="20"/>
              </w:rPr>
            </w:pPr>
            <w:r>
              <w:rPr>
                <w:rFonts w:ascii="Arial" w:hAnsi="Arial"/>
                <w:sz w:val="20"/>
              </w:rPr>
              <w:t>Accomplie</w:t>
            </w:r>
          </w:p>
        </w:tc>
      </w:tr>
      <w:tr w:rsidR="00724AAD" w:rsidRPr="00A854F4" w14:paraId="3D0B152B" w14:textId="77777777" w:rsidTr="00C35DA5">
        <w:trPr>
          <w:jc w:val="center"/>
        </w:trPr>
        <w:tc>
          <w:tcPr>
            <w:tcW w:w="6658" w:type="dxa"/>
            <w:shd w:val="clear" w:color="auto" w:fill="auto"/>
          </w:tcPr>
          <w:p w14:paraId="10CA93E7" w14:textId="0820D39E" w:rsidR="00724AAD" w:rsidRPr="00A854F4" w:rsidRDefault="00724AAD" w:rsidP="00322AB8">
            <w:pPr>
              <w:spacing w:before="60" w:after="60"/>
              <w:jc w:val="both"/>
              <w:rPr>
                <w:rFonts w:ascii="Arial" w:eastAsia="Calibri" w:hAnsi="Arial" w:cs="Arial"/>
                <w:b/>
                <w:bCs/>
                <w:sz w:val="20"/>
                <w:szCs w:val="20"/>
              </w:rPr>
            </w:pPr>
            <w:r>
              <w:rPr>
                <w:rFonts w:ascii="Arial" w:hAnsi="Arial"/>
                <w:b/>
                <w:sz w:val="20"/>
              </w:rPr>
              <w:t>Renforcement de la mise en réseau et des partenariats avec les établissements d</w:t>
            </w:r>
            <w:r w:rsidR="00740572">
              <w:rPr>
                <w:rFonts w:ascii="Arial" w:hAnsi="Arial"/>
                <w:b/>
                <w:sz w:val="20"/>
              </w:rPr>
              <w:t>’</w:t>
            </w:r>
            <w:r>
              <w:rPr>
                <w:rFonts w:ascii="Arial" w:hAnsi="Arial"/>
                <w:b/>
                <w:sz w:val="20"/>
              </w:rPr>
              <w:t>enseignement supérieur</w:t>
            </w:r>
          </w:p>
          <w:p w14:paraId="4698C116" w14:textId="113D2EBC" w:rsidR="00724AAD" w:rsidRPr="00A854F4" w:rsidRDefault="00724AAD">
            <w:pPr>
              <w:pStyle w:val="ListParagraph"/>
              <w:numPr>
                <w:ilvl w:val="0"/>
                <w:numId w:val="17"/>
              </w:numPr>
              <w:spacing w:before="60" w:after="60"/>
              <w:ind w:left="426"/>
              <w:contextualSpacing w:val="0"/>
              <w:jc w:val="both"/>
              <w:rPr>
                <w:rFonts w:ascii="Arial" w:eastAsia="Calibri" w:hAnsi="Arial" w:cs="Arial"/>
                <w:sz w:val="20"/>
                <w:szCs w:val="20"/>
              </w:rPr>
            </w:pPr>
            <w:r>
              <w:rPr>
                <w:rFonts w:ascii="Arial" w:hAnsi="Arial"/>
                <w:sz w:val="20"/>
              </w:rPr>
              <w:t>Participation d</w:t>
            </w:r>
            <w:r w:rsidR="00740572">
              <w:rPr>
                <w:rFonts w:ascii="Arial" w:hAnsi="Arial"/>
                <w:sz w:val="20"/>
              </w:rPr>
              <w:t>’</w:t>
            </w:r>
            <w:r>
              <w:rPr>
                <w:rFonts w:ascii="Arial" w:hAnsi="Arial"/>
                <w:sz w:val="20"/>
              </w:rPr>
              <w:t>un total de 29 universités supplémentaires au réseau par le biais d</w:t>
            </w:r>
            <w:r w:rsidR="00740572">
              <w:rPr>
                <w:rFonts w:ascii="Arial" w:hAnsi="Arial"/>
                <w:sz w:val="20"/>
              </w:rPr>
              <w:t>’</w:t>
            </w:r>
            <w:r>
              <w:rPr>
                <w:rFonts w:ascii="Arial" w:hAnsi="Arial"/>
                <w:sz w:val="20"/>
              </w:rPr>
              <w:t>une enquête en Afrique (après des activités similaires dans les régions Asie et Pacifique, Amérique latine et Caraïbes) ; diffusion d</w:t>
            </w:r>
            <w:r w:rsidR="00740572">
              <w:rPr>
                <w:rFonts w:ascii="Arial" w:hAnsi="Arial"/>
                <w:sz w:val="20"/>
              </w:rPr>
              <w:t>’</w:t>
            </w:r>
            <w:r>
              <w:rPr>
                <w:rFonts w:ascii="Arial" w:hAnsi="Arial"/>
                <w:sz w:val="20"/>
              </w:rPr>
              <w:t>un rapport d</w:t>
            </w:r>
            <w:r w:rsidR="00740572">
              <w:rPr>
                <w:rFonts w:ascii="Arial" w:hAnsi="Arial"/>
                <w:sz w:val="20"/>
              </w:rPr>
              <w:t>’</w:t>
            </w:r>
            <w:r>
              <w:rPr>
                <w:rFonts w:ascii="Arial" w:hAnsi="Arial"/>
                <w:sz w:val="20"/>
              </w:rPr>
              <w:t>enquête lors d</w:t>
            </w:r>
            <w:r w:rsidR="00740572">
              <w:rPr>
                <w:rFonts w:ascii="Arial" w:hAnsi="Arial"/>
                <w:sz w:val="20"/>
              </w:rPr>
              <w:t>’</w:t>
            </w:r>
            <w:r>
              <w:rPr>
                <w:rFonts w:ascii="Arial" w:hAnsi="Arial"/>
                <w:sz w:val="20"/>
              </w:rPr>
              <w:t>un événement organisé en marge de la treizième session du Comité et en ligne.</w:t>
            </w:r>
          </w:p>
          <w:p w14:paraId="6D343D5C" w14:textId="0EF48BED" w:rsidR="00724AAD" w:rsidRPr="00A854F4" w:rsidRDefault="00724AAD">
            <w:pPr>
              <w:pStyle w:val="ListParagraph"/>
              <w:numPr>
                <w:ilvl w:val="0"/>
                <w:numId w:val="17"/>
              </w:numPr>
              <w:spacing w:before="60" w:after="60"/>
              <w:ind w:left="426"/>
              <w:contextualSpacing w:val="0"/>
              <w:jc w:val="both"/>
              <w:rPr>
                <w:rFonts w:ascii="Arial" w:eastAsia="Calibri" w:hAnsi="Arial" w:cs="Arial"/>
                <w:sz w:val="20"/>
                <w:szCs w:val="20"/>
              </w:rPr>
            </w:pPr>
            <w:r>
              <w:rPr>
                <w:rFonts w:ascii="Arial" w:hAnsi="Arial"/>
                <w:sz w:val="20"/>
              </w:rPr>
              <w:t>Identification des partenaires pour la mise en place d</w:t>
            </w:r>
            <w:r w:rsidR="00740572">
              <w:rPr>
                <w:rFonts w:ascii="Arial" w:hAnsi="Arial"/>
                <w:sz w:val="20"/>
              </w:rPr>
              <w:t>’</w:t>
            </w:r>
            <w:r>
              <w:rPr>
                <w:rFonts w:ascii="Arial" w:hAnsi="Arial"/>
                <w:sz w:val="20"/>
              </w:rPr>
              <w:t>un cours en ligne sur le patrimoine culturel immatériel (</w:t>
            </w:r>
            <w:r w:rsidR="00541A1C">
              <w:rPr>
                <w:rFonts w:ascii="Arial" w:hAnsi="Arial"/>
                <w:sz w:val="20"/>
              </w:rPr>
              <w:t xml:space="preserve">« Sustainable Development Goal (SDG) Academy » </w:t>
            </w:r>
            <w:r>
              <w:rPr>
                <w:rFonts w:ascii="Arial" w:hAnsi="Arial"/>
                <w:sz w:val="20"/>
              </w:rPr>
              <w:t>et Centre international d</w:t>
            </w:r>
            <w:r w:rsidR="00740572">
              <w:rPr>
                <w:rFonts w:ascii="Arial" w:hAnsi="Arial"/>
                <w:sz w:val="20"/>
              </w:rPr>
              <w:t>’</w:t>
            </w:r>
            <w:r>
              <w:rPr>
                <w:rFonts w:ascii="Arial" w:hAnsi="Arial"/>
                <w:sz w:val="20"/>
              </w:rPr>
              <w:t>information et de travail en réseau sur le patrimoine culturel immatériel dans la région Asie-Pacifique [ICHCAP]).</w:t>
            </w:r>
          </w:p>
        </w:tc>
        <w:tc>
          <w:tcPr>
            <w:tcW w:w="2980" w:type="dxa"/>
          </w:tcPr>
          <w:p w14:paraId="0822E07F" w14:textId="77777777" w:rsidR="00724AAD" w:rsidRPr="00A854F4" w:rsidRDefault="00724AAD" w:rsidP="00C35DA5">
            <w:pPr>
              <w:spacing w:before="320" w:after="60"/>
              <w:jc w:val="center"/>
              <w:rPr>
                <w:rFonts w:ascii="Arial" w:eastAsia="Calibri" w:hAnsi="Arial" w:cs="Arial"/>
                <w:sz w:val="20"/>
                <w:szCs w:val="20"/>
              </w:rPr>
            </w:pPr>
            <w:r>
              <w:rPr>
                <w:rFonts w:ascii="Arial" w:hAnsi="Arial"/>
                <w:sz w:val="20"/>
              </w:rPr>
              <w:t>Accomplie</w:t>
            </w:r>
          </w:p>
        </w:tc>
      </w:tr>
    </w:tbl>
    <w:p w14:paraId="6D37F2D4" w14:textId="77777777" w:rsidR="00724AAD" w:rsidRPr="00A854F4" w:rsidRDefault="00724AAD" w:rsidP="00724AAD">
      <w:pPr>
        <w:pStyle w:val="ListParagraph"/>
        <w:keepNext/>
        <w:numPr>
          <w:ilvl w:val="0"/>
          <w:numId w:val="14"/>
        </w:numPr>
        <w:spacing w:before="240"/>
        <w:ind w:left="284" w:hanging="284"/>
        <w:jc w:val="both"/>
        <w:rPr>
          <w:rFonts w:ascii="Arial" w:hAnsi="Arial" w:cs="Arial"/>
          <w:b/>
          <w:bCs/>
          <w:sz w:val="22"/>
          <w:szCs w:val="22"/>
        </w:rPr>
      </w:pPr>
      <w:r>
        <w:rPr>
          <w:rFonts w:ascii="Arial" w:hAnsi="Arial"/>
          <w:b/>
          <w:sz w:val="22"/>
        </w:rPr>
        <w:t xml:space="preserve">Rapport de mise en œuvre pour la période du 1er janvier 2020 au 30 juin 2021. </w:t>
      </w:r>
    </w:p>
    <w:p w14:paraId="166B918D" w14:textId="77777777" w:rsidR="00724AAD" w:rsidRPr="00ED3B35" w:rsidRDefault="00724AAD" w:rsidP="00724AAD">
      <w:pPr>
        <w:pStyle w:val="ListParagraph"/>
        <w:keepNext/>
        <w:spacing w:before="240"/>
        <w:ind w:left="284" w:hanging="284"/>
        <w:jc w:val="both"/>
        <w:rPr>
          <w:rFonts w:ascii="Arial" w:hAnsi="Arial" w:cs="Arial"/>
          <w:b/>
          <w:bCs/>
          <w:sz w:val="22"/>
          <w:szCs w:val="22"/>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724AAD" w:rsidRPr="00A854F4" w14:paraId="473D0D7F" w14:textId="77777777" w:rsidTr="00322AB8">
        <w:trPr>
          <w:jc w:val="center"/>
        </w:trPr>
        <w:tc>
          <w:tcPr>
            <w:tcW w:w="1999" w:type="pct"/>
            <w:shd w:val="clear" w:color="auto" w:fill="92D050"/>
            <w:vAlign w:val="center"/>
          </w:tcPr>
          <w:p w14:paraId="37BB7C4E" w14:textId="77777777" w:rsidR="00724AAD" w:rsidRPr="00A854F4" w:rsidRDefault="00724AAD" w:rsidP="00C35DA5">
            <w:pPr>
              <w:keepNext/>
              <w:spacing w:before="120"/>
              <w:jc w:val="center"/>
              <w:rPr>
                <w:rFonts w:ascii="Arial" w:eastAsia="Calibri" w:hAnsi="Arial" w:cs="Arial"/>
                <w:b/>
                <w:sz w:val="20"/>
                <w:szCs w:val="20"/>
              </w:rPr>
            </w:pPr>
            <w:r>
              <w:rPr>
                <w:rFonts w:ascii="Arial" w:hAnsi="Arial"/>
                <w:b/>
                <w:sz w:val="20"/>
              </w:rPr>
              <w:t>Allocation</w:t>
            </w:r>
          </w:p>
        </w:tc>
        <w:tc>
          <w:tcPr>
            <w:tcW w:w="2118" w:type="pct"/>
            <w:shd w:val="clear" w:color="auto" w:fill="92D050"/>
            <w:vAlign w:val="center"/>
          </w:tcPr>
          <w:p w14:paraId="2E9C8B03" w14:textId="77777777" w:rsidR="00724AAD" w:rsidRPr="00A854F4" w:rsidRDefault="00724AAD" w:rsidP="00C35DA5">
            <w:pPr>
              <w:spacing w:before="120"/>
              <w:jc w:val="center"/>
              <w:rPr>
                <w:rFonts w:ascii="Arial" w:eastAsia="Calibri" w:hAnsi="Arial" w:cs="Arial"/>
                <w:b/>
                <w:sz w:val="20"/>
                <w:szCs w:val="20"/>
              </w:rPr>
            </w:pPr>
            <w:r>
              <w:rPr>
                <w:rFonts w:ascii="Arial" w:hAnsi="Arial"/>
                <w:b/>
                <w:sz w:val="20"/>
              </w:rPr>
              <w:t>Dépenses</w:t>
            </w:r>
          </w:p>
        </w:tc>
        <w:tc>
          <w:tcPr>
            <w:tcW w:w="883" w:type="pct"/>
            <w:shd w:val="clear" w:color="auto" w:fill="92D050"/>
            <w:vAlign w:val="center"/>
          </w:tcPr>
          <w:p w14:paraId="468DC14A" w14:textId="77777777" w:rsidR="00724AAD" w:rsidRPr="00A854F4" w:rsidRDefault="00724AAD" w:rsidP="00C35DA5">
            <w:pPr>
              <w:spacing w:before="120"/>
              <w:jc w:val="center"/>
              <w:rPr>
                <w:rFonts w:ascii="Arial" w:eastAsia="Calibri" w:hAnsi="Arial" w:cs="Arial"/>
                <w:b/>
                <w:sz w:val="20"/>
                <w:szCs w:val="20"/>
              </w:rPr>
            </w:pPr>
            <w:r>
              <w:rPr>
                <w:rFonts w:ascii="Arial" w:hAnsi="Arial"/>
                <w:b/>
                <w:sz w:val="20"/>
              </w:rPr>
              <w:t>Taux de dépense (%)</w:t>
            </w:r>
            <w:r>
              <w:rPr>
                <w:rFonts w:ascii="Arial" w:hAnsi="Arial"/>
                <w:b/>
                <w:sz w:val="20"/>
              </w:rPr>
              <w:br/>
              <w:t>au 30/06/2021</w:t>
            </w:r>
          </w:p>
        </w:tc>
      </w:tr>
      <w:tr w:rsidR="00724AAD" w:rsidRPr="00A854F4" w14:paraId="316F6BA1" w14:textId="77777777" w:rsidTr="00C35DA5">
        <w:trPr>
          <w:jc w:val="center"/>
        </w:trPr>
        <w:tc>
          <w:tcPr>
            <w:tcW w:w="1999" w:type="pct"/>
            <w:shd w:val="clear" w:color="auto" w:fill="auto"/>
          </w:tcPr>
          <w:p w14:paraId="0C3BA445" w14:textId="77777777" w:rsidR="00724AAD" w:rsidRPr="00A854F4" w:rsidRDefault="00724AAD" w:rsidP="00C35DA5">
            <w:pPr>
              <w:spacing w:before="120"/>
              <w:jc w:val="center"/>
              <w:rPr>
                <w:rFonts w:ascii="Arial" w:eastAsia="Calibri" w:hAnsi="Arial" w:cs="Arial"/>
                <w:sz w:val="20"/>
                <w:szCs w:val="20"/>
              </w:rPr>
            </w:pPr>
            <w:r>
              <w:rPr>
                <w:rFonts w:ascii="Arial" w:hAnsi="Arial"/>
                <w:sz w:val="20"/>
              </w:rPr>
              <w:t>517 465,00</w:t>
            </w:r>
          </w:p>
        </w:tc>
        <w:tc>
          <w:tcPr>
            <w:tcW w:w="2118" w:type="pct"/>
            <w:shd w:val="clear" w:color="auto" w:fill="auto"/>
          </w:tcPr>
          <w:p w14:paraId="6719AA74" w14:textId="77777777" w:rsidR="00724AAD" w:rsidRPr="00A854F4" w:rsidRDefault="00724AAD" w:rsidP="00C35DA5">
            <w:pPr>
              <w:spacing w:before="120"/>
              <w:jc w:val="center"/>
              <w:rPr>
                <w:rFonts w:ascii="Arial" w:eastAsia="Calibri" w:hAnsi="Arial" w:cs="Arial"/>
                <w:sz w:val="20"/>
                <w:szCs w:val="20"/>
              </w:rPr>
            </w:pPr>
            <w:r>
              <w:rPr>
                <w:rFonts w:ascii="Arial" w:hAnsi="Arial"/>
                <w:sz w:val="20"/>
              </w:rPr>
              <w:t>302 236,70</w:t>
            </w:r>
          </w:p>
        </w:tc>
        <w:tc>
          <w:tcPr>
            <w:tcW w:w="883" w:type="pct"/>
            <w:shd w:val="clear" w:color="auto" w:fill="auto"/>
          </w:tcPr>
          <w:p w14:paraId="5EAD179B" w14:textId="77777777" w:rsidR="00724AAD" w:rsidRPr="00A854F4" w:rsidRDefault="00724AAD" w:rsidP="00C35DA5">
            <w:pPr>
              <w:spacing w:before="120"/>
              <w:jc w:val="center"/>
              <w:rPr>
                <w:rFonts w:ascii="Arial" w:eastAsia="Calibri" w:hAnsi="Arial" w:cs="Arial"/>
                <w:sz w:val="20"/>
                <w:szCs w:val="20"/>
              </w:rPr>
            </w:pPr>
            <w:r>
              <w:rPr>
                <w:rFonts w:ascii="Arial" w:hAnsi="Arial"/>
                <w:sz w:val="20"/>
              </w:rPr>
              <w:t>58,4 %</w:t>
            </w:r>
          </w:p>
        </w:tc>
      </w:tr>
    </w:tbl>
    <w:p w14:paraId="1A80BC8F" w14:textId="77777777" w:rsidR="00724AAD" w:rsidRPr="00A854F4" w:rsidRDefault="00724AAD" w:rsidP="00724AAD">
      <w:pPr>
        <w:spacing w:after="0"/>
        <w:rPr>
          <w:rFonts w:ascii="Arial" w:hAnsi="Arial" w:cs="Arial"/>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980"/>
      </w:tblGrid>
      <w:tr w:rsidR="00724AAD" w:rsidRPr="00A854F4" w14:paraId="223ECC61" w14:textId="77777777" w:rsidTr="00C35DA5">
        <w:trPr>
          <w:tblHeader/>
          <w:jc w:val="center"/>
        </w:trPr>
        <w:tc>
          <w:tcPr>
            <w:tcW w:w="6658" w:type="dxa"/>
            <w:shd w:val="clear" w:color="auto" w:fill="D9D9D9"/>
            <w:vAlign w:val="center"/>
          </w:tcPr>
          <w:p w14:paraId="57CE6ED9" w14:textId="77777777" w:rsidR="00724AAD" w:rsidRPr="00A854F4" w:rsidRDefault="00724AAD" w:rsidP="00C35DA5">
            <w:pPr>
              <w:spacing w:before="60" w:after="60"/>
              <w:jc w:val="center"/>
              <w:rPr>
                <w:rFonts w:ascii="Arial" w:eastAsia="Calibri" w:hAnsi="Arial" w:cs="Arial"/>
                <w:b/>
                <w:sz w:val="20"/>
                <w:szCs w:val="20"/>
              </w:rPr>
            </w:pPr>
            <w:r>
              <w:rPr>
                <w:rFonts w:ascii="Arial" w:hAnsi="Arial"/>
                <w:b/>
                <w:sz w:val="20"/>
              </w:rPr>
              <w:lastRenderedPageBreak/>
              <w:t>Évaluation des progrès :</w:t>
            </w:r>
            <w:r>
              <w:rPr>
                <w:rFonts w:ascii="Arial" w:hAnsi="Arial"/>
                <w:b/>
                <w:sz w:val="20"/>
              </w:rPr>
              <w:br/>
              <w:t>du 01/01/2020 au 30/06/2021</w:t>
            </w:r>
          </w:p>
        </w:tc>
        <w:tc>
          <w:tcPr>
            <w:tcW w:w="2980" w:type="dxa"/>
            <w:shd w:val="clear" w:color="auto" w:fill="D9D9D9"/>
            <w:vAlign w:val="center"/>
          </w:tcPr>
          <w:p w14:paraId="257F5DD0" w14:textId="77777777" w:rsidR="00724AAD" w:rsidRPr="00A854F4" w:rsidRDefault="00724AAD" w:rsidP="00C35DA5">
            <w:pPr>
              <w:spacing w:before="60" w:after="60"/>
              <w:jc w:val="center"/>
              <w:rPr>
                <w:rFonts w:ascii="Arial" w:eastAsia="Calibri" w:hAnsi="Arial" w:cs="Arial"/>
                <w:b/>
                <w:sz w:val="20"/>
                <w:szCs w:val="20"/>
              </w:rPr>
            </w:pPr>
            <w:r>
              <w:rPr>
                <w:rFonts w:ascii="Arial" w:hAnsi="Arial"/>
                <w:b/>
                <w:sz w:val="20"/>
              </w:rPr>
              <w:t>Évaluation de la mise en œuvre</w:t>
            </w:r>
          </w:p>
        </w:tc>
      </w:tr>
      <w:tr w:rsidR="00724AAD" w:rsidRPr="00A854F4" w14:paraId="55EDF835" w14:textId="77777777" w:rsidTr="00C35DA5">
        <w:trPr>
          <w:jc w:val="center"/>
        </w:trPr>
        <w:tc>
          <w:tcPr>
            <w:tcW w:w="6658" w:type="dxa"/>
            <w:shd w:val="clear" w:color="auto" w:fill="auto"/>
          </w:tcPr>
          <w:p w14:paraId="5E337A95" w14:textId="77777777" w:rsidR="00724AAD" w:rsidRPr="00A854F4" w:rsidRDefault="00724AAD">
            <w:pPr>
              <w:spacing w:before="60" w:after="60"/>
              <w:jc w:val="both"/>
              <w:rPr>
                <w:rFonts w:ascii="Arial" w:eastAsia="Calibri" w:hAnsi="Arial" w:cs="Arial"/>
                <w:b/>
                <w:bCs/>
                <w:sz w:val="20"/>
                <w:szCs w:val="20"/>
              </w:rPr>
            </w:pPr>
            <w:r>
              <w:rPr>
                <w:rFonts w:ascii="Arial" w:hAnsi="Arial"/>
                <w:b/>
                <w:sz w:val="20"/>
              </w:rPr>
              <w:t>Réseau de facilitateurs renforcé</w:t>
            </w:r>
          </w:p>
          <w:p w14:paraId="77F27BB2" w14:textId="77777777" w:rsidR="00724AAD" w:rsidRPr="00A854F4" w:rsidRDefault="00724AAD">
            <w:pPr>
              <w:numPr>
                <w:ilvl w:val="0"/>
                <w:numId w:val="10"/>
              </w:numPr>
              <w:spacing w:before="60" w:after="60"/>
              <w:ind w:left="357" w:hanging="357"/>
              <w:jc w:val="both"/>
              <w:rPr>
                <w:rFonts w:ascii="Arial" w:eastAsia="Calibri" w:hAnsi="Arial" w:cs="Arial"/>
                <w:sz w:val="20"/>
                <w:szCs w:val="20"/>
              </w:rPr>
            </w:pPr>
            <w:r>
              <w:rPr>
                <w:rFonts w:ascii="Arial" w:hAnsi="Arial"/>
                <w:sz w:val="20"/>
              </w:rPr>
              <w:t>Coordination du réseau et travail thématique soutenus par le biais de deux sessions du groupe de travail interrégional du réseau de facilitateurs.</w:t>
            </w:r>
          </w:p>
          <w:p w14:paraId="2C804624" w14:textId="1577023C" w:rsidR="00724AAD" w:rsidRPr="00A854F4" w:rsidRDefault="00105CF8">
            <w:pPr>
              <w:numPr>
                <w:ilvl w:val="0"/>
                <w:numId w:val="10"/>
              </w:numPr>
              <w:spacing w:before="60" w:after="60"/>
              <w:ind w:left="357" w:hanging="357"/>
              <w:jc w:val="both"/>
              <w:rPr>
                <w:rFonts w:ascii="Arial" w:eastAsia="Calibri" w:hAnsi="Arial" w:cs="Arial"/>
                <w:sz w:val="20"/>
                <w:szCs w:val="20"/>
              </w:rPr>
            </w:pPr>
            <w:r>
              <w:rPr>
                <w:rFonts w:ascii="Arial" w:hAnsi="Arial"/>
                <w:sz w:val="20"/>
              </w:rPr>
              <w:t>Formation de sept facilitateurs expérimentés de la région Amérique latine et Caraïbes à la mise en œuvre du cadre global de résultats et aux rapports périodiques en mai/juin 2021 ; en raison des restrictions en lien avec la pandémie de COVID-19, l</w:t>
            </w:r>
            <w:r w:rsidR="00740572">
              <w:rPr>
                <w:rFonts w:ascii="Arial" w:hAnsi="Arial"/>
                <w:sz w:val="20"/>
              </w:rPr>
              <w:t>’</w:t>
            </w:r>
            <w:r>
              <w:rPr>
                <w:rFonts w:ascii="Arial" w:hAnsi="Arial"/>
                <w:sz w:val="20"/>
              </w:rPr>
              <w:t>atelier de formation a été repensé et converti en version en ligne et fusionné avec la formation destinée aux points focaux nationaux pour les rapports périodiques (voir ci-dessous). Reprogrammation au mois d</w:t>
            </w:r>
            <w:r w:rsidR="00740572">
              <w:rPr>
                <w:rFonts w:ascii="Arial" w:hAnsi="Arial"/>
                <w:sz w:val="20"/>
              </w:rPr>
              <w:t>’</w:t>
            </w:r>
            <w:r>
              <w:rPr>
                <w:rFonts w:ascii="Arial" w:hAnsi="Arial"/>
                <w:sz w:val="20"/>
              </w:rPr>
              <w:t>octobre 2021 d</w:t>
            </w:r>
            <w:r w:rsidR="00740572">
              <w:rPr>
                <w:rFonts w:ascii="Arial" w:hAnsi="Arial"/>
                <w:sz w:val="20"/>
              </w:rPr>
              <w:t>’</w:t>
            </w:r>
            <w:r>
              <w:rPr>
                <w:rFonts w:ascii="Arial" w:hAnsi="Arial"/>
                <w:sz w:val="20"/>
              </w:rPr>
              <w:t>une formation destinée aux facilitateurs des États arabes, initialement prévue en janvier 2022.</w:t>
            </w:r>
          </w:p>
          <w:p w14:paraId="500F8AE6" w14:textId="2B4850ED" w:rsidR="00724AAD" w:rsidRPr="00A854F4" w:rsidRDefault="00105CF8">
            <w:pPr>
              <w:numPr>
                <w:ilvl w:val="0"/>
                <w:numId w:val="10"/>
              </w:numPr>
              <w:spacing w:before="60" w:after="60"/>
              <w:ind w:left="357" w:hanging="357"/>
              <w:jc w:val="both"/>
              <w:rPr>
                <w:rFonts w:ascii="Arial" w:eastAsia="Calibri" w:hAnsi="Arial" w:cs="Arial"/>
                <w:sz w:val="20"/>
                <w:szCs w:val="20"/>
              </w:rPr>
            </w:pPr>
            <w:r>
              <w:rPr>
                <w:rFonts w:ascii="Arial" w:hAnsi="Arial"/>
                <w:sz w:val="20"/>
              </w:rPr>
              <w:t>Vingt-sept facilitateurs formés à la sauvegarde du patrimoine culturel immatériel dans l</w:t>
            </w:r>
            <w:r w:rsidR="00740572">
              <w:rPr>
                <w:rFonts w:ascii="Arial" w:hAnsi="Arial"/>
                <w:sz w:val="20"/>
              </w:rPr>
              <w:t>’</w:t>
            </w:r>
            <w:r>
              <w:rPr>
                <w:rFonts w:ascii="Arial" w:hAnsi="Arial"/>
                <w:sz w:val="20"/>
              </w:rPr>
              <w:t>éducation formelle et non formelle et un réseau d</w:t>
            </w:r>
            <w:r w:rsidR="00740572">
              <w:rPr>
                <w:rFonts w:ascii="Arial" w:hAnsi="Arial"/>
                <w:sz w:val="20"/>
              </w:rPr>
              <w:t>’</w:t>
            </w:r>
            <w:r>
              <w:rPr>
                <w:rFonts w:ascii="Arial" w:hAnsi="Arial"/>
                <w:sz w:val="20"/>
              </w:rPr>
              <w:t>apprentissage établi. En raison des restrictions en lien avec la pandémie de COVID-19, l</w:t>
            </w:r>
            <w:r w:rsidR="00740572">
              <w:rPr>
                <w:rFonts w:ascii="Arial" w:hAnsi="Arial"/>
                <w:sz w:val="20"/>
              </w:rPr>
              <w:t>’</w:t>
            </w:r>
            <w:r>
              <w:rPr>
                <w:rFonts w:ascii="Arial" w:hAnsi="Arial"/>
                <w:sz w:val="20"/>
              </w:rPr>
              <w:t>atelier de formation a été conçu dans un format entièrement en ligne à destination de deux fuseaux horaires. Le premier cours en ligne s</w:t>
            </w:r>
            <w:r w:rsidR="00740572">
              <w:rPr>
                <w:rFonts w:ascii="Arial" w:hAnsi="Arial"/>
                <w:sz w:val="20"/>
              </w:rPr>
              <w:t>’</w:t>
            </w:r>
            <w:r>
              <w:rPr>
                <w:rFonts w:ascii="Arial" w:hAnsi="Arial"/>
                <w:sz w:val="20"/>
              </w:rPr>
              <w:t>est déroulé en juin 2021 et le deuxième, en octobre 2021.</w:t>
            </w:r>
          </w:p>
          <w:p w14:paraId="7F507FC1" w14:textId="10556E51" w:rsidR="00724AAD" w:rsidRPr="00A854F4" w:rsidRDefault="00724AAD">
            <w:pPr>
              <w:numPr>
                <w:ilvl w:val="0"/>
                <w:numId w:val="10"/>
              </w:numPr>
              <w:spacing w:before="60" w:after="60"/>
              <w:ind w:left="357" w:hanging="357"/>
              <w:jc w:val="both"/>
              <w:rPr>
                <w:rFonts w:ascii="Arial" w:eastAsia="Calibri" w:hAnsi="Arial" w:cs="Arial"/>
                <w:sz w:val="20"/>
                <w:szCs w:val="20"/>
              </w:rPr>
            </w:pPr>
            <w:r>
              <w:rPr>
                <w:rFonts w:ascii="Arial" w:hAnsi="Arial"/>
                <w:sz w:val="20"/>
              </w:rPr>
              <w:t>Rédaction d</w:t>
            </w:r>
            <w:r w:rsidR="00740572">
              <w:rPr>
                <w:rFonts w:ascii="Arial" w:hAnsi="Arial"/>
                <w:sz w:val="20"/>
              </w:rPr>
              <w:t>’</w:t>
            </w:r>
            <w:r>
              <w:rPr>
                <w:rFonts w:ascii="Arial" w:hAnsi="Arial"/>
                <w:sz w:val="20"/>
              </w:rPr>
              <w:t>une note conceptuelle pour une série de webinaires pour le réseau global de facilitateurs afin de renforcer les échanges et les connaissances thématiques et méthodologiques. Une première session a été organisée en mai 2021 pour évaluer les premières expériences des membres du réseau concernant la proposition en ligne de la formation pour la sauvegarde du patrimoine culturel immatériel, avec des recommandations pour le développement de programmes à venir.</w:t>
            </w:r>
          </w:p>
        </w:tc>
        <w:tc>
          <w:tcPr>
            <w:tcW w:w="2980" w:type="dxa"/>
          </w:tcPr>
          <w:p w14:paraId="4E420606" w14:textId="77777777" w:rsidR="00724AAD" w:rsidRPr="00A854F4" w:rsidRDefault="00724AAD" w:rsidP="00C35DA5">
            <w:pPr>
              <w:spacing w:before="320" w:after="60"/>
              <w:jc w:val="center"/>
              <w:rPr>
                <w:rFonts w:ascii="Arial" w:eastAsia="Calibri" w:hAnsi="Arial" w:cs="Arial"/>
                <w:sz w:val="20"/>
                <w:szCs w:val="20"/>
              </w:rPr>
            </w:pPr>
            <w:r>
              <w:rPr>
                <w:rFonts w:ascii="Arial" w:hAnsi="Arial"/>
                <w:sz w:val="20"/>
              </w:rPr>
              <w:t>Accomplie</w:t>
            </w:r>
          </w:p>
        </w:tc>
      </w:tr>
      <w:tr w:rsidR="00724AAD" w:rsidRPr="00A854F4" w14:paraId="0598C214" w14:textId="77777777" w:rsidTr="00C35DA5">
        <w:trPr>
          <w:jc w:val="center"/>
        </w:trPr>
        <w:tc>
          <w:tcPr>
            <w:tcW w:w="6658" w:type="dxa"/>
            <w:shd w:val="clear" w:color="auto" w:fill="auto"/>
          </w:tcPr>
          <w:p w14:paraId="2557F5E7" w14:textId="77777777" w:rsidR="00724AAD" w:rsidRPr="00A854F4" w:rsidRDefault="00724AAD">
            <w:pPr>
              <w:spacing w:before="60" w:after="60"/>
              <w:jc w:val="both"/>
              <w:rPr>
                <w:rFonts w:ascii="Arial" w:eastAsia="Calibri" w:hAnsi="Arial" w:cs="Arial"/>
                <w:b/>
                <w:bCs/>
                <w:sz w:val="20"/>
                <w:szCs w:val="20"/>
              </w:rPr>
            </w:pPr>
            <w:r>
              <w:rPr>
                <w:rFonts w:ascii="Arial" w:hAnsi="Arial"/>
                <w:b/>
                <w:sz w:val="20"/>
              </w:rPr>
              <w:t>Développement du contenu et du format du programme de renforcement de capacités pour répondre aux principaux défis de mise en œuvre</w:t>
            </w:r>
          </w:p>
          <w:p w14:paraId="3A8160EE" w14:textId="18821FC4" w:rsidR="00724AAD" w:rsidRPr="00A854F4" w:rsidRDefault="00D06236">
            <w:pPr>
              <w:numPr>
                <w:ilvl w:val="0"/>
                <w:numId w:val="10"/>
              </w:numPr>
              <w:spacing w:before="60" w:after="60"/>
              <w:ind w:left="357" w:hanging="357"/>
              <w:jc w:val="both"/>
              <w:rPr>
                <w:rFonts w:ascii="Arial" w:eastAsia="Calibri" w:hAnsi="Arial" w:cs="Arial"/>
                <w:sz w:val="20"/>
                <w:szCs w:val="20"/>
              </w:rPr>
            </w:pPr>
            <w:r>
              <w:rPr>
                <w:rFonts w:ascii="Arial" w:hAnsi="Arial"/>
                <w:sz w:val="20"/>
              </w:rPr>
              <w:t>Formation de trente-quatre points focaux nationaux à la soumission des rapports périodiques dans la région Amérique latine et Caraïbes par le biais d</w:t>
            </w:r>
            <w:r w:rsidR="00740572">
              <w:rPr>
                <w:rFonts w:ascii="Arial" w:hAnsi="Arial"/>
                <w:sz w:val="20"/>
              </w:rPr>
              <w:t>’</w:t>
            </w:r>
            <w:r>
              <w:rPr>
                <w:rFonts w:ascii="Arial" w:hAnsi="Arial"/>
                <w:sz w:val="20"/>
              </w:rPr>
              <w:t>un cours en ligne de six semaines sur ce thème. En raison des restrictions en lien avec la pandémie de COVID-19, l</w:t>
            </w:r>
            <w:r w:rsidR="00740572">
              <w:rPr>
                <w:rFonts w:ascii="Arial" w:hAnsi="Arial"/>
                <w:sz w:val="20"/>
              </w:rPr>
              <w:t>’</w:t>
            </w:r>
            <w:r>
              <w:rPr>
                <w:rFonts w:ascii="Arial" w:hAnsi="Arial"/>
                <w:sz w:val="20"/>
              </w:rPr>
              <w:t>atelier de formation a été repensé et converti en version en ligne et fusionné avec la formation destinée aux facilitateurs confirmés dans la même région.</w:t>
            </w:r>
          </w:p>
          <w:p w14:paraId="10706547" w14:textId="0AC7E56E" w:rsidR="00724AAD" w:rsidRPr="00A854F4" w:rsidRDefault="00724AAD">
            <w:pPr>
              <w:numPr>
                <w:ilvl w:val="0"/>
                <w:numId w:val="10"/>
              </w:numPr>
              <w:spacing w:before="60" w:after="60"/>
              <w:ind w:left="357" w:hanging="357"/>
              <w:jc w:val="both"/>
              <w:rPr>
                <w:rFonts w:ascii="Arial" w:eastAsia="Calibri" w:hAnsi="Arial" w:cs="Arial"/>
                <w:sz w:val="20"/>
                <w:szCs w:val="20"/>
              </w:rPr>
            </w:pPr>
            <w:r>
              <w:rPr>
                <w:rFonts w:ascii="Arial" w:hAnsi="Arial"/>
                <w:sz w:val="20"/>
              </w:rPr>
              <w:t>Traduction des supports de formation sur les rapports périodiques et l</w:t>
            </w:r>
            <w:r w:rsidR="00740572">
              <w:rPr>
                <w:rFonts w:ascii="Arial" w:hAnsi="Arial"/>
                <w:sz w:val="20"/>
              </w:rPr>
              <w:t>’</w:t>
            </w:r>
            <w:r>
              <w:rPr>
                <w:rFonts w:ascii="Arial" w:hAnsi="Arial"/>
                <w:sz w:val="20"/>
              </w:rPr>
              <w:t>élaboration de politiques afin qu</w:t>
            </w:r>
            <w:r w:rsidR="00740572">
              <w:rPr>
                <w:rFonts w:ascii="Arial" w:hAnsi="Arial"/>
                <w:sz w:val="20"/>
              </w:rPr>
              <w:t>’</w:t>
            </w:r>
            <w:r>
              <w:rPr>
                <w:rFonts w:ascii="Arial" w:hAnsi="Arial"/>
                <w:sz w:val="20"/>
              </w:rPr>
              <w:t>ils soient disponibles dans trois langues (anglais, français et espagnol). Lancement de la réorientation du programme mondial de renforcement des capacités vers une approche multimodale (entièrement en ligne, hybride, en présentiel/mixte) par l</w:t>
            </w:r>
            <w:r w:rsidR="00740572">
              <w:rPr>
                <w:rFonts w:ascii="Arial" w:hAnsi="Arial"/>
                <w:sz w:val="20"/>
              </w:rPr>
              <w:t>’</w:t>
            </w:r>
            <w:r>
              <w:rPr>
                <w:rFonts w:ascii="Arial" w:hAnsi="Arial"/>
                <w:sz w:val="20"/>
              </w:rPr>
              <w:t>élaboration d</w:t>
            </w:r>
            <w:r w:rsidR="00740572">
              <w:rPr>
                <w:rFonts w:ascii="Arial" w:hAnsi="Arial"/>
                <w:sz w:val="20"/>
              </w:rPr>
              <w:t>’</w:t>
            </w:r>
            <w:r>
              <w:rPr>
                <w:rFonts w:ascii="Arial" w:hAnsi="Arial"/>
                <w:sz w:val="20"/>
              </w:rPr>
              <w:t>une stratégie et l</w:t>
            </w:r>
            <w:r w:rsidR="00740572">
              <w:rPr>
                <w:rFonts w:ascii="Arial" w:hAnsi="Arial"/>
                <w:sz w:val="20"/>
              </w:rPr>
              <w:t>’</w:t>
            </w:r>
            <w:r>
              <w:rPr>
                <w:rFonts w:ascii="Arial" w:hAnsi="Arial"/>
                <w:sz w:val="20"/>
              </w:rPr>
              <w:t>organisation d</w:t>
            </w:r>
            <w:r w:rsidR="00740572">
              <w:rPr>
                <w:rFonts w:ascii="Arial" w:hAnsi="Arial"/>
                <w:sz w:val="20"/>
              </w:rPr>
              <w:t>’</w:t>
            </w:r>
            <w:r>
              <w:rPr>
                <w:rFonts w:ascii="Arial" w:hAnsi="Arial"/>
                <w:sz w:val="20"/>
              </w:rPr>
              <w:t>activités pilotes en vue de sa mise en œuvre (en cours).</w:t>
            </w:r>
          </w:p>
          <w:p w14:paraId="42EA0DF7" w14:textId="2EE417B8" w:rsidR="00724AAD" w:rsidRPr="00A854F4" w:rsidRDefault="00724AAD">
            <w:pPr>
              <w:numPr>
                <w:ilvl w:val="0"/>
                <w:numId w:val="10"/>
              </w:numPr>
              <w:spacing w:before="60" w:after="60"/>
              <w:ind w:left="357" w:hanging="357"/>
              <w:jc w:val="both"/>
              <w:rPr>
                <w:rFonts w:ascii="Arial" w:eastAsia="Calibri" w:hAnsi="Arial" w:cs="Arial"/>
                <w:sz w:val="20"/>
                <w:szCs w:val="20"/>
              </w:rPr>
            </w:pPr>
            <w:r>
              <w:rPr>
                <w:rFonts w:ascii="Arial" w:hAnsi="Arial"/>
                <w:sz w:val="20"/>
              </w:rPr>
              <w:t>Intensification des partenariats avec les centres de catégorie 2 afin d</w:t>
            </w:r>
            <w:r w:rsidR="00740572">
              <w:rPr>
                <w:rFonts w:ascii="Arial" w:hAnsi="Arial"/>
                <w:sz w:val="20"/>
              </w:rPr>
              <w:t>’</w:t>
            </w:r>
            <w:r>
              <w:rPr>
                <w:rFonts w:ascii="Arial" w:hAnsi="Arial"/>
                <w:sz w:val="20"/>
              </w:rPr>
              <w:t>accroître la sensibilisation au programme. D</w:t>
            </w:r>
            <w:r w:rsidR="00740572">
              <w:rPr>
                <w:rFonts w:ascii="Arial" w:hAnsi="Arial"/>
                <w:sz w:val="20"/>
              </w:rPr>
              <w:t>’</w:t>
            </w:r>
            <w:r>
              <w:rPr>
                <w:rFonts w:ascii="Arial" w:hAnsi="Arial"/>
                <w:sz w:val="20"/>
              </w:rPr>
              <w:t>autres organisations évoluant dans le domaine de la culture et du patrimoine ont été identifiées comme partenaires stratégiques potentiels, notamment le Centre international d</w:t>
            </w:r>
            <w:r w:rsidR="00740572">
              <w:rPr>
                <w:rFonts w:ascii="Arial" w:hAnsi="Arial"/>
                <w:sz w:val="20"/>
              </w:rPr>
              <w:t>’</w:t>
            </w:r>
            <w:r>
              <w:rPr>
                <w:rFonts w:ascii="Arial" w:hAnsi="Arial"/>
                <w:sz w:val="20"/>
              </w:rPr>
              <w:t>études pour la conservation et la restauration des biens culturels (ICCROM).</w:t>
            </w:r>
          </w:p>
          <w:p w14:paraId="282686E9" w14:textId="7F6EBFD0" w:rsidR="000E1A62" w:rsidRPr="00740572" w:rsidRDefault="00724AAD" w:rsidP="00A07EE9">
            <w:pPr>
              <w:numPr>
                <w:ilvl w:val="0"/>
                <w:numId w:val="10"/>
              </w:numPr>
              <w:spacing w:before="60" w:after="60"/>
              <w:ind w:left="357" w:hanging="357"/>
              <w:jc w:val="both"/>
              <w:rPr>
                <w:rFonts w:ascii="Arial" w:eastAsia="Calibri" w:hAnsi="Arial" w:cs="Arial"/>
                <w:sz w:val="20"/>
                <w:szCs w:val="20"/>
              </w:rPr>
            </w:pPr>
            <w:r>
              <w:rPr>
                <w:rFonts w:ascii="Arial" w:hAnsi="Arial"/>
                <w:sz w:val="20"/>
              </w:rPr>
              <w:t>Mise à jour continue de la page Web dédiée au réseau de facilitateurs et du navigateur sur les supports.</w:t>
            </w:r>
          </w:p>
        </w:tc>
        <w:tc>
          <w:tcPr>
            <w:tcW w:w="2980" w:type="dxa"/>
            <w:shd w:val="clear" w:color="auto" w:fill="auto"/>
          </w:tcPr>
          <w:p w14:paraId="69126BBD" w14:textId="77777777" w:rsidR="00A4197B" w:rsidRPr="00A854F4" w:rsidRDefault="00724AAD" w:rsidP="003E022D">
            <w:pPr>
              <w:spacing w:before="320" w:after="0"/>
              <w:jc w:val="center"/>
              <w:rPr>
                <w:rFonts w:ascii="Arial" w:eastAsia="Calibri" w:hAnsi="Arial" w:cs="Arial"/>
                <w:sz w:val="20"/>
                <w:szCs w:val="20"/>
              </w:rPr>
            </w:pPr>
            <w:r>
              <w:rPr>
                <w:rFonts w:ascii="Arial" w:hAnsi="Arial"/>
                <w:sz w:val="20"/>
              </w:rPr>
              <w:t xml:space="preserve">Partiellement accomplie </w:t>
            </w:r>
          </w:p>
          <w:p w14:paraId="02BC1C5D" w14:textId="77777777" w:rsidR="00724AAD" w:rsidRPr="00A854F4" w:rsidRDefault="00724AAD" w:rsidP="003E022D">
            <w:pPr>
              <w:spacing w:after="0"/>
              <w:jc w:val="center"/>
              <w:rPr>
                <w:rFonts w:ascii="Arial" w:eastAsia="Calibri" w:hAnsi="Arial" w:cs="Arial"/>
                <w:sz w:val="20"/>
                <w:szCs w:val="20"/>
              </w:rPr>
            </w:pPr>
            <w:r>
              <w:rPr>
                <w:rFonts w:ascii="Arial" w:hAnsi="Arial"/>
                <w:sz w:val="20"/>
              </w:rPr>
              <w:t>(en cours)</w:t>
            </w:r>
          </w:p>
        </w:tc>
      </w:tr>
      <w:tr w:rsidR="00724AAD" w:rsidRPr="00A854F4" w14:paraId="40411B96" w14:textId="77777777" w:rsidTr="00C35DA5">
        <w:trPr>
          <w:jc w:val="center"/>
        </w:trPr>
        <w:tc>
          <w:tcPr>
            <w:tcW w:w="6658" w:type="dxa"/>
            <w:shd w:val="clear" w:color="auto" w:fill="auto"/>
          </w:tcPr>
          <w:p w14:paraId="505A25C6" w14:textId="56C183D3" w:rsidR="00724AAD" w:rsidRPr="00A854F4" w:rsidRDefault="00724AAD" w:rsidP="00A07EE9">
            <w:pPr>
              <w:keepNext/>
              <w:spacing w:before="60" w:after="60"/>
              <w:jc w:val="both"/>
              <w:rPr>
                <w:rFonts w:ascii="Arial" w:eastAsia="Calibri" w:hAnsi="Arial" w:cs="Arial"/>
                <w:b/>
                <w:bCs/>
                <w:sz w:val="20"/>
                <w:szCs w:val="20"/>
              </w:rPr>
            </w:pPr>
            <w:r>
              <w:rPr>
                <w:rFonts w:ascii="Arial" w:hAnsi="Arial"/>
                <w:b/>
                <w:sz w:val="20"/>
              </w:rPr>
              <w:lastRenderedPageBreak/>
              <w:t>Renforcement de la mise en réseau et des partenariats avec les établissements d</w:t>
            </w:r>
            <w:r w:rsidR="00740572">
              <w:rPr>
                <w:rFonts w:ascii="Arial" w:hAnsi="Arial"/>
                <w:b/>
                <w:sz w:val="20"/>
              </w:rPr>
              <w:t>’</w:t>
            </w:r>
            <w:r>
              <w:rPr>
                <w:rFonts w:ascii="Arial" w:hAnsi="Arial"/>
                <w:b/>
                <w:sz w:val="20"/>
              </w:rPr>
              <w:t>enseignement supérieur</w:t>
            </w:r>
          </w:p>
          <w:p w14:paraId="2D6809B8" w14:textId="020C1A1C" w:rsidR="00724AAD" w:rsidRPr="00A854F4" w:rsidRDefault="00D06236">
            <w:pPr>
              <w:numPr>
                <w:ilvl w:val="0"/>
                <w:numId w:val="10"/>
              </w:numPr>
              <w:spacing w:before="60" w:after="60"/>
              <w:ind w:left="357" w:hanging="357"/>
              <w:jc w:val="both"/>
              <w:rPr>
                <w:rFonts w:ascii="Arial" w:eastAsia="Calibri" w:hAnsi="Arial" w:cs="Arial"/>
                <w:sz w:val="20"/>
                <w:szCs w:val="20"/>
              </w:rPr>
            </w:pPr>
            <w:r>
              <w:rPr>
                <w:rFonts w:ascii="Arial" w:hAnsi="Arial"/>
                <w:sz w:val="20"/>
              </w:rPr>
              <w:t>Participation de trente-neuf universités supplémentaires au réseau par le biais d</w:t>
            </w:r>
            <w:r w:rsidR="00740572">
              <w:rPr>
                <w:rFonts w:ascii="Arial" w:hAnsi="Arial"/>
                <w:sz w:val="20"/>
              </w:rPr>
              <w:t>’</w:t>
            </w:r>
            <w:r>
              <w:rPr>
                <w:rFonts w:ascii="Arial" w:hAnsi="Arial"/>
                <w:sz w:val="20"/>
              </w:rPr>
              <w:t>une enquête dans les États arabes (après des activités similaires dans les régions Afrique, Asie et Pacifique, Amérique latine et Caraïbes).</w:t>
            </w:r>
          </w:p>
          <w:p w14:paraId="0B499883" w14:textId="250380DE" w:rsidR="00724AAD" w:rsidRPr="000E1A62" w:rsidRDefault="00777845">
            <w:pPr>
              <w:numPr>
                <w:ilvl w:val="0"/>
                <w:numId w:val="10"/>
              </w:numPr>
              <w:spacing w:before="60" w:after="60"/>
              <w:ind w:left="357" w:hanging="357"/>
              <w:jc w:val="both"/>
              <w:rPr>
                <w:rFonts w:ascii="Arial" w:eastAsia="Calibri" w:hAnsi="Arial" w:cs="Arial"/>
                <w:sz w:val="20"/>
                <w:szCs w:val="20"/>
              </w:rPr>
            </w:pPr>
            <w:r>
              <w:rPr>
                <w:rFonts w:ascii="Arial" w:hAnsi="Arial"/>
                <w:sz w:val="20"/>
              </w:rPr>
              <w:t>Élaboration du contenu d</w:t>
            </w:r>
            <w:r w:rsidR="00740572">
              <w:rPr>
                <w:rFonts w:ascii="Arial" w:hAnsi="Arial"/>
                <w:sz w:val="20"/>
              </w:rPr>
              <w:t>’</w:t>
            </w:r>
            <w:r>
              <w:rPr>
                <w:rFonts w:ascii="Arial" w:hAnsi="Arial"/>
                <w:sz w:val="20"/>
              </w:rPr>
              <w:t>un premier cours d</w:t>
            </w:r>
            <w:r w:rsidR="00740572">
              <w:rPr>
                <w:rFonts w:ascii="Arial" w:hAnsi="Arial"/>
                <w:sz w:val="20"/>
              </w:rPr>
              <w:t>’</w:t>
            </w:r>
            <w:r>
              <w:rPr>
                <w:rFonts w:ascii="Arial" w:hAnsi="Arial"/>
                <w:sz w:val="20"/>
              </w:rPr>
              <w:t>introduction en ligne, ouvert à tous</w:t>
            </w:r>
            <w:r w:rsidR="000E1A62">
              <w:rPr>
                <w:rFonts w:ascii="Arial" w:hAnsi="Arial"/>
                <w:sz w:val="20"/>
              </w:rPr>
              <w:t xml:space="preserve"> (MOOC)</w:t>
            </w:r>
            <w:r>
              <w:rPr>
                <w:rFonts w:ascii="Arial" w:hAnsi="Arial"/>
                <w:sz w:val="20"/>
              </w:rPr>
              <w:t>, de six semaines sur le patrimoine vivant et le développement durable, en collaboration avec douze instructeurs, un membre d</w:t>
            </w:r>
            <w:r w:rsidR="00740572">
              <w:rPr>
                <w:rFonts w:ascii="Arial" w:hAnsi="Arial"/>
                <w:sz w:val="20"/>
              </w:rPr>
              <w:t>’</w:t>
            </w:r>
            <w:r>
              <w:rPr>
                <w:rFonts w:ascii="Arial" w:hAnsi="Arial"/>
                <w:sz w:val="20"/>
              </w:rPr>
              <w:t>un établissement d</w:t>
            </w:r>
            <w:r w:rsidR="00740572">
              <w:rPr>
                <w:rFonts w:ascii="Arial" w:hAnsi="Arial"/>
                <w:sz w:val="20"/>
              </w:rPr>
              <w:t>’</w:t>
            </w:r>
            <w:r>
              <w:rPr>
                <w:rFonts w:ascii="Arial" w:hAnsi="Arial"/>
                <w:sz w:val="20"/>
              </w:rPr>
              <w:t>enseignement supérieur et la Chaire UNESCO sur la recherche sur le patrimoine culturel immatériel de l</w:t>
            </w:r>
            <w:r w:rsidR="00740572">
              <w:rPr>
                <w:rFonts w:ascii="Arial" w:hAnsi="Arial"/>
                <w:sz w:val="20"/>
              </w:rPr>
              <w:t>’</w:t>
            </w:r>
            <w:r>
              <w:rPr>
                <w:rFonts w:ascii="Arial" w:hAnsi="Arial"/>
                <w:sz w:val="20"/>
              </w:rPr>
              <w:t>Université autonome du Mexique. Le processus de production est en cours, en partenariat avec l</w:t>
            </w:r>
            <w:r w:rsidR="00740572">
              <w:rPr>
                <w:rFonts w:ascii="Arial" w:hAnsi="Arial"/>
                <w:sz w:val="20"/>
              </w:rPr>
              <w:t>’</w:t>
            </w:r>
            <w:r>
              <w:rPr>
                <w:rFonts w:ascii="Arial" w:hAnsi="Arial"/>
                <w:sz w:val="20"/>
              </w:rPr>
              <w:t xml:space="preserve">ICHCAP et la </w:t>
            </w:r>
            <w:r w:rsidR="00CE6E12">
              <w:rPr>
                <w:rFonts w:ascii="Arial" w:hAnsi="Arial"/>
                <w:sz w:val="20"/>
              </w:rPr>
              <w:t>« </w:t>
            </w:r>
            <w:r w:rsidRPr="000E1A62">
              <w:rPr>
                <w:rFonts w:ascii="Arial" w:hAnsi="Arial"/>
                <w:sz w:val="20"/>
              </w:rPr>
              <w:t>SDG Academy</w:t>
            </w:r>
            <w:r w:rsidR="00CE6E12" w:rsidRPr="000E1A62">
              <w:rPr>
                <w:rFonts w:ascii="Arial" w:hAnsi="Arial"/>
                <w:sz w:val="20"/>
              </w:rPr>
              <w:t> »</w:t>
            </w:r>
            <w:r w:rsidRPr="000E1A62">
              <w:rPr>
                <w:rFonts w:ascii="Arial" w:hAnsi="Arial"/>
                <w:sz w:val="20"/>
              </w:rPr>
              <w:t>, dont la plateforme hébergera le cours.</w:t>
            </w:r>
          </w:p>
          <w:p w14:paraId="216C83B4" w14:textId="75D3B2C4" w:rsidR="00724AAD" w:rsidRPr="00A854F4" w:rsidRDefault="00777845">
            <w:pPr>
              <w:numPr>
                <w:ilvl w:val="0"/>
                <w:numId w:val="10"/>
              </w:numPr>
              <w:spacing w:before="60" w:after="60"/>
              <w:ind w:left="357" w:hanging="357"/>
              <w:jc w:val="both"/>
              <w:rPr>
                <w:rFonts w:ascii="Arial" w:eastAsia="Calibri" w:hAnsi="Arial" w:cs="Arial"/>
                <w:sz w:val="20"/>
                <w:szCs w:val="20"/>
              </w:rPr>
            </w:pPr>
            <w:r>
              <w:rPr>
                <w:rFonts w:ascii="Arial" w:hAnsi="Arial"/>
                <w:sz w:val="20"/>
              </w:rPr>
              <w:t>Amélioration de l</w:t>
            </w:r>
            <w:r w:rsidR="00740572">
              <w:rPr>
                <w:rFonts w:ascii="Arial" w:hAnsi="Arial"/>
                <w:sz w:val="20"/>
              </w:rPr>
              <w:t>’</w:t>
            </w:r>
            <w:r>
              <w:rPr>
                <w:rFonts w:ascii="Arial" w:hAnsi="Arial"/>
                <w:sz w:val="20"/>
              </w:rPr>
              <w:t>interface publique et de gestion des données dans le domaine de l</w:t>
            </w:r>
            <w:r w:rsidR="00740572">
              <w:rPr>
                <w:rFonts w:ascii="Arial" w:hAnsi="Arial"/>
                <w:sz w:val="20"/>
              </w:rPr>
              <w:t>’</w:t>
            </w:r>
            <w:r>
              <w:rPr>
                <w:rFonts w:ascii="Arial" w:hAnsi="Arial"/>
                <w:sz w:val="20"/>
              </w:rPr>
              <w:t>enseignement supérieur et de la recherche pour renforcer les partenariats.</w:t>
            </w:r>
          </w:p>
        </w:tc>
        <w:tc>
          <w:tcPr>
            <w:tcW w:w="2980" w:type="dxa"/>
          </w:tcPr>
          <w:p w14:paraId="5B054703" w14:textId="77777777" w:rsidR="00105CF8" w:rsidRPr="00A854F4" w:rsidRDefault="00724AAD" w:rsidP="00C35DA5">
            <w:pPr>
              <w:spacing w:before="320" w:after="60"/>
              <w:jc w:val="center"/>
              <w:rPr>
                <w:rFonts w:ascii="Arial" w:eastAsia="Calibri" w:hAnsi="Arial" w:cs="Arial"/>
                <w:sz w:val="20"/>
                <w:szCs w:val="20"/>
              </w:rPr>
            </w:pPr>
            <w:r>
              <w:rPr>
                <w:rFonts w:ascii="Arial" w:hAnsi="Arial"/>
                <w:sz w:val="20"/>
              </w:rPr>
              <w:t xml:space="preserve">Partiellement accomplie </w:t>
            </w:r>
          </w:p>
          <w:p w14:paraId="748227E3" w14:textId="77777777" w:rsidR="00724AAD" w:rsidRPr="00A854F4" w:rsidRDefault="00724AAD" w:rsidP="009C63AA">
            <w:pPr>
              <w:spacing w:after="60"/>
              <w:jc w:val="center"/>
              <w:rPr>
                <w:rFonts w:ascii="Arial" w:eastAsia="Calibri" w:hAnsi="Arial" w:cs="Arial"/>
                <w:sz w:val="20"/>
                <w:szCs w:val="20"/>
              </w:rPr>
            </w:pPr>
            <w:r>
              <w:rPr>
                <w:rFonts w:ascii="Arial" w:hAnsi="Arial"/>
                <w:sz w:val="20"/>
              </w:rPr>
              <w:t>(en cours)</w:t>
            </w:r>
          </w:p>
        </w:tc>
      </w:tr>
    </w:tbl>
    <w:p w14:paraId="1CCC2788" w14:textId="77777777" w:rsidR="00724AAD" w:rsidRPr="00A854F4" w:rsidRDefault="00724AAD" w:rsidP="00724AAD">
      <w:pPr>
        <w:pStyle w:val="ListParagraph"/>
        <w:keepNext/>
        <w:numPr>
          <w:ilvl w:val="0"/>
          <w:numId w:val="14"/>
        </w:numPr>
        <w:spacing w:before="240"/>
        <w:ind w:left="284" w:hanging="284"/>
        <w:rPr>
          <w:rFonts w:ascii="Arial" w:hAnsi="Arial" w:cs="Arial"/>
          <w:b/>
          <w:sz w:val="22"/>
          <w:szCs w:val="22"/>
        </w:rPr>
      </w:pPr>
      <w:r>
        <w:rPr>
          <w:rFonts w:ascii="Arial" w:hAnsi="Arial"/>
          <w:b/>
          <w:sz w:val="22"/>
        </w:rPr>
        <w:t>Défis et risques rencontrés dans la mise en œuvre et mesures correctives (2020-2021)</w:t>
      </w:r>
    </w:p>
    <w:p w14:paraId="5F153E4F" w14:textId="77777777" w:rsidR="00724AAD" w:rsidRPr="00ED3B35" w:rsidRDefault="00724AAD" w:rsidP="00724AAD">
      <w:pPr>
        <w:pStyle w:val="ListParagraph"/>
        <w:keepNext/>
        <w:spacing w:before="240"/>
        <w:rPr>
          <w:rFonts w:ascii="Arial" w:hAnsi="Arial" w:cs="Arial"/>
          <w:b/>
          <w:szCs w:val="22"/>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724AAD" w:rsidRPr="00A854F4" w14:paraId="458376C2" w14:textId="77777777" w:rsidTr="00C35DA5">
        <w:trPr>
          <w:tblHeader/>
          <w:jc w:val="center"/>
        </w:trPr>
        <w:tc>
          <w:tcPr>
            <w:tcW w:w="2500" w:type="pct"/>
            <w:shd w:val="clear" w:color="auto" w:fill="D9D9D9"/>
            <w:vAlign w:val="center"/>
          </w:tcPr>
          <w:p w14:paraId="4D04357D" w14:textId="77777777" w:rsidR="00724AAD" w:rsidRPr="00A854F4" w:rsidRDefault="00724AAD" w:rsidP="00C35DA5">
            <w:pPr>
              <w:keepNext/>
              <w:spacing w:before="60" w:after="60"/>
              <w:jc w:val="center"/>
              <w:rPr>
                <w:rFonts w:ascii="Arial" w:hAnsi="Arial" w:cs="Arial"/>
                <w:b/>
                <w:sz w:val="20"/>
                <w:szCs w:val="20"/>
              </w:rPr>
            </w:pPr>
            <w:r>
              <w:rPr>
                <w:rFonts w:ascii="Arial" w:hAnsi="Arial"/>
                <w:b/>
                <w:sz w:val="20"/>
              </w:rPr>
              <w:t>Principaux défis</w:t>
            </w:r>
          </w:p>
        </w:tc>
        <w:tc>
          <w:tcPr>
            <w:tcW w:w="2500" w:type="pct"/>
            <w:shd w:val="clear" w:color="auto" w:fill="D9D9D9"/>
            <w:vAlign w:val="center"/>
          </w:tcPr>
          <w:p w14:paraId="3584DF9E" w14:textId="77777777" w:rsidR="00724AAD" w:rsidRPr="00A854F4" w:rsidRDefault="00724AAD" w:rsidP="00C35DA5">
            <w:pPr>
              <w:keepNext/>
              <w:spacing w:before="60" w:after="60"/>
              <w:jc w:val="center"/>
              <w:rPr>
                <w:rFonts w:ascii="Arial" w:hAnsi="Arial" w:cs="Arial"/>
                <w:b/>
                <w:sz w:val="20"/>
                <w:szCs w:val="20"/>
              </w:rPr>
            </w:pPr>
            <w:r>
              <w:rPr>
                <w:rFonts w:ascii="Arial" w:hAnsi="Arial"/>
                <w:b/>
                <w:sz w:val="20"/>
              </w:rPr>
              <w:t>Mesures correctives</w:t>
            </w:r>
          </w:p>
        </w:tc>
      </w:tr>
      <w:tr w:rsidR="00724AAD" w:rsidRPr="00A854F4" w14:paraId="68842212" w14:textId="77777777" w:rsidTr="00C35DA5">
        <w:trPr>
          <w:jc w:val="center"/>
        </w:trPr>
        <w:tc>
          <w:tcPr>
            <w:tcW w:w="2500" w:type="pct"/>
            <w:shd w:val="clear" w:color="auto" w:fill="auto"/>
          </w:tcPr>
          <w:p w14:paraId="5F6FB975" w14:textId="25525BEC" w:rsidR="00724AAD" w:rsidRPr="00A854F4" w:rsidRDefault="00724AAD">
            <w:pPr>
              <w:spacing w:before="60" w:after="60"/>
              <w:jc w:val="both"/>
              <w:rPr>
                <w:rFonts w:ascii="Arial" w:hAnsi="Arial" w:cs="Arial"/>
                <w:sz w:val="20"/>
                <w:szCs w:val="20"/>
              </w:rPr>
            </w:pPr>
            <w:r>
              <w:rPr>
                <w:rFonts w:ascii="Arial" w:hAnsi="Arial"/>
                <w:sz w:val="20"/>
              </w:rPr>
              <w:t>En raison de la pandémie de COVID-19 et des restrictions associées, le Secrétariat s</w:t>
            </w:r>
            <w:r w:rsidR="00740572">
              <w:rPr>
                <w:rFonts w:ascii="Arial" w:hAnsi="Arial"/>
                <w:sz w:val="20"/>
              </w:rPr>
              <w:t>’</w:t>
            </w:r>
            <w:r>
              <w:rPr>
                <w:rFonts w:ascii="Arial" w:hAnsi="Arial"/>
                <w:sz w:val="20"/>
              </w:rPr>
              <w:t>est heurté, en mars 2020, à l</w:t>
            </w:r>
            <w:r w:rsidR="00740572">
              <w:rPr>
                <w:rFonts w:ascii="Arial" w:hAnsi="Arial"/>
                <w:sz w:val="20"/>
              </w:rPr>
              <w:t>’</w:t>
            </w:r>
            <w:r>
              <w:rPr>
                <w:rFonts w:ascii="Arial" w:hAnsi="Arial"/>
                <w:sz w:val="20"/>
              </w:rPr>
              <w:t>impossibilité de mettre en œuvre les activités de renforcement des capacités planifiées pour le déploiement du nouveau mécanisme de soumission des rapports périodiques dans la région Amérique latine et Caraïbes (première région à soumettre des rapports selon les modalités du nouveau cycle de rapports périodiques régional). En effet, initialement conçues pour un format en présentiel, elles n</w:t>
            </w:r>
            <w:r w:rsidR="00740572">
              <w:rPr>
                <w:rFonts w:ascii="Arial" w:hAnsi="Arial"/>
                <w:sz w:val="20"/>
              </w:rPr>
              <w:t>’</w:t>
            </w:r>
            <w:r>
              <w:rPr>
                <w:rFonts w:ascii="Arial" w:hAnsi="Arial"/>
                <w:sz w:val="20"/>
              </w:rPr>
              <w:t>étaient alors plus réalisables.</w:t>
            </w:r>
          </w:p>
        </w:tc>
        <w:tc>
          <w:tcPr>
            <w:tcW w:w="2500" w:type="pct"/>
            <w:shd w:val="clear" w:color="auto" w:fill="auto"/>
          </w:tcPr>
          <w:p w14:paraId="5C2A9432" w14:textId="0207FC93" w:rsidR="00724AAD" w:rsidRPr="00A854F4" w:rsidRDefault="00724AAD">
            <w:pPr>
              <w:spacing w:before="60" w:after="60"/>
              <w:jc w:val="both"/>
              <w:rPr>
                <w:rFonts w:ascii="Arial" w:eastAsia="Calibri" w:hAnsi="Arial" w:cs="Arial"/>
                <w:sz w:val="20"/>
                <w:szCs w:val="20"/>
              </w:rPr>
            </w:pPr>
            <w:r>
              <w:rPr>
                <w:rFonts w:ascii="Arial" w:hAnsi="Arial"/>
                <w:sz w:val="20"/>
              </w:rPr>
              <w:t>Pour surmonter cette difficulté et proposer aux points focaux nationaux de la région Amérique latine et Caraïbes une formation sur la soumission des rapports périodiques, dans les délais prévus, le Secrétariat a repensé l</w:t>
            </w:r>
            <w:r w:rsidR="00740572">
              <w:rPr>
                <w:rFonts w:ascii="Arial" w:hAnsi="Arial"/>
                <w:sz w:val="20"/>
              </w:rPr>
              <w:t>’</w:t>
            </w:r>
            <w:r>
              <w:rPr>
                <w:rFonts w:ascii="Arial" w:hAnsi="Arial"/>
                <w:sz w:val="20"/>
              </w:rPr>
              <w:t>atelier en présentiel de trois jours initialement prévu</w:t>
            </w:r>
            <w:r w:rsidR="00CE6E12">
              <w:rPr>
                <w:rFonts w:ascii="Arial" w:hAnsi="Arial"/>
                <w:sz w:val="20"/>
              </w:rPr>
              <w:t>s</w:t>
            </w:r>
            <w:r>
              <w:rPr>
                <w:rFonts w:ascii="Arial" w:hAnsi="Arial"/>
                <w:sz w:val="20"/>
              </w:rPr>
              <w:t xml:space="preserve"> dans quatre lieux différents, le convertissant en un cours en ligne de six semaines réunissant les trente-quatre points focaux nationaux de la région, ainsi que sept facilitateurs confirmés du réseau de l</w:t>
            </w:r>
            <w:r w:rsidR="00740572">
              <w:rPr>
                <w:rFonts w:ascii="Arial" w:hAnsi="Arial"/>
                <w:sz w:val="20"/>
              </w:rPr>
              <w:t>’</w:t>
            </w:r>
            <w:r>
              <w:rPr>
                <w:rFonts w:ascii="Arial" w:hAnsi="Arial"/>
                <w:sz w:val="20"/>
              </w:rPr>
              <w:t>UNESCO. Élaboré en un temps record avec des experts chevronnés du réseau, le cours en ligne a été une grande réussite, comme en témoignent les plus de 80 % de rapports périodiques soumis par les pays d</w:t>
            </w:r>
            <w:r w:rsidR="00740572">
              <w:rPr>
                <w:rFonts w:ascii="Arial" w:hAnsi="Arial"/>
                <w:sz w:val="20"/>
              </w:rPr>
              <w:t>’</w:t>
            </w:r>
            <w:r>
              <w:rPr>
                <w:rFonts w:ascii="Arial" w:hAnsi="Arial"/>
                <w:sz w:val="20"/>
              </w:rPr>
              <w:t>Amérique latine et des Caraïbes, chiffre jusqu</w:t>
            </w:r>
            <w:r w:rsidR="00740572">
              <w:rPr>
                <w:rFonts w:ascii="Arial" w:hAnsi="Arial"/>
                <w:sz w:val="20"/>
              </w:rPr>
              <w:t>’</w:t>
            </w:r>
            <w:r>
              <w:rPr>
                <w:rFonts w:ascii="Arial" w:hAnsi="Arial"/>
                <w:sz w:val="20"/>
              </w:rPr>
              <w:t>à présent jamais atteint.</w:t>
            </w:r>
          </w:p>
        </w:tc>
      </w:tr>
      <w:tr w:rsidR="00724AAD" w:rsidRPr="00A854F4" w14:paraId="429AF00B" w14:textId="77777777" w:rsidTr="00C35DA5">
        <w:trPr>
          <w:jc w:val="center"/>
        </w:trPr>
        <w:tc>
          <w:tcPr>
            <w:tcW w:w="2500" w:type="pct"/>
            <w:shd w:val="clear" w:color="auto" w:fill="auto"/>
          </w:tcPr>
          <w:p w14:paraId="301BF990" w14:textId="1E998459" w:rsidR="00724AAD" w:rsidRPr="00A854F4" w:rsidRDefault="00724AAD">
            <w:pPr>
              <w:spacing w:before="60" w:after="60"/>
              <w:jc w:val="both"/>
              <w:rPr>
                <w:rFonts w:ascii="Arial" w:hAnsi="Arial" w:cs="Arial"/>
                <w:sz w:val="20"/>
                <w:szCs w:val="20"/>
              </w:rPr>
            </w:pPr>
            <w:r>
              <w:rPr>
                <w:rFonts w:ascii="Arial" w:hAnsi="Arial"/>
                <w:sz w:val="20"/>
              </w:rPr>
              <w:t>L</w:t>
            </w:r>
            <w:r w:rsidR="00740572">
              <w:rPr>
                <w:rFonts w:ascii="Arial" w:hAnsi="Arial"/>
                <w:sz w:val="20"/>
              </w:rPr>
              <w:t>’</w:t>
            </w:r>
            <w:r>
              <w:rPr>
                <w:rFonts w:ascii="Arial" w:hAnsi="Arial"/>
                <w:sz w:val="20"/>
              </w:rPr>
              <w:t>élaboration et la production de cours en ligne personnalisés et le lancement d</w:t>
            </w:r>
            <w:r w:rsidR="00740572">
              <w:rPr>
                <w:rFonts w:ascii="Arial" w:hAnsi="Arial"/>
                <w:sz w:val="20"/>
              </w:rPr>
              <w:t>’</w:t>
            </w:r>
            <w:r>
              <w:rPr>
                <w:rFonts w:ascii="Arial" w:hAnsi="Arial"/>
                <w:sz w:val="20"/>
              </w:rPr>
              <w:t>une réorientation du programme de renforcement des capacités vers une approche multimodale (entièrement en ligne, hybride, en présentiel/mixte) se sont avérées ardues du fait de la spécificité des compétences requises, ce qui était nouveau pour le Secrétariat.</w:t>
            </w:r>
          </w:p>
        </w:tc>
        <w:tc>
          <w:tcPr>
            <w:tcW w:w="2500" w:type="pct"/>
            <w:shd w:val="clear" w:color="auto" w:fill="auto"/>
          </w:tcPr>
          <w:p w14:paraId="3C41C7CE" w14:textId="6C68192D" w:rsidR="00724AAD" w:rsidRPr="00A854F4" w:rsidRDefault="00724AAD">
            <w:pPr>
              <w:spacing w:before="60" w:after="60"/>
              <w:jc w:val="both"/>
              <w:rPr>
                <w:rFonts w:ascii="Arial" w:hAnsi="Arial" w:cs="Arial"/>
                <w:sz w:val="20"/>
                <w:szCs w:val="20"/>
              </w:rPr>
            </w:pPr>
            <w:r>
              <w:rPr>
                <w:rFonts w:ascii="Arial" w:hAnsi="Arial"/>
                <w:sz w:val="20"/>
              </w:rPr>
              <w:t>Pour surmonter cette difficulté, l</w:t>
            </w:r>
            <w:r w:rsidR="00740572">
              <w:rPr>
                <w:rFonts w:ascii="Arial" w:hAnsi="Arial"/>
                <w:sz w:val="20"/>
              </w:rPr>
              <w:t>’</w:t>
            </w:r>
            <w:r>
              <w:rPr>
                <w:rFonts w:ascii="Arial" w:hAnsi="Arial"/>
                <w:sz w:val="20"/>
              </w:rPr>
              <w:t>Entité du patrimoine vivant a pris deux mesures : Tout d</w:t>
            </w:r>
            <w:r w:rsidR="00740572">
              <w:rPr>
                <w:rFonts w:ascii="Arial" w:hAnsi="Arial"/>
                <w:sz w:val="20"/>
              </w:rPr>
              <w:t>’</w:t>
            </w:r>
            <w:r>
              <w:rPr>
                <w:rFonts w:ascii="Arial" w:hAnsi="Arial"/>
                <w:sz w:val="20"/>
              </w:rPr>
              <w:t xml:space="preserve">abord, elle a mis au point un partenariat stratégique avec la </w:t>
            </w:r>
            <w:r w:rsidR="000E1A62">
              <w:rPr>
                <w:rFonts w:ascii="Arial" w:hAnsi="Arial"/>
                <w:sz w:val="20"/>
              </w:rPr>
              <w:t>« </w:t>
            </w:r>
            <w:r>
              <w:rPr>
                <w:rFonts w:ascii="Arial" w:hAnsi="Arial"/>
                <w:sz w:val="20"/>
              </w:rPr>
              <w:t>SDG Academy</w:t>
            </w:r>
            <w:r w:rsidR="000E1A62">
              <w:rPr>
                <w:rFonts w:ascii="Arial" w:hAnsi="Arial"/>
                <w:sz w:val="20"/>
              </w:rPr>
              <w:t> »</w:t>
            </w:r>
            <w:r>
              <w:rPr>
                <w:rFonts w:ascii="Arial" w:hAnsi="Arial"/>
                <w:sz w:val="20"/>
              </w:rPr>
              <w:t>, spécialisée dans la création et l</w:t>
            </w:r>
            <w:r w:rsidR="00740572">
              <w:rPr>
                <w:rFonts w:ascii="Arial" w:hAnsi="Arial"/>
                <w:sz w:val="20"/>
              </w:rPr>
              <w:t>’</w:t>
            </w:r>
            <w:r>
              <w:rPr>
                <w:rFonts w:ascii="Arial" w:hAnsi="Arial"/>
                <w:sz w:val="20"/>
              </w:rPr>
              <w:t>organisation de cours en ligne ouverts à tous (MOOC) et de supports pédagogiques sur le développement durable. Elle a proposé de façon satisfaisante des services consultatifs au Secrétariat pour le processus d</w:t>
            </w:r>
            <w:r w:rsidR="00740572">
              <w:rPr>
                <w:rFonts w:ascii="Arial" w:hAnsi="Arial"/>
                <w:sz w:val="20"/>
              </w:rPr>
              <w:t>’</w:t>
            </w:r>
            <w:r>
              <w:rPr>
                <w:rFonts w:ascii="Arial" w:hAnsi="Arial"/>
                <w:sz w:val="20"/>
              </w:rPr>
              <w:t>élaboration des cours MOOC. En outre, le Secrétariat a engagé un concepteur pédagogique chevronné, chargé de dispenser des conseils et une formation sur l</w:t>
            </w:r>
            <w:r w:rsidR="00740572">
              <w:rPr>
                <w:rFonts w:ascii="Arial" w:hAnsi="Arial"/>
                <w:sz w:val="20"/>
              </w:rPr>
              <w:t>’</w:t>
            </w:r>
            <w:r>
              <w:rPr>
                <w:rFonts w:ascii="Arial" w:hAnsi="Arial"/>
                <w:sz w:val="20"/>
              </w:rPr>
              <w:t>élaboration et la mise en œuvre de la réorientation stratégique du programme de renforcement des capacités, d</w:t>
            </w:r>
            <w:r w:rsidR="00740572">
              <w:rPr>
                <w:rFonts w:ascii="Arial" w:hAnsi="Arial"/>
                <w:sz w:val="20"/>
              </w:rPr>
              <w:t>’</w:t>
            </w:r>
            <w:r>
              <w:rPr>
                <w:rFonts w:ascii="Arial" w:hAnsi="Arial"/>
                <w:sz w:val="20"/>
              </w:rPr>
              <w:t>un format en présentiel à un format multimodal, en s</w:t>
            </w:r>
            <w:r w:rsidR="00740572">
              <w:rPr>
                <w:rFonts w:ascii="Arial" w:hAnsi="Arial"/>
                <w:sz w:val="20"/>
              </w:rPr>
              <w:t>’</w:t>
            </w:r>
            <w:r>
              <w:rPr>
                <w:rFonts w:ascii="Arial" w:hAnsi="Arial"/>
                <w:sz w:val="20"/>
              </w:rPr>
              <w:t>appuyant sur les enseignements tirés de l</w:t>
            </w:r>
            <w:r w:rsidR="00740572">
              <w:rPr>
                <w:rFonts w:ascii="Arial" w:hAnsi="Arial"/>
                <w:sz w:val="20"/>
              </w:rPr>
              <w:t>’</w:t>
            </w:r>
            <w:r>
              <w:rPr>
                <w:rFonts w:ascii="Arial" w:hAnsi="Arial"/>
                <w:sz w:val="20"/>
              </w:rPr>
              <w:t>organisation en ligne des activités de renforcement des capacités pendant la pandémie.</w:t>
            </w:r>
          </w:p>
        </w:tc>
      </w:tr>
      <w:tr w:rsidR="00724AAD" w:rsidRPr="00A854F4" w14:paraId="019060DC" w14:textId="77777777" w:rsidTr="00C35DA5">
        <w:trPr>
          <w:jc w:val="center"/>
        </w:trPr>
        <w:tc>
          <w:tcPr>
            <w:tcW w:w="2500" w:type="pct"/>
            <w:shd w:val="clear" w:color="auto" w:fill="auto"/>
          </w:tcPr>
          <w:p w14:paraId="4CF7B767" w14:textId="272C5C86" w:rsidR="00724AAD" w:rsidRPr="00A854F4" w:rsidRDefault="00724AAD">
            <w:pPr>
              <w:spacing w:before="60" w:after="60"/>
              <w:jc w:val="both"/>
              <w:rPr>
                <w:rFonts w:ascii="Arial" w:hAnsi="Arial" w:cs="Arial"/>
                <w:sz w:val="20"/>
                <w:szCs w:val="20"/>
              </w:rPr>
            </w:pPr>
            <w:r>
              <w:rPr>
                <w:rFonts w:ascii="Arial" w:hAnsi="Arial"/>
                <w:sz w:val="20"/>
              </w:rPr>
              <w:lastRenderedPageBreak/>
              <w:t>L</w:t>
            </w:r>
            <w:r w:rsidR="00740572">
              <w:rPr>
                <w:rFonts w:ascii="Arial" w:hAnsi="Arial"/>
                <w:sz w:val="20"/>
              </w:rPr>
              <w:t>’</w:t>
            </w:r>
            <w:r>
              <w:rPr>
                <w:rFonts w:ascii="Arial" w:hAnsi="Arial"/>
                <w:sz w:val="20"/>
              </w:rPr>
              <w:t>augmentation du nombre d</w:t>
            </w:r>
            <w:r w:rsidR="00740572">
              <w:rPr>
                <w:rFonts w:ascii="Arial" w:hAnsi="Arial"/>
                <w:sz w:val="20"/>
              </w:rPr>
              <w:t>’</w:t>
            </w:r>
            <w:r>
              <w:rPr>
                <w:rFonts w:ascii="Arial" w:hAnsi="Arial"/>
                <w:sz w:val="20"/>
              </w:rPr>
              <w:t>universités participant à la mise en réseau autour du thème de l</w:t>
            </w:r>
            <w:r w:rsidR="00740572">
              <w:rPr>
                <w:rFonts w:ascii="Arial" w:hAnsi="Arial"/>
                <w:sz w:val="20"/>
              </w:rPr>
              <w:t>’</w:t>
            </w:r>
            <w:r>
              <w:rPr>
                <w:rFonts w:ascii="Arial" w:hAnsi="Arial"/>
                <w:sz w:val="20"/>
              </w:rPr>
              <w:t>intégration du patrimoine culturel immatériel dans leurs programmes représentait une difficulté car l</w:t>
            </w:r>
            <w:r w:rsidR="00740572">
              <w:rPr>
                <w:rFonts w:ascii="Arial" w:hAnsi="Arial"/>
                <w:sz w:val="20"/>
              </w:rPr>
              <w:t>’</w:t>
            </w:r>
            <w:r>
              <w:rPr>
                <w:rFonts w:ascii="Arial" w:hAnsi="Arial"/>
                <w:sz w:val="20"/>
              </w:rPr>
              <w:t>enquête conçue à cette fin n</w:t>
            </w:r>
            <w:r w:rsidR="00740572">
              <w:rPr>
                <w:rFonts w:ascii="Arial" w:hAnsi="Arial"/>
                <w:sz w:val="20"/>
              </w:rPr>
              <w:t>’</w:t>
            </w:r>
            <w:r>
              <w:rPr>
                <w:rFonts w:ascii="Arial" w:hAnsi="Arial"/>
                <w:sz w:val="20"/>
              </w:rPr>
              <w:t>a pas toujours été bien comprise par les universités concernées. Par exemple, certaines universités dont les programmes s</w:t>
            </w:r>
            <w:r w:rsidR="00740572">
              <w:rPr>
                <w:rFonts w:ascii="Arial" w:hAnsi="Arial"/>
                <w:sz w:val="20"/>
              </w:rPr>
              <w:t>’</w:t>
            </w:r>
            <w:r>
              <w:rPr>
                <w:rFonts w:ascii="Arial" w:hAnsi="Arial"/>
                <w:sz w:val="20"/>
              </w:rPr>
              <w:t>inscrivent dans le domaine général du patrimoine culturel immatériel n</w:t>
            </w:r>
            <w:r w:rsidR="00740572">
              <w:rPr>
                <w:rFonts w:ascii="Arial" w:hAnsi="Arial"/>
                <w:sz w:val="20"/>
              </w:rPr>
              <w:t>’</w:t>
            </w:r>
            <w:r>
              <w:rPr>
                <w:rFonts w:ascii="Arial" w:hAnsi="Arial"/>
                <w:sz w:val="20"/>
              </w:rPr>
              <w:t>étaient pas conscientes qu</w:t>
            </w:r>
            <w:r w:rsidR="00740572">
              <w:rPr>
                <w:rFonts w:ascii="Arial" w:hAnsi="Arial"/>
                <w:sz w:val="20"/>
              </w:rPr>
              <w:t>’</w:t>
            </w:r>
            <w:r>
              <w:rPr>
                <w:rFonts w:ascii="Arial" w:hAnsi="Arial"/>
                <w:sz w:val="20"/>
              </w:rPr>
              <w:t>elles remplissaient les conditions requises.</w:t>
            </w:r>
          </w:p>
        </w:tc>
        <w:tc>
          <w:tcPr>
            <w:tcW w:w="2500" w:type="pct"/>
            <w:shd w:val="clear" w:color="auto" w:fill="auto"/>
          </w:tcPr>
          <w:p w14:paraId="5643C95A" w14:textId="77A5FC37" w:rsidR="00724AAD" w:rsidRPr="00A854F4" w:rsidRDefault="00724AAD">
            <w:pPr>
              <w:spacing w:before="60" w:after="60"/>
              <w:jc w:val="both"/>
              <w:rPr>
                <w:rFonts w:ascii="Arial" w:hAnsi="Arial" w:cs="Arial"/>
                <w:sz w:val="20"/>
                <w:szCs w:val="20"/>
              </w:rPr>
            </w:pPr>
            <w:r>
              <w:rPr>
                <w:rFonts w:ascii="Arial" w:hAnsi="Arial"/>
                <w:sz w:val="20"/>
              </w:rPr>
              <w:t>Le Secrétariat a combiné l</w:t>
            </w:r>
            <w:r w:rsidR="00740572">
              <w:rPr>
                <w:rFonts w:ascii="Arial" w:hAnsi="Arial"/>
                <w:sz w:val="20"/>
              </w:rPr>
              <w:t>’</w:t>
            </w:r>
            <w:r>
              <w:rPr>
                <w:rFonts w:ascii="Arial" w:hAnsi="Arial"/>
                <w:sz w:val="20"/>
              </w:rPr>
              <w:t>approche d</w:t>
            </w:r>
            <w:r w:rsidR="00740572">
              <w:rPr>
                <w:rFonts w:ascii="Arial" w:hAnsi="Arial"/>
                <w:sz w:val="20"/>
              </w:rPr>
              <w:t>’</w:t>
            </w:r>
            <w:r>
              <w:rPr>
                <w:rFonts w:ascii="Arial" w:hAnsi="Arial"/>
                <w:sz w:val="20"/>
              </w:rPr>
              <w:t>enquête en ligne et une approche plus personnalisée, dans le cadre de laquelle un consultant a procédé à des entretiens téléphoniques pour expliquer plus en détail les objectifs de l</w:t>
            </w:r>
            <w:r w:rsidR="00740572">
              <w:rPr>
                <w:rFonts w:ascii="Arial" w:hAnsi="Arial"/>
                <w:sz w:val="20"/>
              </w:rPr>
              <w:t>’</w:t>
            </w:r>
            <w:r>
              <w:rPr>
                <w:rFonts w:ascii="Arial" w:hAnsi="Arial"/>
                <w:sz w:val="20"/>
              </w:rPr>
              <w:t>enquête et obtenir les informations requises. En outre, le Secrétariat a organisé le travail de façon à ce que les différents bureaux hors Siège en Afrique puissent apporter leur soutien au processus de collecte de données pour les pays sous leur responsabilité, en les contactant, si nécessaire, et en commençant par l</w:t>
            </w:r>
            <w:r w:rsidR="00740572">
              <w:rPr>
                <w:rFonts w:ascii="Arial" w:hAnsi="Arial"/>
                <w:sz w:val="20"/>
              </w:rPr>
              <w:t>’</w:t>
            </w:r>
            <w:r>
              <w:rPr>
                <w:rFonts w:ascii="Arial" w:hAnsi="Arial"/>
                <w:sz w:val="20"/>
              </w:rPr>
              <w:t>Afrique australe.</w:t>
            </w:r>
          </w:p>
        </w:tc>
      </w:tr>
    </w:tbl>
    <w:bookmarkEnd w:id="3"/>
    <w:p w14:paraId="1AE07F43" w14:textId="386F41B9" w:rsidR="00724AAD" w:rsidRPr="00A854F4" w:rsidRDefault="00512DD8" w:rsidP="00515DDB">
      <w:pPr>
        <w:keepNext/>
        <w:spacing w:before="240"/>
        <w:jc w:val="both"/>
        <w:rPr>
          <w:rFonts w:ascii="Arial" w:hAnsi="Arial" w:cs="Arial"/>
          <w:b/>
          <w:szCs w:val="22"/>
        </w:rPr>
      </w:pPr>
      <w:r>
        <w:rPr>
          <w:rFonts w:ascii="Arial" w:hAnsi="Arial"/>
          <w:b/>
        </w:rPr>
        <w:t xml:space="preserve">Résultat escompté </w:t>
      </w:r>
      <w:r w:rsidR="00724AAD">
        <w:rPr>
          <w:rFonts w:ascii="Arial" w:hAnsi="Arial"/>
          <w:b/>
        </w:rPr>
        <w:t>3 :</w:t>
      </w:r>
      <w:r w:rsidR="000E1A62">
        <w:rPr>
          <w:rFonts w:ascii="Arial" w:hAnsi="Arial"/>
          <w:b/>
        </w:rPr>
        <w:t xml:space="preserve"> </w:t>
      </w:r>
      <w:r w:rsidR="00724AAD">
        <w:rPr>
          <w:rFonts w:ascii="Arial" w:hAnsi="Arial"/>
          <w:b/>
        </w:rPr>
        <w:t>Appui à l</w:t>
      </w:r>
      <w:r w:rsidR="00740572">
        <w:rPr>
          <w:rFonts w:ascii="Arial" w:hAnsi="Arial"/>
          <w:b/>
        </w:rPr>
        <w:t>’</w:t>
      </w:r>
      <w:r w:rsidR="00724AAD">
        <w:rPr>
          <w:rFonts w:ascii="Arial" w:hAnsi="Arial"/>
          <w:b/>
        </w:rPr>
        <w:t>intégration du patrimoine culturel immatériel dans les plans, politiques et programmes de développement</w:t>
      </w:r>
    </w:p>
    <w:p w14:paraId="317EEEAE" w14:textId="77777777" w:rsidR="00724AAD" w:rsidRPr="00A854F4" w:rsidRDefault="00724AAD" w:rsidP="00724AAD">
      <w:pPr>
        <w:pStyle w:val="ListParagraph"/>
        <w:keepNext/>
        <w:numPr>
          <w:ilvl w:val="0"/>
          <w:numId w:val="15"/>
        </w:numPr>
        <w:spacing w:before="240"/>
        <w:ind w:left="284" w:hanging="283"/>
        <w:jc w:val="both"/>
        <w:rPr>
          <w:rFonts w:ascii="Arial" w:hAnsi="Arial" w:cs="Arial"/>
          <w:b/>
          <w:bCs/>
          <w:sz w:val="22"/>
          <w:szCs w:val="22"/>
        </w:rPr>
      </w:pPr>
      <w:r>
        <w:rPr>
          <w:rFonts w:ascii="Arial" w:hAnsi="Arial"/>
          <w:b/>
          <w:sz w:val="22"/>
        </w:rPr>
        <w:t xml:space="preserve">Rapport de mise en œuvre pour la période du 1er janvier 2018 au 31 décembre 2019. </w:t>
      </w:r>
    </w:p>
    <w:p w14:paraId="6D97572C" w14:textId="77777777" w:rsidR="00724AAD" w:rsidRPr="00ED3B35" w:rsidRDefault="00724AAD" w:rsidP="00724AAD">
      <w:pPr>
        <w:pStyle w:val="ListParagraph"/>
        <w:keepNext/>
        <w:spacing w:before="240"/>
        <w:ind w:left="567"/>
        <w:jc w:val="both"/>
        <w:rPr>
          <w:rFonts w:ascii="Arial" w:hAnsi="Arial" w:cs="Arial"/>
          <w:b/>
          <w:bCs/>
          <w:sz w:val="22"/>
          <w:szCs w:val="22"/>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724AAD" w:rsidRPr="00A854F4" w14:paraId="3E744445" w14:textId="77777777" w:rsidTr="00C35DA5">
        <w:trPr>
          <w:jc w:val="center"/>
        </w:trPr>
        <w:tc>
          <w:tcPr>
            <w:tcW w:w="1999" w:type="pct"/>
            <w:shd w:val="clear" w:color="auto" w:fill="C6D9F1"/>
            <w:vAlign w:val="center"/>
          </w:tcPr>
          <w:p w14:paraId="61F81FE4" w14:textId="77777777" w:rsidR="00724AAD" w:rsidRPr="00A854F4" w:rsidRDefault="00724AAD" w:rsidP="00C35DA5">
            <w:pPr>
              <w:keepNext/>
              <w:spacing w:before="120"/>
              <w:jc w:val="center"/>
              <w:rPr>
                <w:rFonts w:ascii="Arial" w:eastAsia="Calibri" w:hAnsi="Arial" w:cs="Arial"/>
                <w:b/>
                <w:sz w:val="20"/>
                <w:szCs w:val="20"/>
              </w:rPr>
            </w:pPr>
            <w:r>
              <w:rPr>
                <w:rFonts w:ascii="Arial" w:hAnsi="Arial"/>
                <w:b/>
                <w:sz w:val="20"/>
              </w:rPr>
              <w:t>Allocation</w:t>
            </w:r>
          </w:p>
        </w:tc>
        <w:tc>
          <w:tcPr>
            <w:tcW w:w="2118" w:type="pct"/>
            <w:shd w:val="clear" w:color="auto" w:fill="C6D9F1"/>
            <w:vAlign w:val="center"/>
          </w:tcPr>
          <w:p w14:paraId="06EC5B74" w14:textId="77777777" w:rsidR="00724AAD" w:rsidRPr="00A854F4" w:rsidRDefault="00724AAD" w:rsidP="00C35DA5">
            <w:pPr>
              <w:spacing w:before="120"/>
              <w:jc w:val="center"/>
              <w:rPr>
                <w:rFonts w:ascii="Arial" w:eastAsia="Calibri" w:hAnsi="Arial" w:cs="Arial"/>
                <w:b/>
                <w:sz w:val="20"/>
                <w:szCs w:val="20"/>
              </w:rPr>
            </w:pPr>
            <w:r>
              <w:rPr>
                <w:rFonts w:ascii="Arial" w:hAnsi="Arial"/>
                <w:b/>
                <w:sz w:val="20"/>
              </w:rPr>
              <w:t>Dépenses</w:t>
            </w:r>
          </w:p>
        </w:tc>
        <w:tc>
          <w:tcPr>
            <w:tcW w:w="883" w:type="pct"/>
            <w:shd w:val="clear" w:color="auto" w:fill="C6D9F1"/>
            <w:vAlign w:val="center"/>
          </w:tcPr>
          <w:p w14:paraId="347D1AA7" w14:textId="77777777" w:rsidR="00724AAD" w:rsidRPr="00A854F4" w:rsidRDefault="00724AAD" w:rsidP="00C35DA5">
            <w:pPr>
              <w:spacing w:before="120"/>
              <w:jc w:val="center"/>
              <w:rPr>
                <w:rFonts w:ascii="Arial" w:eastAsia="Calibri" w:hAnsi="Arial" w:cs="Arial"/>
                <w:b/>
                <w:sz w:val="20"/>
                <w:szCs w:val="20"/>
              </w:rPr>
            </w:pPr>
            <w:r>
              <w:rPr>
                <w:rFonts w:ascii="Arial" w:hAnsi="Arial"/>
                <w:b/>
                <w:sz w:val="20"/>
              </w:rPr>
              <w:t>Taux de dépense (%)</w:t>
            </w:r>
            <w:r>
              <w:rPr>
                <w:rFonts w:ascii="Arial" w:hAnsi="Arial"/>
                <w:b/>
                <w:sz w:val="20"/>
              </w:rPr>
              <w:br/>
              <w:t>au 31/12/2019</w:t>
            </w:r>
          </w:p>
        </w:tc>
      </w:tr>
      <w:tr w:rsidR="00724AAD" w:rsidRPr="00A854F4" w14:paraId="405E20B9" w14:textId="77777777" w:rsidTr="00C35DA5">
        <w:trPr>
          <w:jc w:val="center"/>
        </w:trPr>
        <w:tc>
          <w:tcPr>
            <w:tcW w:w="1999" w:type="pct"/>
            <w:shd w:val="clear" w:color="auto" w:fill="auto"/>
          </w:tcPr>
          <w:p w14:paraId="0D6BEF79" w14:textId="4360FEB4" w:rsidR="00724AAD" w:rsidRPr="00A854F4" w:rsidRDefault="00724AAD" w:rsidP="00C35DA5">
            <w:pPr>
              <w:spacing w:before="120"/>
              <w:jc w:val="center"/>
              <w:rPr>
                <w:rFonts w:ascii="Arial" w:eastAsia="Calibri" w:hAnsi="Arial" w:cs="Arial"/>
                <w:sz w:val="20"/>
                <w:szCs w:val="20"/>
              </w:rPr>
            </w:pPr>
            <w:r>
              <w:rPr>
                <w:rFonts w:ascii="Arial" w:hAnsi="Arial"/>
                <w:sz w:val="20"/>
              </w:rPr>
              <w:t>286</w:t>
            </w:r>
            <w:r w:rsidR="00CE6E12">
              <w:rPr>
                <w:rFonts w:ascii="Arial" w:hAnsi="Arial"/>
                <w:sz w:val="20"/>
              </w:rPr>
              <w:t xml:space="preserve"> </w:t>
            </w:r>
            <w:r>
              <w:rPr>
                <w:rFonts w:ascii="Arial" w:hAnsi="Arial"/>
                <w:sz w:val="20"/>
              </w:rPr>
              <w:t>600,00</w:t>
            </w:r>
          </w:p>
        </w:tc>
        <w:tc>
          <w:tcPr>
            <w:tcW w:w="2118" w:type="pct"/>
            <w:shd w:val="clear" w:color="auto" w:fill="auto"/>
          </w:tcPr>
          <w:p w14:paraId="00CEB7B9" w14:textId="7B180F56" w:rsidR="00724AAD" w:rsidRPr="00A854F4" w:rsidRDefault="00724AAD" w:rsidP="00C35DA5">
            <w:pPr>
              <w:spacing w:before="120"/>
              <w:jc w:val="center"/>
              <w:rPr>
                <w:rFonts w:ascii="Arial" w:eastAsia="Calibri" w:hAnsi="Arial" w:cs="Arial"/>
                <w:sz w:val="20"/>
                <w:szCs w:val="20"/>
              </w:rPr>
            </w:pPr>
            <w:r>
              <w:rPr>
                <w:rFonts w:ascii="Arial" w:hAnsi="Arial"/>
                <w:sz w:val="20"/>
              </w:rPr>
              <w:t>246</w:t>
            </w:r>
            <w:r w:rsidR="00CE6E12">
              <w:rPr>
                <w:rFonts w:ascii="Arial" w:hAnsi="Arial"/>
                <w:sz w:val="20"/>
              </w:rPr>
              <w:t xml:space="preserve"> </w:t>
            </w:r>
            <w:r>
              <w:rPr>
                <w:rFonts w:ascii="Arial" w:hAnsi="Arial"/>
                <w:sz w:val="20"/>
              </w:rPr>
              <w:t>505,63</w:t>
            </w:r>
          </w:p>
        </w:tc>
        <w:tc>
          <w:tcPr>
            <w:tcW w:w="883" w:type="pct"/>
            <w:shd w:val="clear" w:color="auto" w:fill="auto"/>
          </w:tcPr>
          <w:p w14:paraId="156AE19E" w14:textId="77777777" w:rsidR="00724AAD" w:rsidRPr="00A854F4" w:rsidRDefault="00724AAD" w:rsidP="00C35DA5">
            <w:pPr>
              <w:spacing w:before="120"/>
              <w:jc w:val="center"/>
              <w:rPr>
                <w:rFonts w:ascii="Arial" w:eastAsia="Calibri" w:hAnsi="Arial" w:cs="Arial"/>
                <w:sz w:val="20"/>
                <w:szCs w:val="20"/>
              </w:rPr>
            </w:pPr>
            <w:r>
              <w:rPr>
                <w:rFonts w:ascii="Arial" w:hAnsi="Arial"/>
                <w:sz w:val="20"/>
              </w:rPr>
              <w:t>86 %</w:t>
            </w:r>
          </w:p>
        </w:tc>
      </w:tr>
    </w:tbl>
    <w:p w14:paraId="761A32A2" w14:textId="77777777" w:rsidR="00724AAD" w:rsidRPr="00A854F4" w:rsidRDefault="00724AAD" w:rsidP="00724AAD">
      <w:pPr>
        <w:spacing w:after="0"/>
        <w:rPr>
          <w:rFonts w:ascii="Arial" w:hAnsi="Arial" w:cs="Arial"/>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980"/>
      </w:tblGrid>
      <w:tr w:rsidR="00724AAD" w:rsidRPr="00A854F4" w14:paraId="36346C84" w14:textId="77777777" w:rsidTr="00C35DA5">
        <w:trPr>
          <w:tblHeader/>
          <w:jc w:val="center"/>
        </w:trPr>
        <w:tc>
          <w:tcPr>
            <w:tcW w:w="6658" w:type="dxa"/>
            <w:shd w:val="clear" w:color="auto" w:fill="D9D9D9"/>
            <w:vAlign w:val="center"/>
          </w:tcPr>
          <w:p w14:paraId="661555B4" w14:textId="77777777" w:rsidR="00724AAD" w:rsidRPr="00A854F4" w:rsidRDefault="00724AAD" w:rsidP="00C35DA5">
            <w:pPr>
              <w:spacing w:before="60" w:after="60"/>
              <w:jc w:val="center"/>
              <w:rPr>
                <w:rFonts w:ascii="Arial" w:eastAsia="Calibri" w:hAnsi="Arial" w:cs="Arial"/>
                <w:b/>
                <w:sz w:val="20"/>
                <w:szCs w:val="20"/>
              </w:rPr>
            </w:pPr>
            <w:r>
              <w:rPr>
                <w:rFonts w:ascii="Arial" w:hAnsi="Arial"/>
                <w:b/>
                <w:sz w:val="20"/>
              </w:rPr>
              <w:t>Évaluation des résultats :</w:t>
            </w:r>
            <w:r>
              <w:rPr>
                <w:rFonts w:ascii="Arial" w:hAnsi="Arial"/>
                <w:b/>
                <w:sz w:val="20"/>
              </w:rPr>
              <w:br/>
              <w:t>du 01/01/2018 au 31/12/2019</w:t>
            </w:r>
          </w:p>
        </w:tc>
        <w:tc>
          <w:tcPr>
            <w:tcW w:w="2980" w:type="dxa"/>
            <w:shd w:val="clear" w:color="auto" w:fill="D9D9D9"/>
            <w:vAlign w:val="center"/>
          </w:tcPr>
          <w:p w14:paraId="5B85C71C" w14:textId="77777777" w:rsidR="00724AAD" w:rsidRPr="00A854F4" w:rsidRDefault="00724AAD" w:rsidP="00C35DA5">
            <w:pPr>
              <w:spacing w:before="60" w:after="60"/>
              <w:ind w:left="-111"/>
              <w:jc w:val="center"/>
              <w:rPr>
                <w:rFonts w:ascii="Arial" w:eastAsia="Calibri" w:hAnsi="Arial" w:cs="Arial"/>
                <w:b/>
                <w:sz w:val="20"/>
                <w:szCs w:val="20"/>
              </w:rPr>
            </w:pPr>
            <w:r>
              <w:rPr>
                <w:rFonts w:ascii="Arial" w:hAnsi="Arial"/>
                <w:b/>
                <w:sz w:val="20"/>
              </w:rPr>
              <w:t>Évaluation de la mise en œuvre</w:t>
            </w:r>
          </w:p>
        </w:tc>
      </w:tr>
      <w:tr w:rsidR="00724AAD" w:rsidRPr="00A854F4" w14:paraId="1721D596" w14:textId="77777777" w:rsidTr="00C35DA5">
        <w:trPr>
          <w:jc w:val="center"/>
        </w:trPr>
        <w:tc>
          <w:tcPr>
            <w:tcW w:w="6658" w:type="dxa"/>
            <w:shd w:val="clear" w:color="auto" w:fill="auto"/>
          </w:tcPr>
          <w:p w14:paraId="1433DAA6" w14:textId="7BB1AA42" w:rsidR="00724AAD" w:rsidRPr="00A854F4" w:rsidRDefault="00724AAD">
            <w:pPr>
              <w:spacing w:before="60" w:after="60"/>
              <w:jc w:val="both"/>
              <w:rPr>
                <w:rFonts w:ascii="Arial" w:eastAsia="Calibri" w:hAnsi="Arial" w:cs="Arial"/>
                <w:b/>
                <w:bCs/>
                <w:sz w:val="20"/>
                <w:szCs w:val="20"/>
              </w:rPr>
            </w:pPr>
            <w:r>
              <w:rPr>
                <w:rFonts w:ascii="Arial" w:hAnsi="Arial"/>
                <w:b/>
                <w:sz w:val="20"/>
              </w:rPr>
              <w:t>Création et mise en œuvre d</w:t>
            </w:r>
            <w:r w:rsidR="00740572">
              <w:rPr>
                <w:rFonts w:ascii="Arial" w:hAnsi="Arial"/>
                <w:b/>
                <w:sz w:val="20"/>
              </w:rPr>
              <w:t>’</w:t>
            </w:r>
            <w:r>
              <w:rPr>
                <w:rFonts w:ascii="Arial" w:hAnsi="Arial"/>
                <w:b/>
                <w:sz w:val="20"/>
              </w:rPr>
              <w:t>un centre d</w:t>
            </w:r>
            <w:r w:rsidR="00740572">
              <w:rPr>
                <w:rFonts w:ascii="Arial" w:hAnsi="Arial"/>
                <w:b/>
                <w:sz w:val="20"/>
              </w:rPr>
              <w:t>’</w:t>
            </w:r>
            <w:r>
              <w:rPr>
                <w:rFonts w:ascii="Arial" w:hAnsi="Arial"/>
                <w:b/>
                <w:sz w:val="20"/>
              </w:rPr>
              <w:t>échange d</w:t>
            </w:r>
            <w:r w:rsidR="00740572">
              <w:rPr>
                <w:rFonts w:ascii="Arial" w:hAnsi="Arial"/>
                <w:b/>
                <w:sz w:val="20"/>
              </w:rPr>
              <w:t>’</w:t>
            </w:r>
            <w:r>
              <w:rPr>
                <w:rFonts w:ascii="Arial" w:hAnsi="Arial"/>
                <w:b/>
                <w:sz w:val="20"/>
              </w:rPr>
              <w:t>information dédié au partage de connaissances, à la coopération et à l</w:t>
            </w:r>
            <w:r w:rsidR="00740572">
              <w:rPr>
                <w:rFonts w:ascii="Arial" w:hAnsi="Arial"/>
                <w:b/>
                <w:sz w:val="20"/>
              </w:rPr>
              <w:t>’</w:t>
            </w:r>
            <w:r>
              <w:rPr>
                <w:rFonts w:ascii="Arial" w:hAnsi="Arial"/>
                <w:b/>
                <w:sz w:val="20"/>
              </w:rPr>
              <w:t>innovation sur le patrimoine culturel immatériel et l</w:t>
            </w:r>
            <w:r w:rsidR="00740572">
              <w:rPr>
                <w:rFonts w:ascii="Arial" w:hAnsi="Arial"/>
                <w:b/>
                <w:sz w:val="20"/>
              </w:rPr>
              <w:t>’</w:t>
            </w:r>
            <w:r>
              <w:rPr>
                <w:rFonts w:ascii="Arial" w:hAnsi="Arial"/>
                <w:b/>
                <w:sz w:val="20"/>
              </w:rPr>
              <w:t>éducation.</w:t>
            </w:r>
          </w:p>
          <w:p w14:paraId="2457CBDA" w14:textId="639D259B" w:rsidR="00724AAD" w:rsidRPr="00A854F4" w:rsidRDefault="00724AAD">
            <w:pPr>
              <w:pStyle w:val="ListParagraph"/>
              <w:numPr>
                <w:ilvl w:val="0"/>
                <w:numId w:val="10"/>
              </w:numPr>
              <w:spacing w:before="60" w:after="60"/>
              <w:ind w:left="357" w:hanging="357"/>
              <w:contextualSpacing w:val="0"/>
              <w:jc w:val="both"/>
              <w:rPr>
                <w:rFonts w:ascii="Arial" w:eastAsia="Calibri" w:hAnsi="Arial" w:cs="Arial"/>
                <w:sz w:val="20"/>
                <w:szCs w:val="20"/>
              </w:rPr>
            </w:pPr>
            <w:r>
              <w:rPr>
                <w:rFonts w:ascii="Arial" w:hAnsi="Arial"/>
                <w:sz w:val="20"/>
              </w:rPr>
              <w:t>Élaboration du plan, du contenu et des outils du centre d</w:t>
            </w:r>
            <w:r w:rsidR="00740572">
              <w:rPr>
                <w:rFonts w:ascii="Arial" w:hAnsi="Arial"/>
                <w:sz w:val="20"/>
              </w:rPr>
              <w:t>’</w:t>
            </w:r>
            <w:r>
              <w:rPr>
                <w:rFonts w:ascii="Arial" w:hAnsi="Arial"/>
                <w:sz w:val="20"/>
              </w:rPr>
              <w:t>échange d</w:t>
            </w:r>
            <w:r w:rsidR="00740572">
              <w:rPr>
                <w:rFonts w:ascii="Arial" w:hAnsi="Arial"/>
                <w:sz w:val="20"/>
              </w:rPr>
              <w:t>’</w:t>
            </w:r>
            <w:r>
              <w:rPr>
                <w:rFonts w:ascii="Arial" w:hAnsi="Arial"/>
                <w:sz w:val="20"/>
              </w:rPr>
              <w:t>information Web sur le patrimoine vivant et l</w:t>
            </w:r>
            <w:r w:rsidR="00740572">
              <w:rPr>
                <w:rFonts w:ascii="Arial" w:hAnsi="Arial"/>
                <w:sz w:val="20"/>
              </w:rPr>
              <w:t>’</w:t>
            </w:r>
            <w:r>
              <w:rPr>
                <w:rFonts w:ascii="Arial" w:hAnsi="Arial"/>
                <w:sz w:val="20"/>
              </w:rPr>
              <w:t>éducation.</w:t>
            </w:r>
          </w:p>
          <w:p w14:paraId="573430DA" w14:textId="2B83FA3A" w:rsidR="00724AAD" w:rsidRPr="00A854F4" w:rsidRDefault="00724AAD">
            <w:pPr>
              <w:pStyle w:val="ListParagraph"/>
              <w:numPr>
                <w:ilvl w:val="0"/>
                <w:numId w:val="10"/>
              </w:numPr>
              <w:spacing w:before="60" w:after="60"/>
              <w:ind w:left="357" w:hanging="357"/>
              <w:contextualSpacing w:val="0"/>
              <w:jc w:val="both"/>
              <w:rPr>
                <w:rFonts w:ascii="Arial" w:eastAsia="Calibri" w:hAnsi="Arial" w:cs="Arial"/>
                <w:sz w:val="20"/>
                <w:szCs w:val="20"/>
              </w:rPr>
            </w:pPr>
            <w:r>
              <w:rPr>
                <w:rFonts w:ascii="Arial" w:hAnsi="Arial"/>
                <w:sz w:val="20"/>
              </w:rPr>
              <w:t>Organisation d</w:t>
            </w:r>
            <w:r w:rsidR="00740572">
              <w:rPr>
                <w:rFonts w:ascii="Arial" w:hAnsi="Arial"/>
                <w:sz w:val="20"/>
              </w:rPr>
              <w:t>’</w:t>
            </w:r>
            <w:r>
              <w:rPr>
                <w:rFonts w:ascii="Arial" w:hAnsi="Arial"/>
                <w:sz w:val="20"/>
              </w:rPr>
              <w:t xml:space="preserve">une conférence </w:t>
            </w:r>
            <w:r w:rsidR="00541A1C">
              <w:rPr>
                <w:rFonts w:ascii="Arial" w:hAnsi="Arial"/>
                <w:sz w:val="20"/>
              </w:rPr>
              <w:t xml:space="preserve">en ligne </w:t>
            </w:r>
            <w:r>
              <w:rPr>
                <w:rFonts w:ascii="Arial" w:hAnsi="Arial"/>
                <w:sz w:val="20"/>
              </w:rPr>
              <w:t>conjointe sur la « sauvegarde du patrimoine culturel immatériel par la formation professionnelle et l</w:t>
            </w:r>
            <w:r w:rsidR="00740572">
              <w:rPr>
                <w:rFonts w:ascii="Arial" w:hAnsi="Arial"/>
                <w:sz w:val="20"/>
              </w:rPr>
              <w:t>’</w:t>
            </w:r>
            <w:r>
              <w:rPr>
                <w:rFonts w:ascii="Arial" w:hAnsi="Arial"/>
                <w:sz w:val="20"/>
              </w:rPr>
              <w:t>enseignement technique » avec 302 participants de quatre-vingt-trois pays, en partenariat avec le centre désigné par l</w:t>
            </w:r>
            <w:r w:rsidR="00740572">
              <w:rPr>
                <w:rFonts w:ascii="Arial" w:hAnsi="Arial"/>
                <w:sz w:val="20"/>
              </w:rPr>
              <w:t>’</w:t>
            </w:r>
            <w:r>
              <w:rPr>
                <w:rFonts w:ascii="Arial" w:hAnsi="Arial"/>
                <w:sz w:val="20"/>
              </w:rPr>
              <w:t>UNESCO pour la formation professionnelle et l</w:t>
            </w:r>
            <w:r w:rsidR="00740572">
              <w:rPr>
                <w:rFonts w:ascii="Arial" w:hAnsi="Arial"/>
                <w:sz w:val="20"/>
              </w:rPr>
              <w:t>’</w:t>
            </w:r>
            <w:r>
              <w:rPr>
                <w:rFonts w:ascii="Arial" w:hAnsi="Arial"/>
                <w:sz w:val="20"/>
              </w:rPr>
              <w:t>enseignement technique, l</w:t>
            </w:r>
            <w:r w:rsidR="00740572">
              <w:rPr>
                <w:rFonts w:ascii="Arial" w:hAnsi="Arial"/>
                <w:sz w:val="20"/>
              </w:rPr>
              <w:t>’</w:t>
            </w:r>
            <w:r>
              <w:rPr>
                <w:rFonts w:ascii="Arial" w:hAnsi="Arial"/>
                <w:sz w:val="20"/>
              </w:rPr>
              <w:t>UNESCO-UNEVOC.</w:t>
            </w:r>
          </w:p>
          <w:p w14:paraId="0843000D" w14:textId="41B38AB8" w:rsidR="00724AAD" w:rsidRPr="00A854F4" w:rsidRDefault="00724AAD">
            <w:pPr>
              <w:pStyle w:val="ListParagraph"/>
              <w:numPr>
                <w:ilvl w:val="0"/>
                <w:numId w:val="10"/>
              </w:numPr>
              <w:spacing w:before="60" w:after="60"/>
              <w:ind w:left="357" w:hanging="357"/>
              <w:contextualSpacing w:val="0"/>
              <w:jc w:val="both"/>
              <w:rPr>
                <w:rFonts w:ascii="Arial" w:eastAsia="Calibri" w:hAnsi="Arial" w:cs="Arial"/>
                <w:sz w:val="20"/>
                <w:szCs w:val="20"/>
              </w:rPr>
            </w:pPr>
            <w:r>
              <w:rPr>
                <w:rFonts w:ascii="Arial" w:hAnsi="Arial"/>
                <w:sz w:val="20"/>
              </w:rPr>
              <w:t>Les connaissances ont été consolidées à travers une table ronde dans le cadre d</w:t>
            </w:r>
            <w:r w:rsidR="00740572">
              <w:rPr>
                <w:rFonts w:ascii="Arial" w:hAnsi="Arial"/>
                <w:sz w:val="20"/>
              </w:rPr>
              <w:t>’</w:t>
            </w:r>
            <w:r>
              <w:rPr>
                <w:rFonts w:ascii="Arial" w:hAnsi="Arial"/>
                <w:sz w:val="20"/>
              </w:rPr>
              <w:t>un événement organisé en marge de la septième session de l</w:t>
            </w:r>
            <w:r w:rsidR="00740572">
              <w:rPr>
                <w:rFonts w:ascii="Arial" w:hAnsi="Arial"/>
                <w:sz w:val="20"/>
              </w:rPr>
              <w:t>’</w:t>
            </w:r>
            <w:r>
              <w:rPr>
                <w:rFonts w:ascii="Arial" w:hAnsi="Arial"/>
                <w:sz w:val="20"/>
              </w:rPr>
              <w:t>Assemblée générale sur la « sauvegarde du patrimoine culturel immatériel pour une éducation pertinente et de qualité ».</w:t>
            </w:r>
          </w:p>
          <w:p w14:paraId="0D65B8EF" w14:textId="0F33C9AF" w:rsidR="00724AAD" w:rsidRPr="00A854F4" w:rsidRDefault="00724AAD">
            <w:pPr>
              <w:pStyle w:val="ListParagraph"/>
              <w:numPr>
                <w:ilvl w:val="0"/>
                <w:numId w:val="10"/>
              </w:numPr>
              <w:spacing w:before="60" w:after="60"/>
              <w:ind w:left="357" w:hanging="357"/>
              <w:contextualSpacing w:val="0"/>
              <w:jc w:val="both"/>
              <w:rPr>
                <w:rFonts w:ascii="Arial" w:eastAsia="Calibri" w:hAnsi="Arial" w:cs="Arial"/>
                <w:sz w:val="20"/>
                <w:szCs w:val="20"/>
              </w:rPr>
            </w:pPr>
            <w:r>
              <w:rPr>
                <w:rFonts w:ascii="Arial" w:hAnsi="Arial"/>
                <w:sz w:val="20"/>
              </w:rPr>
              <w:t>Rédaction d</w:t>
            </w:r>
            <w:r w:rsidR="00740572">
              <w:rPr>
                <w:rFonts w:ascii="Arial" w:hAnsi="Arial"/>
                <w:sz w:val="20"/>
              </w:rPr>
              <w:t>’</w:t>
            </w:r>
            <w:r>
              <w:rPr>
                <w:rFonts w:ascii="Arial" w:hAnsi="Arial"/>
                <w:sz w:val="20"/>
              </w:rPr>
              <w:t>un document de synthèse sur le patrimoine mondial et l</w:t>
            </w:r>
            <w:r w:rsidR="00740572">
              <w:rPr>
                <w:rFonts w:ascii="Arial" w:hAnsi="Arial"/>
                <w:sz w:val="20"/>
              </w:rPr>
              <w:t>’</w:t>
            </w:r>
            <w:r>
              <w:rPr>
                <w:rFonts w:ascii="Arial" w:hAnsi="Arial"/>
                <w:sz w:val="20"/>
              </w:rPr>
              <w:t>éducation à la citoyenneté mondiale.</w:t>
            </w:r>
          </w:p>
          <w:p w14:paraId="127463DF" w14:textId="09DDB0F1" w:rsidR="00724AAD" w:rsidRPr="00A854F4" w:rsidRDefault="00724AAD">
            <w:pPr>
              <w:numPr>
                <w:ilvl w:val="0"/>
                <w:numId w:val="10"/>
              </w:numPr>
              <w:spacing w:before="60" w:after="60"/>
              <w:ind w:left="357" w:hanging="357"/>
              <w:jc w:val="both"/>
              <w:rPr>
                <w:rFonts w:ascii="Arial" w:eastAsia="Calibri" w:hAnsi="Arial" w:cs="Arial"/>
                <w:sz w:val="20"/>
                <w:szCs w:val="20"/>
              </w:rPr>
            </w:pPr>
            <w:r>
              <w:rPr>
                <w:rFonts w:ascii="Arial" w:hAnsi="Arial"/>
                <w:sz w:val="20"/>
              </w:rPr>
              <w:t>Organisation de sessions d</w:t>
            </w:r>
            <w:r w:rsidR="00740572">
              <w:rPr>
                <w:rFonts w:ascii="Arial" w:hAnsi="Arial"/>
                <w:sz w:val="20"/>
              </w:rPr>
              <w:t>’</w:t>
            </w:r>
            <w:r>
              <w:rPr>
                <w:rFonts w:ascii="Arial" w:hAnsi="Arial"/>
                <w:sz w:val="20"/>
              </w:rPr>
              <w:t>information pendant l</w:t>
            </w:r>
            <w:r w:rsidR="000E1A62">
              <w:rPr>
                <w:rFonts w:ascii="Arial" w:hAnsi="Arial"/>
                <w:sz w:val="20"/>
              </w:rPr>
              <w:t xml:space="preserve">es </w:t>
            </w:r>
            <w:r>
              <w:rPr>
                <w:rFonts w:ascii="Arial" w:hAnsi="Arial"/>
                <w:sz w:val="20"/>
              </w:rPr>
              <w:t>treizième et quatorzième sessions du Comité intergouvernemental afin de partager et d</w:t>
            </w:r>
            <w:r w:rsidR="00740572">
              <w:rPr>
                <w:rFonts w:ascii="Arial" w:hAnsi="Arial"/>
                <w:sz w:val="20"/>
              </w:rPr>
              <w:t>’</w:t>
            </w:r>
            <w:r>
              <w:rPr>
                <w:rFonts w:ascii="Arial" w:hAnsi="Arial"/>
                <w:sz w:val="20"/>
              </w:rPr>
              <w:t>échanger des informations sur la sauvegarde du patrimoine culturel immatériel par l</w:t>
            </w:r>
            <w:r w:rsidR="00740572">
              <w:rPr>
                <w:rFonts w:ascii="Arial" w:hAnsi="Arial"/>
                <w:sz w:val="20"/>
              </w:rPr>
              <w:t>’</w:t>
            </w:r>
            <w:r>
              <w:rPr>
                <w:rFonts w:ascii="Arial" w:hAnsi="Arial"/>
                <w:sz w:val="20"/>
              </w:rPr>
              <w:t>éducation formelle et non formelle.</w:t>
            </w:r>
          </w:p>
          <w:p w14:paraId="16281A96" w14:textId="3FB16F14" w:rsidR="000E1A62" w:rsidRPr="00740572" w:rsidRDefault="00724AAD" w:rsidP="00A07EE9">
            <w:pPr>
              <w:numPr>
                <w:ilvl w:val="0"/>
                <w:numId w:val="10"/>
              </w:numPr>
              <w:spacing w:before="60" w:after="60"/>
              <w:ind w:left="357" w:hanging="357"/>
              <w:jc w:val="both"/>
              <w:rPr>
                <w:rFonts w:ascii="Arial" w:eastAsia="Calibri" w:hAnsi="Arial" w:cs="Arial"/>
                <w:sz w:val="20"/>
                <w:szCs w:val="20"/>
              </w:rPr>
            </w:pPr>
            <w:r>
              <w:rPr>
                <w:rFonts w:ascii="Arial" w:hAnsi="Arial"/>
                <w:sz w:val="20"/>
              </w:rPr>
              <w:t>Organisation d</w:t>
            </w:r>
            <w:r w:rsidR="00740572">
              <w:rPr>
                <w:rFonts w:ascii="Arial" w:hAnsi="Arial"/>
                <w:sz w:val="20"/>
              </w:rPr>
              <w:t>’</w:t>
            </w:r>
            <w:r>
              <w:rPr>
                <w:rFonts w:ascii="Arial" w:hAnsi="Arial"/>
                <w:sz w:val="20"/>
              </w:rPr>
              <w:t>un examen intersectoriel et d</w:t>
            </w:r>
            <w:r w:rsidR="00740572">
              <w:rPr>
                <w:rFonts w:ascii="Arial" w:hAnsi="Arial"/>
                <w:sz w:val="20"/>
              </w:rPr>
              <w:t>’</w:t>
            </w:r>
            <w:r>
              <w:rPr>
                <w:rFonts w:ascii="Arial" w:hAnsi="Arial"/>
                <w:sz w:val="20"/>
              </w:rPr>
              <w:t>une réunion de planification sur la « sauvegarde du patrimoine culturel immatériel dans l</w:t>
            </w:r>
            <w:r w:rsidR="00740572">
              <w:rPr>
                <w:rFonts w:ascii="Arial" w:hAnsi="Arial"/>
                <w:sz w:val="20"/>
              </w:rPr>
              <w:t>’</w:t>
            </w:r>
            <w:r>
              <w:rPr>
                <w:rFonts w:ascii="Arial" w:hAnsi="Arial"/>
                <w:sz w:val="20"/>
              </w:rPr>
              <w:t>éducation formelle et non formelle » avec plus de cinquante collègues de toutes les régions.</w:t>
            </w:r>
          </w:p>
        </w:tc>
        <w:tc>
          <w:tcPr>
            <w:tcW w:w="2980" w:type="dxa"/>
          </w:tcPr>
          <w:p w14:paraId="1B90A54A" w14:textId="77777777" w:rsidR="00724AAD" w:rsidRPr="00A854F4" w:rsidRDefault="00724AAD" w:rsidP="00C35DA5">
            <w:pPr>
              <w:spacing w:before="320" w:after="60"/>
              <w:jc w:val="center"/>
              <w:rPr>
                <w:rFonts w:ascii="Arial" w:eastAsia="Calibri" w:hAnsi="Arial" w:cs="Arial"/>
                <w:sz w:val="20"/>
                <w:szCs w:val="20"/>
              </w:rPr>
            </w:pPr>
            <w:r>
              <w:rPr>
                <w:rFonts w:ascii="Arial" w:hAnsi="Arial"/>
                <w:sz w:val="20"/>
              </w:rPr>
              <w:t>Accomplie</w:t>
            </w:r>
          </w:p>
        </w:tc>
      </w:tr>
      <w:tr w:rsidR="00724AAD" w:rsidRPr="00A854F4" w14:paraId="3D85726E" w14:textId="77777777" w:rsidTr="00C35DA5">
        <w:trPr>
          <w:jc w:val="center"/>
        </w:trPr>
        <w:tc>
          <w:tcPr>
            <w:tcW w:w="6658" w:type="dxa"/>
            <w:shd w:val="clear" w:color="auto" w:fill="auto"/>
          </w:tcPr>
          <w:p w14:paraId="080B9CD5" w14:textId="14FF3493" w:rsidR="00724AAD" w:rsidRPr="00A854F4" w:rsidRDefault="00724AAD" w:rsidP="00A07EE9">
            <w:pPr>
              <w:keepNext/>
              <w:spacing w:before="60" w:after="60"/>
              <w:jc w:val="both"/>
              <w:rPr>
                <w:rFonts w:ascii="Arial" w:eastAsia="Calibri" w:hAnsi="Arial" w:cs="Arial"/>
                <w:b/>
                <w:bCs/>
                <w:sz w:val="20"/>
                <w:szCs w:val="20"/>
              </w:rPr>
            </w:pPr>
            <w:r>
              <w:rPr>
                <w:rFonts w:ascii="Arial" w:hAnsi="Arial"/>
                <w:b/>
                <w:sz w:val="20"/>
              </w:rPr>
              <w:lastRenderedPageBreak/>
              <w:t>Renforcement des synergies entre la Convention de 2003 et le travail du système des Nations Unies dans le cadre du Programme de développement durable à l</w:t>
            </w:r>
            <w:r w:rsidR="00740572">
              <w:rPr>
                <w:rFonts w:ascii="Arial" w:hAnsi="Arial"/>
                <w:b/>
                <w:sz w:val="20"/>
              </w:rPr>
              <w:t>’</w:t>
            </w:r>
            <w:r>
              <w:rPr>
                <w:rFonts w:ascii="Arial" w:hAnsi="Arial"/>
                <w:b/>
                <w:sz w:val="20"/>
              </w:rPr>
              <w:t>horizon 2030</w:t>
            </w:r>
          </w:p>
          <w:p w14:paraId="408C59D7" w14:textId="51F7DAB8" w:rsidR="00724AAD" w:rsidRPr="00A854F4" w:rsidRDefault="00724AAD">
            <w:pPr>
              <w:pStyle w:val="ListParagraph"/>
              <w:numPr>
                <w:ilvl w:val="0"/>
                <w:numId w:val="10"/>
              </w:numPr>
              <w:spacing w:before="60" w:after="60"/>
              <w:ind w:left="357" w:hanging="357"/>
              <w:contextualSpacing w:val="0"/>
              <w:jc w:val="both"/>
              <w:rPr>
                <w:rFonts w:ascii="Arial" w:eastAsia="Calibri" w:hAnsi="Arial" w:cs="Arial"/>
                <w:sz w:val="20"/>
                <w:szCs w:val="20"/>
              </w:rPr>
            </w:pPr>
            <w:r>
              <w:rPr>
                <w:rFonts w:ascii="Arial" w:hAnsi="Arial"/>
                <w:sz w:val="20"/>
              </w:rPr>
              <w:t>Participation du Secrétariat à la dix-huitième session de l</w:t>
            </w:r>
            <w:r w:rsidR="00740572">
              <w:rPr>
                <w:rFonts w:ascii="Arial" w:hAnsi="Arial"/>
                <w:sz w:val="20"/>
              </w:rPr>
              <w:t>’</w:t>
            </w:r>
            <w:r>
              <w:rPr>
                <w:rFonts w:ascii="Arial" w:hAnsi="Arial"/>
                <w:sz w:val="20"/>
              </w:rPr>
              <w:t>Instance permanente sur les questions autochtones des Nations Unies en avril 2019 et organisation d</w:t>
            </w:r>
            <w:r w:rsidR="00740572">
              <w:rPr>
                <w:rFonts w:ascii="Arial" w:hAnsi="Arial"/>
                <w:sz w:val="20"/>
              </w:rPr>
              <w:t>’</w:t>
            </w:r>
            <w:r>
              <w:rPr>
                <w:rFonts w:ascii="Arial" w:hAnsi="Arial"/>
                <w:sz w:val="20"/>
              </w:rPr>
              <w:t>un événement parallèle sur la Convention.</w:t>
            </w:r>
          </w:p>
          <w:p w14:paraId="635F6B5D" w14:textId="75453E6F" w:rsidR="00724AAD" w:rsidRPr="00A854F4" w:rsidRDefault="00724AAD" w:rsidP="00B17681">
            <w:pPr>
              <w:pStyle w:val="ListParagraph"/>
              <w:numPr>
                <w:ilvl w:val="0"/>
                <w:numId w:val="10"/>
              </w:numPr>
              <w:spacing w:before="60" w:after="60"/>
              <w:ind w:left="357" w:hanging="357"/>
              <w:contextualSpacing w:val="0"/>
              <w:jc w:val="both"/>
              <w:rPr>
                <w:rFonts w:ascii="Arial" w:eastAsia="Calibri" w:hAnsi="Arial" w:cs="Arial"/>
                <w:sz w:val="20"/>
                <w:szCs w:val="20"/>
              </w:rPr>
            </w:pPr>
            <w:r>
              <w:rPr>
                <w:rFonts w:ascii="Arial" w:hAnsi="Arial"/>
                <w:sz w:val="20"/>
              </w:rPr>
              <w:t>Échanges avec l</w:t>
            </w:r>
            <w:r w:rsidR="00740572">
              <w:rPr>
                <w:rFonts w:ascii="Arial" w:hAnsi="Arial"/>
                <w:sz w:val="20"/>
              </w:rPr>
              <w:t>’</w:t>
            </w:r>
            <w:r>
              <w:rPr>
                <w:rFonts w:ascii="Arial" w:hAnsi="Arial"/>
                <w:sz w:val="20"/>
              </w:rPr>
              <w:t>Organisation Mondiale de la Propriété Intellectuelle concernant les projets d</w:t>
            </w:r>
            <w:r w:rsidR="00740572">
              <w:rPr>
                <w:rFonts w:ascii="Arial" w:hAnsi="Arial"/>
                <w:sz w:val="20"/>
              </w:rPr>
              <w:t>’</w:t>
            </w:r>
            <w:r>
              <w:rPr>
                <w:rFonts w:ascii="Arial" w:hAnsi="Arial"/>
                <w:sz w:val="20"/>
              </w:rPr>
              <w:t>articles sur « La protection des expressions culturelles traditionnelles ».</w:t>
            </w:r>
          </w:p>
        </w:tc>
        <w:tc>
          <w:tcPr>
            <w:tcW w:w="2980" w:type="dxa"/>
            <w:shd w:val="clear" w:color="auto" w:fill="auto"/>
          </w:tcPr>
          <w:p w14:paraId="5EA6BBF4" w14:textId="77777777" w:rsidR="00724AAD" w:rsidRPr="00A854F4" w:rsidRDefault="00724AAD" w:rsidP="00C35DA5">
            <w:pPr>
              <w:spacing w:before="320" w:after="60"/>
              <w:jc w:val="center"/>
              <w:rPr>
                <w:rFonts w:ascii="Arial" w:eastAsia="Calibri" w:hAnsi="Arial" w:cs="Arial"/>
                <w:sz w:val="20"/>
                <w:szCs w:val="20"/>
              </w:rPr>
            </w:pPr>
            <w:r>
              <w:rPr>
                <w:rFonts w:ascii="Arial" w:hAnsi="Arial"/>
                <w:sz w:val="20"/>
              </w:rPr>
              <w:t>Accomplie</w:t>
            </w:r>
          </w:p>
        </w:tc>
      </w:tr>
      <w:tr w:rsidR="00724AAD" w:rsidRPr="00A854F4" w14:paraId="2171A8B2" w14:textId="77777777" w:rsidTr="00C35DA5">
        <w:trPr>
          <w:jc w:val="center"/>
        </w:trPr>
        <w:tc>
          <w:tcPr>
            <w:tcW w:w="6658" w:type="dxa"/>
            <w:shd w:val="clear" w:color="auto" w:fill="auto"/>
          </w:tcPr>
          <w:p w14:paraId="4383CA4A" w14:textId="4EC41869" w:rsidR="00724AAD" w:rsidRPr="00A854F4" w:rsidRDefault="00724AAD" w:rsidP="00322AB8">
            <w:pPr>
              <w:spacing w:before="60" w:after="60"/>
              <w:jc w:val="both"/>
              <w:rPr>
                <w:rFonts w:ascii="Arial" w:eastAsia="Calibri" w:hAnsi="Arial" w:cs="Arial"/>
                <w:b/>
                <w:bCs/>
                <w:sz w:val="20"/>
                <w:szCs w:val="20"/>
              </w:rPr>
            </w:pPr>
            <w:r>
              <w:rPr>
                <w:rFonts w:ascii="Arial" w:hAnsi="Arial"/>
                <w:b/>
                <w:sz w:val="20"/>
              </w:rPr>
              <w:t>Mise en place d</w:t>
            </w:r>
            <w:r w:rsidR="00740572">
              <w:rPr>
                <w:rFonts w:ascii="Arial" w:hAnsi="Arial"/>
                <w:b/>
                <w:sz w:val="20"/>
              </w:rPr>
              <w:t>’</w:t>
            </w:r>
            <w:r>
              <w:rPr>
                <w:rFonts w:ascii="Arial" w:hAnsi="Arial"/>
                <w:b/>
                <w:sz w:val="20"/>
              </w:rPr>
              <w:t>un cadre pour la sauvegarde du patrimoine culturel immatériel dans les situations d</w:t>
            </w:r>
            <w:r w:rsidR="00740572">
              <w:rPr>
                <w:rFonts w:ascii="Arial" w:hAnsi="Arial"/>
                <w:b/>
                <w:sz w:val="20"/>
              </w:rPr>
              <w:t>’</w:t>
            </w:r>
            <w:r>
              <w:rPr>
                <w:rFonts w:ascii="Arial" w:hAnsi="Arial"/>
                <w:b/>
                <w:sz w:val="20"/>
              </w:rPr>
              <w:t>urgence</w:t>
            </w:r>
          </w:p>
          <w:p w14:paraId="31F45B0A" w14:textId="32E7E1AD" w:rsidR="00724AAD" w:rsidRPr="00A854F4" w:rsidRDefault="00724AAD">
            <w:pPr>
              <w:numPr>
                <w:ilvl w:val="0"/>
                <w:numId w:val="10"/>
              </w:numPr>
              <w:spacing w:before="60" w:after="60"/>
              <w:ind w:left="357" w:hanging="357"/>
              <w:jc w:val="both"/>
              <w:rPr>
                <w:rFonts w:ascii="Arial" w:eastAsia="Calibri" w:hAnsi="Arial" w:cs="Arial"/>
                <w:sz w:val="20"/>
                <w:szCs w:val="20"/>
              </w:rPr>
            </w:pPr>
            <w:r>
              <w:rPr>
                <w:rFonts w:ascii="Arial" w:hAnsi="Arial"/>
                <w:sz w:val="20"/>
              </w:rPr>
              <w:t>Réalisation d</w:t>
            </w:r>
            <w:r w:rsidR="00740572">
              <w:rPr>
                <w:rFonts w:ascii="Arial" w:hAnsi="Arial"/>
                <w:sz w:val="20"/>
              </w:rPr>
              <w:t>’</w:t>
            </w:r>
            <w:r>
              <w:rPr>
                <w:rFonts w:ascii="Arial" w:hAnsi="Arial"/>
                <w:sz w:val="20"/>
              </w:rPr>
              <w:t>une étude pour cartographier et analyser les différentes approches méthodologiques utilisées à l</w:t>
            </w:r>
            <w:r w:rsidR="00740572">
              <w:rPr>
                <w:rFonts w:ascii="Arial" w:hAnsi="Arial"/>
                <w:sz w:val="20"/>
              </w:rPr>
              <w:t>’</w:t>
            </w:r>
            <w:r>
              <w:rPr>
                <w:rFonts w:ascii="Arial" w:hAnsi="Arial"/>
                <w:sz w:val="20"/>
              </w:rPr>
              <w:t>échelle internationale afin de sauvegarder le patrimoine culturel immatériel dans les situations d</w:t>
            </w:r>
            <w:r w:rsidR="00740572">
              <w:rPr>
                <w:rFonts w:ascii="Arial" w:hAnsi="Arial"/>
                <w:sz w:val="20"/>
              </w:rPr>
              <w:t>’</w:t>
            </w:r>
            <w:r>
              <w:rPr>
                <w:rFonts w:ascii="Arial" w:hAnsi="Arial"/>
                <w:sz w:val="20"/>
              </w:rPr>
              <w:t>urgence et de le mobiliser comme un outil de résilience et de redressement.</w:t>
            </w:r>
          </w:p>
          <w:p w14:paraId="06556687" w14:textId="7C597410" w:rsidR="00724AAD" w:rsidRPr="00A854F4" w:rsidRDefault="00724AAD" w:rsidP="00322AB8">
            <w:pPr>
              <w:pStyle w:val="ListParagraph"/>
              <w:numPr>
                <w:ilvl w:val="0"/>
                <w:numId w:val="10"/>
              </w:numPr>
              <w:spacing w:before="60" w:after="60"/>
              <w:ind w:left="357" w:hanging="357"/>
              <w:contextualSpacing w:val="0"/>
              <w:jc w:val="both"/>
              <w:rPr>
                <w:rFonts w:ascii="Arial" w:eastAsia="Calibri" w:hAnsi="Arial" w:cs="Arial"/>
                <w:sz w:val="20"/>
                <w:szCs w:val="20"/>
              </w:rPr>
            </w:pPr>
            <w:r>
              <w:rPr>
                <w:rFonts w:ascii="Arial" w:hAnsi="Arial"/>
                <w:sz w:val="20"/>
              </w:rPr>
              <w:t>Organisation d</w:t>
            </w:r>
            <w:r w:rsidR="00740572">
              <w:rPr>
                <w:rFonts w:ascii="Arial" w:hAnsi="Arial"/>
                <w:sz w:val="20"/>
              </w:rPr>
              <w:t>’</w:t>
            </w:r>
            <w:r>
              <w:rPr>
                <w:rFonts w:ascii="Arial" w:hAnsi="Arial"/>
                <w:sz w:val="20"/>
              </w:rPr>
              <w:t>une réunion de réflexion à Beyrouth (Liban) en octobre 2018 avec des agences de l</w:t>
            </w:r>
            <w:r w:rsidR="00740572">
              <w:rPr>
                <w:rFonts w:ascii="Arial" w:hAnsi="Arial"/>
                <w:sz w:val="20"/>
              </w:rPr>
              <w:t>’</w:t>
            </w:r>
            <w:r>
              <w:rPr>
                <w:rFonts w:ascii="Arial" w:hAnsi="Arial"/>
                <w:sz w:val="20"/>
              </w:rPr>
              <w:t>ONU et les acteurs évoluant dans le domaine humanitaire dans le pays, notamment la CESAO, le PNUD, l</w:t>
            </w:r>
            <w:r w:rsidR="00740572">
              <w:rPr>
                <w:rFonts w:ascii="Arial" w:hAnsi="Arial"/>
                <w:sz w:val="20"/>
              </w:rPr>
              <w:t>’</w:t>
            </w:r>
            <w:r>
              <w:rPr>
                <w:rFonts w:ascii="Arial" w:hAnsi="Arial"/>
                <w:sz w:val="20"/>
              </w:rPr>
              <w:t>ONU-Habitat, le HCR, la FINUL et l</w:t>
            </w:r>
            <w:r w:rsidR="00740572">
              <w:rPr>
                <w:rFonts w:ascii="Arial" w:hAnsi="Arial"/>
                <w:sz w:val="20"/>
              </w:rPr>
              <w:t>’</w:t>
            </w:r>
            <w:r>
              <w:rPr>
                <w:rFonts w:ascii="Arial" w:hAnsi="Arial"/>
                <w:sz w:val="20"/>
              </w:rPr>
              <w:t>OMS.</w:t>
            </w:r>
          </w:p>
          <w:p w14:paraId="154AFEFF" w14:textId="1EB896FC" w:rsidR="00724AAD" w:rsidRPr="00A854F4" w:rsidRDefault="00724AAD" w:rsidP="00322AB8">
            <w:pPr>
              <w:pStyle w:val="ListParagraph"/>
              <w:numPr>
                <w:ilvl w:val="0"/>
                <w:numId w:val="10"/>
              </w:numPr>
              <w:spacing w:before="60" w:after="60"/>
              <w:ind w:left="357" w:hanging="357"/>
              <w:contextualSpacing w:val="0"/>
              <w:jc w:val="both"/>
              <w:rPr>
                <w:rFonts w:ascii="Arial" w:eastAsia="Calibri" w:hAnsi="Arial" w:cs="Arial"/>
                <w:sz w:val="20"/>
                <w:szCs w:val="20"/>
              </w:rPr>
            </w:pPr>
            <w:r>
              <w:rPr>
                <w:rFonts w:ascii="Arial" w:hAnsi="Arial"/>
                <w:sz w:val="20"/>
              </w:rPr>
              <w:t>Organisation d</w:t>
            </w:r>
            <w:r w:rsidR="00740572">
              <w:rPr>
                <w:rFonts w:ascii="Arial" w:hAnsi="Arial"/>
                <w:sz w:val="20"/>
              </w:rPr>
              <w:t>’</w:t>
            </w:r>
            <w:r>
              <w:rPr>
                <w:rFonts w:ascii="Arial" w:hAnsi="Arial"/>
                <w:sz w:val="20"/>
              </w:rPr>
              <w:t>une réunion d</w:t>
            </w:r>
            <w:r w:rsidR="00740572">
              <w:rPr>
                <w:rFonts w:ascii="Arial" w:hAnsi="Arial"/>
                <w:sz w:val="20"/>
              </w:rPr>
              <w:t>’</w:t>
            </w:r>
            <w:r>
              <w:rPr>
                <w:rFonts w:ascii="Arial" w:hAnsi="Arial"/>
                <w:sz w:val="20"/>
              </w:rPr>
              <w:t>experts pour conceptualiser les connaissances et expériences acquises sur la sauvegarde du patrimoine culturel immatériel dans les situations d</w:t>
            </w:r>
            <w:r w:rsidR="00740572">
              <w:rPr>
                <w:rFonts w:ascii="Arial" w:hAnsi="Arial"/>
                <w:sz w:val="20"/>
              </w:rPr>
              <w:t>’</w:t>
            </w:r>
            <w:r>
              <w:rPr>
                <w:rFonts w:ascii="Arial" w:hAnsi="Arial"/>
                <w:sz w:val="20"/>
              </w:rPr>
              <w:t>urgence et les convertir en orientations méthodologiques pour les États parties, donnant lieu à l</w:t>
            </w:r>
            <w:r w:rsidR="00740572">
              <w:rPr>
                <w:rFonts w:ascii="Arial" w:hAnsi="Arial"/>
                <w:sz w:val="20"/>
              </w:rPr>
              <w:t>’</w:t>
            </w:r>
            <w:r>
              <w:rPr>
                <w:rFonts w:ascii="Arial" w:hAnsi="Arial"/>
                <w:sz w:val="20"/>
              </w:rPr>
              <w:t>élaboration de modalités et principes opérationnels pour la sauvegarde du patrimoine culturel immatériel dans les situations d</w:t>
            </w:r>
            <w:r w:rsidR="00740572">
              <w:rPr>
                <w:rFonts w:ascii="Arial" w:hAnsi="Arial"/>
                <w:sz w:val="20"/>
              </w:rPr>
              <w:t>’</w:t>
            </w:r>
            <w:r>
              <w:rPr>
                <w:rFonts w:ascii="Arial" w:hAnsi="Arial"/>
                <w:sz w:val="20"/>
              </w:rPr>
              <w:t>urgence, qui ont été adoptés par l</w:t>
            </w:r>
            <w:r w:rsidR="00740572">
              <w:rPr>
                <w:rFonts w:ascii="Arial" w:hAnsi="Arial"/>
                <w:sz w:val="20"/>
              </w:rPr>
              <w:t>’</w:t>
            </w:r>
            <w:r>
              <w:rPr>
                <w:rFonts w:ascii="Arial" w:hAnsi="Arial"/>
                <w:sz w:val="20"/>
              </w:rPr>
              <w:t>Assemblée générale lors de sa huitième session.</w:t>
            </w:r>
          </w:p>
        </w:tc>
        <w:tc>
          <w:tcPr>
            <w:tcW w:w="2980" w:type="dxa"/>
          </w:tcPr>
          <w:p w14:paraId="792527B8" w14:textId="77777777" w:rsidR="00724AAD" w:rsidRPr="00A854F4" w:rsidRDefault="00724AAD" w:rsidP="00C35DA5">
            <w:pPr>
              <w:spacing w:before="320" w:after="60"/>
              <w:jc w:val="center"/>
              <w:rPr>
                <w:rFonts w:ascii="Arial" w:eastAsia="Calibri" w:hAnsi="Arial" w:cs="Arial"/>
                <w:sz w:val="20"/>
                <w:szCs w:val="20"/>
              </w:rPr>
            </w:pPr>
            <w:r>
              <w:rPr>
                <w:rFonts w:ascii="Arial" w:hAnsi="Arial"/>
                <w:sz w:val="20"/>
              </w:rPr>
              <w:t>Accomplie</w:t>
            </w:r>
          </w:p>
        </w:tc>
      </w:tr>
    </w:tbl>
    <w:p w14:paraId="2061690B" w14:textId="77777777" w:rsidR="00724AAD" w:rsidRPr="00A854F4" w:rsidRDefault="00724AAD" w:rsidP="00724AAD">
      <w:pPr>
        <w:pStyle w:val="ListParagraph"/>
        <w:keepNext/>
        <w:numPr>
          <w:ilvl w:val="0"/>
          <w:numId w:val="15"/>
        </w:numPr>
        <w:spacing w:before="240"/>
        <w:ind w:left="284" w:hanging="284"/>
        <w:jc w:val="both"/>
        <w:rPr>
          <w:rFonts w:ascii="Arial" w:hAnsi="Arial" w:cs="Arial"/>
          <w:b/>
          <w:bCs/>
          <w:sz w:val="22"/>
          <w:szCs w:val="22"/>
        </w:rPr>
      </w:pPr>
      <w:r>
        <w:rPr>
          <w:rFonts w:ascii="Arial" w:hAnsi="Arial"/>
          <w:b/>
          <w:sz w:val="22"/>
        </w:rPr>
        <w:t xml:space="preserve">Rapport de mise en œuvre pour la période du 1er janvier 2020 au 30 juin 2021. </w:t>
      </w:r>
    </w:p>
    <w:p w14:paraId="54077D32" w14:textId="77777777" w:rsidR="00724AAD" w:rsidRPr="00ED3B35" w:rsidRDefault="00724AAD" w:rsidP="00724AAD">
      <w:pPr>
        <w:pStyle w:val="ListParagraph"/>
        <w:keepNext/>
        <w:spacing w:before="240"/>
        <w:ind w:left="284"/>
        <w:jc w:val="both"/>
        <w:rPr>
          <w:rFonts w:ascii="Arial" w:hAnsi="Arial" w:cs="Arial"/>
          <w:b/>
          <w:bCs/>
          <w:sz w:val="22"/>
          <w:szCs w:val="22"/>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724AAD" w:rsidRPr="00A854F4" w14:paraId="3146F136" w14:textId="77777777" w:rsidTr="00322AB8">
        <w:trPr>
          <w:jc w:val="center"/>
        </w:trPr>
        <w:tc>
          <w:tcPr>
            <w:tcW w:w="1999" w:type="pct"/>
            <w:shd w:val="clear" w:color="auto" w:fill="92D050"/>
            <w:vAlign w:val="center"/>
          </w:tcPr>
          <w:p w14:paraId="3E5ADBD4" w14:textId="77777777" w:rsidR="00724AAD" w:rsidRPr="00A854F4" w:rsidRDefault="00724AAD" w:rsidP="00C35DA5">
            <w:pPr>
              <w:keepNext/>
              <w:spacing w:before="120"/>
              <w:jc w:val="center"/>
              <w:rPr>
                <w:rFonts w:ascii="Arial" w:eastAsia="Calibri" w:hAnsi="Arial" w:cs="Arial"/>
                <w:b/>
                <w:sz w:val="20"/>
                <w:szCs w:val="20"/>
              </w:rPr>
            </w:pPr>
            <w:r>
              <w:rPr>
                <w:rFonts w:ascii="Arial" w:hAnsi="Arial"/>
                <w:b/>
                <w:sz w:val="20"/>
              </w:rPr>
              <w:t>Allocation</w:t>
            </w:r>
          </w:p>
        </w:tc>
        <w:tc>
          <w:tcPr>
            <w:tcW w:w="2118" w:type="pct"/>
            <w:shd w:val="clear" w:color="auto" w:fill="92D050"/>
            <w:vAlign w:val="center"/>
          </w:tcPr>
          <w:p w14:paraId="3EB026BD" w14:textId="77777777" w:rsidR="00724AAD" w:rsidRPr="00A854F4" w:rsidRDefault="00724AAD" w:rsidP="00C35DA5">
            <w:pPr>
              <w:spacing w:before="120"/>
              <w:jc w:val="center"/>
              <w:rPr>
                <w:rFonts w:ascii="Arial" w:eastAsia="Calibri" w:hAnsi="Arial" w:cs="Arial"/>
                <w:b/>
                <w:sz w:val="20"/>
                <w:szCs w:val="20"/>
              </w:rPr>
            </w:pPr>
            <w:r>
              <w:rPr>
                <w:rFonts w:ascii="Arial" w:hAnsi="Arial"/>
                <w:b/>
                <w:sz w:val="20"/>
              </w:rPr>
              <w:t>Dépenses</w:t>
            </w:r>
          </w:p>
        </w:tc>
        <w:tc>
          <w:tcPr>
            <w:tcW w:w="883" w:type="pct"/>
            <w:shd w:val="clear" w:color="auto" w:fill="92D050"/>
            <w:vAlign w:val="center"/>
          </w:tcPr>
          <w:p w14:paraId="06CAE885" w14:textId="77777777" w:rsidR="00724AAD" w:rsidRPr="00A854F4" w:rsidRDefault="00724AAD" w:rsidP="00C35DA5">
            <w:pPr>
              <w:spacing w:before="120"/>
              <w:jc w:val="center"/>
              <w:rPr>
                <w:rFonts w:ascii="Arial" w:eastAsia="Calibri" w:hAnsi="Arial" w:cs="Arial"/>
                <w:b/>
                <w:sz w:val="20"/>
                <w:szCs w:val="20"/>
              </w:rPr>
            </w:pPr>
            <w:r>
              <w:rPr>
                <w:rFonts w:ascii="Arial" w:hAnsi="Arial"/>
                <w:b/>
                <w:sz w:val="20"/>
              </w:rPr>
              <w:t>Taux de dépense (%)</w:t>
            </w:r>
            <w:r>
              <w:rPr>
                <w:rFonts w:ascii="Arial" w:hAnsi="Arial"/>
                <w:b/>
                <w:sz w:val="20"/>
              </w:rPr>
              <w:br/>
              <w:t>au 30/06/2021</w:t>
            </w:r>
          </w:p>
        </w:tc>
      </w:tr>
      <w:tr w:rsidR="00724AAD" w:rsidRPr="00A854F4" w14:paraId="1A5D2409" w14:textId="77777777" w:rsidTr="00C35DA5">
        <w:trPr>
          <w:jc w:val="center"/>
        </w:trPr>
        <w:tc>
          <w:tcPr>
            <w:tcW w:w="1999" w:type="pct"/>
            <w:shd w:val="clear" w:color="auto" w:fill="auto"/>
          </w:tcPr>
          <w:p w14:paraId="09A0759E" w14:textId="77777777" w:rsidR="00724AAD" w:rsidRPr="00A854F4" w:rsidRDefault="00724AAD" w:rsidP="00C35DA5">
            <w:pPr>
              <w:spacing w:before="120"/>
              <w:jc w:val="center"/>
              <w:rPr>
                <w:rFonts w:ascii="Arial" w:eastAsia="Calibri" w:hAnsi="Arial" w:cs="Arial"/>
                <w:sz w:val="20"/>
                <w:szCs w:val="20"/>
              </w:rPr>
            </w:pPr>
            <w:r>
              <w:rPr>
                <w:rFonts w:ascii="Arial" w:hAnsi="Arial"/>
                <w:sz w:val="20"/>
              </w:rPr>
              <w:t>203 850,00</w:t>
            </w:r>
          </w:p>
        </w:tc>
        <w:tc>
          <w:tcPr>
            <w:tcW w:w="2118" w:type="pct"/>
            <w:shd w:val="clear" w:color="auto" w:fill="auto"/>
          </w:tcPr>
          <w:p w14:paraId="6BCCEF6F" w14:textId="77777777" w:rsidR="00724AAD" w:rsidRPr="00A854F4" w:rsidRDefault="00724AAD" w:rsidP="00C35DA5">
            <w:pPr>
              <w:spacing w:before="120"/>
              <w:jc w:val="center"/>
              <w:rPr>
                <w:rFonts w:ascii="Arial" w:eastAsia="Calibri" w:hAnsi="Arial" w:cs="Arial"/>
                <w:sz w:val="20"/>
                <w:szCs w:val="20"/>
              </w:rPr>
            </w:pPr>
            <w:r>
              <w:rPr>
                <w:rFonts w:ascii="Arial" w:hAnsi="Arial"/>
                <w:sz w:val="20"/>
              </w:rPr>
              <w:t>72 300,42</w:t>
            </w:r>
          </w:p>
        </w:tc>
        <w:tc>
          <w:tcPr>
            <w:tcW w:w="883" w:type="pct"/>
            <w:shd w:val="clear" w:color="auto" w:fill="auto"/>
          </w:tcPr>
          <w:p w14:paraId="300A68A4" w14:textId="77777777" w:rsidR="00724AAD" w:rsidRPr="00A854F4" w:rsidRDefault="00724AAD" w:rsidP="00C35DA5">
            <w:pPr>
              <w:spacing w:before="120"/>
              <w:jc w:val="center"/>
              <w:rPr>
                <w:rFonts w:ascii="Arial" w:eastAsia="Calibri" w:hAnsi="Arial" w:cs="Arial"/>
                <w:sz w:val="20"/>
                <w:szCs w:val="20"/>
              </w:rPr>
            </w:pPr>
            <w:r>
              <w:rPr>
                <w:rFonts w:ascii="Arial" w:hAnsi="Arial"/>
                <w:sz w:val="20"/>
              </w:rPr>
              <w:t>35,5 %</w:t>
            </w:r>
          </w:p>
        </w:tc>
      </w:tr>
    </w:tbl>
    <w:p w14:paraId="023C398D" w14:textId="77777777" w:rsidR="00724AAD" w:rsidRPr="00A854F4" w:rsidRDefault="00724AAD" w:rsidP="00724AAD">
      <w:pPr>
        <w:spacing w:after="0"/>
        <w:rPr>
          <w:rFonts w:ascii="Arial" w:hAnsi="Arial" w:cs="Arial"/>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gridCol w:w="2835"/>
      </w:tblGrid>
      <w:tr w:rsidR="00724AAD" w:rsidRPr="00A854F4" w14:paraId="1007E174" w14:textId="77777777" w:rsidTr="00C35DA5">
        <w:trPr>
          <w:tblHeader/>
          <w:jc w:val="center"/>
        </w:trPr>
        <w:tc>
          <w:tcPr>
            <w:tcW w:w="6803" w:type="dxa"/>
            <w:shd w:val="clear" w:color="auto" w:fill="D9D9D9"/>
            <w:vAlign w:val="center"/>
          </w:tcPr>
          <w:p w14:paraId="5B788640" w14:textId="77777777" w:rsidR="00724AAD" w:rsidRPr="00A854F4" w:rsidRDefault="00724AAD" w:rsidP="00C35DA5">
            <w:pPr>
              <w:spacing w:before="60" w:after="60"/>
              <w:jc w:val="center"/>
              <w:rPr>
                <w:rFonts w:ascii="Arial" w:eastAsia="Calibri" w:hAnsi="Arial" w:cs="Arial"/>
                <w:b/>
                <w:sz w:val="20"/>
                <w:szCs w:val="20"/>
              </w:rPr>
            </w:pPr>
            <w:r>
              <w:rPr>
                <w:rFonts w:ascii="Arial" w:hAnsi="Arial"/>
                <w:b/>
                <w:sz w:val="20"/>
              </w:rPr>
              <w:t>Évaluation des progrès :</w:t>
            </w:r>
            <w:r>
              <w:rPr>
                <w:rFonts w:ascii="Arial" w:hAnsi="Arial"/>
                <w:b/>
                <w:sz w:val="20"/>
              </w:rPr>
              <w:br/>
              <w:t>du 01/01/2020 au 30/06/2021</w:t>
            </w:r>
          </w:p>
        </w:tc>
        <w:tc>
          <w:tcPr>
            <w:tcW w:w="2835" w:type="dxa"/>
            <w:shd w:val="clear" w:color="auto" w:fill="D9D9D9"/>
            <w:vAlign w:val="center"/>
          </w:tcPr>
          <w:p w14:paraId="39C32FA7" w14:textId="77777777" w:rsidR="00724AAD" w:rsidRPr="00A854F4" w:rsidRDefault="00724AAD" w:rsidP="00C35DA5">
            <w:pPr>
              <w:spacing w:before="60" w:after="60"/>
              <w:jc w:val="center"/>
              <w:rPr>
                <w:rFonts w:ascii="Arial" w:eastAsia="Calibri" w:hAnsi="Arial" w:cs="Arial"/>
                <w:b/>
                <w:sz w:val="20"/>
                <w:szCs w:val="20"/>
              </w:rPr>
            </w:pPr>
            <w:r>
              <w:rPr>
                <w:rFonts w:ascii="Arial" w:hAnsi="Arial"/>
                <w:b/>
                <w:sz w:val="20"/>
              </w:rPr>
              <w:t>Évaluation de la mise en œuvre</w:t>
            </w:r>
          </w:p>
        </w:tc>
      </w:tr>
      <w:tr w:rsidR="00724AAD" w:rsidRPr="00A854F4" w14:paraId="2F3E43FB" w14:textId="77777777" w:rsidTr="00C35DA5">
        <w:trPr>
          <w:jc w:val="center"/>
        </w:trPr>
        <w:tc>
          <w:tcPr>
            <w:tcW w:w="6803" w:type="dxa"/>
            <w:shd w:val="clear" w:color="auto" w:fill="auto"/>
          </w:tcPr>
          <w:p w14:paraId="1960D312" w14:textId="6E33C8F5" w:rsidR="00724AAD" w:rsidRPr="00A854F4" w:rsidRDefault="00724AAD">
            <w:pPr>
              <w:spacing w:before="60" w:after="60"/>
              <w:jc w:val="both"/>
              <w:rPr>
                <w:rFonts w:ascii="Arial" w:eastAsia="Calibri" w:hAnsi="Arial" w:cs="Arial"/>
                <w:b/>
                <w:bCs/>
                <w:sz w:val="20"/>
                <w:szCs w:val="20"/>
              </w:rPr>
            </w:pPr>
            <w:r>
              <w:rPr>
                <w:rFonts w:ascii="Arial" w:hAnsi="Arial"/>
                <w:b/>
                <w:sz w:val="20"/>
              </w:rPr>
              <w:t>Renforcement des partenariats et du centre d</w:t>
            </w:r>
            <w:r w:rsidR="00740572">
              <w:rPr>
                <w:rFonts w:ascii="Arial" w:hAnsi="Arial"/>
                <w:b/>
                <w:sz w:val="20"/>
              </w:rPr>
              <w:t>’</w:t>
            </w:r>
            <w:r>
              <w:rPr>
                <w:rFonts w:ascii="Arial" w:hAnsi="Arial"/>
                <w:b/>
                <w:sz w:val="20"/>
              </w:rPr>
              <w:t>échange d</w:t>
            </w:r>
            <w:r w:rsidR="00740572">
              <w:rPr>
                <w:rFonts w:ascii="Arial" w:hAnsi="Arial"/>
                <w:b/>
                <w:sz w:val="20"/>
              </w:rPr>
              <w:t>’</w:t>
            </w:r>
            <w:r>
              <w:rPr>
                <w:rFonts w:ascii="Arial" w:hAnsi="Arial"/>
                <w:b/>
                <w:sz w:val="20"/>
              </w:rPr>
              <w:t>information mondial sur le patrimoine vivant et le fonctionnement de l</w:t>
            </w:r>
            <w:r w:rsidR="00740572">
              <w:rPr>
                <w:rFonts w:ascii="Arial" w:hAnsi="Arial"/>
                <w:b/>
                <w:sz w:val="20"/>
              </w:rPr>
              <w:t>’</w:t>
            </w:r>
            <w:r>
              <w:rPr>
                <w:rFonts w:ascii="Arial" w:hAnsi="Arial"/>
                <w:b/>
                <w:sz w:val="20"/>
              </w:rPr>
              <w:t>éducation.</w:t>
            </w:r>
          </w:p>
          <w:p w14:paraId="328E084C" w14:textId="2A84F5B3" w:rsidR="00724AAD" w:rsidRPr="00A854F4" w:rsidRDefault="00724AAD">
            <w:pPr>
              <w:numPr>
                <w:ilvl w:val="0"/>
                <w:numId w:val="10"/>
              </w:numPr>
              <w:spacing w:before="60" w:after="60"/>
              <w:ind w:left="357" w:hanging="357"/>
              <w:jc w:val="both"/>
              <w:rPr>
                <w:rFonts w:ascii="Arial" w:eastAsia="Calibri" w:hAnsi="Arial" w:cs="Arial"/>
                <w:sz w:val="20"/>
                <w:szCs w:val="20"/>
              </w:rPr>
            </w:pPr>
            <w:r>
              <w:rPr>
                <w:rFonts w:ascii="Arial" w:hAnsi="Arial"/>
                <w:sz w:val="20"/>
              </w:rPr>
              <w:t>Mise à disposition dans deux langues (anglais et français) d</w:t>
            </w:r>
            <w:r w:rsidR="00740572">
              <w:rPr>
                <w:rFonts w:ascii="Arial" w:hAnsi="Arial"/>
                <w:sz w:val="20"/>
              </w:rPr>
              <w:t>’</w:t>
            </w:r>
            <w:r>
              <w:rPr>
                <w:rFonts w:ascii="Arial" w:hAnsi="Arial"/>
                <w:sz w:val="20"/>
              </w:rPr>
              <w:t>une page Web et de ressources pour le centre d</w:t>
            </w:r>
            <w:r w:rsidR="00740572">
              <w:rPr>
                <w:rFonts w:ascii="Arial" w:hAnsi="Arial"/>
                <w:sz w:val="20"/>
              </w:rPr>
              <w:t>’</w:t>
            </w:r>
            <w:r>
              <w:rPr>
                <w:rFonts w:ascii="Arial" w:hAnsi="Arial"/>
                <w:sz w:val="20"/>
              </w:rPr>
              <w:t>échange d</w:t>
            </w:r>
            <w:r w:rsidR="00740572">
              <w:rPr>
                <w:rFonts w:ascii="Arial" w:hAnsi="Arial"/>
                <w:sz w:val="20"/>
              </w:rPr>
              <w:t>’</w:t>
            </w:r>
            <w:r>
              <w:rPr>
                <w:rFonts w:ascii="Arial" w:hAnsi="Arial"/>
                <w:sz w:val="20"/>
              </w:rPr>
              <w:t>information dédié au partage de connaissances, à la coopération et à l</w:t>
            </w:r>
            <w:r w:rsidR="00740572">
              <w:rPr>
                <w:rFonts w:ascii="Arial" w:hAnsi="Arial"/>
                <w:sz w:val="20"/>
              </w:rPr>
              <w:t>’</w:t>
            </w:r>
            <w:r>
              <w:rPr>
                <w:rFonts w:ascii="Arial" w:hAnsi="Arial"/>
                <w:sz w:val="20"/>
              </w:rPr>
              <w:t>innovation dans le domaine du patrimoine culturel immatériel et de l</w:t>
            </w:r>
            <w:r w:rsidR="00740572">
              <w:rPr>
                <w:rFonts w:ascii="Arial" w:hAnsi="Arial"/>
                <w:sz w:val="20"/>
              </w:rPr>
              <w:t>’</w:t>
            </w:r>
            <w:r>
              <w:rPr>
                <w:rFonts w:ascii="Arial" w:hAnsi="Arial"/>
                <w:sz w:val="20"/>
              </w:rPr>
              <w:t>éducation.</w:t>
            </w:r>
          </w:p>
          <w:p w14:paraId="0DE10C47" w14:textId="368A612B" w:rsidR="00724AAD" w:rsidRPr="00A854F4" w:rsidRDefault="00724AAD">
            <w:pPr>
              <w:numPr>
                <w:ilvl w:val="0"/>
                <w:numId w:val="10"/>
              </w:numPr>
              <w:spacing w:before="60" w:after="60"/>
              <w:ind w:left="357" w:hanging="357"/>
              <w:jc w:val="both"/>
              <w:rPr>
                <w:rFonts w:ascii="Arial" w:eastAsia="Calibri" w:hAnsi="Arial" w:cs="Arial"/>
                <w:sz w:val="20"/>
                <w:szCs w:val="20"/>
              </w:rPr>
            </w:pPr>
            <w:r>
              <w:rPr>
                <w:rFonts w:ascii="Arial" w:hAnsi="Arial"/>
                <w:sz w:val="20"/>
              </w:rPr>
              <w:t>Lancement en ligne du centre d</w:t>
            </w:r>
            <w:r w:rsidR="00740572">
              <w:rPr>
                <w:rFonts w:ascii="Arial" w:hAnsi="Arial"/>
                <w:sz w:val="20"/>
              </w:rPr>
              <w:t>’</w:t>
            </w:r>
            <w:r>
              <w:rPr>
                <w:rFonts w:ascii="Arial" w:hAnsi="Arial"/>
                <w:sz w:val="20"/>
              </w:rPr>
              <w:t>échange d</w:t>
            </w:r>
            <w:r w:rsidR="00740572">
              <w:rPr>
                <w:rFonts w:ascii="Arial" w:hAnsi="Arial"/>
                <w:sz w:val="20"/>
              </w:rPr>
              <w:t>’</w:t>
            </w:r>
            <w:r>
              <w:rPr>
                <w:rFonts w:ascii="Arial" w:hAnsi="Arial"/>
                <w:sz w:val="20"/>
              </w:rPr>
              <w:t>information et organisation d</w:t>
            </w:r>
            <w:r w:rsidR="00740572">
              <w:rPr>
                <w:rFonts w:ascii="Arial" w:hAnsi="Arial"/>
                <w:sz w:val="20"/>
              </w:rPr>
              <w:t>’</w:t>
            </w:r>
            <w:r>
              <w:rPr>
                <w:rFonts w:ascii="Arial" w:hAnsi="Arial"/>
                <w:sz w:val="20"/>
              </w:rPr>
              <w:t>une opération de communication dans le contexte de la Conférence mondiale de l</w:t>
            </w:r>
            <w:r w:rsidR="00740572">
              <w:rPr>
                <w:rFonts w:ascii="Arial" w:hAnsi="Arial"/>
                <w:sz w:val="20"/>
              </w:rPr>
              <w:t>’</w:t>
            </w:r>
            <w:r>
              <w:rPr>
                <w:rFonts w:ascii="Arial" w:hAnsi="Arial"/>
                <w:sz w:val="20"/>
              </w:rPr>
              <w:t>UNESCO sur l</w:t>
            </w:r>
            <w:r w:rsidR="00740572">
              <w:rPr>
                <w:rFonts w:ascii="Arial" w:hAnsi="Arial"/>
                <w:sz w:val="20"/>
              </w:rPr>
              <w:t>’</w:t>
            </w:r>
            <w:r>
              <w:rPr>
                <w:rFonts w:ascii="Arial" w:hAnsi="Arial"/>
                <w:sz w:val="20"/>
              </w:rPr>
              <w:t>Éducation au développement durable en mai 2021.</w:t>
            </w:r>
          </w:p>
          <w:p w14:paraId="0DA0A9E8" w14:textId="59E4EEFE" w:rsidR="00724AAD" w:rsidRPr="00A854F4" w:rsidRDefault="00724AAD">
            <w:pPr>
              <w:numPr>
                <w:ilvl w:val="0"/>
                <w:numId w:val="10"/>
              </w:numPr>
              <w:spacing w:before="60" w:after="60"/>
              <w:ind w:left="357" w:hanging="357"/>
              <w:jc w:val="both"/>
              <w:rPr>
                <w:rFonts w:ascii="Arial" w:eastAsia="Calibri" w:hAnsi="Arial" w:cs="Arial"/>
                <w:sz w:val="20"/>
                <w:szCs w:val="20"/>
              </w:rPr>
            </w:pPr>
            <w:r>
              <w:rPr>
                <w:rFonts w:ascii="Arial" w:hAnsi="Arial"/>
                <w:sz w:val="20"/>
              </w:rPr>
              <w:t>Inclusion dans les exemples du centre d</w:t>
            </w:r>
            <w:r w:rsidR="00740572">
              <w:rPr>
                <w:rFonts w:ascii="Arial" w:hAnsi="Arial"/>
                <w:sz w:val="20"/>
              </w:rPr>
              <w:t>’</w:t>
            </w:r>
            <w:r>
              <w:rPr>
                <w:rFonts w:ascii="Arial" w:hAnsi="Arial"/>
                <w:sz w:val="20"/>
              </w:rPr>
              <w:t>échange d</w:t>
            </w:r>
            <w:r w:rsidR="00740572">
              <w:rPr>
                <w:rFonts w:ascii="Arial" w:hAnsi="Arial"/>
                <w:sz w:val="20"/>
              </w:rPr>
              <w:t>’</w:t>
            </w:r>
            <w:r>
              <w:rPr>
                <w:rFonts w:ascii="Arial" w:hAnsi="Arial"/>
                <w:sz w:val="20"/>
              </w:rPr>
              <w:t>information des expériences des peuples autochtones vis-à-vis de la sauvegarde de leur patrimoine vivant dans l</w:t>
            </w:r>
            <w:r w:rsidR="00740572">
              <w:rPr>
                <w:rFonts w:ascii="Arial" w:hAnsi="Arial"/>
                <w:sz w:val="20"/>
              </w:rPr>
              <w:t>’</w:t>
            </w:r>
            <w:r>
              <w:rPr>
                <w:rFonts w:ascii="Arial" w:hAnsi="Arial"/>
                <w:sz w:val="20"/>
              </w:rPr>
              <w:t>éducation formelle et non formelle.</w:t>
            </w:r>
          </w:p>
          <w:p w14:paraId="67A2DFE7" w14:textId="73369C5F" w:rsidR="00724AAD" w:rsidRPr="00A854F4" w:rsidRDefault="00724AAD">
            <w:pPr>
              <w:numPr>
                <w:ilvl w:val="0"/>
                <w:numId w:val="10"/>
              </w:numPr>
              <w:spacing w:before="60" w:after="60"/>
              <w:ind w:left="357" w:hanging="357"/>
              <w:jc w:val="both"/>
              <w:rPr>
                <w:rFonts w:ascii="Arial" w:eastAsia="Calibri" w:hAnsi="Arial" w:cs="Arial"/>
                <w:sz w:val="20"/>
                <w:szCs w:val="20"/>
              </w:rPr>
            </w:pPr>
            <w:r>
              <w:rPr>
                <w:rFonts w:ascii="Arial" w:hAnsi="Arial"/>
                <w:sz w:val="20"/>
              </w:rPr>
              <w:lastRenderedPageBreak/>
              <w:t>Mise au point et organisation d</w:t>
            </w:r>
            <w:r w:rsidR="00740572">
              <w:rPr>
                <w:rFonts w:ascii="Arial" w:hAnsi="Arial"/>
                <w:sz w:val="20"/>
              </w:rPr>
              <w:t>’</w:t>
            </w:r>
            <w:r>
              <w:rPr>
                <w:rFonts w:ascii="Arial" w:hAnsi="Arial"/>
                <w:sz w:val="20"/>
              </w:rPr>
              <w:t>un cours de formation en ligne sur le patrimoine vivant et l</w:t>
            </w:r>
            <w:r w:rsidR="00740572">
              <w:rPr>
                <w:rFonts w:ascii="Arial" w:hAnsi="Arial"/>
                <w:sz w:val="20"/>
              </w:rPr>
              <w:t>’</w:t>
            </w:r>
            <w:r>
              <w:rPr>
                <w:rFonts w:ascii="Arial" w:hAnsi="Arial"/>
                <w:sz w:val="20"/>
              </w:rPr>
              <w:t>éducation, en français ; élaboration en cours d</w:t>
            </w:r>
            <w:r w:rsidR="00740572">
              <w:rPr>
                <w:rFonts w:ascii="Arial" w:hAnsi="Arial"/>
                <w:sz w:val="20"/>
              </w:rPr>
              <w:t>’</w:t>
            </w:r>
            <w:r>
              <w:rPr>
                <w:rFonts w:ascii="Arial" w:hAnsi="Arial"/>
                <w:sz w:val="20"/>
              </w:rPr>
              <w:t>une formation du même type en espagnol.</w:t>
            </w:r>
          </w:p>
        </w:tc>
        <w:tc>
          <w:tcPr>
            <w:tcW w:w="2835" w:type="dxa"/>
          </w:tcPr>
          <w:p w14:paraId="0D5F2D1B" w14:textId="77777777" w:rsidR="000E1A62" w:rsidRDefault="000E1A62" w:rsidP="003E022D">
            <w:pPr>
              <w:spacing w:before="320" w:after="0"/>
              <w:jc w:val="center"/>
              <w:rPr>
                <w:rFonts w:ascii="Arial" w:hAnsi="Arial"/>
                <w:sz w:val="20"/>
              </w:rPr>
            </w:pPr>
          </w:p>
          <w:p w14:paraId="6E748AB7" w14:textId="657327DC" w:rsidR="00A4197B" w:rsidRPr="00A854F4" w:rsidRDefault="00724AAD" w:rsidP="00A07EE9">
            <w:pPr>
              <w:spacing w:before="320" w:after="0"/>
              <w:jc w:val="center"/>
              <w:rPr>
                <w:rFonts w:ascii="Arial" w:eastAsia="Calibri" w:hAnsi="Arial" w:cs="Arial"/>
                <w:sz w:val="20"/>
                <w:szCs w:val="20"/>
              </w:rPr>
            </w:pPr>
            <w:r>
              <w:rPr>
                <w:rFonts w:ascii="Arial" w:hAnsi="Arial"/>
                <w:sz w:val="20"/>
              </w:rPr>
              <w:t>Partiellement accomplie</w:t>
            </w:r>
          </w:p>
          <w:p w14:paraId="07FA7A9B" w14:textId="77777777" w:rsidR="00724AAD" w:rsidRPr="00A854F4" w:rsidRDefault="00724AAD" w:rsidP="003E022D">
            <w:pPr>
              <w:spacing w:after="0"/>
              <w:jc w:val="center"/>
              <w:rPr>
                <w:rFonts w:ascii="Arial" w:eastAsia="Calibri" w:hAnsi="Arial" w:cs="Arial"/>
                <w:sz w:val="20"/>
                <w:szCs w:val="20"/>
              </w:rPr>
            </w:pPr>
            <w:r>
              <w:rPr>
                <w:rFonts w:ascii="Arial" w:hAnsi="Arial"/>
                <w:sz w:val="20"/>
              </w:rPr>
              <w:t>(en cours)</w:t>
            </w:r>
          </w:p>
        </w:tc>
      </w:tr>
      <w:tr w:rsidR="00724AAD" w:rsidRPr="00A854F4" w14:paraId="495A26AB" w14:textId="77777777" w:rsidTr="00C35DA5">
        <w:trPr>
          <w:jc w:val="center"/>
        </w:trPr>
        <w:tc>
          <w:tcPr>
            <w:tcW w:w="6803" w:type="dxa"/>
            <w:shd w:val="clear" w:color="auto" w:fill="auto"/>
          </w:tcPr>
          <w:p w14:paraId="02C2CC74" w14:textId="49D297B0" w:rsidR="00724AAD" w:rsidRPr="00A854F4" w:rsidRDefault="00724AAD">
            <w:pPr>
              <w:spacing w:before="60" w:after="60"/>
              <w:jc w:val="both"/>
              <w:rPr>
                <w:rFonts w:ascii="Arial" w:eastAsia="Calibri" w:hAnsi="Arial" w:cs="Arial"/>
                <w:b/>
                <w:bCs/>
                <w:sz w:val="20"/>
                <w:szCs w:val="20"/>
              </w:rPr>
            </w:pPr>
            <w:r>
              <w:rPr>
                <w:rFonts w:ascii="Arial" w:hAnsi="Arial"/>
                <w:b/>
                <w:sz w:val="20"/>
              </w:rPr>
              <w:t>Renforcement des synergies entre la Convention de 2003 et le travail du système des Nations Unies dans le cadre du Programme de développement durable à l</w:t>
            </w:r>
            <w:r w:rsidR="00740572">
              <w:rPr>
                <w:rFonts w:ascii="Arial" w:hAnsi="Arial"/>
                <w:b/>
                <w:sz w:val="20"/>
              </w:rPr>
              <w:t>’</w:t>
            </w:r>
            <w:r>
              <w:rPr>
                <w:rFonts w:ascii="Arial" w:hAnsi="Arial"/>
                <w:b/>
                <w:sz w:val="20"/>
              </w:rPr>
              <w:t>horizon 2030</w:t>
            </w:r>
          </w:p>
          <w:p w14:paraId="062A3092" w14:textId="2904919C" w:rsidR="00724AAD" w:rsidRPr="00A854F4" w:rsidRDefault="000F460D">
            <w:pPr>
              <w:numPr>
                <w:ilvl w:val="0"/>
                <w:numId w:val="10"/>
              </w:numPr>
              <w:spacing w:before="60" w:after="60"/>
              <w:ind w:left="357" w:hanging="357"/>
              <w:jc w:val="both"/>
              <w:rPr>
                <w:rFonts w:ascii="Arial" w:eastAsia="Calibri" w:hAnsi="Arial" w:cs="Arial"/>
                <w:sz w:val="20"/>
                <w:szCs w:val="20"/>
              </w:rPr>
            </w:pPr>
            <w:r>
              <w:rPr>
                <w:rFonts w:ascii="Arial" w:hAnsi="Arial"/>
                <w:sz w:val="20"/>
              </w:rPr>
              <w:t>Préparation de la participation au plan d</w:t>
            </w:r>
            <w:r w:rsidR="00740572">
              <w:rPr>
                <w:rFonts w:ascii="Arial" w:hAnsi="Arial"/>
                <w:sz w:val="20"/>
              </w:rPr>
              <w:t>’</w:t>
            </w:r>
            <w:r>
              <w:rPr>
                <w:rFonts w:ascii="Arial" w:hAnsi="Arial"/>
                <w:sz w:val="20"/>
              </w:rPr>
              <w:t>action pour la Décennie internationale des langues autochtones.</w:t>
            </w:r>
          </w:p>
          <w:p w14:paraId="1B960DE3" w14:textId="185D9739" w:rsidR="00724AAD" w:rsidRPr="00A854F4" w:rsidRDefault="00724AAD">
            <w:pPr>
              <w:numPr>
                <w:ilvl w:val="0"/>
                <w:numId w:val="10"/>
              </w:numPr>
              <w:spacing w:before="60" w:after="60"/>
              <w:ind w:left="357" w:hanging="357"/>
              <w:jc w:val="both"/>
              <w:rPr>
                <w:rFonts w:ascii="Arial" w:eastAsia="Calibri" w:hAnsi="Arial" w:cs="Arial"/>
                <w:sz w:val="20"/>
                <w:szCs w:val="20"/>
              </w:rPr>
            </w:pPr>
            <w:r>
              <w:rPr>
                <w:rFonts w:ascii="Arial" w:hAnsi="Arial"/>
                <w:sz w:val="20"/>
              </w:rPr>
              <w:t>Renforcement du partenariat avec le Secrétariat de la Convention sur la diversité biologique grâce à la contribution de l</w:t>
            </w:r>
            <w:r w:rsidR="00740572">
              <w:rPr>
                <w:rFonts w:ascii="Arial" w:hAnsi="Arial"/>
                <w:sz w:val="20"/>
              </w:rPr>
              <w:t>’</w:t>
            </w:r>
            <w:r>
              <w:rPr>
                <w:rFonts w:ascii="Arial" w:hAnsi="Arial"/>
                <w:sz w:val="20"/>
              </w:rPr>
              <w:t>UNESCO au Cadre mondial de la biodiversité pour l</w:t>
            </w:r>
            <w:r w:rsidR="00740572">
              <w:rPr>
                <w:rFonts w:ascii="Arial" w:hAnsi="Arial"/>
                <w:sz w:val="20"/>
              </w:rPr>
              <w:t>’</w:t>
            </w:r>
            <w:r>
              <w:rPr>
                <w:rFonts w:ascii="Arial" w:hAnsi="Arial"/>
                <w:sz w:val="20"/>
              </w:rPr>
              <w:t>après-2020.</w:t>
            </w:r>
          </w:p>
        </w:tc>
        <w:tc>
          <w:tcPr>
            <w:tcW w:w="2835" w:type="dxa"/>
            <w:shd w:val="clear" w:color="auto" w:fill="auto"/>
          </w:tcPr>
          <w:p w14:paraId="669F7473" w14:textId="77777777" w:rsidR="00A4197B" w:rsidRPr="00A854F4" w:rsidRDefault="00724AAD" w:rsidP="003E022D">
            <w:pPr>
              <w:spacing w:before="320" w:after="0"/>
              <w:jc w:val="center"/>
              <w:rPr>
                <w:rFonts w:ascii="Arial" w:eastAsia="Calibri" w:hAnsi="Arial" w:cs="Arial"/>
                <w:sz w:val="20"/>
                <w:szCs w:val="20"/>
              </w:rPr>
            </w:pPr>
            <w:r>
              <w:rPr>
                <w:rFonts w:ascii="Arial" w:hAnsi="Arial"/>
                <w:sz w:val="20"/>
              </w:rPr>
              <w:t xml:space="preserve">Partiellement accomplie </w:t>
            </w:r>
          </w:p>
          <w:p w14:paraId="0E435D2C" w14:textId="77777777" w:rsidR="00724AAD" w:rsidRPr="00A854F4" w:rsidRDefault="00724AAD" w:rsidP="003E022D">
            <w:pPr>
              <w:spacing w:after="0"/>
              <w:jc w:val="center"/>
              <w:rPr>
                <w:rFonts w:ascii="Arial" w:eastAsia="Calibri" w:hAnsi="Arial" w:cs="Arial"/>
                <w:sz w:val="20"/>
                <w:szCs w:val="20"/>
              </w:rPr>
            </w:pPr>
            <w:r>
              <w:rPr>
                <w:rFonts w:ascii="Arial" w:hAnsi="Arial"/>
                <w:sz w:val="20"/>
              </w:rPr>
              <w:t>(en cours)</w:t>
            </w:r>
          </w:p>
        </w:tc>
      </w:tr>
    </w:tbl>
    <w:p w14:paraId="228A451D" w14:textId="77777777" w:rsidR="00724AAD" w:rsidRPr="00A854F4" w:rsidRDefault="00724AAD" w:rsidP="00724AAD">
      <w:pPr>
        <w:pStyle w:val="ListParagraph"/>
        <w:keepNext/>
        <w:numPr>
          <w:ilvl w:val="0"/>
          <w:numId w:val="15"/>
        </w:numPr>
        <w:spacing w:before="240"/>
        <w:ind w:left="284" w:hanging="284"/>
        <w:rPr>
          <w:rFonts w:ascii="Arial" w:hAnsi="Arial" w:cs="Arial"/>
          <w:b/>
          <w:sz w:val="22"/>
          <w:szCs w:val="22"/>
        </w:rPr>
      </w:pPr>
      <w:r>
        <w:rPr>
          <w:rFonts w:ascii="Arial" w:hAnsi="Arial"/>
          <w:b/>
          <w:sz w:val="22"/>
        </w:rPr>
        <w:t>Défis et risques rencontrés dans la mise en œuvre et mesures correctives (2020-2021)</w:t>
      </w:r>
    </w:p>
    <w:p w14:paraId="2D8A3EF4" w14:textId="77777777" w:rsidR="00724AAD" w:rsidRPr="00ED3B35" w:rsidRDefault="00724AAD" w:rsidP="00724AAD">
      <w:pPr>
        <w:pStyle w:val="ListParagraph"/>
        <w:keepNext/>
        <w:spacing w:before="240"/>
        <w:ind w:left="284"/>
        <w:rPr>
          <w:rFonts w:ascii="Arial" w:hAnsi="Arial" w:cs="Arial"/>
          <w:b/>
          <w:sz w:val="22"/>
          <w:szCs w:val="22"/>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724AAD" w:rsidRPr="00A854F4" w14:paraId="040D1084" w14:textId="77777777" w:rsidTr="00C35DA5">
        <w:trPr>
          <w:tblHeader/>
          <w:jc w:val="center"/>
        </w:trPr>
        <w:tc>
          <w:tcPr>
            <w:tcW w:w="2500" w:type="pct"/>
            <w:shd w:val="clear" w:color="auto" w:fill="D9D9D9"/>
            <w:vAlign w:val="center"/>
          </w:tcPr>
          <w:p w14:paraId="2B9DF32E" w14:textId="77777777" w:rsidR="00724AAD" w:rsidRPr="00A854F4" w:rsidRDefault="00724AAD" w:rsidP="00C35DA5">
            <w:pPr>
              <w:keepNext/>
              <w:spacing w:before="60" w:after="60"/>
              <w:jc w:val="center"/>
              <w:rPr>
                <w:rFonts w:ascii="Arial" w:hAnsi="Arial" w:cs="Arial"/>
                <w:b/>
                <w:sz w:val="20"/>
                <w:szCs w:val="20"/>
              </w:rPr>
            </w:pPr>
            <w:r>
              <w:rPr>
                <w:rFonts w:ascii="Arial" w:hAnsi="Arial"/>
                <w:b/>
                <w:sz w:val="20"/>
              </w:rPr>
              <w:t>Principaux défis</w:t>
            </w:r>
          </w:p>
        </w:tc>
        <w:tc>
          <w:tcPr>
            <w:tcW w:w="2500" w:type="pct"/>
            <w:shd w:val="clear" w:color="auto" w:fill="D9D9D9"/>
            <w:vAlign w:val="center"/>
          </w:tcPr>
          <w:p w14:paraId="6586EBB3" w14:textId="77777777" w:rsidR="00724AAD" w:rsidRPr="00A854F4" w:rsidRDefault="00724AAD" w:rsidP="00C35DA5">
            <w:pPr>
              <w:keepNext/>
              <w:spacing w:before="60" w:after="60"/>
              <w:jc w:val="center"/>
              <w:rPr>
                <w:rFonts w:ascii="Arial" w:hAnsi="Arial" w:cs="Arial"/>
                <w:b/>
                <w:sz w:val="20"/>
                <w:szCs w:val="20"/>
              </w:rPr>
            </w:pPr>
            <w:r>
              <w:rPr>
                <w:rFonts w:ascii="Arial" w:hAnsi="Arial"/>
                <w:b/>
                <w:sz w:val="20"/>
              </w:rPr>
              <w:t>Mesures correctives</w:t>
            </w:r>
          </w:p>
        </w:tc>
      </w:tr>
      <w:tr w:rsidR="00724AAD" w:rsidRPr="00A854F4" w14:paraId="18295383" w14:textId="77777777" w:rsidTr="00C35DA5">
        <w:trPr>
          <w:jc w:val="center"/>
        </w:trPr>
        <w:tc>
          <w:tcPr>
            <w:tcW w:w="2500" w:type="pct"/>
            <w:shd w:val="clear" w:color="auto" w:fill="auto"/>
          </w:tcPr>
          <w:p w14:paraId="043F4D4E" w14:textId="07704499" w:rsidR="00724AAD" w:rsidRPr="00A854F4" w:rsidRDefault="000F460D">
            <w:pPr>
              <w:spacing w:before="60" w:after="60"/>
              <w:jc w:val="both"/>
              <w:rPr>
                <w:rFonts w:ascii="Arial" w:hAnsi="Arial" w:cs="Arial"/>
                <w:sz w:val="20"/>
                <w:szCs w:val="20"/>
              </w:rPr>
            </w:pPr>
            <w:r>
              <w:rPr>
                <w:rFonts w:ascii="Arial" w:hAnsi="Arial"/>
                <w:sz w:val="20"/>
              </w:rPr>
              <w:t>L</w:t>
            </w:r>
            <w:r w:rsidR="00740572">
              <w:rPr>
                <w:rFonts w:ascii="Arial" w:hAnsi="Arial"/>
                <w:sz w:val="20"/>
              </w:rPr>
              <w:t>’</w:t>
            </w:r>
            <w:r>
              <w:rPr>
                <w:rFonts w:ascii="Arial" w:hAnsi="Arial"/>
                <w:sz w:val="20"/>
              </w:rPr>
              <w:t>identification de personnes-ressources combinant des compétences à la fois dans le patrimoine vivant et dans l</w:t>
            </w:r>
            <w:r w:rsidR="00740572">
              <w:rPr>
                <w:rFonts w:ascii="Arial" w:hAnsi="Arial"/>
                <w:sz w:val="20"/>
              </w:rPr>
              <w:t>’</w:t>
            </w:r>
            <w:r>
              <w:rPr>
                <w:rFonts w:ascii="Arial" w:hAnsi="Arial"/>
                <w:sz w:val="20"/>
              </w:rPr>
              <w:t>éducation s</w:t>
            </w:r>
            <w:r w:rsidR="00740572">
              <w:rPr>
                <w:rFonts w:ascii="Arial" w:hAnsi="Arial"/>
                <w:sz w:val="20"/>
              </w:rPr>
              <w:t>’</w:t>
            </w:r>
            <w:r>
              <w:rPr>
                <w:rFonts w:ascii="Arial" w:hAnsi="Arial"/>
                <w:sz w:val="20"/>
              </w:rPr>
              <w:t>est avérée complexe dans la mesure où il s</w:t>
            </w:r>
            <w:r w:rsidR="00740572">
              <w:rPr>
                <w:rFonts w:ascii="Arial" w:hAnsi="Arial"/>
                <w:sz w:val="20"/>
              </w:rPr>
              <w:t>’</w:t>
            </w:r>
            <w:r>
              <w:rPr>
                <w:rFonts w:ascii="Arial" w:hAnsi="Arial"/>
                <w:sz w:val="20"/>
              </w:rPr>
              <w:t>agit d</w:t>
            </w:r>
            <w:r w:rsidR="00740572">
              <w:rPr>
                <w:rFonts w:ascii="Arial" w:hAnsi="Arial"/>
                <w:sz w:val="20"/>
              </w:rPr>
              <w:t>’</w:t>
            </w:r>
            <w:r>
              <w:rPr>
                <w:rFonts w:ascii="Arial" w:hAnsi="Arial"/>
                <w:sz w:val="20"/>
              </w:rPr>
              <w:t>un domaine de travail innovant et relativement nouveau.</w:t>
            </w:r>
          </w:p>
        </w:tc>
        <w:tc>
          <w:tcPr>
            <w:tcW w:w="2500" w:type="pct"/>
            <w:shd w:val="clear" w:color="auto" w:fill="auto"/>
          </w:tcPr>
          <w:p w14:paraId="0B856967" w14:textId="2F12159A" w:rsidR="00724AAD" w:rsidRPr="00A854F4" w:rsidRDefault="00724AAD">
            <w:pPr>
              <w:spacing w:before="60" w:after="60"/>
              <w:jc w:val="both"/>
              <w:rPr>
                <w:rFonts w:ascii="Arial" w:eastAsia="Calibri" w:hAnsi="Arial" w:cs="Arial"/>
                <w:sz w:val="20"/>
                <w:szCs w:val="20"/>
              </w:rPr>
            </w:pPr>
            <w:r>
              <w:rPr>
                <w:rFonts w:ascii="Arial" w:hAnsi="Arial"/>
                <w:sz w:val="20"/>
              </w:rPr>
              <w:t>Le Secrétariat a concentré ses efforts, en étroite collaboration avec le secteur de l</w:t>
            </w:r>
            <w:r w:rsidR="00740572">
              <w:rPr>
                <w:rFonts w:ascii="Arial" w:hAnsi="Arial"/>
                <w:sz w:val="20"/>
              </w:rPr>
              <w:t>’</w:t>
            </w:r>
            <w:r>
              <w:rPr>
                <w:rFonts w:ascii="Arial" w:hAnsi="Arial"/>
                <w:sz w:val="20"/>
              </w:rPr>
              <w:t>Éducation de l</w:t>
            </w:r>
            <w:r w:rsidR="00740572">
              <w:rPr>
                <w:rFonts w:ascii="Arial" w:hAnsi="Arial"/>
                <w:sz w:val="20"/>
              </w:rPr>
              <w:t>’</w:t>
            </w:r>
            <w:r>
              <w:rPr>
                <w:rFonts w:ascii="Arial" w:hAnsi="Arial"/>
                <w:sz w:val="20"/>
              </w:rPr>
              <w:t>UNESCO, sur l</w:t>
            </w:r>
            <w:r w:rsidR="00740572">
              <w:rPr>
                <w:rFonts w:ascii="Arial" w:hAnsi="Arial"/>
                <w:sz w:val="20"/>
              </w:rPr>
              <w:t>’</w:t>
            </w:r>
            <w:r>
              <w:rPr>
                <w:rFonts w:ascii="Arial" w:hAnsi="Arial"/>
                <w:sz w:val="20"/>
              </w:rPr>
              <w:t>identification et la formation des personnes-ressources présentant le profil approprié pour travailler sur le patrimoine culturel immatériel et l</w:t>
            </w:r>
            <w:r w:rsidR="00740572">
              <w:rPr>
                <w:rFonts w:ascii="Arial" w:hAnsi="Arial"/>
                <w:sz w:val="20"/>
              </w:rPr>
              <w:t>’</w:t>
            </w:r>
            <w:r>
              <w:rPr>
                <w:rFonts w:ascii="Arial" w:hAnsi="Arial"/>
                <w:sz w:val="20"/>
              </w:rPr>
              <w:t>éducation. Un premier groupe de vingt-sept personnes-ressources ont été identifiées et formées en juin 2021 grâce à un cours de formation en ligne spécifiquement conçu à cet effet. Un deuxième cours a eu lieu en octobre 2021.</w:t>
            </w:r>
          </w:p>
        </w:tc>
      </w:tr>
    </w:tbl>
    <w:p w14:paraId="29CF2DBB" w14:textId="7BA8E5B9" w:rsidR="00724AAD" w:rsidRPr="00A854F4" w:rsidRDefault="00512DD8" w:rsidP="00512DD8">
      <w:pPr>
        <w:keepNext/>
        <w:spacing w:before="240"/>
        <w:jc w:val="both"/>
        <w:rPr>
          <w:rFonts w:ascii="Arial" w:hAnsi="Arial" w:cs="Arial"/>
          <w:b/>
          <w:szCs w:val="22"/>
        </w:rPr>
      </w:pPr>
      <w:r>
        <w:rPr>
          <w:rFonts w:ascii="Arial" w:hAnsi="Arial"/>
          <w:b/>
        </w:rPr>
        <w:t xml:space="preserve">Résultat escompté </w:t>
      </w:r>
      <w:r w:rsidR="00724AAD">
        <w:rPr>
          <w:rFonts w:ascii="Arial" w:hAnsi="Arial"/>
          <w:b/>
        </w:rPr>
        <w:t>4 :</w:t>
      </w:r>
      <w:r w:rsidR="000E1A62">
        <w:rPr>
          <w:rFonts w:ascii="Arial" w:hAnsi="Arial"/>
          <w:b/>
        </w:rPr>
        <w:t xml:space="preserve"> </w:t>
      </w:r>
      <w:r w:rsidR="00724AAD">
        <w:rPr>
          <w:rFonts w:ascii="Arial" w:hAnsi="Arial"/>
          <w:b/>
        </w:rPr>
        <w:t>Promotion des objectifs de la Convention par des actions de sensibilisation et d</w:t>
      </w:r>
      <w:r w:rsidR="00740572">
        <w:rPr>
          <w:rFonts w:ascii="Arial" w:hAnsi="Arial"/>
          <w:b/>
        </w:rPr>
        <w:t>’</w:t>
      </w:r>
      <w:r w:rsidR="00724AAD">
        <w:rPr>
          <w:rFonts w:ascii="Arial" w:hAnsi="Arial"/>
          <w:b/>
        </w:rPr>
        <w:t>information</w:t>
      </w:r>
    </w:p>
    <w:p w14:paraId="0C1A1A81" w14:textId="77777777" w:rsidR="00724AAD" w:rsidRPr="00A854F4" w:rsidRDefault="00724AAD" w:rsidP="00724AAD">
      <w:pPr>
        <w:pStyle w:val="ListParagraph"/>
        <w:keepNext/>
        <w:numPr>
          <w:ilvl w:val="0"/>
          <w:numId w:val="12"/>
        </w:numPr>
        <w:spacing w:before="240"/>
        <w:ind w:left="284" w:hanging="284"/>
        <w:jc w:val="both"/>
        <w:rPr>
          <w:rFonts w:ascii="Arial" w:hAnsi="Arial" w:cs="Arial"/>
          <w:b/>
          <w:bCs/>
          <w:sz w:val="22"/>
          <w:szCs w:val="22"/>
        </w:rPr>
      </w:pPr>
      <w:r>
        <w:rPr>
          <w:rFonts w:ascii="Arial" w:hAnsi="Arial"/>
          <w:b/>
          <w:sz w:val="22"/>
        </w:rPr>
        <w:t xml:space="preserve">Rapport de mise en œuvre pour la période du 1er janvier 2018 au 31 décembre 2019. </w:t>
      </w:r>
    </w:p>
    <w:p w14:paraId="607789D9" w14:textId="77777777" w:rsidR="00724AAD" w:rsidRPr="00ED3B35" w:rsidRDefault="00724AAD" w:rsidP="00724AAD">
      <w:pPr>
        <w:pStyle w:val="ListParagraph"/>
        <w:keepNext/>
        <w:spacing w:before="240"/>
        <w:ind w:left="284"/>
        <w:jc w:val="both"/>
        <w:rPr>
          <w:rFonts w:ascii="Arial" w:hAnsi="Arial" w:cs="Arial"/>
          <w:b/>
          <w:bCs/>
          <w:sz w:val="22"/>
          <w:szCs w:val="22"/>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724AAD" w:rsidRPr="00A854F4" w14:paraId="6E86562E" w14:textId="77777777" w:rsidTr="00C35DA5">
        <w:trPr>
          <w:jc w:val="center"/>
        </w:trPr>
        <w:tc>
          <w:tcPr>
            <w:tcW w:w="1999" w:type="pct"/>
            <w:shd w:val="clear" w:color="auto" w:fill="C6D9F1"/>
            <w:vAlign w:val="center"/>
          </w:tcPr>
          <w:p w14:paraId="64F03281" w14:textId="77777777" w:rsidR="00724AAD" w:rsidRPr="00A854F4" w:rsidRDefault="00724AAD" w:rsidP="00C35DA5">
            <w:pPr>
              <w:keepNext/>
              <w:spacing w:before="120"/>
              <w:jc w:val="center"/>
              <w:rPr>
                <w:rFonts w:ascii="Arial" w:eastAsia="Calibri" w:hAnsi="Arial" w:cs="Arial"/>
                <w:b/>
                <w:sz w:val="20"/>
                <w:szCs w:val="20"/>
              </w:rPr>
            </w:pPr>
            <w:r>
              <w:rPr>
                <w:rFonts w:ascii="Arial" w:hAnsi="Arial"/>
                <w:b/>
                <w:sz w:val="20"/>
              </w:rPr>
              <w:t>Allocation</w:t>
            </w:r>
          </w:p>
        </w:tc>
        <w:tc>
          <w:tcPr>
            <w:tcW w:w="2118" w:type="pct"/>
            <w:shd w:val="clear" w:color="auto" w:fill="C6D9F1"/>
            <w:vAlign w:val="center"/>
          </w:tcPr>
          <w:p w14:paraId="6DCE758C" w14:textId="77777777" w:rsidR="00724AAD" w:rsidRPr="00A854F4" w:rsidRDefault="00724AAD" w:rsidP="00C35DA5">
            <w:pPr>
              <w:spacing w:before="120"/>
              <w:jc w:val="center"/>
              <w:rPr>
                <w:rFonts w:ascii="Arial" w:eastAsia="Calibri" w:hAnsi="Arial" w:cs="Arial"/>
                <w:b/>
                <w:sz w:val="20"/>
                <w:szCs w:val="20"/>
              </w:rPr>
            </w:pPr>
            <w:r>
              <w:rPr>
                <w:rFonts w:ascii="Arial" w:hAnsi="Arial"/>
                <w:b/>
                <w:sz w:val="20"/>
              </w:rPr>
              <w:t>Dépenses</w:t>
            </w:r>
          </w:p>
        </w:tc>
        <w:tc>
          <w:tcPr>
            <w:tcW w:w="883" w:type="pct"/>
            <w:shd w:val="clear" w:color="auto" w:fill="C6D9F1"/>
            <w:vAlign w:val="center"/>
          </w:tcPr>
          <w:p w14:paraId="24807146" w14:textId="77777777" w:rsidR="00724AAD" w:rsidRPr="00A854F4" w:rsidRDefault="00724AAD" w:rsidP="00C35DA5">
            <w:pPr>
              <w:spacing w:before="120"/>
              <w:jc w:val="center"/>
              <w:rPr>
                <w:rFonts w:ascii="Arial" w:eastAsia="Calibri" w:hAnsi="Arial" w:cs="Arial"/>
                <w:b/>
                <w:sz w:val="20"/>
                <w:szCs w:val="20"/>
              </w:rPr>
            </w:pPr>
            <w:r>
              <w:rPr>
                <w:rFonts w:ascii="Arial" w:hAnsi="Arial"/>
                <w:b/>
                <w:sz w:val="20"/>
              </w:rPr>
              <w:t>Taux de dépense (%)</w:t>
            </w:r>
            <w:r>
              <w:rPr>
                <w:rFonts w:ascii="Arial" w:hAnsi="Arial"/>
                <w:b/>
                <w:sz w:val="20"/>
              </w:rPr>
              <w:br/>
              <w:t>au 31/12/2019</w:t>
            </w:r>
          </w:p>
        </w:tc>
      </w:tr>
      <w:tr w:rsidR="00724AAD" w:rsidRPr="00A854F4" w14:paraId="0FF29872" w14:textId="77777777" w:rsidTr="00C35DA5">
        <w:trPr>
          <w:jc w:val="center"/>
        </w:trPr>
        <w:tc>
          <w:tcPr>
            <w:tcW w:w="1999" w:type="pct"/>
            <w:shd w:val="clear" w:color="auto" w:fill="auto"/>
          </w:tcPr>
          <w:p w14:paraId="32A5150D" w14:textId="3E313A1A" w:rsidR="00724AAD" w:rsidRPr="00A854F4" w:rsidRDefault="00724AAD" w:rsidP="00C35DA5">
            <w:pPr>
              <w:spacing w:before="120"/>
              <w:jc w:val="center"/>
              <w:rPr>
                <w:rFonts w:ascii="Arial" w:eastAsia="Calibri" w:hAnsi="Arial" w:cs="Arial"/>
                <w:sz w:val="20"/>
                <w:szCs w:val="20"/>
              </w:rPr>
            </w:pPr>
            <w:r>
              <w:rPr>
                <w:rFonts w:ascii="Arial" w:hAnsi="Arial"/>
                <w:sz w:val="20"/>
              </w:rPr>
              <w:t>473</w:t>
            </w:r>
            <w:r w:rsidR="00CE6E12">
              <w:rPr>
                <w:rFonts w:ascii="Arial" w:hAnsi="Arial"/>
                <w:sz w:val="20"/>
              </w:rPr>
              <w:t xml:space="preserve"> </w:t>
            </w:r>
            <w:r>
              <w:rPr>
                <w:rFonts w:ascii="Arial" w:hAnsi="Arial"/>
                <w:sz w:val="20"/>
              </w:rPr>
              <w:t>922,00</w:t>
            </w:r>
          </w:p>
        </w:tc>
        <w:tc>
          <w:tcPr>
            <w:tcW w:w="2118" w:type="pct"/>
            <w:shd w:val="clear" w:color="auto" w:fill="auto"/>
          </w:tcPr>
          <w:p w14:paraId="022574C2" w14:textId="018EBDCF" w:rsidR="00724AAD" w:rsidRPr="00A854F4" w:rsidRDefault="00724AAD" w:rsidP="00C35DA5">
            <w:pPr>
              <w:spacing w:before="120"/>
              <w:jc w:val="center"/>
              <w:rPr>
                <w:rFonts w:ascii="Arial" w:eastAsia="Calibri" w:hAnsi="Arial" w:cs="Arial"/>
                <w:sz w:val="20"/>
                <w:szCs w:val="20"/>
              </w:rPr>
            </w:pPr>
            <w:r>
              <w:rPr>
                <w:rFonts w:ascii="Arial" w:hAnsi="Arial"/>
                <w:sz w:val="20"/>
              </w:rPr>
              <w:t>453</w:t>
            </w:r>
            <w:r w:rsidR="00CE6E12">
              <w:rPr>
                <w:rFonts w:ascii="Arial" w:hAnsi="Arial"/>
                <w:sz w:val="20"/>
              </w:rPr>
              <w:t xml:space="preserve"> </w:t>
            </w:r>
            <w:r>
              <w:rPr>
                <w:rFonts w:ascii="Arial" w:hAnsi="Arial"/>
                <w:sz w:val="20"/>
              </w:rPr>
              <w:t>271,11</w:t>
            </w:r>
          </w:p>
        </w:tc>
        <w:tc>
          <w:tcPr>
            <w:tcW w:w="883" w:type="pct"/>
            <w:shd w:val="clear" w:color="auto" w:fill="auto"/>
          </w:tcPr>
          <w:p w14:paraId="71FCF291" w14:textId="77777777" w:rsidR="00724AAD" w:rsidRPr="00A854F4" w:rsidRDefault="00724AAD" w:rsidP="00C35DA5">
            <w:pPr>
              <w:spacing w:before="120"/>
              <w:jc w:val="center"/>
              <w:rPr>
                <w:rFonts w:ascii="Arial" w:eastAsia="Calibri" w:hAnsi="Arial" w:cs="Arial"/>
                <w:sz w:val="20"/>
                <w:szCs w:val="20"/>
              </w:rPr>
            </w:pPr>
            <w:r>
              <w:rPr>
                <w:rFonts w:ascii="Arial" w:hAnsi="Arial"/>
                <w:sz w:val="20"/>
              </w:rPr>
              <w:t>95,6 %</w:t>
            </w:r>
          </w:p>
        </w:tc>
      </w:tr>
    </w:tbl>
    <w:p w14:paraId="68CF09E1" w14:textId="77777777" w:rsidR="00724AAD" w:rsidRPr="00A854F4" w:rsidRDefault="00724AAD" w:rsidP="00724AAD">
      <w:pPr>
        <w:spacing w:after="0"/>
        <w:rPr>
          <w:rFonts w:ascii="Arial" w:hAnsi="Arial" w:cs="Arial"/>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gridCol w:w="2835"/>
      </w:tblGrid>
      <w:tr w:rsidR="00724AAD" w:rsidRPr="00A854F4" w14:paraId="129BF863" w14:textId="77777777" w:rsidTr="00C35DA5">
        <w:trPr>
          <w:tblHeader/>
          <w:jc w:val="center"/>
        </w:trPr>
        <w:tc>
          <w:tcPr>
            <w:tcW w:w="6803" w:type="dxa"/>
            <w:shd w:val="clear" w:color="auto" w:fill="D9D9D9"/>
            <w:vAlign w:val="center"/>
          </w:tcPr>
          <w:p w14:paraId="69BAECFB" w14:textId="77777777" w:rsidR="00724AAD" w:rsidRPr="00A854F4" w:rsidRDefault="00724AAD" w:rsidP="00C35DA5">
            <w:pPr>
              <w:spacing w:before="60" w:after="60"/>
              <w:jc w:val="center"/>
              <w:rPr>
                <w:rFonts w:ascii="Arial" w:eastAsia="Calibri" w:hAnsi="Arial" w:cs="Arial"/>
                <w:b/>
                <w:sz w:val="20"/>
                <w:szCs w:val="20"/>
              </w:rPr>
            </w:pPr>
            <w:r>
              <w:rPr>
                <w:rFonts w:ascii="Arial" w:hAnsi="Arial"/>
                <w:b/>
                <w:sz w:val="20"/>
              </w:rPr>
              <w:t>Évaluation des résultats :</w:t>
            </w:r>
            <w:r>
              <w:rPr>
                <w:rFonts w:ascii="Arial" w:hAnsi="Arial"/>
                <w:b/>
                <w:sz w:val="20"/>
              </w:rPr>
              <w:br/>
              <w:t>du 01/01/2018 au 31/12/2019</w:t>
            </w:r>
          </w:p>
        </w:tc>
        <w:tc>
          <w:tcPr>
            <w:tcW w:w="2835" w:type="dxa"/>
            <w:shd w:val="clear" w:color="auto" w:fill="D9D9D9"/>
            <w:vAlign w:val="center"/>
          </w:tcPr>
          <w:p w14:paraId="432236C5" w14:textId="77777777" w:rsidR="00724AAD" w:rsidRPr="00A854F4" w:rsidRDefault="00724AAD" w:rsidP="00C35DA5">
            <w:pPr>
              <w:spacing w:before="60" w:after="60"/>
              <w:ind w:left="-107"/>
              <w:jc w:val="center"/>
              <w:rPr>
                <w:rFonts w:ascii="Arial" w:eastAsia="Calibri" w:hAnsi="Arial" w:cs="Arial"/>
                <w:b/>
                <w:sz w:val="20"/>
                <w:szCs w:val="20"/>
              </w:rPr>
            </w:pPr>
            <w:r>
              <w:rPr>
                <w:rFonts w:ascii="Arial" w:hAnsi="Arial"/>
                <w:b/>
                <w:sz w:val="20"/>
              </w:rPr>
              <w:t>Évaluation de la mise en œuvre</w:t>
            </w:r>
          </w:p>
        </w:tc>
      </w:tr>
      <w:tr w:rsidR="00724AAD" w:rsidRPr="00A854F4" w14:paraId="0B8CFD22" w14:textId="77777777" w:rsidTr="00C35DA5">
        <w:trPr>
          <w:jc w:val="center"/>
        </w:trPr>
        <w:tc>
          <w:tcPr>
            <w:tcW w:w="6803" w:type="dxa"/>
            <w:shd w:val="clear" w:color="auto" w:fill="auto"/>
          </w:tcPr>
          <w:p w14:paraId="0494B91F" w14:textId="1981D941" w:rsidR="00266DB5" w:rsidRPr="00A854F4" w:rsidRDefault="00266DB5" w:rsidP="00322AB8">
            <w:pPr>
              <w:spacing w:before="60" w:after="60"/>
              <w:jc w:val="both"/>
              <w:rPr>
                <w:rFonts w:ascii="Arial" w:eastAsia="Calibri" w:hAnsi="Arial" w:cs="Arial"/>
                <w:b/>
                <w:bCs/>
                <w:sz w:val="20"/>
                <w:szCs w:val="20"/>
              </w:rPr>
            </w:pPr>
            <w:r>
              <w:rPr>
                <w:rFonts w:ascii="Arial" w:hAnsi="Arial"/>
                <w:b/>
                <w:sz w:val="20"/>
              </w:rPr>
              <w:t>Outils de communication et d</w:t>
            </w:r>
            <w:r w:rsidR="00740572">
              <w:rPr>
                <w:rFonts w:ascii="Arial" w:hAnsi="Arial"/>
                <w:b/>
                <w:sz w:val="20"/>
              </w:rPr>
              <w:t>’</w:t>
            </w:r>
            <w:r>
              <w:rPr>
                <w:rFonts w:ascii="Arial" w:hAnsi="Arial"/>
                <w:b/>
                <w:sz w:val="20"/>
              </w:rPr>
              <w:t>information développés et mis en œuvre pour promouvoir les objectifs de la Convention</w:t>
            </w:r>
          </w:p>
          <w:p w14:paraId="588E94DB" w14:textId="13452519" w:rsidR="00724AAD" w:rsidRPr="00A854F4" w:rsidRDefault="00724AAD">
            <w:pPr>
              <w:numPr>
                <w:ilvl w:val="0"/>
                <w:numId w:val="10"/>
              </w:numPr>
              <w:spacing w:before="60" w:after="60"/>
              <w:ind w:left="313" w:hanging="313"/>
              <w:jc w:val="both"/>
              <w:rPr>
                <w:rFonts w:ascii="Arial" w:eastAsia="Calibri" w:hAnsi="Arial" w:cs="Arial"/>
                <w:sz w:val="20"/>
                <w:szCs w:val="20"/>
              </w:rPr>
            </w:pPr>
            <w:r>
              <w:rPr>
                <w:rFonts w:ascii="Arial" w:hAnsi="Arial"/>
                <w:sz w:val="20"/>
              </w:rPr>
              <w:t>Production de supports de communication (à savoir, quatre clips vidéo destinés aux jeunes, un dossier de presse) pour sensibiliser le public et les médias et promouvoir l</w:t>
            </w:r>
            <w:r w:rsidR="00740572">
              <w:rPr>
                <w:rFonts w:ascii="Arial" w:hAnsi="Arial"/>
                <w:sz w:val="20"/>
              </w:rPr>
              <w:t>’</w:t>
            </w:r>
            <w:r>
              <w:rPr>
                <w:rFonts w:ascii="Arial" w:hAnsi="Arial"/>
                <w:sz w:val="20"/>
              </w:rPr>
              <w:t>importance de la sauvegarde du patrimoine culturel immatériel. Ils ont été largement diffusés pendant les réunions statutaires de la Convention à la septième session de l</w:t>
            </w:r>
            <w:r w:rsidR="00740572">
              <w:rPr>
                <w:rFonts w:ascii="Arial" w:hAnsi="Arial"/>
                <w:sz w:val="20"/>
              </w:rPr>
              <w:t>’</w:t>
            </w:r>
            <w:r>
              <w:rPr>
                <w:rFonts w:ascii="Arial" w:hAnsi="Arial"/>
                <w:sz w:val="20"/>
              </w:rPr>
              <w:t>Assemblée générale, lors des treizième et quatorzième sessions du Comité et dans les réseaux sociaux.</w:t>
            </w:r>
          </w:p>
          <w:p w14:paraId="70F1710B" w14:textId="5F929FF0" w:rsidR="00724AAD" w:rsidRPr="00A854F4" w:rsidRDefault="00724AAD">
            <w:pPr>
              <w:numPr>
                <w:ilvl w:val="0"/>
                <w:numId w:val="10"/>
              </w:numPr>
              <w:spacing w:before="60" w:after="60"/>
              <w:ind w:left="313" w:hanging="313"/>
              <w:jc w:val="both"/>
              <w:rPr>
                <w:rFonts w:ascii="Arial" w:eastAsia="Calibri" w:hAnsi="Arial" w:cs="Arial"/>
                <w:sz w:val="20"/>
                <w:szCs w:val="20"/>
              </w:rPr>
            </w:pPr>
            <w:r>
              <w:rPr>
                <w:rFonts w:ascii="Arial" w:hAnsi="Arial"/>
                <w:sz w:val="20"/>
              </w:rPr>
              <w:t>Organisation, pendant la septième session de l</w:t>
            </w:r>
            <w:r w:rsidR="00740572">
              <w:rPr>
                <w:rFonts w:ascii="Arial" w:hAnsi="Arial"/>
                <w:sz w:val="20"/>
              </w:rPr>
              <w:t>’</w:t>
            </w:r>
            <w:r>
              <w:rPr>
                <w:rFonts w:ascii="Arial" w:hAnsi="Arial"/>
                <w:sz w:val="20"/>
              </w:rPr>
              <w:t>Assemblée générale et la treizième session du Comité, d</w:t>
            </w:r>
            <w:r w:rsidR="00740572">
              <w:rPr>
                <w:rFonts w:ascii="Arial" w:hAnsi="Arial"/>
                <w:sz w:val="20"/>
              </w:rPr>
              <w:t>’</w:t>
            </w:r>
            <w:r>
              <w:rPr>
                <w:rFonts w:ascii="Arial" w:hAnsi="Arial"/>
                <w:sz w:val="20"/>
              </w:rPr>
              <w:t>activités de sensibilisation (par exemple, séance d</w:t>
            </w:r>
            <w:r w:rsidR="00740572">
              <w:rPr>
                <w:rFonts w:ascii="Arial" w:hAnsi="Arial"/>
                <w:sz w:val="20"/>
              </w:rPr>
              <w:t>’</w:t>
            </w:r>
            <w:r>
              <w:rPr>
                <w:rFonts w:ascii="Arial" w:hAnsi="Arial"/>
                <w:sz w:val="20"/>
              </w:rPr>
              <w:t>échange sur l</w:t>
            </w:r>
            <w:r w:rsidR="00740572">
              <w:rPr>
                <w:rFonts w:ascii="Arial" w:hAnsi="Arial"/>
                <w:sz w:val="20"/>
              </w:rPr>
              <w:t>’</w:t>
            </w:r>
            <w:r>
              <w:rPr>
                <w:rFonts w:ascii="Arial" w:hAnsi="Arial"/>
                <w:sz w:val="20"/>
              </w:rPr>
              <w:t>assistance internationale, table ronde destinée à promouvoir le patrimoine culturel immatériel et l</w:t>
            </w:r>
            <w:r w:rsidR="00740572">
              <w:rPr>
                <w:rFonts w:ascii="Arial" w:hAnsi="Arial"/>
                <w:sz w:val="20"/>
              </w:rPr>
              <w:t>’</w:t>
            </w:r>
            <w:r>
              <w:rPr>
                <w:rFonts w:ascii="Arial" w:hAnsi="Arial"/>
                <w:sz w:val="20"/>
              </w:rPr>
              <w:t xml:space="preserve">éducation, </w:t>
            </w:r>
            <w:r>
              <w:rPr>
                <w:rFonts w:ascii="Arial" w:hAnsi="Arial"/>
                <w:sz w:val="20"/>
              </w:rPr>
              <w:lastRenderedPageBreak/>
              <w:t>plateforme de mise en réseau des organisations non-gouvernementales) mettant en avant les objectifs de la Convention.</w:t>
            </w:r>
          </w:p>
          <w:p w14:paraId="798AAAE1" w14:textId="251B04AD" w:rsidR="00724AAD" w:rsidRPr="00A854F4" w:rsidRDefault="00724AAD">
            <w:pPr>
              <w:numPr>
                <w:ilvl w:val="0"/>
                <w:numId w:val="10"/>
              </w:numPr>
              <w:spacing w:before="60" w:after="60"/>
              <w:ind w:left="313" w:hanging="313"/>
              <w:jc w:val="both"/>
              <w:rPr>
                <w:rFonts w:ascii="Arial" w:eastAsia="Calibri" w:hAnsi="Arial" w:cs="Arial"/>
                <w:sz w:val="20"/>
                <w:szCs w:val="20"/>
              </w:rPr>
            </w:pPr>
            <w:r>
              <w:rPr>
                <w:rFonts w:ascii="Arial" w:hAnsi="Arial"/>
                <w:sz w:val="20"/>
              </w:rPr>
              <w:t>Lancement et test d</w:t>
            </w:r>
            <w:r w:rsidR="00740572">
              <w:rPr>
                <w:rFonts w:ascii="Arial" w:hAnsi="Arial"/>
                <w:sz w:val="20"/>
              </w:rPr>
              <w:t>’</w:t>
            </w:r>
            <w:r>
              <w:rPr>
                <w:rFonts w:ascii="Arial" w:hAnsi="Arial"/>
                <w:sz w:val="20"/>
              </w:rPr>
              <w:t>une démonstration de l</w:t>
            </w:r>
            <w:r w:rsidR="00740572">
              <w:rPr>
                <w:rFonts w:ascii="Arial" w:hAnsi="Arial"/>
                <w:sz w:val="20"/>
              </w:rPr>
              <w:t>’</w:t>
            </w:r>
            <w:r>
              <w:rPr>
                <w:rFonts w:ascii="Arial" w:hAnsi="Arial"/>
                <w:sz w:val="20"/>
              </w:rPr>
              <w:t>interface Web « Plongez dans le patrimoine culturel immatériel ! » pendant la treizième session du Comité.</w:t>
            </w:r>
          </w:p>
        </w:tc>
        <w:tc>
          <w:tcPr>
            <w:tcW w:w="2835" w:type="dxa"/>
          </w:tcPr>
          <w:p w14:paraId="57CA6B8E" w14:textId="77777777" w:rsidR="00724AAD" w:rsidRPr="00A854F4" w:rsidRDefault="00724AAD" w:rsidP="00C35DA5">
            <w:pPr>
              <w:spacing w:before="320" w:after="60"/>
              <w:jc w:val="center"/>
              <w:rPr>
                <w:rFonts w:ascii="Arial" w:eastAsia="Calibri" w:hAnsi="Arial" w:cs="Arial"/>
                <w:sz w:val="20"/>
                <w:szCs w:val="20"/>
              </w:rPr>
            </w:pPr>
            <w:r>
              <w:rPr>
                <w:rFonts w:ascii="Arial" w:hAnsi="Arial"/>
                <w:sz w:val="20"/>
              </w:rPr>
              <w:lastRenderedPageBreak/>
              <w:t>Accomplie</w:t>
            </w:r>
          </w:p>
        </w:tc>
      </w:tr>
      <w:tr w:rsidR="00724AAD" w:rsidRPr="00A854F4" w14:paraId="22187E74" w14:textId="77777777" w:rsidTr="00C35DA5">
        <w:trPr>
          <w:jc w:val="center"/>
        </w:trPr>
        <w:tc>
          <w:tcPr>
            <w:tcW w:w="6803" w:type="dxa"/>
            <w:shd w:val="clear" w:color="auto" w:fill="auto"/>
          </w:tcPr>
          <w:p w14:paraId="3AD7ACF6" w14:textId="77777777" w:rsidR="00266DB5" w:rsidRPr="00A854F4" w:rsidRDefault="00266DB5" w:rsidP="00322AB8">
            <w:pPr>
              <w:spacing w:before="60" w:after="60"/>
              <w:jc w:val="both"/>
              <w:rPr>
                <w:rFonts w:ascii="Arial" w:eastAsia="Calibri" w:hAnsi="Arial" w:cs="Arial"/>
                <w:b/>
                <w:bCs/>
                <w:sz w:val="20"/>
                <w:szCs w:val="20"/>
              </w:rPr>
            </w:pPr>
            <w:r>
              <w:rPr>
                <w:rFonts w:ascii="Arial" w:hAnsi="Arial"/>
                <w:b/>
                <w:sz w:val="20"/>
              </w:rPr>
              <w:t>Identification de fonctions consultatives supplémentaires pour les organisations non gouvernementales accréditées grâce à un processus de consultation efficace</w:t>
            </w:r>
          </w:p>
          <w:p w14:paraId="7F132843" w14:textId="4E298563" w:rsidR="00724AAD" w:rsidRPr="00A854F4" w:rsidRDefault="00653123">
            <w:pPr>
              <w:numPr>
                <w:ilvl w:val="0"/>
                <w:numId w:val="10"/>
              </w:numPr>
              <w:spacing w:before="60" w:after="60"/>
              <w:ind w:left="313" w:hanging="313"/>
              <w:jc w:val="both"/>
              <w:rPr>
                <w:rFonts w:ascii="Arial" w:eastAsia="Calibri" w:hAnsi="Arial" w:cs="Arial"/>
                <w:sz w:val="20"/>
                <w:szCs w:val="20"/>
              </w:rPr>
            </w:pPr>
            <w:r>
              <w:rPr>
                <w:rFonts w:ascii="Arial" w:hAnsi="Arial"/>
                <w:sz w:val="20"/>
              </w:rPr>
              <w:t>Conformément à la demande de la douzième session du Comité (Décision 12.COM 17), organisation d</w:t>
            </w:r>
            <w:r w:rsidR="00740572">
              <w:rPr>
                <w:rFonts w:ascii="Arial" w:hAnsi="Arial"/>
                <w:sz w:val="20"/>
              </w:rPr>
              <w:t>’</w:t>
            </w:r>
            <w:r>
              <w:rPr>
                <w:rFonts w:ascii="Arial" w:hAnsi="Arial"/>
                <w:sz w:val="20"/>
              </w:rPr>
              <w:t>une réflexion sur les fonctions consultatives des organisations non gouvernementales (ONG) accréditées par le biais d</w:t>
            </w:r>
            <w:r w:rsidR="00740572">
              <w:rPr>
                <w:rFonts w:ascii="Arial" w:hAnsi="Arial"/>
                <w:sz w:val="20"/>
              </w:rPr>
              <w:t>’</w:t>
            </w:r>
            <w:r>
              <w:rPr>
                <w:rFonts w:ascii="Arial" w:hAnsi="Arial"/>
                <w:sz w:val="20"/>
              </w:rPr>
              <w:t>une consultation en ligne en 2018 et d</w:t>
            </w:r>
            <w:r w:rsidR="00740572">
              <w:rPr>
                <w:rFonts w:ascii="Arial" w:hAnsi="Arial"/>
                <w:sz w:val="20"/>
              </w:rPr>
              <w:t>’</w:t>
            </w:r>
            <w:r>
              <w:rPr>
                <w:rFonts w:ascii="Arial" w:hAnsi="Arial"/>
                <w:sz w:val="20"/>
              </w:rPr>
              <w:t>une réunion de consultation en 2019. Quatre-vingt-dix-neuf ONG accréditées et soixante-seize États ont participé à la consultation en ligne en 2018 et à la réunion de consultation en 2019, qui ont mis en évidence la nécessité de cartographier les domaines de compétences et les capacités des ONG accréditées et de clarifier la nature et l</w:t>
            </w:r>
            <w:r w:rsidR="00740572">
              <w:rPr>
                <w:rFonts w:ascii="Arial" w:hAnsi="Arial"/>
                <w:sz w:val="20"/>
              </w:rPr>
              <w:t>’</w:t>
            </w:r>
            <w:r>
              <w:rPr>
                <w:rFonts w:ascii="Arial" w:hAnsi="Arial"/>
                <w:sz w:val="20"/>
              </w:rPr>
              <w:t>objet du système d</w:t>
            </w:r>
            <w:r w:rsidR="00740572">
              <w:rPr>
                <w:rFonts w:ascii="Arial" w:hAnsi="Arial"/>
                <w:sz w:val="20"/>
              </w:rPr>
              <w:t>’</w:t>
            </w:r>
            <w:r>
              <w:rPr>
                <w:rFonts w:ascii="Arial" w:hAnsi="Arial"/>
                <w:sz w:val="20"/>
              </w:rPr>
              <w:t>accréditation. Les conclusions de cette réflexion, ainsi que les fonctions consultatives que pourraient remplir les ONG accréditées ont été présentées à la huitième session de l</w:t>
            </w:r>
            <w:r w:rsidR="00740572">
              <w:rPr>
                <w:rFonts w:ascii="Arial" w:hAnsi="Arial"/>
                <w:sz w:val="20"/>
              </w:rPr>
              <w:t>’</w:t>
            </w:r>
            <w:r>
              <w:rPr>
                <w:rFonts w:ascii="Arial" w:hAnsi="Arial"/>
                <w:sz w:val="20"/>
              </w:rPr>
              <w:t>Assemblée générale en septembre 2020.</w:t>
            </w:r>
          </w:p>
        </w:tc>
        <w:tc>
          <w:tcPr>
            <w:tcW w:w="2835" w:type="dxa"/>
            <w:shd w:val="clear" w:color="auto" w:fill="auto"/>
          </w:tcPr>
          <w:p w14:paraId="1CFC9CCF" w14:textId="77777777" w:rsidR="00724AAD" w:rsidRPr="00A854F4" w:rsidRDefault="00724AAD" w:rsidP="00C35DA5">
            <w:pPr>
              <w:spacing w:before="320" w:after="60"/>
              <w:jc w:val="center"/>
              <w:rPr>
                <w:rFonts w:ascii="Arial" w:eastAsia="Calibri" w:hAnsi="Arial" w:cs="Arial"/>
                <w:sz w:val="20"/>
                <w:szCs w:val="20"/>
              </w:rPr>
            </w:pPr>
            <w:r>
              <w:rPr>
                <w:rFonts w:ascii="Arial" w:hAnsi="Arial"/>
                <w:sz w:val="20"/>
              </w:rPr>
              <w:t>Accomplie</w:t>
            </w:r>
          </w:p>
        </w:tc>
      </w:tr>
    </w:tbl>
    <w:p w14:paraId="20B7E609" w14:textId="77777777" w:rsidR="00724AAD" w:rsidRPr="00A854F4" w:rsidRDefault="00724AAD" w:rsidP="00724AAD">
      <w:pPr>
        <w:pStyle w:val="ListParagraph"/>
        <w:keepNext/>
        <w:numPr>
          <w:ilvl w:val="0"/>
          <w:numId w:val="12"/>
        </w:numPr>
        <w:spacing w:before="240"/>
        <w:ind w:left="284" w:hanging="284"/>
        <w:jc w:val="both"/>
        <w:rPr>
          <w:rFonts w:ascii="Arial" w:hAnsi="Arial" w:cs="Arial"/>
          <w:b/>
          <w:bCs/>
          <w:sz w:val="22"/>
          <w:szCs w:val="22"/>
        </w:rPr>
      </w:pPr>
      <w:r>
        <w:rPr>
          <w:rFonts w:ascii="Arial" w:hAnsi="Arial"/>
          <w:b/>
          <w:sz w:val="22"/>
        </w:rPr>
        <w:t xml:space="preserve">Rapport de mise en œuvre pour la période du 1er janvier 2020 au 30 juin 2021. </w:t>
      </w:r>
    </w:p>
    <w:p w14:paraId="4A009C18" w14:textId="77777777" w:rsidR="00724AAD" w:rsidRPr="00ED3B35" w:rsidRDefault="00724AAD" w:rsidP="00724AAD">
      <w:pPr>
        <w:pStyle w:val="ListParagraph"/>
        <w:keepNext/>
        <w:spacing w:before="240"/>
        <w:ind w:left="284"/>
        <w:jc w:val="both"/>
        <w:rPr>
          <w:rFonts w:ascii="Arial" w:hAnsi="Arial" w:cs="Arial"/>
          <w:b/>
          <w:bCs/>
          <w:sz w:val="22"/>
          <w:szCs w:val="22"/>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724AAD" w:rsidRPr="00A854F4" w14:paraId="5FC4A246" w14:textId="77777777" w:rsidTr="00322AB8">
        <w:trPr>
          <w:jc w:val="center"/>
        </w:trPr>
        <w:tc>
          <w:tcPr>
            <w:tcW w:w="1999" w:type="pct"/>
            <w:shd w:val="clear" w:color="auto" w:fill="92D050"/>
            <w:vAlign w:val="center"/>
          </w:tcPr>
          <w:p w14:paraId="147120BC" w14:textId="77777777" w:rsidR="00724AAD" w:rsidRPr="00A854F4" w:rsidRDefault="00724AAD" w:rsidP="00C35DA5">
            <w:pPr>
              <w:keepNext/>
              <w:spacing w:before="120"/>
              <w:jc w:val="center"/>
              <w:rPr>
                <w:rFonts w:ascii="Arial" w:eastAsia="Calibri" w:hAnsi="Arial" w:cs="Arial"/>
                <w:b/>
                <w:sz w:val="20"/>
                <w:szCs w:val="20"/>
              </w:rPr>
            </w:pPr>
            <w:r>
              <w:rPr>
                <w:rFonts w:ascii="Arial" w:hAnsi="Arial"/>
                <w:b/>
                <w:sz w:val="20"/>
              </w:rPr>
              <w:t>Allocation</w:t>
            </w:r>
          </w:p>
        </w:tc>
        <w:tc>
          <w:tcPr>
            <w:tcW w:w="2118" w:type="pct"/>
            <w:shd w:val="clear" w:color="auto" w:fill="92D050"/>
            <w:vAlign w:val="center"/>
          </w:tcPr>
          <w:p w14:paraId="530181DF" w14:textId="77777777" w:rsidR="00724AAD" w:rsidRPr="00A854F4" w:rsidRDefault="00724AAD" w:rsidP="00C35DA5">
            <w:pPr>
              <w:spacing w:before="120"/>
              <w:jc w:val="center"/>
              <w:rPr>
                <w:rFonts w:ascii="Arial" w:eastAsia="Calibri" w:hAnsi="Arial" w:cs="Arial"/>
                <w:b/>
                <w:sz w:val="20"/>
                <w:szCs w:val="20"/>
              </w:rPr>
            </w:pPr>
            <w:r>
              <w:rPr>
                <w:rFonts w:ascii="Arial" w:hAnsi="Arial"/>
                <w:b/>
                <w:sz w:val="20"/>
              </w:rPr>
              <w:t>Dépenses</w:t>
            </w:r>
          </w:p>
        </w:tc>
        <w:tc>
          <w:tcPr>
            <w:tcW w:w="883" w:type="pct"/>
            <w:shd w:val="clear" w:color="auto" w:fill="92D050"/>
            <w:vAlign w:val="center"/>
          </w:tcPr>
          <w:p w14:paraId="7BE01CFA" w14:textId="77777777" w:rsidR="00724AAD" w:rsidRPr="00A854F4" w:rsidRDefault="00724AAD" w:rsidP="00C35DA5">
            <w:pPr>
              <w:spacing w:before="120"/>
              <w:jc w:val="center"/>
              <w:rPr>
                <w:rFonts w:ascii="Arial" w:eastAsia="Calibri" w:hAnsi="Arial" w:cs="Arial"/>
                <w:b/>
                <w:sz w:val="20"/>
                <w:szCs w:val="20"/>
              </w:rPr>
            </w:pPr>
            <w:r>
              <w:rPr>
                <w:rFonts w:ascii="Arial" w:hAnsi="Arial"/>
                <w:b/>
                <w:sz w:val="20"/>
              </w:rPr>
              <w:t>Taux de dépense (%)</w:t>
            </w:r>
            <w:r>
              <w:rPr>
                <w:rFonts w:ascii="Arial" w:hAnsi="Arial"/>
                <w:b/>
                <w:sz w:val="20"/>
              </w:rPr>
              <w:br/>
              <w:t>au 30/06/2021</w:t>
            </w:r>
          </w:p>
        </w:tc>
      </w:tr>
      <w:tr w:rsidR="00724AAD" w:rsidRPr="00A854F4" w14:paraId="2238B71C" w14:textId="77777777" w:rsidTr="00C35DA5">
        <w:trPr>
          <w:jc w:val="center"/>
        </w:trPr>
        <w:tc>
          <w:tcPr>
            <w:tcW w:w="1999" w:type="pct"/>
            <w:shd w:val="clear" w:color="auto" w:fill="auto"/>
          </w:tcPr>
          <w:p w14:paraId="15923039" w14:textId="77777777" w:rsidR="00724AAD" w:rsidRPr="00A854F4" w:rsidRDefault="00724AAD" w:rsidP="00C35DA5">
            <w:pPr>
              <w:spacing w:before="120"/>
              <w:jc w:val="center"/>
              <w:rPr>
                <w:rFonts w:ascii="Arial" w:eastAsia="Calibri" w:hAnsi="Arial" w:cs="Arial"/>
                <w:sz w:val="20"/>
                <w:szCs w:val="20"/>
              </w:rPr>
            </w:pPr>
            <w:r>
              <w:rPr>
                <w:rFonts w:ascii="Arial" w:hAnsi="Arial"/>
                <w:sz w:val="20"/>
              </w:rPr>
              <w:t>423 381,00</w:t>
            </w:r>
          </w:p>
        </w:tc>
        <w:tc>
          <w:tcPr>
            <w:tcW w:w="2118" w:type="pct"/>
            <w:shd w:val="clear" w:color="auto" w:fill="auto"/>
          </w:tcPr>
          <w:p w14:paraId="2450B78D" w14:textId="77777777" w:rsidR="00724AAD" w:rsidRPr="00A854F4" w:rsidRDefault="00724AAD" w:rsidP="00C35DA5">
            <w:pPr>
              <w:spacing w:before="120"/>
              <w:jc w:val="center"/>
              <w:rPr>
                <w:rFonts w:ascii="Arial" w:eastAsia="Calibri" w:hAnsi="Arial" w:cs="Arial"/>
                <w:sz w:val="20"/>
                <w:szCs w:val="20"/>
              </w:rPr>
            </w:pPr>
            <w:r>
              <w:rPr>
                <w:rFonts w:ascii="Arial" w:hAnsi="Arial"/>
                <w:sz w:val="20"/>
              </w:rPr>
              <w:t>144 658,41</w:t>
            </w:r>
          </w:p>
        </w:tc>
        <w:tc>
          <w:tcPr>
            <w:tcW w:w="883" w:type="pct"/>
            <w:shd w:val="clear" w:color="auto" w:fill="auto"/>
          </w:tcPr>
          <w:p w14:paraId="479E6295" w14:textId="77777777" w:rsidR="00724AAD" w:rsidRPr="00A854F4" w:rsidRDefault="00724AAD" w:rsidP="00C35DA5">
            <w:pPr>
              <w:spacing w:before="120"/>
              <w:jc w:val="center"/>
              <w:rPr>
                <w:rFonts w:ascii="Arial" w:eastAsia="Calibri" w:hAnsi="Arial" w:cs="Arial"/>
                <w:sz w:val="20"/>
                <w:szCs w:val="20"/>
              </w:rPr>
            </w:pPr>
            <w:r>
              <w:rPr>
                <w:rFonts w:ascii="Arial" w:hAnsi="Arial"/>
                <w:sz w:val="20"/>
              </w:rPr>
              <w:t>34,2 %</w:t>
            </w:r>
          </w:p>
        </w:tc>
      </w:tr>
    </w:tbl>
    <w:p w14:paraId="74D583DC" w14:textId="77777777" w:rsidR="00724AAD" w:rsidRPr="00A854F4" w:rsidRDefault="00724AAD" w:rsidP="00724AAD">
      <w:pPr>
        <w:spacing w:after="0"/>
        <w:rPr>
          <w:rFonts w:ascii="Arial" w:hAnsi="Arial" w:cs="Arial"/>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gridCol w:w="2835"/>
      </w:tblGrid>
      <w:tr w:rsidR="00724AAD" w:rsidRPr="00A854F4" w14:paraId="50C70E24" w14:textId="77777777" w:rsidTr="00C35DA5">
        <w:trPr>
          <w:tblHeader/>
          <w:jc w:val="center"/>
        </w:trPr>
        <w:tc>
          <w:tcPr>
            <w:tcW w:w="6803" w:type="dxa"/>
            <w:shd w:val="clear" w:color="auto" w:fill="D9D9D9"/>
            <w:vAlign w:val="center"/>
          </w:tcPr>
          <w:p w14:paraId="3E309532" w14:textId="77777777" w:rsidR="00724AAD" w:rsidRPr="00A854F4" w:rsidRDefault="00724AAD" w:rsidP="00C35DA5">
            <w:pPr>
              <w:spacing w:before="60" w:after="60"/>
              <w:jc w:val="center"/>
              <w:rPr>
                <w:rFonts w:ascii="Arial" w:eastAsia="Calibri" w:hAnsi="Arial" w:cs="Arial"/>
                <w:b/>
                <w:sz w:val="20"/>
                <w:szCs w:val="20"/>
              </w:rPr>
            </w:pPr>
            <w:r>
              <w:rPr>
                <w:rFonts w:ascii="Arial" w:hAnsi="Arial"/>
                <w:b/>
                <w:sz w:val="20"/>
              </w:rPr>
              <w:t>Évaluation des progrès :</w:t>
            </w:r>
            <w:r>
              <w:rPr>
                <w:rFonts w:ascii="Arial" w:hAnsi="Arial"/>
                <w:b/>
                <w:sz w:val="20"/>
              </w:rPr>
              <w:br/>
              <w:t>du 01/01/2020 au 30/06/2021</w:t>
            </w:r>
          </w:p>
        </w:tc>
        <w:tc>
          <w:tcPr>
            <w:tcW w:w="2835" w:type="dxa"/>
            <w:shd w:val="clear" w:color="auto" w:fill="D9D9D9"/>
            <w:vAlign w:val="center"/>
          </w:tcPr>
          <w:p w14:paraId="68D865D2" w14:textId="77777777" w:rsidR="00724AAD" w:rsidRPr="00A854F4" w:rsidRDefault="00724AAD" w:rsidP="00C35DA5">
            <w:pPr>
              <w:spacing w:before="60" w:after="60"/>
              <w:jc w:val="center"/>
              <w:rPr>
                <w:rFonts w:ascii="Arial" w:eastAsia="Calibri" w:hAnsi="Arial" w:cs="Arial"/>
                <w:b/>
                <w:sz w:val="20"/>
                <w:szCs w:val="20"/>
              </w:rPr>
            </w:pPr>
            <w:r>
              <w:rPr>
                <w:rFonts w:ascii="Arial" w:hAnsi="Arial"/>
                <w:b/>
                <w:sz w:val="20"/>
              </w:rPr>
              <w:t>Évaluation de la mise en œuvre</w:t>
            </w:r>
          </w:p>
        </w:tc>
      </w:tr>
      <w:tr w:rsidR="00724AAD" w:rsidRPr="00A854F4" w14:paraId="28DCE5D7" w14:textId="77777777" w:rsidTr="00C35DA5">
        <w:trPr>
          <w:jc w:val="center"/>
        </w:trPr>
        <w:tc>
          <w:tcPr>
            <w:tcW w:w="6803" w:type="dxa"/>
            <w:shd w:val="clear" w:color="auto" w:fill="auto"/>
          </w:tcPr>
          <w:p w14:paraId="7F7667A5" w14:textId="29EF006E" w:rsidR="00266DB5" w:rsidRPr="00A854F4" w:rsidRDefault="00266DB5" w:rsidP="00F13022">
            <w:pPr>
              <w:spacing w:before="60" w:after="60"/>
              <w:jc w:val="both"/>
              <w:rPr>
                <w:rFonts w:ascii="Arial" w:eastAsia="Calibri" w:hAnsi="Arial" w:cs="Arial"/>
                <w:b/>
                <w:bCs/>
                <w:sz w:val="20"/>
                <w:szCs w:val="20"/>
              </w:rPr>
            </w:pPr>
            <w:r>
              <w:rPr>
                <w:rFonts w:ascii="Arial" w:hAnsi="Arial"/>
                <w:b/>
                <w:sz w:val="20"/>
              </w:rPr>
              <w:t>Outils de communication et d</w:t>
            </w:r>
            <w:r w:rsidR="00740572">
              <w:rPr>
                <w:rFonts w:ascii="Arial" w:hAnsi="Arial"/>
                <w:b/>
                <w:sz w:val="20"/>
              </w:rPr>
              <w:t>’</w:t>
            </w:r>
            <w:r>
              <w:rPr>
                <w:rFonts w:ascii="Arial" w:hAnsi="Arial"/>
                <w:b/>
                <w:sz w:val="20"/>
              </w:rPr>
              <w:t>information développés et mis en œuvre pour promouvoir les objectifs de la Convention</w:t>
            </w:r>
          </w:p>
          <w:p w14:paraId="7C732CB5" w14:textId="63D3868A" w:rsidR="00772114" w:rsidRPr="00A854F4" w:rsidRDefault="00266DB5">
            <w:pPr>
              <w:numPr>
                <w:ilvl w:val="0"/>
                <w:numId w:val="10"/>
              </w:numPr>
              <w:spacing w:before="60" w:after="60"/>
              <w:ind w:left="357" w:hanging="357"/>
              <w:jc w:val="both"/>
              <w:rPr>
                <w:rFonts w:asciiTheme="minorBidi" w:eastAsia="Calibri" w:hAnsiTheme="minorBidi" w:cstheme="minorBidi"/>
                <w:sz w:val="20"/>
                <w:szCs w:val="20"/>
              </w:rPr>
            </w:pPr>
            <w:r>
              <w:rPr>
                <w:rFonts w:asciiTheme="minorBidi" w:hAnsiTheme="minorBidi"/>
                <w:sz w:val="20"/>
              </w:rPr>
              <w:t>Lancement d</w:t>
            </w:r>
            <w:r w:rsidR="00740572">
              <w:rPr>
                <w:rFonts w:asciiTheme="minorBidi" w:hAnsiTheme="minorBidi"/>
                <w:sz w:val="20"/>
              </w:rPr>
              <w:t>’</w:t>
            </w:r>
            <w:r>
              <w:rPr>
                <w:rFonts w:asciiTheme="minorBidi" w:hAnsiTheme="minorBidi"/>
                <w:sz w:val="20"/>
              </w:rPr>
              <w:t>une enquête et d</w:t>
            </w:r>
            <w:r w:rsidR="00740572">
              <w:rPr>
                <w:rFonts w:asciiTheme="minorBidi" w:hAnsiTheme="minorBidi"/>
                <w:sz w:val="20"/>
              </w:rPr>
              <w:t>’</w:t>
            </w:r>
            <w:r>
              <w:rPr>
                <w:rFonts w:asciiTheme="minorBidi" w:hAnsiTheme="minorBidi"/>
                <w:sz w:val="20"/>
              </w:rPr>
              <w:t>une plateforme en ligne sur les « Expériences du patrimoine vivant dans le contexte de la pandémie de COVID-19 » en avril – mai 2020, avec plus de 200 soumissions de la part des praticiens et communautés.</w:t>
            </w:r>
          </w:p>
          <w:p w14:paraId="6987210D" w14:textId="243BAD2F" w:rsidR="00724AAD" w:rsidRPr="00A854F4" w:rsidRDefault="00266DB5">
            <w:pPr>
              <w:numPr>
                <w:ilvl w:val="0"/>
                <w:numId w:val="10"/>
              </w:numPr>
              <w:spacing w:before="60" w:after="60"/>
              <w:ind w:left="357" w:hanging="357"/>
              <w:jc w:val="both"/>
              <w:rPr>
                <w:rFonts w:asciiTheme="minorBidi" w:eastAsia="Calibri" w:hAnsiTheme="minorBidi" w:cstheme="minorBidi"/>
                <w:sz w:val="20"/>
                <w:szCs w:val="20"/>
              </w:rPr>
            </w:pPr>
            <w:r>
              <w:rPr>
                <w:rFonts w:asciiTheme="minorBidi" w:hAnsiTheme="minorBidi"/>
                <w:sz w:val="20"/>
              </w:rPr>
              <w:t>Après la publication d</w:t>
            </w:r>
            <w:r w:rsidR="00740572">
              <w:rPr>
                <w:rFonts w:asciiTheme="minorBidi" w:hAnsiTheme="minorBidi"/>
                <w:sz w:val="20"/>
              </w:rPr>
              <w:t>’</w:t>
            </w:r>
            <w:r>
              <w:rPr>
                <w:rFonts w:asciiTheme="minorBidi" w:hAnsiTheme="minorBidi"/>
                <w:sz w:val="20"/>
              </w:rPr>
              <w:t>articles préliminaires dans le bulletin hebdomadaire UNESCO Culture &amp; COVID-19 et dans la revue Patrimoine Mondial, et après un dialogue ResiliArt en ligne sur l</w:t>
            </w:r>
            <w:r w:rsidR="00740572">
              <w:rPr>
                <w:rFonts w:asciiTheme="minorBidi" w:hAnsiTheme="minorBidi"/>
                <w:sz w:val="20"/>
              </w:rPr>
              <w:t>’</w:t>
            </w:r>
            <w:r>
              <w:rPr>
                <w:rFonts w:asciiTheme="minorBidi" w:hAnsiTheme="minorBidi"/>
                <w:sz w:val="20"/>
              </w:rPr>
              <w:t>impact de la pandémie sur le patrimoine vivant en marge de la huitième session de l</w:t>
            </w:r>
            <w:r w:rsidR="00740572">
              <w:rPr>
                <w:rFonts w:asciiTheme="minorBidi" w:hAnsiTheme="minorBidi"/>
                <w:sz w:val="20"/>
              </w:rPr>
              <w:t>’</w:t>
            </w:r>
            <w:r>
              <w:rPr>
                <w:rFonts w:asciiTheme="minorBidi" w:hAnsiTheme="minorBidi"/>
                <w:sz w:val="20"/>
              </w:rPr>
              <w:t>Assemblée générale, un rapport final intitulé « Le patrimoine vivant face à la COVID-19 » a été publié en mai 2021 dans deux langues (anglais et français), avec des recommandations clés pour « reconstruire en mieux ».</w:t>
            </w:r>
          </w:p>
          <w:p w14:paraId="000BCEF6" w14:textId="35D598FE" w:rsidR="00724AAD" w:rsidRPr="00A854F4" w:rsidRDefault="00724AAD">
            <w:pPr>
              <w:numPr>
                <w:ilvl w:val="0"/>
                <w:numId w:val="10"/>
              </w:numPr>
              <w:spacing w:before="60" w:after="60"/>
              <w:ind w:left="357" w:hanging="357"/>
              <w:jc w:val="both"/>
              <w:rPr>
                <w:rFonts w:asciiTheme="minorBidi" w:eastAsia="Calibri" w:hAnsiTheme="minorBidi" w:cstheme="minorBidi"/>
                <w:sz w:val="20"/>
                <w:szCs w:val="20"/>
              </w:rPr>
            </w:pPr>
            <w:r>
              <w:rPr>
                <w:rFonts w:asciiTheme="minorBidi" w:hAnsiTheme="minorBidi"/>
                <w:sz w:val="20"/>
              </w:rPr>
              <w:t>Installation d</w:t>
            </w:r>
            <w:r w:rsidR="00740572">
              <w:rPr>
                <w:rFonts w:asciiTheme="minorBidi" w:hAnsiTheme="minorBidi"/>
                <w:sz w:val="20"/>
              </w:rPr>
              <w:t>’</w:t>
            </w:r>
            <w:r>
              <w:rPr>
                <w:rFonts w:asciiTheme="minorBidi" w:hAnsiTheme="minorBidi"/>
                <w:sz w:val="20"/>
              </w:rPr>
              <w:t>une exposition thématique, une reproduction d</w:t>
            </w:r>
            <w:r w:rsidR="00740572">
              <w:rPr>
                <w:rFonts w:asciiTheme="minorBidi" w:hAnsiTheme="minorBidi"/>
                <w:sz w:val="20"/>
              </w:rPr>
              <w:t>’</w:t>
            </w:r>
            <w:r>
              <w:rPr>
                <w:rFonts w:asciiTheme="minorBidi" w:hAnsiTheme="minorBidi"/>
                <w:sz w:val="20"/>
              </w:rPr>
              <w:t>une exposition sonore sur les langues autochtones, au siège de l</w:t>
            </w:r>
            <w:r w:rsidR="00740572">
              <w:rPr>
                <w:rFonts w:asciiTheme="minorBidi" w:hAnsiTheme="minorBidi"/>
                <w:sz w:val="20"/>
              </w:rPr>
              <w:t>’</w:t>
            </w:r>
            <w:r>
              <w:rPr>
                <w:rFonts w:asciiTheme="minorBidi" w:hAnsiTheme="minorBidi"/>
                <w:sz w:val="20"/>
              </w:rPr>
              <w:t xml:space="preserve">UNESCO. </w:t>
            </w:r>
          </w:p>
          <w:p w14:paraId="074C524D" w14:textId="6411B5B9" w:rsidR="00740572" w:rsidRPr="00A07EE9" w:rsidRDefault="00772114" w:rsidP="00740572">
            <w:pPr>
              <w:numPr>
                <w:ilvl w:val="0"/>
                <w:numId w:val="10"/>
              </w:numPr>
              <w:spacing w:before="60" w:after="60"/>
              <w:ind w:left="357" w:hanging="357"/>
              <w:jc w:val="both"/>
              <w:rPr>
                <w:rFonts w:asciiTheme="minorBidi" w:eastAsia="Calibri" w:hAnsiTheme="minorBidi" w:cstheme="minorBidi"/>
                <w:sz w:val="20"/>
                <w:szCs w:val="20"/>
              </w:rPr>
            </w:pPr>
            <w:r w:rsidRPr="00740572">
              <w:rPr>
                <w:rFonts w:asciiTheme="minorBidi" w:hAnsiTheme="minorBidi"/>
                <w:sz w:val="20"/>
              </w:rPr>
              <w:t>Promotion d</w:t>
            </w:r>
            <w:r w:rsidR="00740572" w:rsidRPr="00740572">
              <w:rPr>
                <w:rFonts w:asciiTheme="minorBidi" w:hAnsiTheme="minorBidi"/>
                <w:sz w:val="20"/>
              </w:rPr>
              <w:t>’</w:t>
            </w:r>
            <w:r w:rsidRPr="00740572">
              <w:rPr>
                <w:rFonts w:asciiTheme="minorBidi" w:hAnsiTheme="minorBidi"/>
                <w:sz w:val="20"/>
              </w:rPr>
              <w:t>une visualisation des objectifs de développement durable (animations en cours de développement en vue d</w:t>
            </w:r>
            <w:r w:rsidR="00740572" w:rsidRPr="00740572">
              <w:rPr>
                <w:rFonts w:asciiTheme="minorBidi" w:hAnsiTheme="minorBidi"/>
                <w:sz w:val="20"/>
              </w:rPr>
              <w:t>’</w:t>
            </w:r>
            <w:r w:rsidRPr="00740572">
              <w:rPr>
                <w:rFonts w:asciiTheme="minorBidi" w:hAnsiTheme="minorBidi"/>
                <w:sz w:val="20"/>
              </w:rPr>
              <w:t>une présentation sur écran au siège de l</w:t>
            </w:r>
            <w:r w:rsidR="00740572" w:rsidRPr="00740572">
              <w:rPr>
                <w:rFonts w:asciiTheme="minorBidi" w:hAnsiTheme="minorBidi"/>
                <w:sz w:val="20"/>
              </w:rPr>
              <w:t>’</w:t>
            </w:r>
            <w:r w:rsidRPr="00740572">
              <w:rPr>
                <w:rFonts w:asciiTheme="minorBidi" w:hAnsiTheme="minorBidi"/>
                <w:sz w:val="20"/>
              </w:rPr>
              <w:t>UNESCO) pour la fin 2021/début 2022.</w:t>
            </w:r>
          </w:p>
          <w:p w14:paraId="4922E711" w14:textId="44DD54EB" w:rsidR="00772114" w:rsidRPr="00740572" w:rsidRDefault="00AC4B9F" w:rsidP="00A07EE9">
            <w:pPr>
              <w:keepNext/>
              <w:keepLines/>
              <w:numPr>
                <w:ilvl w:val="0"/>
                <w:numId w:val="10"/>
              </w:numPr>
              <w:spacing w:before="60" w:after="60"/>
              <w:ind w:left="357" w:hanging="357"/>
              <w:jc w:val="both"/>
              <w:rPr>
                <w:rFonts w:asciiTheme="minorBidi" w:eastAsia="Calibri" w:hAnsiTheme="minorBidi" w:cstheme="minorBidi"/>
                <w:sz w:val="20"/>
                <w:szCs w:val="20"/>
              </w:rPr>
            </w:pPr>
            <w:r w:rsidRPr="00740572">
              <w:rPr>
                <w:rFonts w:asciiTheme="minorBidi" w:hAnsiTheme="minorBidi"/>
                <w:sz w:val="20"/>
              </w:rPr>
              <w:lastRenderedPageBreak/>
              <w:t>Refonte en cours du site Web (révision du plan et de l</w:t>
            </w:r>
            <w:r w:rsidR="00740572" w:rsidRPr="00740572">
              <w:rPr>
                <w:rFonts w:asciiTheme="minorBidi" w:hAnsiTheme="minorBidi"/>
                <w:sz w:val="20"/>
              </w:rPr>
              <w:t>’</w:t>
            </w:r>
            <w:r w:rsidRPr="00740572">
              <w:rPr>
                <w:rFonts w:asciiTheme="minorBidi" w:hAnsiTheme="minorBidi"/>
                <w:sz w:val="20"/>
              </w:rPr>
              <w:t>organisation en vue d</w:t>
            </w:r>
            <w:r w:rsidR="00740572" w:rsidRPr="00740572">
              <w:rPr>
                <w:rFonts w:asciiTheme="minorBidi" w:hAnsiTheme="minorBidi"/>
                <w:sz w:val="20"/>
              </w:rPr>
              <w:t>’</w:t>
            </w:r>
            <w:r w:rsidRPr="00740572">
              <w:rPr>
                <w:rFonts w:asciiTheme="minorBidi" w:hAnsiTheme="minorBidi"/>
                <w:sz w:val="20"/>
              </w:rPr>
              <w:t>une harmonisation avec la charte graphique de l</w:t>
            </w:r>
            <w:r w:rsidR="00740572" w:rsidRPr="00740572">
              <w:rPr>
                <w:rFonts w:asciiTheme="minorBidi" w:hAnsiTheme="minorBidi"/>
                <w:sz w:val="20"/>
              </w:rPr>
              <w:t>’</w:t>
            </w:r>
            <w:r w:rsidRPr="00740572">
              <w:rPr>
                <w:rFonts w:asciiTheme="minorBidi" w:hAnsiTheme="minorBidi"/>
                <w:sz w:val="20"/>
              </w:rPr>
              <w:t>UNESCO), dont la mise en ligne est prévue au premier semestre 2022.</w:t>
            </w:r>
          </w:p>
          <w:p w14:paraId="5B0747A6" w14:textId="3A6C3269" w:rsidR="00724AAD" w:rsidRPr="00A854F4" w:rsidRDefault="00570FA8">
            <w:pPr>
              <w:numPr>
                <w:ilvl w:val="0"/>
                <w:numId w:val="10"/>
              </w:numPr>
              <w:spacing w:before="60" w:after="60"/>
              <w:ind w:left="357" w:hanging="357"/>
              <w:jc w:val="both"/>
              <w:rPr>
                <w:rFonts w:asciiTheme="minorBidi" w:eastAsia="Calibri" w:hAnsiTheme="minorBidi" w:cstheme="minorBidi"/>
                <w:sz w:val="20"/>
                <w:szCs w:val="20"/>
              </w:rPr>
            </w:pPr>
            <w:r>
              <w:rPr>
                <w:rFonts w:asciiTheme="minorBidi" w:hAnsiTheme="minorBidi"/>
                <w:sz w:val="20"/>
              </w:rPr>
              <w:t>Élaboration en cours d</w:t>
            </w:r>
            <w:r w:rsidR="00740572">
              <w:rPr>
                <w:rFonts w:asciiTheme="minorBidi" w:hAnsiTheme="minorBidi"/>
                <w:sz w:val="20"/>
              </w:rPr>
              <w:t>’</w:t>
            </w:r>
            <w:r>
              <w:rPr>
                <w:rFonts w:asciiTheme="minorBidi" w:hAnsiTheme="minorBidi"/>
                <w:sz w:val="20"/>
              </w:rPr>
              <w:t>une brochure thématique (PDF) sur le patrimoine vivant et les situations d</w:t>
            </w:r>
            <w:r w:rsidR="00740572">
              <w:rPr>
                <w:rFonts w:asciiTheme="minorBidi" w:hAnsiTheme="minorBidi"/>
                <w:sz w:val="20"/>
              </w:rPr>
              <w:t>’</w:t>
            </w:r>
            <w:r>
              <w:rPr>
                <w:rFonts w:asciiTheme="minorBidi" w:hAnsiTheme="minorBidi"/>
                <w:sz w:val="20"/>
              </w:rPr>
              <w:t>urgence pour une publication en décembre 2021.</w:t>
            </w:r>
          </w:p>
          <w:p w14:paraId="4154884A" w14:textId="77777777" w:rsidR="00724AAD" w:rsidRPr="00A854F4" w:rsidRDefault="00724AAD">
            <w:pPr>
              <w:numPr>
                <w:ilvl w:val="0"/>
                <w:numId w:val="10"/>
              </w:numPr>
              <w:spacing w:before="60" w:after="60"/>
              <w:ind w:left="357" w:hanging="357"/>
              <w:jc w:val="both"/>
              <w:rPr>
                <w:rFonts w:ascii="Arial" w:eastAsia="Calibri" w:hAnsi="Arial" w:cs="Arial"/>
                <w:sz w:val="20"/>
                <w:szCs w:val="20"/>
              </w:rPr>
            </w:pPr>
            <w:r>
              <w:rPr>
                <w:rFonts w:asciiTheme="minorBidi" w:hAnsiTheme="minorBidi"/>
                <w:sz w:val="20"/>
              </w:rPr>
              <w:t>Optimisation du système de gestion des connaissances pour mieux faire face aux vagues de connexions en ligne aux échéances et pendant les événements statutaires importants.</w:t>
            </w:r>
          </w:p>
        </w:tc>
        <w:tc>
          <w:tcPr>
            <w:tcW w:w="2835" w:type="dxa"/>
          </w:tcPr>
          <w:p w14:paraId="62FD68AE" w14:textId="77777777" w:rsidR="00A4197B" w:rsidRPr="00A854F4" w:rsidRDefault="00724AAD" w:rsidP="003E022D">
            <w:pPr>
              <w:tabs>
                <w:tab w:val="left" w:pos="826"/>
              </w:tabs>
              <w:spacing w:before="320" w:after="0"/>
              <w:jc w:val="center"/>
              <w:rPr>
                <w:rFonts w:ascii="Arial" w:eastAsia="Calibri" w:hAnsi="Arial" w:cs="Arial"/>
                <w:sz w:val="20"/>
                <w:szCs w:val="20"/>
              </w:rPr>
            </w:pPr>
            <w:r>
              <w:rPr>
                <w:rFonts w:ascii="Arial" w:hAnsi="Arial"/>
                <w:sz w:val="20"/>
              </w:rPr>
              <w:lastRenderedPageBreak/>
              <w:t xml:space="preserve">Partiellement accomplie </w:t>
            </w:r>
          </w:p>
          <w:p w14:paraId="0E863EA9" w14:textId="090EFB31" w:rsidR="000E1A62" w:rsidRDefault="00724AAD" w:rsidP="003E022D">
            <w:pPr>
              <w:tabs>
                <w:tab w:val="left" w:pos="826"/>
              </w:tabs>
              <w:spacing w:after="0"/>
              <w:jc w:val="center"/>
              <w:rPr>
                <w:rFonts w:ascii="Arial" w:hAnsi="Arial" w:cs="Arial"/>
                <w:sz w:val="20"/>
              </w:rPr>
            </w:pPr>
            <w:r>
              <w:rPr>
                <w:rFonts w:ascii="Arial" w:hAnsi="Arial"/>
                <w:sz w:val="20"/>
              </w:rPr>
              <w:t>(en cours)</w:t>
            </w:r>
          </w:p>
          <w:p w14:paraId="2EA5C755" w14:textId="76D6EA07" w:rsidR="000E1A62" w:rsidRPr="00A854F4" w:rsidRDefault="000E1A62" w:rsidP="000E1A62">
            <w:pPr>
              <w:tabs>
                <w:tab w:val="left" w:pos="826"/>
              </w:tabs>
              <w:spacing w:after="0"/>
              <w:jc w:val="center"/>
              <w:rPr>
                <w:rFonts w:ascii="Arial" w:eastAsia="Calibri" w:hAnsi="Arial" w:cs="Arial"/>
                <w:sz w:val="20"/>
                <w:szCs w:val="20"/>
              </w:rPr>
            </w:pPr>
          </w:p>
        </w:tc>
      </w:tr>
    </w:tbl>
    <w:p w14:paraId="3D6A3A67" w14:textId="77777777" w:rsidR="00724AAD" w:rsidRPr="00A854F4" w:rsidRDefault="00724AAD" w:rsidP="00724AAD">
      <w:pPr>
        <w:pStyle w:val="ListParagraph"/>
        <w:keepNext/>
        <w:numPr>
          <w:ilvl w:val="0"/>
          <w:numId w:val="12"/>
        </w:numPr>
        <w:spacing w:before="240"/>
        <w:ind w:left="284" w:hanging="284"/>
        <w:rPr>
          <w:rFonts w:ascii="Arial" w:hAnsi="Arial" w:cs="Arial"/>
          <w:b/>
          <w:sz w:val="22"/>
          <w:szCs w:val="22"/>
        </w:rPr>
      </w:pPr>
      <w:r>
        <w:rPr>
          <w:rFonts w:ascii="Arial" w:hAnsi="Arial"/>
          <w:b/>
          <w:sz w:val="22"/>
        </w:rPr>
        <w:t>Défis et risques rencontrés dans la mise en œuvre et mesures correctives (2020-2021)</w:t>
      </w:r>
    </w:p>
    <w:p w14:paraId="2F4F5E55" w14:textId="77777777" w:rsidR="00724AAD" w:rsidRPr="00ED3B35" w:rsidRDefault="00724AAD" w:rsidP="00724AAD">
      <w:pPr>
        <w:pStyle w:val="ListParagraph"/>
        <w:keepNext/>
        <w:spacing w:before="240"/>
        <w:ind w:left="284"/>
        <w:rPr>
          <w:rFonts w:ascii="Arial" w:hAnsi="Arial" w:cs="Arial"/>
          <w:b/>
          <w:sz w:val="22"/>
          <w:szCs w:val="22"/>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724AAD" w:rsidRPr="00A854F4" w14:paraId="18A46C35" w14:textId="77777777" w:rsidTr="00C35DA5">
        <w:trPr>
          <w:tblHeader/>
          <w:jc w:val="center"/>
        </w:trPr>
        <w:tc>
          <w:tcPr>
            <w:tcW w:w="2500" w:type="pct"/>
            <w:shd w:val="clear" w:color="auto" w:fill="D9D9D9"/>
            <w:vAlign w:val="center"/>
          </w:tcPr>
          <w:p w14:paraId="12E29F59" w14:textId="77777777" w:rsidR="00724AAD" w:rsidRPr="00A854F4" w:rsidRDefault="00724AAD" w:rsidP="00C35DA5">
            <w:pPr>
              <w:keepNext/>
              <w:spacing w:before="60" w:after="60"/>
              <w:jc w:val="center"/>
              <w:rPr>
                <w:rFonts w:ascii="Arial" w:hAnsi="Arial" w:cs="Arial"/>
                <w:b/>
                <w:sz w:val="20"/>
                <w:szCs w:val="20"/>
              </w:rPr>
            </w:pPr>
            <w:r>
              <w:rPr>
                <w:rFonts w:ascii="Arial" w:hAnsi="Arial"/>
                <w:b/>
                <w:sz w:val="20"/>
              </w:rPr>
              <w:t>Principaux défis</w:t>
            </w:r>
          </w:p>
        </w:tc>
        <w:tc>
          <w:tcPr>
            <w:tcW w:w="2500" w:type="pct"/>
            <w:shd w:val="clear" w:color="auto" w:fill="D9D9D9"/>
            <w:vAlign w:val="center"/>
          </w:tcPr>
          <w:p w14:paraId="1B07E337" w14:textId="77777777" w:rsidR="00724AAD" w:rsidRPr="00A854F4" w:rsidRDefault="00724AAD" w:rsidP="00C35DA5">
            <w:pPr>
              <w:keepNext/>
              <w:spacing w:before="60" w:after="60"/>
              <w:jc w:val="center"/>
              <w:rPr>
                <w:rFonts w:ascii="Arial" w:hAnsi="Arial" w:cs="Arial"/>
                <w:b/>
                <w:sz w:val="20"/>
                <w:szCs w:val="20"/>
              </w:rPr>
            </w:pPr>
            <w:r>
              <w:rPr>
                <w:rFonts w:ascii="Arial" w:hAnsi="Arial"/>
                <w:b/>
                <w:sz w:val="20"/>
              </w:rPr>
              <w:t>Mesures correctives</w:t>
            </w:r>
          </w:p>
        </w:tc>
      </w:tr>
      <w:tr w:rsidR="00724AAD" w:rsidRPr="00A854F4" w14:paraId="7C555818" w14:textId="77777777" w:rsidTr="00C35DA5">
        <w:trPr>
          <w:jc w:val="center"/>
        </w:trPr>
        <w:tc>
          <w:tcPr>
            <w:tcW w:w="2500" w:type="pct"/>
            <w:shd w:val="clear" w:color="auto" w:fill="auto"/>
          </w:tcPr>
          <w:p w14:paraId="76D7DBB5" w14:textId="5EF0867C" w:rsidR="00724AAD" w:rsidRPr="00A854F4" w:rsidRDefault="00724AAD" w:rsidP="00C35DA5">
            <w:pPr>
              <w:spacing w:before="60" w:after="60"/>
              <w:jc w:val="both"/>
              <w:rPr>
                <w:rFonts w:ascii="Arial" w:hAnsi="Arial" w:cs="Arial"/>
                <w:sz w:val="20"/>
                <w:szCs w:val="20"/>
              </w:rPr>
            </w:pPr>
            <w:r>
              <w:rPr>
                <w:rFonts w:ascii="Arial" w:hAnsi="Arial"/>
                <w:sz w:val="20"/>
              </w:rPr>
              <w:t>Les restrictions en lien avec la COVID-19 ont empêché l</w:t>
            </w:r>
            <w:r w:rsidR="00740572">
              <w:rPr>
                <w:rFonts w:ascii="Arial" w:hAnsi="Arial"/>
                <w:sz w:val="20"/>
              </w:rPr>
              <w:t>’</w:t>
            </w:r>
            <w:r>
              <w:rPr>
                <w:rFonts w:ascii="Arial" w:hAnsi="Arial"/>
                <w:sz w:val="20"/>
              </w:rPr>
              <w:t>organisation de la plupart des événements physiques pendant la période considérée. Certaines des activités prévues (expositions, événements parallèles) se sont avérées peu pertinentes dans ce contexte et n</w:t>
            </w:r>
            <w:r w:rsidR="00740572">
              <w:rPr>
                <w:rFonts w:ascii="Arial" w:hAnsi="Arial"/>
                <w:sz w:val="20"/>
              </w:rPr>
              <w:t>’</w:t>
            </w:r>
            <w:r>
              <w:rPr>
                <w:rFonts w:ascii="Arial" w:hAnsi="Arial"/>
                <w:sz w:val="20"/>
              </w:rPr>
              <w:t>ont pas pu être converties au format en ligne.</w:t>
            </w:r>
          </w:p>
        </w:tc>
        <w:tc>
          <w:tcPr>
            <w:tcW w:w="2500" w:type="pct"/>
            <w:shd w:val="clear" w:color="auto" w:fill="auto"/>
          </w:tcPr>
          <w:p w14:paraId="5214A045" w14:textId="1803FAC2" w:rsidR="00724AAD" w:rsidRPr="00A854F4" w:rsidRDefault="00724AAD" w:rsidP="00C35DA5">
            <w:pPr>
              <w:spacing w:before="60" w:after="60"/>
              <w:jc w:val="both"/>
              <w:rPr>
                <w:rFonts w:ascii="Arial" w:eastAsia="Calibri" w:hAnsi="Arial" w:cs="Arial"/>
                <w:sz w:val="20"/>
                <w:szCs w:val="20"/>
              </w:rPr>
            </w:pPr>
            <w:r>
              <w:rPr>
                <w:rFonts w:ascii="Arial" w:hAnsi="Arial"/>
                <w:sz w:val="20"/>
              </w:rPr>
              <w:t>Ces activités seront reprogrammées ultérieurement, lorsque les conditions seront propices à l</w:t>
            </w:r>
            <w:r w:rsidR="00740572">
              <w:rPr>
                <w:rFonts w:ascii="Arial" w:hAnsi="Arial"/>
                <w:sz w:val="20"/>
              </w:rPr>
              <w:t>’</w:t>
            </w:r>
            <w:r>
              <w:rPr>
                <w:rFonts w:ascii="Arial" w:hAnsi="Arial"/>
                <w:sz w:val="20"/>
              </w:rPr>
              <w:t>organisation d</w:t>
            </w:r>
            <w:r w:rsidR="00740572">
              <w:rPr>
                <w:rFonts w:ascii="Arial" w:hAnsi="Arial"/>
                <w:sz w:val="20"/>
              </w:rPr>
              <w:t>’</w:t>
            </w:r>
            <w:r>
              <w:rPr>
                <w:rFonts w:ascii="Arial" w:hAnsi="Arial"/>
                <w:sz w:val="20"/>
              </w:rPr>
              <w:t>événements de grande ampleur, destinés à d</w:t>
            </w:r>
            <w:r w:rsidR="00740572">
              <w:rPr>
                <w:rFonts w:ascii="Arial" w:hAnsi="Arial"/>
                <w:sz w:val="20"/>
              </w:rPr>
              <w:t>’</w:t>
            </w:r>
            <w:r>
              <w:rPr>
                <w:rFonts w:ascii="Arial" w:hAnsi="Arial"/>
                <w:sz w:val="20"/>
              </w:rPr>
              <w:t>importants auditoires.</w:t>
            </w:r>
          </w:p>
        </w:tc>
      </w:tr>
      <w:tr w:rsidR="00724AAD" w:rsidRPr="00A854F4" w14:paraId="36E8E36A" w14:textId="77777777" w:rsidTr="00C35DA5">
        <w:trPr>
          <w:jc w:val="center"/>
        </w:trPr>
        <w:tc>
          <w:tcPr>
            <w:tcW w:w="2500" w:type="pct"/>
            <w:shd w:val="clear" w:color="auto" w:fill="auto"/>
          </w:tcPr>
          <w:p w14:paraId="71219989" w14:textId="012FD092" w:rsidR="00724AAD" w:rsidRPr="00A854F4" w:rsidRDefault="00724AAD" w:rsidP="00C35DA5">
            <w:pPr>
              <w:spacing w:before="60" w:after="60"/>
              <w:jc w:val="both"/>
              <w:rPr>
                <w:rFonts w:ascii="Arial" w:hAnsi="Arial" w:cs="Arial"/>
                <w:sz w:val="20"/>
                <w:szCs w:val="20"/>
              </w:rPr>
            </w:pPr>
            <w:r>
              <w:rPr>
                <w:rFonts w:ascii="Arial" w:hAnsi="Arial"/>
                <w:sz w:val="20"/>
              </w:rPr>
              <w:t>La mise en œuvre des activités de sensibilisation s</w:t>
            </w:r>
            <w:r w:rsidR="00740572">
              <w:rPr>
                <w:rFonts w:ascii="Arial" w:hAnsi="Arial"/>
                <w:sz w:val="20"/>
              </w:rPr>
              <w:t>’</w:t>
            </w:r>
            <w:r>
              <w:rPr>
                <w:rFonts w:ascii="Arial" w:hAnsi="Arial"/>
                <w:sz w:val="20"/>
              </w:rPr>
              <w:t>est ressentie de l</w:t>
            </w:r>
            <w:r w:rsidR="00740572">
              <w:rPr>
                <w:rFonts w:ascii="Arial" w:hAnsi="Arial"/>
                <w:sz w:val="20"/>
              </w:rPr>
              <w:t>’</w:t>
            </w:r>
            <w:r>
              <w:rPr>
                <w:rFonts w:ascii="Arial" w:hAnsi="Arial"/>
                <w:sz w:val="20"/>
              </w:rPr>
              <w:t>insuffisance des ressources humaines.</w:t>
            </w:r>
          </w:p>
        </w:tc>
        <w:tc>
          <w:tcPr>
            <w:tcW w:w="2500" w:type="pct"/>
            <w:shd w:val="clear" w:color="auto" w:fill="auto"/>
          </w:tcPr>
          <w:p w14:paraId="310C10AF" w14:textId="22611DA0" w:rsidR="00724AAD" w:rsidRPr="00A854F4" w:rsidRDefault="00A854F4" w:rsidP="00C35DA5">
            <w:pPr>
              <w:spacing w:before="60" w:after="60"/>
              <w:jc w:val="both"/>
              <w:rPr>
                <w:rFonts w:ascii="Arial" w:hAnsi="Arial" w:cs="Arial"/>
                <w:sz w:val="20"/>
                <w:szCs w:val="20"/>
              </w:rPr>
            </w:pPr>
            <w:r>
              <w:rPr>
                <w:rFonts w:ascii="Arial" w:hAnsi="Arial"/>
                <w:sz w:val="20"/>
              </w:rPr>
              <w:t>Les activités de programmation à venir devraient prendre davantage en compte cette dimension de ressources humaines en vue d</w:t>
            </w:r>
            <w:r w:rsidR="00740572">
              <w:rPr>
                <w:rFonts w:ascii="Arial" w:hAnsi="Arial"/>
                <w:sz w:val="20"/>
              </w:rPr>
              <w:t>’</w:t>
            </w:r>
            <w:r>
              <w:rPr>
                <w:rFonts w:ascii="Arial" w:hAnsi="Arial"/>
                <w:sz w:val="20"/>
              </w:rPr>
              <w:t>une mise en œuvre plus efficace.</w:t>
            </w:r>
          </w:p>
        </w:tc>
      </w:tr>
    </w:tbl>
    <w:p w14:paraId="1F692B2F" w14:textId="77777777" w:rsidR="00724AAD" w:rsidRPr="00A854F4" w:rsidRDefault="00724AAD" w:rsidP="00724AAD">
      <w:pPr>
        <w:pStyle w:val="1GAPara"/>
        <w:numPr>
          <w:ilvl w:val="0"/>
          <w:numId w:val="0"/>
        </w:numPr>
        <w:ind w:left="567" w:hanging="567"/>
      </w:pPr>
    </w:p>
    <w:sectPr w:rsidR="00724AAD" w:rsidRPr="00A854F4" w:rsidSect="002938F2">
      <w:headerReference w:type="even" r:id="rId15"/>
      <w:headerReference w:type="default" r:id="rId16"/>
      <w:headerReference w:type="first" r:id="rId1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D3A16" w14:textId="77777777" w:rsidR="00740572" w:rsidRDefault="00740572" w:rsidP="002938F2">
      <w:r>
        <w:separator/>
      </w:r>
    </w:p>
    <w:p w14:paraId="33EA4F6F" w14:textId="77777777" w:rsidR="00740572" w:rsidRDefault="00740572"/>
  </w:endnote>
  <w:endnote w:type="continuationSeparator" w:id="0">
    <w:p w14:paraId="0581EFAD" w14:textId="77777777" w:rsidR="00740572" w:rsidRDefault="00740572" w:rsidP="002938F2">
      <w:r>
        <w:continuationSeparator/>
      </w:r>
    </w:p>
    <w:p w14:paraId="64D46AA1" w14:textId="77777777" w:rsidR="00740572" w:rsidRDefault="007405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59E3D" w14:textId="77777777" w:rsidR="00740572" w:rsidRDefault="00740572" w:rsidP="00CC43F1">
      <w:r>
        <w:separator/>
      </w:r>
    </w:p>
  </w:footnote>
  <w:footnote w:type="continuationSeparator" w:id="0">
    <w:p w14:paraId="5F695D98" w14:textId="77777777" w:rsidR="00740572" w:rsidRDefault="00740572" w:rsidP="00CC43F1">
      <w:r>
        <w:continuationSeparator/>
      </w:r>
    </w:p>
  </w:footnote>
  <w:footnote w:id="1">
    <w:p w14:paraId="2A818B62" w14:textId="6A4CADB8" w:rsidR="00740572" w:rsidRPr="00A07EE9" w:rsidRDefault="00740572" w:rsidP="00A07EE9">
      <w:pPr>
        <w:pStyle w:val="FootnoteText"/>
        <w:ind w:left="567" w:hanging="567"/>
        <w:jc w:val="both"/>
        <w:rPr>
          <w:rFonts w:ascii="Arial" w:hAnsi="Arial" w:cs="Arial"/>
          <w:sz w:val="18"/>
          <w:szCs w:val="18"/>
        </w:rPr>
      </w:pPr>
      <w:r w:rsidRPr="00A07EE9">
        <w:rPr>
          <w:rStyle w:val="FootnoteReference"/>
          <w:rFonts w:ascii="Arial" w:hAnsi="Arial" w:cs="Arial"/>
          <w:sz w:val="18"/>
          <w:szCs w:val="18"/>
          <w:vertAlign w:val="baseline"/>
        </w:rPr>
        <w:footnoteRef/>
      </w:r>
      <w:r w:rsidRPr="00740572">
        <w:rPr>
          <w:rFonts w:ascii="Arial" w:hAnsi="Arial" w:cs="Arial"/>
          <w:sz w:val="18"/>
          <w:szCs w:val="18"/>
        </w:rPr>
        <w:t>.</w:t>
      </w:r>
      <w:r w:rsidRPr="00A07EE9">
        <w:rPr>
          <w:rFonts w:ascii="Arial" w:hAnsi="Arial" w:cs="Arial"/>
          <w:sz w:val="18"/>
          <w:szCs w:val="18"/>
        </w:rPr>
        <w:t xml:space="preserve"> </w:t>
      </w:r>
      <w:r w:rsidRPr="00740572">
        <w:rPr>
          <w:rFonts w:ascii="Arial" w:hAnsi="Arial" w:cs="Arial"/>
          <w:sz w:val="18"/>
          <w:szCs w:val="18"/>
        </w:rPr>
        <w:tab/>
      </w:r>
      <w:r w:rsidRPr="00A07EE9">
        <w:rPr>
          <w:rFonts w:ascii="Arial" w:hAnsi="Arial" w:cs="Arial"/>
          <w:sz w:val="18"/>
          <w:szCs w:val="18"/>
        </w:rPr>
        <w:t>L</w:t>
      </w:r>
      <w:r>
        <w:rPr>
          <w:rFonts w:ascii="Arial" w:hAnsi="Arial" w:cs="Arial"/>
          <w:sz w:val="18"/>
          <w:szCs w:val="18"/>
        </w:rPr>
        <w:t>’</w:t>
      </w:r>
      <w:r w:rsidRPr="00A07EE9">
        <w:rPr>
          <w:rFonts w:ascii="Arial" w:hAnsi="Arial" w:cs="Arial"/>
          <w:sz w:val="18"/>
          <w:szCs w:val="18"/>
        </w:rPr>
        <w:t>ensemble des chiffres de ces tableaux sont extraits des rapports financiers (au 31 décembre 2019 pour l</w:t>
      </w:r>
      <w:r>
        <w:rPr>
          <w:rFonts w:ascii="Arial" w:hAnsi="Arial" w:cs="Arial"/>
          <w:sz w:val="18"/>
          <w:szCs w:val="18"/>
        </w:rPr>
        <w:t>’</w:t>
      </w:r>
      <w:r w:rsidRPr="00A07EE9">
        <w:rPr>
          <w:rFonts w:ascii="Arial" w:hAnsi="Arial" w:cs="Arial"/>
          <w:sz w:val="18"/>
          <w:szCs w:val="18"/>
        </w:rPr>
        <w:t>exercice biennal 2018/2019 et au 30 juin 2021 pour l</w:t>
      </w:r>
      <w:r>
        <w:rPr>
          <w:rFonts w:ascii="Arial" w:hAnsi="Arial" w:cs="Arial"/>
          <w:sz w:val="18"/>
          <w:szCs w:val="18"/>
        </w:rPr>
        <w:t>’</w:t>
      </w:r>
      <w:r w:rsidRPr="00A07EE9">
        <w:rPr>
          <w:rFonts w:ascii="Arial" w:hAnsi="Arial" w:cs="Arial"/>
          <w:sz w:val="18"/>
          <w:szCs w:val="18"/>
        </w:rPr>
        <w:t>exercice biennal 2020/2021) publiés par le Bureau de la planification stratégique de l</w:t>
      </w:r>
      <w:r>
        <w:rPr>
          <w:rFonts w:ascii="Arial" w:hAnsi="Arial" w:cs="Arial"/>
          <w:sz w:val="18"/>
          <w:szCs w:val="18"/>
        </w:rPr>
        <w:t>’</w:t>
      </w:r>
      <w:r w:rsidRPr="00A07EE9">
        <w:rPr>
          <w:rFonts w:ascii="Arial" w:hAnsi="Arial" w:cs="Arial"/>
          <w:sz w:val="18"/>
          <w:szCs w:val="18"/>
        </w:rPr>
        <w:t>UNESCO – Section de la gestion des financements. Tous les chiffres des tableaux sont exprimés en dollars des États-Unis</w:t>
      </w:r>
      <w:r w:rsidR="009E6CF4">
        <w:rPr>
          <w:rFonts w:ascii="Arial" w:hAnsi="Arial" w:cs="Arial"/>
          <w:sz w:val="18"/>
          <w:szCs w:val="18"/>
        </w:rPr>
        <w:t>.</w:t>
      </w:r>
    </w:p>
  </w:footnote>
  <w:footnote w:id="2">
    <w:p w14:paraId="46CCF063" w14:textId="62D8CC8E" w:rsidR="00740572" w:rsidRPr="00A07EE9" w:rsidRDefault="00740572" w:rsidP="00A07EE9">
      <w:pPr>
        <w:pStyle w:val="FootnoteText"/>
        <w:ind w:left="567" w:hanging="567"/>
        <w:jc w:val="both"/>
        <w:rPr>
          <w:rFonts w:ascii="Arial" w:hAnsi="Arial" w:cs="Arial"/>
          <w:sz w:val="18"/>
          <w:szCs w:val="18"/>
        </w:rPr>
      </w:pPr>
      <w:r w:rsidRPr="00A07EE9">
        <w:rPr>
          <w:rStyle w:val="FootnoteReference"/>
          <w:rFonts w:ascii="Arial" w:hAnsi="Arial" w:cs="Arial"/>
          <w:sz w:val="18"/>
          <w:szCs w:val="18"/>
          <w:vertAlign w:val="baseline"/>
        </w:rPr>
        <w:footnoteRef/>
      </w:r>
      <w:r w:rsidRPr="00A07EE9">
        <w:rPr>
          <w:rFonts w:ascii="Arial" w:hAnsi="Arial" w:cs="Arial"/>
          <w:sz w:val="18"/>
          <w:szCs w:val="18"/>
        </w:rPr>
        <w:t xml:space="preserve">. </w:t>
      </w:r>
      <w:r w:rsidRPr="00A07EE9">
        <w:rPr>
          <w:rFonts w:ascii="Arial" w:hAnsi="Arial" w:cs="Arial"/>
          <w:sz w:val="18"/>
          <w:szCs w:val="18"/>
        </w:rPr>
        <w:tab/>
        <w:t>Au cours de l</w:t>
      </w:r>
      <w:r>
        <w:rPr>
          <w:rFonts w:ascii="Arial" w:hAnsi="Arial" w:cs="Arial"/>
          <w:sz w:val="18"/>
          <w:szCs w:val="18"/>
        </w:rPr>
        <w:t>’</w:t>
      </w:r>
      <w:r w:rsidRPr="00A07EE9">
        <w:rPr>
          <w:rFonts w:ascii="Arial" w:hAnsi="Arial" w:cs="Arial"/>
          <w:sz w:val="18"/>
          <w:szCs w:val="18"/>
        </w:rPr>
        <w:t>exercice biennal 2018 - 2019, le résultat escompté 2 s</w:t>
      </w:r>
      <w:r>
        <w:rPr>
          <w:rFonts w:ascii="Arial" w:hAnsi="Arial" w:cs="Arial"/>
          <w:sz w:val="18"/>
          <w:szCs w:val="18"/>
        </w:rPr>
        <w:t>’</w:t>
      </w:r>
      <w:r w:rsidRPr="00A07EE9">
        <w:rPr>
          <w:rFonts w:ascii="Arial" w:hAnsi="Arial" w:cs="Arial"/>
          <w:sz w:val="18"/>
          <w:szCs w:val="18"/>
        </w:rPr>
        <w:t xml:space="preserve">intitulait « Mise en œuvre de la Convention dans les États membres encouragée par un programme de renforcement des capacités consolidé et des conseils sur des mesures de sauvegarde et des bonnes pratiques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C64BA" w14:textId="77777777" w:rsidR="00740572" w:rsidRPr="007E4E37" w:rsidRDefault="00740572" w:rsidP="009B55AC">
    <w:pPr>
      <w:pStyle w:val="Header"/>
      <w:rPr>
        <w:rFonts w:ascii="Arial" w:hAnsi="Arial" w:cs="Arial"/>
      </w:rPr>
    </w:pPr>
    <w:r>
      <w:rPr>
        <w:rFonts w:ascii="Arial" w:hAnsi="Arial"/>
        <w:sz w:val="20"/>
      </w:rPr>
      <w:t xml:space="preserve">LHE/21/16.COM/INF.13.2 – page </w:t>
    </w:r>
    <w:r w:rsidRPr="00D81948">
      <w:rPr>
        <w:rStyle w:val="PageNumber"/>
        <w:rFonts w:ascii="Arial" w:hAnsi="Arial" w:cs="Arial"/>
        <w:sz w:val="20"/>
      </w:rPr>
      <w:fldChar w:fldCharType="begin"/>
    </w:r>
    <w:r w:rsidRPr="00D81948">
      <w:rPr>
        <w:rStyle w:val="PageNumber"/>
        <w:rFonts w:ascii="Arial" w:hAnsi="Arial" w:cs="Arial"/>
        <w:sz w:val="20"/>
      </w:rPr>
      <w:instrText xml:space="preserve"> PAGE </w:instrText>
    </w:r>
    <w:r w:rsidRPr="00D81948">
      <w:rPr>
        <w:rStyle w:val="PageNumber"/>
        <w:rFonts w:ascii="Arial" w:hAnsi="Arial" w:cs="Arial"/>
        <w:sz w:val="20"/>
      </w:rPr>
      <w:fldChar w:fldCharType="separate"/>
    </w:r>
    <w:r>
      <w:rPr>
        <w:rStyle w:val="PageNumber"/>
        <w:rFonts w:ascii="Arial" w:hAnsi="Arial" w:cs="Arial"/>
        <w:sz w:val="20"/>
      </w:rPr>
      <w:t>10</w:t>
    </w:r>
    <w:r w:rsidRPr="00D81948">
      <w:rPr>
        <w:rStyle w:val="PageNumbe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B43A8" w14:textId="77777777" w:rsidR="00740572" w:rsidRPr="007E4E37" w:rsidRDefault="00740572" w:rsidP="007D13D9">
    <w:pPr>
      <w:pStyle w:val="Header"/>
      <w:ind w:left="2544" w:firstLine="3828"/>
      <w:jc w:val="right"/>
      <w:rPr>
        <w:rFonts w:ascii="Arial" w:hAnsi="Arial" w:cs="Arial"/>
      </w:rPr>
    </w:pPr>
    <w:r>
      <w:rPr>
        <w:rFonts w:ascii="Arial" w:hAnsi="Arial"/>
        <w:sz w:val="20"/>
      </w:rPr>
      <w:t xml:space="preserve">LHE/21/16.COM/INF.13.2 – page </w:t>
    </w:r>
    <w:r w:rsidRPr="00EF563B">
      <w:rPr>
        <w:rStyle w:val="PageNumber"/>
        <w:rFonts w:ascii="Arial" w:hAnsi="Arial" w:cs="Arial"/>
        <w:sz w:val="20"/>
      </w:rPr>
      <w:fldChar w:fldCharType="begin"/>
    </w:r>
    <w:r w:rsidRPr="00EF563B">
      <w:rPr>
        <w:rStyle w:val="PageNumber"/>
        <w:rFonts w:ascii="Arial" w:hAnsi="Arial" w:cs="Arial"/>
        <w:sz w:val="20"/>
      </w:rPr>
      <w:instrText xml:space="preserve"> </w:instrText>
    </w:r>
    <w:r>
      <w:rPr>
        <w:rStyle w:val="PageNumber"/>
        <w:rFonts w:ascii="Arial" w:hAnsi="Arial" w:cs="Arial"/>
        <w:sz w:val="20"/>
      </w:rPr>
      <w:instrText>PAGE</w:instrText>
    </w:r>
    <w:r w:rsidRPr="00EF563B">
      <w:rPr>
        <w:rStyle w:val="PageNumber"/>
        <w:rFonts w:ascii="Arial" w:hAnsi="Arial" w:cs="Arial"/>
        <w:sz w:val="20"/>
      </w:rPr>
      <w:instrText xml:space="preserve"> </w:instrText>
    </w:r>
    <w:r w:rsidRPr="00EF563B">
      <w:rPr>
        <w:rStyle w:val="PageNumber"/>
        <w:rFonts w:ascii="Arial" w:hAnsi="Arial" w:cs="Arial"/>
        <w:sz w:val="20"/>
      </w:rPr>
      <w:fldChar w:fldCharType="separate"/>
    </w:r>
    <w:r>
      <w:rPr>
        <w:rStyle w:val="PageNumber"/>
        <w:rFonts w:ascii="Arial" w:hAnsi="Arial" w:cs="Arial"/>
        <w:sz w:val="20"/>
      </w:rPr>
      <w:t>9</w:t>
    </w:r>
    <w:r w:rsidRPr="00EF563B">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DA96F" w14:textId="22FDCF3D" w:rsidR="00740572" w:rsidRPr="00740572" w:rsidRDefault="00740572">
    <w:pPr>
      <w:pStyle w:val="Header"/>
    </w:pPr>
    <w:r w:rsidRPr="00740572">
      <w:rPr>
        <w:rFonts w:ascii="Arial" w:hAnsi="Arial" w:cs="Arial"/>
        <w:b/>
        <w:noProof/>
        <w:sz w:val="44"/>
        <w:szCs w:val="44"/>
        <w:lang w:val="pt-PT"/>
      </w:rPr>
      <w:drawing>
        <wp:anchor distT="0" distB="0" distL="114300" distR="114300" simplePos="0" relativeHeight="251659264" behindDoc="0" locked="0" layoutInCell="1" allowOverlap="1" wp14:anchorId="7E042528" wp14:editId="6694B056">
          <wp:simplePos x="0" y="0"/>
          <wp:positionH relativeFrom="column">
            <wp:posOffset>38100</wp:posOffset>
          </wp:positionH>
          <wp:positionV relativeFrom="paragraph">
            <wp:posOffset>57150</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9E523" w14:textId="77777777" w:rsidR="00740572" w:rsidRPr="00740572" w:rsidRDefault="00740572" w:rsidP="001943EE">
    <w:pPr>
      <w:pStyle w:val="Header"/>
      <w:spacing w:after="520"/>
      <w:jc w:val="right"/>
      <w:rPr>
        <w:rFonts w:ascii="Arial" w:hAnsi="Arial" w:cs="Arial"/>
        <w:b/>
        <w:sz w:val="44"/>
        <w:szCs w:val="44"/>
        <w:lang w:val="pt-PT"/>
      </w:rPr>
    </w:pPr>
    <w:r w:rsidRPr="00740572">
      <w:rPr>
        <w:rFonts w:ascii="Arial" w:hAnsi="Arial"/>
        <w:b/>
        <w:sz w:val="44"/>
        <w:lang w:val="pt-PT"/>
      </w:rPr>
      <w:t>16 COM</w:t>
    </w:r>
  </w:p>
  <w:p w14:paraId="33B83314" w14:textId="77777777" w:rsidR="00740572" w:rsidRPr="00740572" w:rsidRDefault="00740572" w:rsidP="009B55AC">
    <w:pPr>
      <w:spacing w:after="0"/>
      <w:jc w:val="right"/>
      <w:rPr>
        <w:rFonts w:ascii="Arial" w:hAnsi="Arial" w:cs="Arial"/>
        <w:b/>
        <w:szCs w:val="22"/>
        <w:lang w:val="pt-PT"/>
      </w:rPr>
    </w:pPr>
    <w:r w:rsidRPr="00740572">
      <w:rPr>
        <w:rFonts w:ascii="Arial" w:hAnsi="Arial"/>
        <w:b/>
        <w:lang w:val="pt-PT"/>
      </w:rPr>
      <w:t>LHE/21/16.COM/INF.13.2</w:t>
    </w:r>
  </w:p>
  <w:p w14:paraId="3C8C450E" w14:textId="77777777" w:rsidR="00740572" w:rsidRPr="00740572" w:rsidRDefault="00740572" w:rsidP="002D396D">
    <w:pPr>
      <w:spacing w:after="0"/>
      <w:jc w:val="right"/>
      <w:rPr>
        <w:rFonts w:ascii="Arial" w:eastAsiaTheme="minorEastAsia" w:hAnsi="Arial" w:cs="Arial"/>
        <w:b/>
        <w:szCs w:val="22"/>
        <w:lang w:val="pt-PT"/>
      </w:rPr>
    </w:pPr>
    <w:r w:rsidRPr="00740572">
      <w:rPr>
        <w:rFonts w:ascii="Arial" w:hAnsi="Arial"/>
        <w:b/>
        <w:lang w:val="pt-PT"/>
      </w:rPr>
      <w:t>Paris, le 15 novembre 2021</w:t>
    </w:r>
  </w:p>
  <w:p w14:paraId="6C420C2A" w14:textId="77777777" w:rsidR="00740572" w:rsidRPr="000543D6" w:rsidRDefault="00740572" w:rsidP="002D396D">
    <w:pPr>
      <w:spacing w:after="0"/>
      <w:jc w:val="right"/>
      <w:rPr>
        <w:rFonts w:ascii="Arial" w:hAnsi="Arial" w:cs="Arial"/>
        <w:b/>
        <w:szCs w:val="22"/>
      </w:rPr>
    </w:pPr>
    <w:r w:rsidRPr="00740572">
      <w:rPr>
        <w:rFonts w:ascii="Arial" w:hAnsi="Arial"/>
        <w:b/>
      </w:rPr>
      <w:t>Original : anglais</w:t>
    </w:r>
  </w:p>
  <w:p w14:paraId="3CD99E8B" w14:textId="77777777" w:rsidR="00740572" w:rsidRPr="000543D6" w:rsidRDefault="0074057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75EA"/>
    <w:multiLevelType w:val="hybridMultilevel"/>
    <w:tmpl w:val="AE326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8A7F8F"/>
    <w:multiLevelType w:val="hybridMultilevel"/>
    <w:tmpl w:val="EDD829F4"/>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40A0830"/>
    <w:multiLevelType w:val="hybridMultilevel"/>
    <w:tmpl w:val="97B2EC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E82382"/>
    <w:multiLevelType w:val="hybridMultilevel"/>
    <w:tmpl w:val="DFD0B66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2636FB"/>
    <w:multiLevelType w:val="hybridMultilevel"/>
    <w:tmpl w:val="1EC82C8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F07BFE"/>
    <w:multiLevelType w:val="hybridMultilevel"/>
    <w:tmpl w:val="8368A52C"/>
    <w:lvl w:ilvl="0" w:tplc="1FCC3A8C">
      <w:start w:val="1"/>
      <w:numFmt w:val="decimal"/>
      <w:pStyle w:val="1GAPara"/>
      <w:lvlText w:val="%1."/>
      <w:lvlJc w:val="left"/>
      <w:pPr>
        <w:ind w:left="720" w:hanging="360"/>
      </w:pPr>
      <w:rPr>
        <w:b w:val="0"/>
        <w:b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47140D93"/>
    <w:multiLevelType w:val="hybridMultilevel"/>
    <w:tmpl w:val="F0269746"/>
    <w:lvl w:ilvl="0" w:tplc="07B04652">
      <w:start w:val="1"/>
      <w:numFmt w:val="decimal"/>
      <w:pStyle w:val="5GAparabodytext"/>
      <w:lvlText w:val="%1."/>
      <w:lvlJc w:val="left"/>
      <w:pPr>
        <w:ind w:left="1287" w:hanging="360"/>
      </w:pPr>
      <w:rPr>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56B35355"/>
    <w:multiLevelType w:val="hybridMultilevel"/>
    <w:tmpl w:val="FC3C304A"/>
    <w:lvl w:ilvl="0" w:tplc="AD4CBB60">
      <w:start w:val="1"/>
      <w:numFmt w:val="decimal"/>
      <w:pStyle w:val="Numberedparagraphs"/>
      <w:lvlText w:val="%1."/>
      <w:lvlJc w:val="left"/>
      <w:pPr>
        <w:tabs>
          <w:tab w:val="num" w:pos="567"/>
        </w:tabs>
        <w:ind w:left="567" w:hanging="567"/>
      </w:pPr>
      <w:rPr>
        <w:rFonts w:hint="default"/>
      </w:rPr>
    </w:lvl>
    <w:lvl w:ilvl="1" w:tplc="91ACF9E8">
      <w:start w:val="1"/>
      <w:numFmt w:val="bullet"/>
      <w:lvlText w:val=""/>
      <w:lvlJc w:val="left"/>
      <w:pPr>
        <w:tabs>
          <w:tab w:val="num" w:pos="-621"/>
        </w:tabs>
        <w:ind w:left="1647" w:hanging="567"/>
      </w:pPr>
      <w:rPr>
        <w:rFonts w:ascii="Symbol" w:hAnsi="Symbol" w:hint="default"/>
      </w:rPr>
    </w:lvl>
    <w:lvl w:ilvl="2" w:tplc="D09477B4">
      <w:start w:val="1"/>
      <w:numFmt w:val="lowerLetter"/>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24F44B9"/>
    <w:multiLevelType w:val="hybridMultilevel"/>
    <w:tmpl w:val="FC1452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9"/>
  </w:num>
  <w:num w:numId="3">
    <w:abstractNumId w:val="4"/>
  </w:num>
  <w:num w:numId="4">
    <w:abstractNumId w:val="16"/>
  </w:num>
  <w:num w:numId="5">
    <w:abstractNumId w:val="14"/>
  </w:num>
  <w:num w:numId="6">
    <w:abstractNumId w:val="2"/>
  </w:num>
  <w:num w:numId="7">
    <w:abstractNumId w:val="5"/>
  </w:num>
  <w:num w:numId="8">
    <w:abstractNumId w:val="8"/>
  </w:num>
  <w:num w:numId="9">
    <w:abstractNumId w:val="15"/>
  </w:num>
  <w:num w:numId="10">
    <w:abstractNumId w:val="1"/>
  </w:num>
  <w:num w:numId="11">
    <w:abstractNumId w:val="11"/>
  </w:num>
  <w:num w:numId="12">
    <w:abstractNumId w:val="6"/>
  </w:num>
  <w:num w:numId="13">
    <w:abstractNumId w:val="3"/>
  </w:num>
  <w:num w:numId="14">
    <w:abstractNumId w:val="13"/>
  </w:num>
  <w:num w:numId="15">
    <w:abstractNumId w:val="7"/>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6A4"/>
    <w:rsid w:val="000019DB"/>
    <w:rsid w:val="000047CC"/>
    <w:rsid w:val="000120FD"/>
    <w:rsid w:val="0001236E"/>
    <w:rsid w:val="000145D8"/>
    <w:rsid w:val="00014752"/>
    <w:rsid w:val="00021831"/>
    <w:rsid w:val="00035D13"/>
    <w:rsid w:val="000467E9"/>
    <w:rsid w:val="00047E58"/>
    <w:rsid w:val="00052378"/>
    <w:rsid w:val="000543D6"/>
    <w:rsid w:val="00060DA6"/>
    <w:rsid w:val="00073D20"/>
    <w:rsid w:val="000755E1"/>
    <w:rsid w:val="00085541"/>
    <w:rsid w:val="00093063"/>
    <w:rsid w:val="000A34CE"/>
    <w:rsid w:val="000B21BD"/>
    <w:rsid w:val="000B450B"/>
    <w:rsid w:val="000C51B8"/>
    <w:rsid w:val="000C65E4"/>
    <w:rsid w:val="000C7765"/>
    <w:rsid w:val="000E1A62"/>
    <w:rsid w:val="000F460D"/>
    <w:rsid w:val="00105CF8"/>
    <w:rsid w:val="001064D8"/>
    <w:rsid w:val="00106B72"/>
    <w:rsid w:val="0011750D"/>
    <w:rsid w:val="00132629"/>
    <w:rsid w:val="001412DE"/>
    <w:rsid w:val="001429B3"/>
    <w:rsid w:val="001449E7"/>
    <w:rsid w:val="00144A4D"/>
    <w:rsid w:val="00151351"/>
    <w:rsid w:val="00174B39"/>
    <w:rsid w:val="001943EE"/>
    <w:rsid w:val="001A431C"/>
    <w:rsid w:val="001B38D3"/>
    <w:rsid w:val="001C5BA7"/>
    <w:rsid w:val="001D00B5"/>
    <w:rsid w:val="001D3B29"/>
    <w:rsid w:val="001E4EEB"/>
    <w:rsid w:val="001E58D9"/>
    <w:rsid w:val="001E6026"/>
    <w:rsid w:val="001E7D1E"/>
    <w:rsid w:val="001F3696"/>
    <w:rsid w:val="001F37CA"/>
    <w:rsid w:val="001F5F8A"/>
    <w:rsid w:val="001F72A2"/>
    <w:rsid w:val="00204B37"/>
    <w:rsid w:val="0020583A"/>
    <w:rsid w:val="002105E4"/>
    <w:rsid w:val="0021599F"/>
    <w:rsid w:val="00220D11"/>
    <w:rsid w:val="00237E43"/>
    <w:rsid w:val="002535D0"/>
    <w:rsid w:val="00266843"/>
    <w:rsid w:val="00266DB5"/>
    <w:rsid w:val="0027198B"/>
    <w:rsid w:val="00271BEF"/>
    <w:rsid w:val="00286C0C"/>
    <w:rsid w:val="00290D5F"/>
    <w:rsid w:val="002938F2"/>
    <w:rsid w:val="002A59C2"/>
    <w:rsid w:val="002C14DF"/>
    <w:rsid w:val="002C5280"/>
    <w:rsid w:val="002D396D"/>
    <w:rsid w:val="002F308C"/>
    <w:rsid w:val="00307B6A"/>
    <w:rsid w:val="00322AB8"/>
    <w:rsid w:val="0034602F"/>
    <w:rsid w:val="0035648A"/>
    <w:rsid w:val="00363995"/>
    <w:rsid w:val="0037081B"/>
    <w:rsid w:val="00376CC3"/>
    <w:rsid w:val="0039446E"/>
    <w:rsid w:val="003B0B60"/>
    <w:rsid w:val="003C14AE"/>
    <w:rsid w:val="003C1AC6"/>
    <w:rsid w:val="003C7065"/>
    <w:rsid w:val="003D10BB"/>
    <w:rsid w:val="003D3F39"/>
    <w:rsid w:val="003E022D"/>
    <w:rsid w:val="003F1EDB"/>
    <w:rsid w:val="003F46A0"/>
    <w:rsid w:val="004024D4"/>
    <w:rsid w:val="004073BC"/>
    <w:rsid w:val="004108B6"/>
    <w:rsid w:val="00416693"/>
    <w:rsid w:val="00434773"/>
    <w:rsid w:val="00437779"/>
    <w:rsid w:val="00446F70"/>
    <w:rsid w:val="00447C66"/>
    <w:rsid w:val="00471B34"/>
    <w:rsid w:val="00483688"/>
    <w:rsid w:val="004E056C"/>
    <w:rsid w:val="004E2817"/>
    <w:rsid w:val="004F4C73"/>
    <w:rsid w:val="005004E5"/>
    <w:rsid w:val="005016FB"/>
    <w:rsid w:val="00511D17"/>
    <w:rsid w:val="00512DD8"/>
    <w:rsid w:val="00515DDB"/>
    <w:rsid w:val="0051699F"/>
    <w:rsid w:val="005414A1"/>
    <w:rsid w:val="00541A1C"/>
    <w:rsid w:val="005451C6"/>
    <w:rsid w:val="00546F93"/>
    <w:rsid w:val="00570814"/>
    <w:rsid w:val="00570FA8"/>
    <w:rsid w:val="005A6568"/>
    <w:rsid w:val="005B7298"/>
    <w:rsid w:val="005C0660"/>
    <w:rsid w:val="005C35AE"/>
    <w:rsid w:val="005F4645"/>
    <w:rsid w:val="005F7321"/>
    <w:rsid w:val="00601DD6"/>
    <w:rsid w:val="00603F71"/>
    <w:rsid w:val="00622F58"/>
    <w:rsid w:val="00636760"/>
    <w:rsid w:val="006462B5"/>
    <w:rsid w:val="006515C9"/>
    <w:rsid w:val="00652318"/>
    <w:rsid w:val="00653123"/>
    <w:rsid w:val="006545D5"/>
    <w:rsid w:val="00661066"/>
    <w:rsid w:val="00662BDB"/>
    <w:rsid w:val="0067005F"/>
    <w:rsid w:val="006936D5"/>
    <w:rsid w:val="006A0D86"/>
    <w:rsid w:val="006B7F52"/>
    <w:rsid w:val="006C0911"/>
    <w:rsid w:val="006C76ED"/>
    <w:rsid w:val="006D46FB"/>
    <w:rsid w:val="006E77DF"/>
    <w:rsid w:val="00714FCD"/>
    <w:rsid w:val="00724AAD"/>
    <w:rsid w:val="007267B8"/>
    <w:rsid w:val="00740572"/>
    <w:rsid w:val="00746204"/>
    <w:rsid w:val="00747715"/>
    <w:rsid w:val="00750138"/>
    <w:rsid w:val="00753DA3"/>
    <w:rsid w:val="00764F50"/>
    <w:rsid w:val="00770A92"/>
    <w:rsid w:val="00772114"/>
    <w:rsid w:val="00777845"/>
    <w:rsid w:val="00790C65"/>
    <w:rsid w:val="007959CF"/>
    <w:rsid w:val="007A6511"/>
    <w:rsid w:val="007A6EB4"/>
    <w:rsid w:val="007A7D45"/>
    <w:rsid w:val="007B44A9"/>
    <w:rsid w:val="007B5137"/>
    <w:rsid w:val="007C1B00"/>
    <w:rsid w:val="007D13D9"/>
    <w:rsid w:val="007D31CE"/>
    <w:rsid w:val="007D5BB7"/>
    <w:rsid w:val="007E0621"/>
    <w:rsid w:val="007E4E37"/>
    <w:rsid w:val="007F1FA5"/>
    <w:rsid w:val="007F4B07"/>
    <w:rsid w:val="008053E8"/>
    <w:rsid w:val="00814980"/>
    <w:rsid w:val="0083488D"/>
    <w:rsid w:val="008466C3"/>
    <w:rsid w:val="00851458"/>
    <w:rsid w:val="00861A47"/>
    <w:rsid w:val="0086312B"/>
    <w:rsid w:val="008707FF"/>
    <w:rsid w:val="008724E5"/>
    <w:rsid w:val="00874EE6"/>
    <w:rsid w:val="00886C8A"/>
    <w:rsid w:val="008A225A"/>
    <w:rsid w:val="008C3740"/>
    <w:rsid w:val="008D3BF7"/>
    <w:rsid w:val="008D77B7"/>
    <w:rsid w:val="008F16C6"/>
    <w:rsid w:val="008F34A1"/>
    <w:rsid w:val="008F44FA"/>
    <w:rsid w:val="009121CE"/>
    <w:rsid w:val="009127D8"/>
    <w:rsid w:val="00914B57"/>
    <w:rsid w:val="00921F65"/>
    <w:rsid w:val="00936A1B"/>
    <w:rsid w:val="009538DF"/>
    <w:rsid w:val="0097349C"/>
    <w:rsid w:val="00975F86"/>
    <w:rsid w:val="009805D7"/>
    <w:rsid w:val="0098110C"/>
    <w:rsid w:val="00992286"/>
    <w:rsid w:val="009A52E0"/>
    <w:rsid w:val="009B55AC"/>
    <w:rsid w:val="009C63AA"/>
    <w:rsid w:val="009D1128"/>
    <w:rsid w:val="009D4547"/>
    <w:rsid w:val="009D5E38"/>
    <w:rsid w:val="009E6CF4"/>
    <w:rsid w:val="009F34A4"/>
    <w:rsid w:val="009F3988"/>
    <w:rsid w:val="009F43D4"/>
    <w:rsid w:val="00A07EE9"/>
    <w:rsid w:val="00A150C7"/>
    <w:rsid w:val="00A31420"/>
    <w:rsid w:val="00A4197B"/>
    <w:rsid w:val="00A519A2"/>
    <w:rsid w:val="00A66C6E"/>
    <w:rsid w:val="00A70883"/>
    <w:rsid w:val="00A77AEB"/>
    <w:rsid w:val="00A854F4"/>
    <w:rsid w:val="00A86042"/>
    <w:rsid w:val="00A87ED3"/>
    <w:rsid w:val="00A974CB"/>
    <w:rsid w:val="00AA444A"/>
    <w:rsid w:val="00AA630F"/>
    <w:rsid w:val="00AB1528"/>
    <w:rsid w:val="00AC4B9F"/>
    <w:rsid w:val="00AE1B18"/>
    <w:rsid w:val="00AE6725"/>
    <w:rsid w:val="00AE6879"/>
    <w:rsid w:val="00AF1C32"/>
    <w:rsid w:val="00B11AE3"/>
    <w:rsid w:val="00B17681"/>
    <w:rsid w:val="00B341AB"/>
    <w:rsid w:val="00B6167A"/>
    <w:rsid w:val="00B70594"/>
    <w:rsid w:val="00B973B5"/>
    <w:rsid w:val="00BB4A7D"/>
    <w:rsid w:val="00BD59BD"/>
    <w:rsid w:val="00BF5592"/>
    <w:rsid w:val="00C07B04"/>
    <w:rsid w:val="00C1651E"/>
    <w:rsid w:val="00C334CB"/>
    <w:rsid w:val="00C35DA5"/>
    <w:rsid w:val="00C42554"/>
    <w:rsid w:val="00C5046D"/>
    <w:rsid w:val="00C54F04"/>
    <w:rsid w:val="00C6478B"/>
    <w:rsid w:val="00C65379"/>
    <w:rsid w:val="00C658F4"/>
    <w:rsid w:val="00C70EFC"/>
    <w:rsid w:val="00C71908"/>
    <w:rsid w:val="00C86AB5"/>
    <w:rsid w:val="00C87671"/>
    <w:rsid w:val="00CB0F37"/>
    <w:rsid w:val="00CC2BC6"/>
    <w:rsid w:val="00CC43F1"/>
    <w:rsid w:val="00CC6F9B"/>
    <w:rsid w:val="00CE2586"/>
    <w:rsid w:val="00CE6E12"/>
    <w:rsid w:val="00D06236"/>
    <w:rsid w:val="00D1089D"/>
    <w:rsid w:val="00D30D7F"/>
    <w:rsid w:val="00D37F8E"/>
    <w:rsid w:val="00D404B7"/>
    <w:rsid w:val="00D4114B"/>
    <w:rsid w:val="00D46EBD"/>
    <w:rsid w:val="00D50750"/>
    <w:rsid w:val="00D62EE5"/>
    <w:rsid w:val="00D7226D"/>
    <w:rsid w:val="00D809E5"/>
    <w:rsid w:val="00D81948"/>
    <w:rsid w:val="00D857E6"/>
    <w:rsid w:val="00D9501F"/>
    <w:rsid w:val="00DA1DD6"/>
    <w:rsid w:val="00DB19EB"/>
    <w:rsid w:val="00DB20D8"/>
    <w:rsid w:val="00DB50D5"/>
    <w:rsid w:val="00DC12EE"/>
    <w:rsid w:val="00DC24B0"/>
    <w:rsid w:val="00DF3DA3"/>
    <w:rsid w:val="00E06A00"/>
    <w:rsid w:val="00E22B99"/>
    <w:rsid w:val="00E258D9"/>
    <w:rsid w:val="00E3509F"/>
    <w:rsid w:val="00E439CA"/>
    <w:rsid w:val="00E5219B"/>
    <w:rsid w:val="00E60B4C"/>
    <w:rsid w:val="00E64E62"/>
    <w:rsid w:val="00E72B36"/>
    <w:rsid w:val="00E80D73"/>
    <w:rsid w:val="00E93F6E"/>
    <w:rsid w:val="00EA198F"/>
    <w:rsid w:val="00EB48DB"/>
    <w:rsid w:val="00EB6621"/>
    <w:rsid w:val="00EB7C68"/>
    <w:rsid w:val="00ED3B35"/>
    <w:rsid w:val="00EF0BCB"/>
    <w:rsid w:val="00EF0E74"/>
    <w:rsid w:val="00EF2A56"/>
    <w:rsid w:val="00F00E8A"/>
    <w:rsid w:val="00F13022"/>
    <w:rsid w:val="00F215CB"/>
    <w:rsid w:val="00F33650"/>
    <w:rsid w:val="00F40656"/>
    <w:rsid w:val="00F43D0C"/>
    <w:rsid w:val="00F473CB"/>
    <w:rsid w:val="00F479E2"/>
    <w:rsid w:val="00F50245"/>
    <w:rsid w:val="00F56DFE"/>
    <w:rsid w:val="00F63DDA"/>
    <w:rsid w:val="00F70858"/>
    <w:rsid w:val="00F7397F"/>
    <w:rsid w:val="00F75949"/>
    <w:rsid w:val="00F808C8"/>
    <w:rsid w:val="00F832FE"/>
    <w:rsid w:val="00F941F0"/>
    <w:rsid w:val="00FC49F5"/>
    <w:rsid w:val="00FC6DAB"/>
    <w:rsid w:val="00FD1941"/>
    <w:rsid w:val="00FE3C65"/>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91CB9"/>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FA5"/>
    <w:pPr>
      <w:spacing w:after="120"/>
    </w:pPr>
    <w:rPr>
      <w:rFonts w:ascii="Times New Roman" w:eastAsia="Times New Roman" w:hAnsi="Times New Roman"/>
      <w:sz w:val="22"/>
      <w:szCs w:val="24"/>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rsid w:val="00B11AE3"/>
    <w:rPr>
      <w:rFonts w:ascii="Times New Roman" w:eastAsia="Times New Roman" w:hAnsi="Times New Roman"/>
      <w:lang w:val="fr-FR"/>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fr-FR"/>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nsinterligne2">
    <w:name w:val="Sans interligne2"/>
    <w:uiPriority w:val="1"/>
    <w:rsid w:val="000543D6"/>
    <w:rPr>
      <w:rFonts w:ascii="Times New Roman" w:eastAsia="Times New Roman" w:hAnsi="Times New Roman"/>
      <w:sz w:val="24"/>
      <w:szCs w:val="24"/>
    </w:rPr>
  </w:style>
  <w:style w:type="paragraph" w:styleId="FootnoteText">
    <w:name w:val="footnote text"/>
    <w:basedOn w:val="Normal"/>
    <w:link w:val="FootnoteTextChar"/>
    <w:semiHidden/>
    <w:unhideWhenUsed/>
    <w:rsid w:val="00C5046D"/>
    <w:pPr>
      <w:spacing w:after="0"/>
    </w:pPr>
    <w:rPr>
      <w:sz w:val="20"/>
      <w:szCs w:val="20"/>
    </w:rPr>
  </w:style>
  <w:style w:type="character" w:customStyle="1" w:styleId="FootnoteTextChar">
    <w:name w:val="Footnote Text Char"/>
    <w:basedOn w:val="DefaultParagraphFont"/>
    <w:link w:val="FootnoteText"/>
    <w:semiHidden/>
    <w:rsid w:val="00C5046D"/>
    <w:rPr>
      <w:rFonts w:ascii="Times New Roman" w:eastAsia="Times New Roman" w:hAnsi="Times New Roman"/>
      <w:lang w:val="fr-FR"/>
    </w:rPr>
  </w:style>
  <w:style w:type="character" w:styleId="FootnoteReference">
    <w:name w:val="footnote reference"/>
    <w:uiPriority w:val="99"/>
    <w:unhideWhenUsed/>
    <w:rsid w:val="00C5046D"/>
    <w:rPr>
      <w:vertAlign w:val="superscript"/>
    </w:rPr>
  </w:style>
  <w:style w:type="paragraph" w:styleId="ListParagraph">
    <w:name w:val="List Paragraph"/>
    <w:basedOn w:val="Normal"/>
    <w:uiPriority w:val="34"/>
    <w:qFormat/>
    <w:rsid w:val="00C334CB"/>
    <w:pPr>
      <w:spacing w:after="0"/>
      <w:ind w:left="720"/>
      <w:contextualSpacing/>
    </w:pPr>
    <w:rPr>
      <w:sz w:val="24"/>
    </w:rPr>
  </w:style>
  <w:style w:type="paragraph" w:customStyle="1" w:styleId="Numberedparagraphs">
    <w:name w:val="Numbered paragraphs"/>
    <w:basedOn w:val="Normal"/>
    <w:rsid w:val="00C334CB"/>
    <w:pPr>
      <w:numPr>
        <w:numId w:val="11"/>
      </w:numPr>
      <w:jc w:val="both"/>
    </w:pPr>
    <w:rPr>
      <w:rFonts w:ascii="Calibri" w:eastAsia="Calibri" w:hAnsi="Calibri"/>
      <w:szCs w:val="22"/>
      <w:lang w:eastAsia="en-US"/>
    </w:rPr>
  </w:style>
  <w:style w:type="character" w:styleId="Hyperlink">
    <w:name w:val="Hyperlink"/>
    <w:basedOn w:val="DefaultParagraphFont"/>
    <w:unhideWhenUsed/>
    <w:rsid w:val="00C07B04"/>
    <w:rPr>
      <w:color w:val="0000FF" w:themeColor="hyperlink"/>
      <w:u w:val="single"/>
    </w:rPr>
  </w:style>
  <w:style w:type="character" w:customStyle="1" w:styleId="Mentionnonrsolue1">
    <w:name w:val="Mention non résolue1"/>
    <w:basedOn w:val="DefaultParagraphFont"/>
    <w:uiPriority w:val="99"/>
    <w:semiHidden/>
    <w:unhideWhenUsed/>
    <w:rsid w:val="00C07B04"/>
    <w:rPr>
      <w:color w:val="605E5C"/>
      <w:shd w:val="clear" w:color="auto" w:fill="E1DFDD"/>
    </w:rPr>
  </w:style>
  <w:style w:type="character" w:customStyle="1" w:styleId="hps">
    <w:name w:val="hps"/>
    <w:rsid w:val="009805D7"/>
  </w:style>
  <w:style w:type="paragraph" w:customStyle="1" w:styleId="5GAparabodytext">
    <w:name w:val="5GA para body text"/>
    <w:basedOn w:val="Marge"/>
    <w:autoRedefine/>
    <w:uiPriority w:val="99"/>
    <w:qFormat/>
    <w:rsid w:val="0098110C"/>
    <w:pPr>
      <w:numPr>
        <w:numId w:val="16"/>
      </w:numPr>
      <w:tabs>
        <w:tab w:val="clear" w:pos="567"/>
      </w:tabs>
      <w:spacing w:after="120"/>
      <w:ind w:left="567" w:hanging="709"/>
    </w:pPr>
    <w:rPr>
      <w:rFonts w:cs="Arial"/>
      <w:bCs/>
      <w:szCs w:val="22"/>
    </w:rPr>
  </w:style>
  <w:style w:type="paragraph" w:styleId="Revision">
    <w:name w:val="Revision"/>
    <w:hidden/>
    <w:semiHidden/>
    <w:rsid w:val="007267B8"/>
    <w:rPr>
      <w:rFonts w:ascii="Times New Roman" w:eastAsia="Times New Roman" w:hAnsi="Times New Roman"/>
      <w:sz w:val="22"/>
      <w:szCs w:val="24"/>
    </w:rPr>
  </w:style>
  <w:style w:type="character" w:styleId="FollowedHyperlink">
    <w:name w:val="FollowedHyperlink"/>
    <w:basedOn w:val="DefaultParagraphFont"/>
    <w:semiHidden/>
    <w:unhideWhenUsed/>
    <w:rsid w:val="00FE3C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7.GA/8" TargetMode="External"/><Relationship Id="rId13" Type="http://schemas.openxmlformats.org/officeDocument/2006/relationships/hyperlink" Target="https://ich.unesco.org/fr/Decisions/14.COM/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fr/Decisions/8.GA/7"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bureau/13.COM%202.BUR/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h.unesco.org/fr/Decisions/12.COM/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fr/Decisions/8.GA/7" TargetMode="External"/><Relationship Id="rId14" Type="http://schemas.openxmlformats.org/officeDocument/2006/relationships/hyperlink" Target="https://unesdoc.unesco.org/ark:/48223/pf000036715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B914B-2519-4CF8-9CD3-FBE48D2C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document_EN.dotx</Template>
  <TotalTime>25</TotalTime>
  <Pages>14</Pages>
  <Words>5673</Words>
  <Characters>32341</Characters>
  <Application>Microsoft Office Word</Application>
  <DocSecurity>0</DocSecurity>
  <Lines>269</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37939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Kim, Dain</cp:lastModifiedBy>
  <cp:revision>10</cp:revision>
  <cp:lastPrinted>2011-08-09T15:26:00Z</cp:lastPrinted>
  <dcterms:created xsi:type="dcterms:W3CDTF">2021-11-15T12:01:00Z</dcterms:created>
  <dcterms:modified xsi:type="dcterms:W3CDTF">2021-12-07T18:07:00Z</dcterms:modified>
</cp:coreProperties>
</file>