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2B41D" w14:textId="54D5D40B" w:rsidR="002938F2" w:rsidRPr="00323D95" w:rsidRDefault="002938F2" w:rsidP="00AE1B18">
      <w:pPr>
        <w:spacing w:before="1440"/>
        <w:jc w:val="center"/>
        <w:rPr>
          <w:rFonts w:ascii="Arial" w:hAnsi="Arial" w:cs="Arial"/>
          <w:b/>
          <w:szCs w:val="22"/>
        </w:rPr>
      </w:pPr>
      <w:r w:rsidRPr="00323D95">
        <w:rPr>
          <w:rFonts w:ascii="Arial" w:hAnsi="Arial" w:cs="Arial"/>
          <w:b/>
          <w:szCs w:val="22"/>
        </w:rPr>
        <w:t>CONVENTION FOR THE SAFEGUARDING OF THE</w:t>
      </w:r>
      <w:r w:rsidRPr="00323D95">
        <w:rPr>
          <w:rFonts w:ascii="Arial" w:hAnsi="Arial" w:cs="Arial"/>
          <w:b/>
          <w:szCs w:val="22"/>
        </w:rPr>
        <w:br/>
        <w:t>INTANGIBLE CULTURAL HERITAGE</w:t>
      </w:r>
    </w:p>
    <w:p w14:paraId="2FF6D6B3" w14:textId="1AFEC7FA" w:rsidR="009E4E85" w:rsidRPr="00323D95" w:rsidRDefault="00F75CF4" w:rsidP="009E4E85">
      <w:pPr>
        <w:spacing w:before="840" w:after="0"/>
        <w:jc w:val="center"/>
        <w:rPr>
          <w:rFonts w:ascii="Arial" w:eastAsiaTheme="minorEastAsia" w:hAnsi="Arial" w:cs="Arial"/>
          <w:b/>
          <w:szCs w:val="22"/>
          <w:lang w:eastAsia="ko-KR"/>
        </w:rPr>
      </w:pPr>
      <w:r w:rsidRPr="00323D95">
        <w:rPr>
          <w:rFonts w:ascii="Arial" w:eastAsiaTheme="minorEastAsia" w:hAnsi="Arial" w:cs="Arial"/>
          <w:b/>
          <w:szCs w:val="22"/>
          <w:lang w:eastAsia="ko-KR"/>
        </w:rPr>
        <w:t>Open-ended intergovernmental working group</w:t>
      </w:r>
      <w:r w:rsidRPr="00323D95">
        <w:rPr>
          <w:rFonts w:ascii="Arial" w:eastAsiaTheme="minorEastAsia" w:hAnsi="Arial" w:cs="Arial"/>
          <w:b/>
          <w:szCs w:val="22"/>
          <w:lang w:eastAsia="ko-KR"/>
        </w:rPr>
        <w:br/>
      </w:r>
      <w:r w:rsidR="00292DE8" w:rsidRPr="00323D95">
        <w:rPr>
          <w:rFonts w:ascii="Arial" w:eastAsiaTheme="minorEastAsia" w:hAnsi="Arial" w:cs="Arial"/>
          <w:b/>
          <w:szCs w:val="22"/>
          <w:lang w:eastAsia="ko-KR"/>
        </w:rPr>
        <w:t xml:space="preserve">in the framework of </w:t>
      </w:r>
      <w:r w:rsidR="00292DE8" w:rsidRPr="00914113">
        <w:rPr>
          <w:rFonts w:ascii="Arial" w:eastAsiaTheme="minorEastAsia" w:hAnsi="Arial" w:cs="Arial"/>
          <w:b/>
          <w:szCs w:val="22"/>
          <w:lang w:eastAsia="ko-KR"/>
        </w:rPr>
        <w:t>the global</w:t>
      </w:r>
      <w:r w:rsidR="00292DE8" w:rsidRPr="00323D95">
        <w:rPr>
          <w:rFonts w:ascii="Arial" w:eastAsiaTheme="minorEastAsia" w:hAnsi="Arial" w:cs="Arial"/>
          <w:b/>
          <w:szCs w:val="22"/>
          <w:lang w:eastAsia="ko-KR"/>
        </w:rPr>
        <w:t xml:space="preserve"> reflection on the listing mechanisms</w:t>
      </w:r>
      <w:r w:rsidR="009E4E85">
        <w:rPr>
          <w:rFonts w:ascii="Arial" w:eastAsiaTheme="minorEastAsia" w:hAnsi="Arial" w:cs="Arial"/>
          <w:b/>
          <w:szCs w:val="22"/>
          <w:lang w:eastAsia="ko-KR"/>
        </w:rPr>
        <w:br/>
        <w:t>of the 2003 Convention</w:t>
      </w:r>
    </w:p>
    <w:p w14:paraId="7244590D" w14:textId="5120E479" w:rsidR="00601DD6" w:rsidRPr="00323D95" w:rsidRDefault="00CB500D" w:rsidP="00F75CF4">
      <w:pPr>
        <w:spacing w:before="840" w:after="0"/>
        <w:jc w:val="center"/>
        <w:rPr>
          <w:rFonts w:ascii="Arial" w:eastAsiaTheme="minorEastAsia" w:hAnsi="Arial" w:cs="Arial"/>
          <w:b/>
          <w:szCs w:val="22"/>
          <w:lang w:eastAsia="ko-KR"/>
        </w:rPr>
      </w:pPr>
      <w:r w:rsidRPr="00323D95">
        <w:rPr>
          <w:rFonts w:ascii="Arial" w:eastAsiaTheme="minorEastAsia" w:hAnsi="Arial" w:cs="Arial"/>
          <w:b/>
          <w:szCs w:val="22"/>
          <w:lang w:eastAsia="ko-KR"/>
        </w:rPr>
        <w:t>Online</w:t>
      </w:r>
    </w:p>
    <w:p w14:paraId="43194899" w14:textId="5AB0A5C0" w:rsidR="007E4E37" w:rsidRDefault="004700F2" w:rsidP="004E056C">
      <w:pPr>
        <w:spacing w:after="0"/>
        <w:jc w:val="center"/>
        <w:rPr>
          <w:rFonts w:ascii="Arial" w:hAnsi="Arial" w:cs="Arial"/>
          <w:b/>
          <w:szCs w:val="22"/>
        </w:rPr>
      </w:pPr>
      <w:r w:rsidRPr="00323D95">
        <w:rPr>
          <w:rFonts w:ascii="Arial" w:eastAsiaTheme="minorEastAsia" w:hAnsi="Arial" w:cs="Arial"/>
          <w:b/>
          <w:szCs w:val="22"/>
          <w:lang w:eastAsia="ko-KR"/>
        </w:rPr>
        <w:t xml:space="preserve">8 </w:t>
      </w:r>
      <w:r w:rsidR="00023B3F">
        <w:rPr>
          <w:rFonts w:ascii="Arial" w:eastAsiaTheme="minorEastAsia" w:hAnsi="Arial" w:cs="Arial"/>
          <w:b/>
          <w:szCs w:val="22"/>
          <w:lang w:eastAsia="ko-KR"/>
        </w:rPr>
        <w:t>and 9</w:t>
      </w:r>
      <w:r w:rsidR="00F75CF4" w:rsidRPr="00323D95">
        <w:rPr>
          <w:rFonts w:ascii="Arial" w:eastAsiaTheme="minorEastAsia" w:hAnsi="Arial" w:cs="Arial"/>
          <w:b/>
          <w:szCs w:val="22"/>
          <w:lang w:eastAsia="ko-KR"/>
        </w:rPr>
        <w:t xml:space="preserve"> Ju</w:t>
      </w:r>
      <w:r w:rsidR="007A1845" w:rsidRPr="00323D95">
        <w:rPr>
          <w:rFonts w:ascii="Arial" w:eastAsiaTheme="minorEastAsia" w:hAnsi="Arial" w:cs="Arial"/>
          <w:b/>
          <w:szCs w:val="22"/>
          <w:lang w:eastAsia="ko-KR"/>
        </w:rPr>
        <w:t>ly</w:t>
      </w:r>
      <w:r w:rsidR="00F75CF4" w:rsidRPr="00323D95">
        <w:rPr>
          <w:rFonts w:ascii="Arial" w:hAnsi="Arial" w:cs="Arial"/>
          <w:b/>
          <w:szCs w:val="22"/>
        </w:rPr>
        <w:t xml:space="preserve"> 20</w:t>
      </w:r>
      <w:r w:rsidR="007A1845" w:rsidRPr="00323D95">
        <w:rPr>
          <w:rFonts w:ascii="Arial" w:hAnsi="Arial" w:cs="Arial"/>
          <w:b/>
          <w:szCs w:val="22"/>
        </w:rPr>
        <w:t>21</w:t>
      </w:r>
      <w:r w:rsidR="00023B3F">
        <w:rPr>
          <w:rFonts w:ascii="Arial" w:hAnsi="Arial" w:cs="Arial"/>
          <w:b/>
          <w:szCs w:val="22"/>
        </w:rPr>
        <w:t xml:space="preserve"> (Part I)</w:t>
      </w:r>
    </w:p>
    <w:p w14:paraId="2FF1AD3D" w14:textId="65768F18" w:rsidR="00023B3F" w:rsidRPr="00323D95" w:rsidRDefault="00023B3F" w:rsidP="004E056C">
      <w:pPr>
        <w:spacing w:after="0"/>
        <w:jc w:val="center"/>
        <w:rPr>
          <w:rFonts w:ascii="Arial" w:eastAsiaTheme="minorEastAsia" w:hAnsi="Arial" w:cs="Arial"/>
          <w:b/>
          <w:szCs w:val="22"/>
          <w:lang w:eastAsia="ko-KR"/>
        </w:rPr>
      </w:pPr>
      <w:r>
        <w:rPr>
          <w:rFonts w:ascii="Arial" w:hAnsi="Arial" w:cs="Arial"/>
          <w:b/>
          <w:szCs w:val="22"/>
        </w:rPr>
        <w:t>9 and 10 September 2021 (Part II)</w:t>
      </w:r>
    </w:p>
    <w:p w14:paraId="202C5426" w14:textId="32ECF486" w:rsidR="00CB500D" w:rsidRPr="0045625C" w:rsidRDefault="00CB500D" w:rsidP="00404082">
      <w:pPr>
        <w:pStyle w:val="Sansinterligne2"/>
        <w:tabs>
          <w:tab w:val="center" w:pos="4819"/>
          <w:tab w:val="left" w:pos="8050"/>
        </w:tabs>
        <w:spacing w:before="720"/>
        <w:jc w:val="center"/>
        <w:rPr>
          <w:rFonts w:ascii="Arial" w:hAnsi="Arial" w:cs="Arial"/>
          <w:b/>
          <w:sz w:val="22"/>
          <w:szCs w:val="22"/>
          <w:lang w:val="en-GB"/>
        </w:rPr>
      </w:pPr>
      <w:r w:rsidRPr="002E79D3">
        <w:rPr>
          <w:rFonts w:ascii="Arial" w:hAnsi="Arial" w:cs="Arial"/>
          <w:b/>
          <w:sz w:val="22"/>
          <w:szCs w:val="22"/>
          <w:u w:val="single"/>
          <w:lang w:val="en-GB"/>
        </w:rPr>
        <w:t xml:space="preserve">Item </w:t>
      </w:r>
      <w:r w:rsidR="00404082" w:rsidRPr="002E79D3">
        <w:rPr>
          <w:rFonts w:ascii="Arial" w:hAnsi="Arial" w:cs="Arial"/>
          <w:b/>
          <w:sz w:val="22"/>
          <w:szCs w:val="22"/>
          <w:u w:val="single"/>
          <w:lang w:val="en-GB"/>
        </w:rPr>
        <w:t xml:space="preserve">2 </w:t>
      </w:r>
      <w:r w:rsidRPr="002E79D3">
        <w:rPr>
          <w:rFonts w:ascii="Arial" w:hAnsi="Arial" w:cs="Arial"/>
          <w:b/>
          <w:sz w:val="22"/>
          <w:szCs w:val="22"/>
          <w:u w:val="single"/>
          <w:lang w:val="en-GB"/>
        </w:rPr>
        <w:t>of the Agenda</w:t>
      </w:r>
      <w:r w:rsidRPr="0045625C">
        <w:rPr>
          <w:rFonts w:ascii="Arial" w:hAnsi="Arial" w:cs="Arial"/>
          <w:b/>
          <w:sz w:val="22"/>
          <w:szCs w:val="22"/>
          <w:lang w:val="en-GB"/>
        </w:rPr>
        <w:t>:</w:t>
      </w:r>
    </w:p>
    <w:p w14:paraId="6D45854C" w14:textId="7ACB810D" w:rsidR="00251C9B" w:rsidRPr="002E79D3" w:rsidRDefault="000C4A01" w:rsidP="00C62AC0">
      <w:pPr>
        <w:pStyle w:val="Sansinterligne2"/>
        <w:spacing w:after="960"/>
        <w:jc w:val="center"/>
        <w:rPr>
          <w:rFonts w:ascii="Arial" w:hAnsi="Arial" w:cs="Arial"/>
          <w:b/>
          <w:sz w:val="22"/>
          <w:szCs w:val="22"/>
          <w:lang w:val="en-GB"/>
        </w:rPr>
      </w:pPr>
      <w:r w:rsidRPr="002E79D3">
        <w:rPr>
          <w:rFonts w:ascii="Arial" w:hAnsi="Arial" w:cs="Arial"/>
          <w:b/>
          <w:sz w:val="22"/>
          <w:szCs w:val="22"/>
          <w:lang w:val="en-GB"/>
        </w:rPr>
        <w:t>Global reflection on the listing mechanisms of the 2003 Convention:</w:t>
      </w:r>
      <w:r w:rsidRPr="002E79D3">
        <w:rPr>
          <w:rFonts w:ascii="Arial" w:hAnsi="Arial" w:cs="Arial"/>
          <w:b/>
          <w:sz w:val="22"/>
          <w:szCs w:val="22"/>
          <w:lang w:val="en-GB"/>
        </w:rPr>
        <w:br/>
        <w:t xml:space="preserve">Progress to date and </w:t>
      </w:r>
      <w:r w:rsidR="004E35CD" w:rsidRPr="002E79D3">
        <w:rPr>
          <w:rFonts w:ascii="Arial" w:hAnsi="Arial" w:cs="Arial"/>
          <w:b/>
          <w:sz w:val="22"/>
          <w:szCs w:val="22"/>
          <w:lang w:val="en-GB"/>
        </w:rPr>
        <w:t xml:space="preserve">meeting </w:t>
      </w:r>
      <w:r w:rsidRPr="002E79D3">
        <w:rPr>
          <w:rFonts w:ascii="Arial" w:hAnsi="Arial" w:cs="Arial"/>
          <w:b/>
          <w:sz w:val="22"/>
          <w:szCs w:val="22"/>
          <w:lang w:val="en-GB"/>
        </w:rPr>
        <w:t>objectives</w:t>
      </w:r>
    </w:p>
    <w:tbl>
      <w:tblPr>
        <w:tblW w:w="56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CB500D" w:rsidRPr="00323D95" w14:paraId="11E38FB5" w14:textId="77777777" w:rsidTr="00D67886">
        <w:trPr>
          <w:jc w:val="center"/>
        </w:trPr>
        <w:tc>
          <w:tcPr>
            <w:tcW w:w="5670" w:type="dxa"/>
            <w:vAlign w:val="center"/>
          </w:tcPr>
          <w:p w14:paraId="3AB020B5" w14:textId="53ABA298" w:rsidR="00CB500D" w:rsidRPr="00323D95" w:rsidRDefault="00251C9B" w:rsidP="00F822AF">
            <w:pPr>
              <w:pStyle w:val="Sansinterligne2"/>
              <w:spacing w:before="200" w:after="200"/>
              <w:jc w:val="both"/>
              <w:rPr>
                <w:rFonts w:ascii="Arial" w:hAnsi="Arial" w:cs="Arial"/>
                <w:sz w:val="22"/>
                <w:szCs w:val="22"/>
                <w:lang w:val="en-GB"/>
              </w:rPr>
            </w:pPr>
            <w:r w:rsidRPr="00914113">
              <w:rPr>
                <w:rFonts w:ascii="Arial" w:hAnsi="Arial" w:cs="Arial"/>
                <w:sz w:val="22"/>
                <w:szCs w:val="22"/>
                <w:lang w:val="en-GB"/>
              </w:rPr>
              <w:t>In 2018, the Committee launch</w:t>
            </w:r>
            <w:r w:rsidR="004700F2" w:rsidRPr="00914113">
              <w:rPr>
                <w:rFonts w:ascii="Arial" w:hAnsi="Arial" w:cs="Arial"/>
                <w:sz w:val="22"/>
                <w:szCs w:val="22"/>
                <w:lang w:val="en-GB"/>
              </w:rPr>
              <w:t>ed</w:t>
            </w:r>
            <w:r w:rsidRPr="00914113">
              <w:rPr>
                <w:rFonts w:ascii="Arial" w:hAnsi="Arial" w:cs="Arial"/>
                <w:sz w:val="22"/>
                <w:szCs w:val="22"/>
                <w:lang w:val="en-GB"/>
              </w:rPr>
              <w:t xml:space="preserve"> a global reflection on the listing mechanisms of the</w:t>
            </w:r>
            <w:r w:rsidR="00BC7E7F" w:rsidRPr="00914113">
              <w:rPr>
                <w:rFonts w:ascii="Arial" w:hAnsi="Arial" w:cs="Arial"/>
                <w:sz w:val="22"/>
                <w:szCs w:val="22"/>
                <w:lang w:val="en-GB"/>
              </w:rPr>
              <w:t xml:space="preserve"> 2003</w:t>
            </w:r>
            <w:r w:rsidRPr="00914113">
              <w:rPr>
                <w:rFonts w:ascii="Arial" w:hAnsi="Arial" w:cs="Arial"/>
                <w:sz w:val="22"/>
                <w:szCs w:val="22"/>
                <w:lang w:val="en-GB"/>
              </w:rPr>
              <w:t xml:space="preserve"> Convention to address </w:t>
            </w:r>
            <w:r w:rsidR="00C3546D" w:rsidRPr="00914113">
              <w:rPr>
                <w:rFonts w:ascii="Arial" w:hAnsi="Arial" w:cs="Arial"/>
                <w:sz w:val="22"/>
                <w:szCs w:val="22"/>
                <w:lang w:val="en-GB"/>
              </w:rPr>
              <w:t>a series of broad-ranging</w:t>
            </w:r>
            <w:r w:rsidRPr="00914113">
              <w:rPr>
                <w:rFonts w:ascii="Arial" w:hAnsi="Arial" w:cs="Arial"/>
                <w:sz w:val="22"/>
                <w:szCs w:val="22"/>
                <w:lang w:val="en-GB"/>
              </w:rPr>
              <w:t xml:space="preserve"> issues </w:t>
            </w:r>
            <w:r w:rsidR="004700F2" w:rsidRPr="00914113">
              <w:rPr>
                <w:rFonts w:ascii="Arial" w:hAnsi="Arial" w:cs="Arial"/>
                <w:sz w:val="22"/>
                <w:szCs w:val="22"/>
                <w:lang w:val="en-GB"/>
              </w:rPr>
              <w:t xml:space="preserve">identified </w:t>
            </w:r>
            <w:r w:rsidR="00E43DAE" w:rsidRPr="00914113">
              <w:rPr>
                <w:rFonts w:ascii="Arial" w:hAnsi="Arial" w:cs="Arial"/>
                <w:sz w:val="22"/>
                <w:szCs w:val="22"/>
                <w:lang w:val="en-GB"/>
              </w:rPr>
              <w:t>over</w:t>
            </w:r>
            <w:r w:rsidR="004700F2" w:rsidRPr="00914113">
              <w:rPr>
                <w:rFonts w:ascii="Arial" w:hAnsi="Arial" w:cs="Arial"/>
                <w:sz w:val="22"/>
                <w:szCs w:val="22"/>
                <w:lang w:val="en-GB"/>
              </w:rPr>
              <w:t xml:space="preserve"> a decade of implementation</w:t>
            </w:r>
            <w:r w:rsidRPr="00914113">
              <w:rPr>
                <w:rFonts w:ascii="Arial" w:hAnsi="Arial" w:cs="Arial"/>
                <w:sz w:val="22"/>
                <w:szCs w:val="22"/>
                <w:lang w:val="en-GB"/>
              </w:rPr>
              <w:t xml:space="preserve"> </w:t>
            </w:r>
            <w:r w:rsidR="00404082" w:rsidRPr="00914113">
              <w:rPr>
                <w:rFonts w:ascii="Arial" w:hAnsi="Arial" w:cs="Arial"/>
                <w:sz w:val="22"/>
                <w:szCs w:val="22"/>
                <w:lang w:val="en-GB"/>
              </w:rPr>
              <w:t xml:space="preserve">(Decisions </w:t>
            </w:r>
            <w:hyperlink r:id="rId8" w:history="1">
              <w:r w:rsidR="00404082" w:rsidRPr="00914113">
                <w:rPr>
                  <w:rStyle w:val="Lienhypertexte"/>
                  <w:rFonts w:ascii="Arial" w:hAnsi="Arial" w:cs="Arial"/>
                  <w:sz w:val="22"/>
                  <w:szCs w:val="22"/>
                  <w:lang w:val="en-GB"/>
                </w:rPr>
                <w:t>13.COM 6</w:t>
              </w:r>
            </w:hyperlink>
            <w:r w:rsidRPr="00914113">
              <w:rPr>
                <w:rFonts w:ascii="Arial" w:hAnsi="Arial" w:cs="Arial"/>
                <w:sz w:val="22"/>
                <w:szCs w:val="22"/>
                <w:lang w:val="en-GB"/>
              </w:rPr>
              <w:t xml:space="preserve"> and </w:t>
            </w:r>
            <w:hyperlink r:id="rId9" w:history="1">
              <w:r w:rsidRPr="00914113">
                <w:rPr>
                  <w:rStyle w:val="Lienhypertexte"/>
                  <w:rFonts w:ascii="Arial" w:hAnsi="Arial" w:cs="Arial"/>
                  <w:sz w:val="22"/>
                  <w:szCs w:val="22"/>
                  <w:lang w:val="en-GB"/>
                </w:rPr>
                <w:t>13.COM 10</w:t>
              </w:r>
            </w:hyperlink>
            <w:r w:rsidRPr="00914113">
              <w:rPr>
                <w:rFonts w:ascii="Arial" w:hAnsi="Arial" w:cs="Arial"/>
                <w:sz w:val="22"/>
                <w:szCs w:val="22"/>
                <w:lang w:val="en-GB"/>
              </w:rPr>
              <w:t xml:space="preserve">). </w:t>
            </w:r>
            <w:r w:rsidR="004700F2" w:rsidRPr="00914113">
              <w:rPr>
                <w:rFonts w:ascii="Arial" w:hAnsi="Arial" w:cs="Arial"/>
                <w:sz w:val="22"/>
                <w:szCs w:val="22"/>
                <w:lang w:val="en-GB"/>
              </w:rPr>
              <w:t xml:space="preserve">The present document summarizes </w:t>
            </w:r>
            <w:r w:rsidR="00C3546D" w:rsidRPr="00914113">
              <w:rPr>
                <w:rFonts w:ascii="Arial" w:hAnsi="Arial" w:cs="Arial"/>
                <w:sz w:val="22"/>
                <w:szCs w:val="22"/>
                <w:lang w:val="en-GB"/>
              </w:rPr>
              <w:t>the reflection process</w:t>
            </w:r>
            <w:r w:rsidR="00442A07" w:rsidRPr="00914113">
              <w:rPr>
                <w:rFonts w:ascii="Arial" w:hAnsi="Arial" w:cs="Arial"/>
                <w:sz w:val="22"/>
                <w:szCs w:val="22"/>
                <w:lang w:val="en-GB"/>
              </w:rPr>
              <w:t xml:space="preserve">, </w:t>
            </w:r>
            <w:r w:rsidR="00E43DAE" w:rsidRPr="00914113">
              <w:rPr>
                <w:rFonts w:ascii="Arial" w:hAnsi="Arial" w:cs="Arial"/>
                <w:sz w:val="22"/>
                <w:szCs w:val="22"/>
                <w:lang w:val="en-GB"/>
              </w:rPr>
              <w:t xml:space="preserve">which </w:t>
            </w:r>
            <w:r w:rsidR="000F6708" w:rsidRPr="00914113">
              <w:rPr>
                <w:rFonts w:ascii="Arial" w:hAnsi="Arial" w:cs="Arial"/>
                <w:sz w:val="22"/>
                <w:szCs w:val="22"/>
                <w:lang w:val="en-GB"/>
              </w:rPr>
              <w:t xml:space="preserve">entails </w:t>
            </w:r>
            <w:r w:rsidR="00E43DAE" w:rsidRPr="00914113">
              <w:rPr>
                <w:rFonts w:ascii="Arial" w:hAnsi="Arial" w:cs="Arial"/>
                <w:sz w:val="22"/>
                <w:szCs w:val="22"/>
                <w:lang w:val="en-GB"/>
              </w:rPr>
              <w:t xml:space="preserve">an </w:t>
            </w:r>
            <w:r w:rsidR="0045625C" w:rsidRPr="00914113">
              <w:rPr>
                <w:rFonts w:ascii="Arial" w:hAnsi="Arial" w:cs="Arial"/>
                <w:sz w:val="22"/>
                <w:szCs w:val="22"/>
                <w:lang w:val="en-GB"/>
              </w:rPr>
              <w:t>O</w:t>
            </w:r>
            <w:r w:rsidR="00E43DAE" w:rsidRPr="00914113">
              <w:rPr>
                <w:rFonts w:ascii="Arial" w:hAnsi="Arial" w:cs="Arial"/>
                <w:sz w:val="22"/>
                <w:szCs w:val="22"/>
                <w:lang w:val="en-GB"/>
              </w:rPr>
              <w:t xml:space="preserve">pen-ended intergovernmental </w:t>
            </w:r>
            <w:r w:rsidR="00F61B6E" w:rsidRPr="00914113">
              <w:rPr>
                <w:rFonts w:ascii="Arial" w:hAnsi="Arial" w:cs="Arial"/>
                <w:sz w:val="22"/>
                <w:szCs w:val="22"/>
                <w:lang w:val="en-GB"/>
              </w:rPr>
              <w:t xml:space="preserve">working group </w:t>
            </w:r>
            <w:r w:rsidR="00E43DAE" w:rsidRPr="00914113">
              <w:rPr>
                <w:rFonts w:ascii="Arial" w:hAnsi="Arial" w:cs="Arial"/>
                <w:sz w:val="22"/>
                <w:szCs w:val="22"/>
                <w:lang w:val="en-GB"/>
              </w:rPr>
              <w:t>as part of the inclusive consultations and discussions</w:t>
            </w:r>
            <w:r w:rsidR="00470B8A">
              <w:rPr>
                <w:rFonts w:ascii="Arial" w:hAnsi="Arial" w:cs="Arial"/>
                <w:sz w:val="22"/>
                <w:szCs w:val="22"/>
                <w:lang w:val="en-GB"/>
              </w:rPr>
              <w:t xml:space="preserve"> </w:t>
            </w:r>
            <w:r w:rsidR="00E43DAE" w:rsidRPr="00914113">
              <w:rPr>
                <w:rFonts w:ascii="Arial" w:hAnsi="Arial" w:cs="Arial"/>
                <w:sz w:val="22"/>
                <w:szCs w:val="22"/>
                <w:lang w:val="en-GB"/>
              </w:rPr>
              <w:t xml:space="preserve">and outlines the objectives and working methods </w:t>
            </w:r>
            <w:r w:rsidR="00442A07" w:rsidRPr="00914113">
              <w:rPr>
                <w:rFonts w:ascii="Arial" w:hAnsi="Arial" w:cs="Arial"/>
                <w:sz w:val="22"/>
                <w:szCs w:val="22"/>
                <w:lang w:val="en-GB"/>
              </w:rPr>
              <w:t>proposed for</w:t>
            </w:r>
            <w:r w:rsidR="00E43DAE" w:rsidRPr="00914113">
              <w:rPr>
                <w:rFonts w:ascii="Arial" w:hAnsi="Arial" w:cs="Arial"/>
                <w:sz w:val="22"/>
                <w:szCs w:val="22"/>
                <w:lang w:val="en-GB"/>
              </w:rPr>
              <w:t xml:space="preserve"> the present meeting.</w:t>
            </w:r>
          </w:p>
        </w:tc>
      </w:tr>
    </w:tbl>
    <w:p w14:paraId="36881D20" w14:textId="77777777" w:rsidR="002E79D3" w:rsidRDefault="002E79D3">
      <w:pPr>
        <w:spacing w:after="0"/>
        <w:rPr>
          <w:rFonts w:ascii="Arial" w:hAnsi="Arial" w:cs="Arial"/>
          <w:b/>
          <w:snapToGrid w:val="0"/>
          <w:szCs w:val="22"/>
          <w:lang w:eastAsia="en-US"/>
        </w:rPr>
      </w:pPr>
      <w:bookmarkStart w:id="0" w:name="_Hlk73109400"/>
      <w:r>
        <w:rPr>
          <w:b/>
        </w:rPr>
        <w:br w:type="page"/>
      </w:r>
    </w:p>
    <w:p w14:paraId="3BD3E268" w14:textId="4D6F010D" w:rsidR="00E668F9" w:rsidRPr="00323D95" w:rsidRDefault="00E668F9" w:rsidP="002E79D3">
      <w:pPr>
        <w:pStyle w:val="GAPara"/>
        <w:numPr>
          <w:ilvl w:val="0"/>
          <w:numId w:val="11"/>
        </w:numPr>
        <w:spacing w:before="360"/>
        <w:ind w:left="567" w:hanging="567"/>
        <w:jc w:val="both"/>
      </w:pPr>
      <w:r w:rsidRPr="00323D95">
        <w:rPr>
          <w:b/>
        </w:rPr>
        <w:lastRenderedPageBreak/>
        <w:t>Background</w:t>
      </w:r>
    </w:p>
    <w:p w14:paraId="4AA17E9C" w14:textId="15E29DA3" w:rsidR="00E668F9" w:rsidRPr="00323D95" w:rsidRDefault="00E668F9" w:rsidP="00F9678E">
      <w:pPr>
        <w:pStyle w:val="1GAPara"/>
        <w:numPr>
          <w:ilvl w:val="0"/>
          <w:numId w:val="10"/>
        </w:numPr>
        <w:ind w:left="567" w:hanging="567"/>
        <w:jc w:val="both"/>
      </w:pPr>
      <w:r w:rsidRPr="00323D95">
        <w:t xml:space="preserve">The listing system of the 2003 Convention became operational in 2009, with the first </w:t>
      </w:r>
      <w:r w:rsidR="00E43DAE" w:rsidRPr="00323D95">
        <w:t xml:space="preserve">set of </w:t>
      </w:r>
      <w:r w:rsidRPr="00323D95">
        <w:t>inscriptions</w:t>
      </w:r>
      <w:r w:rsidR="00D17602" w:rsidRPr="00323D95">
        <w:t xml:space="preserve"> on the two Lists </w:t>
      </w:r>
      <w:r w:rsidR="00D17602" w:rsidRPr="00914113">
        <w:t xml:space="preserve">and </w:t>
      </w:r>
      <w:r w:rsidR="00BD05EB" w:rsidRPr="00914113">
        <w:t xml:space="preserve">the </w:t>
      </w:r>
      <w:r w:rsidR="00D17602" w:rsidRPr="00914113">
        <w:t>Register</w:t>
      </w:r>
      <w:r w:rsidR="006A1BA1" w:rsidRPr="00323D95">
        <w:t xml:space="preserve"> which are </w:t>
      </w:r>
      <w:r w:rsidR="00BD05EB">
        <w:t>introduced</w:t>
      </w:r>
      <w:r w:rsidR="006A1BA1" w:rsidRPr="00323D95">
        <w:t>, respectively, in Articles 16, 17 and 18 of the Convention and further explained in the Operational Directives</w:t>
      </w:r>
      <w:r w:rsidR="00E43DAE" w:rsidRPr="00323D95">
        <w:t>.</w:t>
      </w:r>
      <w:r w:rsidR="006A1BA1" w:rsidRPr="00323D95">
        <w:t xml:space="preserve"> </w:t>
      </w:r>
      <w:r w:rsidR="00E43DAE" w:rsidRPr="00323D95">
        <w:t>Currently, there are</w:t>
      </w:r>
      <w:r w:rsidRPr="00323D95">
        <w:t xml:space="preserve"> </w:t>
      </w:r>
      <w:r w:rsidR="00CE508A" w:rsidRPr="00323D95">
        <w:t xml:space="preserve">492 elements (corresponding to 128 countries) inscribed </w:t>
      </w:r>
      <w:r w:rsidRPr="00323D95">
        <w:t>on the Representative List of the Intangible Cultural Heritage of Humanity (</w:t>
      </w:r>
      <w:r w:rsidR="00E43DAE" w:rsidRPr="00323D95">
        <w:t xml:space="preserve">or </w:t>
      </w:r>
      <w:r w:rsidRPr="00323D95">
        <w:t>‘</w:t>
      </w:r>
      <w:r w:rsidR="006A43F1" w:rsidRPr="00323D95">
        <w:t>t</w:t>
      </w:r>
      <w:r w:rsidRPr="00323D95">
        <w:t xml:space="preserve">he Representative List’), </w:t>
      </w:r>
      <w:r w:rsidR="00CE508A" w:rsidRPr="00323D95">
        <w:t xml:space="preserve">67 elements (corresponding to 35 countries) inscribed on </w:t>
      </w:r>
      <w:r w:rsidRPr="00323D95">
        <w:t>the List of Intangible Cultural Heritage in Need of Urgent Safeguarding (‘</w:t>
      </w:r>
      <w:r w:rsidR="006A43F1" w:rsidRPr="00323D95">
        <w:t>t</w:t>
      </w:r>
      <w:r w:rsidRPr="00323D95">
        <w:t>he Urgent Safeguarding List’)</w:t>
      </w:r>
      <w:r w:rsidR="00323D95" w:rsidRPr="00323D95">
        <w:t>,</w:t>
      </w:r>
      <w:r w:rsidRPr="00323D95">
        <w:t xml:space="preserve"> and </w:t>
      </w:r>
      <w:r w:rsidR="00CE508A" w:rsidRPr="00323D95">
        <w:t>25</w:t>
      </w:r>
      <w:r w:rsidRPr="00323D95">
        <w:t xml:space="preserve"> programmes, projects and activities</w:t>
      </w:r>
      <w:r w:rsidR="00CE508A" w:rsidRPr="00323D95">
        <w:t xml:space="preserve"> included in </w:t>
      </w:r>
      <w:r w:rsidRPr="00323D95">
        <w:t xml:space="preserve">the Register of Good Safeguarding Practices </w:t>
      </w:r>
      <w:r w:rsidR="00CE508A" w:rsidRPr="00323D95">
        <w:t>(t</w:t>
      </w:r>
      <w:r w:rsidRPr="00323D95">
        <w:t xml:space="preserve">he </w:t>
      </w:r>
      <w:r w:rsidR="00CE508A" w:rsidRPr="00323D95">
        <w:t>‘</w:t>
      </w:r>
      <w:r w:rsidRPr="00323D95">
        <w:t>Register’).</w:t>
      </w:r>
      <w:r w:rsidR="000F6708">
        <w:t xml:space="preserve"> </w:t>
      </w:r>
      <w:r w:rsidR="00BD05EB">
        <w:t>In 2008, eighty items proclaimed ‘Masterpieces of the Oral and Intangible Heritage of Humanity’ were incorporated in the Representative List in accordance with Article 31 of the Convention.</w:t>
      </w:r>
    </w:p>
    <w:p w14:paraId="3082F473" w14:textId="2F026A25" w:rsidR="00E668F9" w:rsidRPr="00323D95" w:rsidRDefault="00E668F9" w:rsidP="006B1967">
      <w:pPr>
        <w:pStyle w:val="COMPara"/>
        <w:numPr>
          <w:ilvl w:val="0"/>
          <w:numId w:val="8"/>
        </w:numPr>
        <w:ind w:left="567" w:hanging="567"/>
        <w:jc w:val="both"/>
      </w:pPr>
      <w:r w:rsidRPr="00AD17EB">
        <w:t xml:space="preserve">The </w:t>
      </w:r>
      <w:r w:rsidR="00F9678E" w:rsidRPr="00AD17EB">
        <w:t xml:space="preserve">listing </w:t>
      </w:r>
      <w:r w:rsidR="00AD17EB" w:rsidRPr="00846555">
        <w:t>mechanisms are</w:t>
      </w:r>
      <w:r w:rsidR="00F9678E" w:rsidRPr="00AD17EB">
        <w:t xml:space="preserve"> meant</w:t>
      </w:r>
      <w:r w:rsidRPr="00323D95">
        <w:t xml:space="preserve"> to </w:t>
      </w:r>
      <w:r w:rsidR="00AD17EB">
        <w:t xml:space="preserve">support safeguarding, </w:t>
      </w:r>
      <w:r w:rsidR="00323D95" w:rsidRPr="00323D95">
        <w:t>mobilize international solidarity</w:t>
      </w:r>
      <w:r w:rsidR="00323D95">
        <w:t xml:space="preserve"> and to</w:t>
      </w:r>
      <w:r w:rsidR="00323D95" w:rsidRPr="00323D95" w:rsidDel="00323D95">
        <w:t xml:space="preserve"> </w:t>
      </w:r>
      <w:r w:rsidR="00323D95">
        <w:t>raise awareness among</w:t>
      </w:r>
      <w:r w:rsidR="00323D95" w:rsidRPr="00323D95">
        <w:t xml:space="preserve"> </w:t>
      </w:r>
      <w:r w:rsidRPr="00323D95">
        <w:t xml:space="preserve">authorities and communities around the world </w:t>
      </w:r>
      <w:r w:rsidR="00323D95">
        <w:t>about</w:t>
      </w:r>
      <w:r w:rsidR="00323D95" w:rsidRPr="00323D95">
        <w:t xml:space="preserve"> </w:t>
      </w:r>
      <w:r w:rsidRPr="00323D95">
        <w:t>the diversity and importance of living heritage and the need to safeguard it.</w:t>
      </w:r>
      <w:r w:rsidR="00410107" w:rsidRPr="00323D95">
        <w:t xml:space="preserve"> </w:t>
      </w:r>
      <w:r w:rsidR="000F6708">
        <w:t xml:space="preserve">After </w:t>
      </w:r>
      <w:r w:rsidR="00AC39D4" w:rsidRPr="000933A8">
        <w:t>more than</w:t>
      </w:r>
      <w:r w:rsidR="00AC39D4">
        <w:t xml:space="preserve"> </w:t>
      </w:r>
      <w:r w:rsidR="00F9678E" w:rsidRPr="00323D95">
        <w:t xml:space="preserve">a decade of implementation, the system has contributed positively </w:t>
      </w:r>
      <w:r w:rsidR="00323D95" w:rsidRPr="00323D95">
        <w:t>to</w:t>
      </w:r>
      <w:r w:rsidR="00F9678E" w:rsidRPr="00323D95">
        <w:t xml:space="preserve"> enhancing the visibility of the Convention and of intangible cultural heritage, supported by a high</w:t>
      </w:r>
      <w:r w:rsidR="00323D95">
        <w:t xml:space="preserve"> </w:t>
      </w:r>
      <w:r w:rsidR="00F9678E" w:rsidRPr="00323D95">
        <w:t xml:space="preserve">level of attention </w:t>
      </w:r>
      <w:r w:rsidR="00323D95">
        <w:t>from</w:t>
      </w:r>
      <w:r w:rsidR="00F9678E" w:rsidRPr="00323D95">
        <w:t xml:space="preserve"> States Parties, communities and the public in general. At the same time,</w:t>
      </w:r>
      <w:r w:rsidR="006B1967" w:rsidRPr="00323D95">
        <w:t xml:space="preserve"> </w:t>
      </w:r>
      <w:r w:rsidR="00AD17EB">
        <w:t xml:space="preserve">however, </w:t>
      </w:r>
      <w:r w:rsidRPr="00323D95">
        <w:t xml:space="preserve">various stakeholders have identified </w:t>
      </w:r>
      <w:r w:rsidR="00323D95">
        <w:t>many</w:t>
      </w:r>
      <w:r w:rsidRPr="00323D95">
        <w:t xml:space="preserve"> complex and interrelated issues </w:t>
      </w:r>
      <w:r w:rsidR="001D0FC4">
        <w:t>regarding</w:t>
      </w:r>
      <w:r w:rsidRPr="00323D95">
        <w:t xml:space="preserve"> the three mechanisms</w:t>
      </w:r>
      <w:r w:rsidR="00681F02" w:rsidRPr="00323D95">
        <w:t>.</w:t>
      </w:r>
    </w:p>
    <w:p w14:paraId="6519EE80" w14:textId="7432CEBF" w:rsidR="001D2163" w:rsidRPr="00323D95" w:rsidRDefault="00E668F9" w:rsidP="00E668F9">
      <w:pPr>
        <w:pStyle w:val="COMPara"/>
        <w:numPr>
          <w:ilvl w:val="0"/>
          <w:numId w:val="8"/>
        </w:numPr>
        <w:ind w:left="567" w:hanging="567"/>
        <w:jc w:val="both"/>
      </w:pPr>
      <w:r w:rsidRPr="00323D95">
        <w:t xml:space="preserve">The need for </w:t>
      </w:r>
      <w:r w:rsidR="00410107" w:rsidRPr="00323D95">
        <w:t>a</w:t>
      </w:r>
      <w:r w:rsidRPr="00323D95">
        <w:t xml:space="preserve"> reflection </w:t>
      </w:r>
      <w:r w:rsidR="00BB1831" w:rsidRPr="00323D95">
        <w:t>to improve the listing system</w:t>
      </w:r>
      <w:r w:rsidRPr="00323D95">
        <w:t xml:space="preserve"> was</w:t>
      </w:r>
      <w:r w:rsidR="00480ADB">
        <w:t xml:space="preserve"> first</w:t>
      </w:r>
      <w:r w:rsidRPr="00323D95">
        <w:t xml:space="preserve"> expressed by the Committee in 2017, when it examined a request submitted by Viet Nam to transfer an element from the Urgent Safeguarding List to the Representative List (</w:t>
      </w:r>
      <w:hyperlink r:id="rId10" w:history="1">
        <w:r w:rsidRPr="00323D95">
          <w:rPr>
            <w:rStyle w:val="Lienhypertexte"/>
          </w:rPr>
          <w:t>Decision 12.COM 14</w:t>
        </w:r>
      </w:hyperlink>
      <w:r w:rsidRPr="00323D95">
        <w:t xml:space="preserve">). </w:t>
      </w:r>
      <w:r w:rsidR="001D2163" w:rsidRPr="00323D95">
        <w:t xml:space="preserve">On that occasion, the Committee decided to convene an Open-ended </w:t>
      </w:r>
      <w:r w:rsidR="0038749E">
        <w:t>i</w:t>
      </w:r>
      <w:r w:rsidR="001D2163" w:rsidRPr="00323D95">
        <w:t xml:space="preserve">ntergovernmental working group </w:t>
      </w:r>
      <w:r w:rsidR="00DA53F3" w:rsidRPr="00323D95">
        <w:t>(</w:t>
      </w:r>
      <w:r w:rsidR="00E852FB" w:rsidRPr="002E79D3">
        <w:t>hereafter referred to as ‘</w:t>
      </w:r>
      <w:r w:rsidR="00DA53F3" w:rsidRPr="002E79D3">
        <w:t xml:space="preserve">the </w:t>
      </w:r>
      <w:r w:rsidR="006D117B" w:rsidRPr="002E79D3">
        <w:t>w</w:t>
      </w:r>
      <w:r w:rsidR="00DA53F3" w:rsidRPr="002E79D3">
        <w:t xml:space="preserve">orking </w:t>
      </w:r>
      <w:r w:rsidR="006D117B" w:rsidRPr="002E79D3">
        <w:t>g</w:t>
      </w:r>
      <w:r w:rsidR="00DA53F3" w:rsidRPr="002E79D3">
        <w:t>roup</w:t>
      </w:r>
      <w:r w:rsidR="00E852FB" w:rsidRPr="002E79D3">
        <w:t>’</w:t>
      </w:r>
      <w:r w:rsidR="00DA53F3" w:rsidRPr="00323D95">
        <w:t xml:space="preserve">) </w:t>
      </w:r>
      <w:r w:rsidR="001D2163" w:rsidRPr="00323D95">
        <w:t xml:space="preserve">to reflect on the procedures for the removal and the transfer of an element, the nature and purposes of the Lists and the Register and the relevance of the various criteria for each of the three mechanisms, among other issues. </w:t>
      </w:r>
      <w:r w:rsidR="00410107" w:rsidRPr="00323D95">
        <w:t>With</w:t>
      </w:r>
      <w:r w:rsidRPr="00323D95">
        <w:t xml:space="preserve"> the voluntary supplementary contribution by the Government of Japan to the Fund for the Safeguarding of the Intangible Cultural Heritage</w:t>
      </w:r>
      <w:r w:rsidR="00D17602" w:rsidRPr="00323D95">
        <w:t xml:space="preserve"> to support the </w:t>
      </w:r>
      <w:r w:rsidR="000A3CBB" w:rsidRPr="00323D95">
        <w:t>initiative</w:t>
      </w:r>
      <w:r w:rsidRPr="00323D95">
        <w:t xml:space="preserve">, </w:t>
      </w:r>
      <w:r w:rsidR="00410107" w:rsidRPr="00323D95">
        <w:t>the Committee</w:t>
      </w:r>
      <w:r w:rsidR="000A3CBB" w:rsidRPr="00323D95">
        <w:t xml:space="preserve"> </w:t>
      </w:r>
      <w:r w:rsidR="00410107" w:rsidRPr="00323D95">
        <w:t>decided to launch</w:t>
      </w:r>
      <w:r w:rsidRPr="00323D95">
        <w:t xml:space="preserve"> </w:t>
      </w:r>
      <w:r w:rsidR="00410107" w:rsidRPr="00323D95">
        <w:t>a</w:t>
      </w:r>
      <w:r w:rsidRPr="00323D95">
        <w:t xml:space="preserve"> global reflection process</w:t>
      </w:r>
      <w:r w:rsidR="000A3CBB" w:rsidRPr="00323D95">
        <w:t xml:space="preserve"> </w:t>
      </w:r>
      <w:r w:rsidR="005B605E" w:rsidRPr="00323D95">
        <w:t>(</w:t>
      </w:r>
      <w:hyperlink r:id="rId11" w:history="1">
        <w:r w:rsidR="005B605E" w:rsidRPr="00323D95">
          <w:rPr>
            <w:rStyle w:val="Lienhypertexte"/>
          </w:rPr>
          <w:t>Decisions 13.COM 6</w:t>
        </w:r>
      </w:hyperlink>
      <w:r w:rsidR="005B605E" w:rsidRPr="00323D95">
        <w:t xml:space="preserve"> and </w:t>
      </w:r>
      <w:hyperlink r:id="rId12" w:history="1">
        <w:r w:rsidR="005B605E" w:rsidRPr="00323D95">
          <w:rPr>
            <w:rStyle w:val="Lienhypertexte"/>
          </w:rPr>
          <w:t>13.COM 10</w:t>
        </w:r>
      </w:hyperlink>
      <w:r w:rsidR="005B605E" w:rsidRPr="00323D95">
        <w:t>)</w:t>
      </w:r>
      <w:r w:rsidR="0038749E">
        <w:t xml:space="preserve"> </w:t>
      </w:r>
      <w:r w:rsidR="0038749E" w:rsidRPr="00323D95">
        <w:t xml:space="preserve">at </w:t>
      </w:r>
      <w:r w:rsidR="0038749E">
        <w:t>its</w:t>
      </w:r>
      <w:r w:rsidR="0038749E" w:rsidRPr="00323D95">
        <w:t xml:space="preserve"> thirteenth session in 2018</w:t>
      </w:r>
      <w:r w:rsidR="005B605E" w:rsidRPr="00323D95">
        <w:t>.</w:t>
      </w:r>
    </w:p>
    <w:p w14:paraId="2AE8A816" w14:textId="72E7967E" w:rsidR="00E668F9" w:rsidRPr="00323D95" w:rsidRDefault="007472D8" w:rsidP="00E668F9">
      <w:pPr>
        <w:pStyle w:val="COMPara"/>
        <w:numPr>
          <w:ilvl w:val="0"/>
          <w:numId w:val="8"/>
        </w:numPr>
        <w:ind w:left="567" w:hanging="567"/>
        <w:jc w:val="both"/>
      </w:pPr>
      <w:r w:rsidRPr="00323D95">
        <w:t>Updated i</w:t>
      </w:r>
      <w:r w:rsidR="0075552D" w:rsidRPr="00323D95">
        <w:t>nformation</w:t>
      </w:r>
      <w:r w:rsidR="00941DE0">
        <w:t xml:space="preserve"> and reference documents</w:t>
      </w:r>
      <w:r w:rsidR="0075552D" w:rsidRPr="00323D95">
        <w:t xml:space="preserve"> concerning the </w:t>
      </w:r>
      <w:r w:rsidRPr="00323D95">
        <w:t xml:space="preserve">global </w:t>
      </w:r>
      <w:r w:rsidR="0075552D" w:rsidRPr="00323D95">
        <w:t>reflection process</w:t>
      </w:r>
      <w:r w:rsidR="00941DE0">
        <w:t xml:space="preserve"> are</w:t>
      </w:r>
      <w:r w:rsidR="0075552D" w:rsidRPr="00323D95">
        <w:t xml:space="preserve"> available </w:t>
      </w:r>
      <w:r w:rsidR="00E852FB">
        <w:t>on</w:t>
      </w:r>
      <w:r w:rsidR="00E852FB" w:rsidRPr="00323D95">
        <w:t xml:space="preserve"> </w:t>
      </w:r>
      <w:r w:rsidR="0075552D" w:rsidRPr="00323D95">
        <w:t xml:space="preserve">the webpage of the 2003 Convention: </w:t>
      </w:r>
      <w:hyperlink r:id="rId13" w:history="1">
        <w:r w:rsidR="0075552D" w:rsidRPr="00323D95">
          <w:rPr>
            <w:rStyle w:val="Lienhypertexte"/>
          </w:rPr>
          <w:t>https://ich.unesco.org/en/global-reflection-on-the-listing-mechanisms-01164</w:t>
        </w:r>
      </w:hyperlink>
      <w:r w:rsidR="0075552D" w:rsidRPr="00323D95">
        <w:t>.</w:t>
      </w:r>
    </w:p>
    <w:p w14:paraId="30FB195D" w14:textId="5D4DF080" w:rsidR="00E668F9" w:rsidRPr="00323D95" w:rsidRDefault="00E668F9" w:rsidP="00C62AC0">
      <w:pPr>
        <w:pStyle w:val="GAPara"/>
        <w:numPr>
          <w:ilvl w:val="0"/>
          <w:numId w:val="11"/>
        </w:numPr>
        <w:spacing w:before="360"/>
        <w:ind w:left="567" w:hanging="567"/>
        <w:jc w:val="both"/>
        <w:rPr>
          <w:b/>
        </w:rPr>
      </w:pPr>
      <w:r w:rsidRPr="00323D95">
        <w:rPr>
          <w:b/>
        </w:rPr>
        <w:t>The reflection process</w:t>
      </w:r>
      <w:r w:rsidR="0099582B" w:rsidRPr="00323D95">
        <w:rPr>
          <w:b/>
        </w:rPr>
        <w:t>: themes and timeline</w:t>
      </w:r>
    </w:p>
    <w:p w14:paraId="4B7B8051" w14:textId="60349311" w:rsidR="00325BC7" w:rsidRPr="00323D95" w:rsidRDefault="00325BC7" w:rsidP="00C62AC0">
      <w:pPr>
        <w:pStyle w:val="COMPara"/>
        <w:numPr>
          <w:ilvl w:val="0"/>
          <w:numId w:val="8"/>
        </w:numPr>
        <w:spacing w:after="240"/>
        <w:ind w:left="567" w:hanging="567"/>
        <w:jc w:val="both"/>
      </w:pPr>
      <w:r w:rsidRPr="00323D95">
        <w:t xml:space="preserve">Many of the issues raised </w:t>
      </w:r>
      <w:r w:rsidR="001C4180">
        <w:t>concerning</w:t>
      </w:r>
      <w:r w:rsidR="001C4180" w:rsidRPr="00323D95">
        <w:t xml:space="preserve"> </w:t>
      </w:r>
      <w:r w:rsidRPr="00323D95">
        <w:t xml:space="preserve">the listing system are interlinked and </w:t>
      </w:r>
      <w:r w:rsidR="00B95968">
        <w:t>therefore</w:t>
      </w:r>
      <w:r w:rsidR="002151D1">
        <w:t xml:space="preserve"> </w:t>
      </w:r>
      <w:r w:rsidR="00362300">
        <w:t>cannot</w:t>
      </w:r>
      <w:r w:rsidR="002151D1">
        <w:t xml:space="preserve"> be </w:t>
      </w:r>
      <w:r w:rsidRPr="00323D95">
        <w:t>considered in isolation</w:t>
      </w:r>
      <w:r w:rsidR="002151D1">
        <w:t xml:space="preserve"> of each other</w:t>
      </w:r>
      <w:r w:rsidRPr="00323D95">
        <w:t xml:space="preserve">. </w:t>
      </w:r>
      <w:r w:rsidR="002151D1">
        <w:t xml:space="preserve">Taking this into account, and </w:t>
      </w:r>
      <w:r w:rsidR="00D8663F">
        <w:t>i</w:t>
      </w:r>
      <w:r w:rsidR="00D8663F" w:rsidRPr="00323D95">
        <w:t xml:space="preserve">n </w:t>
      </w:r>
      <w:r w:rsidR="00EB5D77" w:rsidRPr="00323D95">
        <w:t xml:space="preserve">order to advance </w:t>
      </w:r>
      <w:r w:rsidRPr="00323D95">
        <w:t xml:space="preserve">the reflection process, </w:t>
      </w:r>
      <w:r w:rsidR="00A50DA1" w:rsidRPr="00323D95">
        <w:t>the</w:t>
      </w:r>
      <w:r w:rsidR="00D8663F">
        <w:t xml:space="preserve"> </w:t>
      </w:r>
      <w:r w:rsidR="002151D1">
        <w:t xml:space="preserve">various </w:t>
      </w:r>
      <w:r w:rsidR="00D8663F">
        <w:t>issues</w:t>
      </w:r>
      <w:r w:rsidRPr="00323D95">
        <w:t xml:space="preserve"> </w:t>
      </w:r>
      <w:r w:rsidR="002151D1">
        <w:t xml:space="preserve">raised over several committee sessions, were </w:t>
      </w:r>
      <w:r w:rsidRPr="00323D95">
        <w:t>grouped into four themes</w:t>
      </w:r>
      <w:r w:rsidR="00D8663F">
        <w:t xml:space="preserve"> listed</w:t>
      </w:r>
      <w:r w:rsidR="00EB5D77" w:rsidRPr="00323D95">
        <w:t xml:space="preserve"> </w:t>
      </w:r>
      <w:r w:rsidR="0080722B" w:rsidRPr="00323D95">
        <w:t xml:space="preserve">below, </w:t>
      </w:r>
      <w:r w:rsidR="00EB5D77" w:rsidRPr="00323D95">
        <w:t xml:space="preserve">as detailed in the working document presented </w:t>
      </w:r>
      <w:r w:rsidR="001C4180">
        <w:t>during</w:t>
      </w:r>
      <w:r w:rsidR="001C4180" w:rsidRPr="00323D95">
        <w:t xml:space="preserve"> </w:t>
      </w:r>
      <w:r w:rsidR="00EB5D77" w:rsidRPr="00323D95">
        <w:t>the fourteenth session of the Committee in December 2019 (</w:t>
      </w:r>
      <w:hyperlink r:id="rId14" w:history="1">
        <w:r w:rsidR="00EB5D77" w:rsidRPr="00323D95">
          <w:rPr>
            <w:rStyle w:val="Lienhypertexte"/>
          </w:rPr>
          <w:t>document LHE/19/14.COM/14</w:t>
        </w:r>
      </w:hyperlink>
      <w:r w:rsidR="00EB5D77" w:rsidRPr="00323D95">
        <w:rPr>
          <w:rStyle w:val="Lienhypertexte"/>
        </w:rPr>
        <w:t>)</w:t>
      </w:r>
      <w:r w:rsidR="00EB5D77" w:rsidRPr="00172FFD">
        <w:t>.</w:t>
      </w:r>
      <w:r w:rsidR="00C612F4">
        <w:t xml:space="preserve"> </w:t>
      </w:r>
      <w:r w:rsidR="00AD17EB">
        <w:t>It is proposed that t</w:t>
      </w:r>
      <w:r w:rsidR="00DA53F3" w:rsidRPr="00323D95">
        <w:t xml:space="preserve">he </w:t>
      </w:r>
      <w:r w:rsidR="001C4180">
        <w:t>w</w:t>
      </w:r>
      <w:r w:rsidR="000648DE" w:rsidRPr="00323D95">
        <w:t xml:space="preserve">orking </w:t>
      </w:r>
      <w:r w:rsidR="001C4180">
        <w:t>g</w:t>
      </w:r>
      <w:r w:rsidR="000648DE" w:rsidRPr="00323D95">
        <w:t>roup</w:t>
      </w:r>
      <w:r w:rsidR="0079003D">
        <w:t>’s</w:t>
      </w:r>
      <w:r w:rsidR="00D8663F">
        <w:t xml:space="preserve"> discussion</w:t>
      </w:r>
      <w:r w:rsidR="000648DE" w:rsidRPr="00323D95">
        <w:t xml:space="preserve"> will also </w:t>
      </w:r>
      <w:r w:rsidR="00AD17EB">
        <w:t xml:space="preserve">be </w:t>
      </w:r>
      <w:r w:rsidR="008956A2">
        <w:t>centred</w:t>
      </w:r>
      <w:r w:rsidR="00AD17EB">
        <w:t xml:space="preserve"> around </w:t>
      </w:r>
      <w:r w:rsidR="000648DE" w:rsidRPr="00323D95">
        <w:t>these four themes.</w:t>
      </w:r>
    </w:p>
    <w:tbl>
      <w:tblPr>
        <w:tblStyle w:val="Grilledutableau"/>
        <w:tblW w:w="0" w:type="auto"/>
        <w:tblInd w:w="567" w:type="dxa"/>
        <w:tblLook w:val="04A0" w:firstRow="1" w:lastRow="0" w:firstColumn="1" w:lastColumn="0" w:noHBand="0" w:noVBand="1"/>
      </w:tblPr>
      <w:tblGrid>
        <w:gridCol w:w="9061"/>
      </w:tblGrid>
      <w:tr w:rsidR="00EB5D77" w:rsidRPr="00323D95" w14:paraId="643EA1A1" w14:textId="77777777" w:rsidTr="00C62AC0">
        <w:tc>
          <w:tcPr>
            <w:tcW w:w="9628" w:type="dxa"/>
            <w:shd w:val="clear" w:color="auto" w:fill="F2F2F2" w:themeFill="background1" w:themeFillShade="F2"/>
          </w:tcPr>
          <w:p w14:paraId="0C4F6950" w14:textId="38E08F1F" w:rsidR="00EB5D77" w:rsidRPr="00323D95" w:rsidRDefault="00EB5D77" w:rsidP="00C62AC0">
            <w:pPr>
              <w:pStyle w:val="1GAPara"/>
              <w:numPr>
                <w:ilvl w:val="0"/>
                <w:numId w:val="0"/>
              </w:numPr>
              <w:spacing w:before="120"/>
              <w:ind w:left="720"/>
            </w:pPr>
            <w:r w:rsidRPr="00323D95">
              <w:t>Theme A: </w:t>
            </w:r>
            <w:r w:rsidR="00D8663F">
              <w:t>O</w:t>
            </w:r>
            <w:r w:rsidRPr="00323D95">
              <w:t>verall approach to the listing mechanisms</w:t>
            </w:r>
          </w:p>
          <w:p w14:paraId="5D87CB6C" w14:textId="19DF7D58" w:rsidR="00EB5D77" w:rsidRPr="00323D95" w:rsidRDefault="00EB5D77" w:rsidP="00C62AC0">
            <w:pPr>
              <w:pStyle w:val="1GAPara"/>
              <w:numPr>
                <w:ilvl w:val="0"/>
                <w:numId w:val="0"/>
              </w:numPr>
              <w:spacing w:before="120"/>
              <w:ind w:left="720"/>
            </w:pPr>
            <w:r w:rsidRPr="00323D95">
              <w:t>Theme B: </w:t>
            </w:r>
            <w:r w:rsidR="00D8663F">
              <w:t>I</w:t>
            </w:r>
            <w:r w:rsidRPr="00323D95">
              <w:t>ssues related to the inscription criteria</w:t>
            </w:r>
          </w:p>
          <w:p w14:paraId="3D93D244" w14:textId="2DD84DB8" w:rsidR="00EB5D77" w:rsidRPr="00323D95" w:rsidRDefault="00EB5D77" w:rsidP="00C62AC0">
            <w:pPr>
              <w:pStyle w:val="1GAPara"/>
              <w:numPr>
                <w:ilvl w:val="0"/>
                <w:numId w:val="0"/>
              </w:numPr>
              <w:spacing w:before="120"/>
              <w:ind w:left="720"/>
            </w:pPr>
            <w:r w:rsidRPr="00323D95">
              <w:t>Theme C: </w:t>
            </w:r>
            <w:r w:rsidR="00D8663F">
              <w:t>I</w:t>
            </w:r>
            <w:r w:rsidRPr="00323D95">
              <w:t>ssues related to the follow-up of inscribed elements</w:t>
            </w:r>
          </w:p>
          <w:p w14:paraId="47AD73C2" w14:textId="5E2A60E3" w:rsidR="00EB5D77" w:rsidRPr="00323D95" w:rsidRDefault="00EB5D77" w:rsidP="00C62AC0">
            <w:pPr>
              <w:pStyle w:val="1GAPara"/>
              <w:numPr>
                <w:ilvl w:val="0"/>
                <w:numId w:val="0"/>
              </w:numPr>
              <w:spacing w:before="120"/>
              <w:ind w:left="720"/>
            </w:pPr>
            <w:r w:rsidRPr="00323D95">
              <w:t>Theme D: </w:t>
            </w:r>
            <w:r w:rsidR="00D8663F">
              <w:t>M</w:t>
            </w:r>
            <w:r w:rsidRPr="00323D95">
              <w:t>ethodology for the evaluation of nominations</w:t>
            </w:r>
          </w:p>
        </w:tc>
      </w:tr>
    </w:tbl>
    <w:p w14:paraId="4E486927" w14:textId="45D3A56B" w:rsidR="00A50DA1" w:rsidRPr="00F13869" w:rsidRDefault="00E35410" w:rsidP="00C62AC0">
      <w:pPr>
        <w:pStyle w:val="COMPara"/>
        <w:numPr>
          <w:ilvl w:val="0"/>
          <w:numId w:val="8"/>
        </w:numPr>
        <w:spacing w:before="240"/>
        <w:ind w:left="567" w:hanging="567"/>
        <w:jc w:val="both"/>
      </w:pPr>
      <w:r w:rsidRPr="00323D95">
        <w:t xml:space="preserve">In addition, </w:t>
      </w:r>
      <w:r w:rsidR="00D8663F">
        <w:t>at different</w:t>
      </w:r>
      <w:r w:rsidR="00D8663F" w:rsidRPr="00323D95">
        <w:t xml:space="preserve"> sessions </w:t>
      </w:r>
      <w:r w:rsidRPr="00323D95">
        <w:t xml:space="preserve">the Committee requested </w:t>
      </w:r>
      <w:r w:rsidR="00144278" w:rsidRPr="00323D95">
        <w:t xml:space="preserve">that </w:t>
      </w:r>
      <w:r w:rsidR="00904A6A">
        <w:t>certain</w:t>
      </w:r>
      <w:r w:rsidRPr="00323D95">
        <w:t xml:space="preserve"> </w:t>
      </w:r>
      <w:r w:rsidR="002151D1">
        <w:t xml:space="preserve">specific issues </w:t>
      </w:r>
      <w:r w:rsidR="00FD1935">
        <w:t>be addressed</w:t>
      </w:r>
      <w:r w:rsidR="002151D1" w:rsidRPr="00323D95">
        <w:t xml:space="preserve"> </w:t>
      </w:r>
      <w:r w:rsidR="00D8663F">
        <w:t>during</w:t>
      </w:r>
      <w:r w:rsidR="00D8663F" w:rsidRPr="00323D95">
        <w:t xml:space="preserve"> </w:t>
      </w:r>
      <w:r w:rsidRPr="00323D95">
        <w:t>the global reflection</w:t>
      </w:r>
      <w:r w:rsidR="00904A6A">
        <w:t>,</w:t>
      </w:r>
      <w:r w:rsidR="00144278" w:rsidRPr="00323D95">
        <w:t xml:space="preserve"> as summarized in</w:t>
      </w:r>
      <w:r w:rsidR="00D8663F">
        <w:t xml:space="preserve"> the</w:t>
      </w:r>
      <w:r w:rsidR="00144278" w:rsidRPr="00323D95">
        <w:t xml:space="preserve"> </w:t>
      </w:r>
      <w:r w:rsidR="00144278" w:rsidRPr="002E79D3">
        <w:t>Annex</w:t>
      </w:r>
      <w:r w:rsidR="0099582B" w:rsidRPr="00323D95">
        <w:t>. The</w:t>
      </w:r>
      <w:r w:rsidR="002151D1">
        <w:t>se</w:t>
      </w:r>
      <w:r w:rsidR="00FD1935">
        <w:t xml:space="preserve"> topics</w:t>
      </w:r>
      <w:r w:rsidR="00D8663F">
        <w:t xml:space="preserve"> </w:t>
      </w:r>
      <w:r w:rsidR="0099582B" w:rsidRPr="00323D95">
        <w:t xml:space="preserve">include the revision of criterion R.2, the procedure </w:t>
      </w:r>
      <w:r w:rsidR="00FD1935">
        <w:t>for</w:t>
      </w:r>
      <w:r w:rsidR="00FD1935" w:rsidRPr="00323D95">
        <w:t xml:space="preserve"> </w:t>
      </w:r>
      <w:r w:rsidR="0099582B" w:rsidRPr="00323D95">
        <w:t xml:space="preserve">the removal and transfer of elements, </w:t>
      </w:r>
      <w:r w:rsidR="002151D1">
        <w:t xml:space="preserve">the </w:t>
      </w:r>
      <w:r w:rsidR="0099582B" w:rsidRPr="00323D95">
        <w:t>follow-up of inscribed elements</w:t>
      </w:r>
      <w:r w:rsidR="00DA53F3" w:rsidRPr="00323D95">
        <w:t xml:space="preserve">, the annual </w:t>
      </w:r>
      <w:r w:rsidR="00C612F4">
        <w:t xml:space="preserve">nomination </w:t>
      </w:r>
      <w:r w:rsidR="00DA53F3" w:rsidRPr="00323D95">
        <w:t>ceilings</w:t>
      </w:r>
      <w:r w:rsidR="0076675D" w:rsidRPr="00323D95">
        <w:t xml:space="preserve">, the preparation of multinational </w:t>
      </w:r>
      <w:r w:rsidR="0076675D" w:rsidRPr="00323D95">
        <w:lastRenderedPageBreak/>
        <w:t>nominations as well as the procedure for their extension</w:t>
      </w:r>
      <w:r w:rsidR="00D8663F">
        <w:t>,</w:t>
      </w:r>
      <w:r w:rsidR="0076675D" w:rsidRPr="00323D95">
        <w:t xml:space="preserve"> a</w:t>
      </w:r>
      <w:r w:rsidR="0099582B" w:rsidRPr="00323D95">
        <w:t xml:space="preserve">nd </w:t>
      </w:r>
      <w:r w:rsidR="00904A6A">
        <w:t>how</w:t>
      </w:r>
      <w:r w:rsidR="0099582B" w:rsidRPr="00323D95">
        <w:t xml:space="preserve"> living heritage safeguarding </w:t>
      </w:r>
      <w:r w:rsidR="00904A6A">
        <w:t xml:space="preserve">contributes </w:t>
      </w:r>
      <w:r w:rsidR="00D8663F">
        <w:t>to</w:t>
      </w:r>
      <w:r w:rsidR="00D8663F" w:rsidRPr="00323D95">
        <w:t xml:space="preserve"> </w:t>
      </w:r>
      <w:r w:rsidR="0099582B" w:rsidRPr="00323D95">
        <w:t xml:space="preserve">sustainable development (see </w:t>
      </w:r>
      <w:r w:rsidR="0099582B" w:rsidRPr="00F13869">
        <w:t xml:space="preserve">paragraph </w:t>
      </w:r>
      <w:r w:rsidR="0079003D" w:rsidRPr="00F13869">
        <w:t>17</w:t>
      </w:r>
      <w:r w:rsidR="0099582B" w:rsidRPr="00F13869">
        <w:t>)</w:t>
      </w:r>
      <w:r w:rsidR="00144278" w:rsidRPr="00F13869">
        <w:t>.</w:t>
      </w:r>
    </w:p>
    <w:p w14:paraId="1C4423EE" w14:textId="3F1E6AA4" w:rsidR="0075552D" w:rsidRPr="00323D95" w:rsidRDefault="001373F5" w:rsidP="008060EE">
      <w:pPr>
        <w:pStyle w:val="COMPara"/>
        <w:keepNext/>
        <w:numPr>
          <w:ilvl w:val="0"/>
          <w:numId w:val="8"/>
        </w:numPr>
        <w:ind w:left="567" w:hanging="567"/>
        <w:jc w:val="both"/>
      </w:pPr>
      <w:r w:rsidRPr="00323D95">
        <w:t>The timeline of the reflection process is summarized below</w:t>
      </w:r>
      <w:r w:rsidR="00B46B82" w:rsidRPr="00323D95">
        <w:t>.</w:t>
      </w:r>
    </w:p>
    <w:tbl>
      <w:tblPr>
        <w:tblStyle w:val="Grilledutableau"/>
        <w:tblW w:w="0" w:type="auto"/>
        <w:tblInd w:w="567" w:type="dxa"/>
        <w:tblLook w:val="04A0" w:firstRow="1" w:lastRow="0" w:firstColumn="1" w:lastColumn="0" w:noHBand="0" w:noVBand="1"/>
      </w:tblPr>
      <w:tblGrid>
        <w:gridCol w:w="2547"/>
        <w:gridCol w:w="6514"/>
      </w:tblGrid>
      <w:tr w:rsidR="001373F5" w:rsidRPr="00323D95" w14:paraId="7E469E98" w14:textId="77777777" w:rsidTr="00C62AC0">
        <w:tc>
          <w:tcPr>
            <w:tcW w:w="2547" w:type="dxa"/>
            <w:shd w:val="clear" w:color="auto" w:fill="F2F2F2" w:themeFill="background1" w:themeFillShade="F2"/>
          </w:tcPr>
          <w:p w14:paraId="19DFE441" w14:textId="03833CFB" w:rsidR="001373F5" w:rsidRPr="00323D95" w:rsidRDefault="001373F5" w:rsidP="008060EE">
            <w:pPr>
              <w:pStyle w:val="COMPara"/>
              <w:keepNext/>
              <w:spacing w:after="0"/>
              <w:ind w:left="0" w:firstLine="0"/>
              <w:jc w:val="both"/>
              <w:rPr>
                <w:b/>
                <w:bCs/>
                <w:sz w:val="20"/>
                <w:szCs w:val="20"/>
              </w:rPr>
            </w:pPr>
            <w:r w:rsidRPr="00323D95">
              <w:rPr>
                <w:b/>
                <w:bCs/>
                <w:sz w:val="20"/>
                <w:szCs w:val="20"/>
              </w:rPr>
              <w:t>Dates</w:t>
            </w:r>
          </w:p>
        </w:tc>
        <w:tc>
          <w:tcPr>
            <w:tcW w:w="6514" w:type="dxa"/>
            <w:shd w:val="clear" w:color="auto" w:fill="F2F2F2" w:themeFill="background1" w:themeFillShade="F2"/>
          </w:tcPr>
          <w:p w14:paraId="3D443F8B" w14:textId="7031EE5A" w:rsidR="001373F5" w:rsidRPr="00323D95" w:rsidRDefault="001373F5" w:rsidP="008060EE">
            <w:pPr>
              <w:pStyle w:val="COMPara"/>
              <w:keepNext/>
              <w:spacing w:after="0"/>
              <w:ind w:left="0" w:firstLine="0"/>
              <w:jc w:val="both"/>
              <w:rPr>
                <w:b/>
                <w:bCs/>
                <w:sz w:val="20"/>
                <w:szCs w:val="20"/>
              </w:rPr>
            </w:pPr>
            <w:r w:rsidRPr="00323D95">
              <w:rPr>
                <w:b/>
                <w:bCs/>
                <w:sz w:val="20"/>
                <w:szCs w:val="20"/>
              </w:rPr>
              <w:t>Key milestones</w:t>
            </w:r>
          </w:p>
        </w:tc>
      </w:tr>
      <w:tr w:rsidR="00805C1B" w:rsidRPr="00323D95" w14:paraId="522F8451" w14:textId="77777777" w:rsidTr="004944E6">
        <w:tc>
          <w:tcPr>
            <w:tcW w:w="2547" w:type="dxa"/>
          </w:tcPr>
          <w:p w14:paraId="07A8363A" w14:textId="77777777" w:rsidR="00805C1B" w:rsidRPr="00323D95" w:rsidRDefault="00805C1B" w:rsidP="004944E6">
            <w:pPr>
              <w:pStyle w:val="COMPara"/>
              <w:spacing w:after="0"/>
              <w:ind w:left="0" w:firstLine="0"/>
              <w:rPr>
                <w:sz w:val="20"/>
                <w:szCs w:val="20"/>
              </w:rPr>
            </w:pPr>
            <w:r w:rsidRPr="00323D95">
              <w:rPr>
                <w:sz w:val="20"/>
                <w:szCs w:val="20"/>
              </w:rPr>
              <w:t>4 to 9 December 2017</w:t>
            </w:r>
          </w:p>
          <w:p w14:paraId="5A77F51A" w14:textId="587649CA" w:rsidR="00805C1B" w:rsidRPr="00323D95" w:rsidRDefault="00805C1B" w:rsidP="004944E6">
            <w:pPr>
              <w:pStyle w:val="COMPara"/>
              <w:spacing w:after="0"/>
              <w:ind w:left="0" w:firstLine="0"/>
              <w:rPr>
                <w:sz w:val="20"/>
                <w:szCs w:val="20"/>
              </w:rPr>
            </w:pPr>
            <w:r w:rsidRPr="00323D95">
              <w:rPr>
                <w:sz w:val="20"/>
                <w:szCs w:val="20"/>
              </w:rPr>
              <w:t>Jeju Island, Republic of Korea</w:t>
            </w:r>
          </w:p>
        </w:tc>
        <w:tc>
          <w:tcPr>
            <w:tcW w:w="6514" w:type="dxa"/>
          </w:tcPr>
          <w:p w14:paraId="56425900" w14:textId="77777777" w:rsidR="00805C1B" w:rsidRPr="00323D95" w:rsidRDefault="00805C1B" w:rsidP="004944E6">
            <w:pPr>
              <w:pStyle w:val="COMPara"/>
              <w:ind w:left="0" w:firstLine="0"/>
              <w:jc w:val="both"/>
              <w:rPr>
                <w:b/>
                <w:bCs/>
                <w:sz w:val="20"/>
                <w:szCs w:val="20"/>
              </w:rPr>
            </w:pPr>
            <w:r w:rsidRPr="00323D95">
              <w:rPr>
                <w:b/>
                <w:bCs/>
                <w:sz w:val="20"/>
                <w:szCs w:val="20"/>
              </w:rPr>
              <w:t>Twelfth session of the Intergovernmental Committee</w:t>
            </w:r>
          </w:p>
          <w:p w14:paraId="4702D198" w14:textId="36CBCE12" w:rsidR="00805C1B" w:rsidRPr="00323D95" w:rsidRDefault="00805C1B" w:rsidP="004944E6">
            <w:pPr>
              <w:pStyle w:val="COMPara"/>
              <w:ind w:left="0" w:firstLine="0"/>
              <w:jc w:val="both"/>
              <w:rPr>
                <w:sz w:val="20"/>
                <w:szCs w:val="20"/>
              </w:rPr>
            </w:pPr>
            <w:r w:rsidRPr="00323D95">
              <w:rPr>
                <w:sz w:val="20"/>
                <w:szCs w:val="20"/>
              </w:rPr>
              <w:t>Item 14: Reflection on the removal of an element from a List and the transfer of an element from one List to the other</w:t>
            </w:r>
          </w:p>
        </w:tc>
      </w:tr>
      <w:tr w:rsidR="00E67E3D" w:rsidRPr="00323D95" w14:paraId="4ED88DA6" w14:textId="77777777" w:rsidTr="004944E6">
        <w:tc>
          <w:tcPr>
            <w:tcW w:w="2547" w:type="dxa"/>
          </w:tcPr>
          <w:p w14:paraId="3177022B" w14:textId="6D233823" w:rsidR="00E67E3D" w:rsidRPr="00323D95" w:rsidRDefault="0048398C" w:rsidP="004944E6">
            <w:pPr>
              <w:pStyle w:val="COMPara"/>
              <w:spacing w:after="0"/>
              <w:ind w:left="0" w:firstLine="0"/>
              <w:rPr>
                <w:sz w:val="20"/>
                <w:szCs w:val="20"/>
              </w:rPr>
            </w:pPr>
            <w:r w:rsidRPr="00323D95">
              <w:rPr>
                <w:sz w:val="20"/>
                <w:szCs w:val="20"/>
              </w:rPr>
              <w:t>26 November</w:t>
            </w:r>
            <w:r w:rsidR="00021003">
              <w:rPr>
                <w:sz w:val="20"/>
                <w:szCs w:val="20"/>
              </w:rPr>
              <w:t xml:space="preserve"> 2018</w:t>
            </w:r>
            <w:r w:rsidRPr="00323D95">
              <w:rPr>
                <w:sz w:val="20"/>
                <w:szCs w:val="20"/>
              </w:rPr>
              <w:t xml:space="preserve"> to 1</w:t>
            </w:r>
            <w:r w:rsidR="003818C3" w:rsidRPr="00323D95">
              <w:rPr>
                <w:sz w:val="20"/>
                <w:szCs w:val="20"/>
              </w:rPr>
              <w:t> </w:t>
            </w:r>
            <w:r w:rsidRPr="00323D95">
              <w:rPr>
                <w:sz w:val="20"/>
                <w:szCs w:val="20"/>
              </w:rPr>
              <w:t xml:space="preserve">December </w:t>
            </w:r>
            <w:r w:rsidR="005C0CA5" w:rsidRPr="00323D95">
              <w:rPr>
                <w:sz w:val="20"/>
                <w:szCs w:val="20"/>
              </w:rPr>
              <w:t>2018</w:t>
            </w:r>
          </w:p>
          <w:p w14:paraId="4A285D9E" w14:textId="7046566C" w:rsidR="0048398C" w:rsidRPr="00323D95" w:rsidRDefault="0048398C" w:rsidP="004944E6">
            <w:pPr>
              <w:pStyle w:val="COMPara"/>
              <w:spacing w:after="0"/>
              <w:ind w:left="0" w:firstLine="0"/>
              <w:rPr>
                <w:sz w:val="20"/>
                <w:szCs w:val="20"/>
              </w:rPr>
            </w:pPr>
            <w:r w:rsidRPr="00323D95">
              <w:rPr>
                <w:sz w:val="20"/>
                <w:szCs w:val="20"/>
              </w:rPr>
              <w:t>Port Louis, Republic of Mauritius</w:t>
            </w:r>
          </w:p>
        </w:tc>
        <w:tc>
          <w:tcPr>
            <w:tcW w:w="6514" w:type="dxa"/>
          </w:tcPr>
          <w:p w14:paraId="14720671" w14:textId="77777777" w:rsidR="00E67E3D" w:rsidRPr="00323D95" w:rsidRDefault="00E67E3D" w:rsidP="004944E6">
            <w:pPr>
              <w:pStyle w:val="COMPara"/>
              <w:ind w:left="0" w:firstLine="0"/>
              <w:jc w:val="both"/>
              <w:rPr>
                <w:b/>
                <w:bCs/>
                <w:sz w:val="20"/>
                <w:szCs w:val="20"/>
              </w:rPr>
            </w:pPr>
            <w:r w:rsidRPr="00323D95">
              <w:rPr>
                <w:b/>
                <w:bCs/>
                <w:sz w:val="20"/>
                <w:szCs w:val="20"/>
              </w:rPr>
              <w:t>Thirteenth session of the Intergovernmental Committee</w:t>
            </w:r>
          </w:p>
          <w:p w14:paraId="17D96FB9" w14:textId="280BA37B" w:rsidR="00E67E3D" w:rsidRPr="00323D95" w:rsidRDefault="0048398C" w:rsidP="004944E6">
            <w:pPr>
              <w:pStyle w:val="COMPara"/>
              <w:ind w:left="0" w:firstLine="0"/>
              <w:jc w:val="both"/>
              <w:rPr>
                <w:sz w:val="20"/>
                <w:szCs w:val="20"/>
              </w:rPr>
            </w:pPr>
            <w:r w:rsidRPr="00323D95">
              <w:rPr>
                <w:sz w:val="20"/>
                <w:szCs w:val="20"/>
              </w:rPr>
              <w:t xml:space="preserve">Item 6: Intangible Cultural Heritage Fund: </w:t>
            </w:r>
            <w:r w:rsidR="00C5044B">
              <w:rPr>
                <w:sz w:val="20"/>
                <w:szCs w:val="20"/>
              </w:rPr>
              <w:t>V</w:t>
            </w:r>
            <w:r w:rsidRPr="00323D95">
              <w:rPr>
                <w:sz w:val="20"/>
                <w:szCs w:val="20"/>
              </w:rPr>
              <w:t>oluntary supplementary contributions and other issues</w:t>
            </w:r>
          </w:p>
          <w:p w14:paraId="099C5E41" w14:textId="3F9AFF98" w:rsidR="0048398C" w:rsidRPr="00323D95" w:rsidRDefault="0048398C" w:rsidP="004944E6">
            <w:pPr>
              <w:pStyle w:val="COMPara"/>
              <w:ind w:left="0" w:firstLine="0"/>
              <w:jc w:val="both"/>
              <w:rPr>
                <w:sz w:val="20"/>
                <w:szCs w:val="20"/>
              </w:rPr>
            </w:pPr>
            <w:r w:rsidRPr="00323D95">
              <w:rPr>
                <w:sz w:val="20"/>
                <w:szCs w:val="20"/>
              </w:rPr>
              <w:t>Item 10: Report of the Evaluation Body on its work in 2018</w:t>
            </w:r>
          </w:p>
        </w:tc>
      </w:tr>
      <w:tr w:rsidR="001373F5" w:rsidRPr="00323D95" w14:paraId="08C1961E" w14:textId="77777777" w:rsidTr="00C62AC0">
        <w:tc>
          <w:tcPr>
            <w:tcW w:w="2547" w:type="dxa"/>
          </w:tcPr>
          <w:p w14:paraId="03F6E2CC" w14:textId="77777777" w:rsidR="001373F5" w:rsidRPr="00323D95" w:rsidRDefault="001373F5" w:rsidP="00C62AC0">
            <w:pPr>
              <w:pStyle w:val="COMPara"/>
              <w:spacing w:after="0"/>
              <w:ind w:left="0" w:firstLine="0"/>
              <w:rPr>
                <w:sz w:val="20"/>
                <w:szCs w:val="20"/>
              </w:rPr>
            </w:pPr>
            <w:r w:rsidRPr="00323D95">
              <w:rPr>
                <w:sz w:val="20"/>
                <w:szCs w:val="20"/>
              </w:rPr>
              <w:t>9 to 14 December 2019</w:t>
            </w:r>
          </w:p>
          <w:p w14:paraId="763F2B05" w14:textId="5A9E5504" w:rsidR="001373F5" w:rsidRPr="00323D95" w:rsidRDefault="001373F5" w:rsidP="00C62AC0">
            <w:pPr>
              <w:pStyle w:val="COMPara"/>
              <w:spacing w:after="0"/>
              <w:ind w:left="0" w:firstLine="0"/>
              <w:rPr>
                <w:sz w:val="20"/>
                <w:szCs w:val="20"/>
              </w:rPr>
            </w:pPr>
            <w:r w:rsidRPr="00323D95">
              <w:rPr>
                <w:sz w:val="20"/>
                <w:szCs w:val="20"/>
              </w:rPr>
              <w:t xml:space="preserve">Bogotá, </w:t>
            </w:r>
            <w:r w:rsidR="00021003">
              <w:rPr>
                <w:sz w:val="20"/>
                <w:szCs w:val="20"/>
              </w:rPr>
              <w:t xml:space="preserve">Republic of </w:t>
            </w:r>
            <w:r w:rsidRPr="00323D95">
              <w:rPr>
                <w:sz w:val="20"/>
                <w:szCs w:val="20"/>
              </w:rPr>
              <w:t>Colombia</w:t>
            </w:r>
          </w:p>
        </w:tc>
        <w:tc>
          <w:tcPr>
            <w:tcW w:w="6514" w:type="dxa"/>
          </w:tcPr>
          <w:p w14:paraId="4F939912" w14:textId="77777777" w:rsidR="001373F5" w:rsidRPr="00323D95" w:rsidRDefault="001373F5" w:rsidP="00C62AC0">
            <w:pPr>
              <w:pStyle w:val="COMPara"/>
              <w:ind w:left="0" w:firstLine="0"/>
              <w:jc w:val="both"/>
              <w:rPr>
                <w:b/>
                <w:bCs/>
                <w:sz w:val="20"/>
                <w:szCs w:val="20"/>
              </w:rPr>
            </w:pPr>
            <w:r w:rsidRPr="00323D95">
              <w:rPr>
                <w:b/>
                <w:bCs/>
                <w:sz w:val="20"/>
                <w:szCs w:val="20"/>
              </w:rPr>
              <w:t>Fourteenth session of the Intergovernmental Committee</w:t>
            </w:r>
          </w:p>
          <w:p w14:paraId="70625E1E" w14:textId="02D0EFE2" w:rsidR="001373F5" w:rsidRPr="00323D95" w:rsidRDefault="001373F5" w:rsidP="00C62AC0">
            <w:pPr>
              <w:pStyle w:val="COMPara"/>
              <w:spacing w:after="0"/>
              <w:ind w:left="0" w:firstLine="0"/>
              <w:jc w:val="both"/>
              <w:rPr>
                <w:sz w:val="20"/>
                <w:szCs w:val="20"/>
              </w:rPr>
            </w:pPr>
            <w:r w:rsidRPr="00323D95">
              <w:rPr>
                <w:sz w:val="20"/>
                <w:szCs w:val="20"/>
              </w:rPr>
              <w:t>Item 14: Reflection on the listing mechanisms of the Convention</w:t>
            </w:r>
          </w:p>
        </w:tc>
      </w:tr>
      <w:tr w:rsidR="001373F5" w:rsidRPr="00323D95" w14:paraId="72078671" w14:textId="77777777" w:rsidTr="00C62AC0">
        <w:tc>
          <w:tcPr>
            <w:tcW w:w="2547" w:type="dxa"/>
          </w:tcPr>
          <w:p w14:paraId="3CC48B5B" w14:textId="2B0295BE" w:rsidR="001373F5" w:rsidRPr="00323D95" w:rsidRDefault="001373F5" w:rsidP="00C62AC0">
            <w:pPr>
              <w:pStyle w:val="COMPara"/>
              <w:spacing w:after="0"/>
              <w:ind w:left="0" w:firstLine="0"/>
              <w:rPr>
                <w:sz w:val="20"/>
                <w:szCs w:val="20"/>
              </w:rPr>
            </w:pPr>
            <w:r w:rsidRPr="00323D95">
              <w:rPr>
                <w:sz w:val="20"/>
                <w:szCs w:val="20"/>
              </w:rPr>
              <w:t>8 to 10 September 2020</w:t>
            </w:r>
          </w:p>
          <w:p w14:paraId="05A8C210" w14:textId="5F78601A" w:rsidR="001373F5" w:rsidRPr="00323D95" w:rsidRDefault="001373F5" w:rsidP="00C00ED2">
            <w:pPr>
              <w:pStyle w:val="COMPara"/>
              <w:spacing w:after="0"/>
              <w:ind w:left="0" w:firstLine="0"/>
              <w:rPr>
                <w:sz w:val="20"/>
                <w:szCs w:val="20"/>
              </w:rPr>
            </w:pPr>
            <w:r w:rsidRPr="00323D95">
              <w:rPr>
                <w:sz w:val="20"/>
                <w:szCs w:val="20"/>
              </w:rPr>
              <w:t>Paris</w:t>
            </w:r>
            <w:r w:rsidR="00C00ED2">
              <w:rPr>
                <w:sz w:val="20"/>
                <w:szCs w:val="20"/>
              </w:rPr>
              <w:t xml:space="preserve">, </w:t>
            </w:r>
            <w:r w:rsidRPr="00323D95">
              <w:rPr>
                <w:sz w:val="20"/>
                <w:szCs w:val="20"/>
              </w:rPr>
              <w:t>UNESCO Headquarters</w:t>
            </w:r>
          </w:p>
        </w:tc>
        <w:tc>
          <w:tcPr>
            <w:tcW w:w="6514" w:type="dxa"/>
          </w:tcPr>
          <w:p w14:paraId="18F5DAA4" w14:textId="77777777" w:rsidR="001373F5" w:rsidRPr="00323D95" w:rsidRDefault="001373F5" w:rsidP="00C62AC0">
            <w:pPr>
              <w:pStyle w:val="COMPara"/>
              <w:ind w:left="0" w:firstLine="0"/>
              <w:jc w:val="both"/>
              <w:rPr>
                <w:b/>
                <w:bCs/>
                <w:sz w:val="20"/>
                <w:szCs w:val="20"/>
              </w:rPr>
            </w:pPr>
            <w:r w:rsidRPr="00323D95">
              <w:rPr>
                <w:b/>
                <w:bCs/>
                <w:sz w:val="20"/>
                <w:szCs w:val="20"/>
              </w:rPr>
              <w:t>Eighth session of the General Assembly of States Parties</w:t>
            </w:r>
          </w:p>
          <w:p w14:paraId="3E0C6395" w14:textId="77777777" w:rsidR="001373F5" w:rsidRPr="00323D95" w:rsidRDefault="001373F5" w:rsidP="00C62AC0">
            <w:pPr>
              <w:pStyle w:val="COMPara"/>
              <w:ind w:left="0" w:firstLine="0"/>
              <w:jc w:val="both"/>
              <w:rPr>
                <w:sz w:val="20"/>
                <w:szCs w:val="20"/>
              </w:rPr>
            </w:pPr>
            <w:r w:rsidRPr="00323D95">
              <w:rPr>
                <w:sz w:val="20"/>
                <w:szCs w:val="20"/>
              </w:rPr>
              <w:t>Item 10: ‘Early harvest’: Amendments to the Operational Directives to include a dialogue process in the evaluation of nominations</w:t>
            </w:r>
          </w:p>
          <w:p w14:paraId="36298607" w14:textId="52432F18" w:rsidR="001373F5" w:rsidRPr="00323D95" w:rsidRDefault="001373F5">
            <w:pPr>
              <w:pStyle w:val="COMPara"/>
              <w:ind w:left="0" w:firstLine="0"/>
              <w:jc w:val="both"/>
              <w:rPr>
                <w:sz w:val="20"/>
                <w:szCs w:val="20"/>
              </w:rPr>
            </w:pPr>
            <w:r w:rsidRPr="00323D95">
              <w:rPr>
                <w:sz w:val="20"/>
                <w:szCs w:val="20"/>
              </w:rPr>
              <w:t>Item 11: Update on the reflection on the listing mechanisms of the Convention</w:t>
            </w:r>
          </w:p>
        </w:tc>
      </w:tr>
      <w:tr w:rsidR="001373F5" w:rsidRPr="00323D95" w14:paraId="7B936BCC" w14:textId="77777777" w:rsidTr="00C62AC0">
        <w:tc>
          <w:tcPr>
            <w:tcW w:w="2547" w:type="dxa"/>
          </w:tcPr>
          <w:p w14:paraId="3CB0EB0D" w14:textId="77777777" w:rsidR="001373F5" w:rsidRPr="00323D95" w:rsidRDefault="001373F5" w:rsidP="00C255F2">
            <w:pPr>
              <w:pStyle w:val="COMPara"/>
              <w:spacing w:after="0"/>
              <w:ind w:left="0" w:firstLine="0"/>
              <w:rPr>
                <w:sz w:val="20"/>
                <w:szCs w:val="20"/>
              </w:rPr>
            </w:pPr>
            <w:r w:rsidRPr="00323D95">
              <w:rPr>
                <w:sz w:val="20"/>
                <w:szCs w:val="20"/>
              </w:rPr>
              <w:t>14 to 19 Dece</w:t>
            </w:r>
            <w:r w:rsidR="004944E6" w:rsidRPr="00323D95">
              <w:rPr>
                <w:sz w:val="20"/>
                <w:szCs w:val="20"/>
              </w:rPr>
              <w:t>m</w:t>
            </w:r>
            <w:r w:rsidRPr="00323D95">
              <w:rPr>
                <w:sz w:val="20"/>
                <w:szCs w:val="20"/>
              </w:rPr>
              <w:t>ber 2020</w:t>
            </w:r>
          </w:p>
          <w:p w14:paraId="25BD9D54" w14:textId="1F65561C" w:rsidR="0034060E" w:rsidRPr="00323D95" w:rsidRDefault="0034060E" w:rsidP="00C255F2">
            <w:pPr>
              <w:pStyle w:val="COMPara"/>
              <w:spacing w:after="0"/>
              <w:ind w:left="0" w:firstLine="0"/>
              <w:rPr>
                <w:sz w:val="20"/>
                <w:szCs w:val="20"/>
              </w:rPr>
            </w:pPr>
            <w:r w:rsidRPr="00323D95">
              <w:rPr>
                <w:sz w:val="20"/>
                <w:szCs w:val="20"/>
              </w:rPr>
              <w:t>Online</w:t>
            </w:r>
            <w:r w:rsidR="0045700E">
              <w:rPr>
                <w:sz w:val="20"/>
                <w:szCs w:val="20"/>
              </w:rPr>
              <w:t xml:space="preserve"> (Jamaica and Paris, UNESCO Headquarters)</w:t>
            </w:r>
          </w:p>
        </w:tc>
        <w:tc>
          <w:tcPr>
            <w:tcW w:w="6514" w:type="dxa"/>
          </w:tcPr>
          <w:p w14:paraId="36C3F25F" w14:textId="0DE5CC8A" w:rsidR="001373F5" w:rsidRPr="00323D95" w:rsidRDefault="001373F5" w:rsidP="00C00ED2">
            <w:pPr>
              <w:pStyle w:val="COMPara"/>
              <w:ind w:left="0" w:firstLine="0"/>
              <w:jc w:val="both"/>
              <w:rPr>
                <w:b/>
                <w:bCs/>
                <w:sz w:val="20"/>
                <w:szCs w:val="20"/>
              </w:rPr>
            </w:pPr>
            <w:r w:rsidRPr="00323D95">
              <w:rPr>
                <w:b/>
                <w:bCs/>
                <w:sz w:val="20"/>
                <w:szCs w:val="20"/>
              </w:rPr>
              <w:t>Fifteenth session of the Intergovernmental Committee</w:t>
            </w:r>
          </w:p>
          <w:p w14:paraId="76497827" w14:textId="3B60DC07" w:rsidR="001373F5" w:rsidRPr="00323D95" w:rsidRDefault="001373F5" w:rsidP="00C62AC0">
            <w:pPr>
              <w:pStyle w:val="COMPara"/>
              <w:spacing w:after="0"/>
              <w:ind w:left="0" w:firstLine="0"/>
              <w:jc w:val="both"/>
              <w:rPr>
                <w:sz w:val="20"/>
                <w:szCs w:val="20"/>
              </w:rPr>
            </w:pPr>
            <w:r w:rsidRPr="00323D95">
              <w:rPr>
                <w:sz w:val="20"/>
                <w:szCs w:val="20"/>
              </w:rPr>
              <w:t>Item 9: Number of files submitted for the 2020 and 2021 cycles and number of files that can be treated in the 2022 and 2023 cycles</w:t>
            </w:r>
          </w:p>
        </w:tc>
      </w:tr>
      <w:tr w:rsidR="001373F5" w:rsidRPr="00323D95" w14:paraId="15863CBE" w14:textId="77777777" w:rsidTr="00C62AC0">
        <w:tc>
          <w:tcPr>
            <w:tcW w:w="2547" w:type="dxa"/>
          </w:tcPr>
          <w:p w14:paraId="619B6638" w14:textId="618B7DF3" w:rsidR="001373F5" w:rsidRPr="00323D95" w:rsidRDefault="004944E6" w:rsidP="00C62AC0">
            <w:pPr>
              <w:pStyle w:val="COMPara"/>
              <w:spacing w:after="0"/>
              <w:ind w:left="0" w:firstLine="0"/>
              <w:jc w:val="both"/>
              <w:rPr>
                <w:sz w:val="20"/>
                <w:szCs w:val="20"/>
              </w:rPr>
            </w:pPr>
            <w:r w:rsidRPr="00323D95">
              <w:rPr>
                <w:sz w:val="20"/>
                <w:szCs w:val="20"/>
              </w:rPr>
              <w:t>March</w:t>
            </w:r>
            <w:r w:rsidR="00021003">
              <w:rPr>
                <w:sz w:val="20"/>
                <w:szCs w:val="20"/>
              </w:rPr>
              <w:t xml:space="preserve"> and </w:t>
            </w:r>
            <w:r w:rsidRPr="00323D95">
              <w:rPr>
                <w:sz w:val="20"/>
                <w:szCs w:val="20"/>
              </w:rPr>
              <w:t>April 2021</w:t>
            </w:r>
          </w:p>
        </w:tc>
        <w:tc>
          <w:tcPr>
            <w:tcW w:w="6514" w:type="dxa"/>
          </w:tcPr>
          <w:p w14:paraId="21AD6EF4" w14:textId="4BAE7122" w:rsidR="001373F5" w:rsidRPr="00323D95" w:rsidRDefault="004944E6" w:rsidP="00C62AC0">
            <w:pPr>
              <w:pStyle w:val="COMPara"/>
              <w:spacing w:after="0"/>
              <w:ind w:left="0" w:firstLine="0"/>
              <w:jc w:val="both"/>
              <w:rPr>
                <w:sz w:val="20"/>
                <w:szCs w:val="20"/>
              </w:rPr>
            </w:pPr>
            <w:r w:rsidRPr="00323D95">
              <w:rPr>
                <w:sz w:val="20"/>
                <w:szCs w:val="20"/>
              </w:rPr>
              <w:t>Online survey for experts</w:t>
            </w:r>
          </w:p>
        </w:tc>
      </w:tr>
      <w:tr w:rsidR="001373F5" w:rsidRPr="00323D95" w14:paraId="615CC548" w14:textId="77777777" w:rsidTr="00C62AC0">
        <w:tc>
          <w:tcPr>
            <w:tcW w:w="2547" w:type="dxa"/>
          </w:tcPr>
          <w:p w14:paraId="264EE992" w14:textId="77777777" w:rsidR="001373F5" w:rsidRPr="00323D95" w:rsidRDefault="004944E6" w:rsidP="004944E6">
            <w:pPr>
              <w:pStyle w:val="COMPara"/>
              <w:spacing w:after="0"/>
              <w:ind w:left="0" w:firstLine="0"/>
              <w:jc w:val="both"/>
              <w:rPr>
                <w:sz w:val="20"/>
                <w:szCs w:val="20"/>
              </w:rPr>
            </w:pPr>
            <w:r w:rsidRPr="00323D95">
              <w:rPr>
                <w:sz w:val="20"/>
                <w:szCs w:val="20"/>
              </w:rPr>
              <w:t>7, 26 and 27 May 2021</w:t>
            </w:r>
          </w:p>
          <w:p w14:paraId="59D4FE0B" w14:textId="54BF7527" w:rsidR="004944E6" w:rsidRPr="00323D95" w:rsidRDefault="004944E6" w:rsidP="00C62AC0">
            <w:pPr>
              <w:pStyle w:val="COMPara"/>
              <w:spacing w:after="0"/>
              <w:ind w:left="0" w:firstLine="0"/>
              <w:jc w:val="both"/>
              <w:rPr>
                <w:sz w:val="20"/>
                <w:szCs w:val="20"/>
              </w:rPr>
            </w:pPr>
            <w:r w:rsidRPr="00323D95">
              <w:rPr>
                <w:sz w:val="20"/>
                <w:szCs w:val="20"/>
              </w:rPr>
              <w:t>Online</w:t>
            </w:r>
          </w:p>
        </w:tc>
        <w:tc>
          <w:tcPr>
            <w:tcW w:w="6514" w:type="dxa"/>
          </w:tcPr>
          <w:p w14:paraId="5B22CE9A" w14:textId="47A58BF2" w:rsidR="001373F5" w:rsidRPr="00323D95" w:rsidRDefault="004944E6" w:rsidP="00C62AC0">
            <w:pPr>
              <w:pStyle w:val="COMPara"/>
              <w:spacing w:after="0"/>
              <w:ind w:left="0" w:firstLine="0"/>
              <w:jc w:val="both"/>
              <w:rPr>
                <w:b/>
                <w:bCs/>
                <w:sz w:val="20"/>
                <w:szCs w:val="20"/>
              </w:rPr>
            </w:pPr>
            <w:r w:rsidRPr="00323D95">
              <w:rPr>
                <w:b/>
                <w:bCs/>
                <w:sz w:val="20"/>
                <w:szCs w:val="20"/>
              </w:rPr>
              <w:t>Expert meeting (category VI)</w:t>
            </w:r>
          </w:p>
        </w:tc>
      </w:tr>
      <w:tr w:rsidR="001373F5" w:rsidRPr="00323D95" w14:paraId="42935A95" w14:textId="77777777" w:rsidTr="00C62AC0">
        <w:tc>
          <w:tcPr>
            <w:tcW w:w="2547" w:type="dxa"/>
          </w:tcPr>
          <w:p w14:paraId="757734B6" w14:textId="1D1C1C88" w:rsidR="004C4AA1" w:rsidRDefault="00804CDD">
            <w:pPr>
              <w:pStyle w:val="COMPara"/>
              <w:spacing w:after="0"/>
              <w:ind w:left="0" w:firstLine="0"/>
              <w:jc w:val="both"/>
              <w:rPr>
                <w:sz w:val="20"/>
                <w:szCs w:val="20"/>
              </w:rPr>
            </w:pPr>
            <w:r w:rsidRPr="00C255F2">
              <w:rPr>
                <w:sz w:val="20"/>
                <w:szCs w:val="20"/>
              </w:rPr>
              <w:t>8</w:t>
            </w:r>
            <w:r w:rsidR="004944E6" w:rsidRPr="00C255F2">
              <w:rPr>
                <w:sz w:val="20"/>
                <w:szCs w:val="20"/>
              </w:rPr>
              <w:t xml:space="preserve"> </w:t>
            </w:r>
            <w:r w:rsidR="00101594" w:rsidRPr="00C255F2">
              <w:rPr>
                <w:sz w:val="20"/>
                <w:szCs w:val="20"/>
              </w:rPr>
              <w:t>and</w:t>
            </w:r>
            <w:r w:rsidR="004944E6" w:rsidRPr="00C255F2">
              <w:rPr>
                <w:sz w:val="20"/>
                <w:szCs w:val="20"/>
              </w:rPr>
              <w:t xml:space="preserve"> </w:t>
            </w:r>
            <w:r w:rsidRPr="00C255F2">
              <w:rPr>
                <w:sz w:val="20"/>
                <w:szCs w:val="20"/>
              </w:rPr>
              <w:t>9</w:t>
            </w:r>
            <w:r w:rsidR="004944E6" w:rsidRPr="0045700E">
              <w:rPr>
                <w:sz w:val="20"/>
                <w:szCs w:val="20"/>
              </w:rPr>
              <w:t xml:space="preserve"> July</w:t>
            </w:r>
            <w:r w:rsidR="004944E6" w:rsidRPr="00323D95">
              <w:rPr>
                <w:sz w:val="20"/>
                <w:szCs w:val="20"/>
              </w:rPr>
              <w:t xml:space="preserve"> 2021</w:t>
            </w:r>
          </w:p>
          <w:p w14:paraId="3F3EE684" w14:textId="76ED0DA4" w:rsidR="00101594" w:rsidRPr="00323D95" w:rsidRDefault="00101594" w:rsidP="004944E6">
            <w:pPr>
              <w:pStyle w:val="COMPara"/>
              <w:spacing w:after="0"/>
              <w:ind w:left="0" w:firstLine="0"/>
              <w:jc w:val="both"/>
              <w:rPr>
                <w:sz w:val="20"/>
                <w:szCs w:val="20"/>
              </w:rPr>
            </w:pPr>
            <w:r>
              <w:rPr>
                <w:sz w:val="20"/>
                <w:szCs w:val="20"/>
              </w:rPr>
              <w:t>9 and 10 September 2021</w:t>
            </w:r>
          </w:p>
          <w:p w14:paraId="3F09451B" w14:textId="620DCB8F" w:rsidR="004944E6" w:rsidRPr="00323D95" w:rsidRDefault="006933FA" w:rsidP="00C62AC0">
            <w:pPr>
              <w:pStyle w:val="COMPara"/>
              <w:spacing w:after="0"/>
              <w:ind w:left="0" w:firstLine="0"/>
              <w:jc w:val="both"/>
              <w:rPr>
                <w:sz w:val="20"/>
                <w:szCs w:val="20"/>
              </w:rPr>
            </w:pPr>
            <w:r>
              <w:rPr>
                <w:sz w:val="20"/>
                <w:szCs w:val="20"/>
              </w:rPr>
              <w:t>Online</w:t>
            </w:r>
          </w:p>
        </w:tc>
        <w:tc>
          <w:tcPr>
            <w:tcW w:w="6514" w:type="dxa"/>
          </w:tcPr>
          <w:p w14:paraId="61ACF080" w14:textId="3E3605ED" w:rsidR="001373F5" w:rsidRPr="00323D95" w:rsidRDefault="004944E6" w:rsidP="00C62AC0">
            <w:pPr>
              <w:pStyle w:val="COMPara"/>
              <w:spacing w:after="0"/>
              <w:ind w:left="0" w:firstLine="0"/>
              <w:jc w:val="both"/>
              <w:rPr>
                <w:b/>
                <w:bCs/>
                <w:sz w:val="20"/>
                <w:szCs w:val="20"/>
              </w:rPr>
            </w:pPr>
            <w:r w:rsidRPr="00323D95">
              <w:rPr>
                <w:b/>
                <w:bCs/>
                <w:sz w:val="20"/>
                <w:szCs w:val="20"/>
              </w:rPr>
              <w:t>Meeting of the Open-ended intergovernmental working group</w:t>
            </w:r>
          </w:p>
        </w:tc>
      </w:tr>
      <w:tr w:rsidR="004944E6" w:rsidRPr="00323D95" w14:paraId="35F2E014" w14:textId="77777777" w:rsidTr="004944E6">
        <w:tc>
          <w:tcPr>
            <w:tcW w:w="2547" w:type="dxa"/>
          </w:tcPr>
          <w:p w14:paraId="7B358612" w14:textId="77777777" w:rsidR="004944E6" w:rsidRPr="00323D95" w:rsidRDefault="004944E6" w:rsidP="004944E6">
            <w:pPr>
              <w:pStyle w:val="COMPara"/>
              <w:spacing w:after="0"/>
              <w:ind w:left="0" w:firstLine="0"/>
              <w:jc w:val="both"/>
              <w:rPr>
                <w:sz w:val="20"/>
                <w:szCs w:val="20"/>
              </w:rPr>
            </w:pPr>
            <w:r w:rsidRPr="00323D95">
              <w:rPr>
                <w:sz w:val="20"/>
                <w:szCs w:val="20"/>
              </w:rPr>
              <w:t>13 to 18 December 2021</w:t>
            </w:r>
          </w:p>
          <w:p w14:paraId="0697EA2B" w14:textId="146262DB" w:rsidR="004944E6" w:rsidRPr="00323D95" w:rsidRDefault="004944E6" w:rsidP="004944E6">
            <w:pPr>
              <w:pStyle w:val="COMPara"/>
              <w:spacing w:after="0"/>
              <w:ind w:left="0" w:firstLine="0"/>
              <w:jc w:val="both"/>
              <w:rPr>
                <w:sz w:val="20"/>
                <w:szCs w:val="20"/>
              </w:rPr>
            </w:pPr>
            <w:r w:rsidRPr="00323D95">
              <w:rPr>
                <w:sz w:val="20"/>
                <w:szCs w:val="20"/>
              </w:rPr>
              <w:t>Colombo, Sri Lanka</w:t>
            </w:r>
          </w:p>
        </w:tc>
        <w:tc>
          <w:tcPr>
            <w:tcW w:w="6514" w:type="dxa"/>
          </w:tcPr>
          <w:p w14:paraId="0CFF3723" w14:textId="6CE3FEB3" w:rsidR="004944E6" w:rsidRPr="00323D95" w:rsidRDefault="004944E6" w:rsidP="004944E6">
            <w:pPr>
              <w:pStyle w:val="COMPara"/>
              <w:spacing w:after="0"/>
              <w:ind w:left="0" w:firstLine="0"/>
              <w:jc w:val="both"/>
              <w:rPr>
                <w:b/>
                <w:bCs/>
                <w:sz w:val="20"/>
                <w:szCs w:val="20"/>
              </w:rPr>
            </w:pPr>
            <w:r w:rsidRPr="00323D95">
              <w:rPr>
                <w:b/>
                <w:bCs/>
                <w:sz w:val="20"/>
                <w:szCs w:val="20"/>
              </w:rPr>
              <w:t>Sixteenth session of the Intergovernmental Committee</w:t>
            </w:r>
          </w:p>
        </w:tc>
      </w:tr>
      <w:tr w:rsidR="004944E6" w:rsidRPr="00323D95" w14:paraId="704DBD25" w14:textId="77777777" w:rsidTr="004944E6">
        <w:tc>
          <w:tcPr>
            <w:tcW w:w="2547" w:type="dxa"/>
          </w:tcPr>
          <w:p w14:paraId="0C8A77F6" w14:textId="3F6BAC11" w:rsidR="004944E6" w:rsidRPr="00323D95" w:rsidRDefault="00D240E8" w:rsidP="0034060E">
            <w:pPr>
              <w:pStyle w:val="COMPara"/>
              <w:spacing w:after="0"/>
              <w:ind w:left="0" w:firstLine="0"/>
              <w:rPr>
                <w:sz w:val="20"/>
                <w:szCs w:val="20"/>
              </w:rPr>
            </w:pPr>
            <w:r w:rsidRPr="00323D95">
              <w:rPr>
                <w:sz w:val="20"/>
                <w:szCs w:val="20"/>
              </w:rPr>
              <w:t>Mid-</w:t>
            </w:r>
            <w:r w:rsidR="00021003" w:rsidRPr="00323D95">
              <w:rPr>
                <w:sz w:val="20"/>
                <w:szCs w:val="20"/>
              </w:rPr>
              <w:t>202</w:t>
            </w:r>
            <w:r w:rsidR="00021003">
              <w:rPr>
                <w:sz w:val="20"/>
                <w:szCs w:val="20"/>
              </w:rPr>
              <w:t>2</w:t>
            </w:r>
          </w:p>
          <w:p w14:paraId="37729C9F" w14:textId="3728D19D" w:rsidR="0034060E" w:rsidRPr="00323D95" w:rsidRDefault="0034060E" w:rsidP="0034060E">
            <w:pPr>
              <w:pStyle w:val="COMPara"/>
              <w:spacing w:after="0"/>
              <w:ind w:left="0" w:firstLine="0"/>
              <w:rPr>
                <w:sz w:val="20"/>
                <w:szCs w:val="20"/>
              </w:rPr>
            </w:pPr>
            <w:r w:rsidRPr="00323D95">
              <w:rPr>
                <w:sz w:val="20"/>
                <w:szCs w:val="20"/>
              </w:rPr>
              <w:t>Paris, UNESCO Headquarters</w:t>
            </w:r>
          </w:p>
        </w:tc>
        <w:tc>
          <w:tcPr>
            <w:tcW w:w="6514" w:type="dxa"/>
          </w:tcPr>
          <w:p w14:paraId="42EF4598" w14:textId="20B4EB62" w:rsidR="004944E6" w:rsidRPr="00323D95" w:rsidRDefault="00D240E8" w:rsidP="004944E6">
            <w:pPr>
              <w:pStyle w:val="COMPara"/>
              <w:spacing w:after="0"/>
              <w:ind w:left="0" w:firstLine="0"/>
              <w:jc w:val="both"/>
              <w:rPr>
                <w:b/>
                <w:bCs/>
                <w:sz w:val="20"/>
                <w:szCs w:val="20"/>
              </w:rPr>
            </w:pPr>
            <w:r w:rsidRPr="00323D95">
              <w:rPr>
                <w:b/>
                <w:bCs/>
                <w:sz w:val="20"/>
                <w:szCs w:val="20"/>
              </w:rPr>
              <w:t>Ninth session of the General Assembly of States Parties</w:t>
            </w:r>
          </w:p>
        </w:tc>
      </w:tr>
    </w:tbl>
    <w:p w14:paraId="1E9FFBCF" w14:textId="12C28F4D" w:rsidR="00032887" w:rsidRDefault="00E17562" w:rsidP="00C62AC0">
      <w:pPr>
        <w:pStyle w:val="COMPara"/>
        <w:numPr>
          <w:ilvl w:val="0"/>
          <w:numId w:val="8"/>
        </w:numPr>
        <w:spacing w:before="120"/>
        <w:ind w:left="567" w:hanging="567"/>
        <w:jc w:val="both"/>
      </w:pPr>
      <w:r w:rsidRPr="00323D95">
        <w:t>The reflection process</w:t>
      </w:r>
      <w:r w:rsidR="000D346D" w:rsidRPr="00323D95">
        <w:t xml:space="preserve"> includes several sessions of the Committee and the General Assembly, </w:t>
      </w:r>
      <w:r w:rsidR="00885ED5">
        <w:t>as well as</w:t>
      </w:r>
      <w:r w:rsidR="000D346D" w:rsidRPr="00323D95">
        <w:t xml:space="preserve"> consultation with experts through a survey and a category VI meeting</w:t>
      </w:r>
      <w:r w:rsidR="00EA060A" w:rsidRPr="00323D95">
        <w:t xml:space="preserve"> </w:t>
      </w:r>
      <w:r w:rsidR="00885ED5">
        <w:t>(</w:t>
      </w:r>
      <w:r w:rsidR="00EA060A" w:rsidRPr="00323D95">
        <w:t>see below</w:t>
      </w:r>
      <w:r w:rsidR="000D346D" w:rsidRPr="00323D95">
        <w:t xml:space="preserve">). </w:t>
      </w:r>
      <w:r w:rsidR="00FD1935">
        <w:t>E</w:t>
      </w:r>
      <w:r w:rsidR="000D346D" w:rsidRPr="00323D95">
        <w:t>ffort</w:t>
      </w:r>
      <w:r w:rsidR="00FD1935">
        <w:t>s</w:t>
      </w:r>
      <w:r w:rsidR="000D346D" w:rsidRPr="00323D95">
        <w:t xml:space="preserve"> </w:t>
      </w:r>
      <w:r w:rsidR="00FD1935">
        <w:t>have</w:t>
      </w:r>
      <w:r w:rsidRPr="00323D95">
        <w:t xml:space="preserve"> been </w:t>
      </w:r>
      <w:r w:rsidR="000D346D" w:rsidRPr="00323D95">
        <w:t xml:space="preserve">made to </w:t>
      </w:r>
      <w:r w:rsidRPr="00323D95">
        <w:t xml:space="preserve">design </w:t>
      </w:r>
      <w:r w:rsidR="000D346D" w:rsidRPr="00323D95">
        <w:t>the process as inclusively as possible so as to benefit</w:t>
      </w:r>
      <w:r w:rsidRPr="00323D95">
        <w:t xml:space="preserve"> from the perspectives and experience of a diverse and geographically representative group of experts</w:t>
      </w:r>
      <w:r w:rsidR="00F3520E">
        <w:t xml:space="preserve"> and to respond</w:t>
      </w:r>
      <w:r w:rsidR="00EA060A" w:rsidRPr="00323D95">
        <w:t xml:space="preserve"> to the request of the General Assembly (</w:t>
      </w:r>
      <w:hyperlink r:id="rId15" w:history="1">
        <w:r w:rsidR="00EA060A" w:rsidRPr="00323D95">
          <w:rPr>
            <w:rStyle w:val="Lienhypertexte"/>
          </w:rPr>
          <w:t>Resolution 8.GA 11</w:t>
        </w:r>
      </w:hyperlink>
      <w:r w:rsidR="00EA060A" w:rsidRPr="00323D95">
        <w:t xml:space="preserve">) to </w:t>
      </w:r>
      <w:r w:rsidR="00E26722">
        <w:t>promote the</w:t>
      </w:r>
      <w:r w:rsidR="00EA060A" w:rsidRPr="00323D95">
        <w:t xml:space="preserve"> broad participation of experts in the consultation process.</w:t>
      </w:r>
    </w:p>
    <w:p w14:paraId="5185F5C5" w14:textId="086F7993" w:rsidR="00B46B82" w:rsidRPr="00323D95" w:rsidRDefault="00C43A81" w:rsidP="00C62AC0">
      <w:pPr>
        <w:pStyle w:val="COMPara"/>
        <w:numPr>
          <w:ilvl w:val="0"/>
          <w:numId w:val="8"/>
        </w:numPr>
        <w:spacing w:before="120"/>
        <w:ind w:left="567" w:hanging="567"/>
        <w:jc w:val="both"/>
      </w:pPr>
      <w:r>
        <w:t xml:space="preserve">The </w:t>
      </w:r>
      <w:r w:rsidR="00942D05">
        <w:t xml:space="preserve">original </w:t>
      </w:r>
      <w:r w:rsidR="00032887">
        <w:t>time</w:t>
      </w:r>
      <w:r w:rsidR="0086228F">
        <w:t>line</w:t>
      </w:r>
      <w:r w:rsidR="008C7206">
        <w:t xml:space="preserve"> of the </w:t>
      </w:r>
      <w:r w:rsidR="00942D05">
        <w:t>reflection</w:t>
      </w:r>
      <w:r w:rsidR="00032887">
        <w:t xml:space="preserve">, as presented to </w:t>
      </w:r>
      <w:r w:rsidR="0086228F">
        <w:t xml:space="preserve">fourteenth session of the Committee </w:t>
      </w:r>
      <w:r w:rsidR="00B80498">
        <w:t xml:space="preserve">in 2019 </w:t>
      </w:r>
      <w:r w:rsidR="0086228F">
        <w:t xml:space="preserve">(document </w:t>
      </w:r>
      <w:hyperlink r:id="rId16" w:history="1">
        <w:r w:rsidR="0086228F" w:rsidRPr="00761C2D">
          <w:rPr>
            <w:rStyle w:val="Lienhypertexte"/>
          </w:rPr>
          <w:t>ITH/19/14.COM/14</w:t>
        </w:r>
      </w:hyperlink>
      <w:r w:rsidR="0086228F">
        <w:t xml:space="preserve"> and </w:t>
      </w:r>
      <w:hyperlink r:id="rId17" w:history="1">
        <w:r w:rsidR="0086228F" w:rsidRPr="00613E96">
          <w:rPr>
            <w:rStyle w:val="Lienhypertexte"/>
          </w:rPr>
          <w:t>Decision 14.COM</w:t>
        </w:r>
        <w:r w:rsidR="00533BCA" w:rsidRPr="00613E96">
          <w:rPr>
            <w:rStyle w:val="Lienhypertexte"/>
          </w:rPr>
          <w:t> </w:t>
        </w:r>
        <w:r w:rsidR="0086228F" w:rsidRPr="00613E96">
          <w:rPr>
            <w:rStyle w:val="Lienhypertexte"/>
          </w:rPr>
          <w:t>14</w:t>
        </w:r>
      </w:hyperlink>
      <w:r w:rsidR="0086228F">
        <w:t xml:space="preserve">) </w:t>
      </w:r>
      <w:r>
        <w:t>had to be</w:t>
      </w:r>
      <w:r w:rsidRPr="00323D95">
        <w:t xml:space="preserve"> adjusted</w:t>
      </w:r>
      <w:r>
        <w:t xml:space="preserve"> due to the </w:t>
      </w:r>
      <w:r w:rsidR="00362300">
        <w:t>COVID-19 pandemic</w:t>
      </w:r>
      <w:r>
        <w:t xml:space="preserve"> and related travel restrictions. A meeting of experts initially planned as an in-person meeting</w:t>
      </w:r>
      <w:r w:rsidR="00362300">
        <w:t xml:space="preserve"> in 2020</w:t>
      </w:r>
      <w:r>
        <w:t xml:space="preserve"> was replaced by a two-step consultation including an online survey and an online meeting </w:t>
      </w:r>
      <w:r w:rsidR="00362300">
        <w:t xml:space="preserve">in 2021 </w:t>
      </w:r>
      <w:r>
        <w:t xml:space="preserve">(see below). The </w:t>
      </w:r>
      <w:r w:rsidR="00761C2D">
        <w:t xml:space="preserve">revised </w:t>
      </w:r>
      <w:r>
        <w:t>plan was presented to</w:t>
      </w:r>
      <w:r w:rsidR="00B80498">
        <w:t xml:space="preserve"> the eighth session of the General Assembly in 2020 (</w:t>
      </w:r>
      <w:hyperlink r:id="rId18" w:history="1">
        <w:r w:rsidR="00B80498" w:rsidRPr="00323D95">
          <w:rPr>
            <w:rStyle w:val="Lienhypertexte"/>
          </w:rPr>
          <w:t>Resolution 8.GA 11</w:t>
        </w:r>
      </w:hyperlink>
      <w:r w:rsidR="00B80498">
        <w:t>)</w:t>
      </w:r>
      <w:r w:rsidR="005D5219">
        <w:t>.</w:t>
      </w:r>
      <w:r w:rsidR="00A22BD2">
        <w:t xml:space="preserve"> The plan </w:t>
      </w:r>
      <w:r w:rsidR="00A76324">
        <w:t xml:space="preserve">at that time </w:t>
      </w:r>
      <w:r w:rsidR="00A22BD2">
        <w:t>was to try to convene an in</w:t>
      </w:r>
      <w:r w:rsidR="00A76324">
        <w:t>-</w:t>
      </w:r>
      <w:r w:rsidR="00A22BD2">
        <w:t>person meeting of the working group in July</w:t>
      </w:r>
      <w:r w:rsidR="00A76324">
        <w:t xml:space="preserve"> 2021. However,</w:t>
      </w:r>
      <w:r w:rsidR="00A22BD2">
        <w:t xml:space="preserve"> the </w:t>
      </w:r>
      <w:r w:rsidR="00A76324">
        <w:t xml:space="preserve">ongoing </w:t>
      </w:r>
      <w:r w:rsidR="00A22BD2">
        <w:t xml:space="preserve">pandemic </w:t>
      </w:r>
      <w:r w:rsidR="00A76324">
        <w:t xml:space="preserve">with </w:t>
      </w:r>
      <w:r w:rsidR="00A22BD2">
        <w:t xml:space="preserve">travel restrictions </w:t>
      </w:r>
      <w:r w:rsidR="00A76324">
        <w:t>meant that</w:t>
      </w:r>
      <w:r w:rsidR="00A22BD2">
        <w:t xml:space="preserve"> the present meeting also had to be convened online.</w:t>
      </w:r>
    </w:p>
    <w:p w14:paraId="1BF882A5" w14:textId="251B461C" w:rsidR="00FD4226" w:rsidRPr="00323D95" w:rsidRDefault="00FD4226" w:rsidP="000933A8">
      <w:pPr>
        <w:pStyle w:val="GAPara"/>
        <w:keepNext/>
        <w:numPr>
          <w:ilvl w:val="0"/>
          <w:numId w:val="11"/>
        </w:numPr>
        <w:spacing w:before="360"/>
        <w:ind w:left="567" w:hanging="567"/>
        <w:jc w:val="both"/>
        <w:rPr>
          <w:b/>
        </w:rPr>
      </w:pPr>
      <w:r w:rsidRPr="00323D95">
        <w:rPr>
          <w:b/>
        </w:rPr>
        <w:lastRenderedPageBreak/>
        <w:t>Progress to date</w:t>
      </w:r>
    </w:p>
    <w:p w14:paraId="468A53D1" w14:textId="3797B9FF" w:rsidR="00FD4226" w:rsidRPr="008956A2" w:rsidRDefault="002151D1" w:rsidP="000933A8">
      <w:pPr>
        <w:pStyle w:val="COMPara"/>
        <w:keepNext/>
        <w:numPr>
          <w:ilvl w:val="0"/>
          <w:numId w:val="8"/>
        </w:numPr>
        <w:ind w:left="567" w:hanging="567"/>
        <w:jc w:val="both"/>
      </w:pPr>
      <w:r>
        <w:rPr>
          <w:b/>
          <w:bCs/>
        </w:rPr>
        <w:t>Dialogue process:</w:t>
      </w:r>
      <w:r w:rsidR="001D2163" w:rsidRPr="00323D95">
        <w:t xml:space="preserve"> </w:t>
      </w:r>
      <w:r w:rsidR="00FD4226" w:rsidRPr="00323D95">
        <w:t>The</w:t>
      </w:r>
      <w:r w:rsidR="0003114B" w:rsidRPr="00323D95">
        <w:t xml:space="preserve"> earlier</w:t>
      </w:r>
      <w:r w:rsidR="00FD4226" w:rsidRPr="00323D95">
        <w:t xml:space="preserve"> intergovernmental discussions </w:t>
      </w:r>
      <w:r w:rsidR="0003114B" w:rsidRPr="00323D95">
        <w:t>have already resulted in</w:t>
      </w:r>
      <w:r w:rsidR="00FD4226" w:rsidRPr="00323D95">
        <w:t xml:space="preserve"> the first concrete outcome of the reflection</w:t>
      </w:r>
      <w:r w:rsidR="0003114B" w:rsidRPr="00323D95">
        <w:t>,</w:t>
      </w:r>
      <w:r w:rsidR="00FD4226" w:rsidRPr="00323D95">
        <w:t xml:space="preserve"> </w:t>
      </w:r>
      <w:r>
        <w:t xml:space="preserve">also </w:t>
      </w:r>
      <w:r w:rsidR="00E61669">
        <w:t>referred to as the</w:t>
      </w:r>
      <w:r w:rsidR="00FD4226" w:rsidRPr="00323D95">
        <w:t xml:space="preserve"> ‘early harvest’</w:t>
      </w:r>
      <w:r w:rsidR="0003114B" w:rsidRPr="00323D95">
        <w:t>. This concerns</w:t>
      </w:r>
      <w:r w:rsidR="00FD4226" w:rsidRPr="00323D95">
        <w:t xml:space="preserve"> the inclusion of a dialogue process in the examination of nominations. This process allows for dialogue between the Evaluation Body and submitting States to clarify minor issues identified in nomination files through a simple question</w:t>
      </w:r>
      <w:r w:rsidR="0075148D">
        <w:t>-</w:t>
      </w:r>
      <w:r w:rsidR="00FD4226" w:rsidRPr="00323D95">
        <w:t>and</w:t>
      </w:r>
      <w:r w:rsidR="0075148D">
        <w:t>-</w:t>
      </w:r>
      <w:r w:rsidR="00FD4226" w:rsidRPr="00323D95">
        <w:t xml:space="preserve">answer </w:t>
      </w:r>
      <w:r w:rsidR="0003114B" w:rsidRPr="00323D95">
        <w:t>process (</w:t>
      </w:r>
      <w:hyperlink r:id="rId19" w:history="1">
        <w:r w:rsidR="0003114B" w:rsidRPr="00323D95">
          <w:rPr>
            <w:rStyle w:val="Lienhypertexte"/>
            <w:rFonts w:asciiTheme="minorBidi" w:hAnsiTheme="minorBidi" w:cstheme="minorBidi"/>
          </w:rPr>
          <w:t>Decision 13.COM 10</w:t>
        </w:r>
      </w:hyperlink>
      <w:r w:rsidR="0003114B" w:rsidRPr="00323D95">
        <w:t>)</w:t>
      </w:r>
      <w:r w:rsidR="00FD4226" w:rsidRPr="00323D95">
        <w:t xml:space="preserve">. Based on the positive experience gained during the 2019 cycle, when this possibility was included on an experimental basis, the eighth session of the General Assembly of the States Parties to the 2003 Convention in September 2020 revised the Operational Directives to formalize the dialogue </w:t>
      </w:r>
      <w:r w:rsidR="0003114B" w:rsidRPr="00323D95">
        <w:rPr>
          <w:rFonts w:asciiTheme="minorBidi" w:hAnsiTheme="minorBidi" w:cstheme="minorBidi"/>
        </w:rPr>
        <w:t>process (</w:t>
      </w:r>
      <w:hyperlink r:id="rId20" w:history="1">
        <w:r w:rsidR="0003114B" w:rsidRPr="00323D95">
          <w:rPr>
            <w:rStyle w:val="Lienhypertexte"/>
            <w:rFonts w:asciiTheme="minorBidi" w:hAnsiTheme="minorBidi" w:cstheme="minorBidi"/>
          </w:rPr>
          <w:t>Resolution 8.GA</w:t>
        </w:r>
        <w:r w:rsidR="00A7716A" w:rsidRPr="00323D95">
          <w:rPr>
            <w:rStyle w:val="Lienhypertexte"/>
            <w:rFonts w:asciiTheme="minorBidi" w:hAnsiTheme="minorBidi" w:cstheme="minorBidi"/>
          </w:rPr>
          <w:t> </w:t>
        </w:r>
        <w:r w:rsidR="0003114B" w:rsidRPr="00323D95">
          <w:rPr>
            <w:rStyle w:val="Lienhypertexte"/>
            <w:rFonts w:asciiTheme="minorBidi" w:hAnsiTheme="minorBidi" w:cstheme="minorBidi"/>
          </w:rPr>
          <w:t>10</w:t>
        </w:r>
      </w:hyperlink>
      <w:r w:rsidR="0003114B" w:rsidRPr="00323D95">
        <w:rPr>
          <w:rFonts w:asciiTheme="minorBidi" w:hAnsiTheme="minorBidi" w:cstheme="minorBidi"/>
        </w:rPr>
        <w:t>)</w:t>
      </w:r>
      <w:r w:rsidR="00FD4226" w:rsidRPr="00323D95">
        <w:rPr>
          <w:rFonts w:asciiTheme="minorBidi" w:hAnsiTheme="minorBidi" w:cstheme="minorBidi"/>
        </w:rPr>
        <w:t>.</w:t>
      </w:r>
    </w:p>
    <w:p w14:paraId="36E7A5E3" w14:textId="08A99E66" w:rsidR="00817A85" w:rsidRPr="00323D95" w:rsidRDefault="00817A85" w:rsidP="00BC7E7F">
      <w:pPr>
        <w:pStyle w:val="COMPara"/>
        <w:numPr>
          <w:ilvl w:val="0"/>
          <w:numId w:val="8"/>
        </w:numPr>
        <w:ind w:left="567" w:hanging="567"/>
        <w:jc w:val="both"/>
      </w:pPr>
      <w:r w:rsidRPr="00323D95">
        <w:rPr>
          <w:b/>
          <w:bCs/>
        </w:rPr>
        <w:t>Expert consultation</w:t>
      </w:r>
      <w:r w:rsidRPr="00323D95">
        <w:t>: In line with the timetable of the reflection, the Secretariat of the 2003 Convention undertook a two-step consultation with experts in the first half of 2021</w:t>
      </w:r>
      <w:r w:rsidR="00785737">
        <w:t>. This entailed</w:t>
      </w:r>
      <w:r w:rsidRPr="00323D95">
        <w:t xml:space="preserve"> a survey and a category VI expert meeting</w:t>
      </w:r>
      <w:r w:rsidR="007432C0" w:rsidRPr="00323D95">
        <w:t>:</w:t>
      </w:r>
    </w:p>
    <w:p w14:paraId="6B75C5CA" w14:textId="4E153102" w:rsidR="00BC7E7F" w:rsidRPr="00323D95" w:rsidRDefault="007432C0" w:rsidP="00C62AC0">
      <w:pPr>
        <w:pStyle w:val="COMPara"/>
        <w:ind w:firstLine="0"/>
        <w:jc w:val="both"/>
      </w:pPr>
      <w:r w:rsidRPr="00323D95">
        <w:rPr>
          <w:b/>
          <w:bCs/>
        </w:rPr>
        <w:t xml:space="preserve">a. </w:t>
      </w:r>
      <w:r w:rsidR="0075552D" w:rsidRPr="00323D95">
        <w:rPr>
          <w:b/>
          <w:bCs/>
        </w:rPr>
        <w:t>Expert survey</w:t>
      </w:r>
      <w:r w:rsidR="0075552D" w:rsidRPr="00323D95">
        <w:t xml:space="preserve">: </w:t>
      </w:r>
      <w:r w:rsidR="00346C5A">
        <w:t>A</w:t>
      </w:r>
      <w:r w:rsidR="00346C5A" w:rsidRPr="00323D95">
        <w:t>s a first step of the expert consultation</w:t>
      </w:r>
      <w:r w:rsidR="00346C5A">
        <w:t>, t</w:t>
      </w:r>
      <w:r w:rsidR="00D746B6" w:rsidRPr="00323D95">
        <w:t>he Secretariat invited 201 experts to participate in the survey</w:t>
      </w:r>
      <w:r w:rsidR="00367061">
        <w:t xml:space="preserve"> (</w:t>
      </w:r>
      <w:r w:rsidR="002F684C">
        <w:t>54 responses received</w:t>
      </w:r>
      <w:r w:rsidR="00367061">
        <w:t>)</w:t>
      </w:r>
      <w:r w:rsidR="00D746B6" w:rsidRPr="00323D95">
        <w:t xml:space="preserve"> between 26 March and 11 April 2021</w:t>
      </w:r>
      <w:r w:rsidR="00BC7E7F" w:rsidRPr="00323D95">
        <w:t xml:space="preserve"> </w:t>
      </w:r>
      <w:r w:rsidR="00AF00E2" w:rsidRPr="00323D95">
        <w:t xml:space="preserve">to seek their views on the main challenges identified so far </w:t>
      </w:r>
      <w:r w:rsidR="000326B4">
        <w:t>regarding</w:t>
      </w:r>
      <w:r w:rsidR="000326B4" w:rsidRPr="00323D95">
        <w:t xml:space="preserve"> </w:t>
      </w:r>
      <w:r w:rsidR="00AF00E2" w:rsidRPr="00323D95">
        <w:t xml:space="preserve">the listing mechanisms </w:t>
      </w:r>
      <w:r w:rsidR="008D7E29">
        <w:t>and</w:t>
      </w:r>
      <w:r w:rsidR="00AF00E2" w:rsidRPr="00323D95">
        <w:t xml:space="preserve"> on possible </w:t>
      </w:r>
      <w:r w:rsidR="00C71B47" w:rsidRPr="00323D95">
        <w:t>approaches</w:t>
      </w:r>
      <w:r w:rsidR="00AF00E2" w:rsidRPr="00323D95">
        <w:t xml:space="preserve"> for finding solutions</w:t>
      </w:r>
      <w:r w:rsidR="00C71B47" w:rsidRPr="00323D95">
        <w:t>. The survey questions closely followed the four reflection the</w:t>
      </w:r>
      <w:r w:rsidR="00ED5986" w:rsidRPr="00323D95">
        <w:t>m</w:t>
      </w:r>
      <w:r w:rsidR="00C71B47" w:rsidRPr="00323D95">
        <w:t>es</w:t>
      </w:r>
      <w:r w:rsidR="00AF00E2" w:rsidRPr="00323D95">
        <w:t xml:space="preserve"> </w:t>
      </w:r>
      <w:r w:rsidR="00BC7E7F" w:rsidRPr="00323D95">
        <w:t>(</w:t>
      </w:r>
      <w:r w:rsidRPr="00323D95">
        <w:t>s</w:t>
      </w:r>
      <w:r w:rsidR="00BC7E7F" w:rsidRPr="00323D95">
        <w:t xml:space="preserve">ee the survey questions in </w:t>
      </w:r>
      <w:hyperlink r:id="rId21" w:history="1">
        <w:r w:rsidR="00BC7E7F" w:rsidRPr="00323D95">
          <w:rPr>
            <w:rStyle w:val="Lienhypertexte"/>
          </w:rPr>
          <w:t>English</w:t>
        </w:r>
      </w:hyperlink>
      <w:r w:rsidR="00BC7E7F" w:rsidRPr="00323D95">
        <w:t>/</w:t>
      </w:r>
      <w:hyperlink r:id="rId22" w:history="1">
        <w:r w:rsidR="00BC7E7F" w:rsidRPr="00323D95">
          <w:rPr>
            <w:rStyle w:val="Lienhypertexte"/>
          </w:rPr>
          <w:t>French</w:t>
        </w:r>
      </w:hyperlink>
      <w:r w:rsidR="00BC7E7F" w:rsidRPr="00323D95">
        <w:t>)</w:t>
      </w:r>
      <w:r w:rsidR="00D746B6" w:rsidRPr="00323D95">
        <w:t>.</w:t>
      </w:r>
      <w:r w:rsidR="001A1992" w:rsidRPr="00323D95">
        <w:t xml:space="preserve"> </w:t>
      </w:r>
      <w:r w:rsidR="000C4A01" w:rsidRPr="00323D95">
        <w:t xml:space="preserve">The </w:t>
      </w:r>
      <w:r w:rsidRPr="00323D95">
        <w:t xml:space="preserve">participation included those </w:t>
      </w:r>
      <w:r w:rsidR="00D746B6" w:rsidRPr="00323D95">
        <w:t xml:space="preserve">experts </w:t>
      </w:r>
      <w:r w:rsidR="00367061">
        <w:t>proposed</w:t>
      </w:r>
      <w:r w:rsidR="00367061" w:rsidRPr="00323D95">
        <w:t xml:space="preserve"> </w:t>
      </w:r>
      <w:r w:rsidR="00D746B6" w:rsidRPr="00323D95">
        <w:t xml:space="preserve">by States Parties </w:t>
      </w:r>
      <w:r w:rsidRPr="00323D95">
        <w:t xml:space="preserve">in response to </w:t>
      </w:r>
      <w:r w:rsidR="00D746B6" w:rsidRPr="00323D95">
        <w:t>a call, present and past members of the Evaluation Body (157 in total, including past Subsidiary Body and Consultative Body members)</w:t>
      </w:r>
      <w:r w:rsidR="00041F5B" w:rsidRPr="00323D95">
        <w:t>,</w:t>
      </w:r>
      <w:r w:rsidR="00D746B6" w:rsidRPr="00323D95">
        <w:t xml:space="preserve"> and experts identified by the Secretariat</w:t>
      </w:r>
      <w:r w:rsidR="00E45A3D">
        <w:t>,</w:t>
      </w:r>
      <w:r w:rsidR="00041F5B" w:rsidRPr="00323D95">
        <w:t xml:space="preserve"> including representatives of the NGO</w:t>
      </w:r>
      <w:r w:rsidR="00E45A3D">
        <w:t xml:space="preserve"> </w:t>
      </w:r>
      <w:r w:rsidR="00041F5B" w:rsidRPr="00323D95">
        <w:t>Forum</w:t>
      </w:r>
      <w:r w:rsidR="00D746B6" w:rsidRPr="00323D95">
        <w:t xml:space="preserve">. </w:t>
      </w:r>
      <w:r w:rsidR="00BC7E7F" w:rsidRPr="00323D95">
        <w:t>The details of the survey, including how the experts were selected and its preliminary results</w:t>
      </w:r>
      <w:r w:rsidR="009A77C1">
        <w:t>,</w:t>
      </w:r>
      <w:r w:rsidR="00BC7E7F" w:rsidRPr="00323D95">
        <w:t xml:space="preserve"> are provided in</w:t>
      </w:r>
      <w:r w:rsidR="00AB649A" w:rsidRPr="00323D95">
        <w:t xml:space="preserve"> </w:t>
      </w:r>
      <w:r w:rsidR="00BC7E7F" w:rsidRPr="00323D95">
        <w:t xml:space="preserve">document </w:t>
      </w:r>
      <w:hyperlink r:id="rId23" w:history="1">
        <w:r w:rsidR="00E45A3D" w:rsidRPr="00323D95">
          <w:rPr>
            <w:rStyle w:val="Lienhypertexte"/>
          </w:rPr>
          <w:t>LHE/21/EXP/5</w:t>
        </w:r>
      </w:hyperlink>
      <w:r w:rsidR="00E45A3D" w:rsidRPr="00172FFD">
        <w:t xml:space="preserve"> </w:t>
      </w:r>
      <w:r w:rsidR="00BC7E7F" w:rsidRPr="00323D95">
        <w:t xml:space="preserve">of </w:t>
      </w:r>
      <w:r w:rsidR="00AB649A" w:rsidRPr="00323D95">
        <w:t xml:space="preserve">the </w:t>
      </w:r>
      <w:r w:rsidR="0081713A">
        <w:t>c</w:t>
      </w:r>
      <w:r w:rsidR="00AB649A" w:rsidRPr="00323D95">
        <w:t xml:space="preserve">ategory VI </w:t>
      </w:r>
      <w:r w:rsidR="00BC7E7F" w:rsidRPr="00323D95">
        <w:t xml:space="preserve">expert meeting </w:t>
      </w:r>
      <w:r w:rsidR="00AB649A" w:rsidRPr="00323D95">
        <w:t xml:space="preserve">(see also the </w:t>
      </w:r>
      <w:hyperlink r:id="rId24" w:history="1">
        <w:r w:rsidR="00AB649A" w:rsidRPr="00323D95">
          <w:rPr>
            <w:rStyle w:val="Lienhypertexte"/>
          </w:rPr>
          <w:t>compilation</w:t>
        </w:r>
      </w:hyperlink>
      <w:r w:rsidR="00AB649A" w:rsidRPr="00323D95">
        <w:t xml:space="preserve"> of the responses).</w:t>
      </w:r>
    </w:p>
    <w:p w14:paraId="21134684" w14:textId="5BFE6F7D" w:rsidR="00817A85" w:rsidRPr="00323D95" w:rsidRDefault="006F7862" w:rsidP="00C62AC0">
      <w:pPr>
        <w:pStyle w:val="1GAPara"/>
        <w:numPr>
          <w:ilvl w:val="0"/>
          <w:numId w:val="0"/>
        </w:numPr>
        <w:ind w:left="567"/>
        <w:jc w:val="both"/>
        <w:rPr>
          <w:color w:val="000000"/>
          <w:shd w:val="clear" w:color="auto" w:fill="FFFFFF"/>
        </w:rPr>
      </w:pPr>
      <w:r w:rsidRPr="00323D95">
        <w:rPr>
          <w:b/>
          <w:bCs/>
        </w:rPr>
        <w:t xml:space="preserve">b. </w:t>
      </w:r>
      <w:r w:rsidR="005C64AC">
        <w:rPr>
          <w:b/>
          <w:bCs/>
        </w:rPr>
        <w:t>E</w:t>
      </w:r>
      <w:r w:rsidR="0075552D" w:rsidRPr="00323D95">
        <w:rPr>
          <w:b/>
          <w:bCs/>
        </w:rPr>
        <w:t>xpert</w:t>
      </w:r>
      <w:r w:rsidR="005C64AC">
        <w:rPr>
          <w:b/>
          <w:bCs/>
        </w:rPr>
        <w:t xml:space="preserve"> meeting</w:t>
      </w:r>
      <w:r w:rsidR="0075552D" w:rsidRPr="00323D95">
        <w:t xml:space="preserve">: </w:t>
      </w:r>
      <w:r w:rsidR="00F12841">
        <w:t>A</w:t>
      </w:r>
      <w:r w:rsidR="00F12841" w:rsidRPr="00323D95">
        <w:t xml:space="preserve">s the second step of the expert consultation, </w:t>
      </w:r>
      <w:r w:rsidR="00F12841">
        <w:t>a</w:t>
      </w:r>
      <w:r w:rsidR="00D746B6" w:rsidRPr="00323D95">
        <w:t xml:space="preserve">n online expert meeting </w:t>
      </w:r>
      <w:r w:rsidR="00817A85" w:rsidRPr="00323D95">
        <w:t>was</w:t>
      </w:r>
      <w:r w:rsidR="00D746B6" w:rsidRPr="00323D95">
        <w:t xml:space="preserve"> convened over six non-consecutive</w:t>
      </w:r>
      <w:r w:rsidRPr="00323D95">
        <w:t xml:space="preserve"> days</w:t>
      </w:r>
      <w:r w:rsidR="00F12841">
        <w:t xml:space="preserve"> in May 2021</w:t>
      </w:r>
      <w:r w:rsidR="00E7143C" w:rsidRPr="00323D95">
        <w:t xml:space="preserve"> (see </w:t>
      </w:r>
      <w:hyperlink r:id="rId25" w:history="1">
        <w:r w:rsidR="00E7143C" w:rsidRPr="00323D95">
          <w:rPr>
            <w:rStyle w:val="Lienhypertexte"/>
          </w:rPr>
          <w:t>https://ich.unesco.org/en/online-meeting-of-experts-category-vi-01165</w:t>
        </w:r>
      </w:hyperlink>
      <w:r w:rsidR="00E7143C" w:rsidRPr="00323D95">
        <w:t xml:space="preserve"> for the agenda and timetable, </w:t>
      </w:r>
      <w:r w:rsidR="0077529C">
        <w:t xml:space="preserve">the </w:t>
      </w:r>
      <w:r w:rsidR="00E7143C" w:rsidRPr="00323D95">
        <w:t>list of participants and background paper)</w:t>
      </w:r>
      <w:r w:rsidR="00D746B6" w:rsidRPr="00323D95">
        <w:t>. Thirty-four experts participate</w:t>
      </w:r>
      <w:r w:rsidR="004B4BAC" w:rsidRPr="00323D95">
        <w:t>d</w:t>
      </w:r>
      <w:r w:rsidR="00D746B6" w:rsidRPr="00323D95">
        <w:t xml:space="preserve"> </w:t>
      </w:r>
      <w:r w:rsidR="002151D1">
        <w:t xml:space="preserve">and were selected </w:t>
      </w:r>
      <w:r w:rsidR="00D746B6" w:rsidRPr="00323D95">
        <w:t xml:space="preserve">taking into account </w:t>
      </w:r>
      <w:r w:rsidR="002151D1">
        <w:t xml:space="preserve">their specific </w:t>
      </w:r>
      <w:r w:rsidR="00D746B6" w:rsidRPr="00323D95">
        <w:t>profile</w:t>
      </w:r>
      <w:r w:rsidR="002151D1">
        <w:t xml:space="preserve"> and</w:t>
      </w:r>
      <w:r w:rsidR="0077529C">
        <w:t xml:space="preserve"> </w:t>
      </w:r>
      <w:r w:rsidR="00D746B6" w:rsidRPr="00323D95">
        <w:t xml:space="preserve">experience </w:t>
      </w:r>
      <w:r w:rsidR="002151D1">
        <w:t xml:space="preserve">as well as with a view to balancing </w:t>
      </w:r>
      <w:r w:rsidR="00F12841">
        <w:t xml:space="preserve">gender and </w:t>
      </w:r>
      <w:r w:rsidR="00D746B6" w:rsidRPr="00323D95">
        <w:t xml:space="preserve">geographical </w:t>
      </w:r>
      <w:r w:rsidR="0077529C">
        <w:t>representation</w:t>
      </w:r>
      <w:r w:rsidR="00D746B6" w:rsidRPr="00323D95">
        <w:t>.</w:t>
      </w:r>
    </w:p>
    <w:p w14:paraId="5682FAC4" w14:textId="6952935E" w:rsidR="00DE7675" w:rsidRPr="00323D95" w:rsidRDefault="00863018" w:rsidP="006F7862">
      <w:pPr>
        <w:pStyle w:val="1GAPara"/>
        <w:numPr>
          <w:ilvl w:val="0"/>
          <w:numId w:val="0"/>
        </w:numPr>
        <w:ind w:left="567"/>
        <w:jc w:val="both"/>
      </w:pPr>
      <w:r w:rsidRPr="00323D95">
        <w:t xml:space="preserve">The experts took stock of two </w:t>
      </w:r>
      <w:r w:rsidR="00F94903" w:rsidRPr="00323D95">
        <w:t>papers</w:t>
      </w:r>
      <w:r w:rsidR="00CB79CF">
        <w:t xml:space="preserve"> which were</w:t>
      </w:r>
      <w:r w:rsidR="00F94903" w:rsidRPr="00323D95">
        <w:t xml:space="preserve"> commissioned </w:t>
      </w:r>
      <w:r w:rsidR="004D7E65" w:rsidRPr="00323D95">
        <w:t xml:space="preserve">specifically </w:t>
      </w:r>
      <w:r w:rsidR="00F94903" w:rsidRPr="00323D95">
        <w:t xml:space="preserve">for </w:t>
      </w:r>
      <w:r w:rsidR="004D7E65" w:rsidRPr="00323D95">
        <w:t xml:space="preserve">their meeting </w:t>
      </w:r>
      <w:r w:rsidR="00CB79CF">
        <w:t>and</w:t>
      </w:r>
      <w:r w:rsidR="004D7E65" w:rsidRPr="00323D95">
        <w:t xml:space="preserve"> </w:t>
      </w:r>
      <w:r w:rsidR="0077529C">
        <w:t xml:space="preserve">that </w:t>
      </w:r>
      <w:r w:rsidR="004D7E65" w:rsidRPr="00323D95">
        <w:t>are</w:t>
      </w:r>
      <w:r w:rsidR="00C54547" w:rsidRPr="00323D95">
        <w:t xml:space="preserve"> also </w:t>
      </w:r>
      <w:r w:rsidR="0077529C">
        <w:t>relevant</w:t>
      </w:r>
      <w:r w:rsidR="0077529C" w:rsidRPr="00323D95">
        <w:t xml:space="preserve"> </w:t>
      </w:r>
      <w:r w:rsidR="00C54547" w:rsidRPr="00323D95">
        <w:t xml:space="preserve">for the </w:t>
      </w:r>
      <w:r w:rsidR="004D7E65" w:rsidRPr="00323D95">
        <w:t xml:space="preserve">present </w:t>
      </w:r>
      <w:r w:rsidR="006D117B">
        <w:t xml:space="preserve">working group </w:t>
      </w:r>
      <w:r w:rsidR="00C54547" w:rsidRPr="00323D95">
        <w:t>meeting</w:t>
      </w:r>
      <w:r w:rsidR="00F94903" w:rsidRPr="00323D95">
        <w:t xml:space="preserve">. The first </w:t>
      </w:r>
      <w:r w:rsidR="00CB79CF">
        <w:t xml:space="preserve">paper, which </w:t>
      </w:r>
      <w:r w:rsidR="00DE7675" w:rsidRPr="00323D95">
        <w:t>was written by Mr Rieks Smeets</w:t>
      </w:r>
      <w:r w:rsidR="00CB79CF">
        <w:t>,</w:t>
      </w:r>
      <w:r w:rsidR="00DE7675" w:rsidRPr="00323D95">
        <w:t xml:space="preserve"> provided a</w:t>
      </w:r>
      <w:r w:rsidR="005872ED">
        <w:t>n</w:t>
      </w:r>
      <w:r w:rsidR="00DE7675" w:rsidRPr="00323D95">
        <w:t xml:space="preserve"> historical overview</w:t>
      </w:r>
      <w:r w:rsidR="00C54547" w:rsidRPr="00323D95">
        <w:t>,</w:t>
      </w:r>
      <w:r w:rsidR="00DE7675" w:rsidRPr="00323D95">
        <w:t xml:space="preserve"> tracing how </w:t>
      </w:r>
      <w:r w:rsidR="0077529C">
        <w:t xml:space="preserve">aspects of </w:t>
      </w:r>
      <w:r w:rsidR="00DE7675" w:rsidRPr="00323D95">
        <w:t>the listing mechanisms were developed through the preparation of the text of the 2003 Convention and its Operational Directives</w:t>
      </w:r>
      <w:r w:rsidR="00656539" w:rsidRPr="00323D95">
        <w:t xml:space="preserve"> (document </w:t>
      </w:r>
      <w:hyperlink r:id="rId26" w:history="1">
        <w:r w:rsidR="00656539" w:rsidRPr="00323D95">
          <w:rPr>
            <w:rStyle w:val="Lienhypertexte"/>
          </w:rPr>
          <w:t>LHE/21/EXP/3</w:t>
        </w:r>
      </w:hyperlink>
      <w:r w:rsidR="00656539" w:rsidRPr="00323D95">
        <w:t>)</w:t>
      </w:r>
      <w:r w:rsidR="00CB79CF">
        <w:t>. T</w:t>
      </w:r>
      <w:r w:rsidR="00DE7675" w:rsidRPr="00323D95">
        <w:t>he second</w:t>
      </w:r>
      <w:r w:rsidR="00CB79CF">
        <w:t>,</w:t>
      </w:r>
      <w:r w:rsidR="00DE7675" w:rsidRPr="00323D95">
        <w:t xml:space="preserve"> by Ms Eva Kuminková</w:t>
      </w:r>
      <w:r w:rsidR="00CB79CF">
        <w:t>,</w:t>
      </w:r>
      <w:r w:rsidR="00DE7675" w:rsidRPr="00323D95">
        <w:t xml:space="preserve"> outlined the results of the small-scale interviews and online survey carried out with present and past members of the Evaluation Body, as well as the analysis of past reports of the Evaluation Body </w:t>
      </w:r>
      <w:r w:rsidR="00656539" w:rsidRPr="00323D95">
        <w:t>(</w:t>
      </w:r>
      <w:r w:rsidR="00DE7675" w:rsidRPr="00323D95">
        <w:t xml:space="preserve">document </w:t>
      </w:r>
      <w:hyperlink r:id="rId27" w:history="1">
        <w:r w:rsidR="00DE7675" w:rsidRPr="00323D95">
          <w:rPr>
            <w:rStyle w:val="Lienhypertexte"/>
          </w:rPr>
          <w:t>LHE/21/EXP/4</w:t>
        </w:r>
      </w:hyperlink>
      <w:r w:rsidR="00DE7675" w:rsidRPr="00323D95">
        <w:t>).</w:t>
      </w:r>
      <w:r w:rsidR="004D7E65" w:rsidRPr="00323D95">
        <w:t xml:space="preserve"> The results of the </w:t>
      </w:r>
      <w:r w:rsidR="00AE751D">
        <w:t xml:space="preserve">above-mentioned </w:t>
      </w:r>
      <w:r w:rsidR="004D7E65" w:rsidRPr="00323D95">
        <w:t xml:space="preserve">online survey </w:t>
      </w:r>
      <w:r w:rsidR="003409D3">
        <w:t>were</w:t>
      </w:r>
      <w:r w:rsidR="004D7E65" w:rsidRPr="00323D95">
        <w:t xml:space="preserve"> also presented.</w:t>
      </w:r>
    </w:p>
    <w:p w14:paraId="3BA6BCED" w14:textId="42EF1EE2" w:rsidR="00B34306" w:rsidRPr="00323D95" w:rsidRDefault="00B34306" w:rsidP="006F7862">
      <w:pPr>
        <w:pStyle w:val="1GAPara"/>
        <w:numPr>
          <w:ilvl w:val="0"/>
          <w:numId w:val="0"/>
        </w:numPr>
        <w:ind w:left="567"/>
        <w:jc w:val="both"/>
      </w:pPr>
      <w:r w:rsidRPr="00323D95">
        <w:t>E</w:t>
      </w:r>
      <w:r w:rsidRPr="00323D95">
        <w:rPr>
          <w:color w:val="000000"/>
          <w:shd w:val="clear" w:color="auto" w:fill="FFFFFF"/>
        </w:rPr>
        <w:t>xperts were invited to work in plenary sessions and in three breakout groups</w:t>
      </w:r>
      <w:r w:rsidR="003409D3">
        <w:rPr>
          <w:color w:val="000000"/>
          <w:shd w:val="clear" w:color="auto" w:fill="FFFFFF"/>
        </w:rPr>
        <w:t>. A</w:t>
      </w:r>
      <w:r w:rsidR="00631C3B" w:rsidRPr="00323D95">
        <w:rPr>
          <w:color w:val="000000"/>
          <w:shd w:val="clear" w:color="auto" w:fill="FFFFFF"/>
        </w:rPr>
        <w:t xml:space="preserve">ll three groups were </w:t>
      </w:r>
      <w:r w:rsidR="003430CB" w:rsidRPr="00323D95">
        <w:rPr>
          <w:color w:val="000000"/>
          <w:shd w:val="clear" w:color="auto" w:fill="FFFFFF"/>
        </w:rPr>
        <w:t xml:space="preserve">asked </w:t>
      </w:r>
      <w:r w:rsidR="00631C3B" w:rsidRPr="00323D95">
        <w:rPr>
          <w:color w:val="000000"/>
          <w:shd w:val="clear" w:color="auto" w:fill="FFFFFF"/>
        </w:rPr>
        <w:t xml:space="preserve">to discuss </w:t>
      </w:r>
      <w:r w:rsidR="003430CB" w:rsidRPr="00323D95">
        <w:rPr>
          <w:color w:val="000000"/>
          <w:shd w:val="clear" w:color="auto" w:fill="FFFFFF"/>
        </w:rPr>
        <w:t>T</w:t>
      </w:r>
      <w:r w:rsidR="00631C3B" w:rsidRPr="00323D95">
        <w:rPr>
          <w:color w:val="000000"/>
          <w:shd w:val="clear" w:color="auto" w:fill="FFFFFF"/>
        </w:rPr>
        <w:t>heme A</w:t>
      </w:r>
      <w:r w:rsidR="00112397">
        <w:rPr>
          <w:color w:val="000000"/>
          <w:shd w:val="clear" w:color="auto" w:fill="FFFFFF"/>
        </w:rPr>
        <w:t>,</w:t>
      </w:r>
      <w:r w:rsidR="00631C3B" w:rsidRPr="00323D95">
        <w:rPr>
          <w:color w:val="000000"/>
          <w:shd w:val="clear" w:color="auto" w:fill="FFFFFF"/>
        </w:rPr>
        <w:t xml:space="preserve"> as it concern</w:t>
      </w:r>
      <w:r w:rsidR="0077529C">
        <w:rPr>
          <w:color w:val="000000"/>
          <w:shd w:val="clear" w:color="auto" w:fill="FFFFFF"/>
        </w:rPr>
        <w:t>ed</w:t>
      </w:r>
      <w:r w:rsidR="00631C3B" w:rsidRPr="00323D95">
        <w:rPr>
          <w:color w:val="000000"/>
          <w:shd w:val="clear" w:color="auto" w:fill="FFFFFF"/>
        </w:rPr>
        <w:t xml:space="preserve"> the overall approach</w:t>
      </w:r>
      <w:r w:rsidR="00112397">
        <w:rPr>
          <w:color w:val="000000"/>
          <w:shd w:val="clear" w:color="auto" w:fill="FFFFFF"/>
        </w:rPr>
        <w:t>. E</w:t>
      </w:r>
      <w:r w:rsidR="00631C3B" w:rsidRPr="00323D95">
        <w:rPr>
          <w:color w:val="000000"/>
          <w:shd w:val="clear" w:color="auto" w:fill="FFFFFF"/>
        </w:rPr>
        <w:t>ach group</w:t>
      </w:r>
      <w:r w:rsidR="00112397">
        <w:rPr>
          <w:color w:val="000000"/>
          <w:shd w:val="clear" w:color="auto" w:fill="FFFFFF"/>
        </w:rPr>
        <w:t xml:space="preserve"> also</w:t>
      </w:r>
      <w:r w:rsidR="00631C3B" w:rsidRPr="00323D95">
        <w:rPr>
          <w:color w:val="000000"/>
          <w:shd w:val="clear" w:color="auto" w:fill="FFFFFF"/>
        </w:rPr>
        <w:t xml:space="preserve"> reflected on one of the three remaining themes</w:t>
      </w:r>
      <w:r w:rsidRPr="00323D95">
        <w:rPr>
          <w:color w:val="000000"/>
          <w:shd w:val="clear" w:color="auto" w:fill="FFFFFF"/>
        </w:rPr>
        <w:t xml:space="preserve">. </w:t>
      </w:r>
      <w:r w:rsidRPr="00323D95">
        <w:t>The discussions were wide-ranging, touching on all</w:t>
      </w:r>
      <w:r w:rsidR="00631C3B" w:rsidRPr="00323D95">
        <w:t xml:space="preserve"> the</w:t>
      </w:r>
      <w:r w:rsidRPr="00323D95">
        <w:t xml:space="preserve"> steps of the listing</w:t>
      </w:r>
      <w:r w:rsidR="00631C3B" w:rsidRPr="00323D95">
        <w:t xml:space="preserve"> and follow-up</w:t>
      </w:r>
      <w:r w:rsidRPr="00323D95">
        <w:t xml:space="preserve"> process</w:t>
      </w:r>
      <w:r w:rsidR="00112397">
        <w:t>es</w:t>
      </w:r>
      <w:r w:rsidRPr="00323D95">
        <w:t>.</w:t>
      </w:r>
      <w:r w:rsidR="00817A85" w:rsidRPr="00323D95">
        <w:t xml:space="preserve"> </w:t>
      </w:r>
      <w:r w:rsidR="00B355D4" w:rsidRPr="00323D95">
        <w:t>Each of the three breakout groups</w:t>
      </w:r>
      <w:r w:rsidRPr="00323D95">
        <w:t xml:space="preserve"> submitted a </w:t>
      </w:r>
      <w:r w:rsidR="001D2163" w:rsidRPr="00323D95">
        <w:t>detailed</w:t>
      </w:r>
      <w:r w:rsidRPr="00323D95">
        <w:t xml:space="preserve"> report to the </w:t>
      </w:r>
      <w:r w:rsidR="00B355D4" w:rsidRPr="00323D95">
        <w:t>plenary session</w:t>
      </w:r>
      <w:r w:rsidR="00631C3B" w:rsidRPr="00323D95">
        <w:t>.</w:t>
      </w:r>
      <w:r w:rsidR="000C3604" w:rsidRPr="00323D95">
        <w:t xml:space="preserve"> </w:t>
      </w:r>
      <w:r w:rsidRPr="00953C48">
        <w:t>The</w:t>
      </w:r>
      <w:r w:rsidR="00835A80" w:rsidRPr="00953C48">
        <w:t xml:space="preserve"> final</w:t>
      </w:r>
      <w:r w:rsidRPr="00953C48">
        <w:t xml:space="preserve"> report</w:t>
      </w:r>
      <w:r w:rsidR="00873263">
        <w:t xml:space="preserve"> (</w:t>
      </w:r>
      <w:hyperlink r:id="rId28" w:history="1">
        <w:r w:rsidR="00873263" w:rsidRPr="00172FFD">
          <w:rPr>
            <w:rStyle w:val="Lienhypertexte"/>
          </w:rPr>
          <w:t>LHE/21/16.COM EXP/7</w:t>
        </w:r>
      </w:hyperlink>
      <w:r w:rsidR="00873263">
        <w:t>), and particularly the breakout group reports contained therein,</w:t>
      </w:r>
      <w:r w:rsidRPr="00953C48">
        <w:t xml:space="preserve"> </w:t>
      </w:r>
      <w:r w:rsidR="00B355D4" w:rsidRPr="00953C48">
        <w:t xml:space="preserve">reflects </w:t>
      </w:r>
      <w:r w:rsidR="00DB153D" w:rsidRPr="00953C48">
        <w:t>a series of suggestions or options considered by experts</w:t>
      </w:r>
      <w:r w:rsidR="00320B47" w:rsidRPr="00953C48">
        <w:t xml:space="preserve"> </w:t>
      </w:r>
      <w:r w:rsidR="00D33FE7" w:rsidRPr="00953C48">
        <w:t>which</w:t>
      </w:r>
      <w:r w:rsidR="00DB153D" w:rsidRPr="00953C48">
        <w:t xml:space="preserve"> </w:t>
      </w:r>
      <w:r w:rsidR="00320B47" w:rsidRPr="00953C48">
        <w:t xml:space="preserve">do not form </w:t>
      </w:r>
      <w:r w:rsidR="00DB153D" w:rsidRPr="00953C48">
        <w:t>conclusive solution</w:t>
      </w:r>
      <w:r w:rsidR="00320B47" w:rsidRPr="00953C48">
        <w:t xml:space="preserve">s; </w:t>
      </w:r>
      <w:r w:rsidR="00DB153D" w:rsidRPr="00953C48">
        <w:t>the purpose of the expert consultation was not for the experts to agree on every point of the reflection</w:t>
      </w:r>
      <w:r w:rsidR="00DB153D" w:rsidRPr="006A4386">
        <w:t>.</w:t>
      </w:r>
      <w:r w:rsidR="00DB153D" w:rsidRPr="003936A5">
        <w:t xml:space="preserve"> Their positions, nevertheless, </w:t>
      </w:r>
      <w:r w:rsidR="003430CB" w:rsidRPr="003936A5">
        <w:t>may be summari</w:t>
      </w:r>
      <w:r w:rsidR="003409D3" w:rsidRPr="003936A5">
        <w:t>z</w:t>
      </w:r>
      <w:r w:rsidR="003430CB" w:rsidRPr="003936A5">
        <w:t xml:space="preserve">ed </w:t>
      </w:r>
      <w:r w:rsidR="00DB153D" w:rsidRPr="003936A5">
        <w:t>into four approaches</w:t>
      </w:r>
      <w:r w:rsidR="00112397" w:rsidRPr="003936A5">
        <w:t>:</w:t>
      </w:r>
      <w:r w:rsidR="00B355D4" w:rsidRPr="003936A5">
        <w:t xml:space="preserve"> (</w:t>
      </w:r>
      <w:r w:rsidR="00CF0F3D">
        <w:t>a</w:t>
      </w:r>
      <w:r w:rsidR="00B355D4" w:rsidRPr="003936A5">
        <w:t>)</w:t>
      </w:r>
      <w:r w:rsidR="00CF0F3D">
        <w:t> </w:t>
      </w:r>
      <w:r w:rsidR="00B355D4" w:rsidRPr="003936A5">
        <w:t>fine-tuning</w:t>
      </w:r>
      <w:r w:rsidR="003409D3" w:rsidRPr="003936A5">
        <w:t>;</w:t>
      </w:r>
      <w:r w:rsidR="00B355D4" w:rsidRPr="003936A5">
        <w:t xml:space="preserve"> (</w:t>
      </w:r>
      <w:r w:rsidR="00CF0F3D">
        <w:t>b</w:t>
      </w:r>
      <w:r w:rsidR="00B355D4" w:rsidRPr="003936A5">
        <w:t>)</w:t>
      </w:r>
      <w:r w:rsidR="00CF0F3D">
        <w:t> </w:t>
      </w:r>
      <w:r w:rsidR="00B355D4" w:rsidRPr="003936A5">
        <w:t>repositioning</w:t>
      </w:r>
      <w:r w:rsidR="003409D3" w:rsidRPr="003936A5">
        <w:t>;</w:t>
      </w:r>
      <w:r w:rsidR="00CF0F3D" w:rsidRPr="00CF0F3D">
        <w:t xml:space="preserve"> </w:t>
      </w:r>
      <w:r w:rsidR="00CF0F3D" w:rsidRPr="003936A5">
        <w:t>(</w:t>
      </w:r>
      <w:r w:rsidR="00CF0F3D">
        <w:t>c</w:t>
      </w:r>
      <w:r w:rsidR="00CF0F3D" w:rsidRPr="003936A5">
        <w:t>) stricter control</w:t>
      </w:r>
      <w:r w:rsidR="00B355D4" w:rsidRPr="003936A5">
        <w:t xml:space="preserve"> and (d) maximum inclusivity</w:t>
      </w:r>
      <w:r w:rsidR="003430CB" w:rsidRPr="003936A5">
        <w:t>.</w:t>
      </w:r>
      <w:r w:rsidR="005D4567" w:rsidRPr="003936A5">
        <w:t xml:space="preserve"> The vast majority of positions seemed to fall either into (</w:t>
      </w:r>
      <w:r w:rsidR="00CF0F3D">
        <w:t>a</w:t>
      </w:r>
      <w:r w:rsidR="005D4567" w:rsidRPr="003936A5">
        <w:t>)</w:t>
      </w:r>
      <w:r w:rsidR="00CF0F3D">
        <w:t> </w:t>
      </w:r>
      <w:r w:rsidR="005D4567" w:rsidRPr="003936A5">
        <w:t>fine-tuning, or (</w:t>
      </w:r>
      <w:r w:rsidR="00CF0F3D">
        <w:t>b</w:t>
      </w:r>
      <w:r w:rsidR="005D4567" w:rsidRPr="003936A5">
        <w:t>)</w:t>
      </w:r>
      <w:r w:rsidR="00CF0F3D">
        <w:t> </w:t>
      </w:r>
      <w:r w:rsidR="005D4567" w:rsidRPr="003936A5">
        <w:t>repositioning, with (</w:t>
      </w:r>
      <w:r w:rsidR="00CF0F3D">
        <w:t>c</w:t>
      </w:r>
      <w:r w:rsidR="005D4567" w:rsidRPr="003936A5">
        <w:t>)</w:t>
      </w:r>
      <w:r w:rsidR="00CF0F3D">
        <w:t> </w:t>
      </w:r>
      <w:r w:rsidR="005D4567" w:rsidRPr="003936A5">
        <w:t>stricter-control and (d)</w:t>
      </w:r>
      <w:r w:rsidR="00CF0F3D">
        <w:t> </w:t>
      </w:r>
      <w:r w:rsidR="005D4567" w:rsidRPr="003936A5">
        <w:t xml:space="preserve">maximum inclusivity representing ‘outlier’ positions. A quick show of hands at the end of the meeting showed an equal balance of experts between </w:t>
      </w:r>
      <w:r w:rsidR="00EC625C">
        <w:t>‘</w:t>
      </w:r>
      <w:r w:rsidR="005D4567" w:rsidRPr="003936A5">
        <w:t>fine</w:t>
      </w:r>
      <w:r w:rsidR="00C60A1A">
        <w:t>-</w:t>
      </w:r>
      <w:r w:rsidR="005D4567" w:rsidRPr="003936A5">
        <w:t>tuning</w:t>
      </w:r>
      <w:r w:rsidR="00EC625C">
        <w:t>’</w:t>
      </w:r>
      <w:r w:rsidR="005D4567" w:rsidRPr="003936A5">
        <w:t xml:space="preserve"> and </w:t>
      </w:r>
      <w:r w:rsidR="00EC625C">
        <w:t>‘</w:t>
      </w:r>
      <w:r w:rsidR="005D4567" w:rsidRPr="003936A5">
        <w:t>repositioning</w:t>
      </w:r>
      <w:r w:rsidR="00EC625C">
        <w:t>’</w:t>
      </w:r>
      <w:r w:rsidR="005D4567" w:rsidRPr="003936A5">
        <w:t>.</w:t>
      </w:r>
      <w:r w:rsidR="00971FE7">
        <w:t xml:space="preserve"> </w:t>
      </w:r>
      <w:r w:rsidR="00320B47" w:rsidRPr="003936A5">
        <w:t xml:space="preserve">The </w:t>
      </w:r>
      <w:r w:rsidR="00320B47" w:rsidRPr="003936A5">
        <w:lastRenderedPageBreak/>
        <w:t>characteristics of each of th</w:t>
      </w:r>
      <w:r w:rsidR="00D33FE7" w:rsidRPr="003936A5">
        <w:t>ese approaches,</w:t>
      </w:r>
      <w:r w:rsidR="00320B47" w:rsidRPr="003936A5">
        <w:t xml:space="preserve"> together with possible implications are described in </w:t>
      </w:r>
      <w:r w:rsidR="001A36AE" w:rsidRPr="003936A5">
        <w:t xml:space="preserve">document </w:t>
      </w:r>
      <w:hyperlink r:id="rId29" w:history="1">
        <w:bookmarkStart w:id="1" w:name="_Hlk75798940"/>
        <w:r w:rsidR="001A36AE" w:rsidRPr="009368AF">
          <w:rPr>
            <w:rStyle w:val="Lienhypertexte"/>
          </w:rPr>
          <w:t>LHE/21/16.COM WG/</w:t>
        </w:r>
        <w:r w:rsidR="00CF3DBC" w:rsidRPr="009368AF">
          <w:rPr>
            <w:rStyle w:val="Lienhypertexte"/>
          </w:rPr>
          <w:t>3</w:t>
        </w:r>
        <w:bookmarkEnd w:id="1"/>
        <w:r w:rsidR="0045625C" w:rsidRPr="009368AF">
          <w:rPr>
            <w:rStyle w:val="Lienhypertexte"/>
          </w:rPr>
          <w:t>.</w:t>
        </w:r>
      </w:hyperlink>
    </w:p>
    <w:p w14:paraId="52B0F0A2" w14:textId="13FED59C" w:rsidR="00AA1A7B" w:rsidRPr="00323D95" w:rsidRDefault="00EB7EF0" w:rsidP="000933A8">
      <w:pPr>
        <w:pStyle w:val="GAPara"/>
        <w:keepNext/>
        <w:numPr>
          <w:ilvl w:val="0"/>
          <w:numId w:val="11"/>
        </w:numPr>
        <w:spacing w:before="360"/>
        <w:ind w:left="567" w:hanging="567"/>
        <w:jc w:val="both"/>
        <w:rPr>
          <w:b/>
        </w:rPr>
      </w:pPr>
      <w:r w:rsidRPr="00323D95">
        <w:rPr>
          <w:b/>
        </w:rPr>
        <w:t>O</w:t>
      </w:r>
      <w:r w:rsidR="00BC4BCB" w:rsidRPr="00323D95">
        <w:rPr>
          <w:b/>
        </w:rPr>
        <w:t xml:space="preserve">bjectives and </w:t>
      </w:r>
      <w:r w:rsidRPr="00323D95">
        <w:rPr>
          <w:b/>
        </w:rPr>
        <w:t>w</w:t>
      </w:r>
      <w:r w:rsidR="00597FF2" w:rsidRPr="00323D95">
        <w:rPr>
          <w:b/>
        </w:rPr>
        <w:t xml:space="preserve">orking methods of the </w:t>
      </w:r>
      <w:r w:rsidR="00CC4364" w:rsidRPr="00323D95">
        <w:rPr>
          <w:b/>
        </w:rPr>
        <w:t>present meetin</w:t>
      </w:r>
      <w:r w:rsidR="00AA1A7B" w:rsidRPr="00323D95">
        <w:rPr>
          <w:b/>
        </w:rPr>
        <w:t>g</w:t>
      </w:r>
    </w:p>
    <w:p w14:paraId="301990D4" w14:textId="5FACF62B" w:rsidR="00873263" w:rsidRDefault="000E7D76" w:rsidP="008E706B">
      <w:pPr>
        <w:pStyle w:val="GAPara"/>
        <w:keepNext/>
        <w:numPr>
          <w:ilvl w:val="0"/>
          <w:numId w:val="8"/>
        </w:numPr>
        <w:spacing w:before="120"/>
        <w:ind w:left="567" w:hanging="567"/>
        <w:jc w:val="both"/>
      </w:pPr>
      <w:r w:rsidRPr="00323D95">
        <w:t xml:space="preserve">The primary goal of the Open-ended intergovernmental working group will be to reach </w:t>
      </w:r>
      <w:r w:rsidR="00A4166E" w:rsidRPr="00323D95">
        <w:t xml:space="preserve">a </w:t>
      </w:r>
      <w:r w:rsidRPr="00323D95">
        <w:t xml:space="preserve">consensus on the </w:t>
      </w:r>
      <w:r w:rsidR="00656517" w:rsidRPr="00323D95">
        <w:t xml:space="preserve">overall </w:t>
      </w:r>
      <w:r w:rsidRPr="00323D95">
        <w:t xml:space="preserve">approach </w:t>
      </w:r>
      <w:r w:rsidR="00D70C3C" w:rsidRPr="00323D95">
        <w:t>for</w:t>
      </w:r>
      <w:r w:rsidRPr="00323D95">
        <w:t xml:space="preserve"> improv</w:t>
      </w:r>
      <w:r w:rsidR="00D70C3C" w:rsidRPr="00323D95">
        <w:t>ing</w:t>
      </w:r>
      <w:r w:rsidRPr="00323D95">
        <w:t xml:space="preserve"> the listing system of the 2003 Convention </w:t>
      </w:r>
      <w:r w:rsidR="00656517" w:rsidRPr="00323D95">
        <w:t xml:space="preserve">and </w:t>
      </w:r>
      <w:r w:rsidR="004D5A69" w:rsidRPr="00323D95">
        <w:t xml:space="preserve">to </w:t>
      </w:r>
      <w:r w:rsidR="00656517" w:rsidRPr="00323D95">
        <w:t>agree on a set of changes that would be required</w:t>
      </w:r>
      <w:r w:rsidR="00A4166E" w:rsidRPr="00323D95">
        <w:t xml:space="preserve"> </w:t>
      </w:r>
      <w:r w:rsidR="00656517" w:rsidRPr="00323D95">
        <w:t>to achieve the agreed vision.</w:t>
      </w:r>
      <w:r w:rsidR="00873263">
        <w:t xml:space="preserve"> Given the extensive nature of the recommendations made by the experts of the category VI meeting in May 2021, the present meeting of the working group is convened in two parts:</w:t>
      </w:r>
    </w:p>
    <w:p w14:paraId="16B3CCBF" w14:textId="63AA4E68" w:rsidR="00873263" w:rsidRDefault="00873263">
      <w:pPr>
        <w:pStyle w:val="GAPara"/>
        <w:keepNext/>
        <w:numPr>
          <w:ilvl w:val="0"/>
          <w:numId w:val="29"/>
        </w:numPr>
        <w:spacing w:before="120"/>
        <w:jc w:val="both"/>
      </w:pPr>
      <w:r w:rsidRPr="000933A8">
        <w:rPr>
          <w:b/>
          <w:bCs/>
        </w:rPr>
        <w:t>Part I</w:t>
      </w:r>
      <w:r>
        <w:t xml:space="preserve"> (online, 8 and 9 July 2021)</w:t>
      </w:r>
      <w:r w:rsidR="008D1FED">
        <w:t>:</w:t>
      </w:r>
      <w:r>
        <w:t xml:space="preserve"> the working group will discuss the recommendations of the </w:t>
      </w:r>
      <w:r w:rsidR="0081713A">
        <w:t>c</w:t>
      </w:r>
      <w:r w:rsidR="008D1FED">
        <w:t xml:space="preserve">ategory VI </w:t>
      </w:r>
      <w:r w:rsidR="00F85BA7" w:rsidRPr="00C255F2">
        <w:t>expert</w:t>
      </w:r>
      <w:r w:rsidR="00F85BA7">
        <w:t xml:space="preserve"> </w:t>
      </w:r>
      <w:r w:rsidR="008D1FED">
        <w:t>meeting in order to decide on a general direction to take for the reform of the listing system of the Convention.</w:t>
      </w:r>
    </w:p>
    <w:p w14:paraId="601E0E65" w14:textId="178ED1C3" w:rsidR="0081713A" w:rsidRDefault="0081713A" w:rsidP="000933A8">
      <w:pPr>
        <w:pStyle w:val="GAPara"/>
        <w:keepNext/>
        <w:numPr>
          <w:ilvl w:val="0"/>
          <w:numId w:val="29"/>
        </w:numPr>
        <w:spacing w:before="120"/>
        <w:jc w:val="both"/>
      </w:pPr>
      <w:r w:rsidRPr="00B9567C">
        <w:rPr>
          <w:b/>
          <w:bCs/>
        </w:rPr>
        <w:t>Part II</w:t>
      </w:r>
      <w:r>
        <w:t xml:space="preserve"> (online, 9 and 10 September 2021): on the basis of </w:t>
      </w:r>
      <w:r w:rsidR="00F85BA7">
        <w:t xml:space="preserve">the </w:t>
      </w:r>
      <w:r w:rsidR="001B5744">
        <w:t>recommendations</w:t>
      </w:r>
      <w:r w:rsidR="00CA6DC5">
        <w:t xml:space="preserve"> of</w:t>
      </w:r>
      <w:r w:rsidR="00F85BA7">
        <w:t xml:space="preserve"> </w:t>
      </w:r>
      <w:r>
        <w:t>Part</w:t>
      </w:r>
      <w:r w:rsidR="00CA6DC5">
        <w:t> </w:t>
      </w:r>
      <w:r>
        <w:t>I of the meeting, the working group will agree to recommend specific changes to be made in line with the general direction chosen in Part I.</w:t>
      </w:r>
    </w:p>
    <w:p w14:paraId="5F222823" w14:textId="6A8EE848" w:rsidR="00320B39" w:rsidRPr="00323D95" w:rsidRDefault="003969D0" w:rsidP="000933A8">
      <w:pPr>
        <w:pStyle w:val="GAPara"/>
        <w:keepNext/>
        <w:numPr>
          <w:ilvl w:val="0"/>
          <w:numId w:val="8"/>
        </w:numPr>
        <w:spacing w:before="120"/>
        <w:ind w:left="567" w:hanging="567"/>
        <w:jc w:val="both"/>
      </w:pPr>
      <w:r w:rsidRPr="00323D95">
        <w:t>Th</w:t>
      </w:r>
      <w:r w:rsidR="008D1FED">
        <w:t>e recommendations of the working group</w:t>
      </w:r>
      <w:r w:rsidR="0081713A">
        <w:t>, which will be adopted at the end of Part II of the meeting,</w:t>
      </w:r>
      <w:r w:rsidRPr="00323D95">
        <w:t xml:space="preserve"> will allow the Committee to examine draft amendments to the Operational Directives</w:t>
      </w:r>
      <w:r w:rsidR="004A5722" w:rsidRPr="004A5722">
        <w:t xml:space="preserve"> </w:t>
      </w:r>
      <w:r w:rsidR="004A5722" w:rsidRPr="00323D95">
        <w:t>at its sixteenth session (Colombo, Sri Lanka, 13 to 18 December 2021)</w:t>
      </w:r>
      <w:r w:rsidR="004A5722">
        <w:t>.</w:t>
      </w:r>
      <w:r w:rsidRPr="00323D95">
        <w:t xml:space="preserve"> </w:t>
      </w:r>
      <w:r w:rsidR="004A5722">
        <w:t>I</w:t>
      </w:r>
      <w:r w:rsidRPr="00323D95">
        <w:t xml:space="preserve">f the Committee </w:t>
      </w:r>
      <w:r w:rsidR="004D5A69" w:rsidRPr="00323D95">
        <w:t xml:space="preserve">agrees, </w:t>
      </w:r>
      <w:r w:rsidR="004A5722">
        <w:t>the</w:t>
      </w:r>
      <w:r w:rsidR="004A5722" w:rsidRPr="00323D95">
        <w:t xml:space="preserve"> </w:t>
      </w:r>
      <w:r w:rsidR="004D5A69" w:rsidRPr="00323D95">
        <w:t xml:space="preserve">amendments </w:t>
      </w:r>
      <w:r w:rsidR="00DA743A">
        <w:t>may</w:t>
      </w:r>
      <w:r w:rsidR="004D5A69" w:rsidRPr="00323D95">
        <w:t xml:space="preserve"> be presented for </w:t>
      </w:r>
      <w:r w:rsidR="00FE7D93" w:rsidRPr="00323D95">
        <w:t xml:space="preserve">examination and possible </w:t>
      </w:r>
      <w:r w:rsidR="004D5A69" w:rsidRPr="00323D95">
        <w:t>adoption by the General Assembly at its ninth session in mid-2022.</w:t>
      </w:r>
      <w:r w:rsidR="00B72C75" w:rsidRPr="00323D95">
        <w:t xml:space="preserve"> </w:t>
      </w:r>
      <w:r w:rsidR="00B66DAC">
        <w:t>T</w:t>
      </w:r>
      <w:r w:rsidR="00B72C75" w:rsidRPr="00323D95">
        <w:t xml:space="preserve">he </w:t>
      </w:r>
      <w:r w:rsidR="00897C36">
        <w:t xml:space="preserve">recommendations </w:t>
      </w:r>
      <w:r w:rsidR="00B72C75" w:rsidRPr="00323D95">
        <w:t xml:space="preserve">of the working group may also lead to the </w:t>
      </w:r>
      <w:r w:rsidR="00A52100" w:rsidRPr="00323D95">
        <w:t>amendment</w:t>
      </w:r>
      <w:r w:rsidR="00B72C75" w:rsidRPr="00323D95">
        <w:t xml:space="preserve"> of the Rules of Procedure of the</w:t>
      </w:r>
      <w:r w:rsidR="004A5722">
        <w:t xml:space="preserve"> Intergovernmental</w:t>
      </w:r>
      <w:r w:rsidR="00B72C75" w:rsidRPr="00323D95">
        <w:t xml:space="preserve"> Committee and</w:t>
      </w:r>
      <w:r w:rsidR="004A5722">
        <w:t xml:space="preserve"> </w:t>
      </w:r>
      <w:r w:rsidR="00B72C75" w:rsidRPr="00323D95">
        <w:t xml:space="preserve">the revision of </w:t>
      </w:r>
      <w:r w:rsidR="004A5722" w:rsidRPr="00323D95">
        <w:t xml:space="preserve">nomination </w:t>
      </w:r>
      <w:r w:rsidR="00B72C75" w:rsidRPr="00323D95">
        <w:t>forms.</w:t>
      </w:r>
    </w:p>
    <w:p w14:paraId="312CA7CC" w14:textId="530BB2AB" w:rsidR="00A4166E" w:rsidRPr="00323D95" w:rsidRDefault="008D1FED">
      <w:pPr>
        <w:pStyle w:val="GAPara"/>
        <w:numPr>
          <w:ilvl w:val="0"/>
          <w:numId w:val="8"/>
        </w:numPr>
        <w:spacing w:before="120"/>
        <w:ind w:left="567" w:hanging="567"/>
        <w:jc w:val="both"/>
      </w:pPr>
      <w:r>
        <w:t xml:space="preserve">For </w:t>
      </w:r>
      <w:r w:rsidRPr="00BF6CC2">
        <w:t>Part I of</w:t>
      </w:r>
      <w:r>
        <w:t xml:space="preserve"> the working group meeting</w:t>
      </w:r>
      <w:r w:rsidR="00315588">
        <w:t xml:space="preserve"> (more information</w:t>
      </w:r>
      <w:r w:rsidR="002B43A8">
        <w:t xml:space="preserve"> about Part II</w:t>
      </w:r>
      <w:r w:rsidR="00315588">
        <w:t xml:space="preserve"> will be provided in due course, in order to reflect the discussions to be held during Part I of the meeting)</w:t>
      </w:r>
      <w:r>
        <w:t>, t</w:t>
      </w:r>
      <w:r w:rsidR="00320B39" w:rsidRPr="00323D95">
        <w:t>he participants will meet each day through the Zoom platform</w:t>
      </w:r>
      <w:r w:rsidR="00DA743A">
        <w:t>,</w:t>
      </w:r>
      <w:r w:rsidR="00320B39" w:rsidRPr="00323D95">
        <w:t xml:space="preserve"> with four sessions of </w:t>
      </w:r>
      <w:r w:rsidR="00897C36">
        <w:t>90 minutes</w:t>
      </w:r>
      <w:r w:rsidR="00320B39" w:rsidRPr="00323D95">
        <w:t xml:space="preserve"> each. For the </w:t>
      </w:r>
      <w:r w:rsidR="00D35290">
        <w:t xml:space="preserve">meeting </w:t>
      </w:r>
      <w:r w:rsidR="00320B39" w:rsidRPr="00323D95">
        <w:t>agenda and timetable, see do</w:t>
      </w:r>
      <w:r w:rsidR="00320B39" w:rsidRPr="009368AF">
        <w:t xml:space="preserve">cument </w:t>
      </w:r>
      <w:hyperlink r:id="rId30" w:history="1">
        <w:r w:rsidR="00320B39" w:rsidRPr="009368AF">
          <w:rPr>
            <w:rStyle w:val="Lienhypertexte"/>
          </w:rPr>
          <w:t>LHE/21/16.COM WG/1</w:t>
        </w:r>
      </w:hyperlink>
      <w:r w:rsidR="00320B39" w:rsidRPr="00323D95">
        <w:t xml:space="preserve">. States Parties to the 2003 Convention are the main participants of the meeting, while States not Party to the Convention and accredited non-governmental organizations </w:t>
      </w:r>
      <w:r w:rsidR="00897C36">
        <w:t>may</w:t>
      </w:r>
      <w:r w:rsidR="00320B39" w:rsidRPr="00323D95">
        <w:t xml:space="preserve"> participate as observers (</w:t>
      </w:r>
      <w:r w:rsidR="00E158FF">
        <w:t xml:space="preserve">see </w:t>
      </w:r>
      <w:hyperlink r:id="rId31" w:history="1">
        <w:r w:rsidR="00320B39" w:rsidRPr="00172FFD">
          <w:rPr>
            <w:rStyle w:val="Lienhypertexte"/>
          </w:rPr>
          <w:t>the preliminary list of participants</w:t>
        </w:r>
      </w:hyperlink>
      <w:r w:rsidR="00320B39" w:rsidRPr="00323D95">
        <w:t xml:space="preserve">). </w:t>
      </w:r>
      <w:r w:rsidR="00320B39" w:rsidRPr="00323D95">
        <w:rPr>
          <w:spacing w:val="-4"/>
        </w:rPr>
        <w:t>The debates of the meeting are open to the public and will be transmitted by webcast in real time through the website of the Convention.</w:t>
      </w:r>
    </w:p>
    <w:p w14:paraId="00115B74" w14:textId="1FEC6407" w:rsidR="0022638C" w:rsidRPr="00323D95" w:rsidRDefault="00656517" w:rsidP="00C62AC0">
      <w:pPr>
        <w:pStyle w:val="GAPara"/>
        <w:numPr>
          <w:ilvl w:val="0"/>
          <w:numId w:val="8"/>
        </w:numPr>
        <w:spacing w:before="120"/>
        <w:ind w:left="567" w:hanging="567"/>
        <w:jc w:val="both"/>
        <w:rPr>
          <w:rFonts w:eastAsiaTheme="minorEastAsia"/>
          <w:lang w:eastAsia="ko-KR"/>
        </w:rPr>
      </w:pPr>
      <w:r w:rsidRPr="00323D95">
        <w:rPr>
          <w:spacing w:val="-4"/>
        </w:rPr>
        <w:t>On the first day,</w:t>
      </w:r>
      <w:r w:rsidR="001150C5" w:rsidRPr="00323D95">
        <w:rPr>
          <w:spacing w:val="-4"/>
        </w:rPr>
        <w:t xml:space="preserve"> the working group </w:t>
      </w:r>
      <w:r w:rsidR="004F5403" w:rsidRPr="00323D95">
        <w:rPr>
          <w:spacing w:val="-4"/>
        </w:rPr>
        <w:t xml:space="preserve">will </w:t>
      </w:r>
      <w:r w:rsidRPr="00323D95">
        <w:rPr>
          <w:spacing w:val="-4"/>
        </w:rPr>
        <w:t xml:space="preserve">begin </w:t>
      </w:r>
      <w:r w:rsidR="00EC3C88" w:rsidRPr="00323D95">
        <w:rPr>
          <w:spacing w:val="-4"/>
        </w:rPr>
        <w:t>its work</w:t>
      </w:r>
      <w:r w:rsidRPr="00323D95">
        <w:rPr>
          <w:spacing w:val="-4"/>
        </w:rPr>
        <w:t xml:space="preserve"> by electing</w:t>
      </w:r>
      <w:r w:rsidR="001150C5" w:rsidRPr="00323D95">
        <w:rPr>
          <w:spacing w:val="-4"/>
        </w:rPr>
        <w:t xml:space="preserve"> </w:t>
      </w:r>
      <w:r w:rsidR="00023D86">
        <w:rPr>
          <w:spacing w:val="-4"/>
        </w:rPr>
        <w:t>the Bureau (</w:t>
      </w:r>
      <w:r w:rsidR="001150C5" w:rsidRPr="00323D95">
        <w:rPr>
          <w:spacing w:val="-4"/>
        </w:rPr>
        <w:t xml:space="preserve">a </w:t>
      </w:r>
      <w:r w:rsidR="001150C5" w:rsidRPr="00323D95">
        <w:t>Chairperson</w:t>
      </w:r>
      <w:r w:rsidR="00023D86">
        <w:rPr>
          <w:spacing w:val="-4"/>
        </w:rPr>
        <w:t xml:space="preserve"> and </w:t>
      </w:r>
      <w:r w:rsidR="009E4E85">
        <w:rPr>
          <w:spacing w:val="-4"/>
        </w:rPr>
        <w:t>five</w:t>
      </w:r>
      <w:r w:rsidR="001150C5" w:rsidRPr="00323D95">
        <w:rPr>
          <w:spacing w:val="-4"/>
        </w:rPr>
        <w:t xml:space="preserve"> Vice-Chairperson</w:t>
      </w:r>
      <w:r w:rsidR="005872ED">
        <w:rPr>
          <w:spacing w:val="-4"/>
        </w:rPr>
        <w:t>s</w:t>
      </w:r>
      <w:r w:rsidR="00023D86">
        <w:rPr>
          <w:spacing w:val="-4"/>
        </w:rPr>
        <w:t xml:space="preserve">, </w:t>
      </w:r>
      <w:r w:rsidR="001150C5" w:rsidRPr="00323D95">
        <w:rPr>
          <w:spacing w:val="-4"/>
        </w:rPr>
        <w:t xml:space="preserve">one from each </w:t>
      </w:r>
      <w:r w:rsidR="00455F1B" w:rsidRPr="00323D95">
        <w:rPr>
          <w:spacing w:val="-4"/>
        </w:rPr>
        <w:t xml:space="preserve">of </w:t>
      </w:r>
      <w:r w:rsidR="00F60D16">
        <w:rPr>
          <w:spacing w:val="-4"/>
        </w:rPr>
        <w:t xml:space="preserve">the remaining of </w:t>
      </w:r>
      <w:r w:rsidR="00455F1B" w:rsidRPr="00323D95">
        <w:rPr>
          <w:spacing w:val="-4"/>
        </w:rPr>
        <w:t xml:space="preserve">UNESCO’s </w:t>
      </w:r>
      <w:r w:rsidR="001150C5" w:rsidRPr="00323D95">
        <w:rPr>
          <w:spacing w:val="-4"/>
        </w:rPr>
        <w:t>electoral group</w:t>
      </w:r>
      <w:r w:rsidR="00455F1B" w:rsidRPr="00323D95">
        <w:rPr>
          <w:spacing w:val="-4"/>
        </w:rPr>
        <w:t>s</w:t>
      </w:r>
      <w:r w:rsidR="00023D86">
        <w:rPr>
          <w:spacing w:val="-4"/>
        </w:rPr>
        <w:t xml:space="preserve"> and who will also act as rapporteurs)</w:t>
      </w:r>
      <w:r w:rsidR="001150C5" w:rsidRPr="00323D95">
        <w:rPr>
          <w:spacing w:val="-4"/>
        </w:rPr>
        <w:t xml:space="preserve"> </w:t>
      </w:r>
      <w:r w:rsidR="001150C5" w:rsidRPr="00323D95">
        <w:t>who will remain in office until the end</w:t>
      </w:r>
      <w:r w:rsidR="001150C5" w:rsidRPr="00323D95">
        <w:rPr>
          <w:spacing w:val="-4"/>
        </w:rPr>
        <w:t xml:space="preserve"> of the meeting</w:t>
      </w:r>
      <w:r w:rsidR="00BF6CC2">
        <w:rPr>
          <w:spacing w:val="-4"/>
        </w:rPr>
        <w:t xml:space="preserve"> (both Part I and Part II)</w:t>
      </w:r>
      <w:r w:rsidR="001150C5" w:rsidRPr="00323D95">
        <w:rPr>
          <w:spacing w:val="-4"/>
        </w:rPr>
        <w:t xml:space="preserve">. </w:t>
      </w:r>
      <w:r w:rsidR="001150C5" w:rsidRPr="00323D95">
        <w:t xml:space="preserve">The Chairperson </w:t>
      </w:r>
      <w:r w:rsidR="009E2BA9" w:rsidRPr="00323D95">
        <w:t xml:space="preserve">duties </w:t>
      </w:r>
      <w:r w:rsidR="001150C5" w:rsidRPr="00323D95">
        <w:t xml:space="preserve">will replicate </w:t>
      </w:r>
      <w:r w:rsidR="00455F1B" w:rsidRPr="00323D95">
        <w:t>those</w:t>
      </w:r>
      <w:r w:rsidR="001150C5" w:rsidRPr="00323D95">
        <w:t xml:space="preserve"> of the Chairperson</w:t>
      </w:r>
      <w:r w:rsidR="004F5403" w:rsidRPr="00323D95">
        <w:t xml:space="preserve"> of</w:t>
      </w:r>
      <w:r w:rsidR="001150C5" w:rsidRPr="00323D95">
        <w:t xml:space="preserve"> the General Assembly</w:t>
      </w:r>
      <w:r w:rsidR="00455F1B" w:rsidRPr="00323D95">
        <w:t xml:space="preserve"> of States Parties to the 2003 Convention</w:t>
      </w:r>
      <w:r w:rsidR="001150C5" w:rsidRPr="00323D95">
        <w:t xml:space="preserve">. The </w:t>
      </w:r>
      <w:r w:rsidR="009E4E85">
        <w:t>five</w:t>
      </w:r>
      <w:r w:rsidR="000F0D76">
        <w:t xml:space="preserve"> </w:t>
      </w:r>
      <w:r w:rsidR="001150C5" w:rsidRPr="00323D95">
        <w:t>Vice</w:t>
      </w:r>
      <w:r w:rsidR="00EC3C88" w:rsidRPr="00323D95">
        <w:t>-</w:t>
      </w:r>
      <w:r w:rsidR="001150C5" w:rsidRPr="00323D95">
        <w:t>Chairperson</w:t>
      </w:r>
      <w:r w:rsidR="000F0D76">
        <w:t>s</w:t>
      </w:r>
      <w:r w:rsidR="001150C5" w:rsidRPr="00323D95">
        <w:t xml:space="preserve"> </w:t>
      </w:r>
      <w:r w:rsidR="00455F1B" w:rsidRPr="00323D95">
        <w:t>will</w:t>
      </w:r>
      <w:r w:rsidR="001150C5" w:rsidRPr="00323D95">
        <w:t xml:space="preserve"> assist the Chairperson in carrying out his</w:t>
      </w:r>
      <w:r w:rsidR="004F00EC">
        <w:t xml:space="preserve"> or </w:t>
      </w:r>
      <w:r w:rsidR="001150C5" w:rsidRPr="00323D95">
        <w:t>her duties.</w:t>
      </w:r>
    </w:p>
    <w:p w14:paraId="09310C2E" w14:textId="5011868F" w:rsidR="00D250D5" w:rsidRPr="003936A5" w:rsidRDefault="00362300" w:rsidP="002B7873">
      <w:pPr>
        <w:pStyle w:val="GAPara"/>
        <w:numPr>
          <w:ilvl w:val="0"/>
          <w:numId w:val="8"/>
        </w:numPr>
        <w:spacing w:before="120"/>
        <w:ind w:left="567" w:hanging="567"/>
        <w:jc w:val="both"/>
        <w:rPr>
          <w:rFonts w:eastAsiaTheme="minorEastAsia"/>
        </w:rPr>
      </w:pPr>
      <w:r w:rsidRPr="003936A5">
        <w:t>T</w:t>
      </w:r>
      <w:r w:rsidR="00DA202F" w:rsidRPr="003936A5">
        <w:t>he working group will</w:t>
      </w:r>
      <w:r w:rsidRPr="003936A5">
        <w:t xml:space="preserve"> then</w:t>
      </w:r>
      <w:r w:rsidR="00DA202F" w:rsidRPr="003936A5">
        <w:t xml:space="preserve"> </w:t>
      </w:r>
      <w:r w:rsidR="007A6715" w:rsidRPr="003936A5">
        <w:t>discuss</w:t>
      </w:r>
      <w:r w:rsidR="00FA09A2" w:rsidRPr="003936A5">
        <w:t xml:space="preserve"> the</w:t>
      </w:r>
      <w:r w:rsidR="007A6715" w:rsidRPr="003936A5">
        <w:t xml:space="preserve"> main reflection issues </w:t>
      </w:r>
      <w:r w:rsidR="00037AEC" w:rsidRPr="003936A5">
        <w:t xml:space="preserve">and possible approaches </w:t>
      </w:r>
      <w:r w:rsidR="007A6715" w:rsidRPr="003936A5">
        <w:t xml:space="preserve">outlined in working document </w:t>
      </w:r>
      <w:hyperlink r:id="rId32" w:history="1">
        <w:r w:rsidR="009368AF" w:rsidRPr="009368AF">
          <w:rPr>
            <w:rStyle w:val="Lienhypertexte"/>
          </w:rPr>
          <w:t>LHE/21/16.COM WG/3</w:t>
        </w:r>
      </w:hyperlink>
      <w:r w:rsidR="00CF56DC" w:rsidRPr="003936A5">
        <w:t>,</w:t>
      </w:r>
      <w:r w:rsidR="007A6715" w:rsidRPr="003936A5">
        <w:t xml:space="preserve"> which </w:t>
      </w:r>
      <w:r w:rsidR="00730937" w:rsidRPr="003936A5">
        <w:t>builds</w:t>
      </w:r>
      <w:r w:rsidR="007A6715" w:rsidRPr="003936A5">
        <w:t xml:space="preserve"> on the recommendations of the </w:t>
      </w:r>
      <w:r w:rsidR="00730937" w:rsidRPr="003936A5">
        <w:t xml:space="preserve">above-mentioned </w:t>
      </w:r>
      <w:r w:rsidR="0081713A">
        <w:t>c</w:t>
      </w:r>
      <w:r w:rsidR="0081713A" w:rsidRPr="003936A5">
        <w:t xml:space="preserve">ategory </w:t>
      </w:r>
      <w:r w:rsidR="00730937" w:rsidRPr="003936A5">
        <w:t xml:space="preserve">VI </w:t>
      </w:r>
      <w:r w:rsidR="00FA09A2" w:rsidRPr="003936A5">
        <w:t xml:space="preserve">expert </w:t>
      </w:r>
      <w:r w:rsidR="007A6715" w:rsidRPr="003936A5">
        <w:t>meeting</w:t>
      </w:r>
      <w:r w:rsidR="00FA09A2" w:rsidRPr="003936A5">
        <w:t xml:space="preserve"> </w:t>
      </w:r>
      <w:r w:rsidR="00716846" w:rsidRPr="003936A5">
        <w:t>a</w:t>
      </w:r>
      <w:r w:rsidR="006865E9" w:rsidRPr="003936A5">
        <w:t>s well as</w:t>
      </w:r>
      <w:r w:rsidR="00CF56DC" w:rsidRPr="003936A5">
        <w:t xml:space="preserve"> on</w:t>
      </w:r>
      <w:r w:rsidR="00716846" w:rsidRPr="003936A5">
        <w:t xml:space="preserve"> the preparatory work </w:t>
      </w:r>
      <w:r w:rsidR="006865E9" w:rsidRPr="003936A5">
        <w:t>and</w:t>
      </w:r>
      <w:r w:rsidR="00716846" w:rsidRPr="003936A5">
        <w:t xml:space="preserve"> comments of Committee members </w:t>
      </w:r>
      <w:r w:rsidR="00896195" w:rsidRPr="003936A5">
        <w:t xml:space="preserve">and States Parties </w:t>
      </w:r>
      <w:r w:rsidR="00716846" w:rsidRPr="003936A5">
        <w:t xml:space="preserve">during </w:t>
      </w:r>
      <w:r w:rsidR="006865E9" w:rsidRPr="003936A5">
        <w:t>previous</w:t>
      </w:r>
      <w:r w:rsidR="00716846" w:rsidRPr="003936A5">
        <w:t xml:space="preserve"> sessions</w:t>
      </w:r>
      <w:r w:rsidR="00896195" w:rsidRPr="003936A5">
        <w:t xml:space="preserve"> of the governing bodies of the Convention</w:t>
      </w:r>
      <w:r w:rsidR="00716846" w:rsidRPr="003936A5">
        <w:t>.</w:t>
      </w:r>
      <w:r w:rsidR="002B7873" w:rsidRPr="003936A5">
        <w:rPr>
          <w:rFonts w:eastAsiaTheme="minorEastAsia"/>
        </w:rPr>
        <w:t xml:space="preserve"> </w:t>
      </w:r>
      <w:r w:rsidR="00041FC7" w:rsidRPr="003936A5">
        <w:t xml:space="preserve">Accordingly, the </w:t>
      </w:r>
      <w:r w:rsidR="006D117B" w:rsidRPr="003936A5">
        <w:t>w</w:t>
      </w:r>
      <w:r w:rsidR="00041FC7" w:rsidRPr="003936A5">
        <w:t xml:space="preserve">orking </w:t>
      </w:r>
      <w:r w:rsidR="006D117B" w:rsidRPr="003936A5">
        <w:t>g</w:t>
      </w:r>
      <w:r w:rsidR="00041FC7" w:rsidRPr="003936A5">
        <w:t xml:space="preserve">roup </w:t>
      </w:r>
      <w:r w:rsidR="006D117B" w:rsidRPr="003936A5">
        <w:t xml:space="preserve">will </w:t>
      </w:r>
      <w:r w:rsidR="00041FC7" w:rsidRPr="003936A5">
        <w:t xml:space="preserve">be able to </w:t>
      </w:r>
      <w:r w:rsidR="00D916D8" w:rsidRPr="003936A5">
        <w:t xml:space="preserve">consider </w:t>
      </w:r>
      <w:r w:rsidR="006D117B" w:rsidRPr="003936A5">
        <w:t xml:space="preserve">related </w:t>
      </w:r>
      <w:r w:rsidR="00695786" w:rsidRPr="003936A5">
        <w:t xml:space="preserve">issues </w:t>
      </w:r>
      <w:r w:rsidR="00A37C85" w:rsidRPr="003936A5">
        <w:t xml:space="preserve">by </w:t>
      </w:r>
      <w:r w:rsidR="008D1FED">
        <w:t xml:space="preserve">the four reflection </w:t>
      </w:r>
      <w:r w:rsidR="00695786" w:rsidRPr="003936A5">
        <w:t>theme</w:t>
      </w:r>
      <w:r w:rsidR="008D1FED">
        <w:t>s</w:t>
      </w:r>
      <w:r w:rsidR="00C128AC" w:rsidRPr="003936A5">
        <w:t>.</w:t>
      </w:r>
    </w:p>
    <w:p w14:paraId="4D345522" w14:textId="4F182B40" w:rsidR="00695786" w:rsidRPr="00323D95" w:rsidRDefault="009952ED" w:rsidP="00C62AC0">
      <w:pPr>
        <w:pStyle w:val="GAPara"/>
        <w:numPr>
          <w:ilvl w:val="0"/>
          <w:numId w:val="8"/>
        </w:numPr>
        <w:spacing w:before="120"/>
        <w:ind w:left="567" w:hanging="567"/>
        <w:jc w:val="both"/>
      </w:pPr>
      <w:r w:rsidRPr="00323D95">
        <w:t xml:space="preserve">While doing so, it </w:t>
      </w:r>
      <w:r w:rsidR="00D77B35">
        <w:t>will</w:t>
      </w:r>
      <w:r w:rsidR="00D77B35" w:rsidRPr="00323D95">
        <w:t xml:space="preserve"> </w:t>
      </w:r>
      <w:r w:rsidRPr="00323D95">
        <w:t xml:space="preserve">also be important to respond to the </w:t>
      </w:r>
      <w:r w:rsidR="00315834">
        <w:t xml:space="preserve">specific requests </w:t>
      </w:r>
      <w:r w:rsidR="00A54886">
        <w:t>made</w:t>
      </w:r>
      <w:r w:rsidRPr="00323D95">
        <w:t xml:space="preserve"> by the Committee (see </w:t>
      </w:r>
      <w:r w:rsidR="00315834" w:rsidRPr="009368AF">
        <w:t xml:space="preserve">the </w:t>
      </w:r>
      <w:r w:rsidRPr="009368AF">
        <w:t>Annex).</w:t>
      </w:r>
      <w:r w:rsidRPr="00323D95">
        <w:t xml:space="preserve"> </w:t>
      </w:r>
      <w:r w:rsidR="00D77B35">
        <w:t>For example, t</w:t>
      </w:r>
      <w:r w:rsidR="006F4731" w:rsidRPr="00323D95">
        <w:t xml:space="preserve">he </w:t>
      </w:r>
      <w:r w:rsidR="006D117B">
        <w:t>w</w:t>
      </w:r>
      <w:r w:rsidR="006F4731" w:rsidRPr="00323D95">
        <w:t xml:space="preserve">orking </w:t>
      </w:r>
      <w:r w:rsidR="006D117B">
        <w:t>g</w:t>
      </w:r>
      <w:r w:rsidR="006F4731" w:rsidRPr="00323D95">
        <w:t xml:space="preserve">roup </w:t>
      </w:r>
      <w:r w:rsidR="003D527D" w:rsidRPr="00323D95">
        <w:t xml:space="preserve">may </w:t>
      </w:r>
      <w:r w:rsidR="00293AD8">
        <w:t>give a specific focus on</w:t>
      </w:r>
      <w:r w:rsidR="00897C36">
        <w:t xml:space="preserve"> </w:t>
      </w:r>
      <w:r w:rsidR="008D1FED">
        <w:t>c</w:t>
      </w:r>
      <w:r w:rsidR="003D527D" w:rsidRPr="00323D95">
        <w:t>riterion R.2 under session 4.b. Similar</w:t>
      </w:r>
      <w:r w:rsidR="00D77B35">
        <w:t>l</w:t>
      </w:r>
      <w:r w:rsidR="003D527D" w:rsidRPr="00323D95">
        <w:t>y</w:t>
      </w:r>
      <w:r w:rsidR="00D77B35">
        <w:t>,</w:t>
      </w:r>
      <w:r w:rsidR="003D527D" w:rsidRPr="00323D95">
        <w:t xml:space="preserve"> </w:t>
      </w:r>
      <w:r w:rsidR="00897C36">
        <w:t xml:space="preserve">the </w:t>
      </w:r>
      <w:r w:rsidR="003D527D" w:rsidRPr="00323D95">
        <w:t>discussion under session 4.c</w:t>
      </w:r>
      <w:r w:rsidR="00315834">
        <w:t xml:space="preserve"> could </w:t>
      </w:r>
      <w:r w:rsidR="008D1FED" w:rsidRPr="00323D95">
        <w:t>consider</w:t>
      </w:r>
      <w:r w:rsidR="00242A76">
        <w:t xml:space="preserve"> in particular</w:t>
      </w:r>
      <w:r w:rsidR="008D1FED" w:rsidRPr="00323D95">
        <w:t xml:space="preserve"> specific procedures for removing or transferring elements from and between Lists</w:t>
      </w:r>
      <w:r w:rsidR="00D74958">
        <w:t>,</w:t>
      </w:r>
      <w:r w:rsidR="008D1FED" w:rsidRPr="00323D95">
        <w:t xml:space="preserve"> while session 4.d may</w:t>
      </w:r>
      <w:r w:rsidR="008D1FED">
        <w:t xml:space="preserve"> </w:t>
      </w:r>
      <w:r w:rsidR="00D74958">
        <w:t>deal with</w:t>
      </w:r>
      <w:r w:rsidR="008D1FED">
        <w:t xml:space="preserve"> </w:t>
      </w:r>
      <w:r w:rsidR="003D527D" w:rsidRPr="00323D95">
        <w:t>the extension of multinational nominations</w:t>
      </w:r>
      <w:r w:rsidR="00BA34EA" w:rsidRPr="00323D95">
        <w:t>.</w:t>
      </w:r>
    </w:p>
    <w:p w14:paraId="359B5AF5" w14:textId="0177D119" w:rsidR="00FB7133" w:rsidRPr="00FB7133" w:rsidRDefault="00450442" w:rsidP="00F60D16">
      <w:pPr>
        <w:pStyle w:val="GAPara"/>
        <w:numPr>
          <w:ilvl w:val="0"/>
          <w:numId w:val="8"/>
        </w:numPr>
        <w:spacing w:before="120"/>
        <w:ind w:left="567" w:hanging="567"/>
        <w:jc w:val="both"/>
        <w:rPr>
          <w:rFonts w:eastAsiaTheme="minorEastAsia"/>
          <w:lang w:val="en-US" w:eastAsia="ko-KR"/>
        </w:rPr>
      </w:pPr>
      <w:r w:rsidRPr="00470B8A">
        <w:rPr>
          <w:rFonts w:eastAsiaTheme="minorEastAsia"/>
          <w:lang w:val="en-US" w:eastAsia="ko-KR"/>
        </w:rPr>
        <w:t xml:space="preserve">The </w:t>
      </w:r>
      <w:r w:rsidR="00C37D50" w:rsidRPr="00F60D16">
        <w:t>Bureau</w:t>
      </w:r>
      <w:r w:rsidRPr="00470B8A">
        <w:rPr>
          <w:rFonts w:eastAsiaTheme="minorEastAsia"/>
          <w:lang w:val="en-US" w:eastAsia="ko-KR"/>
        </w:rPr>
        <w:t xml:space="preserve"> will meet online at least </w:t>
      </w:r>
      <w:r w:rsidRPr="00470B8A">
        <w:rPr>
          <w:rFonts w:eastAsiaTheme="minorEastAsia"/>
          <w:szCs w:val="20"/>
          <w:lang w:val="en-US" w:eastAsia="ko-KR"/>
        </w:rPr>
        <w:t>twice</w:t>
      </w:r>
      <w:r w:rsidRPr="00470B8A">
        <w:rPr>
          <w:rFonts w:eastAsiaTheme="minorEastAsia"/>
          <w:lang w:val="en-US" w:eastAsia="ko-KR"/>
        </w:rPr>
        <w:t xml:space="preserve"> (</w:t>
      </w:r>
      <w:r w:rsidR="00953B5B" w:rsidRPr="00470B8A">
        <w:rPr>
          <w:rFonts w:eastAsiaTheme="minorEastAsia"/>
          <w:lang w:val="en-US" w:eastAsia="ko-KR"/>
        </w:rPr>
        <w:t xml:space="preserve">during </w:t>
      </w:r>
      <w:r w:rsidRPr="00470B8A">
        <w:rPr>
          <w:rFonts w:eastAsiaTheme="minorEastAsia"/>
          <w:lang w:val="en-US" w:eastAsia="ko-KR"/>
        </w:rPr>
        <w:t>the slot</w:t>
      </w:r>
      <w:r w:rsidR="00396F3A" w:rsidRPr="00470B8A">
        <w:rPr>
          <w:rFonts w:eastAsiaTheme="minorEastAsia"/>
          <w:lang w:val="en-US" w:eastAsia="ko-KR"/>
        </w:rPr>
        <w:t>s</w:t>
      </w:r>
      <w:r w:rsidRPr="00470B8A">
        <w:rPr>
          <w:rFonts w:eastAsiaTheme="minorEastAsia"/>
          <w:lang w:val="en-US" w:eastAsia="ko-KR"/>
        </w:rPr>
        <w:t xml:space="preserve"> indicated in the timetable)</w:t>
      </w:r>
      <w:r w:rsidR="00953B5B" w:rsidRPr="00470B8A">
        <w:rPr>
          <w:rFonts w:eastAsiaTheme="minorEastAsia"/>
          <w:lang w:val="en-US" w:eastAsia="ko-KR"/>
        </w:rPr>
        <w:t xml:space="preserve">. </w:t>
      </w:r>
      <w:r w:rsidR="00953B5B" w:rsidRPr="00FB7133">
        <w:rPr>
          <w:rFonts w:eastAsiaTheme="minorEastAsia"/>
          <w:lang w:val="en-US" w:eastAsia="ko-KR"/>
        </w:rPr>
        <w:t>They</w:t>
      </w:r>
      <w:r w:rsidRPr="00FB7133">
        <w:rPr>
          <w:rFonts w:eastAsiaTheme="minorEastAsia"/>
          <w:lang w:val="en-US" w:eastAsia="ko-KR"/>
        </w:rPr>
        <w:t xml:space="preserve"> will also exchange by electronic means</w:t>
      </w:r>
      <w:r w:rsidR="008F181D" w:rsidRPr="00FB7133">
        <w:rPr>
          <w:rFonts w:eastAsiaTheme="minorEastAsia"/>
          <w:lang w:val="en-US" w:eastAsia="ko-KR"/>
        </w:rPr>
        <w:t>,</w:t>
      </w:r>
      <w:r w:rsidRPr="00FB7133">
        <w:rPr>
          <w:rFonts w:eastAsiaTheme="minorEastAsia"/>
          <w:lang w:val="en-US" w:eastAsia="ko-KR"/>
        </w:rPr>
        <w:t xml:space="preserve"> </w:t>
      </w:r>
      <w:r w:rsidR="008F181D" w:rsidRPr="00FB7133">
        <w:rPr>
          <w:rFonts w:eastAsiaTheme="minorEastAsia"/>
          <w:lang w:val="en-US" w:eastAsia="ko-KR"/>
        </w:rPr>
        <w:t xml:space="preserve">if necessary, </w:t>
      </w:r>
      <w:r w:rsidRPr="00FB7133">
        <w:rPr>
          <w:rFonts w:eastAsiaTheme="minorEastAsia"/>
          <w:lang w:val="en-US" w:eastAsia="ko-KR"/>
        </w:rPr>
        <w:t xml:space="preserve">in order to prepare </w:t>
      </w:r>
      <w:r w:rsidR="00953B5B" w:rsidRPr="00FB7133">
        <w:rPr>
          <w:rFonts w:eastAsiaTheme="minorEastAsia"/>
          <w:lang w:val="en-US" w:eastAsia="ko-KR"/>
        </w:rPr>
        <w:t xml:space="preserve">a </w:t>
      </w:r>
      <w:r w:rsidRPr="00FB7133">
        <w:rPr>
          <w:rFonts w:eastAsiaTheme="minorEastAsia"/>
          <w:lang w:val="en-US" w:eastAsia="ko-KR"/>
        </w:rPr>
        <w:t>draft</w:t>
      </w:r>
      <w:r w:rsidR="00953B5B" w:rsidRPr="00FB7133">
        <w:rPr>
          <w:rFonts w:eastAsiaTheme="minorEastAsia"/>
          <w:lang w:val="en-US" w:eastAsia="ko-KR"/>
        </w:rPr>
        <w:t xml:space="preserve"> of the</w:t>
      </w:r>
      <w:r w:rsidR="00FB7133" w:rsidRPr="00FB7133">
        <w:rPr>
          <w:rFonts w:eastAsiaTheme="minorEastAsia"/>
          <w:lang w:val="en-US" w:eastAsia="ko-KR"/>
        </w:rPr>
        <w:t xml:space="preserve"> </w:t>
      </w:r>
      <w:r w:rsidR="001B5744" w:rsidRPr="00FB7133">
        <w:rPr>
          <w:rFonts w:eastAsiaTheme="minorEastAsia"/>
          <w:lang w:val="en-US" w:eastAsia="ko-KR"/>
        </w:rPr>
        <w:t>recommendations</w:t>
      </w:r>
      <w:r w:rsidRPr="00FB7133">
        <w:rPr>
          <w:rFonts w:eastAsiaTheme="minorEastAsia"/>
          <w:lang w:val="en-US" w:eastAsia="ko-KR"/>
        </w:rPr>
        <w:t xml:space="preserve"> of the </w:t>
      </w:r>
      <w:r w:rsidR="00A62167" w:rsidRPr="00FB7133">
        <w:rPr>
          <w:rFonts w:eastAsiaTheme="minorEastAsia"/>
          <w:lang w:val="en-US" w:eastAsia="ko-KR"/>
        </w:rPr>
        <w:t xml:space="preserve">Part I of the </w:t>
      </w:r>
      <w:r w:rsidRPr="00FB7133">
        <w:rPr>
          <w:rFonts w:eastAsiaTheme="minorEastAsia"/>
          <w:lang w:val="en-US" w:eastAsia="ko-KR"/>
        </w:rPr>
        <w:t>working group</w:t>
      </w:r>
      <w:r w:rsidR="00A62167" w:rsidRPr="00FB7133">
        <w:rPr>
          <w:rFonts w:eastAsiaTheme="minorEastAsia"/>
          <w:lang w:val="en-US" w:eastAsia="ko-KR"/>
        </w:rPr>
        <w:t xml:space="preserve"> meeting</w:t>
      </w:r>
      <w:r w:rsidRPr="00FB7133">
        <w:rPr>
          <w:rFonts w:eastAsiaTheme="minorEastAsia"/>
          <w:lang w:val="en-US" w:eastAsia="ko-KR"/>
        </w:rPr>
        <w:t>.</w:t>
      </w:r>
      <w:r w:rsidR="00D67886" w:rsidRPr="00FB7133">
        <w:rPr>
          <w:rFonts w:eastAsiaTheme="minorEastAsia"/>
          <w:lang w:val="en-US" w:eastAsia="ko-KR"/>
        </w:rPr>
        <w:t xml:space="preserve"> </w:t>
      </w:r>
      <w:r w:rsidR="0041232F" w:rsidRPr="00FB7133">
        <w:rPr>
          <w:rFonts w:eastAsiaTheme="minorEastAsia"/>
          <w:lang w:val="en-US" w:eastAsia="ko-KR"/>
        </w:rPr>
        <w:t>T</w:t>
      </w:r>
      <w:r w:rsidR="00D67886" w:rsidRPr="00FB7133">
        <w:rPr>
          <w:rFonts w:eastAsiaTheme="minorEastAsia"/>
          <w:lang w:val="en-US" w:eastAsia="ko-KR"/>
        </w:rPr>
        <w:t>he plan is to distribute</w:t>
      </w:r>
      <w:r w:rsidR="009748D2" w:rsidRPr="00FB7133">
        <w:rPr>
          <w:rFonts w:eastAsiaTheme="minorEastAsia"/>
          <w:lang w:val="en-US" w:eastAsia="ko-KR"/>
        </w:rPr>
        <w:t xml:space="preserve"> </w:t>
      </w:r>
      <w:r w:rsidR="00D250D5" w:rsidRPr="00FB7133">
        <w:rPr>
          <w:rFonts w:eastAsiaTheme="minorEastAsia"/>
          <w:lang w:val="en-US" w:eastAsia="ko-KR"/>
        </w:rPr>
        <w:t xml:space="preserve">the draft </w:t>
      </w:r>
      <w:r w:rsidR="0041232F" w:rsidRPr="00FB7133">
        <w:rPr>
          <w:rFonts w:eastAsiaTheme="minorEastAsia"/>
          <w:lang w:val="en-US" w:eastAsia="ko-KR"/>
        </w:rPr>
        <w:t>to</w:t>
      </w:r>
      <w:r w:rsidR="00D250D5" w:rsidRPr="00FB7133">
        <w:rPr>
          <w:rFonts w:eastAsiaTheme="minorEastAsia"/>
          <w:lang w:val="en-US" w:eastAsia="ko-KR"/>
        </w:rPr>
        <w:t xml:space="preserve"> delegates </w:t>
      </w:r>
      <w:r w:rsidR="008F181D" w:rsidRPr="00FB7133">
        <w:rPr>
          <w:rFonts w:eastAsiaTheme="minorEastAsia"/>
          <w:lang w:val="en-US" w:eastAsia="ko-KR"/>
        </w:rPr>
        <w:t>before the third session on the second day.</w:t>
      </w:r>
      <w:bookmarkEnd w:id="0"/>
    </w:p>
    <w:p w14:paraId="478388F0" w14:textId="391A00BE" w:rsidR="00A37C85" w:rsidRPr="00323D95" w:rsidRDefault="00E11FC4" w:rsidP="00C62AC0">
      <w:pPr>
        <w:pStyle w:val="Sansinterligne2"/>
        <w:spacing w:after="240"/>
        <w:rPr>
          <w:rFonts w:ascii="Arial" w:hAnsi="Arial" w:cs="Arial"/>
          <w:b/>
          <w:sz w:val="22"/>
          <w:szCs w:val="22"/>
          <w:lang w:val="en-GB"/>
        </w:rPr>
      </w:pPr>
      <w:r w:rsidRPr="00323D95">
        <w:rPr>
          <w:rFonts w:ascii="Arial" w:hAnsi="Arial" w:cs="Arial"/>
          <w:b/>
          <w:snapToGrid w:val="0"/>
          <w:szCs w:val="22"/>
          <w:lang w:val="en-GB" w:eastAsia="en-US"/>
        </w:rPr>
        <w:lastRenderedPageBreak/>
        <w:t>Annex:</w:t>
      </w:r>
      <w:r w:rsidR="00A37C85" w:rsidRPr="00323D95">
        <w:rPr>
          <w:b/>
          <w:lang w:val="en-GB"/>
        </w:rPr>
        <w:t xml:space="preserve"> </w:t>
      </w:r>
      <w:bookmarkStart w:id="2" w:name="_Hlk61946577"/>
      <w:r w:rsidR="00A37C85" w:rsidRPr="00323D95">
        <w:rPr>
          <w:rFonts w:ascii="Arial" w:hAnsi="Arial" w:cs="Arial"/>
          <w:b/>
          <w:sz w:val="22"/>
          <w:szCs w:val="22"/>
          <w:lang w:val="en-GB"/>
        </w:rPr>
        <w:t>Relevant decisions of the Governing Bodies of the Convention by category</w:t>
      </w:r>
    </w:p>
    <w:tbl>
      <w:tblPr>
        <w:tblStyle w:val="Grilledutableau"/>
        <w:tblW w:w="0" w:type="auto"/>
        <w:tblLook w:val="04A0" w:firstRow="1" w:lastRow="0" w:firstColumn="1" w:lastColumn="0" w:noHBand="0" w:noVBand="1"/>
      </w:tblPr>
      <w:tblGrid>
        <w:gridCol w:w="9062"/>
      </w:tblGrid>
      <w:tr w:rsidR="00A37C85" w:rsidRPr="00323D95" w14:paraId="72AEC809" w14:textId="77777777" w:rsidTr="00172FFD">
        <w:tc>
          <w:tcPr>
            <w:tcW w:w="9062" w:type="dxa"/>
            <w:shd w:val="clear" w:color="auto" w:fill="B6DDE8" w:themeFill="accent5" w:themeFillTint="66"/>
          </w:tcPr>
          <w:bookmarkEnd w:id="2"/>
          <w:p w14:paraId="1C292CF7" w14:textId="068D9E62" w:rsidR="00A37C85" w:rsidRPr="00323D95" w:rsidRDefault="00A37C85" w:rsidP="00A37C85">
            <w:pPr>
              <w:pStyle w:val="COMPara"/>
              <w:numPr>
                <w:ilvl w:val="0"/>
                <w:numId w:val="27"/>
              </w:numPr>
              <w:spacing w:before="120"/>
              <w:jc w:val="both"/>
              <w:rPr>
                <w:b/>
                <w:bCs/>
                <w:i/>
                <w:iCs/>
                <w:u w:val="single"/>
              </w:rPr>
            </w:pPr>
            <w:r w:rsidRPr="00323D95">
              <w:t>Overall approach to the listing mechanisms</w:t>
            </w:r>
          </w:p>
        </w:tc>
      </w:tr>
      <w:tr w:rsidR="00A37C85" w:rsidRPr="00323D95" w14:paraId="27CF2167" w14:textId="77777777" w:rsidTr="00172FFD">
        <w:tc>
          <w:tcPr>
            <w:tcW w:w="9062" w:type="dxa"/>
            <w:shd w:val="clear" w:color="auto" w:fill="auto"/>
          </w:tcPr>
          <w:p w14:paraId="18337AAD" w14:textId="1780BBDA" w:rsidR="009A235B" w:rsidRDefault="009A235B" w:rsidP="000933A8">
            <w:pPr>
              <w:shd w:val="clear" w:color="auto" w:fill="FFFFFF" w:themeFill="background1"/>
              <w:spacing w:before="240"/>
              <w:rPr>
                <w:rFonts w:ascii="Arial" w:hAnsi="Arial" w:cs="Arial"/>
                <w:b/>
                <w:bCs/>
                <w:i/>
                <w:iCs/>
              </w:rPr>
            </w:pPr>
            <w:r w:rsidRPr="00584908">
              <w:rPr>
                <w:rFonts w:ascii="Arial" w:hAnsi="Arial" w:cs="Arial"/>
                <w:b/>
                <w:bCs/>
                <w:i/>
                <w:iCs/>
                <w:u w:val="single"/>
              </w:rPr>
              <w:t>Nature and purposes of the Lists</w:t>
            </w:r>
          </w:p>
          <w:p w14:paraId="363CE5F9" w14:textId="01C9078E" w:rsidR="00A37C85" w:rsidRPr="00323D95" w:rsidRDefault="00A37C85" w:rsidP="000933A8">
            <w:pPr>
              <w:shd w:val="clear" w:color="auto" w:fill="FFFFFF" w:themeFill="background1"/>
              <w:spacing w:before="240"/>
              <w:rPr>
                <w:rFonts w:ascii="Arial" w:hAnsi="Arial" w:cs="Arial"/>
                <w:b/>
                <w:bCs/>
                <w:i/>
                <w:iCs/>
              </w:rPr>
            </w:pPr>
            <w:r w:rsidRPr="00323D95">
              <w:rPr>
                <w:rFonts w:ascii="Arial" w:hAnsi="Arial" w:cs="Arial"/>
                <w:b/>
                <w:bCs/>
                <w:i/>
                <w:iCs/>
              </w:rPr>
              <w:t>Decision 13.COM 10 (Para 10)</w:t>
            </w:r>
          </w:p>
          <w:p w14:paraId="594F6017" w14:textId="77777777" w:rsidR="00A37C85" w:rsidRPr="00323D95" w:rsidRDefault="00A37C85" w:rsidP="000933A8">
            <w:pPr>
              <w:shd w:val="clear" w:color="auto" w:fill="FFFFFF" w:themeFill="background1"/>
              <w:spacing w:before="100" w:beforeAutospacing="1" w:after="75"/>
              <w:jc w:val="both"/>
              <w:rPr>
                <w:rFonts w:ascii="Arial" w:hAnsi="Arial" w:cs="Arial"/>
              </w:rPr>
            </w:pPr>
            <w:r w:rsidRPr="00323D95">
              <w:rPr>
                <w:rFonts w:ascii="Arial" w:hAnsi="Arial" w:cs="Arial"/>
                <w:u w:val="single"/>
              </w:rPr>
              <w:t>Recalls</w:t>
            </w:r>
            <w:r w:rsidRPr="00323D95">
              <w:rPr>
                <w:rFonts w:ascii="Arial" w:hAnsi="Arial" w:cs="Arial"/>
              </w:rPr>
              <w:t xml:space="preserve"> Decisions </w:t>
            </w:r>
            <w:hyperlink r:id="rId33" w:history="1">
              <w:r w:rsidRPr="00323D95">
                <w:rPr>
                  <w:rStyle w:val="Lienhypertexte"/>
                  <w:rFonts w:ascii="Arial" w:hAnsi="Arial" w:cs="Arial"/>
                </w:rPr>
                <w:t>12.COM 11</w:t>
              </w:r>
            </w:hyperlink>
            <w:r w:rsidRPr="00323D95">
              <w:rPr>
                <w:rFonts w:ascii="Arial" w:hAnsi="Arial" w:cs="Arial"/>
              </w:rPr>
              <w:t xml:space="preserve"> and </w:t>
            </w:r>
            <w:hyperlink r:id="rId34" w:history="1">
              <w:r w:rsidRPr="00323D95">
                <w:rPr>
                  <w:rStyle w:val="Lienhypertexte"/>
                  <w:rFonts w:ascii="Arial" w:hAnsi="Arial" w:cs="Arial"/>
                </w:rPr>
                <w:t>12.COM 14</w:t>
              </w:r>
            </w:hyperlink>
            <w:r w:rsidRPr="00323D95">
              <w:rPr>
                <w:rFonts w:ascii="Arial" w:hAnsi="Arial" w:cs="Arial"/>
              </w:rPr>
              <w:t xml:space="preserve"> and </w:t>
            </w:r>
            <w:r w:rsidRPr="00323D95">
              <w:rPr>
                <w:rFonts w:ascii="Arial" w:hAnsi="Arial" w:cs="Arial"/>
                <w:u w:val="single"/>
              </w:rPr>
              <w:t>welcomes</w:t>
            </w:r>
            <w:r w:rsidRPr="00323D95">
              <w:rPr>
                <w:rFonts w:ascii="Arial" w:hAnsi="Arial" w:cs="Arial"/>
              </w:rPr>
              <w:t xml:space="preserve"> in this regard, the generous voluntary supplementary contribution of the Government of Japan to the Intangible Cultural Fund to organize a preliminary meeting of experts and support the convening of an open-ended intergovernmental working group; these two meetings would be called to reflect on, </w:t>
            </w:r>
            <w:r w:rsidRPr="00323D95">
              <w:rPr>
                <w:rFonts w:ascii="Arial" w:hAnsi="Arial" w:cs="Arial"/>
                <w:i/>
                <w:iCs/>
              </w:rPr>
              <w:t>inter alia</w:t>
            </w:r>
            <w:r w:rsidRPr="00323D95">
              <w:rPr>
                <w:rFonts w:ascii="Arial" w:hAnsi="Arial" w:cs="Arial"/>
              </w:rPr>
              <w:t>, the nature and purposes of the Lists and the Register established under the Convention and on the relevance of the various criteria for each of these mechanisms, in particular criterion R.2 in relation to the nature and purpose of the Representative List of the Intangible Cultural Heritage of Humanity;</w:t>
            </w:r>
          </w:p>
          <w:p w14:paraId="55263C01" w14:textId="77777777" w:rsidR="00A37C85" w:rsidRPr="00323D95" w:rsidRDefault="00A37C85" w:rsidP="000933A8">
            <w:pPr>
              <w:shd w:val="clear" w:color="auto" w:fill="FFFFFF" w:themeFill="background1"/>
              <w:spacing w:before="240"/>
              <w:jc w:val="both"/>
              <w:rPr>
                <w:rFonts w:ascii="Arial" w:hAnsi="Arial" w:cs="Arial"/>
                <w:b/>
                <w:bCs/>
                <w:i/>
                <w:iCs/>
              </w:rPr>
            </w:pPr>
            <w:r w:rsidRPr="00323D95">
              <w:rPr>
                <w:rFonts w:ascii="Arial" w:hAnsi="Arial" w:cs="Arial"/>
                <w:b/>
                <w:bCs/>
                <w:i/>
                <w:iCs/>
              </w:rPr>
              <w:t>Decision 12.COM 14 (Paras 8 and 11)</w:t>
            </w:r>
          </w:p>
          <w:p w14:paraId="36D8D08D" w14:textId="77777777" w:rsidR="00A37C85" w:rsidRPr="00323D95" w:rsidRDefault="00A37C85" w:rsidP="000933A8">
            <w:pPr>
              <w:shd w:val="clear" w:color="auto" w:fill="FFFFFF" w:themeFill="background1"/>
              <w:spacing w:before="100" w:beforeAutospacing="1" w:after="75"/>
              <w:jc w:val="both"/>
              <w:rPr>
                <w:rFonts w:ascii="Arial" w:hAnsi="Arial" w:cs="Arial"/>
              </w:rPr>
            </w:pPr>
            <w:r w:rsidRPr="00323D95">
              <w:rPr>
                <w:rFonts w:ascii="Arial" w:hAnsi="Arial" w:cs="Arial"/>
                <w:u w:val="single"/>
              </w:rPr>
              <w:t>Acknowledges</w:t>
            </w:r>
            <w:r w:rsidRPr="00323D95">
              <w:rPr>
                <w:rFonts w:ascii="Arial" w:hAnsi="Arial" w:cs="Arial"/>
              </w:rPr>
              <w:t xml:space="preserve">, on the basis of its debate at the twelfth session, that the issue of the transfer of an element from one List to the other and the removal of an element from a List raises fundamental questions linked to the </w:t>
            </w:r>
            <w:bookmarkStart w:id="3" w:name="_Hlk61883455"/>
            <w:r w:rsidRPr="00323D95">
              <w:rPr>
                <w:rFonts w:ascii="Arial" w:hAnsi="Arial" w:cs="Arial"/>
              </w:rPr>
              <w:t>intent</w:t>
            </w:r>
            <w:bookmarkEnd w:id="3"/>
            <w:r w:rsidRPr="00323D95">
              <w:rPr>
                <w:rFonts w:ascii="Arial" w:hAnsi="Arial" w:cs="Arial"/>
              </w:rPr>
              <w:t xml:space="preserve"> and purpose of the Convention and its listing mechanisms;</w:t>
            </w:r>
          </w:p>
          <w:p w14:paraId="36C57110" w14:textId="77777777" w:rsidR="00A37C85" w:rsidRPr="00323D95" w:rsidRDefault="00A37C85" w:rsidP="000933A8">
            <w:pPr>
              <w:shd w:val="clear" w:color="auto" w:fill="FFFFFF" w:themeFill="background1"/>
              <w:spacing w:before="100" w:beforeAutospacing="1" w:after="75"/>
              <w:jc w:val="both"/>
              <w:rPr>
                <w:rFonts w:ascii="Arial" w:hAnsi="Arial" w:cs="Arial"/>
              </w:rPr>
            </w:pPr>
            <w:r w:rsidRPr="00323D95">
              <w:rPr>
                <w:rFonts w:ascii="Arial" w:hAnsi="Arial" w:cs="Arial"/>
                <w:u w:val="single"/>
              </w:rPr>
              <w:t>Decides</w:t>
            </w:r>
            <w:r w:rsidRPr="00323D95">
              <w:rPr>
                <w:rFonts w:ascii="Arial" w:hAnsi="Arial" w:cs="Arial"/>
              </w:rPr>
              <w:t xml:space="preserve"> to convene an open-ended intergovernmental working group, to be held before the fourteenth session of the Committee in 2019, to reflect </w:t>
            </w:r>
            <w:r w:rsidRPr="00323D95">
              <w:rPr>
                <w:rFonts w:ascii="Arial" w:hAnsi="Arial" w:cs="Arial"/>
                <w:i/>
                <w:iCs/>
              </w:rPr>
              <w:t>inter alia</w:t>
            </w:r>
            <w:r w:rsidRPr="00323D95">
              <w:rPr>
                <w:rFonts w:ascii="Arial" w:hAnsi="Arial" w:cs="Arial"/>
              </w:rPr>
              <w:t xml:space="preserve"> on the procedures for the removal of an element from a List and the transfer from one List to the other, on the nature and purposes of the Lists and the Register established under the Convention and on the relevance of the various criteria for each of these mechanisms; this meeting would be organized on the condition that voluntary supplementary contributions to the Intangible Cultural Heritage Fund are received in due course, and in any case not later than January 2019, in order to cover all of the costs of organizing the meeting and the costs of the participation of representatives of developing countries that are Parties to the Convention, whether or not they are members of the Committee, but only for persons who are experts in intangible cultural heritage;</w:t>
            </w:r>
          </w:p>
          <w:p w14:paraId="4F8F435C" w14:textId="77777777" w:rsidR="00A37C85" w:rsidRPr="00323D95" w:rsidRDefault="00A37C85" w:rsidP="000933A8">
            <w:pPr>
              <w:shd w:val="clear" w:color="auto" w:fill="FFFFFF" w:themeFill="background1"/>
              <w:spacing w:before="240"/>
              <w:rPr>
                <w:rFonts w:ascii="Arial" w:hAnsi="Arial" w:cs="Arial"/>
                <w:b/>
                <w:bCs/>
                <w:i/>
                <w:iCs/>
                <w:u w:val="single"/>
              </w:rPr>
            </w:pPr>
            <w:r w:rsidRPr="00323D95">
              <w:rPr>
                <w:rFonts w:ascii="Arial" w:hAnsi="Arial" w:cs="Arial"/>
                <w:b/>
                <w:bCs/>
                <w:i/>
                <w:iCs/>
                <w:u w:val="single"/>
              </w:rPr>
              <w:t>Lighter ways of sharing safeguarding measures</w:t>
            </w:r>
          </w:p>
          <w:p w14:paraId="46180460" w14:textId="77777777" w:rsidR="00A37C85" w:rsidRPr="00323D95" w:rsidRDefault="00A37C85" w:rsidP="000933A8">
            <w:pPr>
              <w:shd w:val="clear" w:color="auto" w:fill="FFFFFF" w:themeFill="background1"/>
              <w:spacing w:before="120"/>
              <w:jc w:val="both"/>
              <w:rPr>
                <w:rFonts w:ascii="Arial" w:hAnsi="Arial" w:cs="Arial"/>
                <w:b/>
                <w:bCs/>
                <w:i/>
                <w:iCs/>
              </w:rPr>
            </w:pPr>
            <w:r w:rsidRPr="00323D95">
              <w:rPr>
                <w:rFonts w:ascii="Arial" w:hAnsi="Arial" w:cs="Arial"/>
                <w:b/>
                <w:bCs/>
                <w:i/>
                <w:iCs/>
              </w:rPr>
              <w:t>Decision 14.COM 5.b (Para 6)</w:t>
            </w:r>
          </w:p>
          <w:p w14:paraId="226CBC8E" w14:textId="77777777" w:rsidR="00A37C85" w:rsidRPr="00323D95" w:rsidRDefault="00A37C85" w:rsidP="000933A8">
            <w:pPr>
              <w:shd w:val="clear" w:color="auto" w:fill="FFFFFF" w:themeFill="background1"/>
              <w:spacing w:before="100" w:beforeAutospacing="1" w:after="75"/>
              <w:jc w:val="both"/>
              <w:rPr>
                <w:rFonts w:asciiTheme="minorBidi" w:hAnsiTheme="minorBidi"/>
              </w:rPr>
            </w:pPr>
            <w:r w:rsidRPr="00323D95">
              <w:rPr>
                <w:rFonts w:asciiTheme="minorBidi" w:hAnsiTheme="minorBidi"/>
                <w:u w:val="single"/>
              </w:rPr>
              <w:t>Welcomes</w:t>
            </w:r>
            <w:r w:rsidRPr="00323D95">
              <w:rPr>
                <w:rFonts w:asciiTheme="minorBidi" w:hAnsiTheme="minorBidi"/>
              </w:rPr>
              <w:t xml:space="preserve"> the results of the survey on alternative and lighter ways of sharing intangible cultural heritage safeguarding experiences and </w:t>
            </w:r>
            <w:r w:rsidRPr="00C255F2">
              <w:rPr>
                <w:rFonts w:asciiTheme="minorBidi" w:hAnsiTheme="minorBidi"/>
                <w:u w:val="single"/>
              </w:rPr>
              <w:t>decides</w:t>
            </w:r>
            <w:r w:rsidRPr="00323D95">
              <w:rPr>
                <w:rFonts w:asciiTheme="minorBidi" w:hAnsiTheme="minorBidi"/>
              </w:rPr>
              <w:t xml:space="preserve"> to take these results into consideration in the ongoing global reflection on the listing mechanisms established under the Convention;</w:t>
            </w:r>
          </w:p>
          <w:p w14:paraId="408A59B8" w14:textId="77777777" w:rsidR="00A37C85" w:rsidRPr="00323D95" w:rsidRDefault="00A37C85" w:rsidP="000933A8">
            <w:pPr>
              <w:keepNext/>
              <w:shd w:val="clear" w:color="auto" w:fill="FFFFFF" w:themeFill="background1"/>
              <w:spacing w:before="240"/>
              <w:rPr>
                <w:rFonts w:ascii="Arial" w:hAnsi="Arial" w:cs="Arial"/>
                <w:b/>
                <w:bCs/>
                <w:i/>
                <w:iCs/>
                <w:u w:val="single"/>
              </w:rPr>
            </w:pPr>
            <w:r w:rsidRPr="00323D95">
              <w:rPr>
                <w:rFonts w:ascii="Arial" w:hAnsi="Arial" w:cs="Arial"/>
                <w:b/>
                <w:bCs/>
                <w:i/>
                <w:iCs/>
                <w:u w:val="single"/>
              </w:rPr>
              <w:t>Agenda 2030 and Sustainable Development</w:t>
            </w:r>
          </w:p>
          <w:p w14:paraId="16A0C249" w14:textId="77777777" w:rsidR="00A37C85" w:rsidRPr="00323D95" w:rsidRDefault="00A37C85" w:rsidP="000933A8">
            <w:pPr>
              <w:keepNext/>
              <w:shd w:val="clear" w:color="auto" w:fill="FFFFFF" w:themeFill="background1"/>
              <w:spacing w:before="120"/>
              <w:jc w:val="both"/>
              <w:rPr>
                <w:rFonts w:ascii="Arial" w:hAnsi="Arial" w:cs="Arial"/>
                <w:b/>
                <w:bCs/>
                <w:i/>
                <w:iCs/>
              </w:rPr>
            </w:pPr>
            <w:r w:rsidRPr="00323D95">
              <w:rPr>
                <w:rFonts w:ascii="Arial" w:hAnsi="Arial" w:cs="Arial"/>
                <w:b/>
                <w:bCs/>
                <w:i/>
                <w:iCs/>
              </w:rPr>
              <w:t>Decision 15.COM 8 (Para 9)</w:t>
            </w:r>
          </w:p>
          <w:p w14:paraId="304A2736" w14:textId="77777777" w:rsidR="00A37C85" w:rsidRPr="00323D95" w:rsidRDefault="00A37C85" w:rsidP="000933A8">
            <w:pPr>
              <w:shd w:val="clear" w:color="auto" w:fill="FFFFFF" w:themeFill="background1"/>
              <w:jc w:val="both"/>
              <w:rPr>
                <w:rFonts w:ascii="Arial" w:hAnsi="Arial" w:cs="Arial"/>
              </w:rPr>
            </w:pPr>
            <w:r w:rsidRPr="00323D95">
              <w:rPr>
                <w:rFonts w:ascii="Arial" w:hAnsi="Arial" w:cs="Arial"/>
                <w:u w:val="single"/>
              </w:rPr>
              <w:t>Welcomes</w:t>
            </w:r>
            <w:r w:rsidRPr="00323D95">
              <w:rPr>
                <w:rFonts w:ascii="Arial" w:hAnsi="Arial" w:cs="Arial"/>
              </w:rPr>
              <w:t xml:space="preserve"> the increased number of elements highlighting the links between intangible cultural heritage and environmental sustainability, </w:t>
            </w:r>
            <w:r w:rsidRPr="00323D95">
              <w:rPr>
                <w:rFonts w:ascii="Arial" w:hAnsi="Arial" w:cs="Arial"/>
                <w:u w:val="single"/>
              </w:rPr>
              <w:t>further underlines</w:t>
            </w:r>
            <w:r w:rsidRPr="00323D95">
              <w:rPr>
                <w:rFonts w:ascii="Arial" w:hAnsi="Arial" w:cs="Arial"/>
              </w:rPr>
              <w:t xml:space="preserve"> the importance of including more systematically the contributions of the elements to sustainability according to the Agenda 2030 and its Sustainable Development Goals in the nomination files and </w:t>
            </w:r>
            <w:r w:rsidRPr="00323D95">
              <w:rPr>
                <w:rFonts w:ascii="Arial" w:hAnsi="Arial" w:cs="Arial"/>
                <w:u w:val="single"/>
              </w:rPr>
              <w:t>requests</w:t>
            </w:r>
            <w:r w:rsidRPr="00323D95">
              <w:rPr>
                <w:rFonts w:ascii="Arial" w:hAnsi="Arial" w:cs="Arial"/>
              </w:rPr>
              <w:t xml:space="preserve"> the Secretariat to conduct a reflection on this subject in the framework of the global reflection on the listing mechanisms and to present it to the Committee for consideration at its sixteenth session;</w:t>
            </w:r>
          </w:p>
        </w:tc>
      </w:tr>
      <w:tr w:rsidR="00A37C85" w:rsidRPr="00323D95" w14:paraId="71E69285" w14:textId="77777777" w:rsidTr="00172FFD">
        <w:tc>
          <w:tcPr>
            <w:tcW w:w="9062" w:type="dxa"/>
            <w:shd w:val="clear" w:color="auto" w:fill="FBD4B4" w:themeFill="accent6" w:themeFillTint="66"/>
          </w:tcPr>
          <w:p w14:paraId="50413DA4" w14:textId="77777777" w:rsidR="00A37C85" w:rsidRPr="00323D95" w:rsidRDefault="00A37C85" w:rsidP="00741B75">
            <w:pPr>
              <w:pStyle w:val="COMPara"/>
              <w:keepNext/>
              <w:numPr>
                <w:ilvl w:val="0"/>
                <w:numId w:val="27"/>
              </w:numPr>
              <w:spacing w:before="120"/>
              <w:jc w:val="both"/>
              <w:rPr>
                <w:b/>
                <w:bCs/>
                <w:i/>
                <w:iCs/>
                <w:u w:val="single"/>
              </w:rPr>
            </w:pPr>
            <w:r w:rsidRPr="00323D95">
              <w:lastRenderedPageBreak/>
              <w:t>Issues related to the criteria of inscription</w:t>
            </w:r>
          </w:p>
        </w:tc>
      </w:tr>
      <w:tr w:rsidR="00A37C85" w:rsidRPr="00323D95" w14:paraId="5BCA47D4" w14:textId="77777777" w:rsidTr="00172FFD">
        <w:tc>
          <w:tcPr>
            <w:tcW w:w="9062" w:type="dxa"/>
            <w:shd w:val="clear" w:color="auto" w:fill="auto"/>
          </w:tcPr>
          <w:p w14:paraId="4C7FAD79" w14:textId="22156FAA" w:rsidR="00B66515" w:rsidRPr="00584908" w:rsidRDefault="00B66515" w:rsidP="002E79D3">
            <w:pPr>
              <w:spacing w:before="240"/>
              <w:rPr>
                <w:rFonts w:ascii="Arial" w:hAnsi="Arial" w:cs="Arial"/>
                <w:b/>
                <w:bCs/>
                <w:i/>
                <w:iCs/>
                <w:u w:val="single"/>
                <w:lang w:val="es-ES"/>
              </w:rPr>
            </w:pPr>
            <w:r w:rsidRPr="00584908">
              <w:rPr>
                <w:rFonts w:ascii="Arial" w:hAnsi="Arial" w:cs="Arial"/>
                <w:b/>
                <w:bCs/>
                <w:i/>
                <w:iCs/>
                <w:u w:val="single"/>
                <w:lang w:val="es-ES"/>
              </w:rPr>
              <w:t>Criterion R.2</w:t>
            </w:r>
          </w:p>
          <w:p w14:paraId="358FDF45" w14:textId="221CF8C0" w:rsidR="00A37C85" w:rsidRPr="002E79D3" w:rsidRDefault="00A37C85" w:rsidP="00741B75">
            <w:pPr>
              <w:keepNext/>
              <w:spacing w:before="120"/>
              <w:jc w:val="both"/>
              <w:rPr>
                <w:rFonts w:ascii="Arial" w:hAnsi="Arial" w:cs="Arial"/>
                <w:b/>
                <w:bCs/>
                <w:i/>
                <w:iCs/>
                <w:lang w:val="es-ES"/>
              </w:rPr>
            </w:pPr>
            <w:r w:rsidRPr="002E79D3">
              <w:rPr>
                <w:rFonts w:ascii="Arial" w:hAnsi="Arial" w:cs="Arial"/>
                <w:b/>
                <w:bCs/>
                <w:i/>
                <w:iCs/>
                <w:lang w:val="es-ES"/>
              </w:rPr>
              <w:t>Decision 14.COM 14 (Para 12)</w:t>
            </w:r>
          </w:p>
          <w:p w14:paraId="6B7523B8" w14:textId="77777777" w:rsidR="00A37C85" w:rsidRPr="00323D95" w:rsidRDefault="00A37C85" w:rsidP="00741B75">
            <w:pPr>
              <w:keepNext/>
              <w:spacing w:before="100" w:beforeAutospacing="1" w:after="75"/>
              <w:jc w:val="both"/>
              <w:rPr>
                <w:rFonts w:ascii="Arial" w:hAnsi="Arial" w:cs="Arial"/>
              </w:rPr>
            </w:pPr>
            <w:r w:rsidRPr="00323D95">
              <w:rPr>
                <w:rFonts w:ascii="Arial" w:hAnsi="Arial" w:cs="Arial"/>
                <w:u w:val="single"/>
              </w:rPr>
              <w:t>Also emphasizes</w:t>
            </w:r>
            <w:r w:rsidRPr="00323D95">
              <w:rPr>
                <w:rFonts w:ascii="Arial" w:hAnsi="Arial" w:cs="Arial"/>
              </w:rPr>
              <w:t xml:space="preserve"> the need to examine possible revisions to criterion R.2, taking into account the recurring challenges encountered by communities, States Parties and the Evaluation Body with this criterion;</w:t>
            </w:r>
          </w:p>
          <w:p w14:paraId="72DB3DCB" w14:textId="77777777" w:rsidR="00A37C85" w:rsidRPr="00323D95" w:rsidRDefault="00A37C85" w:rsidP="00B42541">
            <w:pPr>
              <w:spacing w:before="240"/>
              <w:jc w:val="both"/>
              <w:rPr>
                <w:rFonts w:ascii="Arial" w:hAnsi="Arial" w:cs="Arial"/>
                <w:b/>
                <w:bCs/>
                <w:i/>
                <w:iCs/>
              </w:rPr>
            </w:pPr>
            <w:bookmarkStart w:id="4" w:name="_Hlk73451445"/>
            <w:r w:rsidRPr="00323D95">
              <w:rPr>
                <w:rFonts w:ascii="Arial" w:hAnsi="Arial" w:cs="Arial"/>
                <w:b/>
                <w:bCs/>
                <w:i/>
                <w:iCs/>
              </w:rPr>
              <w:t>Decision 14.COM 10 (Para 9)</w:t>
            </w:r>
          </w:p>
          <w:p w14:paraId="33C30602" w14:textId="623E0F6F" w:rsidR="00A37C85" w:rsidRPr="002E79D3" w:rsidRDefault="00A37C85" w:rsidP="002E79D3">
            <w:pPr>
              <w:keepNext/>
              <w:spacing w:before="100" w:beforeAutospacing="1" w:after="75"/>
              <w:jc w:val="both"/>
              <w:rPr>
                <w:rFonts w:ascii="Arial" w:hAnsi="Arial" w:cs="Arial"/>
                <w:snapToGrid w:val="0"/>
                <w:lang w:eastAsia="en-US"/>
              </w:rPr>
            </w:pPr>
            <w:r w:rsidRPr="00323D95">
              <w:rPr>
                <w:rFonts w:ascii="Arial" w:hAnsi="Arial" w:cs="Arial"/>
                <w:u w:val="single"/>
              </w:rPr>
              <w:t>Acknowledges</w:t>
            </w:r>
            <w:r w:rsidRPr="00323D95">
              <w:rPr>
                <w:rFonts w:ascii="Arial" w:hAnsi="Arial" w:cs="Arial"/>
              </w:rPr>
              <w:t xml:space="preserve"> the continued difficulties and challenges encountered by the Evaluation Body in evaluating criterion R.2, despite the changes </w:t>
            </w:r>
            <w:r w:rsidRPr="00323D95">
              <w:rPr>
                <w:rFonts w:ascii="Arial" w:hAnsi="Arial" w:cs="Arial"/>
                <w:snapToGrid w:val="0"/>
                <w:lang w:eastAsia="en-US"/>
              </w:rPr>
              <w:t>made to Section 2 of Form ICH-02,</w:t>
            </w:r>
            <w:r w:rsidRPr="00323D95">
              <w:rPr>
                <w:rFonts w:ascii="Arial" w:hAnsi="Arial" w:cs="Arial"/>
              </w:rPr>
              <w:t xml:space="preserve"> and </w:t>
            </w:r>
            <w:r w:rsidRPr="00C255F2">
              <w:rPr>
                <w:rFonts w:ascii="Arial" w:hAnsi="Arial" w:cs="Arial"/>
                <w:u w:val="single"/>
              </w:rPr>
              <w:t>reaffirms</w:t>
            </w:r>
            <w:r w:rsidRPr="00323D95">
              <w:rPr>
                <w:rFonts w:ascii="Arial" w:hAnsi="Arial" w:cs="Arial"/>
              </w:rPr>
              <w:t xml:space="preserve"> the need to undertake a review of the formulation of this </w:t>
            </w:r>
            <w:r w:rsidRPr="00323D95">
              <w:rPr>
                <w:rFonts w:ascii="Arial" w:hAnsi="Arial" w:cs="Arial"/>
                <w:snapToGrid w:val="0"/>
                <w:lang w:eastAsia="en-US"/>
              </w:rPr>
              <w:t>criterion in relation to</w:t>
            </w:r>
            <w:r w:rsidRPr="00323D95">
              <w:rPr>
                <w:rFonts w:ascii="Arial" w:hAnsi="Arial" w:cs="Arial"/>
              </w:rPr>
              <w:t xml:space="preserve"> the purpose of the Representative List of the Intangible Cultural Heritage of Humanity</w:t>
            </w:r>
            <w:r w:rsidRPr="00323D95">
              <w:rPr>
                <w:rFonts w:ascii="Arial" w:hAnsi="Arial" w:cs="Arial"/>
                <w:snapToGrid w:val="0"/>
                <w:lang w:eastAsia="en-US"/>
              </w:rPr>
              <w:t xml:space="preserve"> in the context of the global reflection on the listing mechanisms;</w:t>
            </w:r>
            <w:bookmarkEnd w:id="4"/>
          </w:p>
        </w:tc>
      </w:tr>
      <w:tr w:rsidR="00A37C85" w:rsidRPr="00323D95" w14:paraId="7A8CAE4E" w14:textId="77777777" w:rsidTr="00172FFD">
        <w:tc>
          <w:tcPr>
            <w:tcW w:w="9062" w:type="dxa"/>
            <w:shd w:val="clear" w:color="auto" w:fill="CCC0D9" w:themeFill="accent4" w:themeFillTint="66"/>
          </w:tcPr>
          <w:p w14:paraId="7A326654" w14:textId="77777777" w:rsidR="00A37C85" w:rsidRPr="00323D95" w:rsidRDefault="00A37C85" w:rsidP="00A37C85">
            <w:pPr>
              <w:pStyle w:val="COMPara"/>
              <w:numPr>
                <w:ilvl w:val="0"/>
                <w:numId w:val="27"/>
              </w:numPr>
              <w:spacing w:before="120"/>
              <w:jc w:val="both"/>
            </w:pPr>
            <w:r w:rsidRPr="00323D95">
              <w:t>Issues related to the follow-up of inscribed elements</w:t>
            </w:r>
          </w:p>
        </w:tc>
      </w:tr>
      <w:tr w:rsidR="00A37C85" w:rsidRPr="00323D95" w14:paraId="21EB1E58" w14:textId="77777777" w:rsidTr="00172FFD">
        <w:tc>
          <w:tcPr>
            <w:tcW w:w="9062" w:type="dxa"/>
            <w:shd w:val="clear" w:color="auto" w:fill="auto"/>
          </w:tcPr>
          <w:p w14:paraId="667B0638" w14:textId="6E4EE6AA" w:rsidR="000C6D6C" w:rsidRPr="00584908" w:rsidRDefault="000C6D6C" w:rsidP="000933A8">
            <w:pPr>
              <w:shd w:val="clear" w:color="auto" w:fill="FFFFFF" w:themeFill="background1"/>
              <w:spacing w:before="240"/>
              <w:rPr>
                <w:rFonts w:ascii="Arial" w:hAnsi="Arial" w:cs="Arial"/>
                <w:b/>
                <w:bCs/>
                <w:i/>
                <w:iCs/>
                <w:u w:val="single"/>
              </w:rPr>
            </w:pPr>
            <w:r w:rsidRPr="00584908">
              <w:rPr>
                <w:rFonts w:ascii="Arial" w:hAnsi="Arial" w:cs="Arial"/>
                <w:b/>
                <w:bCs/>
                <w:i/>
                <w:iCs/>
                <w:u w:val="single"/>
              </w:rPr>
              <w:t>Follow-up mechanism</w:t>
            </w:r>
          </w:p>
          <w:p w14:paraId="0207E80A" w14:textId="0AF14F47" w:rsidR="00A37C85" w:rsidRPr="00323D95" w:rsidRDefault="00A37C85" w:rsidP="000933A8">
            <w:pPr>
              <w:shd w:val="clear" w:color="auto" w:fill="FFFFFF" w:themeFill="background1"/>
              <w:spacing w:before="120"/>
              <w:jc w:val="both"/>
              <w:rPr>
                <w:rFonts w:ascii="Arial" w:hAnsi="Arial" w:cs="Arial"/>
                <w:b/>
                <w:bCs/>
                <w:i/>
                <w:iCs/>
              </w:rPr>
            </w:pPr>
            <w:r w:rsidRPr="00323D95">
              <w:rPr>
                <w:rFonts w:ascii="Arial" w:hAnsi="Arial" w:cs="Arial"/>
                <w:b/>
                <w:bCs/>
                <w:i/>
                <w:iCs/>
              </w:rPr>
              <w:t>Decision 13.COM 9 (Paras 5, 6 and 7)</w:t>
            </w:r>
          </w:p>
          <w:p w14:paraId="045D8B4C" w14:textId="77777777" w:rsidR="00A37C85" w:rsidRPr="00323D95" w:rsidRDefault="00A37C85" w:rsidP="000933A8">
            <w:pPr>
              <w:shd w:val="clear" w:color="auto" w:fill="FFFFFF" w:themeFill="background1"/>
              <w:spacing w:before="100" w:beforeAutospacing="1" w:after="75"/>
              <w:jc w:val="both"/>
              <w:rPr>
                <w:rFonts w:ascii="Arial" w:hAnsi="Arial" w:cs="Arial"/>
              </w:rPr>
            </w:pPr>
            <w:r w:rsidRPr="00323D95">
              <w:rPr>
                <w:rFonts w:ascii="Arial" w:hAnsi="Arial" w:cs="Arial"/>
                <w:u w:val="single"/>
              </w:rPr>
              <w:t>Recognizes</w:t>
            </w:r>
            <w:r w:rsidRPr="00323D95">
              <w:rPr>
                <w:rFonts w:ascii="Arial" w:hAnsi="Arial" w:cs="Arial"/>
              </w:rPr>
              <w:t xml:space="preserve"> the need to reflect on the follow-up of inscribed elements and on ways for concerned communities, groups and, where applicable, individuals, and other stakeholders to participate in the monitoring of inscribed elements;</w:t>
            </w:r>
          </w:p>
          <w:p w14:paraId="13B596EA" w14:textId="77777777" w:rsidR="00A37C85" w:rsidRPr="00323D95" w:rsidRDefault="00A37C85" w:rsidP="000933A8">
            <w:pPr>
              <w:shd w:val="clear" w:color="auto" w:fill="FFFFFF" w:themeFill="background1"/>
              <w:spacing w:before="100" w:beforeAutospacing="1" w:after="75"/>
              <w:jc w:val="both"/>
              <w:rPr>
                <w:rFonts w:ascii="Arial" w:hAnsi="Arial" w:cs="Arial"/>
              </w:rPr>
            </w:pPr>
            <w:r w:rsidRPr="00323D95">
              <w:rPr>
                <w:rFonts w:ascii="Arial" w:hAnsi="Arial" w:cs="Arial"/>
                <w:u w:val="single"/>
              </w:rPr>
              <w:t>Acknowledges</w:t>
            </w:r>
            <w:r w:rsidRPr="00323D95">
              <w:rPr>
                <w:rFonts w:ascii="Arial" w:hAnsi="Arial" w:cs="Arial"/>
              </w:rPr>
              <w:t xml:space="preserve"> the link between the follow-up of inscribed elements and the ongoing reflection on the nature and purposes of the Lists of the Convention, </w:t>
            </w:r>
            <w:r w:rsidRPr="00323D95">
              <w:rPr>
                <w:rFonts w:ascii="Arial" w:hAnsi="Arial" w:cs="Arial"/>
                <w:u w:val="single"/>
              </w:rPr>
              <w:t>recalls</w:t>
            </w:r>
            <w:r w:rsidRPr="00323D95">
              <w:rPr>
                <w:rFonts w:ascii="Arial" w:hAnsi="Arial" w:cs="Arial"/>
              </w:rPr>
              <w:t xml:space="preserve"> its </w:t>
            </w:r>
            <w:hyperlink r:id="rId35" w:history="1">
              <w:r w:rsidRPr="00323D95">
                <w:rPr>
                  <w:rFonts w:ascii="Arial" w:hAnsi="Arial" w:cs="Arial"/>
                  <w:color w:val="0000FF"/>
                  <w:u w:val="single"/>
                </w:rPr>
                <w:t>Decision 12.COM 14</w:t>
              </w:r>
            </w:hyperlink>
            <w:r w:rsidRPr="00323D95">
              <w:rPr>
                <w:rFonts w:ascii="Arial" w:hAnsi="Arial" w:cs="Arial"/>
              </w:rPr>
              <w:t xml:space="preserve"> to convene an open-ended intergovernmental working group on these topics and </w:t>
            </w:r>
            <w:r w:rsidRPr="00323D95">
              <w:rPr>
                <w:rFonts w:ascii="Arial" w:hAnsi="Arial" w:cs="Arial"/>
                <w:u w:val="single"/>
              </w:rPr>
              <w:t>welcomes</w:t>
            </w:r>
            <w:r w:rsidRPr="00323D95">
              <w:rPr>
                <w:rFonts w:ascii="Arial" w:hAnsi="Arial" w:cs="Arial"/>
              </w:rPr>
              <w:t xml:space="preserve"> the generous voluntary supplementary contribution of the Government of Japan to the Intangible Cultural Heritage Fund to organize a preliminary meeting of experts and support the convening of the above-mentioned open-ended intergovernmental working group;</w:t>
            </w:r>
          </w:p>
          <w:p w14:paraId="386B513C" w14:textId="512B12B0" w:rsidR="00A37C85" w:rsidRDefault="00A37C85" w:rsidP="000933A8">
            <w:pPr>
              <w:shd w:val="clear" w:color="auto" w:fill="FFFFFF" w:themeFill="background1"/>
              <w:spacing w:before="100" w:beforeAutospacing="1" w:after="75"/>
              <w:jc w:val="both"/>
              <w:rPr>
                <w:rFonts w:ascii="Arial" w:hAnsi="Arial" w:cs="Arial"/>
              </w:rPr>
            </w:pPr>
            <w:r w:rsidRPr="00323D95">
              <w:rPr>
                <w:rFonts w:ascii="Arial" w:hAnsi="Arial" w:cs="Arial"/>
                <w:u w:val="single"/>
              </w:rPr>
              <w:t>Decides</w:t>
            </w:r>
            <w:r w:rsidRPr="00323D95">
              <w:rPr>
                <w:rFonts w:ascii="Arial" w:hAnsi="Arial" w:cs="Arial"/>
              </w:rPr>
              <w:t xml:space="preserve"> to include a reflection on the establishment of a follow-up mechanism for inscribed elements in the mandate of the above-mentioned preliminary meeting of experts and the open-ended intergovernmental working group.</w:t>
            </w:r>
          </w:p>
          <w:p w14:paraId="0326CD2D" w14:textId="703D32AE" w:rsidR="00CC7BA2" w:rsidRPr="002E79D3" w:rsidRDefault="00CC7BA2" w:rsidP="000933A8">
            <w:pPr>
              <w:shd w:val="clear" w:color="auto" w:fill="FFFFFF" w:themeFill="background1"/>
              <w:spacing w:before="240"/>
              <w:jc w:val="both"/>
              <w:rPr>
                <w:b/>
                <w:bCs/>
                <w:i/>
                <w:iCs/>
              </w:rPr>
            </w:pPr>
            <w:r w:rsidRPr="002E79D3">
              <w:rPr>
                <w:rFonts w:ascii="Arial" w:hAnsi="Arial" w:cs="Arial"/>
                <w:b/>
                <w:bCs/>
                <w:i/>
                <w:iCs/>
              </w:rPr>
              <w:t>Decision 15.COM 7 (paragraph 6)</w:t>
            </w:r>
          </w:p>
          <w:p w14:paraId="40FB4F75" w14:textId="24845111" w:rsidR="00CC7BA2" w:rsidRPr="002E79D3" w:rsidRDefault="00CC7BA2" w:rsidP="000933A8">
            <w:pPr>
              <w:shd w:val="clear" w:color="auto" w:fill="FFFFFF" w:themeFill="background1"/>
              <w:spacing w:before="100" w:beforeAutospacing="1" w:after="75"/>
              <w:jc w:val="both"/>
              <w:rPr>
                <w:rFonts w:asciiTheme="minorBidi" w:hAnsiTheme="minorBidi" w:cstheme="minorBidi"/>
              </w:rPr>
            </w:pPr>
            <w:r w:rsidRPr="002E79D3">
              <w:rPr>
                <w:rFonts w:asciiTheme="minorBidi" w:hAnsiTheme="minorBidi" w:cstheme="minorBidi"/>
                <w:u w:val="single"/>
              </w:rPr>
              <w:t>Requests</w:t>
            </w:r>
            <w:r w:rsidRPr="002E79D3">
              <w:rPr>
                <w:rFonts w:asciiTheme="minorBidi" w:hAnsiTheme="minorBidi" w:cstheme="minorBidi"/>
              </w:rPr>
              <w:t xml:space="preserve"> the Secretariat to include an item on the provisional agenda of its next ordinary session, concerning a possible amendment of the Operational Directives on restricting the evaluation of new nomination files if the reporting duties concerning already inscribed elements have not been fulfilled by the States Parties;</w:t>
            </w:r>
          </w:p>
          <w:p w14:paraId="08184B45" w14:textId="77777777" w:rsidR="00A37C85" w:rsidRPr="00323D95" w:rsidRDefault="00A37C85" w:rsidP="000933A8">
            <w:pPr>
              <w:shd w:val="clear" w:color="auto" w:fill="FFFFFF" w:themeFill="background1"/>
              <w:spacing w:before="240" w:after="160" w:line="259" w:lineRule="auto"/>
              <w:rPr>
                <w:rFonts w:ascii="Arial" w:hAnsi="Arial" w:cs="Arial"/>
                <w:b/>
                <w:bCs/>
                <w:i/>
                <w:iCs/>
                <w:u w:val="single"/>
              </w:rPr>
            </w:pPr>
            <w:r w:rsidRPr="00323D95">
              <w:rPr>
                <w:rFonts w:ascii="Arial" w:hAnsi="Arial" w:cs="Arial"/>
                <w:b/>
                <w:bCs/>
                <w:i/>
                <w:iCs/>
                <w:u w:val="single"/>
              </w:rPr>
              <w:t>Transfer and Removal of an element</w:t>
            </w:r>
          </w:p>
          <w:p w14:paraId="270C5768" w14:textId="77777777" w:rsidR="00A37C85" w:rsidRPr="00323D95" w:rsidRDefault="00A37C85" w:rsidP="000933A8">
            <w:pPr>
              <w:shd w:val="clear" w:color="auto" w:fill="FFFFFF" w:themeFill="background1"/>
              <w:jc w:val="both"/>
              <w:rPr>
                <w:rFonts w:ascii="Arial" w:hAnsi="Arial" w:cs="Arial"/>
                <w:b/>
                <w:bCs/>
                <w:i/>
                <w:iCs/>
              </w:rPr>
            </w:pPr>
            <w:r w:rsidRPr="00323D95">
              <w:rPr>
                <w:rFonts w:ascii="Arial" w:hAnsi="Arial" w:cs="Arial"/>
                <w:b/>
                <w:bCs/>
                <w:i/>
                <w:iCs/>
              </w:rPr>
              <w:t>Resolution 8.GA 11(Para 11)</w:t>
            </w:r>
          </w:p>
          <w:p w14:paraId="1F81F33F" w14:textId="77777777" w:rsidR="00A37C85" w:rsidRPr="00323D95" w:rsidRDefault="00A37C85" w:rsidP="000933A8">
            <w:pPr>
              <w:shd w:val="clear" w:color="auto" w:fill="FFFFFF" w:themeFill="background1"/>
              <w:jc w:val="both"/>
              <w:rPr>
                <w:rFonts w:ascii="Arial" w:hAnsi="Arial" w:cs="Arial"/>
              </w:rPr>
            </w:pPr>
            <w:r w:rsidRPr="00323D95">
              <w:rPr>
                <w:rFonts w:ascii="Arial" w:hAnsi="Arial" w:cs="Arial"/>
                <w:u w:val="single"/>
              </w:rPr>
              <w:t>Recalls</w:t>
            </w:r>
            <w:r w:rsidRPr="00323D95">
              <w:rPr>
                <w:rFonts w:ascii="Arial" w:hAnsi="Arial" w:cs="Arial"/>
              </w:rPr>
              <w:t xml:space="preserve"> paragraph 11 of </w:t>
            </w:r>
            <w:hyperlink r:id="rId36" w:history="1">
              <w:r w:rsidRPr="00323D95">
                <w:rPr>
                  <w:rStyle w:val="Lienhypertexte"/>
                  <w:rFonts w:ascii="Arial" w:hAnsi="Arial" w:cs="Arial"/>
                </w:rPr>
                <w:t>Decision 14.COM 14</w:t>
              </w:r>
            </w:hyperlink>
            <w:r w:rsidRPr="00323D95">
              <w:rPr>
                <w:rFonts w:ascii="Arial" w:hAnsi="Arial" w:cs="Arial"/>
              </w:rPr>
              <w:t xml:space="preserve"> which emphasizes that a revision of the Operational Directives is necessary in order to establish clear and specific procedures and criteria for the removal of an element from a list and the transfer of an element from one list to another;</w:t>
            </w:r>
          </w:p>
          <w:p w14:paraId="575D6FC8" w14:textId="77777777" w:rsidR="00A37C85" w:rsidRPr="00323D95" w:rsidRDefault="00A37C85" w:rsidP="000933A8">
            <w:pPr>
              <w:shd w:val="clear" w:color="auto" w:fill="FFFFFF" w:themeFill="background1"/>
              <w:spacing w:before="240"/>
              <w:jc w:val="both"/>
              <w:rPr>
                <w:rFonts w:ascii="Arial" w:hAnsi="Arial" w:cs="Arial"/>
                <w:b/>
                <w:bCs/>
                <w:i/>
                <w:iCs/>
              </w:rPr>
            </w:pPr>
            <w:r w:rsidRPr="00323D95">
              <w:rPr>
                <w:rFonts w:ascii="Arial" w:hAnsi="Arial" w:cs="Arial"/>
                <w:b/>
                <w:bCs/>
                <w:i/>
                <w:iCs/>
              </w:rPr>
              <w:lastRenderedPageBreak/>
              <w:t>Decision 14.COM 14 (Para 11)</w:t>
            </w:r>
          </w:p>
          <w:p w14:paraId="369638D4" w14:textId="77777777" w:rsidR="00A37C85" w:rsidRPr="00323D95" w:rsidRDefault="00A37C85" w:rsidP="000933A8">
            <w:pPr>
              <w:shd w:val="clear" w:color="auto" w:fill="FFFFFF" w:themeFill="background1"/>
              <w:spacing w:before="100" w:beforeAutospacing="1" w:after="75"/>
              <w:jc w:val="both"/>
              <w:rPr>
                <w:rFonts w:ascii="Arial" w:hAnsi="Arial" w:cs="Arial"/>
              </w:rPr>
            </w:pPr>
            <w:r w:rsidRPr="00323D95">
              <w:rPr>
                <w:rFonts w:ascii="Arial" w:hAnsi="Arial" w:cs="Arial"/>
                <w:u w:val="single"/>
              </w:rPr>
              <w:t>Emphasizes</w:t>
            </w:r>
            <w:r w:rsidRPr="00323D95">
              <w:rPr>
                <w:rFonts w:ascii="Arial" w:hAnsi="Arial" w:cs="Arial"/>
              </w:rPr>
              <w:t xml:space="preserve"> that a revision of the Operational Directives is necessary in order to establish clear and specific procedures and criteria for the removal of an element from a list and the transfer of an element from one list to another;</w:t>
            </w:r>
          </w:p>
          <w:p w14:paraId="3C0EE971" w14:textId="77777777" w:rsidR="00A37C85" w:rsidRPr="00323D95" w:rsidRDefault="00A37C85" w:rsidP="000933A8">
            <w:pPr>
              <w:shd w:val="clear" w:color="auto" w:fill="FFFFFF" w:themeFill="background1"/>
              <w:spacing w:before="240"/>
              <w:jc w:val="both"/>
              <w:rPr>
                <w:rFonts w:ascii="Arial" w:hAnsi="Arial" w:cs="Arial"/>
                <w:b/>
                <w:bCs/>
                <w:i/>
                <w:iCs/>
              </w:rPr>
            </w:pPr>
            <w:r w:rsidRPr="00323D95">
              <w:rPr>
                <w:rFonts w:ascii="Arial" w:hAnsi="Arial" w:cs="Arial"/>
                <w:b/>
                <w:bCs/>
                <w:i/>
                <w:iCs/>
              </w:rPr>
              <w:t>Decision 12.COM 14 (Para 8 and 11)</w:t>
            </w:r>
          </w:p>
          <w:p w14:paraId="231E7862" w14:textId="77777777" w:rsidR="00A37C85" w:rsidRPr="00323D95" w:rsidRDefault="00A37C85" w:rsidP="000933A8">
            <w:pPr>
              <w:shd w:val="clear" w:color="auto" w:fill="FFFFFF" w:themeFill="background1"/>
              <w:spacing w:before="100" w:beforeAutospacing="1" w:after="75"/>
              <w:jc w:val="both"/>
              <w:rPr>
                <w:rFonts w:ascii="Arial" w:hAnsi="Arial" w:cs="Arial"/>
              </w:rPr>
            </w:pPr>
            <w:bookmarkStart w:id="5" w:name="_Hlk61881141"/>
            <w:r w:rsidRPr="00323D95">
              <w:rPr>
                <w:rFonts w:ascii="Arial" w:hAnsi="Arial" w:cs="Arial"/>
                <w:u w:val="single"/>
              </w:rPr>
              <w:t>Acknowledges</w:t>
            </w:r>
            <w:r w:rsidRPr="00323D95">
              <w:rPr>
                <w:rFonts w:ascii="Arial" w:hAnsi="Arial" w:cs="Arial"/>
              </w:rPr>
              <w:t>, on the basis of its debate at the twelfth session, that the issue of the transfer of an element from one List to the other and the removal of an element from a List raises fundamental questions linked to the intent and purpose of the Convention and its listing mechanisms;</w:t>
            </w:r>
          </w:p>
          <w:bookmarkEnd w:id="5"/>
          <w:p w14:paraId="62FD0364" w14:textId="77777777" w:rsidR="00A37C85" w:rsidRPr="00323D95" w:rsidRDefault="00A37C85" w:rsidP="000933A8">
            <w:pPr>
              <w:shd w:val="clear" w:color="auto" w:fill="FFFFFF" w:themeFill="background1"/>
              <w:spacing w:before="100" w:beforeAutospacing="1" w:after="75"/>
              <w:jc w:val="both"/>
              <w:rPr>
                <w:rFonts w:ascii="Arial" w:hAnsi="Arial" w:cs="Arial"/>
              </w:rPr>
            </w:pPr>
            <w:r w:rsidRPr="00323D95">
              <w:rPr>
                <w:rFonts w:ascii="Arial" w:hAnsi="Arial" w:cs="Arial"/>
                <w:u w:val="single"/>
              </w:rPr>
              <w:t>Decides</w:t>
            </w:r>
            <w:r w:rsidRPr="00323D95">
              <w:rPr>
                <w:rFonts w:ascii="Arial" w:hAnsi="Arial" w:cs="Arial"/>
              </w:rPr>
              <w:t xml:space="preserve"> to convene an open-ended intergovernmental working group, to be held before the fourteenth session of the Committee in 2019, to reflect </w:t>
            </w:r>
            <w:r w:rsidRPr="00323D95">
              <w:rPr>
                <w:rFonts w:ascii="Arial" w:hAnsi="Arial" w:cs="Arial"/>
                <w:i/>
                <w:iCs/>
              </w:rPr>
              <w:t>inter alia</w:t>
            </w:r>
            <w:r w:rsidRPr="00323D95">
              <w:rPr>
                <w:rFonts w:ascii="Arial" w:hAnsi="Arial" w:cs="Arial"/>
              </w:rPr>
              <w:t xml:space="preserve"> on the procedures for the removal of an element from a List and the transfer from one List to the other, on the nature and purposes of the Lists and the Register established under the Convention and on the relevance of the various criteria for each of these mechanisms; this meeting would be organized on the condition that voluntary supplementary contributions to the Intangible Cultural Heritage Fund are received in due course, and in any case not later than January 2019, in order to cover all of the costs of organizing the meeting and the costs of the participation of representatives of developing countries that are Parties to the Convention, whether or not they are members of the Committee, but only for persons who are experts in intangible cultural heritage;</w:t>
            </w:r>
          </w:p>
          <w:p w14:paraId="1F781196" w14:textId="77777777" w:rsidR="00A37C85" w:rsidRPr="00323D95" w:rsidRDefault="00A37C85" w:rsidP="000933A8">
            <w:pPr>
              <w:shd w:val="clear" w:color="auto" w:fill="FFFFFF" w:themeFill="background1"/>
              <w:spacing w:before="240"/>
              <w:jc w:val="both"/>
              <w:rPr>
                <w:rFonts w:ascii="Arial" w:hAnsi="Arial" w:cs="Arial"/>
                <w:b/>
                <w:bCs/>
                <w:i/>
                <w:iCs/>
              </w:rPr>
            </w:pPr>
            <w:r w:rsidRPr="00323D95">
              <w:rPr>
                <w:rFonts w:ascii="Arial" w:hAnsi="Arial" w:cs="Arial"/>
                <w:b/>
                <w:bCs/>
                <w:i/>
                <w:iCs/>
              </w:rPr>
              <w:t>Decision 10.COM 19 (Para 10)</w:t>
            </w:r>
          </w:p>
          <w:p w14:paraId="5C475D70" w14:textId="77777777" w:rsidR="00A37C85" w:rsidRPr="00323D95" w:rsidRDefault="00A37C85" w:rsidP="000933A8">
            <w:pPr>
              <w:shd w:val="clear" w:color="auto" w:fill="FFFFFF" w:themeFill="background1"/>
              <w:spacing w:before="100" w:beforeAutospacing="1" w:after="75"/>
              <w:jc w:val="both"/>
              <w:rPr>
                <w:rFonts w:ascii="Arial" w:hAnsi="Arial" w:cs="Arial"/>
              </w:rPr>
            </w:pPr>
            <w:r w:rsidRPr="00323D95">
              <w:rPr>
                <w:rFonts w:ascii="Arial" w:hAnsi="Arial" w:cs="Arial"/>
                <w:u w:val="single"/>
              </w:rPr>
              <w:t>Decides</w:t>
            </w:r>
            <w:r w:rsidRPr="00323D95">
              <w:rPr>
                <w:rFonts w:ascii="Arial" w:hAnsi="Arial" w:cs="Arial"/>
              </w:rPr>
              <w:t xml:space="preserve"> to convene an open ended intergovernmental working group, to be held before the twelfth session of the Committee, to discuss draft operational directives on the procedure for removal of an element from a List and the transfer from one list to the other; this meeting will be organized on condition that voluntary supplementary contributions to the Intangible Cultural Heritage Fund are received in due course, and in any case not later than January 2017, in order to cover all of the costs of organizing the meeting and the costs of the participation of representatives of developing countries that are parties to the Convention, whether or not members of the Committee, but only for persons who are experts in intangible cultural heritage.</w:t>
            </w:r>
          </w:p>
          <w:p w14:paraId="38D88980" w14:textId="77777777" w:rsidR="00A37C85" w:rsidRPr="00323D95" w:rsidRDefault="00A37C85" w:rsidP="000933A8">
            <w:pPr>
              <w:keepNext/>
              <w:shd w:val="clear" w:color="auto" w:fill="FFFFFF" w:themeFill="background1"/>
              <w:spacing w:before="240" w:after="160" w:line="259" w:lineRule="auto"/>
              <w:rPr>
                <w:rFonts w:ascii="Arial" w:hAnsi="Arial" w:cs="Arial"/>
                <w:b/>
                <w:bCs/>
                <w:i/>
                <w:iCs/>
                <w:u w:val="single"/>
              </w:rPr>
            </w:pPr>
            <w:r w:rsidRPr="00323D95">
              <w:rPr>
                <w:rFonts w:ascii="Arial" w:hAnsi="Arial" w:cs="Arial"/>
                <w:b/>
                <w:bCs/>
                <w:i/>
                <w:iCs/>
                <w:u w:val="single"/>
              </w:rPr>
              <w:t>Reporting mechanism</w:t>
            </w:r>
          </w:p>
          <w:p w14:paraId="661FB7FC" w14:textId="77777777" w:rsidR="00A37C85" w:rsidRPr="00323D95" w:rsidRDefault="00A37C85" w:rsidP="000933A8">
            <w:pPr>
              <w:keepNext/>
              <w:shd w:val="clear" w:color="auto" w:fill="FFFFFF" w:themeFill="background1"/>
              <w:jc w:val="both"/>
              <w:rPr>
                <w:rFonts w:ascii="Arial" w:hAnsi="Arial" w:cs="Arial"/>
                <w:b/>
                <w:bCs/>
                <w:i/>
                <w:iCs/>
              </w:rPr>
            </w:pPr>
            <w:r w:rsidRPr="00323D95">
              <w:rPr>
                <w:rFonts w:ascii="Arial" w:hAnsi="Arial" w:cs="Arial"/>
                <w:b/>
                <w:bCs/>
                <w:i/>
                <w:iCs/>
              </w:rPr>
              <w:t>Decision 14.COM 9.a (Para 7)</w:t>
            </w:r>
          </w:p>
          <w:p w14:paraId="69E21922" w14:textId="77777777" w:rsidR="00A37C85" w:rsidRPr="00323D95" w:rsidRDefault="00A37C85" w:rsidP="000933A8">
            <w:pPr>
              <w:shd w:val="clear" w:color="auto" w:fill="FFFFFF" w:themeFill="background1"/>
              <w:spacing w:before="100" w:beforeAutospacing="1" w:after="75"/>
              <w:jc w:val="both"/>
              <w:rPr>
                <w:rFonts w:ascii="Arial" w:hAnsi="Arial" w:cs="Arial"/>
              </w:rPr>
            </w:pPr>
            <w:r w:rsidRPr="00323D95">
              <w:rPr>
                <w:rFonts w:ascii="Arial" w:hAnsi="Arial" w:cs="Arial"/>
                <w:u w:val="single"/>
              </w:rPr>
              <w:t>Acknowledges</w:t>
            </w:r>
            <w:r w:rsidRPr="00323D95">
              <w:rPr>
                <w:rFonts w:ascii="Arial" w:hAnsi="Arial" w:cs="Arial"/>
              </w:rPr>
              <w:t xml:space="preserve"> that the global reflection on the listing mechanisms of the 2003 Convention may have an impact on the reporting exercise on the status of elements inscribed on the List of Intangible Cultural Heritage in Need of Urgent Safeguarding and that this specific reporting mechanism will remain unchanged in the meantime, until the overall reflection has advanced;</w:t>
            </w:r>
          </w:p>
        </w:tc>
      </w:tr>
      <w:tr w:rsidR="00A37C85" w:rsidRPr="00323D95" w14:paraId="69392F8F" w14:textId="77777777" w:rsidTr="00172FFD">
        <w:tc>
          <w:tcPr>
            <w:tcW w:w="9062" w:type="dxa"/>
            <w:shd w:val="clear" w:color="auto" w:fill="E5B8B7" w:themeFill="accent2" w:themeFillTint="66"/>
          </w:tcPr>
          <w:p w14:paraId="53F7EC83" w14:textId="77777777" w:rsidR="00A37C85" w:rsidRPr="00323D95" w:rsidRDefault="00A37C85" w:rsidP="002E79D3">
            <w:pPr>
              <w:pStyle w:val="COMPara"/>
              <w:keepNext/>
              <w:numPr>
                <w:ilvl w:val="0"/>
                <w:numId w:val="27"/>
              </w:numPr>
              <w:spacing w:before="120"/>
              <w:jc w:val="both"/>
              <w:rPr>
                <w:b/>
                <w:bCs/>
                <w:i/>
                <w:iCs/>
              </w:rPr>
            </w:pPr>
            <w:r w:rsidRPr="00323D95">
              <w:lastRenderedPageBreak/>
              <w:t>Methodology for the evaluation and examination of nominations</w:t>
            </w:r>
          </w:p>
        </w:tc>
      </w:tr>
      <w:tr w:rsidR="00A37C85" w:rsidRPr="00323D95" w14:paraId="0D711A61" w14:textId="77777777" w:rsidTr="00172FFD">
        <w:tc>
          <w:tcPr>
            <w:tcW w:w="9062" w:type="dxa"/>
            <w:shd w:val="clear" w:color="auto" w:fill="auto"/>
          </w:tcPr>
          <w:p w14:paraId="51E27636" w14:textId="77777777" w:rsidR="00A37C85" w:rsidRPr="00323D95" w:rsidRDefault="00A37C85" w:rsidP="00325538">
            <w:pPr>
              <w:keepNext/>
              <w:spacing w:before="240" w:after="160" w:line="259" w:lineRule="auto"/>
              <w:rPr>
                <w:rFonts w:ascii="Arial" w:hAnsi="Arial" w:cs="Arial"/>
                <w:b/>
                <w:bCs/>
                <w:i/>
                <w:iCs/>
                <w:u w:val="single"/>
              </w:rPr>
            </w:pPr>
            <w:r w:rsidRPr="00323D95">
              <w:rPr>
                <w:rFonts w:ascii="Arial" w:hAnsi="Arial" w:cs="Arial"/>
                <w:b/>
                <w:bCs/>
                <w:i/>
                <w:iCs/>
                <w:u w:val="single"/>
              </w:rPr>
              <w:t>Multinational Files</w:t>
            </w:r>
          </w:p>
          <w:p w14:paraId="77DDD9B8" w14:textId="77777777" w:rsidR="00A37C85" w:rsidRPr="00323D95" w:rsidRDefault="00A37C85" w:rsidP="00260E1E">
            <w:pPr>
              <w:keepNext/>
              <w:spacing w:before="120"/>
              <w:jc w:val="both"/>
              <w:rPr>
                <w:rFonts w:ascii="Arial" w:hAnsi="Arial" w:cs="Arial"/>
                <w:b/>
                <w:bCs/>
                <w:i/>
                <w:iCs/>
              </w:rPr>
            </w:pPr>
            <w:r w:rsidRPr="00323D95">
              <w:rPr>
                <w:rFonts w:ascii="Arial" w:hAnsi="Arial" w:cs="Arial"/>
                <w:b/>
                <w:bCs/>
                <w:i/>
                <w:iCs/>
              </w:rPr>
              <w:t>Decision 15.COM 8 (Para 8)</w:t>
            </w:r>
          </w:p>
          <w:p w14:paraId="14F65B76" w14:textId="77777777" w:rsidR="00A37C85" w:rsidRPr="00323D95" w:rsidRDefault="00A37C85" w:rsidP="00260E1E">
            <w:pPr>
              <w:spacing w:before="100" w:beforeAutospacing="1" w:after="75"/>
              <w:jc w:val="both"/>
              <w:rPr>
                <w:rFonts w:ascii="Arial" w:hAnsi="Arial" w:cs="Arial"/>
              </w:rPr>
            </w:pPr>
            <w:r w:rsidRPr="00323D95">
              <w:rPr>
                <w:rFonts w:ascii="Arial" w:hAnsi="Arial" w:cs="Arial"/>
                <w:u w:val="single"/>
              </w:rPr>
              <w:t>invites</w:t>
            </w:r>
            <w:r w:rsidRPr="00323D95">
              <w:rPr>
                <w:rFonts w:ascii="Arial" w:hAnsi="Arial" w:cs="Arial"/>
              </w:rPr>
              <w:t xml:space="preserve"> the Secretariat to prepare guidance notes for the preparation of multinational files in order to improve their quality, taking into account the global reflection on the listing mechanisms;</w:t>
            </w:r>
          </w:p>
          <w:p w14:paraId="4A1F7BD5" w14:textId="77777777" w:rsidR="00A37C85" w:rsidRPr="00323D95" w:rsidRDefault="00A37C85" w:rsidP="00260E1E">
            <w:pPr>
              <w:spacing w:before="240"/>
              <w:jc w:val="both"/>
              <w:rPr>
                <w:rFonts w:ascii="Arial" w:hAnsi="Arial" w:cs="Arial"/>
                <w:b/>
                <w:bCs/>
                <w:i/>
                <w:iCs/>
              </w:rPr>
            </w:pPr>
            <w:r w:rsidRPr="00323D95">
              <w:rPr>
                <w:rFonts w:ascii="Arial" w:hAnsi="Arial" w:cs="Arial"/>
                <w:b/>
                <w:bCs/>
                <w:i/>
                <w:iCs/>
              </w:rPr>
              <w:t>Decision 14.COM 14 (Para 13)</w:t>
            </w:r>
          </w:p>
          <w:p w14:paraId="34DE7C89" w14:textId="77777777" w:rsidR="00A37C85" w:rsidRPr="00323D95" w:rsidRDefault="00A37C85" w:rsidP="00260E1E">
            <w:pPr>
              <w:spacing w:before="100" w:beforeAutospacing="1" w:after="75"/>
              <w:jc w:val="both"/>
              <w:rPr>
                <w:rFonts w:ascii="Arial" w:hAnsi="Arial" w:cs="Arial"/>
              </w:rPr>
            </w:pPr>
            <w:r w:rsidRPr="00323D95">
              <w:rPr>
                <w:rFonts w:ascii="Arial" w:hAnsi="Arial" w:cs="Arial"/>
                <w:u w:val="single"/>
              </w:rPr>
              <w:t>Acknowledges</w:t>
            </w:r>
            <w:r w:rsidRPr="00323D95">
              <w:rPr>
                <w:rFonts w:ascii="Arial" w:hAnsi="Arial" w:cs="Arial"/>
              </w:rPr>
              <w:t xml:space="preserve"> the need to undertake a reflection on the ways in which the process of extension of multinational elements to new States Parties could be possibly simplified and </w:t>
            </w:r>
            <w:r w:rsidRPr="00323D95">
              <w:rPr>
                <w:rFonts w:ascii="Arial" w:hAnsi="Arial" w:cs="Arial"/>
                <w:u w:val="single"/>
              </w:rPr>
              <w:t>requests</w:t>
            </w:r>
            <w:r w:rsidRPr="00323D95">
              <w:rPr>
                <w:rFonts w:ascii="Arial" w:hAnsi="Arial" w:cs="Arial"/>
              </w:rPr>
              <w:t xml:space="preserve"> the Secretariat to include this item in the global reflection on the listing mechanism;</w:t>
            </w:r>
          </w:p>
          <w:p w14:paraId="565C6BA9" w14:textId="77777777" w:rsidR="00A37C85" w:rsidRPr="00323D95" w:rsidRDefault="00A37C85" w:rsidP="00325538">
            <w:pPr>
              <w:keepNext/>
              <w:spacing w:before="240" w:after="160" w:line="259" w:lineRule="auto"/>
              <w:rPr>
                <w:rFonts w:ascii="Arial" w:hAnsi="Arial" w:cs="Arial"/>
                <w:b/>
                <w:bCs/>
                <w:i/>
                <w:iCs/>
                <w:u w:val="single"/>
              </w:rPr>
            </w:pPr>
            <w:r w:rsidRPr="00323D95">
              <w:rPr>
                <w:rFonts w:ascii="Arial" w:hAnsi="Arial" w:cs="Arial"/>
                <w:b/>
                <w:bCs/>
                <w:i/>
                <w:iCs/>
                <w:u w:val="single"/>
              </w:rPr>
              <w:t>Number of files</w:t>
            </w:r>
          </w:p>
          <w:p w14:paraId="329B0EB5" w14:textId="77777777" w:rsidR="00A37C85" w:rsidRPr="00323D95" w:rsidRDefault="00A37C85" w:rsidP="002E79D3">
            <w:pPr>
              <w:keepNext/>
              <w:jc w:val="both"/>
              <w:rPr>
                <w:rFonts w:ascii="Arial" w:hAnsi="Arial" w:cs="Arial"/>
                <w:b/>
                <w:bCs/>
                <w:i/>
                <w:iCs/>
              </w:rPr>
            </w:pPr>
            <w:r w:rsidRPr="00323D95">
              <w:rPr>
                <w:rFonts w:ascii="Arial" w:hAnsi="Arial" w:cs="Arial"/>
                <w:b/>
                <w:bCs/>
                <w:i/>
                <w:iCs/>
              </w:rPr>
              <w:t>Resolution 8.GA 11(Para 8)</w:t>
            </w:r>
          </w:p>
          <w:p w14:paraId="01900735" w14:textId="77777777" w:rsidR="00A37C85" w:rsidRPr="00323D95" w:rsidRDefault="00A37C85" w:rsidP="00260E1E">
            <w:pPr>
              <w:spacing w:before="100" w:beforeAutospacing="1" w:after="75"/>
              <w:jc w:val="both"/>
              <w:rPr>
                <w:rFonts w:ascii="Arial" w:hAnsi="Arial" w:cs="Arial"/>
              </w:rPr>
            </w:pPr>
            <w:r w:rsidRPr="00323D95">
              <w:rPr>
                <w:rFonts w:ascii="Arial" w:hAnsi="Arial" w:cs="Arial"/>
                <w:u w:val="single"/>
              </w:rPr>
              <w:t>Recommends</w:t>
            </w:r>
            <w:r w:rsidRPr="00323D95">
              <w:rPr>
                <w:rFonts w:ascii="Arial" w:hAnsi="Arial" w:cs="Arial"/>
              </w:rPr>
              <w:t xml:space="preserve"> to the Committee, in line with the reflection process on the listing mechanisms, to consider the possibility of increasing this number to include all files submitted by States Parties for the 2022-2023 cycles;</w:t>
            </w:r>
          </w:p>
        </w:tc>
      </w:tr>
    </w:tbl>
    <w:p w14:paraId="5A14B7F8" w14:textId="4968D826" w:rsidR="00E22B99" w:rsidRPr="00323D95" w:rsidRDefault="00E22B99" w:rsidP="00C62AC0">
      <w:pPr>
        <w:pStyle w:val="COMPara"/>
        <w:ind w:firstLine="0"/>
        <w:jc w:val="both"/>
      </w:pPr>
    </w:p>
    <w:sectPr w:rsidR="00E22B99" w:rsidRPr="00323D95" w:rsidSect="002938F2">
      <w:headerReference w:type="even" r:id="rId37"/>
      <w:headerReference w:type="default" r:id="rId38"/>
      <w:headerReference w:type="first" r:id="rId39"/>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F8CCE" w14:textId="77777777" w:rsidR="009F2A43" w:rsidRDefault="009F2A43" w:rsidP="002938F2">
      <w:r>
        <w:separator/>
      </w:r>
    </w:p>
    <w:p w14:paraId="66999ECA" w14:textId="77777777" w:rsidR="009F2A43" w:rsidRDefault="009F2A43"/>
  </w:endnote>
  <w:endnote w:type="continuationSeparator" w:id="0">
    <w:p w14:paraId="3C62D8F2" w14:textId="77777777" w:rsidR="009F2A43" w:rsidRDefault="009F2A43" w:rsidP="002938F2">
      <w:r>
        <w:continuationSeparator/>
      </w:r>
    </w:p>
    <w:p w14:paraId="3729965A" w14:textId="77777777" w:rsidR="009F2A43" w:rsidRDefault="009F2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88E4B" w14:textId="77777777" w:rsidR="009F2A43" w:rsidRDefault="009F2A43" w:rsidP="002938F2">
      <w:r>
        <w:separator/>
      </w:r>
    </w:p>
    <w:p w14:paraId="19D795A3" w14:textId="77777777" w:rsidR="009F2A43" w:rsidRDefault="009F2A43"/>
  </w:footnote>
  <w:footnote w:type="continuationSeparator" w:id="0">
    <w:p w14:paraId="1847395F" w14:textId="77777777" w:rsidR="009F2A43" w:rsidRDefault="009F2A43" w:rsidP="002938F2">
      <w:r>
        <w:continuationSeparator/>
      </w:r>
    </w:p>
    <w:p w14:paraId="7F70BD8F" w14:textId="77777777" w:rsidR="009F2A43" w:rsidRDefault="009F2A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1ADAF" w14:textId="194CC04E" w:rsidR="005B7E1E" w:rsidRPr="002B7155" w:rsidRDefault="005B7E1E" w:rsidP="007E4E37">
    <w:pPr>
      <w:pStyle w:val="En-tte"/>
      <w:rPr>
        <w:rFonts w:ascii="Arial" w:hAnsi="Arial" w:cs="Arial"/>
        <w:lang w:val="fr-FR"/>
      </w:rPr>
    </w:pPr>
    <w:r w:rsidRPr="002B7155">
      <w:rPr>
        <w:rFonts w:ascii="Arial" w:hAnsi="Arial" w:cs="Arial"/>
        <w:sz w:val="20"/>
        <w:szCs w:val="20"/>
        <w:lang w:val="fr-FR"/>
      </w:rPr>
      <w:t>LHE/21/1</w:t>
    </w:r>
    <w:r w:rsidRPr="002B7155">
      <w:rPr>
        <w:rFonts w:ascii="Arial" w:eastAsiaTheme="minorEastAsia" w:hAnsi="Arial" w:cs="Arial"/>
        <w:sz w:val="20"/>
        <w:szCs w:val="20"/>
        <w:lang w:val="fr-FR" w:eastAsia="ko-KR"/>
      </w:rPr>
      <w:t>6</w:t>
    </w:r>
    <w:r w:rsidRPr="002B7155">
      <w:rPr>
        <w:rFonts w:ascii="Arial" w:hAnsi="Arial" w:cs="Arial"/>
        <w:sz w:val="20"/>
        <w:szCs w:val="20"/>
        <w:lang w:val="fr-FR"/>
      </w:rPr>
      <w:t>.COM</w:t>
    </w:r>
    <w:r w:rsidRPr="002B7155">
      <w:rPr>
        <w:rFonts w:ascii="Arial" w:eastAsiaTheme="minorEastAsia" w:hAnsi="Arial" w:cs="Arial" w:hint="eastAsia"/>
        <w:sz w:val="20"/>
        <w:szCs w:val="20"/>
        <w:lang w:val="fr-FR" w:eastAsia="ko-KR"/>
      </w:rPr>
      <w:t xml:space="preserve"> WG</w:t>
    </w:r>
    <w:r w:rsidRPr="002B7155">
      <w:rPr>
        <w:rFonts w:ascii="Arial" w:hAnsi="Arial" w:cs="Arial"/>
        <w:sz w:val="20"/>
        <w:szCs w:val="20"/>
        <w:lang w:val="fr-FR"/>
      </w:rPr>
      <w:t>/</w:t>
    </w:r>
    <w:r>
      <w:rPr>
        <w:rFonts w:ascii="Arial" w:hAnsi="Arial" w:cs="Arial"/>
        <w:sz w:val="20"/>
        <w:szCs w:val="20"/>
        <w:lang w:val="fr-FR"/>
      </w:rPr>
      <w:t>2</w:t>
    </w:r>
    <w:r w:rsidRPr="002B7155">
      <w:rPr>
        <w:rFonts w:ascii="Arial" w:hAnsi="Arial" w:cs="Arial"/>
        <w:sz w:val="20"/>
        <w:szCs w:val="20"/>
        <w:lang w:val="fr-FR"/>
      </w:rPr>
      <w:t xml:space="preserve"> – page </w:t>
    </w:r>
    <w:r w:rsidRPr="00D81948">
      <w:rPr>
        <w:rStyle w:val="Numrodepage"/>
        <w:rFonts w:ascii="Arial" w:hAnsi="Arial" w:cs="Arial"/>
        <w:sz w:val="20"/>
        <w:szCs w:val="20"/>
      </w:rPr>
      <w:fldChar w:fldCharType="begin"/>
    </w:r>
    <w:r w:rsidRPr="002B7155">
      <w:rPr>
        <w:rStyle w:val="Numrodepage"/>
        <w:rFonts w:ascii="Arial" w:hAnsi="Arial" w:cs="Arial"/>
        <w:sz w:val="20"/>
        <w:szCs w:val="20"/>
        <w:lang w:val="fr-FR"/>
      </w:rPr>
      <w:instrText xml:space="preserve"> PAGE </w:instrText>
    </w:r>
    <w:r w:rsidRPr="00D81948">
      <w:rPr>
        <w:rStyle w:val="Numrodepage"/>
        <w:rFonts w:ascii="Arial" w:hAnsi="Arial" w:cs="Arial"/>
        <w:sz w:val="20"/>
        <w:szCs w:val="20"/>
      </w:rPr>
      <w:fldChar w:fldCharType="separate"/>
    </w:r>
    <w:r w:rsidRPr="002B7155">
      <w:rPr>
        <w:rStyle w:val="Numrodepage"/>
        <w:rFonts w:ascii="Arial" w:hAnsi="Arial" w:cs="Arial"/>
        <w:noProof/>
        <w:sz w:val="20"/>
        <w:szCs w:val="20"/>
        <w:lang w:val="fr-FR"/>
      </w:rPr>
      <w:t>2</w:t>
    </w:r>
    <w:r w:rsidRPr="00D81948">
      <w:rPr>
        <w:rStyle w:val="Numrodepage"/>
        <w:rFonts w:ascii="Arial" w:hAnsi="Arial" w:cs="Arial"/>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CBD0B" w14:textId="2F17ED3B" w:rsidR="005B7E1E" w:rsidRPr="007E4E37" w:rsidRDefault="00913559" w:rsidP="007250E3">
    <w:pPr>
      <w:pStyle w:val="En-tte"/>
      <w:ind w:left="2544" w:firstLine="3693"/>
      <w:jc w:val="right"/>
      <w:rPr>
        <w:rFonts w:ascii="Arial" w:hAnsi="Arial" w:cs="Arial"/>
      </w:rPr>
    </w:pPr>
    <w:r>
      <w:rPr>
        <w:rFonts w:ascii="Arial" w:hAnsi="Arial" w:cs="Arial"/>
        <w:sz w:val="20"/>
        <w:szCs w:val="20"/>
        <w:lang w:val="en-US"/>
      </w:rPr>
      <w:t>LHE</w:t>
    </w:r>
    <w:r w:rsidR="005B7E1E">
      <w:rPr>
        <w:rFonts w:ascii="Arial" w:hAnsi="Arial" w:cs="Arial"/>
        <w:sz w:val="20"/>
        <w:szCs w:val="20"/>
        <w:lang w:val="en-US"/>
      </w:rPr>
      <w:t>/21/1</w:t>
    </w:r>
    <w:r w:rsidR="005B7E1E">
      <w:rPr>
        <w:rFonts w:ascii="Arial" w:eastAsiaTheme="minorEastAsia" w:hAnsi="Arial" w:cs="Arial"/>
        <w:sz w:val="20"/>
        <w:szCs w:val="20"/>
        <w:lang w:val="en-US" w:eastAsia="ko-KR"/>
      </w:rPr>
      <w:t>6</w:t>
    </w:r>
    <w:r w:rsidR="005B7E1E">
      <w:rPr>
        <w:rFonts w:ascii="Arial" w:hAnsi="Arial" w:cs="Arial"/>
        <w:sz w:val="20"/>
        <w:szCs w:val="20"/>
        <w:lang w:val="en-US"/>
      </w:rPr>
      <w:t>.COM</w:t>
    </w:r>
    <w:r w:rsidR="005B7E1E">
      <w:rPr>
        <w:rFonts w:ascii="Arial" w:eastAsiaTheme="minorEastAsia" w:hAnsi="Arial" w:cs="Arial" w:hint="eastAsia"/>
        <w:sz w:val="20"/>
        <w:szCs w:val="20"/>
        <w:lang w:val="en-US" w:eastAsia="ko-KR"/>
      </w:rPr>
      <w:t xml:space="preserve"> WG</w:t>
    </w:r>
    <w:r w:rsidR="005B7E1E">
      <w:rPr>
        <w:rFonts w:ascii="Arial" w:hAnsi="Arial" w:cs="Arial"/>
        <w:sz w:val="20"/>
        <w:szCs w:val="20"/>
        <w:lang w:val="en-US"/>
      </w:rPr>
      <w:t xml:space="preserve">/2 </w:t>
    </w:r>
    <w:r w:rsidR="005B7E1E" w:rsidRPr="00EF563B">
      <w:rPr>
        <w:rFonts w:ascii="Arial" w:hAnsi="Arial" w:cs="Arial"/>
        <w:sz w:val="20"/>
        <w:szCs w:val="20"/>
        <w:lang w:val="en-US"/>
      </w:rPr>
      <w:t xml:space="preserve">– page </w:t>
    </w:r>
    <w:r w:rsidR="005B7E1E" w:rsidRPr="00EF563B">
      <w:rPr>
        <w:rStyle w:val="Numrodepage"/>
        <w:rFonts w:ascii="Arial" w:hAnsi="Arial" w:cs="Arial"/>
        <w:sz w:val="20"/>
        <w:szCs w:val="20"/>
      </w:rPr>
      <w:fldChar w:fldCharType="begin"/>
    </w:r>
    <w:r w:rsidR="005B7E1E" w:rsidRPr="00EF563B">
      <w:rPr>
        <w:rStyle w:val="Numrodepage"/>
        <w:rFonts w:ascii="Arial" w:hAnsi="Arial" w:cs="Arial"/>
        <w:sz w:val="20"/>
        <w:szCs w:val="20"/>
        <w:lang w:val="en-US"/>
      </w:rPr>
      <w:instrText xml:space="preserve"> </w:instrText>
    </w:r>
    <w:r w:rsidR="005B7E1E">
      <w:rPr>
        <w:rStyle w:val="Numrodepage"/>
        <w:rFonts w:ascii="Arial" w:hAnsi="Arial" w:cs="Arial"/>
        <w:sz w:val="20"/>
        <w:szCs w:val="20"/>
        <w:lang w:val="en-US"/>
      </w:rPr>
      <w:instrText>PAGE</w:instrText>
    </w:r>
    <w:r w:rsidR="005B7E1E" w:rsidRPr="00EF563B">
      <w:rPr>
        <w:rStyle w:val="Numrodepage"/>
        <w:rFonts w:ascii="Arial" w:hAnsi="Arial" w:cs="Arial"/>
        <w:sz w:val="20"/>
        <w:szCs w:val="20"/>
        <w:lang w:val="en-US"/>
      </w:rPr>
      <w:instrText xml:space="preserve"> </w:instrText>
    </w:r>
    <w:r w:rsidR="005B7E1E" w:rsidRPr="00EF563B">
      <w:rPr>
        <w:rStyle w:val="Numrodepage"/>
        <w:rFonts w:ascii="Arial" w:hAnsi="Arial" w:cs="Arial"/>
        <w:sz w:val="20"/>
        <w:szCs w:val="20"/>
      </w:rPr>
      <w:fldChar w:fldCharType="separate"/>
    </w:r>
    <w:r w:rsidR="005B7E1E">
      <w:rPr>
        <w:rStyle w:val="Numrodepage"/>
        <w:rFonts w:ascii="Arial" w:hAnsi="Arial" w:cs="Arial"/>
        <w:noProof/>
        <w:sz w:val="20"/>
        <w:szCs w:val="20"/>
        <w:lang w:val="en-US"/>
      </w:rPr>
      <w:t>3</w:t>
    </w:r>
    <w:r w:rsidR="005B7E1E" w:rsidRPr="00EF563B">
      <w:rPr>
        <w:rStyle w:val="Numrodepage"/>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2C8B6" w14:textId="77777777" w:rsidR="005B7E1E" w:rsidRPr="008724E5" w:rsidRDefault="005B7E1E">
    <w:pPr>
      <w:pStyle w:val="En-tte"/>
    </w:pPr>
    <w:r>
      <w:rPr>
        <w:noProof/>
        <w:lang w:val="fr-FR" w:eastAsia="zh-CN"/>
      </w:rPr>
      <w:drawing>
        <wp:anchor distT="0" distB="0" distL="114300" distR="114300" simplePos="0" relativeHeight="251657728" behindDoc="0" locked="0" layoutInCell="1" allowOverlap="1" wp14:anchorId="2361CBA2" wp14:editId="79CDBAAC">
          <wp:simplePos x="0" y="0"/>
          <wp:positionH relativeFrom="column">
            <wp:posOffset>-567690</wp:posOffset>
          </wp:positionH>
          <wp:positionV relativeFrom="paragraph">
            <wp:posOffset>3810</wp:posOffset>
          </wp:positionV>
          <wp:extent cx="2228215" cy="1367790"/>
          <wp:effectExtent l="0" t="0" r="635" b="3810"/>
          <wp:wrapNone/>
          <wp:docPr id="2" name="Picture 6"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esco_logo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21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8AC81C" w14:textId="6640EA2C" w:rsidR="005B7E1E" w:rsidRPr="002E79D3" w:rsidRDefault="005B7E1E" w:rsidP="002938F2">
    <w:pPr>
      <w:pStyle w:val="En-tte"/>
      <w:spacing w:after="520"/>
      <w:jc w:val="right"/>
      <w:rPr>
        <w:rFonts w:ascii="Arial" w:eastAsiaTheme="minorEastAsia" w:hAnsi="Arial" w:cs="Arial"/>
        <w:b/>
        <w:sz w:val="44"/>
        <w:szCs w:val="44"/>
        <w:lang w:val="pt-PT" w:eastAsia="ko-KR"/>
      </w:rPr>
    </w:pPr>
    <w:r w:rsidRPr="002E79D3">
      <w:rPr>
        <w:rFonts w:ascii="Arial" w:hAnsi="Arial" w:cs="Arial"/>
        <w:b/>
        <w:sz w:val="44"/>
        <w:szCs w:val="44"/>
        <w:lang w:val="pt-PT"/>
      </w:rPr>
      <w:t>1</w:t>
    </w:r>
    <w:r w:rsidRPr="002E79D3">
      <w:rPr>
        <w:rFonts w:ascii="Arial" w:eastAsiaTheme="minorEastAsia" w:hAnsi="Arial" w:cs="Arial"/>
        <w:b/>
        <w:sz w:val="44"/>
        <w:szCs w:val="44"/>
        <w:lang w:val="pt-PT" w:eastAsia="ko-KR"/>
      </w:rPr>
      <w:t>6</w:t>
    </w:r>
    <w:r w:rsidRPr="002E79D3">
      <w:rPr>
        <w:rFonts w:ascii="Arial" w:hAnsi="Arial" w:cs="Arial"/>
        <w:b/>
        <w:sz w:val="44"/>
        <w:szCs w:val="44"/>
        <w:lang w:val="pt-PT"/>
      </w:rPr>
      <w:t xml:space="preserve"> COM</w:t>
    </w:r>
    <w:r w:rsidRPr="002E79D3">
      <w:rPr>
        <w:rFonts w:ascii="Arial" w:eastAsiaTheme="minorEastAsia" w:hAnsi="Arial" w:cs="Arial" w:hint="eastAsia"/>
        <w:b/>
        <w:sz w:val="44"/>
        <w:szCs w:val="44"/>
        <w:lang w:val="pt-PT" w:eastAsia="ko-KR"/>
      </w:rPr>
      <w:t xml:space="preserve"> WG</w:t>
    </w:r>
  </w:p>
  <w:p w14:paraId="122B936C" w14:textId="0C83CCBF" w:rsidR="005B7E1E" w:rsidRPr="002E79D3" w:rsidRDefault="005B7E1E" w:rsidP="002D396D">
    <w:pPr>
      <w:spacing w:after="0"/>
      <w:jc w:val="right"/>
      <w:rPr>
        <w:rFonts w:ascii="Arial" w:eastAsiaTheme="minorEastAsia" w:hAnsi="Arial" w:cs="Arial"/>
        <w:b/>
        <w:szCs w:val="22"/>
        <w:lang w:val="pt-PT" w:eastAsia="ko-KR"/>
      </w:rPr>
    </w:pPr>
    <w:r w:rsidRPr="002E79D3">
      <w:rPr>
        <w:rFonts w:ascii="Arial" w:hAnsi="Arial" w:cs="Arial"/>
        <w:b/>
        <w:szCs w:val="22"/>
        <w:lang w:val="pt-PT"/>
      </w:rPr>
      <w:t>LHE/21/1</w:t>
    </w:r>
    <w:r w:rsidRPr="002E79D3">
      <w:rPr>
        <w:rFonts w:ascii="Arial" w:eastAsiaTheme="minorEastAsia" w:hAnsi="Arial" w:cs="Arial"/>
        <w:b/>
        <w:szCs w:val="22"/>
        <w:lang w:val="pt-PT" w:eastAsia="ko-KR"/>
      </w:rPr>
      <w:t>6</w:t>
    </w:r>
    <w:r w:rsidRPr="002E79D3">
      <w:rPr>
        <w:rFonts w:ascii="Arial" w:hAnsi="Arial" w:cs="Arial"/>
        <w:b/>
        <w:szCs w:val="22"/>
        <w:lang w:val="pt-PT"/>
      </w:rPr>
      <w:t>.COM</w:t>
    </w:r>
    <w:r w:rsidRPr="002E79D3">
      <w:rPr>
        <w:rFonts w:ascii="Arial" w:eastAsiaTheme="minorEastAsia" w:hAnsi="Arial" w:cs="Arial" w:hint="eastAsia"/>
        <w:b/>
        <w:szCs w:val="22"/>
        <w:lang w:val="pt-PT" w:eastAsia="ko-KR"/>
      </w:rPr>
      <w:t xml:space="preserve"> WG</w:t>
    </w:r>
    <w:r w:rsidRPr="002E79D3">
      <w:rPr>
        <w:rFonts w:ascii="Arial" w:hAnsi="Arial" w:cs="Arial"/>
        <w:b/>
        <w:szCs w:val="22"/>
        <w:lang w:val="pt-PT"/>
      </w:rPr>
      <w:t>/2</w:t>
    </w:r>
  </w:p>
  <w:p w14:paraId="2CC34105" w14:textId="2275198D" w:rsidR="005B7E1E" w:rsidRPr="007250E3" w:rsidRDefault="005B7E1E" w:rsidP="00C81439">
    <w:pPr>
      <w:spacing w:after="0"/>
      <w:jc w:val="right"/>
      <w:rPr>
        <w:rFonts w:ascii="Arial" w:eastAsiaTheme="minorEastAsia" w:hAnsi="Arial" w:cs="Arial"/>
        <w:b/>
        <w:szCs w:val="22"/>
        <w:lang w:eastAsia="ko-KR"/>
      </w:rPr>
    </w:pPr>
    <w:r w:rsidRPr="003B18FF">
      <w:rPr>
        <w:rFonts w:ascii="Arial" w:hAnsi="Arial" w:cs="Arial"/>
        <w:b/>
        <w:szCs w:val="22"/>
      </w:rPr>
      <w:t xml:space="preserve">Paris, </w:t>
    </w:r>
    <w:r w:rsidR="004C15A1" w:rsidRPr="003B18FF">
      <w:rPr>
        <w:rFonts w:ascii="Arial" w:hAnsi="Arial" w:cs="Arial"/>
        <w:b/>
        <w:szCs w:val="22"/>
      </w:rPr>
      <w:t>28</w:t>
    </w:r>
    <w:r w:rsidR="0079003D" w:rsidRPr="003B18FF">
      <w:rPr>
        <w:rFonts w:ascii="Arial" w:hAnsi="Arial" w:cs="Arial"/>
        <w:b/>
        <w:szCs w:val="22"/>
      </w:rPr>
      <w:t xml:space="preserve"> </w:t>
    </w:r>
    <w:r w:rsidRPr="003B18FF">
      <w:rPr>
        <w:rFonts w:ascii="Arial" w:hAnsi="Arial" w:cs="Arial"/>
        <w:b/>
        <w:szCs w:val="22"/>
      </w:rPr>
      <w:t>June 2021</w:t>
    </w:r>
  </w:p>
  <w:p w14:paraId="59A22BCA" w14:textId="77777777" w:rsidR="005B7E1E" w:rsidRPr="00D81948" w:rsidRDefault="005B7E1E" w:rsidP="00C81439">
    <w:pPr>
      <w:spacing w:after="0"/>
      <w:jc w:val="right"/>
      <w:rPr>
        <w:rFonts w:ascii="Arial" w:hAnsi="Arial" w:cs="Arial"/>
        <w:b/>
        <w:szCs w:val="22"/>
      </w:rPr>
    </w:pPr>
    <w:r w:rsidRPr="00D81948">
      <w:rPr>
        <w:rFonts w:ascii="Arial" w:hAnsi="Arial" w:cs="Arial"/>
        <w:b/>
        <w:szCs w:val="22"/>
      </w:rPr>
      <w:t xml:space="preserve">Original: </w:t>
    </w:r>
    <w:r>
      <w:rPr>
        <w:rFonts w:ascii="Arial" w:hAnsi="Arial" w:cs="Arial"/>
        <w:b/>
        <w:szCs w:val="22"/>
      </w:rPr>
      <w:t>English</w:t>
    </w:r>
  </w:p>
  <w:p w14:paraId="3D76CF75" w14:textId="77777777" w:rsidR="005B7E1E" w:rsidRPr="00D81948" w:rsidRDefault="005B7E1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59077BE"/>
    <w:multiLevelType w:val="hybridMultilevel"/>
    <w:tmpl w:val="29EEE8D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FF66812"/>
    <w:multiLevelType w:val="hybridMultilevel"/>
    <w:tmpl w:val="5DCCEC14"/>
    <w:lvl w:ilvl="0" w:tplc="040C0015">
      <w:start w:val="1"/>
      <w:numFmt w:val="upperLetter"/>
      <w:lvlText w:val="%1."/>
      <w:lvlJc w:val="left"/>
      <w:pPr>
        <w:ind w:left="720" w:hanging="360"/>
      </w:pPr>
      <w:rPr>
        <w:rFonts w:hint="default"/>
        <w:b w:val="0"/>
        <w:i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6012006"/>
    <w:multiLevelType w:val="hybridMultilevel"/>
    <w:tmpl w:val="63FC1A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902D6A"/>
    <w:multiLevelType w:val="multilevel"/>
    <w:tmpl w:val="DE6C6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F07BFE"/>
    <w:multiLevelType w:val="hybridMultilevel"/>
    <w:tmpl w:val="6CC67502"/>
    <w:lvl w:ilvl="0" w:tplc="3864E488">
      <w:start w:val="1"/>
      <w:numFmt w:val="decimal"/>
      <w:pStyle w:val="1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9" w15:restartNumberingAfterBreak="0">
    <w:nsid w:val="38B37589"/>
    <w:multiLevelType w:val="hybridMultilevel"/>
    <w:tmpl w:val="AFAC0E9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0" w15:restartNumberingAfterBreak="0">
    <w:nsid w:val="397A4DB1"/>
    <w:multiLevelType w:val="hybridMultilevel"/>
    <w:tmpl w:val="3006DECA"/>
    <w:lvl w:ilvl="0" w:tplc="2A3EDD4C">
      <w:start w:val="1"/>
      <w:numFmt w:val="decimal"/>
      <w:pStyle w:val="COMParaDecision"/>
      <w:lvlText w:val="%1."/>
      <w:lvlJc w:val="left"/>
      <w:pPr>
        <w:ind w:left="360" w:hanging="360"/>
      </w:pPr>
      <w:rPr>
        <w:rFonts w:hint="default"/>
        <w:b w:val="0"/>
      </w:rPr>
    </w:lvl>
    <w:lvl w:ilvl="1" w:tplc="040C0019">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1" w15:restartNumberingAfterBreak="0">
    <w:nsid w:val="3A7A0CD7"/>
    <w:multiLevelType w:val="hybridMultilevel"/>
    <w:tmpl w:val="6FE8954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5ECD35B7"/>
    <w:multiLevelType w:val="hybridMultilevel"/>
    <w:tmpl w:val="E40E89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4CD5B5B"/>
    <w:multiLevelType w:val="hybridMultilevel"/>
    <w:tmpl w:val="0434A4B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A9B1360"/>
    <w:multiLevelType w:val="hybridMultilevel"/>
    <w:tmpl w:val="924CFA76"/>
    <w:lvl w:ilvl="0" w:tplc="AF164E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8F06C5"/>
    <w:multiLevelType w:val="hybridMultilevel"/>
    <w:tmpl w:val="E4B6A2AC"/>
    <w:lvl w:ilvl="0" w:tplc="040C0015">
      <w:start w:val="1"/>
      <w:numFmt w:val="upperLetter"/>
      <w:lvlText w:val="%1."/>
      <w:lvlJc w:val="left"/>
      <w:pPr>
        <w:ind w:left="927" w:hanging="360"/>
      </w:p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7" w15:restartNumberingAfterBreak="0">
    <w:nsid w:val="74413AFC"/>
    <w:multiLevelType w:val="hybridMultilevel"/>
    <w:tmpl w:val="14BA81A4"/>
    <w:lvl w:ilvl="0" w:tplc="6B0C0B98">
      <w:start w:val="1"/>
      <w:numFmt w:val="upperRoman"/>
      <w:lvlText w:val="%1."/>
      <w:lvlJc w:val="left"/>
      <w:pPr>
        <w:ind w:left="720" w:hanging="720"/>
      </w:pPr>
      <w:rPr>
        <w:rFont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8"/>
  </w:num>
  <w:num w:numId="3">
    <w:abstractNumId w:val="2"/>
  </w:num>
  <w:num w:numId="4">
    <w:abstractNumId w:val="18"/>
  </w:num>
  <w:num w:numId="5">
    <w:abstractNumId w:val="14"/>
  </w:num>
  <w:num w:numId="6">
    <w:abstractNumId w:val="0"/>
  </w:num>
  <w:num w:numId="7">
    <w:abstractNumId w:val="3"/>
  </w:num>
  <w:num w:numId="8">
    <w:abstractNumId w:val="7"/>
  </w:num>
  <w:num w:numId="9">
    <w:abstractNumId w:val="15"/>
  </w:num>
  <w:num w:numId="10">
    <w:abstractNumId w:val="7"/>
    <w:lvlOverride w:ilvl="0">
      <w:startOverride w:val="1"/>
    </w:lvlOverride>
  </w:num>
  <w:num w:numId="11">
    <w:abstractNumId w:val="17"/>
  </w:num>
  <w:num w:numId="12">
    <w:abstractNumId w:val="10"/>
  </w:num>
  <w:num w:numId="13">
    <w:abstractNumId w:val="7"/>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6"/>
  </w:num>
  <w:num w:numId="18">
    <w:abstractNumId w:val="11"/>
  </w:num>
  <w:num w:numId="19">
    <w:abstractNumId w:val="1"/>
  </w:num>
  <w:num w:numId="20">
    <w:abstractNumId w:val="10"/>
  </w:num>
  <w:num w:numId="21">
    <w:abstractNumId w:val="10"/>
  </w:num>
  <w:num w:numId="22">
    <w:abstractNumId w:val="10"/>
  </w:num>
  <w:num w:numId="23">
    <w:abstractNumId w:val="10"/>
  </w:num>
  <w:num w:numId="24">
    <w:abstractNumId w:val="10"/>
  </w:num>
  <w:num w:numId="25">
    <w:abstractNumId w:val="13"/>
  </w:num>
  <w:num w:numId="26">
    <w:abstractNumId w:val="6"/>
  </w:num>
  <w:num w:numId="27">
    <w:abstractNumId w:val="4"/>
  </w:num>
  <w:num w:numId="28">
    <w:abstractNumId w:val="5"/>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1CB"/>
    <w:rsid w:val="000016A4"/>
    <w:rsid w:val="000019DB"/>
    <w:rsid w:val="000047CC"/>
    <w:rsid w:val="000120FD"/>
    <w:rsid w:val="00021003"/>
    <w:rsid w:val="00021831"/>
    <w:rsid w:val="00021ADA"/>
    <w:rsid w:val="00023B3F"/>
    <w:rsid w:val="00023D86"/>
    <w:rsid w:val="00030455"/>
    <w:rsid w:val="0003114B"/>
    <w:rsid w:val="000326B4"/>
    <w:rsid w:val="00032887"/>
    <w:rsid w:val="00037AEC"/>
    <w:rsid w:val="00041F5B"/>
    <w:rsid w:val="00041FC7"/>
    <w:rsid w:val="00047E58"/>
    <w:rsid w:val="000648DE"/>
    <w:rsid w:val="00073D20"/>
    <w:rsid w:val="000755E1"/>
    <w:rsid w:val="000800AD"/>
    <w:rsid w:val="00084643"/>
    <w:rsid w:val="00084713"/>
    <w:rsid w:val="00085541"/>
    <w:rsid w:val="00093063"/>
    <w:rsid w:val="000933A8"/>
    <w:rsid w:val="000A34CE"/>
    <w:rsid w:val="000A3CBB"/>
    <w:rsid w:val="000B088A"/>
    <w:rsid w:val="000C3604"/>
    <w:rsid w:val="000C4A01"/>
    <w:rsid w:val="000C65E4"/>
    <w:rsid w:val="000C6D6C"/>
    <w:rsid w:val="000D346D"/>
    <w:rsid w:val="000D42D9"/>
    <w:rsid w:val="000E2FAB"/>
    <w:rsid w:val="000E3B48"/>
    <w:rsid w:val="000E507B"/>
    <w:rsid w:val="000E7D76"/>
    <w:rsid w:val="000F0D76"/>
    <w:rsid w:val="000F0D79"/>
    <w:rsid w:val="000F6708"/>
    <w:rsid w:val="00101233"/>
    <w:rsid w:val="00101594"/>
    <w:rsid w:val="00106B72"/>
    <w:rsid w:val="00112397"/>
    <w:rsid w:val="001150A8"/>
    <w:rsid w:val="001150C5"/>
    <w:rsid w:val="0011750D"/>
    <w:rsid w:val="00124F41"/>
    <w:rsid w:val="00125DC9"/>
    <w:rsid w:val="00125E5E"/>
    <w:rsid w:val="00131CFE"/>
    <w:rsid w:val="001373F5"/>
    <w:rsid w:val="001412DE"/>
    <w:rsid w:val="00144278"/>
    <w:rsid w:val="00144A4D"/>
    <w:rsid w:val="00151351"/>
    <w:rsid w:val="00165A76"/>
    <w:rsid w:val="00172FFD"/>
    <w:rsid w:val="00174B39"/>
    <w:rsid w:val="00180108"/>
    <w:rsid w:val="001871C9"/>
    <w:rsid w:val="00192A0E"/>
    <w:rsid w:val="00192ECC"/>
    <w:rsid w:val="001A1992"/>
    <w:rsid w:val="001A36AE"/>
    <w:rsid w:val="001A431C"/>
    <w:rsid w:val="001B2F76"/>
    <w:rsid w:val="001B5744"/>
    <w:rsid w:val="001C4180"/>
    <w:rsid w:val="001D00B5"/>
    <w:rsid w:val="001D0FC4"/>
    <w:rsid w:val="001D2163"/>
    <w:rsid w:val="001D3B29"/>
    <w:rsid w:val="001D59C8"/>
    <w:rsid w:val="001D6A72"/>
    <w:rsid w:val="001D7588"/>
    <w:rsid w:val="001E4EEB"/>
    <w:rsid w:val="001E6026"/>
    <w:rsid w:val="001F3696"/>
    <w:rsid w:val="001F37CA"/>
    <w:rsid w:val="001F4EAF"/>
    <w:rsid w:val="001F5A4C"/>
    <w:rsid w:val="00204B37"/>
    <w:rsid w:val="0021084F"/>
    <w:rsid w:val="002119C5"/>
    <w:rsid w:val="00214510"/>
    <w:rsid w:val="002151D1"/>
    <w:rsid w:val="0022638C"/>
    <w:rsid w:val="00226DD8"/>
    <w:rsid w:val="00237E43"/>
    <w:rsid w:val="00240E3A"/>
    <w:rsid w:val="00242A76"/>
    <w:rsid w:val="00251C9B"/>
    <w:rsid w:val="00260E1E"/>
    <w:rsid w:val="00270AAF"/>
    <w:rsid w:val="0027198B"/>
    <w:rsid w:val="00273FCC"/>
    <w:rsid w:val="00286607"/>
    <w:rsid w:val="00286C0C"/>
    <w:rsid w:val="00287EA0"/>
    <w:rsid w:val="00290D5F"/>
    <w:rsid w:val="00291CBB"/>
    <w:rsid w:val="00292DE8"/>
    <w:rsid w:val="002938F2"/>
    <w:rsid w:val="00293AD8"/>
    <w:rsid w:val="002B43A8"/>
    <w:rsid w:val="002B7155"/>
    <w:rsid w:val="002B7873"/>
    <w:rsid w:val="002C5280"/>
    <w:rsid w:val="002D396D"/>
    <w:rsid w:val="002E79D3"/>
    <w:rsid w:val="002F684C"/>
    <w:rsid w:val="003100C6"/>
    <w:rsid w:val="00315588"/>
    <w:rsid w:val="00315834"/>
    <w:rsid w:val="00320B39"/>
    <w:rsid w:val="00320B47"/>
    <w:rsid w:val="00323D95"/>
    <w:rsid w:val="00325538"/>
    <w:rsid w:val="00325BC7"/>
    <w:rsid w:val="00330EEA"/>
    <w:rsid w:val="0034060E"/>
    <w:rsid w:val="003409D3"/>
    <w:rsid w:val="003430CB"/>
    <w:rsid w:val="00343B50"/>
    <w:rsid w:val="00346C5A"/>
    <w:rsid w:val="003530DA"/>
    <w:rsid w:val="00355398"/>
    <w:rsid w:val="0035648A"/>
    <w:rsid w:val="00361888"/>
    <w:rsid w:val="00362300"/>
    <w:rsid w:val="00363995"/>
    <w:rsid w:val="00367061"/>
    <w:rsid w:val="003818C3"/>
    <w:rsid w:val="0038749E"/>
    <w:rsid w:val="003936A5"/>
    <w:rsid w:val="0039446E"/>
    <w:rsid w:val="003969D0"/>
    <w:rsid w:val="00396F3A"/>
    <w:rsid w:val="003B18FF"/>
    <w:rsid w:val="003C4A7B"/>
    <w:rsid w:val="003C7065"/>
    <w:rsid w:val="003D527D"/>
    <w:rsid w:val="003F488D"/>
    <w:rsid w:val="003F67FB"/>
    <w:rsid w:val="00404082"/>
    <w:rsid w:val="00404BB0"/>
    <w:rsid w:val="00410107"/>
    <w:rsid w:val="004108B6"/>
    <w:rsid w:val="0041232F"/>
    <w:rsid w:val="004136BD"/>
    <w:rsid w:val="004176FC"/>
    <w:rsid w:val="00417D38"/>
    <w:rsid w:val="00434773"/>
    <w:rsid w:val="00442A07"/>
    <w:rsid w:val="00447C66"/>
    <w:rsid w:val="00450442"/>
    <w:rsid w:val="00455F1B"/>
    <w:rsid w:val="0045625C"/>
    <w:rsid w:val="0045700E"/>
    <w:rsid w:val="0046093B"/>
    <w:rsid w:val="004700F2"/>
    <w:rsid w:val="00470B8A"/>
    <w:rsid w:val="00471B34"/>
    <w:rsid w:val="00477EE6"/>
    <w:rsid w:val="00480ADB"/>
    <w:rsid w:val="004811E3"/>
    <w:rsid w:val="0048398C"/>
    <w:rsid w:val="00486141"/>
    <w:rsid w:val="00493D63"/>
    <w:rsid w:val="004944E6"/>
    <w:rsid w:val="004A04D4"/>
    <w:rsid w:val="004A5722"/>
    <w:rsid w:val="004A73DF"/>
    <w:rsid w:val="004B4BAC"/>
    <w:rsid w:val="004C15A1"/>
    <w:rsid w:val="004C4AA1"/>
    <w:rsid w:val="004C6463"/>
    <w:rsid w:val="004D5A69"/>
    <w:rsid w:val="004D7E65"/>
    <w:rsid w:val="004E056C"/>
    <w:rsid w:val="004E2817"/>
    <w:rsid w:val="004E35CD"/>
    <w:rsid w:val="004F00EC"/>
    <w:rsid w:val="004F0E6C"/>
    <w:rsid w:val="004F5403"/>
    <w:rsid w:val="00500954"/>
    <w:rsid w:val="005016FB"/>
    <w:rsid w:val="00511D17"/>
    <w:rsid w:val="00515706"/>
    <w:rsid w:val="0051699F"/>
    <w:rsid w:val="00524D77"/>
    <w:rsid w:val="00533BCA"/>
    <w:rsid w:val="005414A1"/>
    <w:rsid w:val="00546FA4"/>
    <w:rsid w:val="00552FE1"/>
    <w:rsid w:val="00555734"/>
    <w:rsid w:val="00570FAD"/>
    <w:rsid w:val="00584908"/>
    <w:rsid w:val="005872ED"/>
    <w:rsid w:val="005908B4"/>
    <w:rsid w:val="00597FF2"/>
    <w:rsid w:val="005B605E"/>
    <w:rsid w:val="005B7E1E"/>
    <w:rsid w:val="005C0660"/>
    <w:rsid w:val="005C0CA5"/>
    <w:rsid w:val="005C44B9"/>
    <w:rsid w:val="005C64AC"/>
    <w:rsid w:val="005D4567"/>
    <w:rsid w:val="005D5219"/>
    <w:rsid w:val="005E15B1"/>
    <w:rsid w:val="00600D1E"/>
    <w:rsid w:val="00601DD6"/>
    <w:rsid w:val="00603F71"/>
    <w:rsid w:val="0061046D"/>
    <w:rsid w:val="00613E96"/>
    <w:rsid w:val="00614AEF"/>
    <w:rsid w:val="00621AEA"/>
    <w:rsid w:val="00631C3B"/>
    <w:rsid w:val="0063668D"/>
    <w:rsid w:val="00636760"/>
    <w:rsid w:val="006477EE"/>
    <w:rsid w:val="006515C9"/>
    <w:rsid w:val="00652318"/>
    <w:rsid w:val="00656517"/>
    <w:rsid w:val="00656539"/>
    <w:rsid w:val="0067005F"/>
    <w:rsid w:val="00672BE1"/>
    <w:rsid w:val="00673B0E"/>
    <w:rsid w:val="00676DF9"/>
    <w:rsid w:val="00681F02"/>
    <w:rsid w:val="006865E9"/>
    <w:rsid w:val="006933FA"/>
    <w:rsid w:val="00693F84"/>
    <w:rsid w:val="00693FA2"/>
    <w:rsid w:val="00695786"/>
    <w:rsid w:val="006A0D86"/>
    <w:rsid w:val="006A1BA1"/>
    <w:rsid w:val="006A1EE1"/>
    <w:rsid w:val="006A4386"/>
    <w:rsid w:val="006A43F1"/>
    <w:rsid w:val="006A5149"/>
    <w:rsid w:val="006B128F"/>
    <w:rsid w:val="006B1967"/>
    <w:rsid w:val="006B7965"/>
    <w:rsid w:val="006C0911"/>
    <w:rsid w:val="006D117B"/>
    <w:rsid w:val="006D46FB"/>
    <w:rsid w:val="006D5A7B"/>
    <w:rsid w:val="006E6838"/>
    <w:rsid w:val="006F4731"/>
    <w:rsid w:val="006F7862"/>
    <w:rsid w:val="00702A4D"/>
    <w:rsid w:val="00716846"/>
    <w:rsid w:val="00717994"/>
    <w:rsid w:val="00723785"/>
    <w:rsid w:val="007250E3"/>
    <w:rsid w:val="00730937"/>
    <w:rsid w:val="0073708A"/>
    <w:rsid w:val="00741B75"/>
    <w:rsid w:val="00742972"/>
    <w:rsid w:val="007432C0"/>
    <w:rsid w:val="00746204"/>
    <w:rsid w:val="007472D8"/>
    <w:rsid w:val="00747715"/>
    <w:rsid w:val="00750138"/>
    <w:rsid w:val="0075148D"/>
    <w:rsid w:val="00753DA3"/>
    <w:rsid w:val="0075552D"/>
    <w:rsid w:val="00761C2D"/>
    <w:rsid w:val="00764F50"/>
    <w:rsid w:val="00766165"/>
    <w:rsid w:val="0076675D"/>
    <w:rsid w:val="00770A92"/>
    <w:rsid w:val="0077529C"/>
    <w:rsid w:val="00785737"/>
    <w:rsid w:val="007860DB"/>
    <w:rsid w:val="0079003D"/>
    <w:rsid w:val="00790C65"/>
    <w:rsid w:val="00792183"/>
    <w:rsid w:val="0079717B"/>
    <w:rsid w:val="007974B1"/>
    <w:rsid w:val="007A1845"/>
    <w:rsid w:val="007A6715"/>
    <w:rsid w:val="007A7D45"/>
    <w:rsid w:val="007B1229"/>
    <w:rsid w:val="007B43F7"/>
    <w:rsid w:val="007C172B"/>
    <w:rsid w:val="007C1B00"/>
    <w:rsid w:val="007D2C21"/>
    <w:rsid w:val="007D31CE"/>
    <w:rsid w:val="007D58D8"/>
    <w:rsid w:val="007D5BB7"/>
    <w:rsid w:val="007D626D"/>
    <w:rsid w:val="007E0621"/>
    <w:rsid w:val="007E4E37"/>
    <w:rsid w:val="007F1940"/>
    <w:rsid w:val="007F3C3B"/>
    <w:rsid w:val="007F4B07"/>
    <w:rsid w:val="00804CDD"/>
    <w:rsid w:val="00805C1B"/>
    <w:rsid w:val="008060EE"/>
    <w:rsid w:val="0080722B"/>
    <w:rsid w:val="008115B8"/>
    <w:rsid w:val="0081713A"/>
    <w:rsid w:val="00817A85"/>
    <w:rsid w:val="0083488D"/>
    <w:rsid w:val="00835A80"/>
    <w:rsid w:val="00843B71"/>
    <w:rsid w:val="00846555"/>
    <w:rsid w:val="008466C3"/>
    <w:rsid w:val="00851458"/>
    <w:rsid w:val="00861A47"/>
    <w:rsid w:val="0086228F"/>
    <w:rsid w:val="00863018"/>
    <w:rsid w:val="008707FF"/>
    <w:rsid w:val="00870B0D"/>
    <w:rsid w:val="008724E5"/>
    <w:rsid w:val="00873263"/>
    <w:rsid w:val="00882E9B"/>
    <w:rsid w:val="00885ED5"/>
    <w:rsid w:val="00886D5F"/>
    <w:rsid w:val="00892FCC"/>
    <w:rsid w:val="008956A2"/>
    <w:rsid w:val="00896195"/>
    <w:rsid w:val="00897C36"/>
    <w:rsid w:val="008B6351"/>
    <w:rsid w:val="008B7346"/>
    <w:rsid w:val="008C27EE"/>
    <w:rsid w:val="008C4EB5"/>
    <w:rsid w:val="008C5ECC"/>
    <w:rsid w:val="008C7206"/>
    <w:rsid w:val="008D1FED"/>
    <w:rsid w:val="008D3BF7"/>
    <w:rsid w:val="008D7E29"/>
    <w:rsid w:val="008E706B"/>
    <w:rsid w:val="008F02BA"/>
    <w:rsid w:val="008F16C6"/>
    <w:rsid w:val="008F181D"/>
    <w:rsid w:val="008F34A1"/>
    <w:rsid w:val="00904A6A"/>
    <w:rsid w:val="009121CE"/>
    <w:rsid w:val="009127D8"/>
    <w:rsid w:val="00913559"/>
    <w:rsid w:val="00914113"/>
    <w:rsid w:val="00917315"/>
    <w:rsid w:val="00917E1D"/>
    <w:rsid w:val="00921F65"/>
    <w:rsid w:val="009368AF"/>
    <w:rsid w:val="00940104"/>
    <w:rsid w:val="00941DE0"/>
    <w:rsid w:val="00942D05"/>
    <w:rsid w:val="00953B5B"/>
    <w:rsid w:val="00953C48"/>
    <w:rsid w:val="00953FA9"/>
    <w:rsid w:val="00954030"/>
    <w:rsid w:val="0096206F"/>
    <w:rsid w:val="0096682A"/>
    <w:rsid w:val="00971FE7"/>
    <w:rsid w:val="0097349C"/>
    <w:rsid w:val="00973521"/>
    <w:rsid w:val="009748D2"/>
    <w:rsid w:val="009807E7"/>
    <w:rsid w:val="009952ED"/>
    <w:rsid w:val="0099582B"/>
    <w:rsid w:val="009A235B"/>
    <w:rsid w:val="009A77C1"/>
    <w:rsid w:val="009B4F53"/>
    <w:rsid w:val="009C4903"/>
    <w:rsid w:val="009D15FD"/>
    <w:rsid w:val="009D4547"/>
    <w:rsid w:val="009D5E38"/>
    <w:rsid w:val="009E03EC"/>
    <w:rsid w:val="009E2BA9"/>
    <w:rsid w:val="009E4E85"/>
    <w:rsid w:val="009F2A43"/>
    <w:rsid w:val="009F34A4"/>
    <w:rsid w:val="009F3988"/>
    <w:rsid w:val="00A00D55"/>
    <w:rsid w:val="00A150C7"/>
    <w:rsid w:val="00A22BD2"/>
    <w:rsid w:val="00A235F6"/>
    <w:rsid w:val="00A343FB"/>
    <w:rsid w:val="00A37C85"/>
    <w:rsid w:val="00A4166E"/>
    <w:rsid w:val="00A50DA1"/>
    <w:rsid w:val="00A519A2"/>
    <w:rsid w:val="00A52100"/>
    <w:rsid w:val="00A52B09"/>
    <w:rsid w:val="00A54886"/>
    <w:rsid w:val="00A62167"/>
    <w:rsid w:val="00A70883"/>
    <w:rsid w:val="00A76324"/>
    <w:rsid w:val="00A7716A"/>
    <w:rsid w:val="00A77AEB"/>
    <w:rsid w:val="00A82F1E"/>
    <w:rsid w:val="00A86042"/>
    <w:rsid w:val="00A87743"/>
    <w:rsid w:val="00A941D4"/>
    <w:rsid w:val="00A95BD1"/>
    <w:rsid w:val="00AA1A7B"/>
    <w:rsid w:val="00AA444A"/>
    <w:rsid w:val="00AA52F3"/>
    <w:rsid w:val="00AB1528"/>
    <w:rsid w:val="00AB3F33"/>
    <w:rsid w:val="00AB649A"/>
    <w:rsid w:val="00AC39D4"/>
    <w:rsid w:val="00AD17EB"/>
    <w:rsid w:val="00AE1AA6"/>
    <w:rsid w:val="00AE1B18"/>
    <w:rsid w:val="00AE751D"/>
    <w:rsid w:val="00AF00E2"/>
    <w:rsid w:val="00AF1C32"/>
    <w:rsid w:val="00B00F23"/>
    <w:rsid w:val="00B11AE3"/>
    <w:rsid w:val="00B34306"/>
    <w:rsid w:val="00B355D4"/>
    <w:rsid w:val="00B42541"/>
    <w:rsid w:val="00B46B82"/>
    <w:rsid w:val="00B50BCF"/>
    <w:rsid w:val="00B524E0"/>
    <w:rsid w:val="00B60DF4"/>
    <w:rsid w:val="00B6167A"/>
    <w:rsid w:val="00B6401A"/>
    <w:rsid w:val="00B66515"/>
    <w:rsid w:val="00B66DAC"/>
    <w:rsid w:val="00B72C75"/>
    <w:rsid w:val="00B80498"/>
    <w:rsid w:val="00B82E42"/>
    <w:rsid w:val="00B86156"/>
    <w:rsid w:val="00B95968"/>
    <w:rsid w:val="00B96A90"/>
    <w:rsid w:val="00B973B5"/>
    <w:rsid w:val="00BA06B8"/>
    <w:rsid w:val="00BA34EA"/>
    <w:rsid w:val="00BB1831"/>
    <w:rsid w:val="00BB2F06"/>
    <w:rsid w:val="00BC4BCB"/>
    <w:rsid w:val="00BC7E7F"/>
    <w:rsid w:val="00BD05EB"/>
    <w:rsid w:val="00BD59BD"/>
    <w:rsid w:val="00BF6CC2"/>
    <w:rsid w:val="00C00ED2"/>
    <w:rsid w:val="00C128AC"/>
    <w:rsid w:val="00C22908"/>
    <w:rsid w:val="00C231CB"/>
    <w:rsid w:val="00C2382E"/>
    <w:rsid w:val="00C255F2"/>
    <w:rsid w:val="00C262AD"/>
    <w:rsid w:val="00C26EE2"/>
    <w:rsid w:val="00C30373"/>
    <w:rsid w:val="00C3546D"/>
    <w:rsid w:val="00C37D50"/>
    <w:rsid w:val="00C43A81"/>
    <w:rsid w:val="00C5044B"/>
    <w:rsid w:val="00C50F78"/>
    <w:rsid w:val="00C52126"/>
    <w:rsid w:val="00C54547"/>
    <w:rsid w:val="00C56E97"/>
    <w:rsid w:val="00C56FAA"/>
    <w:rsid w:val="00C60A1A"/>
    <w:rsid w:val="00C612F4"/>
    <w:rsid w:val="00C62AC0"/>
    <w:rsid w:val="00C6478B"/>
    <w:rsid w:val="00C71B47"/>
    <w:rsid w:val="00C7215F"/>
    <w:rsid w:val="00C81439"/>
    <w:rsid w:val="00CA078D"/>
    <w:rsid w:val="00CA35B7"/>
    <w:rsid w:val="00CA6DC5"/>
    <w:rsid w:val="00CA6FEF"/>
    <w:rsid w:val="00CB0DCC"/>
    <w:rsid w:val="00CB0F37"/>
    <w:rsid w:val="00CB500D"/>
    <w:rsid w:val="00CB644A"/>
    <w:rsid w:val="00CB79CF"/>
    <w:rsid w:val="00CC2BC6"/>
    <w:rsid w:val="00CC3E25"/>
    <w:rsid w:val="00CC4364"/>
    <w:rsid w:val="00CC7BA2"/>
    <w:rsid w:val="00CD78C5"/>
    <w:rsid w:val="00CE2586"/>
    <w:rsid w:val="00CE3162"/>
    <w:rsid w:val="00CE508A"/>
    <w:rsid w:val="00CF0F3D"/>
    <w:rsid w:val="00CF3DBC"/>
    <w:rsid w:val="00CF56DC"/>
    <w:rsid w:val="00D0014D"/>
    <w:rsid w:val="00D00B1F"/>
    <w:rsid w:val="00D156D1"/>
    <w:rsid w:val="00D17602"/>
    <w:rsid w:val="00D22FFD"/>
    <w:rsid w:val="00D23B0D"/>
    <w:rsid w:val="00D240E8"/>
    <w:rsid w:val="00D250D5"/>
    <w:rsid w:val="00D33FE7"/>
    <w:rsid w:val="00D35290"/>
    <w:rsid w:val="00D404B7"/>
    <w:rsid w:val="00D447EC"/>
    <w:rsid w:val="00D56318"/>
    <w:rsid w:val="00D645E1"/>
    <w:rsid w:val="00D65CBF"/>
    <w:rsid w:val="00D6765C"/>
    <w:rsid w:val="00D67886"/>
    <w:rsid w:val="00D70C3C"/>
    <w:rsid w:val="00D746B6"/>
    <w:rsid w:val="00D74958"/>
    <w:rsid w:val="00D77B35"/>
    <w:rsid w:val="00D809E5"/>
    <w:rsid w:val="00D81948"/>
    <w:rsid w:val="00D8663F"/>
    <w:rsid w:val="00D916D8"/>
    <w:rsid w:val="00D9501F"/>
    <w:rsid w:val="00D96B72"/>
    <w:rsid w:val="00DA202F"/>
    <w:rsid w:val="00DA53F3"/>
    <w:rsid w:val="00DA743A"/>
    <w:rsid w:val="00DB153D"/>
    <w:rsid w:val="00DB47DE"/>
    <w:rsid w:val="00DB50D5"/>
    <w:rsid w:val="00DB52A6"/>
    <w:rsid w:val="00DE7675"/>
    <w:rsid w:val="00DF3DA3"/>
    <w:rsid w:val="00E06A00"/>
    <w:rsid w:val="00E11FC4"/>
    <w:rsid w:val="00E158FF"/>
    <w:rsid w:val="00E17562"/>
    <w:rsid w:val="00E22B99"/>
    <w:rsid w:val="00E258D9"/>
    <w:rsid w:val="00E26722"/>
    <w:rsid w:val="00E34635"/>
    <w:rsid w:val="00E35410"/>
    <w:rsid w:val="00E37B70"/>
    <w:rsid w:val="00E4242B"/>
    <w:rsid w:val="00E439CA"/>
    <w:rsid w:val="00E43DAE"/>
    <w:rsid w:val="00E45A3D"/>
    <w:rsid w:val="00E46CF9"/>
    <w:rsid w:val="00E5219B"/>
    <w:rsid w:val="00E52EA2"/>
    <w:rsid w:val="00E61669"/>
    <w:rsid w:val="00E668F9"/>
    <w:rsid w:val="00E67E3D"/>
    <w:rsid w:val="00E70AED"/>
    <w:rsid w:val="00E7143C"/>
    <w:rsid w:val="00E824FB"/>
    <w:rsid w:val="00E852FB"/>
    <w:rsid w:val="00EA060A"/>
    <w:rsid w:val="00EA198F"/>
    <w:rsid w:val="00EB5D77"/>
    <w:rsid w:val="00EB7EF0"/>
    <w:rsid w:val="00EC09FD"/>
    <w:rsid w:val="00EC3C88"/>
    <w:rsid w:val="00EC625C"/>
    <w:rsid w:val="00ED5986"/>
    <w:rsid w:val="00EF0BCB"/>
    <w:rsid w:val="00EF0E74"/>
    <w:rsid w:val="00F00E8A"/>
    <w:rsid w:val="00F05D28"/>
    <w:rsid w:val="00F12841"/>
    <w:rsid w:val="00F13869"/>
    <w:rsid w:val="00F31AEC"/>
    <w:rsid w:val="00F33650"/>
    <w:rsid w:val="00F3520E"/>
    <w:rsid w:val="00F4192F"/>
    <w:rsid w:val="00F473CB"/>
    <w:rsid w:val="00F50245"/>
    <w:rsid w:val="00F5640C"/>
    <w:rsid w:val="00F56851"/>
    <w:rsid w:val="00F60D16"/>
    <w:rsid w:val="00F61B6E"/>
    <w:rsid w:val="00F63DDA"/>
    <w:rsid w:val="00F64F9E"/>
    <w:rsid w:val="00F70858"/>
    <w:rsid w:val="00F7397F"/>
    <w:rsid w:val="00F75949"/>
    <w:rsid w:val="00F75CF4"/>
    <w:rsid w:val="00F822AF"/>
    <w:rsid w:val="00F85524"/>
    <w:rsid w:val="00F85BA7"/>
    <w:rsid w:val="00F87635"/>
    <w:rsid w:val="00F941F0"/>
    <w:rsid w:val="00F94903"/>
    <w:rsid w:val="00F9678E"/>
    <w:rsid w:val="00FA09A2"/>
    <w:rsid w:val="00FA36E3"/>
    <w:rsid w:val="00FB33BC"/>
    <w:rsid w:val="00FB7133"/>
    <w:rsid w:val="00FD1935"/>
    <w:rsid w:val="00FD4226"/>
    <w:rsid w:val="00FD67DB"/>
    <w:rsid w:val="00FE1BCC"/>
    <w:rsid w:val="00FE7D93"/>
    <w:rsid w:val="00FF0B98"/>
    <w:rsid w:val="00FF2B1D"/>
    <w:rsid w:val="00FF3A7A"/>
  </w:rsids>
  <m:mathPr>
    <m:mathFont m:val="Cambria Math"/>
    <m:brkBin m:val="before"/>
    <m:brkBinSub m:val="--"/>
    <m:smallFrac m:val="0"/>
    <m:dispDef/>
    <m:lMargin m:val="0"/>
    <m:rMargin m:val="0"/>
    <m:defJc m:val="centerGroup"/>
    <m:wrapIndent m:val="1440"/>
    <m:intLim m:val="subSup"/>
    <m:naryLim m:val="undOvr"/>
  </m:mathPr>
  <w:themeFontLang w:val="fr-FR"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68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2B99"/>
    <w:pPr>
      <w:spacing w:after="120"/>
    </w:pPr>
    <w:rPr>
      <w:rFonts w:ascii="Times New Roman" w:eastAsia="Times New Roman" w:hAnsi="Times New Roman"/>
      <w:sz w:val="22"/>
      <w:szCs w:val="24"/>
      <w:lang w:val="en-GB"/>
    </w:rPr>
  </w:style>
  <w:style w:type="paragraph" w:styleId="Titre2">
    <w:name w:val="heading 2"/>
    <w:basedOn w:val="Normal"/>
    <w:next w:val="Normal"/>
    <w:link w:val="Titre2Car"/>
    <w:uiPriority w:val="9"/>
    <w:qFormat/>
    <w:rsid w:val="00564DDB"/>
    <w:pPr>
      <w:keepNext/>
      <w:spacing w:before="240" w:after="60"/>
      <w:outlineLvl w:val="1"/>
    </w:pPr>
    <w:rPr>
      <w:rFonts w:ascii="Cambria" w:hAnsi="Cambria"/>
      <w:b/>
      <w:bCs/>
      <w:i/>
      <w:iCs/>
      <w:sz w:val="28"/>
      <w:szCs w:val="28"/>
    </w:rPr>
  </w:style>
  <w:style w:type="paragraph" w:styleId="Titre4">
    <w:name w:val="heading 4"/>
    <w:aliases w:val="GA Heading"/>
    <w:basedOn w:val="Normal"/>
    <w:next w:val="Normal"/>
    <w:link w:val="Titre4Car"/>
    <w:qFormat/>
    <w:rsid w:val="00F66657"/>
    <w:pPr>
      <w:keepNext/>
      <w:keepLines/>
      <w:tabs>
        <w:tab w:val="left" w:pos="567"/>
      </w:tabs>
      <w:snapToGrid w:val="0"/>
      <w:spacing w:after="240"/>
      <w:outlineLvl w:val="3"/>
    </w:pPr>
    <w:rPr>
      <w:rFonts w:ascii="Arial" w:hAnsi="Arial"/>
      <w:b/>
      <w:bCs/>
      <w:snapToGrid w:val="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724E5"/>
    <w:pPr>
      <w:tabs>
        <w:tab w:val="center" w:pos="4536"/>
        <w:tab w:val="right" w:pos="9072"/>
      </w:tabs>
      <w:spacing w:after="0"/>
    </w:pPr>
  </w:style>
  <w:style w:type="character" w:customStyle="1" w:styleId="En-tteCar">
    <w:name w:val="En-tête Car"/>
    <w:link w:val="En-tte"/>
    <w:rsid w:val="008724E5"/>
    <w:rPr>
      <w:lang w:val="en-GB"/>
    </w:rPr>
  </w:style>
  <w:style w:type="paragraph" w:styleId="Pieddepage">
    <w:name w:val="footer"/>
    <w:basedOn w:val="Normal"/>
    <w:link w:val="PieddepageCar"/>
    <w:uiPriority w:val="99"/>
    <w:unhideWhenUsed/>
    <w:rsid w:val="008724E5"/>
    <w:pPr>
      <w:tabs>
        <w:tab w:val="center" w:pos="4536"/>
        <w:tab w:val="right" w:pos="9072"/>
      </w:tabs>
      <w:spacing w:after="0"/>
    </w:pPr>
  </w:style>
  <w:style w:type="character" w:customStyle="1" w:styleId="PieddepageCar">
    <w:name w:val="Pied de page Car"/>
    <w:link w:val="Pieddepage"/>
    <w:uiPriority w:val="99"/>
    <w:rsid w:val="008724E5"/>
    <w:rPr>
      <w:lang w:val="en-GB"/>
    </w:rPr>
  </w:style>
  <w:style w:type="paragraph" w:styleId="Textedebulles">
    <w:name w:val="Balloon Text"/>
    <w:basedOn w:val="Normal"/>
    <w:link w:val="TextedebullesCar"/>
    <w:uiPriority w:val="99"/>
    <w:semiHidden/>
    <w:unhideWhenUsed/>
    <w:rsid w:val="008724E5"/>
    <w:pPr>
      <w:spacing w:after="0"/>
    </w:pPr>
    <w:rPr>
      <w:rFonts w:ascii="Tahoma" w:hAnsi="Tahoma" w:cs="Tahoma"/>
      <w:sz w:val="16"/>
      <w:szCs w:val="16"/>
    </w:rPr>
  </w:style>
  <w:style w:type="character" w:customStyle="1" w:styleId="TextedebullesCar">
    <w:name w:val="Texte de bulles Car"/>
    <w:link w:val="Textedebulles"/>
    <w:uiPriority w:val="99"/>
    <w:semiHidden/>
    <w:rsid w:val="008724E5"/>
    <w:rPr>
      <w:rFonts w:ascii="Tahoma" w:hAnsi="Tahoma" w:cs="Tahoma"/>
      <w:sz w:val="16"/>
      <w:szCs w:val="16"/>
      <w:lang w:val="en-GB"/>
    </w:rPr>
  </w:style>
  <w:style w:type="paragraph" w:customStyle="1" w:styleId="Sansinterligne1">
    <w:name w:val="Sans interligne1"/>
    <w:uiPriority w:val="1"/>
    <w:qFormat/>
    <w:rsid w:val="006C3FFC"/>
    <w:rPr>
      <w:rFonts w:ascii="Times New Roman" w:eastAsia="Times New Roman" w:hAnsi="Times New Roman"/>
      <w:sz w:val="24"/>
      <w:szCs w:val="24"/>
    </w:rPr>
  </w:style>
  <w:style w:type="table" w:styleId="Grilledutableau">
    <w:name w:val="Table Grid"/>
    <w:basedOn w:val="TableauNormal"/>
    <w:uiPriority w:val="3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semiHidden/>
    <w:rsid w:val="00EF563B"/>
  </w:style>
  <w:style w:type="character" w:customStyle="1" w:styleId="Titre4Car">
    <w:name w:val="Titre 4 Car"/>
    <w:aliases w:val="GA Heading Car"/>
    <w:link w:val="Titre4"/>
    <w:rsid w:val="00F66657"/>
    <w:rPr>
      <w:rFonts w:ascii="Arial" w:eastAsia="Times New Roman" w:hAnsi="Arial"/>
      <w:b/>
      <w:bCs/>
      <w:snapToGrid w:val="0"/>
      <w:sz w:val="22"/>
      <w:szCs w:val="24"/>
      <w:lang w:val="en-GB" w:eastAsia="en-US"/>
    </w:rPr>
  </w:style>
  <w:style w:type="paragraph" w:customStyle="1" w:styleId="ColorfulList-Accent11">
    <w:name w:val="Colorful List - Accent 11"/>
    <w:basedOn w:val="Normal"/>
    <w:uiPriority w:val="34"/>
    <w:qFormat/>
    <w:rsid w:val="00F66657"/>
    <w:pPr>
      <w:ind w:left="720"/>
      <w:contextualSpacing/>
    </w:pPr>
  </w:style>
  <w:style w:type="character" w:customStyle="1" w:styleId="Titre2Car">
    <w:name w:val="Titre 2 Car"/>
    <w:link w:val="Titre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lang w:eastAsia="en-US"/>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lang w:eastAsia="en-US"/>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lang w:eastAsia="zh-CN"/>
    </w:rPr>
  </w:style>
  <w:style w:type="character" w:customStyle="1" w:styleId="apple-style-span">
    <w:name w:val="apple-style-span"/>
    <w:basedOn w:val="Policepardfaut"/>
    <w:rsid w:val="00564DDB"/>
  </w:style>
  <w:style w:type="character" w:customStyle="1" w:styleId="apple-converted-space">
    <w:name w:val="apple-converted-space"/>
    <w:basedOn w:val="Policepardfaut"/>
    <w:rsid w:val="00564DDB"/>
  </w:style>
  <w:style w:type="character" w:styleId="Marquedecommentaire">
    <w:name w:val="annotation reference"/>
    <w:rsid w:val="00B11AE3"/>
    <w:rPr>
      <w:sz w:val="16"/>
      <w:szCs w:val="16"/>
    </w:rPr>
  </w:style>
  <w:style w:type="paragraph" w:styleId="Commentaire">
    <w:name w:val="annotation text"/>
    <w:basedOn w:val="Normal"/>
    <w:link w:val="CommentaireCar"/>
    <w:rsid w:val="00B11AE3"/>
    <w:rPr>
      <w:sz w:val="20"/>
      <w:szCs w:val="20"/>
    </w:rPr>
  </w:style>
  <w:style w:type="character" w:customStyle="1" w:styleId="CommentaireCar">
    <w:name w:val="Commentaire Car"/>
    <w:link w:val="Commentaire"/>
    <w:rsid w:val="00B11AE3"/>
    <w:rPr>
      <w:rFonts w:ascii="Times New Roman" w:eastAsia="Times New Roman" w:hAnsi="Times New Roman"/>
      <w:lang w:val="en-GB"/>
    </w:rPr>
  </w:style>
  <w:style w:type="paragraph" w:styleId="Objetducommentaire">
    <w:name w:val="annotation subject"/>
    <w:basedOn w:val="Commentaire"/>
    <w:next w:val="Commentaire"/>
    <w:link w:val="ObjetducommentaireCar"/>
    <w:rsid w:val="00B11AE3"/>
    <w:rPr>
      <w:b/>
      <w:bCs/>
    </w:rPr>
  </w:style>
  <w:style w:type="character" w:customStyle="1" w:styleId="ObjetducommentaireCar">
    <w:name w:val="Objet du commentaire Car"/>
    <w:link w:val="Objetducommentaire"/>
    <w:rsid w:val="00B11AE3"/>
    <w:rPr>
      <w:rFonts w:ascii="Times New Roman" w:eastAsia="Times New Roman" w:hAnsi="Times New Roman"/>
      <w:b/>
      <w:bCs/>
      <w:lang w:val="en-GB"/>
    </w:rPr>
  </w:style>
  <w:style w:type="paragraph" w:customStyle="1" w:styleId="1GAPara">
    <w:name w:val="1. GA Para"/>
    <w:qFormat/>
    <w:rsid w:val="00E22B99"/>
    <w:pPr>
      <w:numPr>
        <w:numId w:val="8"/>
      </w:numPr>
      <w:spacing w:after="120"/>
    </w:pPr>
    <w:rPr>
      <w:rFonts w:ascii="Arial" w:eastAsia="Times New Roman" w:hAnsi="Arial" w:cs="Arial"/>
      <w:snapToGrid w:val="0"/>
      <w:sz w:val="22"/>
      <w:szCs w:val="22"/>
      <w:lang w:val="en-GB" w:eastAsia="en-US"/>
    </w:rPr>
  </w:style>
  <w:style w:type="paragraph" w:customStyle="1" w:styleId="Sansinterligne2">
    <w:name w:val="Sans interligne2"/>
    <w:uiPriority w:val="1"/>
    <w:rsid w:val="00CB500D"/>
    <w:rPr>
      <w:rFonts w:ascii="Times New Roman" w:eastAsia="Times New Roman" w:hAnsi="Times New Roman"/>
      <w:sz w:val="24"/>
      <w:szCs w:val="24"/>
    </w:rPr>
  </w:style>
  <w:style w:type="table" w:customStyle="1" w:styleId="TableGrid1">
    <w:name w:val="Table Grid1"/>
    <w:basedOn w:val="TableauNormal"/>
    <w:next w:val="Grilledutableau"/>
    <w:uiPriority w:val="59"/>
    <w:rsid w:val="00A00D55"/>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MPara">
    <w:name w:val="COM Para"/>
    <w:qFormat/>
    <w:rsid w:val="005908B4"/>
    <w:pPr>
      <w:spacing w:after="120"/>
      <w:ind w:left="567" w:hanging="567"/>
    </w:pPr>
    <w:rPr>
      <w:rFonts w:ascii="Arial" w:eastAsia="Times New Roman" w:hAnsi="Arial" w:cs="Arial"/>
      <w:snapToGrid w:val="0"/>
      <w:sz w:val="22"/>
      <w:szCs w:val="22"/>
      <w:lang w:val="en-GB" w:eastAsia="en-US"/>
    </w:rPr>
  </w:style>
  <w:style w:type="character" w:styleId="Lienhypertexte">
    <w:name w:val="Hyperlink"/>
    <w:aliases w:val=" Car Car3 Char, Car Car3 Char Char Char Char"/>
    <w:link w:val="CarCar3"/>
    <w:unhideWhenUsed/>
    <w:rsid w:val="005908B4"/>
    <w:rPr>
      <w:color w:val="0000FF"/>
      <w:u w:val="single"/>
    </w:rPr>
  </w:style>
  <w:style w:type="paragraph" w:styleId="Notedebasdepage">
    <w:name w:val="footnote text"/>
    <w:basedOn w:val="Normal"/>
    <w:link w:val="NotedebasdepageCar"/>
    <w:uiPriority w:val="99"/>
    <w:semiHidden/>
    <w:unhideWhenUsed/>
    <w:rsid w:val="005908B4"/>
    <w:pPr>
      <w:spacing w:after="0"/>
    </w:pPr>
    <w:rPr>
      <w:sz w:val="20"/>
      <w:szCs w:val="20"/>
      <w:lang w:val="fr-FR"/>
    </w:rPr>
  </w:style>
  <w:style w:type="character" w:customStyle="1" w:styleId="NotedebasdepageCar">
    <w:name w:val="Note de bas de page Car"/>
    <w:basedOn w:val="Policepardfaut"/>
    <w:link w:val="Notedebasdepage"/>
    <w:uiPriority w:val="99"/>
    <w:semiHidden/>
    <w:rsid w:val="005908B4"/>
    <w:rPr>
      <w:rFonts w:ascii="Times New Roman" w:eastAsia="Times New Roman" w:hAnsi="Times New Roman"/>
    </w:rPr>
  </w:style>
  <w:style w:type="character" w:styleId="Appelnotedebasdep">
    <w:name w:val="footnote reference"/>
    <w:basedOn w:val="Policepardfaut"/>
    <w:uiPriority w:val="99"/>
    <w:semiHidden/>
    <w:unhideWhenUsed/>
    <w:rsid w:val="005908B4"/>
    <w:rPr>
      <w:vertAlign w:val="superscript"/>
    </w:rPr>
  </w:style>
  <w:style w:type="paragraph" w:customStyle="1" w:styleId="GAPara">
    <w:name w:val="GA Para"/>
    <w:qFormat/>
    <w:rsid w:val="005908B4"/>
    <w:pPr>
      <w:spacing w:after="120"/>
      <w:ind w:left="1287" w:hanging="360"/>
    </w:pPr>
    <w:rPr>
      <w:rFonts w:ascii="Arial" w:eastAsia="Times New Roman" w:hAnsi="Arial" w:cs="Arial"/>
      <w:snapToGrid w:val="0"/>
      <w:sz w:val="22"/>
      <w:szCs w:val="22"/>
      <w:lang w:val="en-GB" w:eastAsia="en-US"/>
    </w:rPr>
  </w:style>
  <w:style w:type="paragraph" w:styleId="Paragraphedeliste">
    <w:name w:val="List Paragraph"/>
    <w:basedOn w:val="Normal"/>
    <w:qFormat/>
    <w:rsid w:val="005908B4"/>
    <w:pPr>
      <w:ind w:left="720"/>
      <w:contextualSpacing/>
    </w:pPr>
  </w:style>
  <w:style w:type="paragraph" w:customStyle="1" w:styleId="COMParaDecision">
    <w:name w:val="COM Para Decision"/>
    <w:basedOn w:val="Normal"/>
    <w:qFormat/>
    <w:rsid w:val="00B34306"/>
    <w:pPr>
      <w:numPr>
        <w:numId w:val="12"/>
      </w:numPr>
      <w:autoSpaceDE w:val="0"/>
      <w:autoSpaceDN w:val="0"/>
      <w:adjustRightInd w:val="0"/>
      <w:jc w:val="both"/>
    </w:pPr>
    <w:rPr>
      <w:rFonts w:ascii="Arial" w:eastAsia="SimSun" w:hAnsi="Arial" w:cs="Arial"/>
      <w:szCs w:val="22"/>
    </w:rPr>
  </w:style>
  <w:style w:type="character" w:styleId="Lienhypertextesuivivisit">
    <w:name w:val="FollowedHyperlink"/>
    <w:basedOn w:val="Policepardfaut"/>
    <w:semiHidden/>
    <w:unhideWhenUsed/>
    <w:rsid w:val="001D2163"/>
    <w:rPr>
      <w:color w:val="800080" w:themeColor="followedHyperlink"/>
      <w:u w:val="single"/>
    </w:rPr>
  </w:style>
  <w:style w:type="character" w:styleId="Mentionnonrsolue">
    <w:name w:val="Unresolved Mention"/>
    <w:basedOn w:val="Policepardfaut"/>
    <w:uiPriority w:val="99"/>
    <w:semiHidden/>
    <w:unhideWhenUsed/>
    <w:rsid w:val="00131CFE"/>
    <w:rPr>
      <w:color w:val="605E5C"/>
      <w:shd w:val="clear" w:color="auto" w:fill="E1DFDD"/>
    </w:rPr>
  </w:style>
  <w:style w:type="character" w:customStyle="1" w:styleId="hps">
    <w:name w:val="hps"/>
    <w:rsid w:val="00B46B82"/>
  </w:style>
  <w:style w:type="paragraph" w:customStyle="1" w:styleId="CarCar3">
    <w:name w:val="Car Car3"/>
    <w:aliases w:val=" Car Car3 Char Char"/>
    <w:basedOn w:val="Normal"/>
    <w:link w:val="Lienhypertexte"/>
    <w:rsid w:val="00A37C85"/>
    <w:pPr>
      <w:tabs>
        <w:tab w:val="left" w:pos="510"/>
        <w:tab w:val="right" w:pos="9639"/>
      </w:tabs>
      <w:autoSpaceDE w:val="0"/>
      <w:autoSpaceDN w:val="0"/>
      <w:adjustRightInd w:val="0"/>
      <w:spacing w:after="80" w:line="220" w:lineRule="exact"/>
      <w:ind w:left="1020" w:hanging="510"/>
      <w:jc w:val="both"/>
    </w:pPr>
    <w:rPr>
      <w:rFonts w:ascii="Calibri" w:eastAsia="SimSun" w:hAnsi="Calibri"/>
      <w:color w:val="0000FF"/>
      <w:sz w:val="20"/>
      <w:szCs w:val="20"/>
      <w:u w:val="single"/>
      <w:lang w:val="fr-FR"/>
    </w:rPr>
  </w:style>
  <w:style w:type="paragraph" w:styleId="Rvision">
    <w:name w:val="Revision"/>
    <w:hidden/>
    <w:semiHidden/>
    <w:rsid w:val="00C62AC0"/>
    <w:rPr>
      <w:rFonts w:ascii="Times New Roman" w:eastAsia="Times New Roman" w:hAnsi="Times New Roman"/>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052485">
      <w:bodyDiv w:val="1"/>
      <w:marLeft w:val="0"/>
      <w:marRight w:val="0"/>
      <w:marTop w:val="0"/>
      <w:marBottom w:val="0"/>
      <w:divBdr>
        <w:top w:val="none" w:sz="0" w:space="0" w:color="auto"/>
        <w:left w:val="none" w:sz="0" w:space="0" w:color="auto"/>
        <w:bottom w:val="none" w:sz="0" w:space="0" w:color="auto"/>
        <w:right w:val="none" w:sz="0" w:space="0" w:color="auto"/>
      </w:divBdr>
    </w:div>
    <w:div w:id="1830779572">
      <w:bodyDiv w:val="1"/>
      <w:marLeft w:val="0"/>
      <w:marRight w:val="0"/>
      <w:marTop w:val="0"/>
      <w:marBottom w:val="0"/>
      <w:divBdr>
        <w:top w:val="none" w:sz="0" w:space="0" w:color="auto"/>
        <w:left w:val="none" w:sz="0" w:space="0" w:color="auto"/>
        <w:bottom w:val="none" w:sz="0" w:space="0" w:color="auto"/>
        <w:right w:val="none" w:sz="0" w:space="0" w:color="auto"/>
      </w:divBdr>
      <w:divsChild>
        <w:div w:id="724719374">
          <w:marLeft w:val="0"/>
          <w:marRight w:val="0"/>
          <w:marTop w:val="0"/>
          <w:marBottom w:val="0"/>
          <w:divBdr>
            <w:top w:val="none" w:sz="0" w:space="0" w:color="auto"/>
            <w:left w:val="none" w:sz="0" w:space="0" w:color="auto"/>
            <w:bottom w:val="none" w:sz="0" w:space="0" w:color="auto"/>
            <w:right w:val="none" w:sz="0" w:space="0" w:color="auto"/>
          </w:divBdr>
        </w:div>
        <w:div w:id="1694381284">
          <w:marLeft w:val="0"/>
          <w:marRight w:val="0"/>
          <w:marTop w:val="0"/>
          <w:marBottom w:val="0"/>
          <w:divBdr>
            <w:top w:val="none" w:sz="0" w:space="0" w:color="auto"/>
            <w:left w:val="none" w:sz="0" w:space="0" w:color="auto"/>
            <w:bottom w:val="none" w:sz="0" w:space="0" w:color="auto"/>
            <w:right w:val="none" w:sz="0" w:space="0" w:color="auto"/>
          </w:divBdr>
        </w:div>
        <w:div w:id="949775295">
          <w:marLeft w:val="0"/>
          <w:marRight w:val="0"/>
          <w:marTop w:val="0"/>
          <w:marBottom w:val="0"/>
          <w:divBdr>
            <w:top w:val="none" w:sz="0" w:space="0" w:color="auto"/>
            <w:left w:val="none" w:sz="0" w:space="0" w:color="auto"/>
            <w:bottom w:val="none" w:sz="0" w:space="0" w:color="auto"/>
            <w:right w:val="none" w:sz="0" w:space="0" w:color="auto"/>
          </w:divBdr>
        </w:div>
        <w:div w:id="863515527">
          <w:marLeft w:val="0"/>
          <w:marRight w:val="0"/>
          <w:marTop w:val="0"/>
          <w:marBottom w:val="0"/>
          <w:divBdr>
            <w:top w:val="none" w:sz="0" w:space="0" w:color="auto"/>
            <w:left w:val="none" w:sz="0" w:space="0" w:color="auto"/>
            <w:bottom w:val="none" w:sz="0" w:space="0" w:color="auto"/>
            <w:right w:val="none" w:sz="0" w:space="0" w:color="auto"/>
          </w:divBdr>
        </w:div>
        <w:div w:id="1704095364">
          <w:marLeft w:val="0"/>
          <w:marRight w:val="0"/>
          <w:marTop w:val="0"/>
          <w:marBottom w:val="0"/>
          <w:divBdr>
            <w:top w:val="none" w:sz="0" w:space="0" w:color="auto"/>
            <w:left w:val="none" w:sz="0" w:space="0" w:color="auto"/>
            <w:bottom w:val="none" w:sz="0" w:space="0" w:color="auto"/>
            <w:right w:val="none" w:sz="0" w:space="0" w:color="auto"/>
          </w:divBdr>
        </w:div>
        <w:div w:id="1740594977">
          <w:marLeft w:val="0"/>
          <w:marRight w:val="0"/>
          <w:marTop w:val="0"/>
          <w:marBottom w:val="0"/>
          <w:divBdr>
            <w:top w:val="none" w:sz="0" w:space="0" w:color="auto"/>
            <w:left w:val="none" w:sz="0" w:space="0" w:color="auto"/>
            <w:bottom w:val="none" w:sz="0" w:space="0" w:color="auto"/>
            <w:right w:val="none" w:sz="0" w:space="0" w:color="auto"/>
          </w:divBdr>
        </w:div>
        <w:div w:id="260066398">
          <w:marLeft w:val="0"/>
          <w:marRight w:val="0"/>
          <w:marTop w:val="0"/>
          <w:marBottom w:val="0"/>
          <w:divBdr>
            <w:top w:val="none" w:sz="0" w:space="0" w:color="auto"/>
            <w:left w:val="none" w:sz="0" w:space="0" w:color="auto"/>
            <w:bottom w:val="none" w:sz="0" w:space="0" w:color="auto"/>
            <w:right w:val="none" w:sz="0" w:space="0" w:color="auto"/>
          </w:divBdr>
        </w:div>
        <w:div w:id="1110859422">
          <w:marLeft w:val="0"/>
          <w:marRight w:val="0"/>
          <w:marTop w:val="0"/>
          <w:marBottom w:val="0"/>
          <w:divBdr>
            <w:top w:val="none" w:sz="0" w:space="0" w:color="auto"/>
            <w:left w:val="none" w:sz="0" w:space="0" w:color="auto"/>
            <w:bottom w:val="none" w:sz="0" w:space="0" w:color="auto"/>
            <w:right w:val="none" w:sz="0" w:space="0" w:color="auto"/>
          </w:divBdr>
        </w:div>
      </w:divsChild>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h.unesco.org/en/Decisions/13.COM/6" TargetMode="External"/><Relationship Id="rId13" Type="http://schemas.openxmlformats.org/officeDocument/2006/relationships/hyperlink" Target="https://ich.unesco.org/en/global-reflection-on-the-listing-mechanisms-01164" TargetMode="External"/><Relationship Id="rId18" Type="http://schemas.openxmlformats.org/officeDocument/2006/relationships/hyperlink" Target="https://ich.unesco.org/en/Resolutions/8.GA/11" TargetMode="External"/><Relationship Id="rId26" Type="http://schemas.openxmlformats.org/officeDocument/2006/relationships/hyperlink" Target="https://ich.unesco.org/doc/src/LHE-21-EXP-3_Rev-EN.docx"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ich.unesco.org/doc/src/LHE-21-EXP-INF.2-EN.pdf" TargetMode="External"/><Relationship Id="rId34" Type="http://schemas.openxmlformats.org/officeDocument/2006/relationships/hyperlink" Target="https://ich.unesco.org/en/Decisions/12.COM/14" TargetMode="External"/><Relationship Id="rId7" Type="http://schemas.openxmlformats.org/officeDocument/2006/relationships/endnotes" Target="endnotes.xml"/><Relationship Id="rId12" Type="http://schemas.openxmlformats.org/officeDocument/2006/relationships/hyperlink" Target="https://ich.unesco.org/en/Decisions/13.COM/10" TargetMode="External"/><Relationship Id="rId17" Type="http://schemas.openxmlformats.org/officeDocument/2006/relationships/hyperlink" Target="https://ich.unesco.org/en/Decisions/14.COM/14" TargetMode="External"/><Relationship Id="rId25" Type="http://schemas.openxmlformats.org/officeDocument/2006/relationships/hyperlink" Target="https://ich.unesco.org/en/online-meeting-of-experts-category-vi-01165" TargetMode="External"/><Relationship Id="rId33" Type="http://schemas.openxmlformats.org/officeDocument/2006/relationships/hyperlink" Target="https://ich.unesco.org/en/Decisions/12.COM/11"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ich.unesco.org/doc/src/LHE-19-14.COM-14-EN.docx" TargetMode="External"/><Relationship Id="rId20" Type="http://schemas.openxmlformats.org/officeDocument/2006/relationships/hyperlink" Target="https://ich.unesco.org/en/Resolutions/8.GA/10" TargetMode="External"/><Relationship Id="rId29" Type="http://schemas.openxmlformats.org/officeDocument/2006/relationships/hyperlink" Target="https://ich.unesco.org/doc/src/LHE-21-16.COM_WG-3-EN.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h.unesco.org/en/Decisions/13.COM/6" TargetMode="External"/><Relationship Id="rId24" Type="http://schemas.openxmlformats.org/officeDocument/2006/relationships/hyperlink" Target="https://ich.unesco.org/doc/src/LHE-21-EXP-INF.1.pdf" TargetMode="External"/><Relationship Id="rId32" Type="http://schemas.openxmlformats.org/officeDocument/2006/relationships/hyperlink" Target="https://ich.unesco.org/doc/src/LHE-21-16.COM_WG-3-EN.docx"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ch.unesco.org/en/Resolutions/8.GA/11" TargetMode="External"/><Relationship Id="rId23" Type="http://schemas.openxmlformats.org/officeDocument/2006/relationships/hyperlink" Target="https://ich.unesco.org/doc/src/LHE-21-EXP-5-EN.docx" TargetMode="External"/><Relationship Id="rId28" Type="http://schemas.openxmlformats.org/officeDocument/2006/relationships/hyperlink" Target="https://ich.unesco.org/doc/src/LHE-21-EXP-7-EN.docx" TargetMode="External"/><Relationship Id="rId36" Type="http://schemas.openxmlformats.org/officeDocument/2006/relationships/hyperlink" Target="https://ich.unesco.org/en/Decisions/14.COM/14" TargetMode="External"/><Relationship Id="rId10" Type="http://schemas.openxmlformats.org/officeDocument/2006/relationships/hyperlink" Target="https://ich.unesco.org/en/Decisions/12.COM/14" TargetMode="External"/><Relationship Id="rId19" Type="http://schemas.openxmlformats.org/officeDocument/2006/relationships/hyperlink" Target="https://ich.unesco.org/en/Decisions/13.COM/10" TargetMode="External"/><Relationship Id="rId31" Type="http://schemas.openxmlformats.org/officeDocument/2006/relationships/hyperlink" Target="https://ich.unesco.org/en/list-of-participants-01178" TargetMode="External"/><Relationship Id="rId4" Type="http://schemas.openxmlformats.org/officeDocument/2006/relationships/settings" Target="settings.xml"/><Relationship Id="rId9" Type="http://schemas.openxmlformats.org/officeDocument/2006/relationships/hyperlink" Target="https://ich.unesco.org/en/Decisions/13.COM/10" TargetMode="External"/><Relationship Id="rId14" Type="http://schemas.openxmlformats.org/officeDocument/2006/relationships/hyperlink" Target="https://ich.unesco.org/doc/src/LHE-19-14.COM-14-EN.docx" TargetMode="External"/><Relationship Id="rId22" Type="http://schemas.openxmlformats.org/officeDocument/2006/relationships/hyperlink" Target="https://ich.unesco.org/doc/src/LHE-21-EXP-INF.2-FR.pdf" TargetMode="External"/><Relationship Id="rId27" Type="http://schemas.openxmlformats.org/officeDocument/2006/relationships/hyperlink" Target="https://ich.unesco.org/doc/src/LHE-21-EXP-4-EN_.docx" TargetMode="External"/><Relationship Id="rId30" Type="http://schemas.openxmlformats.org/officeDocument/2006/relationships/hyperlink" Target="https://ich.unesco.org/doc/src/LHE-21-16.COM_WG-1-EN.docx" TargetMode="External"/><Relationship Id="rId35" Type="http://schemas.openxmlformats.org/officeDocument/2006/relationships/hyperlink" Target="https://ich.unesco.org/en/Decisions/12.COM/14"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24AB9-B113-4AA1-A5C3-19BF1C62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4136</Words>
  <Characters>23578</Characters>
  <Application>Microsoft Office Word</Application>
  <DocSecurity>0</DocSecurity>
  <Lines>196</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2021-06-28T14:19:00Z</dcterms:created>
  <dcterms:modified xsi:type="dcterms:W3CDTF">2021-06-29T09:50:00Z</dcterms:modified>
</cp:coreProperties>
</file>