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3AE0E2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CONVENTION FOR THE SAFEGUARDING OF THE</w:t>
      </w:r>
      <w:r w:rsidRPr="00636760">
        <w:rPr>
          <w:rFonts w:ascii="Arial" w:hAnsi="Arial" w:cs="Arial"/>
          <w:b/>
          <w:szCs w:val="22"/>
        </w:rPr>
        <w:br/>
        <w:t>INTANGIBLE CULTURAL HERITAGE</w:t>
      </w:r>
    </w:p>
    <w:p w14:paraId="3A9B48CB" w14:textId="293FC0E0" w:rsidR="00F75CF4" w:rsidRDefault="00F75CF4" w:rsidP="00F75CF4">
      <w:pPr>
        <w:spacing w:before="840" w:after="0"/>
        <w:jc w:val="center"/>
        <w:rPr>
          <w:rFonts w:ascii="Arial" w:eastAsiaTheme="minorEastAsia" w:hAnsi="Arial" w:cs="Arial"/>
          <w:b/>
          <w:szCs w:val="22"/>
          <w:lang w:eastAsia="ko-KR"/>
        </w:rPr>
      </w:pPr>
      <w:r>
        <w:rPr>
          <w:rFonts w:ascii="Arial" w:eastAsiaTheme="minorEastAsia" w:hAnsi="Arial" w:cs="Arial" w:hint="eastAsia"/>
          <w:b/>
          <w:szCs w:val="22"/>
          <w:lang w:eastAsia="ko-KR"/>
        </w:rPr>
        <w:t>Open-ended intergovernmental working group</w:t>
      </w:r>
      <w:r>
        <w:rPr>
          <w:rFonts w:ascii="Arial" w:eastAsiaTheme="minorEastAsia" w:hAnsi="Arial" w:cs="Arial" w:hint="eastAsia"/>
          <w:b/>
          <w:szCs w:val="22"/>
          <w:lang w:eastAsia="ko-KR"/>
        </w:rPr>
        <w:br/>
      </w:r>
      <w:r w:rsidR="00292DE8" w:rsidRPr="00292DE8">
        <w:rPr>
          <w:rFonts w:ascii="Arial" w:eastAsiaTheme="minorEastAsia" w:hAnsi="Arial" w:cs="Arial"/>
          <w:b/>
          <w:szCs w:val="22"/>
          <w:lang w:eastAsia="ko-KR"/>
        </w:rPr>
        <w:t>in the framework of the global reflection on the listing mechanisms</w:t>
      </w:r>
      <w:r w:rsidR="00F3150D">
        <w:rPr>
          <w:rFonts w:ascii="Arial" w:eastAsiaTheme="minorEastAsia" w:hAnsi="Arial" w:cs="Arial"/>
          <w:b/>
          <w:szCs w:val="22"/>
          <w:lang w:eastAsia="ko-KR"/>
        </w:rPr>
        <w:t xml:space="preserve"> of the 2003 Convention</w:t>
      </w:r>
    </w:p>
    <w:p w14:paraId="3C71C8A8" w14:textId="77777777" w:rsidR="002840B6" w:rsidRDefault="002840B6" w:rsidP="002840B6">
      <w:pPr>
        <w:spacing w:before="840"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742BA547" w14:textId="77777777" w:rsidR="002840B6" w:rsidRPr="00F75CF4" w:rsidRDefault="002840B6" w:rsidP="002840B6">
      <w:pPr>
        <w:spacing w:after="0"/>
        <w:jc w:val="center"/>
        <w:rPr>
          <w:rFonts w:ascii="Arial" w:eastAsiaTheme="minorEastAsia" w:hAnsi="Arial" w:cs="Arial"/>
          <w:b/>
          <w:szCs w:val="22"/>
          <w:lang w:eastAsia="ko-KR"/>
        </w:rPr>
      </w:pPr>
      <w:r>
        <w:rPr>
          <w:rFonts w:ascii="Arial" w:eastAsiaTheme="minorEastAsia" w:hAnsi="Arial" w:cs="Arial"/>
          <w:b/>
          <w:szCs w:val="22"/>
          <w:lang w:eastAsia="ko-KR"/>
        </w:rPr>
        <w:t>9.30 – 17.30 (Paris time / UTC+2)</w:t>
      </w:r>
    </w:p>
    <w:p w14:paraId="4970833D" w14:textId="77777777" w:rsidR="002840B6" w:rsidRPr="006C2A6B" w:rsidRDefault="002840B6" w:rsidP="002840B6">
      <w:pPr>
        <w:spacing w:after="0"/>
        <w:jc w:val="center"/>
        <w:rPr>
          <w:rFonts w:ascii="Arial" w:hAnsi="Arial" w:cs="Arial"/>
          <w:b/>
          <w:szCs w:val="22"/>
        </w:rPr>
      </w:pPr>
      <w:r>
        <w:rPr>
          <w:rFonts w:ascii="Arial" w:eastAsiaTheme="minorEastAsia" w:hAnsi="Arial" w:cs="Arial"/>
          <w:b/>
          <w:szCs w:val="22"/>
          <w:lang w:eastAsia="ko-KR"/>
        </w:rPr>
        <w:t>9 and 10 September</w:t>
      </w:r>
      <w:r>
        <w:rPr>
          <w:rFonts w:ascii="Arial" w:hAnsi="Arial" w:cs="Arial"/>
          <w:b/>
          <w:szCs w:val="22"/>
        </w:rPr>
        <w:t xml:space="preserve"> 2021 </w:t>
      </w:r>
      <w:r w:rsidRPr="005B0C62">
        <w:rPr>
          <w:rFonts w:ascii="Arial" w:hAnsi="Arial" w:cs="Arial"/>
          <w:b/>
          <w:szCs w:val="22"/>
        </w:rPr>
        <w:t>(Part I</w:t>
      </w:r>
      <w:r>
        <w:rPr>
          <w:rFonts w:ascii="Arial" w:hAnsi="Arial" w:cs="Arial"/>
          <w:b/>
          <w:szCs w:val="22"/>
        </w:rPr>
        <w:t>I</w:t>
      </w:r>
      <w:r w:rsidRPr="005B0C62">
        <w:rPr>
          <w:rFonts w:ascii="Arial" w:hAnsi="Arial" w:cs="Arial"/>
          <w:b/>
          <w:szCs w:val="22"/>
        </w:rPr>
        <w:t>)</w:t>
      </w:r>
    </w:p>
    <w:p w14:paraId="202C5426" w14:textId="0E966FD2" w:rsidR="00CB500D" w:rsidRPr="00293C60" w:rsidRDefault="00CB500D" w:rsidP="00CB500D">
      <w:pPr>
        <w:pStyle w:val="Sansinterligne2"/>
        <w:spacing w:before="720"/>
        <w:jc w:val="center"/>
        <w:rPr>
          <w:rFonts w:ascii="Arial" w:hAnsi="Arial" w:cs="Arial"/>
          <w:b/>
          <w:sz w:val="22"/>
          <w:szCs w:val="22"/>
          <w:lang w:val="en-GB"/>
        </w:rPr>
      </w:pPr>
      <w:r w:rsidRPr="00293C60">
        <w:rPr>
          <w:rFonts w:ascii="Arial" w:hAnsi="Arial" w:cs="Arial"/>
          <w:b/>
          <w:sz w:val="22"/>
          <w:szCs w:val="22"/>
          <w:u w:val="single"/>
          <w:lang w:val="en-GB"/>
        </w:rPr>
        <w:t>Item</w:t>
      </w:r>
      <w:r w:rsidR="00365B94">
        <w:rPr>
          <w:rFonts w:ascii="Arial" w:hAnsi="Arial" w:cs="Arial"/>
          <w:b/>
          <w:sz w:val="22"/>
          <w:szCs w:val="22"/>
          <w:u w:val="single"/>
          <w:lang w:val="en-GB"/>
        </w:rPr>
        <w:t xml:space="preserve"> </w:t>
      </w:r>
      <w:r w:rsidR="00742BA3">
        <w:rPr>
          <w:rFonts w:ascii="Arial" w:hAnsi="Arial" w:cs="Arial"/>
          <w:b/>
          <w:sz w:val="22"/>
          <w:szCs w:val="22"/>
          <w:u w:val="single"/>
          <w:lang w:val="en-GB"/>
        </w:rPr>
        <w:t>5</w:t>
      </w:r>
      <w:r>
        <w:rPr>
          <w:rFonts w:ascii="Arial" w:hAnsi="Arial" w:cs="Arial"/>
          <w:b/>
          <w:sz w:val="22"/>
          <w:szCs w:val="22"/>
          <w:u w:val="single"/>
          <w:lang w:val="en-GB"/>
        </w:rPr>
        <w:t xml:space="preserve"> </w:t>
      </w:r>
      <w:r w:rsidRPr="00293C60">
        <w:rPr>
          <w:rFonts w:ascii="Arial" w:hAnsi="Arial" w:cs="Arial"/>
          <w:b/>
          <w:sz w:val="22"/>
          <w:szCs w:val="22"/>
          <w:u w:val="single"/>
          <w:lang w:val="en-GB"/>
        </w:rPr>
        <w:t>of the Agenda</w:t>
      </w:r>
      <w:r w:rsidRPr="00293C60">
        <w:rPr>
          <w:rFonts w:ascii="Arial" w:hAnsi="Arial" w:cs="Arial"/>
          <w:b/>
          <w:sz w:val="22"/>
          <w:szCs w:val="22"/>
          <w:lang w:val="en-GB"/>
        </w:rPr>
        <w:t>:</w:t>
      </w:r>
    </w:p>
    <w:p w14:paraId="31D0941F" w14:textId="0C90ADAD" w:rsidR="0016255B" w:rsidRDefault="0016255B" w:rsidP="0016255B">
      <w:pPr>
        <w:pStyle w:val="Sansinterligne2"/>
        <w:jc w:val="center"/>
        <w:rPr>
          <w:rFonts w:ascii="Arial" w:hAnsi="Arial" w:cs="Arial"/>
          <w:b/>
          <w:sz w:val="22"/>
          <w:szCs w:val="22"/>
          <w:lang w:val="en-GB"/>
        </w:rPr>
      </w:pPr>
      <w:r>
        <w:rPr>
          <w:rFonts w:ascii="Arial" w:hAnsi="Arial" w:cs="Arial"/>
          <w:b/>
          <w:sz w:val="22"/>
          <w:szCs w:val="22"/>
          <w:lang w:val="en-GB"/>
        </w:rPr>
        <w:t>Global reflection on the listing mechanisms of the 2003 Convention:</w:t>
      </w:r>
    </w:p>
    <w:p w14:paraId="6D45854C" w14:textId="474B60E2" w:rsidR="00251C9B" w:rsidRPr="00F10723" w:rsidRDefault="00886F29" w:rsidP="00251C9B">
      <w:pPr>
        <w:pStyle w:val="Sansinterligne2"/>
        <w:spacing w:after="1200"/>
        <w:jc w:val="center"/>
        <w:rPr>
          <w:rFonts w:ascii="Arial" w:hAnsi="Arial" w:cs="Arial"/>
          <w:b/>
          <w:sz w:val="22"/>
          <w:szCs w:val="22"/>
          <w:lang w:val="en-GB"/>
        </w:rPr>
      </w:pPr>
      <w:r>
        <w:rPr>
          <w:rFonts w:ascii="Arial" w:hAnsi="Arial" w:cs="Arial"/>
          <w:b/>
          <w:sz w:val="22"/>
          <w:szCs w:val="22"/>
          <w:lang w:val="en-GB"/>
        </w:rPr>
        <w:t>Summary of Part I and m</w:t>
      </w:r>
      <w:r w:rsidR="00A0466B">
        <w:rPr>
          <w:rFonts w:ascii="Arial" w:hAnsi="Arial" w:cs="Arial"/>
          <w:b/>
          <w:sz w:val="22"/>
          <w:szCs w:val="22"/>
          <w:lang w:val="en-GB"/>
        </w:rPr>
        <w:t>eeting objectives for</w:t>
      </w:r>
      <w:r w:rsidR="00E22377">
        <w:rPr>
          <w:rFonts w:ascii="Arial" w:hAnsi="Arial" w:cs="Arial"/>
          <w:b/>
          <w:sz w:val="22"/>
          <w:szCs w:val="22"/>
          <w:lang w:val="en-GB"/>
        </w:rPr>
        <w:t xml:space="preserve"> Part II</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A725CF" w14:paraId="11E38FB5" w14:textId="77777777" w:rsidTr="000749A0">
        <w:trPr>
          <w:jc w:val="center"/>
        </w:trPr>
        <w:tc>
          <w:tcPr>
            <w:tcW w:w="5670" w:type="dxa"/>
            <w:vAlign w:val="center"/>
          </w:tcPr>
          <w:p w14:paraId="3AB020B5" w14:textId="025010EB" w:rsidR="00CB500D" w:rsidRPr="00FA69B1" w:rsidRDefault="00FA69B1" w:rsidP="000749A0">
            <w:pPr>
              <w:pStyle w:val="Sansinterligne2"/>
              <w:spacing w:before="200" w:after="200"/>
              <w:jc w:val="both"/>
              <w:rPr>
                <w:rFonts w:ascii="Arial" w:hAnsi="Arial" w:cs="Arial"/>
                <w:bCs/>
                <w:sz w:val="22"/>
                <w:szCs w:val="22"/>
                <w:lang w:val="en-GB"/>
              </w:rPr>
            </w:pPr>
            <w:r>
              <w:rPr>
                <w:rFonts w:ascii="Arial" w:hAnsi="Arial" w:cs="Arial"/>
                <w:bCs/>
                <w:sz w:val="22"/>
                <w:szCs w:val="22"/>
                <w:lang w:val="en-GB"/>
              </w:rPr>
              <w:t xml:space="preserve">The Open-ended intergovernmental working group </w:t>
            </w:r>
            <w:r w:rsidR="007B2C64">
              <w:rPr>
                <w:rFonts w:ascii="Arial" w:hAnsi="Arial" w:cs="Arial"/>
                <w:bCs/>
                <w:sz w:val="22"/>
                <w:szCs w:val="22"/>
                <w:lang w:val="en-GB"/>
              </w:rPr>
              <w:t>convened</w:t>
            </w:r>
            <w:r>
              <w:rPr>
                <w:rFonts w:ascii="Arial" w:hAnsi="Arial" w:cs="Arial"/>
                <w:bCs/>
                <w:sz w:val="22"/>
                <w:szCs w:val="22"/>
                <w:lang w:val="en-GB"/>
              </w:rPr>
              <w:t xml:space="preserve"> </w:t>
            </w:r>
            <w:r w:rsidR="00440714">
              <w:rPr>
                <w:rFonts w:ascii="Arial" w:hAnsi="Arial" w:cs="Arial"/>
                <w:bCs/>
                <w:sz w:val="22"/>
                <w:szCs w:val="22"/>
                <w:lang w:val="en-GB"/>
              </w:rPr>
              <w:t xml:space="preserve">online </w:t>
            </w:r>
            <w:r>
              <w:rPr>
                <w:rFonts w:ascii="Arial" w:hAnsi="Arial" w:cs="Arial"/>
                <w:bCs/>
                <w:sz w:val="22"/>
                <w:szCs w:val="22"/>
                <w:lang w:val="en-GB"/>
              </w:rPr>
              <w:t xml:space="preserve">for its Part I </w:t>
            </w:r>
            <w:r w:rsidR="007B2C64">
              <w:rPr>
                <w:rFonts w:ascii="Arial" w:hAnsi="Arial" w:cs="Arial"/>
                <w:bCs/>
                <w:sz w:val="22"/>
                <w:szCs w:val="22"/>
                <w:lang w:val="en-GB"/>
              </w:rPr>
              <w:t xml:space="preserve">meeting </w:t>
            </w:r>
            <w:r>
              <w:rPr>
                <w:rFonts w:ascii="Arial" w:hAnsi="Arial" w:cs="Arial"/>
                <w:bCs/>
                <w:sz w:val="22"/>
                <w:szCs w:val="22"/>
                <w:lang w:val="en-GB"/>
              </w:rPr>
              <w:t>on 8 and 9 July 2021 to discuss an overall approach for reforming the listing system</w:t>
            </w:r>
            <w:r w:rsidR="00E82327">
              <w:rPr>
                <w:rFonts w:ascii="Arial" w:hAnsi="Arial" w:cs="Arial"/>
                <w:bCs/>
                <w:sz w:val="22"/>
                <w:szCs w:val="22"/>
                <w:lang w:val="en-GB"/>
              </w:rPr>
              <w:t xml:space="preserve"> </w:t>
            </w:r>
            <w:r w:rsidR="0016255B">
              <w:rPr>
                <w:rFonts w:ascii="Arial" w:hAnsi="Arial" w:cs="Arial"/>
                <w:bCs/>
                <w:sz w:val="22"/>
                <w:szCs w:val="22"/>
                <w:lang w:val="en-GB"/>
              </w:rPr>
              <w:t>of the 2003 Convention</w:t>
            </w:r>
            <w:r w:rsidR="001544DF">
              <w:rPr>
                <w:rFonts w:ascii="Arial" w:hAnsi="Arial" w:cs="Arial"/>
                <w:bCs/>
                <w:sz w:val="22"/>
                <w:szCs w:val="22"/>
                <w:lang w:val="en-GB"/>
              </w:rPr>
              <w:t>. In addition to</w:t>
            </w:r>
            <w:r w:rsidR="0016255B">
              <w:rPr>
                <w:rFonts w:ascii="Arial" w:hAnsi="Arial" w:cs="Arial"/>
                <w:bCs/>
                <w:sz w:val="22"/>
                <w:szCs w:val="22"/>
                <w:lang w:val="en-GB"/>
              </w:rPr>
              <w:t xml:space="preserve"> </w:t>
            </w:r>
            <w:r w:rsidR="00AB57A2" w:rsidRPr="00354655">
              <w:rPr>
                <w:rFonts w:ascii="Arial" w:hAnsi="Arial" w:cs="Arial"/>
                <w:bCs/>
                <w:sz w:val="22"/>
                <w:szCs w:val="22"/>
                <w:lang w:val="en-GB"/>
              </w:rPr>
              <w:t xml:space="preserve">proposing </w:t>
            </w:r>
            <w:r w:rsidR="00E82327">
              <w:rPr>
                <w:rFonts w:ascii="Arial" w:hAnsi="Arial" w:cs="Arial"/>
                <w:bCs/>
                <w:sz w:val="22"/>
                <w:szCs w:val="22"/>
                <w:lang w:val="en-GB"/>
              </w:rPr>
              <w:t>a set of recommendations</w:t>
            </w:r>
            <w:r w:rsidR="001544DF">
              <w:rPr>
                <w:rFonts w:ascii="Arial" w:hAnsi="Arial" w:cs="Arial"/>
                <w:bCs/>
                <w:sz w:val="22"/>
                <w:szCs w:val="22"/>
                <w:lang w:val="en-GB"/>
              </w:rPr>
              <w:t>,</w:t>
            </w:r>
            <w:r>
              <w:rPr>
                <w:rFonts w:ascii="Arial" w:hAnsi="Arial" w:cs="Arial"/>
                <w:bCs/>
                <w:sz w:val="22"/>
                <w:szCs w:val="22"/>
                <w:lang w:val="en-GB"/>
              </w:rPr>
              <w:t xml:space="preserve"> </w:t>
            </w:r>
            <w:r w:rsidR="001544DF">
              <w:rPr>
                <w:rFonts w:ascii="Arial" w:hAnsi="Arial" w:cs="Arial"/>
                <w:bCs/>
                <w:sz w:val="22"/>
                <w:szCs w:val="22"/>
                <w:lang w:val="en-GB"/>
              </w:rPr>
              <w:t>t</w:t>
            </w:r>
            <w:r w:rsidR="007B2C64">
              <w:rPr>
                <w:rFonts w:ascii="Arial" w:hAnsi="Arial" w:cs="Arial"/>
                <w:bCs/>
                <w:sz w:val="22"/>
                <w:szCs w:val="22"/>
                <w:lang w:val="en-GB"/>
              </w:rPr>
              <w:t xml:space="preserve">he working group </w:t>
            </w:r>
            <w:r w:rsidR="00AB57A2" w:rsidRPr="00354655">
              <w:rPr>
                <w:rFonts w:ascii="Arial" w:hAnsi="Arial" w:cs="Arial"/>
                <w:bCs/>
                <w:sz w:val="22"/>
                <w:szCs w:val="22"/>
                <w:lang w:val="en-GB"/>
              </w:rPr>
              <w:t>identified</w:t>
            </w:r>
            <w:r w:rsidR="007B2C64">
              <w:rPr>
                <w:rFonts w:ascii="Arial" w:hAnsi="Arial" w:cs="Arial"/>
                <w:bCs/>
                <w:sz w:val="22"/>
                <w:szCs w:val="22"/>
                <w:lang w:val="en-GB"/>
              </w:rPr>
              <w:t xml:space="preserve"> a series of issues </w:t>
            </w:r>
            <w:r w:rsidR="001F3E1C">
              <w:rPr>
                <w:rFonts w:ascii="Arial" w:hAnsi="Arial" w:cs="Arial"/>
                <w:bCs/>
                <w:sz w:val="22"/>
                <w:szCs w:val="22"/>
                <w:lang w:val="en-GB"/>
              </w:rPr>
              <w:t>to be discussed further</w:t>
            </w:r>
            <w:r w:rsidR="007B2C64">
              <w:rPr>
                <w:rFonts w:ascii="Arial" w:hAnsi="Arial" w:cs="Arial"/>
                <w:bCs/>
                <w:sz w:val="22"/>
                <w:szCs w:val="22"/>
                <w:lang w:val="en-GB"/>
              </w:rPr>
              <w:t xml:space="preserve">. </w:t>
            </w:r>
            <w:r w:rsidR="00A739BA">
              <w:rPr>
                <w:rFonts w:ascii="Arial" w:hAnsi="Arial" w:cs="Arial"/>
                <w:bCs/>
                <w:sz w:val="22"/>
                <w:szCs w:val="22"/>
                <w:lang w:val="en-GB"/>
              </w:rPr>
              <w:t>Based on t</w:t>
            </w:r>
            <w:r>
              <w:rPr>
                <w:rFonts w:ascii="Arial" w:hAnsi="Arial" w:cs="Arial"/>
                <w:bCs/>
                <w:sz w:val="22"/>
                <w:szCs w:val="22"/>
                <w:lang w:val="en-GB"/>
              </w:rPr>
              <w:t xml:space="preserve">he recommendations of </w:t>
            </w:r>
            <w:r w:rsidR="00DC1426" w:rsidRPr="00354655">
              <w:rPr>
                <w:rFonts w:ascii="Arial" w:hAnsi="Arial" w:cs="Arial"/>
                <w:bCs/>
                <w:sz w:val="22"/>
                <w:szCs w:val="22"/>
                <w:lang w:val="en-GB"/>
              </w:rPr>
              <w:t>the</w:t>
            </w:r>
            <w:r w:rsidRPr="00354655">
              <w:rPr>
                <w:rFonts w:ascii="Arial" w:hAnsi="Arial" w:cs="Arial"/>
                <w:bCs/>
                <w:sz w:val="22"/>
                <w:szCs w:val="22"/>
                <w:lang w:val="en-GB"/>
              </w:rPr>
              <w:t xml:space="preserve"> </w:t>
            </w:r>
            <w:r>
              <w:rPr>
                <w:rFonts w:ascii="Arial" w:hAnsi="Arial" w:cs="Arial"/>
                <w:bCs/>
                <w:sz w:val="22"/>
                <w:szCs w:val="22"/>
                <w:lang w:val="en-GB"/>
              </w:rPr>
              <w:t>Part</w:t>
            </w:r>
            <w:r w:rsidR="00440714">
              <w:rPr>
                <w:rFonts w:ascii="Arial" w:hAnsi="Arial" w:cs="Arial"/>
                <w:bCs/>
                <w:sz w:val="22"/>
                <w:szCs w:val="22"/>
                <w:lang w:val="en-GB"/>
              </w:rPr>
              <w:t xml:space="preserve"> I</w:t>
            </w:r>
            <w:r w:rsidR="00DC1426" w:rsidRPr="00354655">
              <w:rPr>
                <w:rFonts w:ascii="Arial" w:hAnsi="Arial" w:cs="Arial"/>
                <w:bCs/>
                <w:sz w:val="22"/>
                <w:szCs w:val="22"/>
                <w:lang w:val="en-GB"/>
              </w:rPr>
              <w:t xml:space="preserve"> meeting</w:t>
            </w:r>
            <w:r w:rsidR="00A739BA">
              <w:rPr>
                <w:rFonts w:ascii="Arial" w:hAnsi="Arial" w:cs="Arial"/>
                <w:bCs/>
                <w:sz w:val="22"/>
                <w:szCs w:val="22"/>
                <w:lang w:val="en-GB"/>
              </w:rPr>
              <w:t>, the present document propose</w:t>
            </w:r>
            <w:r w:rsidR="00440714">
              <w:rPr>
                <w:rFonts w:ascii="Arial" w:hAnsi="Arial" w:cs="Arial"/>
                <w:bCs/>
                <w:sz w:val="22"/>
                <w:szCs w:val="22"/>
                <w:lang w:val="en-GB"/>
              </w:rPr>
              <w:t>s</w:t>
            </w:r>
            <w:r w:rsidR="00A739BA">
              <w:rPr>
                <w:rFonts w:ascii="Arial" w:hAnsi="Arial" w:cs="Arial"/>
                <w:bCs/>
                <w:sz w:val="22"/>
                <w:szCs w:val="22"/>
                <w:lang w:val="en-GB"/>
              </w:rPr>
              <w:t xml:space="preserve"> the objectives and working methods for Part II of the working group</w:t>
            </w:r>
            <w:r w:rsidR="0016255B">
              <w:rPr>
                <w:rFonts w:ascii="Arial" w:hAnsi="Arial" w:cs="Arial"/>
                <w:bCs/>
                <w:sz w:val="22"/>
                <w:szCs w:val="22"/>
                <w:lang w:val="en-GB"/>
              </w:rPr>
              <w:t>’s meeting.</w:t>
            </w:r>
          </w:p>
        </w:tc>
      </w:tr>
    </w:tbl>
    <w:p w14:paraId="17687B6F" w14:textId="77777777" w:rsidR="000B748B" w:rsidRDefault="000B748B" w:rsidP="000B748B">
      <w:pPr>
        <w:pStyle w:val="Sansinterligne1"/>
        <w:rPr>
          <w:rFonts w:ascii="Arial" w:eastAsiaTheme="minorEastAsia" w:hAnsi="Arial" w:cs="Arial"/>
          <w:bCs/>
          <w:sz w:val="22"/>
          <w:szCs w:val="22"/>
          <w:lang w:val="en-GB" w:eastAsia="ko-KR"/>
        </w:rPr>
      </w:pPr>
    </w:p>
    <w:p w14:paraId="4E90B5CE" w14:textId="426826AB" w:rsidR="001256EE" w:rsidRDefault="00851458" w:rsidP="005444B5">
      <w:pPr>
        <w:pStyle w:val="1GAPara"/>
        <w:numPr>
          <w:ilvl w:val="0"/>
          <w:numId w:val="0"/>
        </w:numPr>
        <w:spacing w:before="240"/>
        <w:rPr>
          <w:b/>
          <w:bCs/>
        </w:rPr>
      </w:pPr>
      <w:r w:rsidRPr="004E056C">
        <w:br w:type="page"/>
      </w:r>
      <w:r w:rsidR="001256EE" w:rsidRPr="001256EE">
        <w:rPr>
          <w:b/>
          <w:bCs/>
        </w:rPr>
        <w:lastRenderedPageBreak/>
        <w:t>Background</w:t>
      </w:r>
    </w:p>
    <w:p w14:paraId="5CBFE120" w14:textId="4C80C182" w:rsidR="00E82327" w:rsidRDefault="00702EA2" w:rsidP="00B00365">
      <w:pPr>
        <w:pStyle w:val="1GAPara"/>
        <w:numPr>
          <w:ilvl w:val="0"/>
          <w:numId w:val="15"/>
        </w:numPr>
        <w:ind w:left="567" w:hanging="567"/>
        <w:jc w:val="both"/>
      </w:pPr>
      <w:r w:rsidRPr="00702EA2">
        <w:t>The meeting of the O</w:t>
      </w:r>
      <w:r w:rsidR="00715E48">
        <w:t xml:space="preserve">pen-ended intergovernmental working group </w:t>
      </w:r>
      <w:r w:rsidR="00233070">
        <w:t xml:space="preserve">(hereafter ‘the working group’) </w:t>
      </w:r>
      <w:r w:rsidR="00715E48">
        <w:t>is</w:t>
      </w:r>
      <w:r w:rsidR="001544DF">
        <w:t xml:space="preserve"> organized </w:t>
      </w:r>
      <w:r w:rsidR="00C43A6E">
        <w:t>in two parts within the framework of the global reflection</w:t>
      </w:r>
      <w:r w:rsidR="00715E48">
        <w:t xml:space="preserve"> on the listing mechanisms of the 2003 Convention</w:t>
      </w:r>
      <w:r w:rsidR="00EC09DE">
        <w:t xml:space="preserve"> and</w:t>
      </w:r>
      <w:r w:rsidR="00101D6B">
        <w:t xml:space="preserve"> in response to the request of the Committee (Decisions </w:t>
      </w:r>
      <w:hyperlink r:id="rId8" w:history="1">
        <w:r w:rsidR="00101D6B" w:rsidRPr="00323D95">
          <w:rPr>
            <w:rStyle w:val="Hyperlink"/>
          </w:rPr>
          <w:t>13.COM 6</w:t>
        </w:r>
      </w:hyperlink>
      <w:r w:rsidR="00101D6B" w:rsidRPr="00323D95">
        <w:t xml:space="preserve"> and </w:t>
      </w:r>
      <w:hyperlink r:id="rId9" w:history="1">
        <w:r w:rsidR="00101D6B" w:rsidRPr="00323D95">
          <w:rPr>
            <w:rStyle w:val="Hyperlink"/>
          </w:rPr>
          <w:t>13.COM 10</w:t>
        </w:r>
      </w:hyperlink>
      <w:r w:rsidR="00101D6B">
        <w:t>) that launched the reflection process in 2018</w:t>
      </w:r>
      <w:r w:rsidR="00EC09DE">
        <w:t xml:space="preserve">. </w:t>
      </w:r>
      <w:r w:rsidR="00F37172">
        <w:t xml:space="preserve">Part I </w:t>
      </w:r>
      <w:r w:rsidR="00D56CFA">
        <w:t xml:space="preserve">of the meeting </w:t>
      </w:r>
      <w:r w:rsidR="003F0E5A">
        <w:t>too</w:t>
      </w:r>
      <w:r w:rsidR="008D7C1E">
        <w:t>k</w:t>
      </w:r>
      <w:r w:rsidR="003F0E5A">
        <w:t xml:space="preserve"> place </w:t>
      </w:r>
      <w:r w:rsidR="00F37172">
        <w:t xml:space="preserve">on 8 and 9 July 2021 </w:t>
      </w:r>
      <w:r w:rsidR="003F0E5A">
        <w:t xml:space="preserve">and Part II is </w:t>
      </w:r>
      <w:r w:rsidR="008D7C1E">
        <w:t>convened on 9 and 10 September</w:t>
      </w:r>
      <w:r w:rsidR="003D4EBB">
        <w:t xml:space="preserve"> 2021</w:t>
      </w:r>
      <w:r w:rsidR="00DC1426" w:rsidRPr="00354655">
        <w:t>. B</w:t>
      </w:r>
      <w:r w:rsidR="001544DF">
        <w:t xml:space="preserve">oth parts are organized online </w:t>
      </w:r>
      <w:r w:rsidR="00367A79">
        <w:t>due</w:t>
      </w:r>
      <w:r w:rsidR="001544DF">
        <w:t xml:space="preserve"> to the ongoing COVID-19 pandemic.</w:t>
      </w:r>
      <w:r w:rsidR="00D56CFA">
        <w:t xml:space="preserve"> The present document </w:t>
      </w:r>
      <w:r w:rsidR="00D56CFA" w:rsidRPr="00354655">
        <w:t>summari</w:t>
      </w:r>
      <w:r w:rsidR="00DC1426" w:rsidRPr="00354655">
        <w:t>z</w:t>
      </w:r>
      <w:r w:rsidR="00D56CFA" w:rsidRPr="00354655">
        <w:t>es</w:t>
      </w:r>
      <w:r w:rsidR="00D56CFA">
        <w:t xml:space="preserve"> </w:t>
      </w:r>
      <w:r w:rsidR="00E62C1E">
        <w:t>the recommendations of Part I</w:t>
      </w:r>
      <w:r w:rsidR="00D56CFA">
        <w:t xml:space="preserve"> and</w:t>
      </w:r>
      <w:r w:rsidR="00E62C1E">
        <w:t xml:space="preserve"> proposes the objectives </w:t>
      </w:r>
      <w:r w:rsidR="00D56CFA">
        <w:t xml:space="preserve">and working methodology </w:t>
      </w:r>
      <w:r w:rsidR="00E62C1E">
        <w:t>for Part II of the working group meeting.</w:t>
      </w:r>
      <w:r w:rsidR="002679F7" w:rsidRPr="002679F7">
        <w:t xml:space="preserve"> </w:t>
      </w:r>
      <w:r w:rsidR="002679F7">
        <w:t xml:space="preserve">The reflection process is supported by the generous contribution </w:t>
      </w:r>
      <w:r w:rsidR="001544DF">
        <w:t>from</w:t>
      </w:r>
      <w:r w:rsidR="002679F7">
        <w:t xml:space="preserve"> the Government of Japan to the Fund for the Safeguarding of the Intangible Cultural Heritage.</w:t>
      </w:r>
    </w:p>
    <w:p w14:paraId="000441BD" w14:textId="77777777" w:rsidR="003000D9" w:rsidRDefault="003000D9" w:rsidP="003000D9">
      <w:pPr>
        <w:pStyle w:val="1GAPara"/>
        <w:numPr>
          <w:ilvl w:val="0"/>
          <w:numId w:val="0"/>
        </w:numPr>
        <w:spacing w:before="240"/>
        <w:rPr>
          <w:b/>
          <w:bCs/>
        </w:rPr>
      </w:pPr>
      <w:r w:rsidRPr="001256EE">
        <w:rPr>
          <w:b/>
          <w:bCs/>
        </w:rPr>
        <w:t>Summary of Part I of the meeting</w:t>
      </w:r>
    </w:p>
    <w:p w14:paraId="35E07EE7" w14:textId="3FBAFB1A" w:rsidR="00F5175D" w:rsidRDefault="00AB3A3D" w:rsidP="00B00365">
      <w:pPr>
        <w:pStyle w:val="1GAPara"/>
        <w:numPr>
          <w:ilvl w:val="0"/>
          <w:numId w:val="15"/>
        </w:numPr>
        <w:ind w:left="567" w:hanging="567"/>
        <w:jc w:val="both"/>
      </w:pPr>
      <w:r>
        <w:t xml:space="preserve">In all, </w:t>
      </w:r>
      <w:r w:rsidR="00341631">
        <w:t>ninety-three</w:t>
      </w:r>
      <w:r>
        <w:t xml:space="preserve"> States</w:t>
      </w:r>
      <w:r w:rsidR="001F6DF3">
        <w:t xml:space="preserve"> Parties </w:t>
      </w:r>
      <w:r>
        <w:t>are recorded to have participated in Part I of the working group meeting</w:t>
      </w:r>
      <w:r w:rsidR="001F6DF3">
        <w:t xml:space="preserve"> (</w:t>
      </w:r>
      <w:r w:rsidR="00341631">
        <w:t>52</w:t>
      </w:r>
      <w:r w:rsidR="00B25CEC" w:rsidRPr="00354655">
        <w:t xml:space="preserve"> per cent </w:t>
      </w:r>
      <w:r w:rsidR="001F6DF3">
        <w:t>of</w:t>
      </w:r>
      <w:r w:rsidR="00DC1426" w:rsidRPr="00354655">
        <w:t xml:space="preserve"> the</w:t>
      </w:r>
      <w:r w:rsidR="001F6DF3">
        <w:t xml:space="preserve"> 180 States </w:t>
      </w:r>
      <w:r w:rsidR="00DC1426" w:rsidRPr="00354655">
        <w:t>P</w:t>
      </w:r>
      <w:r w:rsidR="001F6DF3">
        <w:t>arties to the Convention</w:t>
      </w:r>
      <w:r w:rsidR="00341631">
        <w:t xml:space="preserve">; see the </w:t>
      </w:r>
      <w:hyperlink r:id="rId10" w:history="1">
        <w:r w:rsidR="00341631" w:rsidRPr="00971E63">
          <w:rPr>
            <w:rStyle w:val="Hyperlink"/>
          </w:rPr>
          <w:t>list of participants</w:t>
        </w:r>
      </w:hyperlink>
      <w:r w:rsidR="001F6DF3">
        <w:t>)</w:t>
      </w:r>
      <w:r>
        <w:t xml:space="preserve">, </w:t>
      </w:r>
      <w:r w:rsidR="00DC1426" w:rsidRPr="00354655">
        <w:t xml:space="preserve">along </w:t>
      </w:r>
      <w:r>
        <w:t>with observers</w:t>
      </w:r>
      <w:r w:rsidR="00001E56">
        <w:t>.</w:t>
      </w:r>
      <w:r w:rsidR="00B046CB">
        <w:t xml:space="preserve"> </w:t>
      </w:r>
      <w:r w:rsidR="00001E56" w:rsidRPr="00354655">
        <w:t>The</w:t>
      </w:r>
      <w:r w:rsidR="00DC1426" w:rsidRPr="00354655">
        <w:t xml:space="preserve"> States Parties</w:t>
      </w:r>
      <w:r w:rsidR="00001E56">
        <w:t xml:space="preserve"> </w:t>
      </w:r>
      <w:r w:rsidR="00B046CB">
        <w:t>discussed items as inscribed on</w:t>
      </w:r>
      <w:r w:rsidR="00341631">
        <w:t xml:space="preserve"> the agenda and </w:t>
      </w:r>
      <w:r w:rsidR="00B046CB">
        <w:t xml:space="preserve">according to the </w:t>
      </w:r>
      <w:r w:rsidR="00341631">
        <w:t xml:space="preserve">timetable for Part I (working document </w:t>
      </w:r>
      <w:hyperlink r:id="rId11" w:history="1">
        <w:r w:rsidR="00341631" w:rsidRPr="00971E63">
          <w:rPr>
            <w:rStyle w:val="Hyperlink"/>
          </w:rPr>
          <w:t>L</w:t>
        </w:r>
        <w:r w:rsidR="00971E63" w:rsidRPr="00971E63">
          <w:rPr>
            <w:rStyle w:val="Hyperlink"/>
          </w:rPr>
          <w:t>H</w:t>
        </w:r>
        <w:r w:rsidR="00341631" w:rsidRPr="00971E63">
          <w:rPr>
            <w:rStyle w:val="Hyperlink"/>
          </w:rPr>
          <w:t>E/21/16.COM WG/1</w:t>
        </w:r>
      </w:hyperlink>
      <w:r w:rsidR="00341631">
        <w:t>)</w:t>
      </w:r>
      <w:r w:rsidR="001A5A2D">
        <w:t xml:space="preserve">. </w:t>
      </w:r>
    </w:p>
    <w:p w14:paraId="2081476B" w14:textId="41898461" w:rsidR="00633B25" w:rsidRDefault="00A37990" w:rsidP="00B00365">
      <w:pPr>
        <w:pStyle w:val="1GAPara"/>
        <w:numPr>
          <w:ilvl w:val="0"/>
          <w:numId w:val="15"/>
        </w:numPr>
        <w:ind w:left="567" w:hanging="567"/>
        <w:jc w:val="both"/>
      </w:pPr>
      <w:r>
        <w:t>After the opening remarks by the Assistant Director-General for Culture</w:t>
      </w:r>
      <w:r w:rsidR="00B046CB">
        <w:t>,</w:t>
      </w:r>
      <w:r>
        <w:t xml:space="preserve"> the </w:t>
      </w:r>
      <w:r w:rsidR="00B046CB">
        <w:t>Secretary of the Convention presented the progress made so far with the reflection and outlined the meeting objectives for Part I</w:t>
      </w:r>
      <w:r w:rsidR="00EF77E3">
        <w:t xml:space="preserve"> (working document </w:t>
      </w:r>
      <w:hyperlink r:id="rId12" w:history="1">
        <w:r w:rsidR="00EF77E3" w:rsidRPr="00EF77E3">
          <w:rPr>
            <w:rStyle w:val="Hyperlink"/>
          </w:rPr>
          <w:t>LHE/21/16.COM WG/2</w:t>
        </w:r>
      </w:hyperlink>
      <w:r w:rsidR="00EF77E3">
        <w:t>)</w:t>
      </w:r>
      <w:r w:rsidR="00B046CB">
        <w:t>.</w:t>
      </w:r>
      <w:r>
        <w:t xml:space="preserve"> The </w:t>
      </w:r>
      <w:r w:rsidR="00B046CB">
        <w:t xml:space="preserve">working group then constituted its Bureau by electing </w:t>
      </w:r>
      <w:bookmarkStart w:id="0" w:name="_Hlk80863761"/>
      <w:r w:rsidR="00B046CB">
        <w:t>H.E</w:t>
      </w:r>
      <w:r w:rsidR="007C6A4D">
        <w:t>.</w:t>
      </w:r>
      <w:r w:rsidR="00B046CB">
        <w:t xml:space="preserve"> Mr</w:t>
      </w:r>
      <w:r w:rsidR="00B046CB" w:rsidRPr="000037B0">
        <w:t xml:space="preserve"> Atsuyuki Oike </w:t>
      </w:r>
      <w:bookmarkEnd w:id="0"/>
      <w:r w:rsidR="00B046CB" w:rsidRPr="000037B0">
        <w:t xml:space="preserve">(Japan) as Chairperson </w:t>
      </w:r>
      <w:r w:rsidR="00DC1426" w:rsidRPr="00354655">
        <w:t xml:space="preserve">as well as </w:t>
      </w:r>
      <w:r w:rsidR="00001E56">
        <w:t>five</w:t>
      </w:r>
      <w:r w:rsidR="00B046CB" w:rsidRPr="000037B0">
        <w:t xml:space="preserve"> Vice-Chairpersons, who also acted as Rapporteurs</w:t>
      </w:r>
      <w:r w:rsidR="00DC1426" w:rsidRPr="00354655">
        <w:t>, from the following States Parties</w:t>
      </w:r>
      <w:r w:rsidR="00091BDF">
        <w:t>:</w:t>
      </w:r>
      <w:r w:rsidR="00B046CB" w:rsidRPr="000037B0">
        <w:t xml:space="preserve"> Germany, Poland, Peru, Côte d’Ivoire and Kuwait</w:t>
      </w:r>
      <w:r w:rsidR="00633B25">
        <w:t>.</w:t>
      </w:r>
      <w:r w:rsidR="00001E56">
        <w:t xml:space="preserve"> Thus, all electoral groups were represented.</w:t>
      </w:r>
    </w:p>
    <w:p w14:paraId="3FE132D8" w14:textId="2EE5EA07" w:rsidR="001227F9" w:rsidRDefault="00633B25" w:rsidP="00B00365">
      <w:pPr>
        <w:pStyle w:val="1GAPara"/>
        <w:numPr>
          <w:ilvl w:val="0"/>
          <w:numId w:val="15"/>
        </w:numPr>
        <w:ind w:left="567" w:hanging="567"/>
        <w:jc w:val="both"/>
      </w:pPr>
      <w:r>
        <w:t>The following four reflection themes, as established by the fourteenth session of the Committee</w:t>
      </w:r>
      <w:r w:rsidR="00001E56">
        <w:t xml:space="preserve"> (working document </w:t>
      </w:r>
      <w:hyperlink r:id="rId13" w:history="1">
        <w:r w:rsidR="00001E56" w:rsidRPr="002B2479">
          <w:rPr>
            <w:rStyle w:val="Hyperlink"/>
          </w:rPr>
          <w:t>LHE/19/14.COM/14</w:t>
        </w:r>
      </w:hyperlink>
      <w:r w:rsidR="00001E56">
        <w:t>)</w:t>
      </w:r>
      <w:r>
        <w:t xml:space="preserve"> </w:t>
      </w:r>
      <w:r w:rsidR="00C07A2B">
        <w:t>constitute</w:t>
      </w:r>
      <w:r w:rsidR="00001E56">
        <w:t>d</w:t>
      </w:r>
      <w:r w:rsidR="00C07A2B">
        <w:t xml:space="preserve"> </w:t>
      </w:r>
      <w:r w:rsidR="00001E56">
        <w:t>the</w:t>
      </w:r>
      <w:r w:rsidR="00C07A2B">
        <w:t xml:space="preserve"> backbone of the </w:t>
      </w:r>
      <w:r w:rsidR="00001E56">
        <w:t>meeting</w:t>
      </w:r>
      <w:r w:rsidR="00355FE5">
        <w:t xml:space="preserve"> </w:t>
      </w:r>
      <w:r w:rsidR="00DC1426" w:rsidRPr="00354655">
        <w:t>of</w:t>
      </w:r>
      <w:r w:rsidR="00355FE5" w:rsidRPr="00354655">
        <w:t xml:space="preserve"> </w:t>
      </w:r>
      <w:r w:rsidR="00355FE5">
        <w:t>the working group</w:t>
      </w:r>
      <w:r w:rsidR="002B2479">
        <w:t>:</w:t>
      </w:r>
    </w:p>
    <w:tbl>
      <w:tblPr>
        <w:tblStyle w:val="TableGrid"/>
        <w:tblW w:w="0" w:type="auto"/>
        <w:tblLook w:val="04A0" w:firstRow="1" w:lastRow="0" w:firstColumn="1" w:lastColumn="0" w:noHBand="0" w:noVBand="1"/>
      </w:tblPr>
      <w:tblGrid>
        <w:gridCol w:w="9628"/>
      </w:tblGrid>
      <w:tr w:rsidR="00C41FDB" w14:paraId="74E585C7" w14:textId="77777777" w:rsidTr="00C41FDB">
        <w:tc>
          <w:tcPr>
            <w:tcW w:w="9628" w:type="dxa"/>
          </w:tcPr>
          <w:p w14:paraId="3DE9F043" w14:textId="77777777" w:rsidR="00C41FDB" w:rsidRPr="00323D95" w:rsidRDefault="00C41FDB" w:rsidP="00C41FDB">
            <w:pPr>
              <w:pStyle w:val="1GAPara"/>
              <w:numPr>
                <w:ilvl w:val="0"/>
                <w:numId w:val="0"/>
              </w:numPr>
              <w:spacing w:before="120"/>
              <w:ind w:left="720"/>
            </w:pPr>
            <w:r w:rsidRPr="00323D95">
              <w:t>Theme A: </w:t>
            </w:r>
            <w:r>
              <w:t>O</w:t>
            </w:r>
            <w:r w:rsidRPr="00323D95">
              <w:t>verall approach to the listing mechanisms</w:t>
            </w:r>
          </w:p>
          <w:p w14:paraId="52B30B09" w14:textId="77777777" w:rsidR="00C41FDB" w:rsidRPr="00323D95" w:rsidRDefault="00C41FDB" w:rsidP="00C41FDB">
            <w:pPr>
              <w:pStyle w:val="1GAPara"/>
              <w:numPr>
                <w:ilvl w:val="0"/>
                <w:numId w:val="0"/>
              </w:numPr>
              <w:spacing w:before="120"/>
              <w:ind w:left="720"/>
            </w:pPr>
            <w:r w:rsidRPr="00323D95">
              <w:t>Theme B: </w:t>
            </w:r>
            <w:r>
              <w:t>I</w:t>
            </w:r>
            <w:r w:rsidRPr="00323D95">
              <w:t>ssues related to the inscription criteria</w:t>
            </w:r>
          </w:p>
          <w:p w14:paraId="15629E90" w14:textId="77777777" w:rsidR="00C41FDB" w:rsidRDefault="00C41FDB" w:rsidP="00C41FDB">
            <w:pPr>
              <w:pStyle w:val="1GAPara"/>
              <w:numPr>
                <w:ilvl w:val="0"/>
                <w:numId w:val="0"/>
              </w:numPr>
              <w:spacing w:before="120"/>
              <w:ind w:left="720"/>
            </w:pPr>
            <w:r w:rsidRPr="00323D95">
              <w:t>Theme C: </w:t>
            </w:r>
            <w:r>
              <w:t>I</w:t>
            </w:r>
            <w:r w:rsidRPr="00323D95">
              <w:t>ssues related to the follow-up of inscribed elements</w:t>
            </w:r>
          </w:p>
          <w:p w14:paraId="61076CCB" w14:textId="3BB7CDE5" w:rsidR="00C41FDB" w:rsidRDefault="00C41FDB" w:rsidP="00C41FDB">
            <w:pPr>
              <w:pStyle w:val="1GAPara"/>
              <w:numPr>
                <w:ilvl w:val="0"/>
                <w:numId w:val="0"/>
              </w:numPr>
              <w:spacing w:before="120"/>
              <w:ind w:left="720"/>
            </w:pPr>
            <w:r w:rsidRPr="00323D95">
              <w:t>Theme D: </w:t>
            </w:r>
            <w:r>
              <w:t>M</w:t>
            </w:r>
            <w:r w:rsidRPr="00323D95">
              <w:t>ethodology for the evaluation of nominations</w:t>
            </w:r>
          </w:p>
        </w:tc>
      </w:tr>
    </w:tbl>
    <w:p w14:paraId="0EAF59F7" w14:textId="2C75CCD3" w:rsidR="00CB2E29" w:rsidRDefault="00633B25" w:rsidP="00B00365">
      <w:pPr>
        <w:pStyle w:val="1GAPara"/>
        <w:numPr>
          <w:ilvl w:val="0"/>
          <w:numId w:val="15"/>
        </w:numPr>
        <w:spacing w:before="120"/>
        <w:ind w:left="567" w:hanging="567"/>
        <w:jc w:val="both"/>
      </w:pPr>
      <w:r>
        <w:t xml:space="preserve">The working group discussed </w:t>
      </w:r>
      <w:r w:rsidR="00C07A2B">
        <w:t xml:space="preserve">issues </w:t>
      </w:r>
      <w:r w:rsidR="00A63378">
        <w:t>related to</w:t>
      </w:r>
      <w:r w:rsidR="00C07A2B">
        <w:t xml:space="preserve"> </w:t>
      </w:r>
      <w:r>
        <w:t>the</w:t>
      </w:r>
      <w:r w:rsidR="00916B76">
        <w:t>se</w:t>
      </w:r>
      <w:r>
        <w:t xml:space="preserve"> reflection themes on the basis of</w:t>
      </w:r>
      <w:r w:rsidR="00DC1426" w:rsidRPr="00354655">
        <w:t>:</w:t>
      </w:r>
      <w:r w:rsidRPr="00354655">
        <w:t xml:space="preserve"> </w:t>
      </w:r>
      <w:r w:rsidR="00DC1426" w:rsidRPr="00354655">
        <w:t>(</w:t>
      </w:r>
      <w:r>
        <w:t>a)</w:t>
      </w:r>
      <w:r w:rsidR="00E3489C">
        <w:t> </w:t>
      </w:r>
      <w:r>
        <w:t xml:space="preserve">the results of </w:t>
      </w:r>
      <w:r w:rsidR="00A63378">
        <w:t>an</w:t>
      </w:r>
      <w:r>
        <w:t xml:space="preserve"> online expert survey undertaken in March and April 2021</w:t>
      </w:r>
      <w:r w:rsidR="00DC1426" w:rsidRPr="00354655">
        <w:t>;</w:t>
      </w:r>
      <w:r w:rsidR="00E3489C">
        <w:t xml:space="preserve"> and </w:t>
      </w:r>
      <w:r w:rsidR="00DC1426" w:rsidRPr="00354655">
        <w:t>(</w:t>
      </w:r>
      <w:r>
        <w:t>b)</w:t>
      </w:r>
      <w:r w:rsidR="00E3489C">
        <w:t> </w:t>
      </w:r>
      <w:r>
        <w:t xml:space="preserve">the recommendations of </w:t>
      </w:r>
      <w:r w:rsidR="00A63378">
        <w:t>a dedicated</w:t>
      </w:r>
      <w:r>
        <w:t xml:space="preserve"> Category VI meeting of experts </w:t>
      </w:r>
      <w:r w:rsidR="00A63378">
        <w:t xml:space="preserve">in May 2021 </w:t>
      </w:r>
      <w:r>
        <w:t xml:space="preserve">(working document </w:t>
      </w:r>
      <w:hyperlink r:id="rId14" w:history="1">
        <w:r w:rsidRPr="007325D0">
          <w:rPr>
            <w:rStyle w:val="Hyperlink"/>
          </w:rPr>
          <w:t>LHE/21/EXP/7</w:t>
        </w:r>
      </w:hyperlink>
      <w:r w:rsidRPr="00354655">
        <w:t>)</w:t>
      </w:r>
      <w:r w:rsidR="00DC1426" w:rsidRPr="00354655">
        <w:t>.</w:t>
      </w:r>
      <w:r>
        <w:t xml:space="preserve"> Each of the breakout groups’ moderator</w:t>
      </w:r>
      <w:r w:rsidR="00A63378">
        <w:t xml:space="preserve">s of the </w:t>
      </w:r>
      <w:r w:rsidR="008E3A53">
        <w:t>Category VI meeting of experts</w:t>
      </w:r>
      <w:r>
        <w:t xml:space="preserve"> </w:t>
      </w:r>
      <w:r w:rsidR="00355FE5">
        <w:t>was invited</w:t>
      </w:r>
      <w:r>
        <w:t xml:space="preserve"> to present the main outcomes of their work</w:t>
      </w:r>
      <w:r w:rsidR="00C07A2B">
        <w:t xml:space="preserve"> to the working group.</w:t>
      </w:r>
      <w:r w:rsidR="00C13990">
        <w:t xml:space="preserve"> </w:t>
      </w:r>
      <w:r w:rsidR="00DC1426" w:rsidRPr="00354655">
        <w:t>T</w:t>
      </w:r>
      <w:r w:rsidR="00196A75">
        <w:t xml:space="preserve">he outcomes of these expert consultations laid the </w:t>
      </w:r>
      <w:r w:rsidR="00DC1426" w:rsidRPr="00354655">
        <w:t>foundation</w:t>
      </w:r>
      <w:r w:rsidR="00196A75">
        <w:t xml:space="preserve"> for the working </w:t>
      </w:r>
      <w:r w:rsidR="00196A75" w:rsidRPr="00354655">
        <w:t>group</w:t>
      </w:r>
      <w:r w:rsidR="00DC1426" w:rsidRPr="00354655">
        <w:t>’s discussion</w:t>
      </w:r>
      <w:r w:rsidR="00355FE5" w:rsidRPr="00354655">
        <w:t>.</w:t>
      </w:r>
      <w:r w:rsidR="00196A75">
        <w:t xml:space="preserve"> As </w:t>
      </w:r>
      <w:r w:rsidR="00355FE5">
        <w:t>presented to the working group (</w:t>
      </w:r>
      <w:r w:rsidR="00196A75">
        <w:t xml:space="preserve">working document </w:t>
      </w:r>
      <w:hyperlink r:id="rId15" w:history="1">
        <w:r w:rsidR="00196A75" w:rsidRPr="002B286D">
          <w:rPr>
            <w:rStyle w:val="Hyperlink"/>
          </w:rPr>
          <w:t>LHE/21/16.COM WG/</w:t>
        </w:r>
        <w:r w:rsidR="00196A75">
          <w:rPr>
            <w:rStyle w:val="Hyperlink"/>
          </w:rPr>
          <w:t>3</w:t>
        </w:r>
      </w:hyperlink>
      <w:r w:rsidR="00355FE5" w:rsidRPr="000749A0">
        <w:t>)</w:t>
      </w:r>
      <w:r w:rsidR="00D968A5" w:rsidRPr="000749A0">
        <w:t xml:space="preserve"> for the purposes of discussion</w:t>
      </w:r>
      <w:r w:rsidR="00196A75" w:rsidRPr="00354655">
        <w:t>, many</w:t>
      </w:r>
      <w:r w:rsidR="00D968A5" w:rsidRPr="00354655">
        <w:t xml:space="preserve"> of the experts’</w:t>
      </w:r>
      <w:r w:rsidR="00196A75">
        <w:t xml:space="preserve"> recommendations </w:t>
      </w:r>
      <w:r w:rsidR="00124AF3">
        <w:t>for improving the listing system were summarized into four approaches</w:t>
      </w:r>
      <w:r w:rsidR="00D968A5" w:rsidRPr="00354655">
        <w:t>:</w:t>
      </w:r>
      <w:r w:rsidR="00124AF3">
        <w:t xml:space="preserve"> ‘fine-tuning’, ‘repositioning’, ‘stricter control’ and ‘maximum inclusivity’</w:t>
      </w:r>
      <w:r w:rsidR="008E3A53">
        <w:t xml:space="preserve">. </w:t>
      </w:r>
      <w:r w:rsidR="00D968A5" w:rsidRPr="00354655">
        <w:t>T</w:t>
      </w:r>
      <w:r w:rsidR="008E3A53" w:rsidRPr="00354655">
        <w:t>he</w:t>
      </w:r>
      <w:r w:rsidR="00124AF3">
        <w:t xml:space="preserve"> </w:t>
      </w:r>
      <w:r w:rsidR="00C83F84">
        <w:t xml:space="preserve">experts </w:t>
      </w:r>
      <w:r w:rsidR="008E3A53">
        <w:t>who participated in the Cat</w:t>
      </w:r>
      <w:r w:rsidR="00BA567B">
        <w:t>e</w:t>
      </w:r>
      <w:r w:rsidR="008E3A53">
        <w:t>gory</w:t>
      </w:r>
      <w:r w:rsidR="00351477">
        <w:t> </w:t>
      </w:r>
      <w:r w:rsidR="008E3A53">
        <w:t xml:space="preserve">VI meeting </w:t>
      </w:r>
      <w:r w:rsidR="00C83F84">
        <w:t xml:space="preserve">were </w:t>
      </w:r>
      <w:r w:rsidR="008E3A53">
        <w:t>more or less e</w:t>
      </w:r>
      <w:r w:rsidR="00C83F84">
        <w:t>qually divided into those who saw the reflection process as a question of ‘fine-tuning’ and those who saw a need for ‘repositi</w:t>
      </w:r>
      <w:r w:rsidR="00351477">
        <w:t>oni</w:t>
      </w:r>
      <w:r w:rsidR="00C83F84">
        <w:t xml:space="preserve">ng’ </w:t>
      </w:r>
      <w:r w:rsidR="00D968A5" w:rsidRPr="00354655">
        <w:t>of</w:t>
      </w:r>
      <w:r w:rsidR="00C83F84" w:rsidRPr="00354655">
        <w:t xml:space="preserve"> </w:t>
      </w:r>
      <w:r w:rsidR="00C83F84">
        <w:t>the mechanisms</w:t>
      </w:r>
      <w:r w:rsidR="00EF16B2">
        <w:t>.</w:t>
      </w:r>
    </w:p>
    <w:p w14:paraId="66382BF8" w14:textId="5A069385" w:rsidR="00AC310D" w:rsidRDefault="008C27F7" w:rsidP="00B00365">
      <w:pPr>
        <w:pStyle w:val="1GAPara"/>
        <w:numPr>
          <w:ilvl w:val="0"/>
          <w:numId w:val="15"/>
        </w:numPr>
        <w:ind w:left="567" w:hanging="567"/>
        <w:jc w:val="both"/>
      </w:pPr>
      <w:r>
        <w:t>At the beginning of its Part I meeting, t</w:t>
      </w:r>
      <w:r w:rsidR="00AC310D">
        <w:t xml:space="preserve">he working group agreed to </w:t>
      </w:r>
      <w:r w:rsidR="00AB57A2" w:rsidRPr="00354655">
        <w:t>prioritize</w:t>
      </w:r>
      <w:r w:rsidR="00AC310D">
        <w:t xml:space="preserve"> the following three issues</w:t>
      </w:r>
      <w:r w:rsidR="00EF16B2">
        <w:t xml:space="preserve">, </w:t>
      </w:r>
      <w:r w:rsidR="00AB57A2" w:rsidRPr="00354655">
        <w:t>as requested by</w:t>
      </w:r>
      <w:r w:rsidR="00AC310D">
        <w:t xml:space="preserve"> the </w:t>
      </w:r>
      <w:r w:rsidR="002043C4">
        <w:t xml:space="preserve">General Assembly and the </w:t>
      </w:r>
      <w:r w:rsidR="00AC310D">
        <w:t>Committee:</w:t>
      </w:r>
    </w:p>
    <w:p w14:paraId="7E51624D" w14:textId="1C1CDA94" w:rsidR="00AC310D" w:rsidRDefault="00EF7773" w:rsidP="00B00365">
      <w:pPr>
        <w:pStyle w:val="1GAPara"/>
        <w:numPr>
          <w:ilvl w:val="0"/>
          <w:numId w:val="13"/>
        </w:numPr>
        <w:ind w:left="1134" w:hanging="567"/>
        <w:jc w:val="both"/>
      </w:pPr>
      <w:r>
        <w:t xml:space="preserve">Review of </w:t>
      </w:r>
      <w:r w:rsidR="00AC310D">
        <w:t>Criterion R.2</w:t>
      </w:r>
      <w:r w:rsidR="00101FA9">
        <w:t xml:space="preserve"> </w:t>
      </w:r>
      <w:bookmarkStart w:id="1" w:name="_Hlk80806217"/>
      <w:r w:rsidR="00101FA9">
        <w:t>(Decision</w:t>
      </w:r>
      <w:r w:rsidR="00351477">
        <w:t>s</w:t>
      </w:r>
      <w:r w:rsidR="00BE5DC0">
        <w:t xml:space="preserve"> </w:t>
      </w:r>
      <w:hyperlink r:id="rId16" w:history="1">
        <w:r w:rsidR="00BE5DC0" w:rsidRPr="00BE5DC0">
          <w:rPr>
            <w:rStyle w:val="Hyperlink"/>
          </w:rPr>
          <w:t>12.COM 11</w:t>
        </w:r>
      </w:hyperlink>
      <w:r w:rsidR="00BE5DC0">
        <w:t>,</w:t>
      </w:r>
      <w:r w:rsidR="00351477">
        <w:t xml:space="preserve"> </w:t>
      </w:r>
      <w:hyperlink r:id="rId17" w:history="1">
        <w:r w:rsidR="00351477" w:rsidRPr="00351477">
          <w:rPr>
            <w:rStyle w:val="Hyperlink"/>
          </w:rPr>
          <w:t>13.COM 10</w:t>
        </w:r>
      </w:hyperlink>
      <w:r w:rsidR="00351477">
        <w:t>,</w:t>
      </w:r>
      <w:r w:rsidR="002043C4">
        <w:t xml:space="preserve"> </w:t>
      </w:r>
      <w:hyperlink r:id="rId18" w:history="1">
        <w:r w:rsidR="002043C4" w:rsidRPr="002043C4">
          <w:rPr>
            <w:rStyle w:val="Hyperlink"/>
          </w:rPr>
          <w:t>14.COM 10</w:t>
        </w:r>
      </w:hyperlink>
      <w:r w:rsidR="00AB57A2" w:rsidRPr="00354655">
        <w:t xml:space="preserve"> and</w:t>
      </w:r>
      <w:r w:rsidR="00101FA9">
        <w:t xml:space="preserve"> </w:t>
      </w:r>
      <w:hyperlink r:id="rId19" w:history="1">
        <w:r w:rsidR="00351477" w:rsidRPr="00351477">
          <w:rPr>
            <w:rStyle w:val="Hyperlink"/>
          </w:rPr>
          <w:t>14.COM 14</w:t>
        </w:r>
      </w:hyperlink>
      <w:r w:rsidR="00101FA9">
        <w:t>)</w:t>
      </w:r>
      <w:bookmarkEnd w:id="1"/>
    </w:p>
    <w:p w14:paraId="40FB8FAC" w14:textId="34DEFB7B" w:rsidR="0035469F" w:rsidRDefault="00AC310D" w:rsidP="00B00365">
      <w:pPr>
        <w:pStyle w:val="1GAPara"/>
        <w:numPr>
          <w:ilvl w:val="0"/>
          <w:numId w:val="13"/>
        </w:numPr>
        <w:ind w:left="1134" w:hanging="567"/>
        <w:jc w:val="both"/>
      </w:pPr>
      <w:r>
        <w:t xml:space="preserve">Procedures for removing </w:t>
      </w:r>
      <w:r w:rsidR="008C27F7">
        <w:t>elements and practices from the List and the Register</w:t>
      </w:r>
      <w:r w:rsidR="00D968A5" w:rsidRPr="00354655">
        <w:t>,</w:t>
      </w:r>
      <w:r w:rsidR="008C27F7" w:rsidRPr="00354655">
        <w:t xml:space="preserve"> </w:t>
      </w:r>
      <w:r w:rsidR="00D968A5" w:rsidRPr="00354655">
        <w:t>respectively,</w:t>
      </w:r>
      <w:r w:rsidR="008C27F7">
        <w:t xml:space="preserve"> and for</w:t>
      </w:r>
      <w:r>
        <w:t xml:space="preserve"> transferring </w:t>
      </w:r>
      <w:r w:rsidR="00D968A5" w:rsidRPr="00354655">
        <w:t>items</w:t>
      </w:r>
      <w:r w:rsidRPr="00354655">
        <w:t xml:space="preserve"> </w:t>
      </w:r>
      <w:r w:rsidR="0035469F">
        <w:t>between these mechanisms</w:t>
      </w:r>
      <w:r w:rsidR="00101FA9">
        <w:t xml:space="preserve"> </w:t>
      </w:r>
      <w:r w:rsidR="00056CFE">
        <w:lastRenderedPageBreak/>
        <w:t>(Resolution</w:t>
      </w:r>
      <w:r w:rsidR="00FE0CFB">
        <w:t> </w:t>
      </w:r>
      <w:hyperlink r:id="rId20" w:history="1">
        <w:r w:rsidR="00056CFE" w:rsidRPr="002043C4">
          <w:rPr>
            <w:rStyle w:val="Hyperlink"/>
          </w:rPr>
          <w:t>8.GA</w:t>
        </w:r>
        <w:r w:rsidR="00FE0CFB">
          <w:rPr>
            <w:rStyle w:val="Hyperlink"/>
          </w:rPr>
          <w:t> </w:t>
        </w:r>
        <w:r w:rsidR="00056CFE" w:rsidRPr="002043C4">
          <w:rPr>
            <w:rStyle w:val="Hyperlink"/>
          </w:rPr>
          <w:t>11</w:t>
        </w:r>
      </w:hyperlink>
      <w:r w:rsidR="00FE0CFB">
        <w:rPr>
          <w:rStyle w:val="Hyperlink"/>
        </w:rPr>
        <w:t> </w:t>
      </w:r>
      <w:r w:rsidR="00056CFE">
        <w:t xml:space="preserve"> </w:t>
      </w:r>
      <w:r w:rsidR="00AB57A2" w:rsidRPr="00354655">
        <w:t>and</w:t>
      </w:r>
      <w:r w:rsidR="00056CFE">
        <w:t xml:space="preserve"> Decisions </w:t>
      </w:r>
      <w:hyperlink r:id="rId21" w:history="1">
        <w:r w:rsidR="00056CFE" w:rsidRPr="00BE5DC0">
          <w:rPr>
            <w:rStyle w:val="Hyperlink"/>
          </w:rPr>
          <w:t>12.COM 11</w:t>
        </w:r>
      </w:hyperlink>
      <w:r w:rsidR="00056CFE">
        <w:t xml:space="preserve">, </w:t>
      </w:r>
      <w:hyperlink r:id="rId22" w:history="1">
        <w:r w:rsidR="00056CFE" w:rsidRPr="00056CFE">
          <w:rPr>
            <w:rStyle w:val="Hyperlink"/>
          </w:rPr>
          <w:t>12.COM 11.c</w:t>
        </w:r>
      </w:hyperlink>
      <w:r w:rsidR="00056CFE">
        <w:t xml:space="preserve">, </w:t>
      </w:r>
      <w:hyperlink r:id="rId23" w:history="1">
        <w:r w:rsidR="00056CFE" w:rsidRPr="00BE5DC0">
          <w:rPr>
            <w:rStyle w:val="Hyperlink"/>
          </w:rPr>
          <w:t>12.COM 14</w:t>
        </w:r>
      </w:hyperlink>
      <w:r w:rsidR="00056CFE">
        <w:t xml:space="preserve">, </w:t>
      </w:r>
      <w:hyperlink r:id="rId24" w:history="1">
        <w:r w:rsidR="00056CFE" w:rsidRPr="002043C4">
          <w:rPr>
            <w:rStyle w:val="Hyperlink"/>
          </w:rPr>
          <w:t>13.COM 9</w:t>
        </w:r>
      </w:hyperlink>
      <w:r w:rsidR="00AB57A2" w:rsidRPr="00354655">
        <w:t xml:space="preserve"> and</w:t>
      </w:r>
      <w:r w:rsidR="00056CFE">
        <w:t xml:space="preserve"> </w:t>
      </w:r>
      <w:hyperlink r:id="rId25" w:history="1">
        <w:r w:rsidR="00056CFE" w:rsidRPr="00351477">
          <w:rPr>
            <w:rStyle w:val="Hyperlink"/>
          </w:rPr>
          <w:t>14.COM 14</w:t>
        </w:r>
      </w:hyperlink>
      <w:r w:rsidR="00056CFE">
        <w:t>)</w:t>
      </w:r>
    </w:p>
    <w:p w14:paraId="0EB87776" w14:textId="6A4FAE5F" w:rsidR="00397E12" w:rsidRDefault="00397E12" w:rsidP="00B00365">
      <w:pPr>
        <w:pStyle w:val="1GAPara"/>
        <w:numPr>
          <w:ilvl w:val="0"/>
          <w:numId w:val="13"/>
        </w:numPr>
        <w:ind w:left="1134" w:hanging="567"/>
        <w:jc w:val="both"/>
      </w:pPr>
      <w:r>
        <w:t xml:space="preserve">Procedures for the inscriptions of multinational </w:t>
      </w:r>
      <w:r w:rsidRPr="00354655">
        <w:t>nomination</w:t>
      </w:r>
      <w:r w:rsidR="00D968A5" w:rsidRPr="00354655">
        <w:t>s</w:t>
      </w:r>
      <w:r>
        <w:t xml:space="preserve"> on an extended basis</w:t>
      </w:r>
      <w:r w:rsidR="00101FA9">
        <w:t xml:space="preserve"> (Decision</w:t>
      </w:r>
      <w:r w:rsidR="00182875">
        <w:t>s</w:t>
      </w:r>
      <w:r w:rsidR="00101FA9">
        <w:t xml:space="preserve"> </w:t>
      </w:r>
      <w:hyperlink r:id="rId26" w:history="1">
        <w:r w:rsidR="002043C4" w:rsidRPr="00351477">
          <w:rPr>
            <w:rStyle w:val="Hyperlink"/>
          </w:rPr>
          <w:t>14.COM 14</w:t>
        </w:r>
      </w:hyperlink>
      <w:r w:rsidR="00182875">
        <w:t xml:space="preserve"> and </w:t>
      </w:r>
      <w:hyperlink r:id="rId27" w:history="1">
        <w:r w:rsidR="00182875" w:rsidRPr="009E74C1">
          <w:rPr>
            <w:rStyle w:val="Hyperlink"/>
          </w:rPr>
          <w:t>15.COM 8</w:t>
        </w:r>
      </w:hyperlink>
      <w:r w:rsidR="00101FA9">
        <w:t>)</w:t>
      </w:r>
    </w:p>
    <w:p w14:paraId="34F3E2D6" w14:textId="562DE3A9" w:rsidR="00B64EDE" w:rsidRDefault="00EC4117" w:rsidP="00B00365">
      <w:pPr>
        <w:pStyle w:val="1GAPara"/>
        <w:numPr>
          <w:ilvl w:val="0"/>
          <w:numId w:val="15"/>
        </w:numPr>
        <w:ind w:left="567" w:hanging="567"/>
        <w:jc w:val="both"/>
      </w:pPr>
      <w:r>
        <w:t>The</w:t>
      </w:r>
      <w:r w:rsidR="00D968A5" w:rsidRPr="00354655">
        <w:t xml:space="preserve"> Part I</w:t>
      </w:r>
      <w:r>
        <w:t xml:space="preserve"> recommendations, which were made available </w:t>
      </w:r>
      <w:r w:rsidR="00CB2E29">
        <w:t>on 13 July 202</w:t>
      </w:r>
      <w:r w:rsidR="002934D8">
        <w:t>1</w:t>
      </w:r>
      <w:r w:rsidR="00CB2E29">
        <w:t xml:space="preserve"> </w:t>
      </w:r>
      <w:r w:rsidR="00D968A5" w:rsidRPr="00354655">
        <w:t xml:space="preserve">on </w:t>
      </w:r>
      <w:r>
        <w:t xml:space="preserve">the </w:t>
      </w:r>
      <w:hyperlink r:id="rId28" w:history="1">
        <w:r w:rsidRPr="00EC4117">
          <w:rPr>
            <w:rStyle w:val="Hyperlink"/>
          </w:rPr>
          <w:t>webpage</w:t>
        </w:r>
      </w:hyperlink>
      <w:r>
        <w:t xml:space="preserve"> of the Convention</w:t>
      </w:r>
      <w:r w:rsidR="00CB2E29">
        <w:t xml:space="preserve"> </w:t>
      </w:r>
      <w:r>
        <w:t>dedicated to the reflection process</w:t>
      </w:r>
      <w:r w:rsidR="00D968A5" w:rsidRPr="00354655">
        <w:t>,</w:t>
      </w:r>
      <w:r>
        <w:t xml:space="preserve"> </w:t>
      </w:r>
      <w:r w:rsidR="00D968A5" w:rsidRPr="00354655">
        <w:t>are included</w:t>
      </w:r>
      <w:r>
        <w:t xml:space="preserve"> in the </w:t>
      </w:r>
      <w:hyperlink w:anchor="_Annex" w:history="1">
        <w:r w:rsidR="00C0487B" w:rsidRPr="00CC11F6">
          <w:rPr>
            <w:rStyle w:val="Hyperlink"/>
          </w:rPr>
          <w:t>A</w:t>
        </w:r>
        <w:r w:rsidRPr="00CC11F6">
          <w:rPr>
            <w:rStyle w:val="Hyperlink"/>
          </w:rPr>
          <w:t>nnex</w:t>
        </w:r>
      </w:hyperlink>
      <w:r>
        <w:t xml:space="preserve"> of this document</w:t>
      </w:r>
      <w:r w:rsidR="004D4F3E">
        <w:t>.</w:t>
      </w:r>
      <w:r w:rsidR="00841FCD" w:rsidRPr="00841FCD">
        <w:t xml:space="preserve"> </w:t>
      </w:r>
    </w:p>
    <w:p w14:paraId="21EAA6AE" w14:textId="54301D90" w:rsidR="00E2101A" w:rsidRDefault="00081F65" w:rsidP="00B00365">
      <w:pPr>
        <w:pStyle w:val="1GAPara"/>
        <w:numPr>
          <w:ilvl w:val="0"/>
          <w:numId w:val="15"/>
        </w:numPr>
        <w:ind w:left="567" w:hanging="567"/>
        <w:jc w:val="both"/>
      </w:pPr>
      <w:r>
        <w:t xml:space="preserve">In terms of </w:t>
      </w:r>
      <w:r w:rsidRPr="00455148">
        <w:rPr>
          <w:b/>
          <w:bCs/>
        </w:rPr>
        <w:t>overall approaches</w:t>
      </w:r>
      <w:r>
        <w:t>, t</w:t>
      </w:r>
      <w:r w:rsidR="00FA3ED5">
        <w:t xml:space="preserve">he main </w:t>
      </w:r>
      <w:r w:rsidR="00961D6A">
        <w:t>recommendations of the working group may be</w:t>
      </w:r>
      <w:r w:rsidR="00FA3ED5">
        <w:t xml:space="preserve"> summarized as follows:</w:t>
      </w:r>
    </w:p>
    <w:p w14:paraId="5272D3A2" w14:textId="043F6B39" w:rsidR="003000D9" w:rsidRPr="002648DA" w:rsidRDefault="00940659" w:rsidP="00B00365">
      <w:pPr>
        <w:pStyle w:val="1GAPara"/>
        <w:numPr>
          <w:ilvl w:val="0"/>
          <w:numId w:val="10"/>
        </w:numPr>
        <w:ind w:left="1134" w:hanging="567"/>
        <w:jc w:val="both"/>
      </w:pPr>
      <w:r>
        <w:t xml:space="preserve">Fully </w:t>
      </w:r>
      <w:r w:rsidRPr="00354655">
        <w:t>recogni</w:t>
      </w:r>
      <w:r w:rsidR="00D968A5" w:rsidRPr="00354655">
        <w:t>z</w:t>
      </w:r>
      <w:r w:rsidRPr="00354655">
        <w:t>ing</w:t>
      </w:r>
      <w:r>
        <w:t xml:space="preserve"> the importance and urgency of undertaking the reform, t</w:t>
      </w:r>
      <w:r w:rsidR="0002383D" w:rsidRPr="000037B0">
        <w:t>he working group decide</w:t>
      </w:r>
      <w:r w:rsidR="00C41FDB">
        <w:t>d</w:t>
      </w:r>
      <w:r w:rsidR="0002383D" w:rsidRPr="000037B0">
        <w:t xml:space="preserve"> to recommend that the reform of the listing system be guided by a mixture of proposals made under both the</w:t>
      </w:r>
      <w:r w:rsidR="0002383D" w:rsidRPr="002648DA">
        <w:t xml:space="preserve"> ‘fine-tuning’ and </w:t>
      </w:r>
      <w:r w:rsidR="00184D8A" w:rsidRPr="00354655">
        <w:t xml:space="preserve">the </w:t>
      </w:r>
      <w:r w:rsidR="0002383D" w:rsidRPr="002648DA">
        <w:t xml:space="preserve">‘repositioning’ </w:t>
      </w:r>
      <w:r w:rsidR="0002383D" w:rsidRPr="00354655">
        <w:t>approach</w:t>
      </w:r>
      <w:r w:rsidR="00184D8A" w:rsidRPr="00354655">
        <w:t>es</w:t>
      </w:r>
      <w:r w:rsidR="00E707AB" w:rsidRPr="002648DA">
        <w:t>.</w:t>
      </w:r>
      <w:r w:rsidR="00244D68" w:rsidRPr="002648DA">
        <w:t xml:space="preserve"> Many States cautioned that the </w:t>
      </w:r>
      <w:r w:rsidR="005E005D" w:rsidRPr="002648DA">
        <w:t xml:space="preserve">main </w:t>
      </w:r>
      <w:r w:rsidR="00244D68" w:rsidRPr="002648DA">
        <w:t xml:space="preserve">objective of the 2003 Convention is to promote safeguarding and </w:t>
      </w:r>
      <w:r w:rsidR="005E005D" w:rsidRPr="002648DA">
        <w:t>that</w:t>
      </w:r>
      <w:r w:rsidR="00244D68" w:rsidRPr="002648DA">
        <w:t xml:space="preserve"> listing elements should not be </w:t>
      </w:r>
      <w:r w:rsidR="005E005D" w:rsidRPr="002648DA">
        <w:t>an</w:t>
      </w:r>
      <w:r w:rsidR="00244D68" w:rsidRPr="002648DA">
        <w:t xml:space="preserve"> </w:t>
      </w:r>
      <w:r w:rsidR="00813245" w:rsidRPr="002648DA">
        <w:t xml:space="preserve">end </w:t>
      </w:r>
      <w:r w:rsidR="00184D8A" w:rsidRPr="00354655">
        <w:t>in and of</w:t>
      </w:r>
      <w:r w:rsidR="00813245" w:rsidRPr="00354655">
        <w:t xml:space="preserve"> </w:t>
      </w:r>
      <w:r w:rsidR="00813245" w:rsidRPr="002648DA">
        <w:t>itself</w:t>
      </w:r>
      <w:r w:rsidR="00244D68" w:rsidRPr="002648DA">
        <w:t>.</w:t>
      </w:r>
      <w:r w:rsidR="002934D8" w:rsidRPr="002648DA">
        <w:t xml:space="preserve"> The need to be mindful of the differences</w:t>
      </w:r>
      <w:r w:rsidR="001B0B71" w:rsidRPr="002648DA">
        <w:t xml:space="preserve"> </w:t>
      </w:r>
      <w:r w:rsidR="002934D8" w:rsidRPr="002648DA">
        <w:t xml:space="preserve">between the 2003 Convention and the 1972 Convention </w:t>
      </w:r>
      <w:r w:rsidR="00C51547" w:rsidRPr="00354655">
        <w:t>inscription processes</w:t>
      </w:r>
      <w:r w:rsidR="002934D8" w:rsidRPr="00354655">
        <w:t xml:space="preserve"> was</w:t>
      </w:r>
      <w:r w:rsidR="00184D8A" w:rsidRPr="00354655">
        <w:t xml:space="preserve"> also</w:t>
      </w:r>
      <w:r w:rsidR="001B0B71" w:rsidRPr="002648DA">
        <w:t xml:space="preserve"> clearly emphasized.</w:t>
      </w:r>
    </w:p>
    <w:p w14:paraId="08756776" w14:textId="29497277" w:rsidR="002F1C53" w:rsidRPr="002648DA" w:rsidRDefault="00165A1C" w:rsidP="00B00365">
      <w:pPr>
        <w:pStyle w:val="1GAPara"/>
        <w:numPr>
          <w:ilvl w:val="0"/>
          <w:numId w:val="10"/>
        </w:numPr>
        <w:ind w:left="1134" w:hanging="567"/>
        <w:jc w:val="both"/>
      </w:pPr>
      <w:r w:rsidRPr="002648DA">
        <w:t xml:space="preserve">In </w:t>
      </w:r>
      <w:r w:rsidR="005E005D" w:rsidRPr="002648DA">
        <w:t>accordance</w:t>
      </w:r>
      <w:r w:rsidRPr="002648DA">
        <w:t xml:space="preserve"> with the</w:t>
      </w:r>
      <w:r w:rsidR="004D4F3E" w:rsidRPr="002648DA">
        <w:t xml:space="preserve"> </w:t>
      </w:r>
      <w:r w:rsidR="004D4F3E" w:rsidRPr="00354655">
        <w:t>experts</w:t>
      </w:r>
      <w:r w:rsidR="00A86AB2" w:rsidRPr="00354655">
        <w:t>’ recommendations</w:t>
      </w:r>
      <w:r w:rsidR="005E005D" w:rsidRPr="00354655">
        <w:t xml:space="preserve"> </w:t>
      </w:r>
      <w:r w:rsidR="002648DA">
        <w:t>earlier in</w:t>
      </w:r>
      <w:r w:rsidR="00367A79" w:rsidRPr="002648DA">
        <w:rPr>
          <w:lang w:val="en-US"/>
        </w:rPr>
        <w:t xml:space="preserve"> </w:t>
      </w:r>
      <w:r w:rsidR="005E005D" w:rsidRPr="009D7293">
        <w:t>the reflection process</w:t>
      </w:r>
      <w:r w:rsidR="004D4F3E" w:rsidRPr="009D7293">
        <w:t xml:space="preserve">, the working group </w:t>
      </w:r>
      <w:r w:rsidR="005E005D" w:rsidRPr="009D7293">
        <w:t>emphasized</w:t>
      </w:r>
      <w:r w:rsidR="00D87F17" w:rsidRPr="009D7293">
        <w:t xml:space="preserve"> that</w:t>
      </w:r>
      <w:r w:rsidR="009A5473" w:rsidRPr="009D7293">
        <w:t xml:space="preserve"> </w:t>
      </w:r>
      <w:r w:rsidR="009A5473" w:rsidRPr="009A5473">
        <w:t>communities</w:t>
      </w:r>
      <w:r w:rsidR="009A5473" w:rsidRPr="002648DA">
        <w:t>, groups and</w:t>
      </w:r>
      <w:r w:rsidR="00A86AB2" w:rsidRPr="00354655">
        <w:t>,</w:t>
      </w:r>
      <w:r w:rsidR="009A5473" w:rsidRPr="002648DA">
        <w:t xml:space="preserve"> if applicable</w:t>
      </w:r>
      <w:r w:rsidR="00A86AB2" w:rsidRPr="00354655">
        <w:t>,</w:t>
      </w:r>
      <w:r w:rsidR="009A5473" w:rsidRPr="002648DA">
        <w:t xml:space="preserve"> individuals </w:t>
      </w:r>
      <w:r w:rsidR="005E005D" w:rsidRPr="002648DA">
        <w:t>should</w:t>
      </w:r>
      <w:r w:rsidR="00D87F17" w:rsidRPr="002648DA">
        <w:t xml:space="preserve"> benefit directly from </w:t>
      </w:r>
      <w:r w:rsidR="005E005D" w:rsidRPr="002648DA">
        <w:t>reforms proposed to the listing system and</w:t>
      </w:r>
      <w:r w:rsidR="009A5473" w:rsidRPr="002648DA">
        <w:t xml:space="preserve"> </w:t>
      </w:r>
      <w:r w:rsidR="00261AF7" w:rsidRPr="00354655">
        <w:t>that</w:t>
      </w:r>
      <w:r w:rsidR="009A5473" w:rsidRPr="00354655">
        <w:t xml:space="preserve"> </w:t>
      </w:r>
      <w:r w:rsidR="009A5473" w:rsidRPr="002648DA">
        <w:t xml:space="preserve">their broader and more active participation in all steps of the </w:t>
      </w:r>
      <w:r w:rsidR="00DF182C" w:rsidRPr="002648DA">
        <w:t xml:space="preserve">listing </w:t>
      </w:r>
      <w:r w:rsidR="009A5473" w:rsidRPr="002648DA">
        <w:t>mechanisms</w:t>
      </w:r>
      <w:r w:rsidR="005E005D" w:rsidRPr="002648DA">
        <w:t xml:space="preserve"> should be </w:t>
      </w:r>
      <w:r w:rsidR="002648DA">
        <w:t>ascertained.</w:t>
      </w:r>
      <w:r w:rsidR="005664E4" w:rsidRPr="009D7293">
        <w:t xml:space="preserve"> </w:t>
      </w:r>
      <w:r w:rsidR="006D7146" w:rsidRPr="009D7293">
        <w:t xml:space="preserve">Many delegations </w:t>
      </w:r>
      <w:r w:rsidR="00C51547" w:rsidRPr="00354655">
        <w:t>mentioned</w:t>
      </w:r>
      <w:r w:rsidR="006D7146" w:rsidRPr="002648DA">
        <w:t xml:space="preserve"> the need to </w:t>
      </w:r>
      <w:r w:rsidR="00261AF7" w:rsidRPr="00354655">
        <w:t xml:space="preserve">reflect the concerns of </w:t>
      </w:r>
      <w:r w:rsidR="006D7146" w:rsidRPr="002648DA">
        <w:t>communities, groups and individuals through the inscription process</w:t>
      </w:r>
      <w:r w:rsidR="00261AF7" w:rsidRPr="00354655">
        <w:t xml:space="preserve"> and to ‘connect’ them with the Convention</w:t>
      </w:r>
      <w:r w:rsidR="006D7146" w:rsidRPr="00354655">
        <w:t>.</w:t>
      </w:r>
      <w:r w:rsidR="006D7146" w:rsidRPr="002648DA">
        <w:t xml:space="preserve"> </w:t>
      </w:r>
      <w:r w:rsidR="00ED4991" w:rsidRPr="002648DA">
        <w:t>In this regard, t</w:t>
      </w:r>
      <w:r w:rsidR="00813245" w:rsidRPr="002648DA">
        <w:t xml:space="preserve">he working group discussed five suggestions </w:t>
      </w:r>
      <w:r w:rsidR="00ED4991" w:rsidRPr="002648DA">
        <w:t xml:space="preserve">made by the experts </w:t>
      </w:r>
      <w:r w:rsidR="00E423E3" w:rsidRPr="002648DA">
        <w:t xml:space="preserve">to increase community involvement </w:t>
      </w:r>
      <w:r w:rsidR="00813245" w:rsidRPr="002648DA">
        <w:t xml:space="preserve">as listed in paragraph 18 of working document </w:t>
      </w:r>
      <w:hyperlink r:id="rId29" w:history="1">
        <w:r w:rsidR="00813245" w:rsidRPr="00CC11F6">
          <w:rPr>
            <w:rStyle w:val="Hyperlink"/>
          </w:rPr>
          <w:t>LHE/21/16.COM</w:t>
        </w:r>
        <w:r w:rsidR="00B00365" w:rsidRPr="00CC11F6">
          <w:rPr>
            <w:rStyle w:val="Hyperlink"/>
          </w:rPr>
          <w:t> </w:t>
        </w:r>
        <w:r w:rsidR="00813245" w:rsidRPr="00CC11F6">
          <w:rPr>
            <w:rStyle w:val="Hyperlink"/>
          </w:rPr>
          <w:t>WG/3</w:t>
        </w:r>
        <w:r w:rsidR="006B6D11" w:rsidRPr="00196948">
          <w:rPr>
            <w:rStyle w:val="Hyperlink"/>
          </w:rPr>
          <w:t>.</w:t>
        </w:r>
      </w:hyperlink>
    </w:p>
    <w:p w14:paraId="1887EA6F" w14:textId="7E47F650" w:rsidR="00ED4991" w:rsidRPr="00ED4991" w:rsidRDefault="00ED4991" w:rsidP="002648DA">
      <w:pPr>
        <w:pStyle w:val="1GAPara"/>
        <w:numPr>
          <w:ilvl w:val="0"/>
          <w:numId w:val="14"/>
        </w:numPr>
        <w:ind w:left="1560" w:hanging="426"/>
        <w:jc w:val="both"/>
      </w:pPr>
      <w:r w:rsidRPr="002648DA">
        <w:t>Of these five suggestions, t</w:t>
      </w:r>
      <w:r w:rsidR="005664E4" w:rsidRPr="002648DA">
        <w:t>he working</w:t>
      </w:r>
      <w:r w:rsidR="0085254C" w:rsidRPr="002648DA">
        <w:t xml:space="preserve"> </w:t>
      </w:r>
      <w:r w:rsidR="00813245" w:rsidRPr="002648DA">
        <w:t xml:space="preserve">group decided to </w:t>
      </w:r>
      <w:r w:rsidR="0085254C" w:rsidRPr="002648DA">
        <w:t xml:space="preserve">recommend </w:t>
      </w:r>
      <w:r w:rsidR="005664E4" w:rsidRPr="002648DA">
        <w:t>the use of the community’s language or a language accessible to them in the preparation and submission of nominations</w:t>
      </w:r>
      <w:r w:rsidR="00F52083" w:rsidRPr="002648DA">
        <w:t>.</w:t>
      </w:r>
      <w:r w:rsidR="005664E4" w:rsidRPr="002648DA">
        <w:t xml:space="preserve"> </w:t>
      </w:r>
      <w:r w:rsidR="00532A1A" w:rsidRPr="002648DA">
        <w:t>The idea is to</w:t>
      </w:r>
      <w:r w:rsidR="0085254C" w:rsidRPr="002648DA">
        <w:t xml:space="preserve"> facilitate communication </w:t>
      </w:r>
      <w:r w:rsidR="00811796">
        <w:t xml:space="preserve">with and </w:t>
      </w:r>
      <w:r w:rsidR="009A01E4" w:rsidRPr="002648DA">
        <w:t>within</w:t>
      </w:r>
      <w:r w:rsidR="0085254C" w:rsidRPr="002648DA">
        <w:t xml:space="preserve"> the communit</w:t>
      </w:r>
      <w:r w:rsidR="009A01E4" w:rsidRPr="002648DA">
        <w:t>ies</w:t>
      </w:r>
      <w:r w:rsidR="006D3905" w:rsidRPr="002648DA">
        <w:t xml:space="preserve"> or groups concerned</w:t>
      </w:r>
      <w:r w:rsidR="0085254C" w:rsidRPr="002648DA">
        <w:t xml:space="preserve"> when preparing nominations, including safeguarding plans and measures</w:t>
      </w:r>
      <w:r w:rsidR="006D3905" w:rsidRPr="002648DA">
        <w:t xml:space="preserve">. The </w:t>
      </w:r>
      <w:r w:rsidR="00F52083" w:rsidRPr="002648DA">
        <w:t xml:space="preserve">posting of </w:t>
      </w:r>
      <w:r w:rsidR="006D3905" w:rsidRPr="002648DA">
        <w:t>nomination forms</w:t>
      </w:r>
      <w:r w:rsidR="00F52083" w:rsidRPr="002648DA">
        <w:t xml:space="preserve"> in the language(s) of </w:t>
      </w:r>
      <w:r w:rsidR="00641855" w:rsidRPr="00354655">
        <w:t>the</w:t>
      </w:r>
      <w:r w:rsidR="00F52083" w:rsidRPr="00354655">
        <w:t xml:space="preserve"> </w:t>
      </w:r>
      <w:r w:rsidR="00F52083" w:rsidRPr="002648DA">
        <w:t xml:space="preserve">communities is </w:t>
      </w:r>
      <w:r w:rsidR="006B6D11" w:rsidRPr="00354655">
        <w:t>also</w:t>
      </w:r>
      <w:r w:rsidR="00F52083" w:rsidRPr="00354655">
        <w:t xml:space="preserve"> </w:t>
      </w:r>
      <w:r w:rsidR="00F52083" w:rsidRPr="002648DA">
        <w:t xml:space="preserve">meant to encourage </w:t>
      </w:r>
      <w:r w:rsidR="006B6D11" w:rsidRPr="00354655">
        <w:t>and recognize</w:t>
      </w:r>
      <w:r w:rsidR="00F52083" w:rsidRPr="00354655">
        <w:t xml:space="preserve"> communities</w:t>
      </w:r>
      <w:r w:rsidR="000B0F18" w:rsidRPr="00354655">
        <w:t>’</w:t>
      </w:r>
      <w:r w:rsidR="000B0F18" w:rsidRPr="002648DA">
        <w:t xml:space="preserve"> safeguarding</w:t>
      </w:r>
      <w:r w:rsidR="0085254C" w:rsidRPr="002648DA">
        <w:t xml:space="preserve"> efforts</w:t>
      </w:r>
      <w:r w:rsidR="006D3905" w:rsidRPr="002648DA">
        <w:t>.</w:t>
      </w:r>
      <w:r w:rsidR="0085254C" w:rsidRPr="002648DA">
        <w:t xml:space="preserve"> </w:t>
      </w:r>
      <w:r w:rsidR="006D3905" w:rsidRPr="002648DA">
        <w:t>A</w:t>
      </w:r>
      <w:r w:rsidR="0085254C" w:rsidRPr="002648DA">
        <w:t>t the same</w:t>
      </w:r>
      <w:r w:rsidR="005664E4" w:rsidRPr="002648DA">
        <w:t xml:space="preserve"> </w:t>
      </w:r>
      <w:r w:rsidR="006B6D11" w:rsidRPr="00354655">
        <w:t>time,</w:t>
      </w:r>
      <w:r w:rsidR="005664E4" w:rsidRPr="00354655">
        <w:t xml:space="preserve"> </w:t>
      </w:r>
      <w:r w:rsidR="006B6D11" w:rsidRPr="00354655">
        <w:t xml:space="preserve">English and French would remain </w:t>
      </w:r>
      <w:r w:rsidR="005664E4" w:rsidRPr="002648DA">
        <w:t>the working languages of the Evaluation Body and the Committee</w:t>
      </w:r>
      <w:r w:rsidR="0085254C" w:rsidRPr="002648DA">
        <w:t>.</w:t>
      </w:r>
    </w:p>
    <w:p w14:paraId="22D897B6" w14:textId="4E1CE596" w:rsidR="00C00085" w:rsidRDefault="00367A79" w:rsidP="002648DA">
      <w:pPr>
        <w:pStyle w:val="1GAPara"/>
        <w:numPr>
          <w:ilvl w:val="0"/>
          <w:numId w:val="14"/>
        </w:numPr>
        <w:ind w:left="1560" w:hanging="426"/>
        <w:jc w:val="both"/>
      </w:pPr>
      <w:r>
        <w:t>T</w:t>
      </w:r>
      <w:r w:rsidR="00F67FF6">
        <w:rPr>
          <w:lang w:val="en-US"/>
        </w:rPr>
        <w:t>he</w:t>
      </w:r>
      <w:r w:rsidR="00F67FF6" w:rsidRPr="002648DA">
        <w:t xml:space="preserve"> working group</w:t>
      </w:r>
      <w:r w:rsidR="00F67FF6">
        <w:rPr>
          <w:lang w:val="en-US"/>
        </w:rPr>
        <w:t xml:space="preserve"> </w:t>
      </w:r>
      <w:r>
        <w:rPr>
          <w:lang w:val="en-US"/>
        </w:rPr>
        <w:t>also</w:t>
      </w:r>
      <w:r w:rsidRPr="002648DA">
        <w:rPr>
          <w:lang w:val="en-US"/>
        </w:rPr>
        <w:t xml:space="preserve"> </w:t>
      </w:r>
      <w:r w:rsidR="00F52083" w:rsidRPr="002648DA">
        <w:t>decided</w:t>
      </w:r>
      <w:r w:rsidR="002213CE" w:rsidRPr="002648DA">
        <w:t xml:space="preserve"> to recommend</w:t>
      </w:r>
      <w:r w:rsidR="009A01E4" w:rsidRPr="002648DA">
        <w:t xml:space="preserve"> </w:t>
      </w:r>
      <w:r w:rsidR="00F67FF6" w:rsidRPr="002648DA">
        <w:t xml:space="preserve">the use of </w:t>
      </w:r>
      <w:r w:rsidR="00F52083" w:rsidRPr="002648DA">
        <w:t xml:space="preserve">diverse forms of </w:t>
      </w:r>
      <w:r w:rsidR="00F67FF6" w:rsidRPr="002648DA">
        <w:t>technology</w:t>
      </w:r>
      <w:r w:rsidR="002213CE" w:rsidRPr="002648DA">
        <w:t xml:space="preserve"> </w:t>
      </w:r>
      <w:r w:rsidR="009A01E4" w:rsidRPr="002648DA">
        <w:t>for providing information requested in the nomination forms as well as for communicating any concerns. This means</w:t>
      </w:r>
      <w:r w:rsidR="00F52083" w:rsidRPr="002648DA">
        <w:t>, for instance, that</w:t>
      </w:r>
      <w:r w:rsidR="009A01E4" w:rsidRPr="002648DA">
        <w:t xml:space="preserve"> </w:t>
      </w:r>
      <w:r w:rsidR="00020F03" w:rsidRPr="002648DA">
        <w:t xml:space="preserve">communities may transmit video clips </w:t>
      </w:r>
      <w:r w:rsidR="006B6D11" w:rsidRPr="00354655">
        <w:t>as</w:t>
      </w:r>
      <w:r w:rsidR="00020F03" w:rsidRPr="00354655">
        <w:t xml:space="preserve"> </w:t>
      </w:r>
      <w:r w:rsidR="00F52083" w:rsidRPr="002648DA">
        <w:t xml:space="preserve">proof of their </w:t>
      </w:r>
      <w:r w:rsidR="00020F03" w:rsidRPr="002648DA">
        <w:t xml:space="preserve">consent for </w:t>
      </w:r>
      <w:r w:rsidR="00020F03" w:rsidRPr="00567A0E">
        <w:t xml:space="preserve">nominations or </w:t>
      </w:r>
      <w:r w:rsidR="00F52083">
        <w:t>for</w:t>
      </w:r>
      <w:r w:rsidR="00020F03" w:rsidRPr="00567A0E">
        <w:t xml:space="preserve"> a request to transfer their element from one </w:t>
      </w:r>
      <w:r w:rsidR="006B6D11" w:rsidRPr="00354655">
        <w:t>l</w:t>
      </w:r>
      <w:r w:rsidR="00020F03" w:rsidRPr="00567A0E">
        <w:t>ist to the other.</w:t>
      </w:r>
    </w:p>
    <w:p w14:paraId="0D5362F4" w14:textId="36BCB4BE" w:rsidR="00907280" w:rsidRPr="00567A0E" w:rsidRDefault="002B29E6" w:rsidP="002648DA">
      <w:pPr>
        <w:pStyle w:val="1GAPara"/>
        <w:numPr>
          <w:ilvl w:val="0"/>
          <w:numId w:val="14"/>
        </w:numPr>
        <w:ind w:left="1560" w:hanging="426"/>
        <w:jc w:val="both"/>
      </w:pPr>
      <w:r w:rsidRPr="00354655">
        <w:t>Lastly, t</w:t>
      </w:r>
      <w:r w:rsidR="002213CE">
        <w:t xml:space="preserve">he </w:t>
      </w:r>
      <w:r w:rsidR="002213CE" w:rsidRPr="002648DA">
        <w:t>working</w:t>
      </w:r>
      <w:r w:rsidR="002213CE">
        <w:t xml:space="preserve"> group considered that suggestions to set up </w:t>
      </w:r>
      <w:r w:rsidR="00367A79">
        <w:t>an arm</w:t>
      </w:r>
      <w:r w:rsidR="002648DA">
        <w:t>s’-</w:t>
      </w:r>
      <w:r w:rsidR="00367A79">
        <w:t xml:space="preserve">length platform, </w:t>
      </w:r>
      <w:r w:rsidR="002213CE">
        <w:t>a network for inscribed elements and a special forum require more information and</w:t>
      </w:r>
      <w:r w:rsidR="00F52083">
        <w:t xml:space="preserve"> might</w:t>
      </w:r>
      <w:r w:rsidR="002213CE">
        <w:t xml:space="preserve"> be discussed at a later stage.</w:t>
      </w:r>
    </w:p>
    <w:p w14:paraId="28179A25" w14:textId="0599759F" w:rsidR="00AC2498" w:rsidRDefault="00F52083" w:rsidP="00B00365">
      <w:pPr>
        <w:pStyle w:val="1GAPara"/>
        <w:numPr>
          <w:ilvl w:val="0"/>
          <w:numId w:val="15"/>
        </w:numPr>
        <w:ind w:left="567" w:hanging="567"/>
        <w:jc w:val="both"/>
      </w:pPr>
      <w:r>
        <w:t>Concerning</w:t>
      </w:r>
      <w:r w:rsidR="0094353B" w:rsidRPr="00CE7C2D">
        <w:t xml:space="preserve"> the</w:t>
      </w:r>
      <w:r w:rsidR="0094353B" w:rsidRPr="00567A0E">
        <w:rPr>
          <w:b/>
          <w:bCs/>
        </w:rPr>
        <w:t xml:space="preserve"> inscription criteria</w:t>
      </w:r>
      <w:r w:rsidR="0094353B" w:rsidRPr="00567A0E">
        <w:t xml:space="preserve">, the working group recommended </w:t>
      </w:r>
      <w:r w:rsidR="0094353B" w:rsidRPr="00354655">
        <w:t>maintain</w:t>
      </w:r>
      <w:r w:rsidR="00636BBB" w:rsidRPr="00354655">
        <w:t>ing</w:t>
      </w:r>
      <w:r w:rsidR="0094353B" w:rsidRPr="00567A0E">
        <w:t xml:space="preserve"> all criteria for the Representative List and the Urgent Safeguarding List</w:t>
      </w:r>
      <w:r w:rsidR="00636BBB" w:rsidRPr="00354655">
        <w:t xml:space="preserve"> but provided</w:t>
      </w:r>
      <w:r w:rsidR="0094353B" w:rsidRPr="00567A0E">
        <w:t xml:space="preserve"> </w:t>
      </w:r>
      <w:r w:rsidR="00567A0E" w:rsidRPr="00567A0E">
        <w:t xml:space="preserve">specific proposals </w:t>
      </w:r>
      <w:r w:rsidR="000B7395" w:rsidRPr="00354655">
        <w:t xml:space="preserve">for </w:t>
      </w:r>
      <w:r w:rsidR="00567A0E">
        <w:t>criteri</w:t>
      </w:r>
      <w:r w:rsidR="0000248E">
        <w:t>a</w:t>
      </w:r>
      <w:r w:rsidR="00567A0E">
        <w:t xml:space="preserve"> R.1/U.1, R.2, R.4/U.4 and R.5</w:t>
      </w:r>
      <w:r w:rsidR="003C2D00">
        <w:t>/</w:t>
      </w:r>
      <w:r w:rsidR="00567A0E">
        <w:t xml:space="preserve">U.5. </w:t>
      </w:r>
      <w:r w:rsidR="00000420">
        <w:t xml:space="preserve">The priority issue regarding </w:t>
      </w:r>
      <w:r w:rsidR="00000420" w:rsidRPr="00CA6B0F">
        <w:rPr>
          <w:u w:val="single"/>
        </w:rPr>
        <w:t>criterion R.2</w:t>
      </w:r>
      <w:r w:rsidR="00000420">
        <w:t xml:space="preserve"> w</w:t>
      </w:r>
      <w:r w:rsidR="00CA610F">
        <w:t>as</w:t>
      </w:r>
      <w:r w:rsidR="00000420">
        <w:t xml:space="preserve"> discussed extensively by the working group</w:t>
      </w:r>
      <w:r w:rsidR="00636BBB" w:rsidRPr="00354655">
        <w:t>,</w:t>
      </w:r>
      <w:r w:rsidR="00000420">
        <w:t xml:space="preserve"> which decided </w:t>
      </w:r>
      <w:r w:rsidR="005A1D09" w:rsidRPr="00354655">
        <w:t xml:space="preserve">to recommend </w:t>
      </w:r>
      <w:r w:rsidR="00000420" w:rsidRPr="00354655">
        <w:t>reformulat</w:t>
      </w:r>
      <w:r w:rsidR="005A1D09" w:rsidRPr="00354655">
        <w:t>ing</w:t>
      </w:r>
      <w:r w:rsidR="00000420">
        <w:t xml:space="preserve"> and </w:t>
      </w:r>
      <w:r w:rsidR="00000420" w:rsidRPr="00354655">
        <w:t>simplify</w:t>
      </w:r>
      <w:r w:rsidR="005A1D09" w:rsidRPr="00354655">
        <w:t>ing</w:t>
      </w:r>
      <w:r w:rsidR="00000420">
        <w:t xml:space="preserve"> the language of the criterion and/or the nomination form to focus on </w:t>
      </w:r>
      <w:r w:rsidR="00636BBB" w:rsidRPr="00354655">
        <w:t>how</w:t>
      </w:r>
      <w:r w:rsidR="00000420" w:rsidRPr="00354655">
        <w:t xml:space="preserve"> </w:t>
      </w:r>
      <w:r w:rsidR="00000420">
        <w:t xml:space="preserve">the nominated elements </w:t>
      </w:r>
      <w:r w:rsidR="00636BBB" w:rsidRPr="00354655">
        <w:t xml:space="preserve">help </w:t>
      </w:r>
      <w:r w:rsidR="00000420">
        <w:t>encourage mutual respect and dialogue among communities, groups and individuals</w:t>
      </w:r>
      <w:r>
        <w:t>.</w:t>
      </w:r>
      <w:r w:rsidR="00000420">
        <w:t xml:space="preserve"> </w:t>
      </w:r>
      <w:r>
        <w:t xml:space="preserve">It </w:t>
      </w:r>
      <w:r w:rsidR="00000420">
        <w:t xml:space="preserve">was also </w:t>
      </w:r>
      <w:r w:rsidR="005A1D09" w:rsidRPr="00354655">
        <w:t xml:space="preserve">recommended </w:t>
      </w:r>
      <w:r w:rsidR="00000420">
        <w:t>to indicate through this criteri</w:t>
      </w:r>
      <w:r w:rsidR="00F90F24">
        <w:t>on</w:t>
      </w:r>
      <w:r w:rsidR="00000420">
        <w:t xml:space="preserve"> how the element </w:t>
      </w:r>
      <w:r>
        <w:t xml:space="preserve">proposed for inscription </w:t>
      </w:r>
      <w:r w:rsidR="00000420">
        <w:t xml:space="preserve">contributes to sustainable development. </w:t>
      </w:r>
      <w:r w:rsidR="00567A0E">
        <w:t xml:space="preserve">As </w:t>
      </w:r>
      <w:r w:rsidR="005A1D09" w:rsidRPr="00354655">
        <w:t xml:space="preserve">for </w:t>
      </w:r>
      <w:r w:rsidR="00567A0E">
        <w:t xml:space="preserve">the Register of Good Safeguarding </w:t>
      </w:r>
      <w:r w:rsidR="000B7395" w:rsidRPr="00354655">
        <w:t>Practices</w:t>
      </w:r>
      <w:r w:rsidR="00567A0E" w:rsidRPr="00354655">
        <w:t xml:space="preserve"> </w:t>
      </w:r>
      <w:r w:rsidR="00567A0E">
        <w:t xml:space="preserve">List, the working group </w:t>
      </w:r>
      <w:r w:rsidR="00AC2498">
        <w:t>recommended</w:t>
      </w:r>
      <w:r w:rsidR="00567A0E">
        <w:t xml:space="preserve"> </w:t>
      </w:r>
      <w:r w:rsidR="00567A0E" w:rsidRPr="00354655">
        <w:t>delet</w:t>
      </w:r>
      <w:r w:rsidR="005A1D09" w:rsidRPr="00354655">
        <w:t>ing</w:t>
      </w:r>
      <w:r w:rsidR="00567A0E">
        <w:t xml:space="preserve"> criterion P.9</w:t>
      </w:r>
      <w:r w:rsidR="00AC2498">
        <w:t>.</w:t>
      </w:r>
    </w:p>
    <w:p w14:paraId="26372C1A" w14:textId="763840D9" w:rsidR="00D0103D" w:rsidRPr="00567A0E" w:rsidRDefault="005A1D09" w:rsidP="00B00365">
      <w:pPr>
        <w:pStyle w:val="1GAPara"/>
        <w:numPr>
          <w:ilvl w:val="0"/>
          <w:numId w:val="15"/>
        </w:numPr>
        <w:ind w:left="567" w:hanging="567"/>
        <w:jc w:val="both"/>
      </w:pPr>
      <w:r w:rsidRPr="00354655">
        <w:t>Following</w:t>
      </w:r>
      <w:r w:rsidR="00AC2498">
        <w:t xml:space="preserve"> the </w:t>
      </w:r>
      <w:r w:rsidR="007C6D06" w:rsidRPr="002648DA">
        <w:t>advice</w:t>
      </w:r>
      <w:r w:rsidR="00AC2498">
        <w:t xml:space="preserve"> of experts, the working group </w:t>
      </w:r>
      <w:r w:rsidRPr="00354655">
        <w:t>also</w:t>
      </w:r>
      <w:r w:rsidR="00AC2498" w:rsidRPr="00354655">
        <w:t xml:space="preserve"> </w:t>
      </w:r>
      <w:r w:rsidR="00AC2498">
        <w:t xml:space="preserve">considered it important </w:t>
      </w:r>
      <w:r w:rsidR="00F52083">
        <w:t>that the Committee</w:t>
      </w:r>
      <w:r w:rsidR="00AC2498">
        <w:t xml:space="preserve"> </w:t>
      </w:r>
      <w:r w:rsidR="007D6068">
        <w:t>initiate a reflection on a broader implementation of Article 18 of the Convention</w:t>
      </w:r>
      <w:r w:rsidRPr="00354655">
        <w:t xml:space="preserve">, </w:t>
      </w:r>
      <w:r w:rsidRPr="00354655">
        <w:lastRenderedPageBreak/>
        <w:t>since</w:t>
      </w:r>
      <w:r w:rsidR="00D215A8">
        <w:t xml:space="preserve"> the Register ha</w:t>
      </w:r>
      <w:r w:rsidR="00F52083">
        <w:t xml:space="preserve">s </w:t>
      </w:r>
      <w:r w:rsidR="00D215A8">
        <w:t xml:space="preserve">been </w:t>
      </w:r>
      <w:r w:rsidR="00F52083">
        <w:t>receiving less focus than</w:t>
      </w:r>
      <w:r w:rsidR="00D215A8">
        <w:t xml:space="preserve"> other Lists</w:t>
      </w:r>
      <w:r w:rsidR="00F52083">
        <w:t xml:space="preserve"> an</w:t>
      </w:r>
      <w:r w:rsidR="007D6068">
        <w:t xml:space="preserve">d </w:t>
      </w:r>
      <w:r w:rsidR="008F2863">
        <w:t>its</w:t>
      </w:r>
      <w:r w:rsidR="007D6068">
        <w:t xml:space="preserve"> potential </w:t>
      </w:r>
      <w:r w:rsidR="00F1596A">
        <w:t xml:space="preserve">as a mechanism of international cooperation </w:t>
      </w:r>
      <w:r w:rsidR="007D6068" w:rsidRPr="00354655">
        <w:t>ha</w:t>
      </w:r>
      <w:r w:rsidRPr="00354655">
        <w:t>s</w:t>
      </w:r>
      <w:r w:rsidR="007D6068">
        <w:t xml:space="preserve"> not </w:t>
      </w:r>
      <w:r w:rsidR="008F2863">
        <w:t xml:space="preserve">yet </w:t>
      </w:r>
      <w:r w:rsidR="007D6068">
        <w:t>been fully explored.</w:t>
      </w:r>
      <w:r w:rsidR="00D215A8">
        <w:t xml:space="preserve"> </w:t>
      </w:r>
      <w:r w:rsidR="008F2863">
        <w:t>Such</w:t>
      </w:r>
      <w:r w:rsidR="007D6068">
        <w:t xml:space="preserve"> additional reflection </w:t>
      </w:r>
      <w:r w:rsidR="006A69D1">
        <w:t>would be a prerequisite for considering changes to other criteria under the Register.</w:t>
      </w:r>
    </w:p>
    <w:p w14:paraId="32515ED0" w14:textId="2C323CCE" w:rsidR="00A6002D" w:rsidRPr="00A6002D" w:rsidRDefault="006F385A" w:rsidP="00B00365">
      <w:pPr>
        <w:pStyle w:val="1GAPara"/>
        <w:numPr>
          <w:ilvl w:val="0"/>
          <w:numId w:val="15"/>
        </w:numPr>
        <w:ind w:left="567" w:hanging="567"/>
        <w:jc w:val="both"/>
      </w:pPr>
      <w:r w:rsidRPr="002648DA">
        <w:t xml:space="preserve">Concerning the </w:t>
      </w:r>
      <w:r w:rsidRPr="002648DA">
        <w:rPr>
          <w:b/>
        </w:rPr>
        <w:t>follow-up of inscribed elements</w:t>
      </w:r>
      <w:r w:rsidR="00CE7C2D" w:rsidRPr="002648DA">
        <w:t>,</w:t>
      </w:r>
      <w:r w:rsidR="00CE7C2D" w:rsidRPr="002648DA">
        <w:rPr>
          <w:b/>
        </w:rPr>
        <w:t xml:space="preserve"> </w:t>
      </w:r>
      <w:r w:rsidR="00CE7C2D" w:rsidRPr="002648DA">
        <w:t>the main recommendation of the working group</w:t>
      </w:r>
      <w:r w:rsidR="00CE7C2D" w:rsidRPr="002648DA">
        <w:rPr>
          <w:b/>
        </w:rPr>
        <w:t xml:space="preserve"> </w:t>
      </w:r>
      <w:r w:rsidR="008F2863">
        <w:t>speaks</w:t>
      </w:r>
      <w:r w:rsidR="00CE7C2D">
        <w:t xml:space="preserve"> to the need to facilitate financial and technical assistance </w:t>
      </w:r>
      <w:r w:rsidR="00726DCF" w:rsidRPr="00354655">
        <w:t xml:space="preserve">for </w:t>
      </w:r>
      <w:r w:rsidR="00CE7C2D" w:rsidRPr="00703F3F">
        <w:t>elements inscribed on the Urgent Safeguarding List</w:t>
      </w:r>
      <w:r w:rsidR="00CE7C2D">
        <w:t xml:space="preserve"> and to ensure a link between the follow-up of inscribed elements and the periodic reporting mechanism.</w:t>
      </w:r>
      <w:r w:rsidR="00A6002D">
        <w:t xml:space="preserve"> At the same time, the working group </w:t>
      </w:r>
      <w:r w:rsidR="008F2863">
        <w:t>decided</w:t>
      </w:r>
      <w:r w:rsidR="00A6002D">
        <w:t xml:space="preserve"> to discuss</w:t>
      </w:r>
      <w:r w:rsidR="008F2863">
        <w:t xml:space="preserve"> </w:t>
      </w:r>
      <w:r w:rsidR="005A1D09" w:rsidRPr="00354655">
        <w:t xml:space="preserve">at its </w:t>
      </w:r>
      <w:r w:rsidR="002648DA">
        <w:t>Part II</w:t>
      </w:r>
      <w:r w:rsidR="005A1D09" w:rsidRPr="00354655">
        <w:t xml:space="preserve"> meeting</w:t>
      </w:r>
      <w:r w:rsidR="008F2863">
        <w:t xml:space="preserve"> </w:t>
      </w:r>
      <w:r w:rsidR="00A6002D">
        <w:t xml:space="preserve">specific procedures for removing elements from the Lists of the Convention (including the introduction of interim measures) and simplified procedures for transferring elements between the Lists as well as </w:t>
      </w:r>
      <w:r w:rsidR="00927B6A">
        <w:t>for transferring successful safeguarding practices from the Urgent Safeguarding List to the Register</w:t>
      </w:r>
      <w:r w:rsidR="00A6002D">
        <w:t>.</w:t>
      </w:r>
    </w:p>
    <w:p w14:paraId="77CE70D1" w14:textId="429792AD" w:rsidR="00D0103D" w:rsidRPr="002648DA" w:rsidRDefault="00A076EA" w:rsidP="00B00365">
      <w:pPr>
        <w:pStyle w:val="1GAPara"/>
        <w:numPr>
          <w:ilvl w:val="0"/>
          <w:numId w:val="15"/>
        </w:numPr>
        <w:ind w:left="567" w:hanging="567"/>
        <w:jc w:val="both"/>
      </w:pPr>
      <w:r w:rsidRPr="002648DA">
        <w:t>Furthermore, the working group considered the advice of the experts to set up an arms’</w:t>
      </w:r>
      <w:r w:rsidR="005A1D09" w:rsidRPr="00354655">
        <w:t>-</w:t>
      </w:r>
      <w:r w:rsidRPr="002648DA">
        <w:t>length</w:t>
      </w:r>
      <w:r w:rsidR="002648DA">
        <w:t xml:space="preserve"> </w:t>
      </w:r>
      <w:r w:rsidR="00304018" w:rsidRPr="00D215A8">
        <w:rPr>
          <w:rFonts w:asciiTheme="minorBidi" w:hAnsiTheme="minorBidi" w:cstheme="minorBidi"/>
        </w:rPr>
        <w:t>platform</w:t>
      </w:r>
      <w:r w:rsidR="005C5627" w:rsidRPr="00D215A8">
        <w:rPr>
          <w:rFonts w:asciiTheme="minorBidi" w:hAnsiTheme="minorBidi" w:cstheme="minorBidi"/>
        </w:rPr>
        <w:t xml:space="preserve">, </w:t>
      </w:r>
      <w:r w:rsidR="005A1D09" w:rsidRPr="00354655">
        <w:rPr>
          <w:rFonts w:asciiTheme="minorBidi" w:hAnsiTheme="minorBidi" w:cstheme="minorBidi"/>
        </w:rPr>
        <w:t>a</w:t>
      </w:r>
      <w:r w:rsidR="005C5627" w:rsidRPr="00354655">
        <w:rPr>
          <w:rFonts w:asciiTheme="minorBidi" w:hAnsiTheme="minorBidi" w:cstheme="minorBidi"/>
        </w:rPr>
        <w:t xml:space="preserve"> </w:t>
      </w:r>
      <w:r w:rsidR="00304018" w:rsidRPr="00D215A8">
        <w:rPr>
          <w:rFonts w:asciiTheme="minorBidi" w:hAnsiTheme="minorBidi" w:cstheme="minorBidi"/>
        </w:rPr>
        <w:t>network</w:t>
      </w:r>
      <w:r w:rsidR="005C5627" w:rsidRPr="00D215A8">
        <w:rPr>
          <w:rFonts w:asciiTheme="minorBidi" w:hAnsiTheme="minorBidi" w:cstheme="minorBidi"/>
        </w:rPr>
        <w:t xml:space="preserve"> of inscribed elements and</w:t>
      </w:r>
      <w:r w:rsidR="00927B6A">
        <w:rPr>
          <w:rFonts w:asciiTheme="minorBidi" w:hAnsiTheme="minorBidi" w:cstheme="minorBidi"/>
        </w:rPr>
        <w:t xml:space="preserve"> </w:t>
      </w:r>
      <w:r w:rsidR="005A1D09" w:rsidRPr="00354655">
        <w:rPr>
          <w:rFonts w:asciiTheme="minorBidi" w:hAnsiTheme="minorBidi" w:cstheme="minorBidi"/>
        </w:rPr>
        <w:t>a</w:t>
      </w:r>
      <w:r w:rsidR="00927B6A" w:rsidRPr="00354655">
        <w:rPr>
          <w:rFonts w:asciiTheme="minorBidi" w:hAnsiTheme="minorBidi" w:cstheme="minorBidi"/>
        </w:rPr>
        <w:t xml:space="preserve"> </w:t>
      </w:r>
      <w:r w:rsidR="005C5627" w:rsidRPr="00D215A8">
        <w:rPr>
          <w:rFonts w:asciiTheme="minorBidi" w:hAnsiTheme="minorBidi" w:cstheme="minorBidi"/>
        </w:rPr>
        <w:t xml:space="preserve">special </w:t>
      </w:r>
      <w:r w:rsidR="00304018" w:rsidRPr="00D215A8">
        <w:rPr>
          <w:rFonts w:asciiTheme="minorBidi" w:hAnsiTheme="minorBidi" w:cstheme="minorBidi"/>
        </w:rPr>
        <w:t xml:space="preserve">forum </w:t>
      </w:r>
      <w:r w:rsidR="00927B6A">
        <w:rPr>
          <w:rFonts w:asciiTheme="minorBidi" w:hAnsiTheme="minorBidi" w:cstheme="minorBidi"/>
        </w:rPr>
        <w:t xml:space="preserve">meant </w:t>
      </w:r>
      <w:r w:rsidR="00304018" w:rsidRPr="00D215A8">
        <w:rPr>
          <w:rFonts w:asciiTheme="minorBidi" w:hAnsiTheme="minorBidi" w:cstheme="minorBidi"/>
        </w:rPr>
        <w:t>to facili</w:t>
      </w:r>
      <w:r w:rsidR="00304018">
        <w:rPr>
          <w:rFonts w:asciiTheme="minorBidi" w:hAnsiTheme="minorBidi" w:cstheme="minorBidi"/>
        </w:rPr>
        <w:t>tate the follow-up of inscribed elements and to increase the direct participation of communities, groups and individuals</w:t>
      </w:r>
      <w:r w:rsidR="005C5627">
        <w:rPr>
          <w:rFonts w:asciiTheme="minorBidi" w:hAnsiTheme="minorBidi" w:cstheme="minorBidi"/>
        </w:rPr>
        <w:t xml:space="preserve"> in different aspects of the inscription </w:t>
      </w:r>
      <w:r w:rsidR="00927B6A">
        <w:rPr>
          <w:rFonts w:asciiTheme="minorBidi" w:hAnsiTheme="minorBidi" w:cstheme="minorBidi"/>
        </w:rPr>
        <w:t>process</w:t>
      </w:r>
      <w:r w:rsidR="00304018">
        <w:rPr>
          <w:rFonts w:asciiTheme="minorBidi" w:hAnsiTheme="minorBidi" w:cstheme="minorBidi"/>
        </w:rPr>
        <w:t xml:space="preserve">. While the working group was </w:t>
      </w:r>
      <w:r w:rsidR="00A93BE6">
        <w:rPr>
          <w:rFonts w:asciiTheme="minorBidi" w:hAnsiTheme="minorBidi" w:cstheme="minorBidi"/>
        </w:rPr>
        <w:t xml:space="preserve">generally </w:t>
      </w:r>
      <w:r w:rsidR="005A1D09" w:rsidRPr="00354655">
        <w:t>open to</w:t>
      </w:r>
      <w:r w:rsidR="00304018">
        <w:rPr>
          <w:rFonts w:asciiTheme="minorBidi" w:hAnsiTheme="minorBidi" w:cstheme="minorBidi"/>
        </w:rPr>
        <w:t xml:space="preserve"> </w:t>
      </w:r>
      <w:r w:rsidR="000207D0">
        <w:rPr>
          <w:rFonts w:asciiTheme="minorBidi" w:hAnsiTheme="minorBidi" w:cstheme="minorBidi"/>
        </w:rPr>
        <w:t>these proposals</w:t>
      </w:r>
      <w:r w:rsidR="00304018">
        <w:rPr>
          <w:rFonts w:asciiTheme="minorBidi" w:hAnsiTheme="minorBidi" w:cstheme="minorBidi"/>
        </w:rPr>
        <w:t xml:space="preserve">, </w:t>
      </w:r>
      <w:r w:rsidR="005A1D09" w:rsidRPr="00354655">
        <w:rPr>
          <w:rFonts w:asciiTheme="minorBidi" w:hAnsiTheme="minorBidi" w:cstheme="minorBidi"/>
        </w:rPr>
        <w:t xml:space="preserve">before further discussion, </w:t>
      </w:r>
      <w:r w:rsidR="00304018">
        <w:rPr>
          <w:rFonts w:asciiTheme="minorBidi" w:hAnsiTheme="minorBidi" w:cstheme="minorBidi"/>
        </w:rPr>
        <w:t xml:space="preserve">more information was considered necessary, particularly </w:t>
      </w:r>
      <w:r w:rsidR="005A1D09" w:rsidRPr="00354655">
        <w:rPr>
          <w:rFonts w:asciiTheme="minorBidi" w:hAnsiTheme="minorBidi" w:cstheme="minorBidi"/>
        </w:rPr>
        <w:t>in terms of</w:t>
      </w:r>
      <w:r w:rsidR="00C80AD1" w:rsidRPr="00354655">
        <w:rPr>
          <w:rFonts w:asciiTheme="minorBidi" w:hAnsiTheme="minorBidi" w:cstheme="minorBidi"/>
        </w:rPr>
        <w:t xml:space="preserve"> feasibility and of</w:t>
      </w:r>
      <w:r w:rsidR="00304018">
        <w:rPr>
          <w:rFonts w:asciiTheme="minorBidi" w:hAnsiTheme="minorBidi" w:cstheme="minorBidi"/>
        </w:rPr>
        <w:t xml:space="preserve"> roles</w:t>
      </w:r>
      <w:r w:rsidR="000207D0">
        <w:rPr>
          <w:rFonts w:asciiTheme="minorBidi" w:hAnsiTheme="minorBidi" w:cstheme="minorBidi"/>
        </w:rPr>
        <w:t xml:space="preserve"> and</w:t>
      </w:r>
      <w:r w:rsidR="00304018">
        <w:rPr>
          <w:rFonts w:asciiTheme="minorBidi" w:hAnsiTheme="minorBidi" w:cstheme="minorBidi"/>
        </w:rPr>
        <w:t xml:space="preserve"> status within the listing system.</w:t>
      </w:r>
    </w:p>
    <w:p w14:paraId="503A23BB" w14:textId="3FEAC385" w:rsidR="00A076EA" w:rsidRPr="001A311B" w:rsidRDefault="000207D0" w:rsidP="00B00365">
      <w:pPr>
        <w:pStyle w:val="1GAPara"/>
        <w:numPr>
          <w:ilvl w:val="0"/>
          <w:numId w:val="15"/>
        </w:numPr>
        <w:ind w:left="567" w:hanging="567"/>
        <w:jc w:val="both"/>
      </w:pPr>
      <w:r w:rsidRPr="002648DA">
        <w:t>As regards</w:t>
      </w:r>
      <w:r w:rsidR="008A58AC" w:rsidRPr="002648DA">
        <w:t xml:space="preserve"> the </w:t>
      </w:r>
      <w:r w:rsidR="008A58AC" w:rsidRPr="002648DA">
        <w:rPr>
          <w:b/>
        </w:rPr>
        <w:t>methodology for the evaluation of nominations</w:t>
      </w:r>
      <w:r w:rsidR="008A58AC" w:rsidRPr="002648DA">
        <w:t>, the working group recommend</w:t>
      </w:r>
      <w:r w:rsidRPr="002648DA">
        <w:t>ed</w:t>
      </w:r>
      <w:r w:rsidR="008A58AC" w:rsidRPr="002648DA">
        <w:t xml:space="preserve"> simplifying the procedure for the extension of multinational nominations </w:t>
      </w:r>
      <w:r w:rsidRPr="002648DA">
        <w:t xml:space="preserve">while </w:t>
      </w:r>
      <w:r w:rsidR="008A58AC" w:rsidRPr="002648DA">
        <w:t>bearing in mind the importance of the consent of communities, groups and individuals</w:t>
      </w:r>
      <w:r w:rsidR="00AB2CDD" w:rsidRPr="00354655">
        <w:t>, where applicable</w:t>
      </w:r>
      <w:r w:rsidR="008A58AC" w:rsidRPr="00354655">
        <w:t>.</w:t>
      </w:r>
      <w:r w:rsidR="00370458" w:rsidRPr="002648DA">
        <w:t xml:space="preserve"> </w:t>
      </w:r>
      <w:r w:rsidRPr="002648DA">
        <w:t xml:space="preserve">The decision was to </w:t>
      </w:r>
      <w:r w:rsidR="00AB2CDD" w:rsidRPr="00354655">
        <w:t xml:space="preserve">further </w:t>
      </w:r>
      <w:r w:rsidRPr="002648DA">
        <w:t>discuss t</w:t>
      </w:r>
      <w:r w:rsidR="00370458" w:rsidRPr="002648DA">
        <w:t xml:space="preserve">he details of how to simplify the </w:t>
      </w:r>
      <w:r w:rsidR="00AB2CDD" w:rsidRPr="00354655">
        <w:t>inscription</w:t>
      </w:r>
      <w:r w:rsidR="00370458" w:rsidRPr="00354655">
        <w:t xml:space="preserve"> </w:t>
      </w:r>
      <w:r w:rsidR="00370458" w:rsidRPr="002648DA">
        <w:t xml:space="preserve">procedures </w:t>
      </w:r>
      <w:r w:rsidR="001A311B">
        <w:t xml:space="preserve">on an extended basis both at </w:t>
      </w:r>
      <w:r w:rsidR="00370458" w:rsidRPr="001A311B">
        <w:t>international and national levels.</w:t>
      </w:r>
    </w:p>
    <w:p w14:paraId="03E032EF" w14:textId="3E35D04C" w:rsidR="00DA5DEA" w:rsidRPr="001A311B" w:rsidRDefault="00F07F5E" w:rsidP="00B00365">
      <w:pPr>
        <w:pStyle w:val="1GAPara"/>
        <w:numPr>
          <w:ilvl w:val="0"/>
          <w:numId w:val="15"/>
        </w:numPr>
        <w:ind w:left="567" w:hanging="567"/>
        <w:jc w:val="both"/>
      </w:pPr>
      <w:r w:rsidRPr="001A311B">
        <w:t>T</w:t>
      </w:r>
      <w:r w:rsidR="00236D60" w:rsidRPr="001A311B">
        <w:t xml:space="preserve">he working group also made a specific recommendation </w:t>
      </w:r>
      <w:r w:rsidR="00B25CEC" w:rsidRPr="00354655">
        <w:t xml:space="preserve">to </w:t>
      </w:r>
      <w:r w:rsidR="00236D60" w:rsidRPr="001A311B">
        <w:t xml:space="preserve">employ language that </w:t>
      </w:r>
      <w:r w:rsidR="000207D0" w:rsidRPr="001A311B">
        <w:t>is</w:t>
      </w:r>
      <w:r w:rsidR="00236D60" w:rsidRPr="001A311B">
        <w:t xml:space="preserve"> gender-neutral and inclusive</w:t>
      </w:r>
      <w:r w:rsidR="0052318E" w:rsidRPr="001A311B">
        <w:t xml:space="preserve">, </w:t>
      </w:r>
      <w:r w:rsidR="00AB2CDD" w:rsidRPr="00354655">
        <w:t>following</w:t>
      </w:r>
      <w:r w:rsidR="0052318E" w:rsidRPr="001A311B">
        <w:t xml:space="preserve"> the advice of </w:t>
      </w:r>
      <w:r w:rsidR="000207D0" w:rsidRPr="001A311B">
        <w:t xml:space="preserve">the </w:t>
      </w:r>
      <w:r w:rsidR="0052318E" w:rsidRPr="001A311B">
        <w:t>experts</w:t>
      </w:r>
      <w:r w:rsidR="00236D60" w:rsidRPr="001A311B">
        <w:t>. This principle has already been applied in some areas under the 2003 Convention</w:t>
      </w:r>
      <w:r w:rsidR="00AB2CDD" w:rsidRPr="00354655">
        <w:t>. F</w:t>
      </w:r>
      <w:r w:rsidR="00236D60" w:rsidRPr="001A311B">
        <w:t>or example, its Basic Texts were revised in 201</w:t>
      </w:r>
      <w:r w:rsidR="00560D7B" w:rsidRPr="001A311B">
        <w:t>8</w:t>
      </w:r>
      <w:r w:rsidR="00236D60" w:rsidRPr="001A311B">
        <w:t xml:space="preserve"> following </w:t>
      </w:r>
      <w:r w:rsidR="000207D0" w:rsidRPr="001A311B">
        <w:t>a</w:t>
      </w:r>
      <w:r w:rsidR="00560D7B" w:rsidRPr="001A311B">
        <w:t xml:space="preserve"> request from the seventh session of the General Assembly of the Convention</w:t>
      </w:r>
      <w:r w:rsidR="00236D60" w:rsidRPr="001A311B">
        <w:t xml:space="preserve">. </w:t>
      </w:r>
      <w:r w:rsidR="00DA5DEA" w:rsidRPr="001A311B">
        <w:t xml:space="preserve">The term ‘gentleman’s agreement’ </w:t>
      </w:r>
      <w:r w:rsidR="000207D0" w:rsidRPr="001A311B">
        <w:t xml:space="preserve">in particular </w:t>
      </w:r>
      <w:r w:rsidR="00DA5DEA" w:rsidRPr="001A311B">
        <w:t xml:space="preserve">was </w:t>
      </w:r>
      <w:r w:rsidR="000207D0" w:rsidRPr="001A311B">
        <w:t>mentioned many times</w:t>
      </w:r>
      <w:r w:rsidR="00AE6C51" w:rsidRPr="001A311B">
        <w:t>.</w:t>
      </w:r>
    </w:p>
    <w:p w14:paraId="34A183A1" w14:textId="61F33B33" w:rsidR="00F07F5E" w:rsidRPr="001A311B" w:rsidRDefault="00F07F5E" w:rsidP="00B00365">
      <w:pPr>
        <w:pStyle w:val="1GAPara"/>
        <w:numPr>
          <w:ilvl w:val="0"/>
          <w:numId w:val="15"/>
        </w:numPr>
        <w:ind w:left="567" w:hanging="567"/>
        <w:jc w:val="both"/>
      </w:pPr>
      <w:r w:rsidRPr="001A311B">
        <w:t>Considering that reform</w:t>
      </w:r>
      <w:r w:rsidR="000207D0" w:rsidRPr="001A311B">
        <w:t>s to the</w:t>
      </w:r>
      <w:r w:rsidRPr="001A311B">
        <w:t xml:space="preserve"> listing system could </w:t>
      </w:r>
      <w:r w:rsidR="008E1C24" w:rsidRPr="00354655">
        <w:t>affect</w:t>
      </w:r>
      <w:r w:rsidRPr="001A311B">
        <w:t xml:space="preserve"> the number of files to be treated, the working group started to discuss whether any changes should be made </w:t>
      </w:r>
      <w:r w:rsidR="000207D0" w:rsidRPr="001A311B">
        <w:t>to</w:t>
      </w:r>
      <w:r w:rsidRPr="001A311B">
        <w:t xml:space="preserve"> the composition of the Evaluation Body, the mandate of the Bureau for examining International Assistance requests and the annual ceiling of nominations that the Committee may examine. </w:t>
      </w:r>
      <w:r w:rsidR="000207D0" w:rsidRPr="001A311B">
        <w:t>T</w:t>
      </w:r>
      <w:r w:rsidRPr="001A311B">
        <w:t xml:space="preserve">hree proposals were </w:t>
      </w:r>
      <w:r w:rsidR="00CA610F" w:rsidRPr="001A311B">
        <w:t>tabled</w:t>
      </w:r>
      <w:r w:rsidRPr="001A311B">
        <w:t xml:space="preserve"> </w:t>
      </w:r>
      <w:r w:rsidR="008E1C24" w:rsidRPr="00354655">
        <w:t>due to insufficient</w:t>
      </w:r>
      <w:r w:rsidR="00CA610F" w:rsidRPr="001A311B">
        <w:t xml:space="preserve"> time </w:t>
      </w:r>
      <w:r w:rsidRPr="001A311B">
        <w:t xml:space="preserve">to discuss them </w:t>
      </w:r>
      <w:r w:rsidR="00B25CEC" w:rsidRPr="00354655">
        <w:t>and must</w:t>
      </w:r>
      <w:r w:rsidRPr="001A311B">
        <w:t xml:space="preserve"> be considered further.</w:t>
      </w:r>
      <w:r w:rsidR="00B25CEC" w:rsidRPr="00354655">
        <w:t xml:space="preserve"> These proposals are presented in brackets in the recommendations of Part I.</w:t>
      </w:r>
    </w:p>
    <w:p w14:paraId="31CF8A77" w14:textId="3F460B22" w:rsidR="00FE0A85" w:rsidRDefault="001256EE" w:rsidP="00A93BE6">
      <w:pPr>
        <w:pStyle w:val="1GAPara"/>
        <w:keepNext/>
        <w:numPr>
          <w:ilvl w:val="0"/>
          <w:numId w:val="0"/>
        </w:numPr>
        <w:rPr>
          <w:b/>
          <w:bCs/>
        </w:rPr>
      </w:pPr>
      <w:r w:rsidRPr="00FE0A85">
        <w:rPr>
          <w:b/>
          <w:bCs/>
        </w:rPr>
        <w:t xml:space="preserve">Objectives and working methods </w:t>
      </w:r>
      <w:r w:rsidR="00AB3A3D">
        <w:rPr>
          <w:b/>
          <w:bCs/>
        </w:rPr>
        <w:t>for Part II</w:t>
      </w:r>
      <w:r w:rsidR="00795ABB" w:rsidRPr="00354655">
        <w:rPr>
          <w:b/>
          <w:bCs/>
        </w:rPr>
        <w:t xml:space="preserve"> of the meeting</w:t>
      </w:r>
    </w:p>
    <w:p w14:paraId="6ED2ADF8" w14:textId="3A25F7A9" w:rsidR="00CA610F" w:rsidRDefault="002016CD" w:rsidP="00B00365">
      <w:pPr>
        <w:pStyle w:val="1GAPara"/>
        <w:numPr>
          <w:ilvl w:val="0"/>
          <w:numId w:val="15"/>
        </w:numPr>
        <w:ind w:left="567" w:hanging="567"/>
        <w:jc w:val="both"/>
      </w:pPr>
      <w:r w:rsidRPr="00354655">
        <w:t xml:space="preserve">Because </w:t>
      </w:r>
      <w:r w:rsidR="00FB79C3">
        <w:t>Part II is a continuation of Part I of the working group’s meeting</w:t>
      </w:r>
      <w:r w:rsidRPr="00354655">
        <w:t>,</w:t>
      </w:r>
      <w:r w:rsidR="00FB79C3">
        <w:t xml:space="preserve"> the agenda and timetable (</w:t>
      </w:r>
      <w:r w:rsidR="006D78CA">
        <w:t xml:space="preserve">working document </w:t>
      </w:r>
      <w:hyperlink r:id="rId30" w:history="1">
        <w:r w:rsidR="00FB79C3" w:rsidRPr="003A352F">
          <w:rPr>
            <w:rStyle w:val="Hyperlink"/>
          </w:rPr>
          <w:t>LHE/21/16.</w:t>
        </w:r>
        <w:r w:rsidR="00B00365" w:rsidRPr="003A352F">
          <w:rPr>
            <w:rStyle w:val="Hyperlink"/>
          </w:rPr>
          <w:t>COM </w:t>
        </w:r>
        <w:r w:rsidR="00FB79C3" w:rsidRPr="003A352F">
          <w:rPr>
            <w:rStyle w:val="Hyperlink"/>
          </w:rPr>
          <w:t>WG/4</w:t>
        </w:r>
      </w:hyperlink>
      <w:r w:rsidR="00FB79C3">
        <w:t xml:space="preserve">) </w:t>
      </w:r>
      <w:r w:rsidRPr="00354655">
        <w:t xml:space="preserve">are </w:t>
      </w:r>
      <w:r w:rsidR="00CA610F">
        <w:t xml:space="preserve">structured </w:t>
      </w:r>
      <w:r w:rsidRPr="00354655">
        <w:t>accordingly</w:t>
      </w:r>
      <w:r w:rsidR="00FB79C3">
        <w:t xml:space="preserve"> (</w:t>
      </w:r>
      <w:r w:rsidR="006D78CA">
        <w:t xml:space="preserve">working document </w:t>
      </w:r>
      <w:hyperlink r:id="rId31" w:history="1">
        <w:r w:rsidR="00FB79C3" w:rsidRPr="00A864A0">
          <w:rPr>
            <w:rStyle w:val="Hyperlink"/>
          </w:rPr>
          <w:t>LHE/21/16.COM WG/1</w:t>
        </w:r>
      </w:hyperlink>
      <w:r w:rsidR="00FB79C3">
        <w:t>)</w:t>
      </w:r>
      <w:r w:rsidR="00CA610F">
        <w:t>. Similarly,</w:t>
      </w:r>
      <w:r w:rsidR="00FB79C3">
        <w:t xml:space="preserve"> the working documents for both parts are </w:t>
      </w:r>
      <w:r w:rsidR="003E0A12">
        <w:t xml:space="preserve">meant </w:t>
      </w:r>
      <w:r w:rsidR="00FB79C3">
        <w:t xml:space="preserve">to be considered together. </w:t>
      </w:r>
      <w:r w:rsidR="00961D6A">
        <w:t xml:space="preserve">Part II of the meeting </w:t>
      </w:r>
      <w:r w:rsidRPr="00354655">
        <w:t xml:space="preserve">will </w:t>
      </w:r>
      <w:r w:rsidR="00961D6A">
        <w:t xml:space="preserve">start with the summary of the discussions held under </w:t>
      </w:r>
      <w:r w:rsidR="00961D6A" w:rsidRPr="00EB4DDC">
        <w:t>Part I (Item 5 of the</w:t>
      </w:r>
      <w:r w:rsidR="00961D6A">
        <w:t xml:space="preserve"> agenda).</w:t>
      </w:r>
    </w:p>
    <w:p w14:paraId="47C5250F" w14:textId="5675B446" w:rsidR="00387C39" w:rsidRDefault="00387C39" w:rsidP="00B00365">
      <w:pPr>
        <w:pStyle w:val="1GAPara"/>
        <w:numPr>
          <w:ilvl w:val="0"/>
          <w:numId w:val="15"/>
        </w:numPr>
        <w:ind w:left="567" w:hanging="567"/>
        <w:jc w:val="both"/>
      </w:pPr>
      <w:r>
        <w:t>The Bureau established by Part I of the working group</w:t>
      </w:r>
      <w:r w:rsidR="008D7C63">
        <w:t xml:space="preserve"> </w:t>
      </w:r>
      <w:r w:rsidR="00795ABB" w:rsidRPr="00354655">
        <w:t>meeting</w:t>
      </w:r>
      <w:r w:rsidR="008D7C63" w:rsidRPr="00354655">
        <w:t xml:space="preserve"> </w:t>
      </w:r>
      <w:r>
        <w:t>remain</w:t>
      </w:r>
      <w:r w:rsidR="00607F3B">
        <w:t>s</w:t>
      </w:r>
      <w:r>
        <w:t xml:space="preserve"> in office until the end of Part II</w:t>
      </w:r>
      <w:r w:rsidR="00795ABB" w:rsidRPr="00354655">
        <w:t>,</w:t>
      </w:r>
      <w:r>
        <w:t xml:space="preserve"> and the members will meet online on both days of the meeting to facilitate the work and to adjust the working methods</w:t>
      </w:r>
      <w:r w:rsidR="00177A89" w:rsidRPr="00354655">
        <w:t>,</w:t>
      </w:r>
      <w:r>
        <w:t xml:space="preserve"> including the timetable of the meeting</w:t>
      </w:r>
      <w:r w:rsidR="00177A89" w:rsidRPr="00354655">
        <w:t>,</w:t>
      </w:r>
      <w:r>
        <w:t xml:space="preserve"> as needed. As was the case for Part I, the Bureau meeting</w:t>
      </w:r>
      <w:r w:rsidR="00607F3B">
        <w:t>s</w:t>
      </w:r>
      <w:r>
        <w:t xml:space="preserve"> will </w:t>
      </w:r>
      <w:r w:rsidR="00177A89" w:rsidRPr="00354655">
        <w:t>be private</w:t>
      </w:r>
      <w:r>
        <w:t>.</w:t>
      </w:r>
    </w:p>
    <w:p w14:paraId="39CD2285" w14:textId="50288CFA" w:rsidR="00D14EFE" w:rsidRDefault="00A06941" w:rsidP="00B00365">
      <w:pPr>
        <w:pStyle w:val="1GAPara"/>
        <w:numPr>
          <w:ilvl w:val="0"/>
          <w:numId w:val="15"/>
        </w:numPr>
        <w:ind w:left="567" w:hanging="567"/>
        <w:jc w:val="both"/>
      </w:pPr>
      <w:r>
        <w:t xml:space="preserve">In line with the priority matters identified by the General Assembly and the Committee for the reflection process, </w:t>
      </w:r>
      <w:r w:rsidR="009D7293">
        <w:t>i</w:t>
      </w:r>
      <w:r w:rsidR="00261CEB">
        <w:t xml:space="preserve">t is proposed that </w:t>
      </w:r>
      <w:r w:rsidR="006B088A">
        <w:t>Part II of the</w:t>
      </w:r>
      <w:r w:rsidR="00261CEB">
        <w:t xml:space="preserve"> working group </w:t>
      </w:r>
      <w:r w:rsidR="00D27505">
        <w:t xml:space="preserve">meeting </w:t>
      </w:r>
      <w:r w:rsidR="00795ABB" w:rsidRPr="00354655">
        <w:t>prioritize</w:t>
      </w:r>
      <w:r w:rsidR="00261CEB">
        <w:t xml:space="preserve"> the </w:t>
      </w:r>
      <w:r w:rsidR="00400194">
        <w:t>following three issues identified as requiring further discussion during Part I of the meeting</w:t>
      </w:r>
      <w:r w:rsidR="0053557E">
        <w:t xml:space="preserve"> and discuss them in details</w:t>
      </w:r>
      <w:r w:rsidR="00961D6A">
        <w:t xml:space="preserve"> </w:t>
      </w:r>
      <w:r w:rsidR="00961D6A" w:rsidRPr="00EB4DDC">
        <w:t>under Item 6</w:t>
      </w:r>
      <w:r w:rsidR="008C01D6">
        <w:t xml:space="preserve"> (</w:t>
      </w:r>
      <w:r w:rsidR="008C01D6" w:rsidRPr="00AF76C9">
        <w:t xml:space="preserve">working document </w:t>
      </w:r>
      <w:hyperlink r:id="rId32" w:history="1">
        <w:r w:rsidR="008C01D6" w:rsidRPr="00AF76C9">
          <w:rPr>
            <w:rStyle w:val="Hyperlink"/>
          </w:rPr>
          <w:t>LHE/21/16</w:t>
        </w:r>
        <w:r w:rsidR="002043C4" w:rsidRPr="00AF76C9">
          <w:rPr>
            <w:rStyle w:val="Hyperlink"/>
          </w:rPr>
          <w:t>.</w:t>
        </w:r>
        <w:r w:rsidR="008C01D6" w:rsidRPr="00AF76C9">
          <w:rPr>
            <w:rStyle w:val="Hyperlink"/>
          </w:rPr>
          <w:t>COM</w:t>
        </w:r>
        <w:r w:rsidR="002043C4" w:rsidRPr="00AF76C9">
          <w:rPr>
            <w:rStyle w:val="Hyperlink"/>
          </w:rPr>
          <w:t> </w:t>
        </w:r>
        <w:r w:rsidR="008C01D6" w:rsidRPr="00AF76C9">
          <w:rPr>
            <w:rStyle w:val="Hyperlink"/>
          </w:rPr>
          <w:t>WG/6</w:t>
        </w:r>
      </w:hyperlink>
      <w:r w:rsidR="008C01D6">
        <w:t>)</w:t>
      </w:r>
      <w:r w:rsidR="00D14EFE">
        <w:t>.</w:t>
      </w:r>
      <w:r w:rsidR="00C12D34">
        <w:t xml:space="preserve"> They correspond to the three priority topics chosen by the working group (see paragraph 6 above)</w:t>
      </w:r>
      <w:r w:rsidR="00D27505">
        <w:t xml:space="preserve"> and respond directly to </w:t>
      </w:r>
      <w:r w:rsidR="00F46BAD">
        <w:t>the decisions and debates of</w:t>
      </w:r>
      <w:r w:rsidR="00D27505">
        <w:t xml:space="preserve"> the General Assembly and the Committee </w:t>
      </w:r>
      <w:r w:rsidR="00F46BAD">
        <w:t xml:space="preserve">when defining the </w:t>
      </w:r>
      <w:r w:rsidR="00056CFE" w:rsidRPr="00354655">
        <w:t>scope</w:t>
      </w:r>
      <w:r w:rsidR="00F46BAD">
        <w:t xml:space="preserve"> of the reflection process</w:t>
      </w:r>
      <w:r w:rsidR="00056CFE">
        <w:t>:</w:t>
      </w:r>
    </w:p>
    <w:p w14:paraId="09FE46E0" w14:textId="21091200" w:rsidR="007641A5" w:rsidRDefault="007641A5" w:rsidP="00B00365">
      <w:pPr>
        <w:pStyle w:val="1GAPara"/>
        <w:numPr>
          <w:ilvl w:val="0"/>
          <w:numId w:val="11"/>
        </w:numPr>
        <w:ind w:left="1134" w:hanging="567"/>
        <w:jc w:val="both"/>
      </w:pPr>
      <w:r>
        <w:lastRenderedPageBreak/>
        <w:t xml:space="preserve">Simplified </w:t>
      </w:r>
      <w:r w:rsidR="00261CEB">
        <w:t>procedure for transfer of elements from one List to the other</w:t>
      </w:r>
      <w:r w:rsidR="00101FA9">
        <w:t xml:space="preserve"> </w:t>
      </w:r>
      <w:r w:rsidR="00056CFE">
        <w:t xml:space="preserve">(Resolution </w:t>
      </w:r>
      <w:hyperlink r:id="rId33" w:history="1">
        <w:r w:rsidR="00056CFE" w:rsidRPr="002043C4">
          <w:rPr>
            <w:rStyle w:val="Hyperlink"/>
          </w:rPr>
          <w:t>8.GA</w:t>
        </w:r>
        <w:r w:rsidR="00056CFE">
          <w:rPr>
            <w:rStyle w:val="Hyperlink"/>
          </w:rPr>
          <w:t> </w:t>
        </w:r>
        <w:r w:rsidR="00056CFE" w:rsidRPr="002043C4">
          <w:rPr>
            <w:rStyle w:val="Hyperlink"/>
          </w:rPr>
          <w:t>11</w:t>
        </w:r>
      </w:hyperlink>
      <w:r w:rsidR="00056CFE">
        <w:t xml:space="preserve"> </w:t>
      </w:r>
      <w:r w:rsidR="00177A89" w:rsidRPr="00354655">
        <w:t>and</w:t>
      </w:r>
      <w:r w:rsidR="00056CFE">
        <w:t xml:space="preserve"> Decisions </w:t>
      </w:r>
      <w:hyperlink r:id="rId34" w:history="1">
        <w:r w:rsidR="00056CFE" w:rsidRPr="00BE5DC0">
          <w:rPr>
            <w:rStyle w:val="Hyperlink"/>
          </w:rPr>
          <w:t>12.COM 11</w:t>
        </w:r>
      </w:hyperlink>
      <w:r w:rsidR="00056CFE">
        <w:t xml:space="preserve">, </w:t>
      </w:r>
      <w:hyperlink r:id="rId35" w:history="1">
        <w:r w:rsidR="00056CFE" w:rsidRPr="00056CFE">
          <w:rPr>
            <w:rStyle w:val="Hyperlink"/>
          </w:rPr>
          <w:t>12.COM 11.c</w:t>
        </w:r>
      </w:hyperlink>
      <w:r w:rsidR="00056CFE">
        <w:t xml:space="preserve">, </w:t>
      </w:r>
      <w:hyperlink r:id="rId36" w:history="1">
        <w:r w:rsidR="00056CFE" w:rsidRPr="00BE5DC0">
          <w:rPr>
            <w:rStyle w:val="Hyperlink"/>
          </w:rPr>
          <w:t>12.COM 14</w:t>
        </w:r>
      </w:hyperlink>
      <w:r w:rsidR="00056CFE">
        <w:t xml:space="preserve">, </w:t>
      </w:r>
      <w:hyperlink r:id="rId37" w:history="1">
        <w:r w:rsidR="00056CFE" w:rsidRPr="002043C4">
          <w:rPr>
            <w:rStyle w:val="Hyperlink"/>
          </w:rPr>
          <w:t>13.COM 9</w:t>
        </w:r>
      </w:hyperlink>
      <w:r w:rsidR="00795ABB" w:rsidRPr="00354655">
        <w:t xml:space="preserve"> and</w:t>
      </w:r>
      <w:r w:rsidR="00056CFE">
        <w:t xml:space="preserve"> </w:t>
      </w:r>
      <w:hyperlink r:id="rId38" w:history="1">
        <w:r w:rsidR="00056CFE" w:rsidRPr="00351477">
          <w:rPr>
            <w:rStyle w:val="Hyperlink"/>
          </w:rPr>
          <w:t>14.COM 14</w:t>
        </w:r>
      </w:hyperlink>
      <w:r w:rsidR="00056CFE">
        <w:t>)</w:t>
      </w:r>
      <w:r w:rsidR="0053557E">
        <w:t>;</w:t>
      </w:r>
    </w:p>
    <w:p w14:paraId="625EE8B3" w14:textId="201FC4FD" w:rsidR="007641A5" w:rsidRDefault="007641A5" w:rsidP="00B00365">
      <w:pPr>
        <w:pStyle w:val="1GAPara"/>
        <w:numPr>
          <w:ilvl w:val="0"/>
          <w:numId w:val="11"/>
        </w:numPr>
        <w:ind w:left="1134" w:hanging="567"/>
        <w:jc w:val="both"/>
      </w:pPr>
      <w:r>
        <w:t xml:space="preserve">Specific procedure for </w:t>
      </w:r>
      <w:r w:rsidR="00261CEB">
        <w:t>removing an element from a List</w:t>
      </w:r>
      <w:r w:rsidR="00101FA9">
        <w:t xml:space="preserve"> </w:t>
      </w:r>
      <w:r w:rsidR="00056CFE">
        <w:t xml:space="preserve">(Resolution </w:t>
      </w:r>
      <w:hyperlink r:id="rId39" w:history="1">
        <w:r w:rsidR="00056CFE" w:rsidRPr="002043C4">
          <w:rPr>
            <w:rStyle w:val="Hyperlink"/>
          </w:rPr>
          <w:t>8.GA 11</w:t>
        </w:r>
      </w:hyperlink>
      <w:r w:rsidR="00056CFE">
        <w:t xml:space="preserve"> </w:t>
      </w:r>
      <w:r w:rsidR="00177A89" w:rsidRPr="00354655">
        <w:t>and</w:t>
      </w:r>
      <w:r w:rsidR="00056CFE">
        <w:t xml:space="preserve"> Decisions </w:t>
      </w:r>
      <w:hyperlink r:id="rId40" w:history="1">
        <w:r w:rsidR="00056CFE" w:rsidRPr="00BE5DC0">
          <w:rPr>
            <w:rStyle w:val="Hyperlink"/>
          </w:rPr>
          <w:t>12.COM 14</w:t>
        </w:r>
      </w:hyperlink>
      <w:r w:rsidR="00056CFE">
        <w:t xml:space="preserve">, </w:t>
      </w:r>
      <w:hyperlink r:id="rId41" w:history="1">
        <w:r w:rsidR="00056CFE" w:rsidRPr="002043C4">
          <w:rPr>
            <w:rStyle w:val="Hyperlink"/>
          </w:rPr>
          <w:t>13.COM 9</w:t>
        </w:r>
      </w:hyperlink>
      <w:r w:rsidR="00056CFE">
        <w:t xml:space="preserve"> </w:t>
      </w:r>
      <w:r w:rsidR="00795ABB" w:rsidRPr="00354655">
        <w:t>and</w:t>
      </w:r>
      <w:r w:rsidR="00056CFE" w:rsidRPr="00354655">
        <w:t xml:space="preserve"> </w:t>
      </w:r>
      <w:hyperlink r:id="rId42" w:history="1">
        <w:r w:rsidR="00056CFE" w:rsidRPr="00351477">
          <w:rPr>
            <w:rStyle w:val="Hyperlink"/>
          </w:rPr>
          <w:t>14.COM 14</w:t>
        </w:r>
      </w:hyperlink>
      <w:r w:rsidR="00056CFE">
        <w:t>)</w:t>
      </w:r>
      <w:r w:rsidR="008C01D6">
        <w:t>;</w:t>
      </w:r>
      <w:r w:rsidR="00177A89" w:rsidRPr="00354655">
        <w:t xml:space="preserve"> and</w:t>
      </w:r>
    </w:p>
    <w:p w14:paraId="25E7BBE8" w14:textId="4DC989BB" w:rsidR="007641A5" w:rsidRDefault="007641A5" w:rsidP="00B00365">
      <w:pPr>
        <w:pStyle w:val="1GAPara"/>
        <w:numPr>
          <w:ilvl w:val="0"/>
          <w:numId w:val="11"/>
        </w:numPr>
        <w:ind w:left="1134" w:hanging="567"/>
        <w:jc w:val="both"/>
      </w:pPr>
      <w:r>
        <w:t xml:space="preserve">Revised procedure for the inscription of nominations on an extended basis at </w:t>
      </w:r>
      <w:r w:rsidR="00177A89" w:rsidRPr="00354655">
        <w:t xml:space="preserve">the </w:t>
      </w:r>
      <w:r>
        <w:t>international and national levels</w:t>
      </w:r>
      <w:r w:rsidR="00101FA9">
        <w:t xml:space="preserve"> </w:t>
      </w:r>
      <w:r w:rsidR="00056CFE">
        <w:t>(</w:t>
      </w:r>
      <w:r w:rsidR="00056CFE" w:rsidRPr="00354655">
        <w:t>Decision</w:t>
      </w:r>
      <w:hyperlink r:id="rId43" w:history="1">
        <w:r w:rsidR="00056CFE" w:rsidRPr="00351477">
          <w:rPr>
            <w:rStyle w:val="Hyperlink"/>
          </w:rPr>
          <w:t>14.COM 14</w:t>
        </w:r>
      </w:hyperlink>
      <w:r w:rsidR="00182875">
        <w:t xml:space="preserve"> and </w:t>
      </w:r>
      <w:hyperlink r:id="rId44" w:history="1">
        <w:r w:rsidR="00182875" w:rsidRPr="009E74C1">
          <w:rPr>
            <w:rStyle w:val="Hyperlink"/>
          </w:rPr>
          <w:t>15.COM 8</w:t>
        </w:r>
      </w:hyperlink>
      <w:r w:rsidR="00056CFE">
        <w:t>)</w:t>
      </w:r>
      <w:r w:rsidR="0053557E">
        <w:t>.</w:t>
      </w:r>
    </w:p>
    <w:p w14:paraId="24678E97" w14:textId="06706E69" w:rsidR="008C01D6" w:rsidRPr="00F91D04" w:rsidRDefault="008D7C63" w:rsidP="00B00365">
      <w:pPr>
        <w:pStyle w:val="1GAPara"/>
        <w:numPr>
          <w:ilvl w:val="0"/>
          <w:numId w:val="15"/>
        </w:numPr>
        <w:ind w:left="567" w:hanging="567"/>
        <w:jc w:val="both"/>
      </w:pPr>
      <w:r>
        <w:t xml:space="preserve">Once the above-mentioned issues </w:t>
      </w:r>
      <w:r w:rsidR="00177A89" w:rsidRPr="00354655">
        <w:t>have been addressed</w:t>
      </w:r>
      <w:r>
        <w:t xml:space="preserve">, the working group may move </w:t>
      </w:r>
      <w:r w:rsidR="00177A89" w:rsidRPr="00354655">
        <w:t xml:space="preserve">on </w:t>
      </w:r>
      <w:r>
        <w:t xml:space="preserve">to </w:t>
      </w:r>
      <w:r w:rsidRPr="00EB4DDC">
        <w:t>Item 7 and</w:t>
      </w:r>
      <w:r>
        <w:t xml:space="preserve"> </w:t>
      </w:r>
      <w:r w:rsidR="008C01D6">
        <w:t xml:space="preserve">discuss other issues identified by Part I of the working group as requiring further discussion within the time available (working </w:t>
      </w:r>
      <w:r w:rsidR="008C01D6" w:rsidRPr="00AF76C9">
        <w:t xml:space="preserve">document </w:t>
      </w:r>
      <w:hyperlink r:id="rId45" w:history="1">
        <w:r w:rsidR="008C01D6" w:rsidRPr="00AF76C9">
          <w:rPr>
            <w:rStyle w:val="Hyperlink"/>
          </w:rPr>
          <w:t>LHE/21/16.COM WG/7</w:t>
        </w:r>
      </w:hyperlink>
      <w:r w:rsidR="008C01D6" w:rsidRPr="00AF76C9">
        <w:t>).</w:t>
      </w:r>
      <w:r w:rsidR="008C01D6">
        <w:t xml:space="preserve"> </w:t>
      </w:r>
      <w:r w:rsidR="001E39F6">
        <w:t>These</w:t>
      </w:r>
      <w:r w:rsidR="008C01D6">
        <w:t xml:space="preserve"> include:</w:t>
      </w:r>
    </w:p>
    <w:p w14:paraId="1BC5D733" w14:textId="0D666196" w:rsidR="00F92A1A" w:rsidRPr="00F92A1A" w:rsidRDefault="00F92A1A" w:rsidP="00B00365">
      <w:pPr>
        <w:numPr>
          <w:ilvl w:val="0"/>
          <w:numId w:val="12"/>
        </w:numPr>
        <w:ind w:left="1134" w:hanging="567"/>
        <w:jc w:val="both"/>
        <w:rPr>
          <w:rFonts w:asciiTheme="minorBidi" w:hAnsiTheme="minorBidi" w:cstheme="minorBidi"/>
          <w:szCs w:val="22"/>
        </w:rPr>
      </w:pPr>
      <w:r w:rsidRPr="00F92A1A">
        <w:rPr>
          <w:rFonts w:asciiTheme="minorBidi" w:hAnsiTheme="minorBidi" w:cstheme="minorBidi"/>
          <w:szCs w:val="22"/>
        </w:rPr>
        <w:t xml:space="preserve">Revising the priority for the examination of nomination files for States Parties </w:t>
      </w:r>
      <w:r w:rsidR="00177A89" w:rsidRPr="00354655">
        <w:rPr>
          <w:rFonts w:asciiTheme="minorBidi" w:hAnsiTheme="minorBidi" w:cstheme="minorBidi"/>
          <w:szCs w:val="22"/>
        </w:rPr>
        <w:t xml:space="preserve">that </w:t>
      </w:r>
      <w:r w:rsidRPr="00F92A1A">
        <w:rPr>
          <w:rFonts w:asciiTheme="minorBidi" w:hAnsiTheme="minorBidi" w:cstheme="minorBidi"/>
          <w:szCs w:val="22"/>
        </w:rPr>
        <w:t>did not fulfil their reporting obligations concerning the implementation of the Convention and the status of elements inscribed on the Representative List or on the Urgent Safeguarding List;</w:t>
      </w:r>
    </w:p>
    <w:p w14:paraId="5489B7FE" w14:textId="746AEC0A" w:rsidR="008C01D6" w:rsidRPr="00F92A1A" w:rsidRDefault="00177A89" w:rsidP="00B00365">
      <w:pPr>
        <w:pStyle w:val="ListParagraph"/>
        <w:numPr>
          <w:ilvl w:val="0"/>
          <w:numId w:val="12"/>
        </w:numPr>
        <w:ind w:left="1134" w:hanging="567"/>
        <w:contextualSpacing w:val="0"/>
        <w:jc w:val="both"/>
        <w:rPr>
          <w:rFonts w:ascii="Arial" w:hAnsi="Arial" w:cs="Arial"/>
          <w:snapToGrid w:val="0"/>
          <w:szCs w:val="22"/>
          <w:lang w:eastAsia="en-US"/>
        </w:rPr>
      </w:pPr>
      <w:r w:rsidRPr="00354655">
        <w:rPr>
          <w:rFonts w:ascii="Arial" w:hAnsi="Arial" w:cs="Arial"/>
          <w:snapToGrid w:val="0"/>
          <w:szCs w:val="22"/>
          <w:lang w:eastAsia="en-US"/>
        </w:rPr>
        <w:t>Determining the f</w:t>
      </w:r>
      <w:r w:rsidR="008C01D6" w:rsidRPr="00F92A1A">
        <w:rPr>
          <w:rFonts w:ascii="Arial" w:hAnsi="Arial" w:cs="Arial"/>
          <w:snapToGrid w:val="0"/>
          <w:szCs w:val="22"/>
          <w:lang w:eastAsia="en-US"/>
        </w:rPr>
        <w:t xml:space="preserve">easibility and functionality of creating </w:t>
      </w:r>
      <w:r w:rsidR="00DB4C3E">
        <w:rPr>
          <w:rFonts w:ascii="Arial" w:hAnsi="Arial" w:cs="Arial"/>
          <w:snapToGrid w:val="0"/>
          <w:szCs w:val="22"/>
          <w:lang w:eastAsia="en-US"/>
        </w:rPr>
        <w:t>proposed</w:t>
      </w:r>
      <w:r w:rsidR="008C01D6" w:rsidRPr="00F92A1A">
        <w:rPr>
          <w:rFonts w:ascii="Arial" w:hAnsi="Arial" w:cs="Arial"/>
          <w:snapToGrid w:val="0"/>
          <w:szCs w:val="22"/>
          <w:lang w:eastAsia="en-US"/>
        </w:rPr>
        <w:t xml:space="preserve"> platform</w:t>
      </w:r>
      <w:r w:rsidR="00DB4C3E">
        <w:rPr>
          <w:rFonts w:ascii="Arial" w:hAnsi="Arial" w:cs="Arial"/>
          <w:snapToGrid w:val="0"/>
          <w:szCs w:val="22"/>
          <w:lang w:eastAsia="en-US"/>
        </w:rPr>
        <w:t>s</w:t>
      </w:r>
      <w:r w:rsidR="008C01D6" w:rsidRPr="00F92A1A">
        <w:rPr>
          <w:rFonts w:ascii="Arial" w:hAnsi="Arial" w:cs="Arial"/>
          <w:snapToGrid w:val="0"/>
          <w:szCs w:val="22"/>
          <w:lang w:eastAsia="en-US"/>
        </w:rPr>
        <w:t>/network</w:t>
      </w:r>
      <w:r w:rsidR="00DB4C3E">
        <w:rPr>
          <w:rFonts w:ascii="Arial" w:hAnsi="Arial" w:cs="Arial"/>
          <w:snapToGrid w:val="0"/>
          <w:szCs w:val="22"/>
          <w:lang w:eastAsia="en-US"/>
        </w:rPr>
        <w:t>s</w:t>
      </w:r>
      <w:r w:rsidR="008C01D6" w:rsidRPr="00F92A1A">
        <w:rPr>
          <w:rFonts w:ascii="Arial" w:hAnsi="Arial" w:cs="Arial"/>
          <w:snapToGrid w:val="0"/>
          <w:szCs w:val="22"/>
          <w:lang w:eastAsia="en-US"/>
        </w:rPr>
        <w:t>/forum</w:t>
      </w:r>
      <w:r w:rsidR="00DB4C3E">
        <w:rPr>
          <w:rFonts w:ascii="Arial" w:hAnsi="Arial" w:cs="Arial"/>
          <w:snapToGrid w:val="0"/>
          <w:szCs w:val="22"/>
          <w:lang w:eastAsia="en-US"/>
        </w:rPr>
        <w:t xml:space="preserve">s </w:t>
      </w:r>
      <w:r w:rsidR="008C01D6" w:rsidRPr="00F92A1A">
        <w:rPr>
          <w:rFonts w:ascii="Arial" w:hAnsi="Arial" w:cs="Arial"/>
          <w:snapToGrid w:val="0"/>
          <w:szCs w:val="22"/>
          <w:lang w:eastAsia="en-US"/>
        </w:rPr>
        <w:t>(which m</w:t>
      </w:r>
      <w:r w:rsidR="00DB4C3E">
        <w:rPr>
          <w:rFonts w:ascii="Arial" w:hAnsi="Arial" w:cs="Arial"/>
          <w:snapToGrid w:val="0"/>
          <w:szCs w:val="22"/>
          <w:lang w:eastAsia="en-US"/>
        </w:rPr>
        <w:t>ight</w:t>
      </w:r>
      <w:r w:rsidR="008C01D6" w:rsidRPr="00F92A1A">
        <w:rPr>
          <w:rFonts w:ascii="Arial" w:hAnsi="Arial" w:cs="Arial"/>
          <w:snapToGrid w:val="0"/>
          <w:szCs w:val="22"/>
          <w:lang w:eastAsia="en-US"/>
        </w:rPr>
        <w:t xml:space="preserve"> be combined) and their roles for facilitating </w:t>
      </w:r>
      <w:r w:rsidR="00DB4C3E">
        <w:rPr>
          <w:rFonts w:ascii="Arial" w:hAnsi="Arial" w:cs="Arial"/>
          <w:snapToGrid w:val="0"/>
          <w:szCs w:val="22"/>
          <w:lang w:eastAsia="en-US"/>
        </w:rPr>
        <w:t>or accompanying</w:t>
      </w:r>
      <w:r w:rsidR="00253CED">
        <w:rPr>
          <w:rFonts w:ascii="Arial" w:hAnsi="Arial" w:cs="Arial"/>
          <w:snapToGrid w:val="0"/>
          <w:szCs w:val="22"/>
          <w:lang w:eastAsia="en-US"/>
        </w:rPr>
        <w:t xml:space="preserve"> community participation in </w:t>
      </w:r>
      <w:r w:rsidR="008C01D6" w:rsidRPr="00F92A1A">
        <w:rPr>
          <w:rFonts w:ascii="Arial" w:hAnsi="Arial" w:cs="Arial"/>
          <w:snapToGrid w:val="0"/>
          <w:szCs w:val="22"/>
          <w:lang w:eastAsia="en-US"/>
        </w:rPr>
        <w:t>the follow-up of inscribed elements</w:t>
      </w:r>
      <w:r w:rsidRPr="00354655">
        <w:rPr>
          <w:rFonts w:ascii="Arial" w:hAnsi="Arial" w:cs="Arial"/>
          <w:snapToGrid w:val="0"/>
          <w:szCs w:val="22"/>
          <w:lang w:eastAsia="en-US"/>
        </w:rPr>
        <w:t>;</w:t>
      </w:r>
    </w:p>
    <w:p w14:paraId="23282BEA" w14:textId="59379DBA" w:rsidR="00F92A1A" w:rsidRPr="00F92A1A" w:rsidRDefault="00F92A1A" w:rsidP="00B00365">
      <w:pPr>
        <w:pStyle w:val="ListParagraph"/>
        <w:numPr>
          <w:ilvl w:val="0"/>
          <w:numId w:val="12"/>
        </w:numPr>
        <w:ind w:left="1134" w:hanging="567"/>
        <w:contextualSpacing w:val="0"/>
        <w:jc w:val="both"/>
        <w:rPr>
          <w:rFonts w:ascii="Arial" w:hAnsi="Arial" w:cs="Arial"/>
          <w:snapToGrid w:val="0"/>
          <w:szCs w:val="22"/>
          <w:lang w:eastAsia="en-US"/>
        </w:rPr>
      </w:pPr>
      <w:r w:rsidRPr="00354655">
        <w:rPr>
          <w:rFonts w:asciiTheme="minorBidi" w:hAnsiTheme="minorBidi" w:cstheme="minorBidi"/>
          <w:szCs w:val="22"/>
        </w:rPr>
        <w:t>Consider</w:t>
      </w:r>
      <w:r w:rsidR="00177A89" w:rsidRPr="00354655">
        <w:rPr>
          <w:rFonts w:asciiTheme="minorBidi" w:hAnsiTheme="minorBidi" w:cstheme="minorBidi"/>
          <w:szCs w:val="22"/>
        </w:rPr>
        <w:t>ing</w:t>
      </w:r>
      <w:r w:rsidRPr="00F92A1A">
        <w:rPr>
          <w:rFonts w:asciiTheme="minorBidi" w:hAnsiTheme="minorBidi" w:cstheme="minorBidi"/>
          <w:szCs w:val="22"/>
        </w:rPr>
        <w:t xml:space="preserve"> the implications of an ‘arms-length’ online platform</w:t>
      </w:r>
      <w:r w:rsidR="00177A89" w:rsidRPr="00354655">
        <w:rPr>
          <w:rFonts w:asciiTheme="minorBidi" w:hAnsiTheme="minorBidi" w:cstheme="minorBidi"/>
          <w:szCs w:val="22"/>
        </w:rPr>
        <w:t>,</w:t>
      </w:r>
      <w:r w:rsidRPr="00F92A1A">
        <w:rPr>
          <w:rFonts w:asciiTheme="minorBidi" w:hAnsiTheme="minorBidi" w:cstheme="minorBidi"/>
          <w:szCs w:val="22"/>
        </w:rPr>
        <w:t xml:space="preserve"> with clarifications on its role and status </w:t>
      </w:r>
      <w:r w:rsidR="00177A89" w:rsidRPr="00354655">
        <w:rPr>
          <w:rFonts w:asciiTheme="minorBidi" w:hAnsiTheme="minorBidi" w:cstheme="minorBidi"/>
          <w:szCs w:val="22"/>
        </w:rPr>
        <w:t xml:space="preserve">for </w:t>
      </w:r>
      <w:r w:rsidRPr="00F92A1A">
        <w:rPr>
          <w:rFonts w:asciiTheme="minorBidi" w:hAnsiTheme="minorBidi" w:cstheme="minorBidi"/>
          <w:szCs w:val="22"/>
        </w:rPr>
        <w:t xml:space="preserve">the follow-up of the inscribed elements, including how it will be set up, who will maintain it, what its status </w:t>
      </w:r>
      <w:r w:rsidR="00795ABB" w:rsidRPr="00354655">
        <w:rPr>
          <w:rFonts w:asciiTheme="minorBidi" w:hAnsiTheme="minorBidi" w:cstheme="minorBidi"/>
          <w:szCs w:val="22"/>
        </w:rPr>
        <w:t xml:space="preserve">will </w:t>
      </w:r>
      <w:r w:rsidRPr="00F92A1A">
        <w:rPr>
          <w:rFonts w:asciiTheme="minorBidi" w:hAnsiTheme="minorBidi" w:cstheme="minorBidi"/>
          <w:szCs w:val="22"/>
        </w:rPr>
        <w:t>be within the</w:t>
      </w:r>
      <w:r w:rsidR="00253CED">
        <w:rPr>
          <w:rFonts w:asciiTheme="minorBidi" w:hAnsiTheme="minorBidi" w:cstheme="minorBidi"/>
          <w:szCs w:val="22"/>
        </w:rPr>
        <w:t xml:space="preserve"> options foreseen under the</w:t>
      </w:r>
      <w:r w:rsidRPr="00F92A1A">
        <w:rPr>
          <w:rFonts w:asciiTheme="minorBidi" w:hAnsiTheme="minorBidi" w:cstheme="minorBidi"/>
          <w:szCs w:val="22"/>
        </w:rPr>
        <w:t xml:space="preserve"> Convention</w:t>
      </w:r>
      <w:r w:rsidR="00253CED">
        <w:rPr>
          <w:rFonts w:asciiTheme="minorBidi" w:hAnsiTheme="minorBidi" w:cstheme="minorBidi"/>
          <w:szCs w:val="22"/>
        </w:rPr>
        <w:t xml:space="preserve"> or the Convention’s Governing Bodies Rules of Procedure</w:t>
      </w:r>
      <w:r w:rsidRPr="00F92A1A">
        <w:rPr>
          <w:rFonts w:asciiTheme="minorBidi" w:hAnsiTheme="minorBidi" w:cstheme="minorBidi"/>
          <w:szCs w:val="22"/>
        </w:rPr>
        <w:t xml:space="preserve">, how it will be funded and how it will interact with </w:t>
      </w:r>
      <w:r w:rsidR="00253CED">
        <w:rPr>
          <w:rFonts w:asciiTheme="minorBidi" w:hAnsiTheme="minorBidi" w:cstheme="minorBidi"/>
          <w:szCs w:val="22"/>
        </w:rPr>
        <w:t>relevant</w:t>
      </w:r>
      <w:r w:rsidRPr="00F92A1A">
        <w:rPr>
          <w:rFonts w:asciiTheme="minorBidi" w:hAnsiTheme="minorBidi" w:cstheme="minorBidi"/>
          <w:szCs w:val="22"/>
        </w:rPr>
        <w:t xml:space="preserve"> stakeholders;</w:t>
      </w:r>
    </w:p>
    <w:p w14:paraId="1FFAF3DD" w14:textId="1AC2D7BD" w:rsidR="008C01D6" w:rsidRPr="00F92A1A" w:rsidRDefault="00177A89" w:rsidP="00B00365">
      <w:pPr>
        <w:widowControl w:val="0"/>
        <w:numPr>
          <w:ilvl w:val="0"/>
          <w:numId w:val="12"/>
        </w:numPr>
        <w:ind w:left="1134" w:hanging="567"/>
        <w:jc w:val="both"/>
        <w:rPr>
          <w:rFonts w:asciiTheme="minorBidi" w:hAnsiTheme="minorBidi" w:cstheme="minorBidi"/>
          <w:szCs w:val="22"/>
        </w:rPr>
      </w:pPr>
      <w:r w:rsidRPr="00354655">
        <w:rPr>
          <w:rFonts w:asciiTheme="minorBidi" w:hAnsiTheme="minorBidi" w:cstheme="minorBidi"/>
          <w:szCs w:val="22"/>
        </w:rPr>
        <w:t>Debating the p</w:t>
      </w:r>
      <w:r w:rsidR="008C01D6" w:rsidRPr="00354655">
        <w:rPr>
          <w:rFonts w:asciiTheme="minorBidi" w:hAnsiTheme="minorBidi" w:cstheme="minorBidi"/>
          <w:szCs w:val="22"/>
        </w:rPr>
        <w:t xml:space="preserve">ossibility </w:t>
      </w:r>
      <w:r w:rsidRPr="00354655">
        <w:rPr>
          <w:rFonts w:asciiTheme="minorBidi" w:hAnsiTheme="minorBidi" w:cstheme="minorBidi"/>
          <w:szCs w:val="22"/>
        </w:rPr>
        <w:t>of</w:t>
      </w:r>
      <w:r w:rsidR="008C01D6" w:rsidRPr="00354655">
        <w:rPr>
          <w:rFonts w:asciiTheme="minorBidi" w:hAnsiTheme="minorBidi" w:cstheme="minorBidi"/>
          <w:szCs w:val="22"/>
        </w:rPr>
        <w:t xml:space="preserve"> obtain</w:t>
      </w:r>
      <w:r w:rsidRPr="00354655">
        <w:rPr>
          <w:rFonts w:asciiTheme="minorBidi" w:hAnsiTheme="minorBidi" w:cstheme="minorBidi"/>
          <w:szCs w:val="22"/>
        </w:rPr>
        <w:t>ing</w:t>
      </w:r>
      <w:r w:rsidR="008C01D6" w:rsidRPr="00F92A1A">
        <w:rPr>
          <w:rFonts w:asciiTheme="minorBidi" w:hAnsiTheme="minorBidi" w:cstheme="minorBidi"/>
          <w:szCs w:val="22"/>
        </w:rPr>
        <w:t xml:space="preserve"> additional information regarding nominations by using a dialogue process with accredited NGOs and communities, groups and individuals concerned;</w:t>
      </w:r>
      <w:r w:rsidRPr="00354655">
        <w:rPr>
          <w:rFonts w:asciiTheme="minorBidi" w:hAnsiTheme="minorBidi" w:cstheme="minorBidi"/>
          <w:szCs w:val="22"/>
        </w:rPr>
        <w:t xml:space="preserve"> and</w:t>
      </w:r>
    </w:p>
    <w:p w14:paraId="638DE627" w14:textId="5DAE6A77" w:rsidR="008C01D6" w:rsidRPr="00F92A1A" w:rsidRDefault="00177A89" w:rsidP="00B00365">
      <w:pPr>
        <w:pStyle w:val="ListParagraph"/>
        <w:widowControl w:val="0"/>
        <w:numPr>
          <w:ilvl w:val="0"/>
          <w:numId w:val="12"/>
        </w:numPr>
        <w:ind w:left="1134" w:hanging="567"/>
        <w:contextualSpacing w:val="0"/>
        <w:jc w:val="both"/>
        <w:rPr>
          <w:rFonts w:ascii="Arial" w:hAnsi="Arial" w:cs="Arial"/>
          <w:snapToGrid w:val="0"/>
          <w:szCs w:val="22"/>
          <w:lang w:eastAsia="en-US"/>
        </w:rPr>
      </w:pPr>
      <w:r w:rsidRPr="00354655">
        <w:rPr>
          <w:rFonts w:ascii="Arial" w:hAnsi="Arial" w:cs="Arial"/>
          <w:snapToGrid w:val="0"/>
          <w:szCs w:val="22"/>
          <w:lang w:eastAsia="en-US"/>
        </w:rPr>
        <w:t>Discussing the n</w:t>
      </w:r>
      <w:r w:rsidR="008C01D6" w:rsidRPr="00F92A1A">
        <w:rPr>
          <w:rFonts w:ascii="Arial" w:hAnsi="Arial" w:cs="Arial"/>
          <w:snapToGrid w:val="0"/>
          <w:szCs w:val="22"/>
          <w:lang w:eastAsia="en-US"/>
        </w:rPr>
        <w:t>umber of files per cycle</w:t>
      </w:r>
      <w:r w:rsidR="00F92A1A" w:rsidRPr="00F92A1A">
        <w:rPr>
          <w:rFonts w:ascii="Arial" w:hAnsi="Arial" w:cs="Arial"/>
          <w:snapToGrid w:val="0"/>
          <w:szCs w:val="22"/>
          <w:lang w:eastAsia="en-US"/>
        </w:rPr>
        <w:t xml:space="preserve"> (including three proposals made during Part I of the meeting)</w:t>
      </w:r>
      <w:r w:rsidR="00253CED">
        <w:rPr>
          <w:rFonts w:ascii="Arial" w:hAnsi="Arial" w:cs="Arial"/>
          <w:snapToGrid w:val="0"/>
          <w:szCs w:val="22"/>
          <w:lang w:eastAsia="en-US"/>
        </w:rPr>
        <w:t>.</w:t>
      </w:r>
    </w:p>
    <w:p w14:paraId="7431C942" w14:textId="7F00ABD5" w:rsidR="00B64EDE" w:rsidRDefault="007A76EC" w:rsidP="00B00365">
      <w:pPr>
        <w:pStyle w:val="1GAPara"/>
        <w:numPr>
          <w:ilvl w:val="0"/>
          <w:numId w:val="15"/>
        </w:numPr>
        <w:ind w:left="567" w:hanging="567"/>
        <w:jc w:val="both"/>
      </w:pPr>
      <w:r>
        <w:t>In the meantime, t</w:t>
      </w:r>
      <w:r w:rsidR="00A725EC">
        <w:t>he overall purpose of the Part II meeting is to finalize the recommendations of the working group to be presented to the sixteenth session of the Intergovernmental Committee (13</w:t>
      </w:r>
      <w:r w:rsidR="002A3A34">
        <w:t xml:space="preserve"> </w:t>
      </w:r>
      <w:r w:rsidR="002A3A34" w:rsidRPr="00354655">
        <w:t>to</w:t>
      </w:r>
      <w:r w:rsidR="00B36DA1" w:rsidRPr="00354655">
        <w:t xml:space="preserve"> </w:t>
      </w:r>
      <w:r w:rsidR="00A725EC" w:rsidRPr="00354655">
        <w:t>18</w:t>
      </w:r>
      <w:r>
        <w:t> </w:t>
      </w:r>
      <w:r w:rsidR="00A725EC">
        <w:t xml:space="preserve">December 2021, Colombo, Sri Lanka) </w:t>
      </w:r>
      <w:r>
        <w:t xml:space="preserve">concerning </w:t>
      </w:r>
      <w:r w:rsidR="00A725EC">
        <w:t xml:space="preserve">as many reflection themes as possible. </w:t>
      </w:r>
      <w:r w:rsidR="00FB79C3">
        <w:t>It is proposed that the working group adopt</w:t>
      </w:r>
      <w:r w:rsidR="000869CD">
        <w:t xml:space="preserve">, </w:t>
      </w:r>
      <w:r w:rsidR="000869CD" w:rsidRPr="00EB4DDC">
        <w:t>under Item 8,</w:t>
      </w:r>
      <w:r w:rsidR="00A725EC">
        <w:t xml:space="preserve"> recommendations </w:t>
      </w:r>
      <w:r w:rsidR="00B36DA1" w:rsidRPr="00354655">
        <w:t xml:space="preserve">that </w:t>
      </w:r>
      <w:r w:rsidR="00A725EC">
        <w:t>incorporate the recommendations of Part I</w:t>
      </w:r>
      <w:r w:rsidR="000869CD">
        <w:t xml:space="preserve"> (</w:t>
      </w:r>
      <w:r w:rsidR="000869CD" w:rsidRPr="00AF76C9">
        <w:t xml:space="preserve">see </w:t>
      </w:r>
      <w:hyperlink r:id="rId46" w:history="1">
        <w:r w:rsidR="000869CD" w:rsidRPr="00AF76C9">
          <w:rPr>
            <w:rStyle w:val="Hyperlink"/>
          </w:rPr>
          <w:t>LHE/21/16.COM</w:t>
        </w:r>
        <w:r w:rsidR="00B00365" w:rsidRPr="00AF76C9">
          <w:rPr>
            <w:rStyle w:val="Hyperlink"/>
          </w:rPr>
          <w:t> </w:t>
        </w:r>
        <w:r w:rsidR="000869CD" w:rsidRPr="00AF76C9">
          <w:rPr>
            <w:rStyle w:val="Hyperlink"/>
          </w:rPr>
          <w:t>WG/8</w:t>
        </w:r>
      </w:hyperlink>
      <w:r w:rsidR="000869CD">
        <w:t xml:space="preserve"> for a template)</w:t>
      </w:r>
      <w:r w:rsidR="00A725EC">
        <w:t>.</w:t>
      </w:r>
      <w:r>
        <w:t xml:space="preserve"> </w:t>
      </w:r>
      <w:r w:rsidR="00B64EDE">
        <w:t xml:space="preserve">The recommendations of the working group that will be adopted at the end of Part II </w:t>
      </w:r>
      <w:r w:rsidR="002A27E8">
        <w:t>o</w:t>
      </w:r>
      <w:r w:rsidR="00B64EDE">
        <w:t xml:space="preserve">f the meeting will allow the Committee to examine draft amendments to the Operational Directives </w:t>
      </w:r>
      <w:r w:rsidR="00B36DA1" w:rsidRPr="00354655">
        <w:t xml:space="preserve">during </w:t>
      </w:r>
      <w:r w:rsidR="00B64EDE">
        <w:t>the same session.</w:t>
      </w:r>
      <w:r w:rsidR="002A3A34">
        <w:t xml:space="preserve"> With the agreement of the Committee, the amendments may b</w:t>
      </w:r>
      <w:r w:rsidR="002A27E8">
        <w:t>e</w:t>
      </w:r>
      <w:r w:rsidR="002A3A34">
        <w:t xml:space="preserve"> presented for examination and possible adoption by the General Assembly at its ninth session in mid-2022. Any other recommendations that the working group may make after the sixteenth session of the Committee could also be presented </w:t>
      </w:r>
      <w:r w:rsidR="00795ABB" w:rsidRPr="00354655">
        <w:t xml:space="preserve">during </w:t>
      </w:r>
      <w:r w:rsidR="002A3A34">
        <w:t>that session of the General Assembly.</w:t>
      </w:r>
    </w:p>
    <w:p w14:paraId="0AE5B5ED" w14:textId="77777777" w:rsidR="001A311B" w:rsidRPr="00CC11F6" w:rsidRDefault="001A311B" w:rsidP="001F0436">
      <w:pPr>
        <w:pStyle w:val="Heading2"/>
        <w:pageBreakBefore/>
        <w:rPr>
          <w:b w:val="0"/>
          <w:bCs w:val="0"/>
        </w:rPr>
      </w:pPr>
      <w:bookmarkStart w:id="2" w:name="_Annex"/>
      <w:bookmarkEnd w:id="2"/>
      <w:r w:rsidRPr="00CC11F6">
        <w:rPr>
          <w:rFonts w:ascii="Arial" w:hAnsi="Arial" w:cs="Arial"/>
          <w:i w:val="0"/>
          <w:iCs w:val="0"/>
          <w:sz w:val="22"/>
          <w:szCs w:val="22"/>
        </w:rPr>
        <w:lastRenderedPageBreak/>
        <w:t>Annex</w:t>
      </w:r>
    </w:p>
    <w:tbl>
      <w:tblPr>
        <w:tblStyle w:val="TableGrid"/>
        <w:tblW w:w="0" w:type="auto"/>
        <w:tblLook w:val="04A0" w:firstRow="1" w:lastRow="0" w:firstColumn="1" w:lastColumn="0" w:noHBand="0" w:noVBand="1"/>
      </w:tblPr>
      <w:tblGrid>
        <w:gridCol w:w="9608"/>
      </w:tblGrid>
      <w:tr w:rsidR="001A311B" w14:paraId="5310F9AA" w14:textId="77777777" w:rsidTr="00EB0A69">
        <w:tc>
          <w:tcPr>
            <w:tcW w:w="962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298100E4" w14:textId="77777777" w:rsidR="001A311B" w:rsidRPr="000037B0" w:rsidRDefault="001A311B" w:rsidP="00EB0A69">
            <w:pPr>
              <w:spacing w:before="240"/>
              <w:jc w:val="both"/>
              <w:rPr>
                <w:rFonts w:ascii="Arial" w:hAnsi="Arial" w:cs="Arial"/>
                <w:b/>
                <w:bCs/>
                <w:szCs w:val="22"/>
                <w:lang w:val="en-US"/>
              </w:rPr>
            </w:pPr>
            <w:r w:rsidRPr="000037B0">
              <w:rPr>
                <w:rFonts w:ascii="Arial" w:hAnsi="Arial" w:cs="Arial"/>
                <w:b/>
                <w:bCs/>
                <w:szCs w:val="22"/>
                <w:lang w:val="en-US"/>
              </w:rPr>
              <w:t>Recommendations of Part I of the Open-ended intergovernmental working group</w:t>
            </w:r>
          </w:p>
          <w:p w14:paraId="550C02B8" w14:textId="77777777" w:rsidR="001A311B" w:rsidRPr="000037B0" w:rsidRDefault="001A311B" w:rsidP="00EB0A69">
            <w:pPr>
              <w:numPr>
                <w:ilvl w:val="0"/>
                <w:numId w:val="3"/>
              </w:numPr>
              <w:ind w:left="567" w:hanging="567"/>
              <w:jc w:val="both"/>
              <w:rPr>
                <w:rFonts w:ascii="Arial" w:hAnsi="Arial" w:cs="Arial"/>
                <w:snapToGrid w:val="0"/>
                <w:szCs w:val="22"/>
                <w:lang w:eastAsia="en-US"/>
              </w:rPr>
            </w:pPr>
            <w:r w:rsidRPr="000037B0">
              <w:rPr>
                <w:rFonts w:ascii="Arial" w:hAnsi="Arial" w:cs="Arial"/>
                <w:snapToGrid w:val="0"/>
                <w:szCs w:val="22"/>
                <w:lang w:eastAsia="en-US"/>
              </w:rPr>
              <w:t>The Open-ended intergovernmental working group (the working group) in the framework of the global reflection on the listing mechanisms of the 2003 Convention met for its Part I meeting online on 8 and 9 July 2021.</w:t>
            </w:r>
          </w:p>
          <w:p w14:paraId="48D12928" w14:textId="77777777" w:rsidR="001A311B" w:rsidRPr="000037B0" w:rsidRDefault="001A311B" w:rsidP="00EB0A69">
            <w:pPr>
              <w:numPr>
                <w:ilvl w:val="0"/>
                <w:numId w:val="3"/>
              </w:numPr>
              <w:ind w:left="567" w:hanging="567"/>
              <w:jc w:val="both"/>
              <w:rPr>
                <w:rFonts w:ascii="Arial" w:hAnsi="Arial" w:cs="Arial"/>
                <w:snapToGrid w:val="0"/>
                <w:szCs w:val="22"/>
                <w:lang w:eastAsia="en-US"/>
              </w:rPr>
            </w:pPr>
            <w:r w:rsidRPr="000037B0">
              <w:rPr>
                <w:rFonts w:ascii="Arial" w:hAnsi="Arial" w:cs="Arial"/>
                <w:snapToGrid w:val="0"/>
                <w:szCs w:val="22"/>
                <w:lang w:eastAsia="en-US"/>
              </w:rPr>
              <w:t>The Bureau of the working group consisted of H.E. Ambassador Atsuyuki Oike (Japan) as Chairperson as well as of a group of Vice-Chairpersons, one for each from the remaining Electoral Group, who also acted as Rapporteurs: Germany, Poland, Peru, Côte d’Ivoire and Kuwait.</w:t>
            </w:r>
          </w:p>
          <w:p w14:paraId="1B24B4FB" w14:textId="77777777" w:rsidR="001A311B" w:rsidRPr="000037B0" w:rsidRDefault="001A311B" w:rsidP="00EB0A69">
            <w:pPr>
              <w:numPr>
                <w:ilvl w:val="0"/>
                <w:numId w:val="3"/>
              </w:numPr>
              <w:ind w:left="567" w:hanging="567"/>
              <w:jc w:val="both"/>
              <w:rPr>
                <w:rFonts w:ascii="Arial" w:hAnsi="Arial" w:cs="Arial"/>
                <w:snapToGrid w:val="0"/>
                <w:szCs w:val="22"/>
                <w:lang w:eastAsia="en-US"/>
              </w:rPr>
            </w:pPr>
            <w:r w:rsidRPr="000037B0">
              <w:rPr>
                <w:rFonts w:ascii="Arial" w:hAnsi="Arial" w:cs="Arial"/>
                <w:snapToGrid w:val="0"/>
                <w:szCs w:val="22"/>
                <w:lang w:eastAsia="en-US"/>
              </w:rPr>
              <w:t>The working group thanks the experts who participated in the online survey and in the category VI expert meeting for their hard work and dedication as their proposals laid the ground for the present meeting of the working group.</w:t>
            </w:r>
          </w:p>
          <w:p w14:paraId="6A3FC5AA" w14:textId="77777777" w:rsidR="001A311B" w:rsidRPr="000037B0" w:rsidRDefault="001A311B" w:rsidP="00EB0A69">
            <w:pPr>
              <w:numPr>
                <w:ilvl w:val="0"/>
                <w:numId w:val="3"/>
              </w:numPr>
              <w:ind w:left="567" w:hanging="567"/>
              <w:jc w:val="both"/>
              <w:rPr>
                <w:rFonts w:ascii="Arial" w:hAnsi="Arial" w:cs="Arial"/>
                <w:snapToGrid w:val="0"/>
                <w:szCs w:val="22"/>
                <w:lang w:val="en-US" w:eastAsia="en-US"/>
              </w:rPr>
            </w:pPr>
            <w:r w:rsidRPr="000037B0">
              <w:rPr>
                <w:rFonts w:ascii="Arial" w:hAnsi="Arial" w:cs="Arial"/>
                <w:snapToGrid w:val="0"/>
                <w:szCs w:val="22"/>
                <w:lang w:eastAsia="en-US"/>
              </w:rPr>
              <w:t>Having discussed possible overall approaches identified through the expert consultation, the working group decides to recommend that the reform of the listing system be guided by a mixture of proposals made under both the</w:t>
            </w:r>
            <w:r w:rsidRPr="000037B0">
              <w:rPr>
                <w:rFonts w:ascii="Arial" w:hAnsi="Arial" w:cs="Arial"/>
                <w:snapToGrid w:val="0"/>
                <w:szCs w:val="22"/>
                <w:lang w:val="en-US" w:eastAsia="en-US"/>
              </w:rPr>
              <w:t xml:space="preserve"> ‘fine-tuning’ and ‘repositioning’ approaches.</w:t>
            </w:r>
          </w:p>
          <w:p w14:paraId="2B8F0BB6" w14:textId="77777777" w:rsidR="001A311B" w:rsidRPr="000037B0" w:rsidRDefault="001A311B" w:rsidP="00EB0A69">
            <w:pPr>
              <w:numPr>
                <w:ilvl w:val="0"/>
                <w:numId w:val="3"/>
              </w:numPr>
              <w:ind w:left="567" w:hanging="567"/>
              <w:jc w:val="both"/>
              <w:rPr>
                <w:rFonts w:ascii="Arial" w:hAnsi="Arial" w:cs="Arial"/>
                <w:snapToGrid w:val="0"/>
                <w:szCs w:val="22"/>
                <w:lang w:val="en-US" w:eastAsia="en-US"/>
              </w:rPr>
            </w:pPr>
            <w:r w:rsidRPr="000037B0">
              <w:rPr>
                <w:rFonts w:ascii="Arial" w:hAnsi="Arial" w:cs="Arial"/>
                <w:snapToGrid w:val="0"/>
                <w:szCs w:val="22"/>
                <w:lang w:val="en-US" w:eastAsia="en-US"/>
              </w:rPr>
              <w:t>The working group affirms that the reform should strive to place communities, groups and if applicable individuals at the centre of safeguarding efforts and seek their broader and more active participation in all steps of the listing mechanisms.</w:t>
            </w:r>
          </w:p>
          <w:p w14:paraId="29C10FBF" w14:textId="77777777" w:rsidR="001A311B" w:rsidRPr="000037B0" w:rsidRDefault="001A311B" w:rsidP="00EB0A69">
            <w:pPr>
              <w:numPr>
                <w:ilvl w:val="0"/>
                <w:numId w:val="3"/>
              </w:numPr>
              <w:ind w:left="567" w:hanging="567"/>
              <w:jc w:val="both"/>
              <w:rPr>
                <w:rFonts w:ascii="Arial" w:hAnsi="Arial" w:cs="Arial"/>
                <w:szCs w:val="22"/>
                <w:lang w:val="en-US"/>
              </w:rPr>
            </w:pPr>
            <w:r w:rsidRPr="000037B0">
              <w:rPr>
                <w:rFonts w:ascii="Arial" w:hAnsi="Arial" w:cs="Arial"/>
                <w:snapToGrid w:val="0"/>
                <w:szCs w:val="22"/>
                <w:lang w:eastAsia="en-US"/>
              </w:rPr>
              <w:t>On the issues related to the inscription criteria, the working group recommends:</w:t>
            </w:r>
          </w:p>
          <w:p w14:paraId="6E85E8ED" w14:textId="77777777" w:rsidR="001A311B" w:rsidRPr="00A72641" w:rsidRDefault="001A311B" w:rsidP="00EB0A69">
            <w:pPr>
              <w:ind w:left="1134" w:hanging="567"/>
              <w:jc w:val="both"/>
              <w:rPr>
                <w:rFonts w:ascii="Arial" w:hAnsi="Arial" w:cs="Arial"/>
                <w:szCs w:val="22"/>
                <w:lang w:val="en-US"/>
              </w:rPr>
            </w:pPr>
            <w:r w:rsidRPr="00A72641">
              <w:rPr>
                <w:rFonts w:ascii="Arial" w:hAnsi="Arial" w:cs="Arial"/>
                <w:snapToGrid w:val="0"/>
                <w:szCs w:val="22"/>
                <w:lang w:val="en-US" w:eastAsia="en-US"/>
              </w:rPr>
              <w:t>(1)</w:t>
            </w:r>
            <w:r w:rsidRPr="00A72641">
              <w:rPr>
                <w:rFonts w:ascii="Arial" w:hAnsi="Arial" w:cs="Arial"/>
                <w:snapToGrid w:val="0"/>
                <w:szCs w:val="22"/>
                <w:lang w:eastAsia="en-US"/>
              </w:rPr>
              <w:t xml:space="preserve"> </w:t>
            </w:r>
            <w:r w:rsidRPr="00A72641">
              <w:rPr>
                <w:rFonts w:ascii="Arial" w:hAnsi="Arial" w:cs="Arial"/>
                <w:snapToGrid w:val="0"/>
                <w:szCs w:val="22"/>
                <w:lang w:eastAsia="en-US"/>
              </w:rPr>
              <w:tab/>
              <w:t>to maintain all criteria for the Representative List of the Intangible Cultural Heritage of Humanity (hereinafter the ‘Representative List’) and the List of Intangible Cultural Heritage in Need of Urgent Safeguarding (hereinafter the ‘Urgent Safeguarding List’), while taking into account the following specific proposals:</w:t>
            </w:r>
          </w:p>
          <w:p w14:paraId="2245C46F" w14:textId="77777777" w:rsidR="001A311B" w:rsidRPr="00A72641" w:rsidRDefault="001A311B" w:rsidP="00EB0A69">
            <w:pPr>
              <w:numPr>
                <w:ilvl w:val="1"/>
                <w:numId w:val="4"/>
              </w:numPr>
              <w:ind w:left="1418" w:hanging="284"/>
              <w:jc w:val="both"/>
              <w:rPr>
                <w:rFonts w:ascii="Arial" w:hAnsi="Arial" w:cs="Arial"/>
                <w:i/>
                <w:iCs/>
                <w:szCs w:val="22"/>
                <w:lang w:val="en-US"/>
              </w:rPr>
            </w:pPr>
            <w:r w:rsidRPr="00A72641">
              <w:rPr>
                <w:rFonts w:ascii="Arial" w:hAnsi="Arial" w:cs="Arial"/>
                <w:i/>
                <w:iCs/>
                <w:szCs w:val="22"/>
                <w:lang w:val="en-US"/>
              </w:rPr>
              <w:t>Criterion R.1/U.1 or the nomination form should include a reference to the compatibility of the element nominated with international human rights instruments;</w:t>
            </w:r>
          </w:p>
          <w:p w14:paraId="698DA55F" w14:textId="77777777" w:rsidR="001A311B" w:rsidRPr="00A72641" w:rsidRDefault="001A311B" w:rsidP="00EB0A69">
            <w:pPr>
              <w:numPr>
                <w:ilvl w:val="1"/>
                <w:numId w:val="4"/>
              </w:numPr>
              <w:ind w:left="1418" w:hanging="284"/>
              <w:jc w:val="both"/>
              <w:rPr>
                <w:rFonts w:ascii="Arial" w:hAnsi="Arial" w:cs="Arial"/>
                <w:i/>
                <w:iCs/>
                <w:szCs w:val="22"/>
                <w:lang w:val="en-US"/>
              </w:rPr>
            </w:pPr>
            <w:r w:rsidRPr="00A72641">
              <w:rPr>
                <w:rFonts w:ascii="Arial" w:hAnsi="Arial" w:cs="Arial"/>
                <w:i/>
                <w:iCs/>
                <w:szCs w:val="22"/>
                <w:lang w:val="en-US"/>
              </w:rPr>
              <w:t>Criterion R.2 or the nomination form should be reformulated and simplified to focus on the contribution of nominated elements to encouraging mutual respect and dialogue among communities, groups and individuals, and to indicate how the element contributes to sustainable development;</w:t>
            </w:r>
          </w:p>
          <w:p w14:paraId="7A0E1F8D" w14:textId="77777777" w:rsidR="001A311B" w:rsidRPr="00A72641" w:rsidRDefault="001A311B" w:rsidP="00EB0A69">
            <w:pPr>
              <w:numPr>
                <w:ilvl w:val="1"/>
                <w:numId w:val="4"/>
              </w:numPr>
              <w:ind w:left="1418" w:hanging="284"/>
              <w:jc w:val="both"/>
              <w:rPr>
                <w:rFonts w:ascii="Arial" w:hAnsi="Arial" w:cs="Arial"/>
                <w:i/>
                <w:iCs/>
                <w:szCs w:val="22"/>
                <w:lang w:val="en-US"/>
              </w:rPr>
            </w:pPr>
            <w:r w:rsidRPr="00A72641">
              <w:rPr>
                <w:rFonts w:ascii="Arial" w:hAnsi="Arial" w:cs="Arial"/>
                <w:i/>
                <w:iCs/>
                <w:szCs w:val="22"/>
                <w:lang w:val="en-US"/>
              </w:rPr>
              <w:t>Criterion R.4/U.4 or the nomination form could be revised to ensure that communities understand that inscription on the Lists of the Convention does not place their element above others nor imply exclusivity or ‘ownership’ of the element;</w:t>
            </w:r>
          </w:p>
          <w:p w14:paraId="0ADD4F99" w14:textId="77777777" w:rsidR="001A311B" w:rsidRPr="00A72641" w:rsidRDefault="001A311B" w:rsidP="00EB0A69">
            <w:pPr>
              <w:numPr>
                <w:ilvl w:val="1"/>
                <w:numId w:val="4"/>
              </w:numPr>
              <w:ind w:left="1418" w:hanging="284"/>
              <w:jc w:val="both"/>
              <w:rPr>
                <w:rFonts w:ascii="Arial" w:hAnsi="Arial" w:cs="Arial"/>
                <w:i/>
                <w:iCs/>
                <w:szCs w:val="22"/>
                <w:lang w:val="en-US"/>
              </w:rPr>
            </w:pPr>
            <w:r w:rsidRPr="00A72641">
              <w:rPr>
                <w:rFonts w:ascii="Arial" w:hAnsi="Arial" w:cs="Arial"/>
                <w:i/>
                <w:iCs/>
                <w:szCs w:val="22"/>
                <w:lang w:val="en-US"/>
              </w:rPr>
              <w:t>Criterion R.5/U.5 or the nomination form could be simplified by referring to the inventorying systems already identified in the periodic report;</w:t>
            </w:r>
          </w:p>
          <w:p w14:paraId="67435F4C" w14:textId="77777777" w:rsidR="001A311B" w:rsidRPr="00A72641" w:rsidRDefault="001A311B" w:rsidP="00EB0A69">
            <w:pPr>
              <w:numPr>
                <w:ilvl w:val="1"/>
                <w:numId w:val="4"/>
              </w:numPr>
              <w:ind w:left="1418" w:hanging="284"/>
              <w:jc w:val="both"/>
              <w:rPr>
                <w:rFonts w:ascii="Arial" w:hAnsi="Arial" w:cs="Arial"/>
                <w:i/>
                <w:iCs/>
                <w:szCs w:val="22"/>
                <w:lang w:val="en-US"/>
              </w:rPr>
            </w:pPr>
            <w:r w:rsidRPr="00A72641">
              <w:rPr>
                <w:rFonts w:ascii="Arial" w:hAnsi="Arial" w:cs="Arial"/>
                <w:i/>
                <w:iCs/>
                <w:szCs w:val="22"/>
                <w:lang w:val="en-US"/>
              </w:rPr>
              <w:t xml:space="preserve">Simplification of the forms for all criteria. </w:t>
            </w:r>
          </w:p>
          <w:p w14:paraId="1EABC1B9" w14:textId="77777777" w:rsidR="001A311B" w:rsidRPr="00A72641" w:rsidRDefault="001A311B" w:rsidP="00EB0A69">
            <w:pPr>
              <w:ind w:left="1134" w:hanging="567"/>
              <w:jc w:val="both"/>
              <w:rPr>
                <w:rFonts w:ascii="Arial" w:hAnsi="Arial" w:cs="Arial"/>
                <w:snapToGrid w:val="0"/>
                <w:szCs w:val="22"/>
                <w:lang w:eastAsia="en-US"/>
              </w:rPr>
            </w:pPr>
            <w:r w:rsidRPr="00A72641">
              <w:rPr>
                <w:rFonts w:ascii="Arial" w:hAnsi="Arial" w:cs="Arial"/>
                <w:snapToGrid w:val="0"/>
                <w:szCs w:val="22"/>
                <w:lang w:eastAsia="en-US"/>
              </w:rPr>
              <w:t xml:space="preserve">(2) </w:t>
            </w:r>
            <w:r w:rsidRPr="00A72641">
              <w:rPr>
                <w:rFonts w:ascii="Arial" w:hAnsi="Arial" w:cs="Arial"/>
                <w:snapToGrid w:val="0"/>
                <w:szCs w:val="22"/>
                <w:lang w:eastAsia="en-US"/>
              </w:rPr>
              <w:tab/>
              <w:t>to amend the criteria for the Register of Good Safeguarding practices as follows:</w:t>
            </w:r>
          </w:p>
          <w:p w14:paraId="3E33AB40" w14:textId="77777777" w:rsidR="001A311B" w:rsidRPr="00A72641" w:rsidRDefault="001A311B" w:rsidP="00EB0A69">
            <w:pPr>
              <w:numPr>
                <w:ilvl w:val="0"/>
                <w:numId w:val="7"/>
              </w:numPr>
              <w:ind w:left="1418" w:hanging="284"/>
              <w:jc w:val="both"/>
              <w:rPr>
                <w:rFonts w:ascii="Arial" w:hAnsi="Arial" w:cs="Arial"/>
                <w:i/>
                <w:iCs/>
                <w:snapToGrid w:val="0"/>
                <w:szCs w:val="22"/>
                <w:lang w:eastAsia="en-US"/>
              </w:rPr>
            </w:pPr>
            <w:r w:rsidRPr="00A72641">
              <w:rPr>
                <w:rFonts w:ascii="Arial" w:hAnsi="Arial" w:cs="Arial"/>
                <w:i/>
                <w:iCs/>
                <w:snapToGrid w:val="0"/>
                <w:szCs w:val="22"/>
                <w:lang w:eastAsia="en-US"/>
              </w:rPr>
              <w:t>Criterion P.9 should be deleted.</w:t>
            </w:r>
          </w:p>
          <w:p w14:paraId="5F3D964E" w14:textId="77777777" w:rsidR="001A311B" w:rsidRPr="000037B0" w:rsidRDefault="001A311B" w:rsidP="00EB0A69">
            <w:pPr>
              <w:numPr>
                <w:ilvl w:val="0"/>
                <w:numId w:val="3"/>
              </w:numPr>
              <w:ind w:left="567" w:hanging="567"/>
              <w:jc w:val="both"/>
              <w:rPr>
                <w:rFonts w:ascii="Arial" w:hAnsi="Arial" w:cs="Arial"/>
                <w:szCs w:val="22"/>
              </w:rPr>
            </w:pPr>
            <w:r w:rsidRPr="000037B0">
              <w:rPr>
                <w:rFonts w:ascii="Arial" w:hAnsi="Arial" w:cs="Arial"/>
                <w:snapToGrid w:val="0"/>
                <w:szCs w:val="22"/>
                <w:lang w:eastAsia="en-US"/>
              </w:rPr>
              <w:t>On</w:t>
            </w:r>
            <w:r w:rsidRPr="000037B0">
              <w:rPr>
                <w:rFonts w:ascii="Arial" w:hAnsi="Arial" w:cs="Arial"/>
                <w:szCs w:val="22"/>
              </w:rPr>
              <w:t xml:space="preserve"> </w:t>
            </w:r>
            <w:r w:rsidRPr="000037B0">
              <w:rPr>
                <w:rFonts w:ascii="Arial" w:hAnsi="Arial" w:cs="Arial"/>
                <w:snapToGrid w:val="0"/>
                <w:szCs w:val="22"/>
                <w:lang w:eastAsia="en-US"/>
              </w:rPr>
              <w:t>the</w:t>
            </w:r>
            <w:r w:rsidRPr="000037B0">
              <w:rPr>
                <w:rFonts w:ascii="Arial" w:hAnsi="Arial" w:cs="Arial"/>
                <w:szCs w:val="22"/>
              </w:rPr>
              <w:t xml:space="preserve"> issues related to the follow-up of inscribed elements, the working group recommends to:</w:t>
            </w:r>
          </w:p>
          <w:p w14:paraId="58BC294B" w14:textId="77777777" w:rsidR="001A311B" w:rsidRPr="000037B0" w:rsidRDefault="001A311B" w:rsidP="00EB0A69">
            <w:pPr>
              <w:numPr>
                <w:ilvl w:val="0"/>
                <w:numId w:val="5"/>
              </w:numPr>
              <w:ind w:left="851" w:hanging="284"/>
              <w:jc w:val="both"/>
              <w:rPr>
                <w:rFonts w:ascii="Arial" w:hAnsi="Arial" w:cs="Arial"/>
                <w:i/>
                <w:iCs/>
                <w:szCs w:val="22"/>
                <w:lang w:val="en-US"/>
              </w:rPr>
            </w:pPr>
            <w:r w:rsidRPr="000037B0">
              <w:rPr>
                <w:rFonts w:ascii="Arial" w:hAnsi="Arial" w:cs="Arial"/>
                <w:i/>
                <w:iCs/>
                <w:szCs w:val="22"/>
                <w:lang w:val="en-US"/>
              </w:rPr>
              <w:t>Encourage safeguarding efforts towards elements on the Urgent Safeguarding List by fast tracking and facilitating access to financial assistance and technical support;</w:t>
            </w:r>
          </w:p>
          <w:p w14:paraId="4588FEDC" w14:textId="77777777" w:rsidR="001A311B" w:rsidRPr="000037B0" w:rsidRDefault="001A311B" w:rsidP="00EB0A69">
            <w:pPr>
              <w:numPr>
                <w:ilvl w:val="0"/>
                <w:numId w:val="5"/>
              </w:numPr>
              <w:ind w:left="851" w:hanging="284"/>
              <w:jc w:val="both"/>
              <w:rPr>
                <w:rFonts w:ascii="Arial" w:hAnsi="Arial" w:cs="Arial"/>
                <w:i/>
                <w:iCs/>
                <w:szCs w:val="22"/>
                <w:lang w:val="en-US"/>
              </w:rPr>
            </w:pPr>
            <w:r w:rsidRPr="000037B0">
              <w:rPr>
                <w:rFonts w:ascii="Arial" w:hAnsi="Arial" w:cs="Arial"/>
                <w:i/>
                <w:iCs/>
                <w:szCs w:val="22"/>
                <w:lang w:val="en-US"/>
              </w:rPr>
              <w:t>Reinforce the monitoring system through the periodic reporting mechanism to ensure that the safeguarding plans are implemented;</w:t>
            </w:r>
          </w:p>
          <w:p w14:paraId="33A604E1" w14:textId="77777777" w:rsidR="001A311B" w:rsidRPr="000037B0" w:rsidRDefault="001A311B" w:rsidP="00EB0A69">
            <w:pPr>
              <w:numPr>
                <w:ilvl w:val="0"/>
                <w:numId w:val="5"/>
              </w:numPr>
              <w:ind w:left="851" w:hanging="284"/>
              <w:jc w:val="both"/>
              <w:rPr>
                <w:rFonts w:ascii="Arial" w:hAnsi="Arial" w:cs="Arial"/>
                <w:i/>
                <w:iCs/>
                <w:szCs w:val="22"/>
                <w:lang w:val="en-US"/>
              </w:rPr>
            </w:pPr>
            <w:r w:rsidRPr="000037B0">
              <w:rPr>
                <w:rFonts w:ascii="Arial" w:hAnsi="Arial" w:cs="Arial"/>
                <w:i/>
                <w:iCs/>
                <w:szCs w:val="22"/>
                <w:lang w:val="en-US"/>
              </w:rPr>
              <w:t>Facilitate the transfer of elements between the Lists, including the inclusion of successful safeguarding plans implemented under the Urgent Safeguarding List into the Register of Good Safeguarding Practices.</w:t>
            </w:r>
          </w:p>
          <w:p w14:paraId="0316061B" w14:textId="77777777" w:rsidR="001A311B" w:rsidRPr="000037B0" w:rsidRDefault="001A311B" w:rsidP="00EB0A69">
            <w:pPr>
              <w:keepNext/>
              <w:numPr>
                <w:ilvl w:val="0"/>
                <w:numId w:val="3"/>
              </w:numPr>
              <w:ind w:left="567" w:hanging="567"/>
              <w:jc w:val="both"/>
              <w:rPr>
                <w:rFonts w:ascii="Arial" w:hAnsi="Arial" w:cs="Arial"/>
                <w:szCs w:val="22"/>
                <w:lang w:val="en-US"/>
              </w:rPr>
            </w:pPr>
            <w:r w:rsidRPr="000037B0">
              <w:rPr>
                <w:rFonts w:ascii="Arial" w:hAnsi="Arial" w:cs="Arial"/>
                <w:szCs w:val="22"/>
              </w:rPr>
              <w:lastRenderedPageBreak/>
              <w:t xml:space="preserve">On the </w:t>
            </w:r>
            <w:r w:rsidRPr="000037B0">
              <w:rPr>
                <w:rFonts w:ascii="Arial" w:hAnsi="Arial" w:cs="Arial"/>
                <w:snapToGrid w:val="0"/>
                <w:szCs w:val="22"/>
                <w:lang w:eastAsia="en-US"/>
              </w:rPr>
              <w:t>issues</w:t>
            </w:r>
            <w:r w:rsidRPr="000037B0">
              <w:rPr>
                <w:rFonts w:ascii="Arial" w:hAnsi="Arial" w:cs="Arial"/>
                <w:szCs w:val="22"/>
              </w:rPr>
              <w:t xml:space="preserve"> related to the methodology for the evaluation of nominations, the working group recommends:</w:t>
            </w:r>
          </w:p>
          <w:p w14:paraId="7EF4EF87" w14:textId="77777777" w:rsidR="001A311B" w:rsidRPr="000037B0" w:rsidRDefault="001A311B" w:rsidP="00EB0A69">
            <w:pPr>
              <w:numPr>
                <w:ilvl w:val="0"/>
                <w:numId w:val="8"/>
              </w:numPr>
              <w:ind w:left="851"/>
              <w:jc w:val="both"/>
              <w:rPr>
                <w:rFonts w:ascii="Arial" w:hAnsi="Arial" w:cs="Arial"/>
                <w:i/>
                <w:iCs/>
                <w:szCs w:val="22"/>
                <w:lang w:val="en-US"/>
              </w:rPr>
            </w:pPr>
            <w:r w:rsidRPr="000037B0">
              <w:rPr>
                <w:rFonts w:ascii="Arial" w:hAnsi="Arial" w:cs="Arial"/>
                <w:i/>
                <w:iCs/>
                <w:szCs w:val="22"/>
                <w:lang w:val="en-US"/>
              </w:rPr>
              <w:t>to simplify the procedure for the extension of multinational nominations, bearing in mind the importance of the consent of communities, groups and where applicable individuals.</w:t>
            </w:r>
          </w:p>
          <w:p w14:paraId="15961751" w14:textId="77777777" w:rsidR="001A311B" w:rsidRPr="00063230" w:rsidRDefault="001A311B" w:rsidP="00EB0A69">
            <w:pPr>
              <w:keepNext/>
              <w:numPr>
                <w:ilvl w:val="0"/>
                <w:numId w:val="3"/>
              </w:numPr>
              <w:ind w:left="567" w:hanging="567"/>
              <w:jc w:val="both"/>
              <w:rPr>
                <w:rFonts w:ascii="Arial" w:hAnsi="Arial" w:cs="Arial"/>
                <w:szCs w:val="22"/>
              </w:rPr>
            </w:pPr>
            <w:r w:rsidRPr="000037B0">
              <w:rPr>
                <w:rFonts w:ascii="Arial" w:hAnsi="Arial" w:cs="Arial"/>
                <w:szCs w:val="22"/>
                <w:lang w:val="en-US"/>
              </w:rPr>
              <w:t xml:space="preserve">The working group recommends to use gender-neutral and inclusive language within all aspects of the implementation of the Convention, including for example avoiding such terms </w:t>
            </w:r>
            <w:r w:rsidRPr="00063230">
              <w:rPr>
                <w:rFonts w:ascii="Arial" w:hAnsi="Arial" w:cs="Arial"/>
                <w:szCs w:val="22"/>
              </w:rPr>
              <w:t>as</w:t>
            </w:r>
            <w:r w:rsidRPr="00063230">
              <w:rPr>
                <w:rFonts w:ascii="Arial" w:hAnsi="Arial" w:cs="Arial"/>
                <w:szCs w:val="22"/>
                <w:lang w:val="en-US"/>
              </w:rPr>
              <w:t xml:space="preserve"> ‘gentleman’s agreement.’</w:t>
            </w:r>
          </w:p>
          <w:p w14:paraId="3A093FFD" w14:textId="77777777" w:rsidR="001A311B" w:rsidRPr="00063230" w:rsidRDefault="001A311B" w:rsidP="00EB0A69">
            <w:pPr>
              <w:keepNext/>
              <w:numPr>
                <w:ilvl w:val="0"/>
                <w:numId w:val="3"/>
              </w:numPr>
              <w:ind w:left="567" w:hanging="567"/>
              <w:jc w:val="both"/>
              <w:rPr>
                <w:rFonts w:ascii="Arial" w:hAnsi="Arial" w:cs="Arial"/>
                <w:szCs w:val="22"/>
              </w:rPr>
            </w:pPr>
            <w:r w:rsidRPr="00063230">
              <w:rPr>
                <w:rFonts w:ascii="Arial" w:hAnsi="Arial" w:cs="Arial"/>
                <w:szCs w:val="22"/>
                <w:lang w:val="en-US"/>
              </w:rPr>
              <w:t>The working group recommends to initiate</w:t>
            </w:r>
            <w:r w:rsidRPr="00063230">
              <w:rPr>
                <w:rFonts w:ascii="Arial" w:hAnsi="Arial" w:cs="Arial"/>
                <w:szCs w:val="22"/>
              </w:rPr>
              <w:t xml:space="preserve"> a reflection for a broader implementation of Article 18 of the Convention.</w:t>
            </w:r>
          </w:p>
          <w:p w14:paraId="0FE8A448" w14:textId="77777777" w:rsidR="001A311B" w:rsidRPr="00063230" w:rsidRDefault="001A311B" w:rsidP="00EB0A69">
            <w:pPr>
              <w:numPr>
                <w:ilvl w:val="0"/>
                <w:numId w:val="3"/>
              </w:numPr>
              <w:ind w:left="567" w:hanging="567"/>
              <w:jc w:val="both"/>
              <w:rPr>
                <w:rFonts w:ascii="Arial" w:hAnsi="Arial" w:cs="Arial"/>
                <w:szCs w:val="22"/>
                <w:lang w:val="en-US"/>
              </w:rPr>
            </w:pPr>
            <w:r w:rsidRPr="00063230">
              <w:rPr>
                <w:rFonts w:ascii="Arial" w:hAnsi="Arial" w:cs="Arial"/>
                <w:szCs w:val="22"/>
              </w:rPr>
              <w:t>On the proposals to ensure a broader involvement of communities, groups, and where applicable individuals, in the listing system, the working group recommends:</w:t>
            </w:r>
          </w:p>
          <w:p w14:paraId="6AF309B0" w14:textId="77777777" w:rsidR="001A311B" w:rsidRPr="00063230" w:rsidRDefault="001A311B" w:rsidP="00EB0A69">
            <w:pPr>
              <w:numPr>
                <w:ilvl w:val="0"/>
                <w:numId w:val="9"/>
              </w:numPr>
              <w:ind w:left="851" w:hanging="284"/>
              <w:jc w:val="both"/>
              <w:rPr>
                <w:rFonts w:ascii="Arial" w:hAnsi="Arial" w:cs="Arial"/>
                <w:i/>
                <w:iCs/>
                <w:szCs w:val="22"/>
                <w:lang w:val="en-US"/>
              </w:rPr>
            </w:pPr>
            <w:r w:rsidRPr="00063230">
              <w:rPr>
                <w:rFonts w:ascii="Arial" w:hAnsi="Arial" w:cs="Arial"/>
                <w:i/>
                <w:iCs/>
                <w:szCs w:val="22"/>
                <w:lang w:val="en-US"/>
              </w:rPr>
              <w:t>the use of the community’s language (or a language(s) that is accessible to them) in the preparation and submission of nominations;</w:t>
            </w:r>
          </w:p>
          <w:p w14:paraId="08C7933C" w14:textId="77777777" w:rsidR="001A311B" w:rsidRPr="00063230" w:rsidRDefault="001A311B" w:rsidP="00EB0A69">
            <w:pPr>
              <w:numPr>
                <w:ilvl w:val="0"/>
                <w:numId w:val="9"/>
              </w:numPr>
              <w:ind w:left="851" w:hanging="284"/>
              <w:jc w:val="both"/>
              <w:rPr>
                <w:rFonts w:ascii="Arial" w:hAnsi="Arial" w:cs="Arial"/>
                <w:i/>
                <w:iCs/>
                <w:szCs w:val="22"/>
                <w:lang w:val="en-US"/>
              </w:rPr>
            </w:pPr>
            <w:r w:rsidRPr="00063230">
              <w:rPr>
                <w:rFonts w:ascii="Arial" w:hAnsi="Arial" w:cs="Arial"/>
                <w:i/>
                <w:iCs/>
                <w:szCs w:val="22"/>
                <w:lang w:val="en-US"/>
              </w:rPr>
              <w:t>the use of technology, such as audio-visual tools, where possible, for providing information requested in the nomination forms as well as for communicating any concerns.</w:t>
            </w:r>
          </w:p>
          <w:p w14:paraId="6B6826A8" w14:textId="77777777" w:rsidR="001A311B" w:rsidRPr="001A4BBC" w:rsidRDefault="001A311B" w:rsidP="00EB0A69">
            <w:pPr>
              <w:numPr>
                <w:ilvl w:val="0"/>
                <w:numId w:val="3"/>
              </w:numPr>
              <w:ind w:left="567" w:hanging="567"/>
              <w:jc w:val="both"/>
              <w:rPr>
                <w:rFonts w:asciiTheme="minorBidi" w:hAnsiTheme="minorBidi" w:cstheme="minorBidi"/>
                <w:szCs w:val="22"/>
                <w:lang w:val="en-US"/>
              </w:rPr>
            </w:pPr>
            <w:r w:rsidRPr="001A4BBC">
              <w:rPr>
                <w:rFonts w:asciiTheme="minorBidi" w:hAnsiTheme="minorBidi" w:cstheme="minorBidi"/>
                <w:szCs w:val="22"/>
                <w:lang w:val="en-US"/>
              </w:rPr>
              <w:t xml:space="preserve">The </w:t>
            </w:r>
            <w:r w:rsidRPr="001A4BBC">
              <w:rPr>
                <w:rFonts w:asciiTheme="minorBidi" w:hAnsiTheme="minorBidi" w:cstheme="minorBidi"/>
                <w:szCs w:val="22"/>
              </w:rPr>
              <w:t>working</w:t>
            </w:r>
            <w:r w:rsidRPr="001A4BBC">
              <w:rPr>
                <w:rFonts w:asciiTheme="minorBidi" w:hAnsiTheme="minorBidi" w:cstheme="minorBidi"/>
                <w:szCs w:val="22"/>
                <w:lang w:val="en-US"/>
              </w:rPr>
              <w:t xml:space="preserve"> group further considers that the following issues be discussed during Part II of the meeting:</w:t>
            </w:r>
          </w:p>
          <w:p w14:paraId="159FEE46" w14:textId="77777777" w:rsidR="001A311B" w:rsidRPr="001A4BBC" w:rsidRDefault="001A311B" w:rsidP="00EB0A69">
            <w:pPr>
              <w:ind w:left="567"/>
              <w:jc w:val="both"/>
              <w:rPr>
                <w:rFonts w:asciiTheme="minorBidi" w:hAnsiTheme="minorBidi" w:cstheme="minorBidi"/>
                <w:i/>
                <w:iCs/>
                <w:szCs w:val="22"/>
                <w:u w:val="single"/>
                <w:lang w:val="en-US"/>
              </w:rPr>
            </w:pPr>
            <w:r w:rsidRPr="001A4BBC">
              <w:rPr>
                <w:rFonts w:asciiTheme="minorBidi" w:hAnsiTheme="minorBidi" w:cstheme="minorBidi"/>
                <w:i/>
                <w:iCs/>
                <w:szCs w:val="22"/>
                <w:u w:val="single"/>
                <w:lang w:val="en-US"/>
              </w:rPr>
              <w:t>Inscription criteria</w:t>
            </w:r>
          </w:p>
          <w:p w14:paraId="3384B4FE" w14:textId="77777777" w:rsidR="001A311B" w:rsidRPr="001A4BBC" w:rsidRDefault="001A311B" w:rsidP="00EB0A69">
            <w:pPr>
              <w:numPr>
                <w:ilvl w:val="0"/>
                <w:numId w:val="6"/>
              </w:numPr>
              <w:ind w:left="851" w:hanging="284"/>
              <w:jc w:val="both"/>
              <w:rPr>
                <w:rFonts w:asciiTheme="minorBidi" w:hAnsiTheme="minorBidi" w:cstheme="minorBidi"/>
                <w:i/>
                <w:iCs/>
                <w:snapToGrid w:val="0"/>
                <w:szCs w:val="22"/>
                <w:lang w:eastAsia="en-US"/>
              </w:rPr>
            </w:pPr>
            <w:bookmarkStart w:id="3" w:name="_Hlk76667304"/>
            <w:r w:rsidRPr="001A4BBC">
              <w:rPr>
                <w:rFonts w:asciiTheme="minorBidi" w:hAnsiTheme="minorBidi" w:cstheme="minorBidi"/>
                <w:i/>
                <w:iCs/>
                <w:snapToGrid w:val="0"/>
                <w:szCs w:val="22"/>
                <w:lang w:eastAsia="en-US"/>
              </w:rPr>
              <w:t xml:space="preserve">Deletion or reformulation of criteria, other than criterion P.9, under the Register of Good Safeguarding Practices, pending a </w:t>
            </w:r>
            <w:r w:rsidRPr="001A4BBC">
              <w:rPr>
                <w:rFonts w:asciiTheme="minorBidi" w:hAnsiTheme="minorBidi" w:cstheme="minorBidi"/>
                <w:i/>
                <w:iCs/>
                <w:szCs w:val="22"/>
              </w:rPr>
              <w:t>broader</w:t>
            </w:r>
            <w:r w:rsidRPr="001A4BBC">
              <w:rPr>
                <w:rFonts w:asciiTheme="minorBidi" w:hAnsiTheme="minorBidi" w:cstheme="minorBidi"/>
                <w:i/>
                <w:iCs/>
                <w:snapToGrid w:val="0"/>
                <w:szCs w:val="22"/>
                <w:lang w:eastAsia="en-US"/>
              </w:rPr>
              <w:t xml:space="preserve"> discussion on the implementation of Article 18 of the Convention;</w:t>
            </w:r>
          </w:p>
          <w:p w14:paraId="05204BA5"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Revising the priority for the examination of nomination files for States Parties which did not fulfil their reporting obligations concerning the implementation of the Convention and the status of elements inscribed on the Representative List or on the Urgent Safeguarding List;</w:t>
            </w:r>
          </w:p>
          <w:p w14:paraId="4302A47A" w14:textId="77777777" w:rsidR="001A311B" w:rsidRPr="001A4BBC" w:rsidRDefault="001A311B" w:rsidP="00EB0A69">
            <w:pPr>
              <w:ind w:left="567"/>
              <w:jc w:val="both"/>
              <w:rPr>
                <w:rFonts w:asciiTheme="minorBidi" w:hAnsiTheme="minorBidi" w:cstheme="minorBidi"/>
                <w:i/>
                <w:iCs/>
                <w:snapToGrid w:val="0"/>
                <w:szCs w:val="22"/>
                <w:u w:val="single"/>
                <w:lang w:eastAsia="en-US"/>
              </w:rPr>
            </w:pPr>
            <w:r w:rsidRPr="001A4BBC">
              <w:rPr>
                <w:rFonts w:asciiTheme="minorBidi" w:hAnsiTheme="minorBidi" w:cstheme="minorBidi"/>
                <w:i/>
                <w:iCs/>
                <w:snapToGrid w:val="0"/>
                <w:szCs w:val="22"/>
                <w:u w:val="single"/>
                <w:lang w:eastAsia="en-US"/>
              </w:rPr>
              <w:t>Follow-up of inscribed elements</w:t>
            </w:r>
          </w:p>
          <w:p w14:paraId="576CA440"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Feasibility and functionality of creating the following platform/network/forum (which may be combined) and their roles:</w:t>
            </w:r>
          </w:p>
          <w:p w14:paraId="7DE61379" w14:textId="77777777" w:rsidR="001A311B" w:rsidRPr="001A4BBC" w:rsidRDefault="001A311B" w:rsidP="00EB0A69">
            <w:pPr>
              <w:numPr>
                <w:ilvl w:val="1"/>
                <w:numId w:val="6"/>
              </w:numPr>
              <w:contextualSpacing/>
              <w:jc w:val="both"/>
              <w:rPr>
                <w:rFonts w:asciiTheme="minorBidi" w:hAnsiTheme="minorBidi" w:cstheme="minorBidi"/>
                <w:i/>
                <w:iCs/>
                <w:szCs w:val="22"/>
              </w:rPr>
            </w:pPr>
            <w:r w:rsidRPr="001A4BBC">
              <w:rPr>
                <w:rFonts w:asciiTheme="minorBidi" w:hAnsiTheme="minorBidi" w:cstheme="minorBidi"/>
                <w:i/>
                <w:iCs/>
                <w:szCs w:val="22"/>
              </w:rPr>
              <w:t>an ‘arm’s-length’ online platform with community participation allowing their engagement in the follow-up of inscribed elements;</w:t>
            </w:r>
          </w:p>
          <w:p w14:paraId="7E85FC31" w14:textId="77777777" w:rsidR="001A311B" w:rsidRPr="001A4BBC" w:rsidRDefault="001A311B" w:rsidP="00EB0A69">
            <w:pPr>
              <w:numPr>
                <w:ilvl w:val="1"/>
                <w:numId w:val="6"/>
              </w:numPr>
              <w:contextualSpacing/>
              <w:jc w:val="both"/>
              <w:rPr>
                <w:rFonts w:asciiTheme="minorBidi" w:hAnsiTheme="minorBidi" w:cstheme="minorBidi"/>
                <w:i/>
                <w:iCs/>
                <w:szCs w:val="22"/>
              </w:rPr>
            </w:pPr>
            <w:r w:rsidRPr="001A4BBC">
              <w:rPr>
                <w:rFonts w:asciiTheme="minorBidi" w:hAnsiTheme="minorBidi" w:cstheme="minorBidi"/>
                <w:i/>
                <w:iCs/>
                <w:szCs w:val="22"/>
              </w:rPr>
              <w:t>a network of inscribed elements for sharing safeguarding experiences; and</w:t>
            </w:r>
          </w:p>
          <w:p w14:paraId="7528F216" w14:textId="77777777" w:rsidR="001A311B" w:rsidRPr="001A4BBC" w:rsidRDefault="001A311B" w:rsidP="00EB0A69">
            <w:pPr>
              <w:numPr>
                <w:ilvl w:val="1"/>
                <w:numId w:val="6"/>
              </w:numPr>
              <w:jc w:val="both"/>
              <w:rPr>
                <w:rFonts w:asciiTheme="minorBidi" w:hAnsiTheme="minorBidi" w:cstheme="minorBidi"/>
                <w:i/>
                <w:iCs/>
                <w:szCs w:val="22"/>
              </w:rPr>
            </w:pPr>
            <w:r w:rsidRPr="001A4BBC">
              <w:rPr>
                <w:rFonts w:asciiTheme="minorBidi" w:hAnsiTheme="minorBidi" w:cstheme="minorBidi"/>
                <w:i/>
                <w:iCs/>
                <w:szCs w:val="22"/>
              </w:rPr>
              <w:t>a special forum that would allow the governing bodies of the Convention to consult community representatives in a systematic manner;</w:t>
            </w:r>
          </w:p>
          <w:p w14:paraId="3EDC33CC"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Consider the implications of an ‘arm’s-length’ online platform with clarifications on its role and status within the follow-up of the inscribed elements, including how it will be set up, who will maintain it, what will its status be within the Convention, how it will be funded and how it will interact with all stakeholders;</w:t>
            </w:r>
          </w:p>
          <w:p w14:paraId="20BBF20D"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Specific procedures for removing elements from the Lists of the Convention, including the introduction of interim measures;</w:t>
            </w:r>
          </w:p>
          <w:p w14:paraId="6541A780"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Propose simplified procedures for transferring elements between the Lists as well as including in the Register those safeguarding experiences that have successfully improved the viability of elements inscribed on the Urgent Safeguarding List;</w:t>
            </w:r>
          </w:p>
          <w:p w14:paraId="22C3BDFB" w14:textId="77777777" w:rsidR="001A311B" w:rsidRPr="001A4BBC" w:rsidRDefault="001A311B" w:rsidP="00EB0A69">
            <w:pPr>
              <w:keepNext/>
              <w:ind w:left="567"/>
              <w:jc w:val="both"/>
              <w:rPr>
                <w:rFonts w:asciiTheme="minorBidi" w:hAnsiTheme="minorBidi" w:cstheme="minorBidi"/>
                <w:i/>
                <w:iCs/>
                <w:szCs w:val="22"/>
                <w:u w:val="single"/>
              </w:rPr>
            </w:pPr>
            <w:r w:rsidRPr="001A4BBC">
              <w:rPr>
                <w:rFonts w:asciiTheme="minorBidi" w:hAnsiTheme="minorBidi" w:cstheme="minorBidi"/>
                <w:i/>
                <w:iCs/>
                <w:szCs w:val="22"/>
                <w:u w:val="single"/>
              </w:rPr>
              <w:t>Methodology for the evaluation of nominations</w:t>
            </w:r>
          </w:p>
          <w:p w14:paraId="4A5C0FEA" w14:textId="77777777" w:rsidR="001A311B" w:rsidRPr="001A4BBC" w:rsidRDefault="001A311B" w:rsidP="00EB0A69">
            <w:pPr>
              <w:keepNext/>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Possibility to obtain additional information regarding nominations by using a dialogue process with accredited NGOs and communities, groups and where applicable individuals concerned;</w:t>
            </w:r>
          </w:p>
          <w:p w14:paraId="48DB53A8"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lastRenderedPageBreak/>
              <w:t>Consider the possibility of simplifying the extension of national files to include more communities in a similar manner to that proposed for multinational files;</w:t>
            </w:r>
          </w:p>
          <w:p w14:paraId="21253118" w14:textId="77777777" w:rsidR="001A311B" w:rsidRPr="001A4BBC" w:rsidRDefault="001A311B" w:rsidP="00EB0A69">
            <w:pPr>
              <w:ind w:left="567"/>
              <w:jc w:val="both"/>
              <w:rPr>
                <w:rFonts w:asciiTheme="minorBidi" w:hAnsiTheme="minorBidi" w:cstheme="minorBidi"/>
                <w:i/>
                <w:iCs/>
                <w:szCs w:val="22"/>
                <w:u w:val="single"/>
              </w:rPr>
            </w:pPr>
            <w:r w:rsidRPr="001A4BBC">
              <w:rPr>
                <w:rFonts w:asciiTheme="minorBidi" w:hAnsiTheme="minorBidi" w:cstheme="minorBidi"/>
                <w:i/>
                <w:iCs/>
                <w:szCs w:val="22"/>
                <w:u w:val="single"/>
              </w:rPr>
              <w:t>Number of files per cycle</w:t>
            </w:r>
          </w:p>
          <w:p w14:paraId="2AD93020" w14:textId="77777777" w:rsidR="001A311B" w:rsidRPr="001A4BBC" w:rsidRDefault="001A311B" w:rsidP="00EB0A69">
            <w:pPr>
              <w:ind w:left="567"/>
              <w:jc w:val="both"/>
              <w:rPr>
                <w:rFonts w:asciiTheme="minorBidi" w:hAnsiTheme="minorBidi" w:cstheme="minorBidi"/>
                <w:i/>
                <w:iCs/>
                <w:szCs w:val="22"/>
              </w:rPr>
            </w:pPr>
            <w:r w:rsidRPr="001A4BBC">
              <w:rPr>
                <w:rFonts w:asciiTheme="minorBidi" w:hAnsiTheme="minorBidi" w:cstheme="minorBidi"/>
                <w:i/>
                <w:iCs/>
                <w:szCs w:val="22"/>
              </w:rPr>
              <w:t>The following proposals by States will be discussed in the process ahead:</w:t>
            </w:r>
          </w:p>
          <w:p w14:paraId="6917FD43"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[Consider the possibility of reviewing the adaptability of the composition and the working methods of the Evaluation Body to allow for a higher number of files per cycle to be evaluated, keeping in mind geographical representation;]</w:t>
            </w:r>
          </w:p>
          <w:p w14:paraId="585BD1AC" w14:textId="77777777" w:rsidR="001A311B" w:rsidRPr="001A4BBC"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[Consider the possibility of examining two files per State every three years alternating between a nomination to the Representative List and the Urgent Safeguarding List or the Register of Good Safeguarding Practices;]</w:t>
            </w:r>
          </w:p>
          <w:p w14:paraId="5587A79F" w14:textId="77777777" w:rsidR="001A311B" w:rsidRDefault="001A311B" w:rsidP="00EB0A69">
            <w:pPr>
              <w:numPr>
                <w:ilvl w:val="0"/>
                <w:numId w:val="6"/>
              </w:numPr>
              <w:ind w:left="851" w:hanging="284"/>
              <w:jc w:val="both"/>
              <w:rPr>
                <w:rFonts w:asciiTheme="minorBidi" w:hAnsiTheme="minorBidi" w:cstheme="minorBidi"/>
                <w:i/>
                <w:iCs/>
                <w:szCs w:val="22"/>
              </w:rPr>
            </w:pPr>
            <w:r w:rsidRPr="001A4BBC">
              <w:rPr>
                <w:rFonts w:asciiTheme="minorBidi" w:hAnsiTheme="minorBidi" w:cstheme="minorBidi"/>
                <w:i/>
                <w:iCs/>
                <w:szCs w:val="22"/>
              </w:rPr>
              <w:t>[Consider the possibility of moving all International Assistance requests to the Bureau of the Intergovernmental Committee for the Safeguarding of the Intangible Cultural Heritage.]</w:t>
            </w:r>
          </w:p>
          <w:bookmarkEnd w:id="3"/>
          <w:p w14:paraId="50366D6E" w14:textId="77777777" w:rsidR="001A311B" w:rsidRPr="001A4BBC" w:rsidRDefault="001A311B" w:rsidP="00EB0A69">
            <w:pPr>
              <w:numPr>
                <w:ilvl w:val="0"/>
                <w:numId w:val="3"/>
              </w:numPr>
              <w:ind w:left="567" w:hanging="567"/>
              <w:jc w:val="both"/>
              <w:rPr>
                <w:rFonts w:asciiTheme="minorBidi" w:hAnsiTheme="minorBidi" w:cstheme="minorBidi"/>
                <w:szCs w:val="22"/>
              </w:rPr>
            </w:pPr>
            <w:r w:rsidRPr="001A4BBC">
              <w:rPr>
                <w:rFonts w:ascii="Arial" w:hAnsi="Arial" w:cs="Arial"/>
                <w:szCs w:val="22"/>
              </w:rPr>
              <w:t>The working group requests the Secretariat to provide further information taking into account the points agreed above, in time for Part II of the meeting (9 and 10 September 2021).</w:t>
            </w:r>
          </w:p>
        </w:tc>
      </w:tr>
    </w:tbl>
    <w:p w14:paraId="4D46CD64" w14:textId="77777777" w:rsidR="001A311B" w:rsidRPr="00FE0A85" w:rsidRDefault="001A311B" w:rsidP="001A311B">
      <w:pPr>
        <w:pStyle w:val="1GAPara"/>
        <w:numPr>
          <w:ilvl w:val="0"/>
          <w:numId w:val="0"/>
        </w:numPr>
        <w:rPr>
          <w:b/>
          <w:bCs/>
        </w:rPr>
      </w:pPr>
    </w:p>
    <w:sectPr w:rsidR="001A311B" w:rsidRPr="00FE0A85" w:rsidSect="002938F2">
      <w:headerReference w:type="even" r:id="rId47"/>
      <w:headerReference w:type="default" r:id="rId48"/>
      <w:footerReference w:type="even" r:id="rId49"/>
      <w:footerReference w:type="default" r:id="rId50"/>
      <w:headerReference w:type="first" r:id="rId51"/>
      <w:footerReference w:type="first" r:id="rId5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07B9" w14:textId="77777777" w:rsidR="000749A0" w:rsidRDefault="000749A0" w:rsidP="002938F2">
      <w:r>
        <w:separator/>
      </w:r>
    </w:p>
    <w:p w14:paraId="5E40FCDA" w14:textId="77777777" w:rsidR="000749A0" w:rsidRDefault="000749A0"/>
  </w:endnote>
  <w:endnote w:type="continuationSeparator" w:id="0">
    <w:p w14:paraId="3D3EC2BC" w14:textId="77777777" w:rsidR="000749A0" w:rsidRDefault="000749A0" w:rsidP="002938F2">
      <w:r>
        <w:continuationSeparator/>
      </w:r>
    </w:p>
    <w:p w14:paraId="2BC16829" w14:textId="77777777" w:rsidR="000749A0" w:rsidRDefault="000749A0"/>
  </w:endnote>
  <w:endnote w:type="continuationNotice" w:id="1">
    <w:p w14:paraId="58498BE9" w14:textId="77777777" w:rsidR="000749A0" w:rsidRDefault="000749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4476" w14:textId="77777777" w:rsidR="00C50F2E" w:rsidRDefault="00C5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71AD" w14:textId="77777777" w:rsidR="00C50F2E" w:rsidRDefault="00C50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4138" w14:textId="77777777" w:rsidR="00C50F2E" w:rsidRDefault="00C5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73D2" w14:textId="77777777" w:rsidR="000749A0" w:rsidRDefault="000749A0" w:rsidP="002938F2">
      <w:r>
        <w:separator/>
      </w:r>
    </w:p>
    <w:p w14:paraId="259209B2" w14:textId="77777777" w:rsidR="000749A0" w:rsidRDefault="000749A0"/>
  </w:footnote>
  <w:footnote w:type="continuationSeparator" w:id="0">
    <w:p w14:paraId="5A0D6F4E" w14:textId="77777777" w:rsidR="000749A0" w:rsidRDefault="000749A0" w:rsidP="002938F2">
      <w:r>
        <w:continuationSeparator/>
      </w:r>
    </w:p>
    <w:p w14:paraId="5073F78D" w14:textId="77777777" w:rsidR="000749A0" w:rsidRDefault="000749A0"/>
  </w:footnote>
  <w:footnote w:type="continuationNotice" w:id="1">
    <w:p w14:paraId="3AD49413" w14:textId="77777777" w:rsidR="000749A0" w:rsidRDefault="000749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43F95B34" w:rsidR="000749A0" w:rsidRPr="002B7155" w:rsidRDefault="000749A0" w:rsidP="007E4E37">
    <w:pPr>
      <w:pStyle w:val="Header"/>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eastAsiaTheme="minorEastAsia" w:hAnsi="Arial" w:cs="Arial"/>
        <w:sz w:val="20"/>
        <w:szCs w:val="20"/>
        <w:lang w:val="fr-FR" w:eastAsia="ko-KR"/>
      </w:rPr>
      <w:t>5</w:t>
    </w:r>
    <w:r w:rsidRPr="002B7155">
      <w:rPr>
        <w:rFonts w:ascii="Arial" w:hAnsi="Arial" w:cs="Arial"/>
        <w:sz w:val="20"/>
        <w:szCs w:val="20"/>
        <w:lang w:val="fr-FR"/>
      </w:rPr>
      <w:t xml:space="preserve"> – page </w:t>
    </w:r>
    <w:r w:rsidRPr="00D81948">
      <w:rPr>
        <w:rStyle w:val="PageNumber"/>
        <w:rFonts w:ascii="Arial" w:hAnsi="Arial" w:cs="Arial"/>
        <w:sz w:val="20"/>
        <w:szCs w:val="20"/>
      </w:rPr>
      <w:fldChar w:fldCharType="begin"/>
    </w:r>
    <w:r w:rsidRPr="002B7155">
      <w:rPr>
        <w:rStyle w:val="PageNumber"/>
        <w:rFonts w:ascii="Arial" w:hAnsi="Arial" w:cs="Arial"/>
        <w:sz w:val="20"/>
        <w:szCs w:val="20"/>
        <w:lang w:val="fr-FR"/>
      </w:rPr>
      <w:instrText xml:space="preserve"> PAGE </w:instrText>
    </w:r>
    <w:r w:rsidRPr="00D81948">
      <w:rPr>
        <w:rStyle w:val="PageNumber"/>
        <w:rFonts w:ascii="Arial" w:hAnsi="Arial" w:cs="Arial"/>
        <w:sz w:val="20"/>
        <w:szCs w:val="20"/>
      </w:rPr>
      <w:fldChar w:fldCharType="separate"/>
    </w:r>
    <w:r w:rsidRPr="002B7155">
      <w:rPr>
        <w:rStyle w:val="PageNumber"/>
        <w:rFonts w:ascii="Arial" w:hAnsi="Arial" w:cs="Arial"/>
        <w:noProof/>
        <w:sz w:val="20"/>
        <w:szCs w:val="20"/>
        <w:lang w:val="fr-FR"/>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0B6A896E" w:rsidR="000749A0" w:rsidRPr="007E4E37" w:rsidRDefault="000749A0" w:rsidP="007250E3">
    <w:pPr>
      <w:pStyle w:val="Header"/>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5</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4C69428E" w:rsidR="000749A0" w:rsidRPr="008724E5" w:rsidRDefault="00C50F2E">
    <w:pPr>
      <w:pStyle w:val="Header"/>
    </w:pPr>
    <w:r>
      <w:rPr>
        <w:noProof/>
      </w:rPr>
      <w:drawing>
        <wp:inline distT="0" distB="0" distL="0" distR="0" wp14:anchorId="7D2B1D85" wp14:editId="68948EA5">
          <wp:extent cx="1733384" cy="850789"/>
          <wp:effectExtent l="0" t="0" r="635" b="698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42062" cy="855049"/>
                  </a:xfrm>
                  <a:prstGeom prst="rect">
                    <a:avLst/>
                  </a:prstGeom>
                </pic:spPr>
              </pic:pic>
            </a:graphicData>
          </a:graphic>
        </wp:inline>
      </w:drawing>
    </w:r>
  </w:p>
  <w:p w14:paraId="278AC81C" w14:textId="6640EA2C" w:rsidR="000749A0" w:rsidRPr="00742BA3" w:rsidRDefault="000749A0" w:rsidP="002938F2">
    <w:pPr>
      <w:pStyle w:val="Header"/>
      <w:spacing w:after="520"/>
      <w:jc w:val="right"/>
      <w:rPr>
        <w:rFonts w:ascii="Arial" w:eastAsiaTheme="minorEastAsia" w:hAnsi="Arial" w:cs="Arial"/>
        <w:b/>
        <w:sz w:val="44"/>
        <w:szCs w:val="44"/>
        <w:lang w:val="pt-PT" w:eastAsia="ko-KR"/>
      </w:rPr>
    </w:pPr>
    <w:r w:rsidRPr="00742BA3">
      <w:rPr>
        <w:rFonts w:ascii="Arial" w:hAnsi="Arial" w:cs="Arial"/>
        <w:b/>
        <w:sz w:val="44"/>
        <w:szCs w:val="44"/>
        <w:lang w:val="pt-PT"/>
      </w:rPr>
      <w:t>1</w:t>
    </w:r>
    <w:r w:rsidRPr="00742BA3">
      <w:rPr>
        <w:rFonts w:ascii="Arial" w:eastAsiaTheme="minorEastAsia" w:hAnsi="Arial" w:cs="Arial"/>
        <w:b/>
        <w:sz w:val="44"/>
        <w:szCs w:val="44"/>
        <w:lang w:val="pt-PT" w:eastAsia="ko-KR"/>
      </w:rPr>
      <w:t>6</w:t>
    </w:r>
    <w:r w:rsidRPr="00742BA3">
      <w:rPr>
        <w:rFonts w:ascii="Arial" w:hAnsi="Arial" w:cs="Arial"/>
        <w:b/>
        <w:sz w:val="44"/>
        <w:szCs w:val="44"/>
        <w:lang w:val="pt-PT"/>
      </w:rPr>
      <w:t xml:space="preserve"> COM</w:t>
    </w:r>
    <w:r w:rsidRPr="00742BA3">
      <w:rPr>
        <w:rFonts w:ascii="Arial" w:eastAsiaTheme="minorEastAsia" w:hAnsi="Arial" w:cs="Arial" w:hint="eastAsia"/>
        <w:b/>
        <w:sz w:val="44"/>
        <w:szCs w:val="44"/>
        <w:lang w:val="pt-PT" w:eastAsia="ko-KR"/>
      </w:rPr>
      <w:t xml:space="preserve"> WG</w:t>
    </w:r>
  </w:p>
  <w:p w14:paraId="122B936C" w14:textId="11CC969E" w:rsidR="000749A0" w:rsidRPr="00742BA3" w:rsidRDefault="000749A0" w:rsidP="002D396D">
    <w:pPr>
      <w:spacing w:after="0"/>
      <w:jc w:val="right"/>
      <w:rPr>
        <w:rFonts w:ascii="Arial" w:eastAsiaTheme="minorEastAsia" w:hAnsi="Arial" w:cs="Arial"/>
        <w:b/>
        <w:szCs w:val="22"/>
        <w:lang w:val="pt-PT" w:eastAsia="ko-KR"/>
      </w:rPr>
    </w:pPr>
    <w:r w:rsidRPr="00742BA3">
      <w:rPr>
        <w:rFonts w:ascii="Arial" w:hAnsi="Arial" w:cs="Arial"/>
        <w:b/>
        <w:szCs w:val="22"/>
        <w:lang w:val="pt-PT"/>
      </w:rPr>
      <w:t>LHE/21/1</w:t>
    </w:r>
    <w:r w:rsidRPr="00742BA3">
      <w:rPr>
        <w:rFonts w:ascii="Arial" w:eastAsiaTheme="minorEastAsia" w:hAnsi="Arial" w:cs="Arial"/>
        <w:b/>
        <w:szCs w:val="22"/>
        <w:lang w:val="pt-PT" w:eastAsia="ko-KR"/>
      </w:rPr>
      <w:t>6</w:t>
    </w:r>
    <w:r w:rsidRPr="00742BA3">
      <w:rPr>
        <w:rFonts w:ascii="Arial" w:hAnsi="Arial" w:cs="Arial"/>
        <w:b/>
        <w:szCs w:val="22"/>
        <w:lang w:val="pt-PT"/>
      </w:rPr>
      <w:t>.COM</w:t>
    </w:r>
    <w:r w:rsidRPr="00742BA3">
      <w:rPr>
        <w:rFonts w:ascii="Arial" w:eastAsiaTheme="minorEastAsia" w:hAnsi="Arial" w:cs="Arial" w:hint="eastAsia"/>
        <w:b/>
        <w:szCs w:val="22"/>
        <w:lang w:val="pt-PT" w:eastAsia="ko-KR"/>
      </w:rPr>
      <w:t xml:space="preserve"> WG</w:t>
    </w:r>
    <w:r>
      <w:rPr>
        <w:rFonts w:ascii="Arial" w:hAnsi="Arial" w:cs="Arial"/>
        <w:b/>
        <w:szCs w:val="22"/>
        <w:lang w:val="pt-PT"/>
      </w:rPr>
      <w:t>/5</w:t>
    </w:r>
  </w:p>
  <w:p w14:paraId="2CC34105" w14:textId="4CE5848A" w:rsidR="000749A0" w:rsidRPr="007250E3" w:rsidRDefault="000749A0" w:rsidP="00C81439">
    <w:pPr>
      <w:spacing w:after="0"/>
      <w:jc w:val="right"/>
      <w:rPr>
        <w:rFonts w:ascii="Arial" w:eastAsiaTheme="minorEastAsia" w:hAnsi="Arial" w:cs="Arial"/>
        <w:b/>
        <w:szCs w:val="22"/>
        <w:lang w:eastAsia="ko-KR"/>
      </w:rPr>
    </w:pPr>
    <w:r w:rsidRPr="00D81948">
      <w:rPr>
        <w:rFonts w:ascii="Arial" w:hAnsi="Arial" w:cs="Arial"/>
        <w:b/>
        <w:szCs w:val="22"/>
      </w:rPr>
      <w:t>Paris</w:t>
    </w:r>
    <w:r w:rsidRPr="00CC11F6">
      <w:rPr>
        <w:rFonts w:ascii="Arial" w:hAnsi="Arial" w:cs="Arial"/>
        <w:b/>
        <w:szCs w:val="22"/>
      </w:rPr>
      <w:t xml:space="preserve">, </w:t>
    </w:r>
    <w:r w:rsidR="00F55892" w:rsidRPr="00CC11F6">
      <w:rPr>
        <w:rFonts w:ascii="Arial" w:hAnsi="Arial" w:cs="Arial"/>
        <w:b/>
        <w:szCs w:val="22"/>
      </w:rPr>
      <w:t>31</w:t>
    </w:r>
    <w:r w:rsidRPr="00CC11F6">
      <w:rPr>
        <w:rFonts w:ascii="Arial" w:hAnsi="Arial" w:cs="Arial"/>
        <w:b/>
        <w:szCs w:val="22"/>
      </w:rPr>
      <w:t xml:space="preserve"> August 2021</w:t>
    </w:r>
  </w:p>
  <w:p w14:paraId="3D76CF75" w14:textId="4521C84C" w:rsidR="000749A0" w:rsidRPr="001F57CC" w:rsidRDefault="000749A0" w:rsidP="001F57CC">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623703A"/>
    <w:multiLevelType w:val="hybridMultilevel"/>
    <w:tmpl w:val="DAFC751C"/>
    <w:lvl w:ilvl="0" w:tplc="55DC5306">
      <w:start w:val="1"/>
      <w:numFmt w:val="lowerLetter"/>
      <w:lvlText w:val="(%1)"/>
      <w:lvlJc w:val="left"/>
      <w:pPr>
        <w:ind w:left="2007" w:hanging="360"/>
      </w:pPr>
      <w:rPr>
        <w:rFonts w:hint="default"/>
        <w:i/>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346ACA"/>
    <w:multiLevelType w:val="hybridMultilevel"/>
    <w:tmpl w:val="04C8D4EA"/>
    <w:lvl w:ilvl="0" w:tplc="FE8CD666">
      <w:start w:val="1"/>
      <w:numFmt w:val="lowerLetter"/>
      <w:lvlText w:val="(%1)"/>
      <w:lvlJc w:val="left"/>
      <w:pPr>
        <w:ind w:left="1287" w:hanging="360"/>
      </w:pPr>
      <w:rPr>
        <w:rFonts w:hint="default"/>
      </w:rPr>
    </w:lvl>
    <w:lvl w:ilvl="1" w:tplc="A6EAEDEA">
      <w:start w:val="1"/>
      <w:numFmt w:val="lowerLetter"/>
      <w:lvlText w:val="%2."/>
      <w:lvlJc w:val="left"/>
      <w:pPr>
        <w:ind w:left="2007" w:hanging="360"/>
      </w:pPr>
      <w:rPr>
        <w:rFonts w:hint="default"/>
        <w:i/>
        <w:iCs/>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7246C8C"/>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015EE9"/>
    <w:multiLevelType w:val="hybridMultilevel"/>
    <w:tmpl w:val="A0FEB308"/>
    <w:lvl w:ilvl="0" w:tplc="D0E46A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3D7"/>
    <w:multiLevelType w:val="hybridMultilevel"/>
    <w:tmpl w:val="E5C0A00C"/>
    <w:lvl w:ilvl="0" w:tplc="040C0019">
      <w:start w:val="1"/>
      <w:numFmt w:val="lowerLetter"/>
      <w:lvlText w:val="%1."/>
      <w:lvlJc w:val="left"/>
      <w:pPr>
        <w:ind w:left="2007" w:hanging="360"/>
      </w:pPr>
      <w:rPr>
        <w:rFonts w:hint="default"/>
        <w:i/>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0608FB"/>
    <w:multiLevelType w:val="hybridMultilevel"/>
    <w:tmpl w:val="79BA7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41036"/>
    <w:multiLevelType w:val="hybridMultilevel"/>
    <w:tmpl w:val="DAF6AAE6"/>
    <w:lvl w:ilvl="0" w:tplc="0409000F">
      <w:start w:val="1"/>
      <w:numFmt w:val="decimal"/>
      <w:lvlText w:val="%1."/>
      <w:lvlJc w:val="left"/>
      <w:pPr>
        <w:ind w:left="420" w:hanging="420"/>
      </w:p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AA1BFC"/>
    <w:multiLevelType w:val="hybridMultilevel"/>
    <w:tmpl w:val="70722E1A"/>
    <w:lvl w:ilvl="0" w:tplc="D0E46A06">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1D0A0B"/>
    <w:multiLevelType w:val="hybridMultilevel"/>
    <w:tmpl w:val="DDD0F0B2"/>
    <w:lvl w:ilvl="0" w:tplc="D0E46A06">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73721F"/>
    <w:multiLevelType w:val="hybridMultilevel"/>
    <w:tmpl w:val="C0BA595A"/>
    <w:lvl w:ilvl="0" w:tplc="D0E46A06">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D535E0"/>
    <w:multiLevelType w:val="hybridMultilevel"/>
    <w:tmpl w:val="23B66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E05C93"/>
    <w:multiLevelType w:val="hybridMultilevel"/>
    <w:tmpl w:val="C0BA595A"/>
    <w:lvl w:ilvl="0" w:tplc="D0E46A06">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0C3E7B"/>
    <w:multiLevelType w:val="hybridMultilevel"/>
    <w:tmpl w:val="8464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926757"/>
    <w:multiLevelType w:val="hybridMultilevel"/>
    <w:tmpl w:val="A31E50E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3081F45"/>
    <w:multiLevelType w:val="hybridMultilevel"/>
    <w:tmpl w:val="AE4630B6"/>
    <w:lvl w:ilvl="0" w:tplc="12989724">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D16AC"/>
    <w:multiLevelType w:val="hybridMultilevel"/>
    <w:tmpl w:val="1348FDE2"/>
    <w:lvl w:ilvl="0" w:tplc="040C0019">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8D4684"/>
    <w:multiLevelType w:val="hybridMultilevel"/>
    <w:tmpl w:val="69765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296CDA"/>
    <w:multiLevelType w:val="hybridMultilevel"/>
    <w:tmpl w:val="54B4FD6C"/>
    <w:lvl w:ilvl="0" w:tplc="DAFCA6C8">
      <w:start w:val="1"/>
      <w:numFmt w:val="lowerLetter"/>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F60F3"/>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740FED"/>
    <w:multiLevelType w:val="hybridMultilevel"/>
    <w:tmpl w:val="76B22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002346"/>
    <w:multiLevelType w:val="hybridMultilevel"/>
    <w:tmpl w:val="D8C6D6CC"/>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65F6E"/>
    <w:multiLevelType w:val="hybridMultilevel"/>
    <w:tmpl w:val="879CF744"/>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2"/>
  </w:num>
  <w:num w:numId="3">
    <w:abstractNumId w:val="7"/>
  </w:num>
  <w:num w:numId="4">
    <w:abstractNumId w:val="2"/>
  </w:num>
  <w:num w:numId="5">
    <w:abstractNumId w:val="3"/>
  </w:num>
  <w:num w:numId="6">
    <w:abstractNumId w:val="17"/>
  </w:num>
  <w:num w:numId="7">
    <w:abstractNumId w:val="23"/>
  </w:num>
  <w:num w:numId="8">
    <w:abstractNumId w:val="5"/>
  </w:num>
  <w:num w:numId="9">
    <w:abstractNumId w:val="20"/>
  </w:num>
  <w:num w:numId="10">
    <w:abstractNumId w:val="21"/>
  </w:num>
  <w:num w:numId="11">
    <w:abstractNumId w:val="14"/>
  </w:num>
  <w:num w:numId="12">
    <w:abstractNumId w:val="11"/>
  </w:num>
  <w:num w:numId="13">
    <w:abstractNumId w:val="6"/>
  </w:num>
  <w:num w:numId="14">
    <w:abstractNumId w:val="15"/>
  </w:num>
  <w:num w:numId="15">
    <w:abstractNumId w:val="18"/>
  </w:num>
  <w:num w:numId="16">
    <w:abstractNumId w:val="16"/>
  </w:num>
  <w:num w:numId="17">
    <w:abstractNumId w:val="4"/>
  </w:num>
  <w:num w:numId="18">
    <w:abstractNumId w:val="22"/>
  </w:num>
  <w:num w:numId="19">
    <w:abstractNumId w:val="19"/>
  </w:num>
  <w:num w:numId="20">
    <w:abstractNumId w:val="1"/>
  </w:num>
  <w:num w:numId="21">
    <w:abstractNumId w:val="8"/>
  </w:num>
  <w:num w:numId="22">
    <w:abstractNumId w:val="9"/>
  </w:num>
  <w:num w:numId="23">
    <w:abstractNumId w:val="10"/>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0420"/>
    <w:rsid w:val="000016A4"/>
    <w:rsid w:val="000019DB"/>
    <w:rsid w:val="00001E56"/>
    <w:rsid w:val="0000248E"/>
    <w:rsid w:val="000037B0"/>
    <w:rsid w:val="000047CC"/>
    <w:rsid w:val="000120FD"/>
    <w:rsid w:val="000125B4"/>
    <w:rsid w:val="000207D0"/>
    <w:rsid w:val="00020F03"/>
    <w:rsid w:val="00021831"/>
    <w:rsid w:val="0002383D"/>
    <w:rsid w:val="00026EC9"/>
    <w:rsid w:val="00047E58"/>
    <w:rsid w:val="00056CFE"/>
    <w:rsid w:val="00063230"/>
    <w:rsid w:val="00073D20"/>
    <w:rsid w:val="000749A0"/>
    <w:rsid w:val="000755E1"/>
    <w:rsid w:val="00081F65"/>
    <w:rsid w:val="00084713"/>
    <w:rsid w:val="00085541"/>
    <w:rsid w:val="000869CD"/>
    <w:rsid w:val="00090032"/>
    <w:rsid w:val="00091BDF"/>
    <w:rsid w:val="00093063"/>
    <w:rsid w:val="000A34CE"/>
    <w:rsid w:val="000B0F18"/>
    <w:rsid w:val="000B7395"/>
    <w:rsid w:val="000B748B"/>
    <w:rsid w:val="000C285E"/>
    <w:rsid w:val="000C65E4"/>
    <w:rsid w:val="000D42D9"/>
    <w:rsid w:val="000D7EA0"/>
    <w:rsid w:val="000E2DD3"/>
    <w:rsid w:val="000E507B"/>
    <w:rsid w:val="000F1124"/>
    <w:rsid w:val="00101D6B"/>
    <w:rsid w:val="00101FA9"/>
    <w:rsid w:val="00106B72"/>
    <w:rsid w:val="0011750D"/>
    <w:rsid w:val="001227F9"/>
    <w:rsid w:val="00124AF3"/>
    <w:rsid w:val="001256EE"/>
    <w:rsid w:val="001412DE"/>
    <w:rsid w:val="00141F28"/>
    <w:rsid w:val="00144A4D"/>
    <w:rsid w:val="00151351"/>
    <w:rsid w:val="001544DF"/>
    <w:rsid w:val="0016255B"/>
    <w:rsid w:val="00165A1C"/>
    <w:rsid w:val="00174B39"/>
    <w:rsid w:val="00177150"/>
    <w:rsid w:val="00177A89"/>
    <w:rsid w:val="00181320"/>
    <w:rsid w:val="00182875"/>
    <w:rsid w:val="00183FD8"/>
    <w:rsid w:val="00184D31"/>
    <w:rsid w:val="00184D8A"/>
    <w:rsid w:val="00196948"/>
    <w:rsid w:val="00196A75"/>
    <w:rsid w:val="001A311B"/>
    <w:rsid w:val="001A3771"/>
    <w:rsid w:val="001A431C"/>
    <w:rsid w:val="001A4BBC"/>
    <w:rsid w:val="001A5A2D"/>
    <w:rsid w:val="001B0B71"/>
    <w:rsid w:val="001B2F76"/>
    <w:rsid w:val="001D00B5"/>
    <w:rsid w:val="001D11C1"/>
    <w:rsid w:val="001D3B29"/>
    <w:rsid w:val="001D59C8"/>
    <w:rsid w:val="001E39F6"/>
    <w:rsid w:val="001E4EEB"/>
    <w:rsid w:val="001E6026"/>
    <w:rsid w:val="001F0436"/>
    <w:rsid w:val="001F3696"/>
    <w:rsid w:val="001F37CA"/>
    <w:rsid w:val="001F3E1C"/>
    <w:rsid w:val="001F57CC"/>
    <w:rsid w:val="001F6DF3"/>
    <w:rsid w:val="002016CD"/>
    <w:rsid w:val="002043C4"/>
    <w:rsid w:val="00204B37"/>
    <w:rsid w:val="002119C5"/>
    <w:rsid w:val="002213CE"/>
    <w:rsid w:val="00233070"/>
    <w:rsid w:val="00233DA6"/>
    <w:rsid w:val="00236D60"/>
    <w:rsid w:val="00237E43"/>
    <w:rsid w:val="00244D68"/>
    <w:rsid w:val="00251C9B"/>
    <w:rsid w:val="0025311C"/>
    <w:rsid w:val="00253CED"/>
    <w:rsid w:val="00257F9B"/>
    <w:rsid w:val="00261AF7"/>
    <w:rsid w:val="00261CEB"/>
    <w:rsid w:val="002648DA"/>
    <w:rsid w:val="002679F7"/>
    <w:rsid w:val="0027198B"/>
    <w:rsid w:val="00273FCC"/>
    <w:rsid w:val="002840B6"/>
    <w:rsid w:val="00286C0C"/>
    <w:rsid w:val="00290D5F"/>
    <w:rsid w:val="00292DE8"/>
    <w:rsid w:val="002934D8"/>
    <w:rsid w:val="002938F2"/>
    <w:rsid w:val="002A27E8"/>
    <w:rsid w:val="002A3A34"/>
    <w:rsid w:val="002A52D2"/>
    <w:rsid w:val="002B2479"/>
    <w:rsid w:val="002B286D"/>
    <w:rsid w:val="002B29E6"/>
    <w:rsid w:val="002B7155"/>
    <w:rsid w:val="002C5280"/>
    <w:rsid w:val="002D396D"/>
    <w:rsid w:val="002F1C53"/>
    <w:rsid w:val="002F3939"/>
    <w:rsid w:val="003000D9"/>
    <w:rsid w:val="00304018"/>
    <w:rsid w:val="00341631"/>
    <w:rsid w:val="00351477"/>
    <w:rsid w:val="00354655"/>
    <w:rsid w:val="0035469F"/>
    <w:rsid w:val="00355FE5"/>
    <w:rsid w:val="0035648A"/>
    <w:rsid w:val="00363995"/>
    <w:rsid w:val="00364D20"/>
    <w:rsid w:val="00365B94"/>
    <w:rsid w:val="00366FA9"/>
    <w:rsid w:val="00367A79"/>
    <w:rsid w:val="00370458"/>
    <w:rsid w:val="00387C39"/>
    <w:rsid w:val="0039446E"/>
    <w:rsid w:val="00397E12"/>
    <w:rsid w:val="003A352F"/>
    <w:rsid w:val="003C2D00"/>
    <w:rsid w:val="003C7065"/>
    <w:rsid w:val="003D4EBB"/>
    <w:rsid w:val="003E0A12"/>
    <w:rsid w:val="003F0E5A"/>
    <w:rsid w:val="003F67FB"/>
    <w:rsid w:val="00400194"/>
    <w:rsid w:val="00404BB0"/>
    <w:rsid w:val="004108B6"/>
    <w:rsid w:val="00412A77"/>
    <w:rsid w:val="00432496"/>
    <w:rsid w:val="00434773"/>
    <w:rsid w:val="00440714"/>
    <w:rsid w:val="00447839"/>
    <w:rsid w:val="00447C66"/>
    <w:rsid w:val="00455148"/>
    <w:rsid w:val="00460209"/>
    <w:rsid w:val="00471B34"/>
    <w:rsid w:val="00477EE6"/>
    <w:rsid w:val="004A04D4"/>
    <w:rsid w:val="004A1F80"/>
    <w:rsid w:val="004B7636"/>
    <w:rsid w:val="004D4F3E"/>
    <w:rsid w:val="004E056C"/>
    <w:rsid w:val="004E2817"/>
    <w:rsid w:val="004E331A"/>
    <w:rsid w:val="004E3C0B"/>
    <w:rsid w:val="005016FB"/>
    <w:rsid w:val="00511D17"/>
    <w:rsid w:val="0051699F"/>
    <w:rsid w:val="0052318E"/>
    <w:rsid w:val="00527C09"/>
    <w:rsid w:val="00532A1A"/>
    <w:rsid w:val="0053557E"/>
    <w:rsid w:val="005414A1"/>
    <w:rsid w:val="005428A0"/>
    <w:rsid w:val="005444B5"/>
    <w:rsid w:val="00552C09"/>
    <w:rsid w:val="00552F4F"/>
    <w:rsid w:val="00560D7B"/>
    <w:rsid w:val="005664E4"/>
    <w:rsid w:val="00567A0E"/>
    <w:rsid w:val="00575FCB"/>
    <w:rsid w:val="00580C77"/>
    <w:rsid w:val="00582F7F"/>
    <w:rsid w:val="005908B4"/>
    <w:rsid w:val="005A1D09"/>
    <w:rsid w:val="005C0660"/>
    <w:rsid w:val="005C44B9"/>
    <w:rsid w:val="005C5627"/>
    <w:rsid w:val="005E005D"/>
    <w:rsid w:val="00601DD6"/>
    <w:rsid w:val="00603F71"/>
    <w:rsid w:val="00607F3B"/>
    <w:rsid w:val="00610E7A"/>
    <w:rsid w:val="00612DB4"/>
    <w:rsid w:val="006239FF"/>
    <w:rsid w:val="00633B25"/>
    <w:rsid w:val="006350DF"/>
    <w:rsid w:val="00636760"/>
    <w:rsid w:val="00636BBB"/>
    <w:rsid w:val="00641855"/>
    <w:rsid w:val="006515C9"/>
    <w:rsid w:val="00652318"/>
    <w:rsid w:val="00660597"/>
    <w:rsid w:val="0067005F"/>
    <w:rsid w:val="00693F84"/>
    <w:rsid w:val="006A0B0F"/>
    <w:rsid w:val="006A0D86"/>
    <w:rsid w:val="006A69D1"/>
    <w:rsid w:val="006A7D2A"/>
    <w:rsid w:val="006B062C"/>
    <w:rsid w:val="006B088A"/>
    <w:rsid w:val="006B6D11"/>
    <w:rsid w:val="006C0911"/>
    <w:rsid w:val="006D3905"/>
    <w:rsid w:val="006D46FB"/>
    <w:rsid w:val="006D7146"/>
    <w:rsid w:val="006D78CA"/>
    <w:rsid w:val="006E2C21"/>
    <w:rsid w:val="006F11E4"/>
    <w:rsid w:val="006F385A"/>
    <w:rsid w:val="00702EA2"/>
    <w:rsid w:val="00704930"/>
    <w:rsid w:val="00715E48"/>
    <w:rsid w:val="007250E3"/>
    <w:rsid w:val="00726DCF"/>
    <w:rsid w:val="007325D0"/>
    <w:rsid w:val="00742BA3"/>
    <w:rsid w:val="00746204"/>
    <w:rsid w:val="00747715"/>
    <w:rsid w:val="00750138"/>
    <w:rsid w:val="00753DA3"/>
    <w:rsid w:val="007561D2"/>
    <w:rsid w:val="007629DD"/>
    <w:rsid w:val="007641A5"/>
    <w:rsid w:val="00764F50"/>
    <w:rsid w:val="00770A92"/>
    <w:rsid w:val="00790C65"/>
    <w:rsid w:val="00795ABB"/>
    <w:rsid w:val="0079717B"/>
    <w:rsid w:val="007A1845"/>
    <w:rsid w:val="007A76EC"/>
    <w:rsid w:val="007A7D45"/>
    <w:rsid w:val="007B2C64"/>
    <w:rsid w:val="007B43F7"/>
    <w:rsid w:val="007C0B6C"/>
    <w:rsid w:val="007C1B00"/>
    <w:rsid w:val="007C6A4D"/>
    <w:rsid w:val="007C6D06"/>
    <w:rsid w:val="007D31CE"/>
    <w:rsid w:val="007D5BB7"/>
    <w:rsid w:val="007D6068"/>
    <w:rsid w:val="007E0621"/>
    <w:rsid w:val="007E4E37"/>
    <w:rsid w:val="007F4B07"/>
    <w:rsid w:val="00811796"/>
    <w:rsid w:val="00813245"/>
    <w:rsid w:val="0083488D"/>
    <w:rsid w:val="0083496A"/>
    <w:rsid w:val="00841FCD"/>
    <w:rsid w:val="008431CA"/>
    <w:rsid w:val="00843B71"/>
    <w:rsid w:val="00844092"/>
    <w:rsid w:val="008466C3"/>
    <w:rsid w:val="00851458"/>
    <w:rsid w:val="0085254C"/>
    <w:rsid w:val="00861A47"/>
    <w:rsid w:val="008707FF"/>
    <w:rsid w:val="00870EF0"/>
    <w:rsid w:val="008724E5"/>
    <w:rsid w:val="00886F29"/>
    <w:rsid w:val="008A58AC"/>
    <w:rsid w:val="008B7346"/>
    <w:rsid w:val="008C01D6"/>
    <w:rsid w:val="008C27F7"/>
    <w:rsid w:val="008C5ECC"/>
    <w:rsid w:val="008D3BF7"/>
    <w:rsid w:val="008D7C1E"/>
    <w:rsid w:val="008D7C63"/>
    <w:rsid w:val="008E1C24"/>
    <w:rsid w:val="008E3A53"/>
    <w:rsid w:val="008E4616"/>
    <w:rsid w:val="008F16C6"/>
    <w:rsid w:val="008F2863"/>
    <w:rsid w:val="008F2964"/>
    <w:rsid w:val="008F34A1"/>
    <w:rsid w:val="00905010"/>
    <w:rsid w:val="00907280"/>
    <w:rsid w:val="009121CE"/>
    <w:rsid w:val="009127D8"/>
    <w:rsid w:val="00916B76"/>
    <w:rsid w:val="00921F65"/>
    <w:rsid w:val="00924AE0"/>
    <w:rsid w:val="00927B6A"/>
    <w:rsid w:val="00940659"/>
    <w:rsid w:val="0094353B"/>
    <w:rsid w:val="009502DF"/>
    <w:rsid w:val="00961D6A"/>
    <w:rsid w:val="00971E63"/>
    <w:rsid w:val="00972373"/>
    <w:rsid w:val="0097349C"/>
    <w:rsid w:val="00994E57"/>
    <w:rsid w:val="00997543"/>
    <w:rsid w:val="009A01E4"/>
    <w:rsid w:val="009A5473"/>
    <w:rsid w:val="009B4F53"/>
    <w:rsid w:val="009D4547"/>
    <w:rsid w:val="009D5E38"/>
    <w:rsid w:val="009D7293"/>
    <w:rsid w:val="009F34A4"/>
    <w:rsid w:val="009F3988"/>
    <w:rsid w:val="009F7350"/>
    <w:rsid w:val="00A00D55"/>
    <w:rsid w:val="00A0466B"/>
    <w:rsid w:val="00A06941"/>
    <w:rsid w:val="00A076EA"/>
    <w:rsid w:val="00A150C7"/>
    <w:rsid w:val="00A21E7D"/>
    <w:rsid w:val="00A37990"/>
    <w:rsid w:val="00A519A2"/>
    <w:rsid w:val="00A6002D"/>
    <w:rsid w:val="00A63378"/>
    <w:rsid w:val="00A663E6"/>
    <w:rsid w:val="00A70883"/>
    <w:rsid w:val="00A725EC"/>
    <w:rsid w:val="00A72641"/>
    <w:rsid w:val="00A739BA"/>
    <w:rsid w:val="00A77AEB"/>
    <w:rsid w:val="00A85DF2"/>
    <w:rsid w:val="00A86042"/>
    <w:rsid w:val="00A864A0"/>
    <w:rsid w:val="00A86AB2"/>
    <w:rsid w:val="00A93BE6"/>
    <w:rsid w:val="00AA037F"/>
    <w:rsid w:val="00AA444A"/>
    <w:rsid w:val="00AB1528"/>
    <w:rsid w:val="00AB2CDD"/>
    <w:rsid w:val="00AB3A3D"/>
    <w:rsid w:val="00AB57A2"/>
    <w:rsid w:val="00AC205B"/>
    <w:rsid w:val="00AC2498"/>
    <w:rsid w:val="00AC310D"/>
    <w:rsid w:val="00AE1AA6"/>
    <w:rsid w:val="00AE1B18"/>
    <w:rsid w:val="00AE6C51"/>
    <w:rsid w:val="00AF1C32"/>
    <w:rsid w:val="00AF4E33"/>
    <w:rsid w:val="00AF76C9"/>
    <w:rsid w:val="00B00365"/>
    <w:rsid w:val="00B046CB"/>
    <w:rsid w:val="00B04E9E"/>
    <w:rsid w:val="00B11AE3"/>
    <w:rsid w:val="00B25CEC"/>
    <w:rsid w:val="00B36DA1"/>
    <w:rsid w:val="00B50EF5"/>
    <w:rsid w:val="00B6167A"/>
    <w:rsid w:val="00B64EDE"/>
    <w:rsid w:val="00B72AEE"/>
    <w:rsid w:val="00B76A5E"/>
    <w:rsid w:val="00B90DEF"/>
    <w:rsid w:val="00B973B5"/>
    <w:rsid w:val="00BA06B8"/>
    <w:rsid w:val="00BA111F"/>
    <w:rsid w:val="00BA567B"/>
    <w:rsid w:val="00BB26EF"/>
    <w:rsid w:val="00BD59BD"/>
    <w:rsid w:val="00BE53AD"/>
    <w:rsid w:val="00BE5582"/>
    <w:rsid w:val="00BE5DC0"/>
    <w:rsid w:val="00BE6CE8"/>
    <w:rsid w:val="00BF3DB1"/>
    <w:rsid w:val="00C00085"/>
    <w:rsid w:val="00C0487B"/>
    <w:rsid w:val="00C06B1D"/>
    <w:rsid w:val="00C07A2B"/>
    <w:rsid w:val="00C115DC"/>
    <w:rsid w:val="00C12D34"/>
    <w:rsid w:val="00C13990"/>
    <w:rsid w:val="00C22ABD"/>
    <w:rsid w:val="00C231CB"/>
    <w:rsid w:val="00C23268"/>
    <w:rsid w:val="00C26EE2"/>
    <w:rsid w:val="00C41FDB"/>
    <w:rsid w:val="00C43A6E"/>
    <w:rsid w:val="00C50F2E"/>
    <w:rsid w:val="00C51547"/>
    <w:rsid w:val="00C6478B"/>
    <w:rsid w:val="00C80AD1"/>
    <w:rsid w:val="00C81439"/>
    <w:rsid w:val="00C83F84"/>
    <w:rsid w:val="00CA078D"/>
    <w:rsid w:val="00CA1A5B"/>
    <w:rsid w:val="00CA610F"/>
    <w:rsid w:val="00CA6B0F"/>
    <w:rsid w:val="00CA6FEF"/>
    <w:rsid w:val="00CB0DCC"/>
    <w:rsid w:val="00CB0F37"/>
    <w:rsid w:val="00CB2E29"/>
    <w:rsid w:val="00CB500D"/>
    <w:rsid w:val="00CB644A"/>
    <w:rsid w:val="00CC11F6"/>
    <w:rsid w:val="00CC2BC6"/>
    <w:rsid w:val="00CD3E75"/>
    <w:rsid w:val="00CE2586"/>
    <w:rsid w:val="00CE7C2D"/>
    <w:rsid w:val="00D0103D"/>
    <w:rsid w:val="00D14EFE"/>
    <w:rsid w:val="00D156D1"/>
    <w:rsid w:val="00D215A8"/>
    <w:rsid w:val="00D27505"/>
    <w:rsid w:val="00D404B7"/>
    <w:rsid w:val="00D52EF9"/>
    <w:rsid w:val="00D56CFA"/>
    <w:rsid w:val="00D72D79"/>
    <w:rsid w:val="00D809E5"/>
    <w:rsid w:val="00D81948"/>
    <w:rsid w:val="00D87F17"/>
    <w:rsid w:val="00D9501F"/>
    <w:rsid w:val="00D968A5"/>
    <w:rsid w:val="00DA5DEA"/>
    <w:rsid w:val="00DB47DE"/>
    <w:rsid w:val="00DB4C3E"/>
    <w:rsid w:val="00DB50D5"/>
    <w:rsid w:val="00DB64A3"/>
    <w:rsid w:val="00DC1426"/>
    <w:rsid w:val="00DD15FB"/>
    <w:rsid w:val="00DF182C"/>
    <w:rsid w:val="00DF3DA3"/>
    <w:rsid w:val="00E02452"/>
    <w:rsid w:val="00E031A2"/>
    <w:rsid w:val="00E06A00"/>
    <w:rsid w:val="00E2101A"/>
    <w:rsid w:val="00E22377"/>
    <w:rsid w:val="00E22B99"/>
    <w:rsid w:val="00E258D9"/>
    <w:rsid w:val="00E3489C"/>
    <w:rsid w:val="00E37B70"/>
    <w:rsid w:val="00E423E3"/>
    <w:rsid w:val="00E439CA"/>
    <w:rsid w:val="00E5219B"/>
    <w:rsid w:val="00E62C1E"/>
    <w:rsid w:val="00E64A3A"/>
    <w:rsid w:val="00E707AB"/>
    <w:rsid w:val="00E75D1B"/>
    <w:rsid w:val="00E82327"/>
    <w:rsid w:val="00E824FB"/>
    <w:rsid w:val="00E83CB1"/>
    <w:rsid w:val="00E873BD"/>
    <w:rsid w:val="00E93BA7"/>
    <w:rsid w:val="00EA198F"/>
    <w:rsid w:val="00EB4DDC"/>
    <w:rsid w:val="00EC09DE"/>
    <w:rsid w:val="00EC4117"/>
    <w:rsid w:val="00ED4991"/>
    <w:rsid w:val="00EE542A"/>
    <w:rsid w:val="00EF0BCB"/>
    <w:rsid w:val="00EF0E74"/>
    <w:rsid w:val="00EF16B2"/>
    <w:rsid w:val="00EF3B24"/>
    <w:rsid w:val="00EF7773"/>
    <w:rsid w:val="00EF77E3"/>
    <w:rsid w:val="00F00E8A"/>
    <w:rsid w:val="00F05D28"/>
    <w:rsid w:val="00F07F5E"/>
    <w:rsid w:val="00F1596A"/>
    <w:rsid w:val="00F3150D"/>
    <w:rsid w:val="00F33650"/>
    <w:rsid w:val="00F37172"/>
    <w:rsid w:val="00F43532"/>
    <w:rsid w:val="00F46BAD"/>
    <w:rsid w:val="00F473CB"/>
    <w:rsid w:val="00F50245"/>
    <w:rsid w:val="00F5174F"/>
    <w:rsid w:val="00F5175D"/>
    <w:rsid w:val="00F52083"/>
    <w:rsid w:val="00F55892"/>
    <w:rsid w:val="00F63DDA"/>
    <w:rsid w:val="00F67FF6"/>
    <w:rsid w:val="00F70858"/>
    <w:rsid w:val="00F7397F"/>
    <w:rsid w:val="00F75949"/>
    <w:rsid w:val="00F75CF4"/>
    <w:rsid w:val="00F75FDF"/>
    <w:rsid w:val="00F86365"/>
    <w:rsid w:val="00F90F24"/>
    <w:rsid w:val="00F91D04"/>
    <w:rsid w:val="00F92A1A"/>
    <w:rsid w:val="00F941F0"/>
    <w:rsid w:val="00FA3ED5"/>
    <w:rsid w:val="00FA6805"/>
    <w:rsid w:val="00FA69B1"/>
    <w:rsid w:val="00FB1239"/>
    <w:rsid w:val="00FB79C3"/>
    <w:rsid w:val="00FC639E"/>
    <w:rsid w:val="00FD3721"/>
    <w:rsid w:val="00FE0A85"/>
    <w:rsid w:val="00FE0CFB"/>
    <w:rsid w:val="00FF0B98"/>
    <w:rsid w:val="00FF2B1D"/>
    <w:rsid w:val="00FF2DD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aliases w:val=" Car Car3 Char, Car Car3 Char Char Char Char"/>
    <w:link w:val="CarCar3"/>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qFormat/>
    <w:rsid w:val="005908B4"/>
    <w:pPr>
      <w:ind w:left="720"/>
      <w:contextualSpacing/>
    </w:pPr>
  </w:style>
  <w:style w:type="paragraph" w:customStyle="1" w:styleId="CarCar3">
    <w:name w:val="Car Car3"/>
    <w:aliases w:val=" Car Car3 Char Char"/>
    <w:basedOn w:val="Normal"/>
    <w:link w:val="Hyperlink"/>
    <w:rsid w:val="00233070"/>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styleId="UnresolvedMention">
    <w:name w:val="Unresolved Mention"/>
    <w:basedOn w:val="DefaultParagraphFont"/>
    <w:uiPriority w:val="99"/>
    <w:semiHidden/>
    <w:unhideWhenUsed/>
    <w:rsid w:val="00A864A0"/>
    <w:rPr>
      <w:color w:val="605E5C"/>
      <w:shd w:val="clear" w:color="auto" w:fill="E1DFDD"/>
    </w:rPr>
  </w:style>
  <w:style w:type="character" w:styleId="FollowedHyperlink">
    <w:name w:val="FollowedHyperlink"/>
    <w:basedOn w:val="DefaultParagraphFont"/>
    <w:semiHidden/>
    <w:unhideWhenUsed/>
    <w:rsid w:val="00056CFE"/>
    <w:rPr>
      <w:color w:val="800080" w:themeColor="followedHyperlink"/>
      <w:u w:val="single"/>
    </w:rPr>
  </w:style>
  <w:style w:type="paragraph" w:styleId="Revision">
    <w:name w:val="Revision"/>
    <w:hidden/>
    <w:semiHidden/>
    <w:rsid w:val="000749A0"/>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411284">
      <w:bodyDiv w:val="1"/>
      <w:marLeft w:val="0"/>
      <w:marRight w:val="0"/>
      <w:marTop w:val="0"/>
      <w:marBottom w:val="0"/>
      <w:divBdr>
        <w:top w:val="none" w:sz="0" w:space="0" w:color="auto"/>
        <w:left w:val="none" w:sz="0" w:space="0" w:color="auto"/>
        <w:bottom w:val="none" w:sz="0" w:space="0" w:color="auto"/>
        <w:right w:val="none" w:sz="0" w:space="0" w:color="auto"/>
      </w:divBdr>
    </w:div>
    <w:div w:id="131861350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4.COM/14" TargetMode="External"/><Relationship Id="rId18" Type="http://schemas.openxmlformats.org/officeDocument/2006/relationships/hyperlink" Target="https://ich.unesco.org/en/Decisions/14.COM/10" TargetMode="External"/><Relationship Id="rId26" Type="http://schemas.openxmlformats.org/officeDocument/2006/relationships/hyperlink" Target="https://ich.unesco.org/en/Decisions/14.COM/14" TargetMode="External"/><Relationship Id="rId39" Type="http://schemas.openxmlformats.org/officeDocument/2006/relationships/hyperlink" Target="https://ich.unesco.org/en/Decisions/8.GA/11" TargetMode="External"/><Relationship Id="rId3" Type="http://schemas.openxmlformats.org/officeDocument/2006/relationships/styles" Target="styles.xml"/><Relationship Id="rId21" Type="http://schemas.openxmlformats.org/officeDocument/2006/relationships/hyperlink" Target="https://ich.unesco.org/en/Decisions/12.COM/11" TargetMode="External"/><Relationship Id="rId34" Type="http://schemas.openxmlformats.org/officeDocument/2006/relationships/hyperlink" Target="https://ich.unesco.org/en/Decisions/12.COM/11" TargetMode="External"/><Relationship Id="rId42" Type="http://schemas.openxmlformats.org/officeDocument/2006/relationships/hyperlink" Target="https://ich.unesco.org/en/Decisions/14.COM/14"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ch.unesco.org/doc/src/LHE-21-16.COM_WG-2-EN.docx" TargetMode="External"/><Relationship Id="rId17" Type="http://schemas.openxmlformats.org/officeDocument/2006/relationships/hyperlink" Target="https://ich.unesco.org/en/Decisions/13.COM/10" TargetMode="External"/><Relationship Id="rId25" Type="http://schemas.openxmlformats.org/officeDocument/2006/relationships/hyperlink" Target="https://ich.unesco.org/en/Decisions/14.COM/14" TargetMode="External"/><Relationship Id="rId33" Type="http://schemas.openxmlformats.org/officeDocument/2006/relationships/hyperlink" Target="https://ich.unesco.org/en/Decisions/8.GA/11" TargetMode="External"/><Relationship Id="rId38" Type="http://schemas.openxmlformats.org/officeDocument/2006/relationships/hyperlink" Target="https://ich.unesco.org/en/Decisions/14.COM/14" TargetMode="External"/><Relationship Id="rId46" Type="http://schemas.openxmlformats.org/officeDocument/2006/relationships/hyperlink" Target="https://ich.unesco.org/doc/src/LHE-21-16.COM_WG-8-EN.docx" TargetMode="External"/><Relationship Id="rId2" Type="http://schemas.openxmlformats.org/officeDocument/2006/relationships/numbering" Target="numbering.xml"/><Relationship Id="rId16" Type="http://schemas.openxmlformats.org/officeDocument/2006/relationships/hyperlink" Target="https://ich.unesco.org/en/Decisions/12.COM/11" TargetMode="External"/><Relationship Id="rId20" Type="http://schemas.openxmlformats.org/officeDocument/2006/relationships/hyperlink" Target="https://ich.unesco.org/en/Decisions/8.GA/11" TargetMode="External"/><Relationship Id="rId29" Type="http://schemas.openxmlformats.org/officeDocument/2006/relationships/hyperlink" Target="https://ich.unesco.org/doc/src/LHE-21-16.COM_WG-3-EN.docx" TargetMode="External"/><Relationship Id="rId41" Type="http://schemas.openxmlformats.org/officeDocument/2006/relationships/hyperlink" Target="https://ich.unesco.org/en/Decisions/13.COM/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WG-1-EN.docx" TargetMode="External"/><Relationship Id="rId24" Type="http://schemas.openxmlformats.org/officeDocument/2006/relationships/hyperlink" Target="https://ich.unesco.org/en/Decisions/13.COM/9" TargetMode="External"/><Relationship Id="rId32" Type="http://schemas.openxmlformats.org/officeDocument/2006/relationships/hyperlink" Target="https://ich.unesco.org/doc/src/LHE-21-16.COM_WG-6-EN.docx" TargetMode="External"/><Relationship Id="rId37" Type="http://schemas.openxmlformats.org/officeDocument/2006/relationships/hyperlink" Target="https://ich.unesco.org/en/Decisions/13.COM/9" TargetMode="External"/><Relationship Id="rId40" Type="http://schemas.openxmlformats.org/officeDocument/2006/relationships/hyperlink" Target="https://ich.unesco.org/en/Decisions/12.COM/14" TargetMode="External"/><Relationship Id="rId45" Type="http://schemas.openxmlformats.org/officeDocument/2006/relationships/hyperlink" Target="https://ich.unesco.org/doc/src/LHE-21-16.COM_WG-7-EN.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16.COM_WG-3-EN.docx" TargetMode="External"/><Relationship Id="rId23" Type="http://schemas.openxmlformats.org/officeDocument/2006/relationships/hyperlink" Target="https://ich.unesco.org/en/Decisions/12.COM/14" TargetMode="External"/><Relationship Id="rId28" Type="http://schemas.openxmlformats.org/officeDocument/2006/relationships/hyperlink" Target="https://ich.unesco.org/doc/src/52249-EN.docx" TargetMode="External"/><Relationship Id="rId36" Type="http://schemas.openxmlformats.org/officeDocument/2006/relationships/hyperlink" Target="https://ich.unesco.org/en/Decisions/12.COM/14" TargetMode="External"/><Relationship Id="rId49" Type="http://schemas.openxmlformats.org/officeDocument/2006/relationships/footer" Target="footer1.xml"/><Relationship Id="rId10" Type="http://schemas.openxmlformats.org/officeDocument/2006/relationships/hyperlink" Target="https://ich.unesco.org/en/list-of-participants-part-i-01178" TargetMode="External"/><Relationship Id="rId19" Type="http://schemas.openxmlformats.org/officeDocument/2006/relationships/hyperlink" Target="https://ich.unesco.org/en/Decisions/14.COM/14" TargetMode="External"/><Relationship Id="rId31" Type="http://schemas.openxmlformats.org/officeDocument/2006/relationships/hyperlink" Target="https://ich.unesco.org/doc/src/LHE-21-16.COM_WG-1-EN.docx" TargetMode="External"/><Relationship Id="rId44" Type="http://schemas.openxmlformats.org/officeDocument/2006/relationships/hyperlink" Target="https://ich.unesco.org/en/Decisions/15.COM/8"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doc/src/LHE-21-EXP-7-EN.docx" TargetMode="External"/><Relationship Id="rId22" Type="http://schemas.openxmlformats.org/officeDocument/2006/relationships/hyperlink" Target="https://ich.unesco.org/en/Decisions/12.COM/11.c" TargetMode="External"/><Relationship Id="rId27" Type="http://schemas.openxmlformats.org/officeDocument/2006/relationships/hyperlink" Target="https://ich.unesco.org/en/Decisions/15.COM/8" TargetMode="External"/><Relationship Id="rId30" Type="http://schemas.openxmlformats.org/officeDocument/2006/relationships/hyperlink" Target="https://ich.unesco.org/doc/src/LHE-21-16.COM_WG-4-EN.docx" TargetMode="External"/><Relationship Id="rId35" Type="http://schemas.openxmlformats.org/officeDocument/2006/relationships/hyperlink" Target="https://ich.unesco.org/en/Decisions/12.COM/11.c" TargetMode="External"/><Relationship Id="rId43" Type="http://schemas.openxmlformats.org/officeDocument/2006/relationships/hyperlink" Target="https://ich.unesco.org/en/Decisions/14.COM/14" TargetMode="External"/><Relationship Id="rId48" Type="http://schemas.openxmlformats.org/officeDocument/2006/relationships/header" Target="header2.xml"/><Relationship Id="rId8" Type="http://schemas.openxmlformats.org/officeDocument/2006/relationships/hyperlink" Target="https://ich.unesco.org/en/Decisions/13.COM/6" TargetMode="External"/><Relationship Id="rId5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3853</Words>
  <Characters>21965</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2021-08-31T12:50:00Z</dcterms:created>
  <dcterms:modified xsi:type="dcterms:W3CDTF">2021-09-06T08:52:00Z</dcterms:modified>
</cp:coreProperties>
</file>