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4E529" w14:textId="77777777" w:rsidR="000A0709" w:rsidRPr="00820BA3" w:rsidRDefault="003B31BE" w:rsidP="00886B71">
      <w:pPr>
        <w:pageBreakBefore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  <w:lang w:val="es"/>
        </w:rPr>
        <w:t>Descripción general y justificación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1"/>
        <w:gridCol w:w="6558"/>
        <w:gridCol w:w="1509"/>
      </w:tblGrid>
      <w:tr w:rsidR="005473CF" w:rsidRPr="000C2162" w14:paraId="5B37B8E1" w14:textId="77777777" w:rsidTr="004B4CDA">
        <w:trPr>
          <w:cantSplit/>
        </w:trPr>
        <w:tc>
          <w:tcPr>
            <w:tcW w:w="786" w:type="pct"/>
            <w:shd w:val="clear" w:color="auto" w:fill="auto"/>
          </w:tcPr>
          <w:p w14:paraId="1B97FECF" w14:textId="77777777" w:rsidR="005473CF" w:rsidRPr="00820BA3" w:rsidRDefault="005B0FE5" w:rsidP="00DA2ECC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  <w:lang w:val="es"/>
              </w:rPr>
              <w:t>Indicador</w:t>
            </w:r>
          </w:p>
        </w:tc>
        <w:tc>
          <w:tcPr>
            <w:tcW w:w="4214" w:type="pct"/>
            <w:gridSpan w:val="2"/>
            <w:shd w:val="clear" w:color="auto" w:fill="auto"/>
          </w:tcPr>
          <w:p w14:paraId="3117056B" w14:textId="77777777" w:rsidR="005473CF" w:rsidRPr="000C2162" w:rsidRDefault="0001188E" w:rsidP="00C37B40">
            <w:pPr>
              <w:keepLines/>
              <w:spacing w:before="120"/>
              <w:ind w:left="567" w:hanging="567"/>
              <w:rPr>
                <w:rFonts w:ascii="Arial" w:hAnsi="Arial" w:cs="Arial"/>
                <w:b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Cs w:val="22"/>
                <w:lang w:val="es"/>
              </w:rPr>
              <w:t>3.</w:t>
            </w:r>
            <w:r>
              <w:rPr>
                <w:rFonts w:ascii="Arial" w:hAnsi="Arial" w:cs="Arial"/>
                <w:b/>
                <w:bCs/>
                <w:szCs w:val="22"/>
                <w:lang w:val="es"/>
              </w:rPr>
              <w:tab/>
              <w:t>Grado en el que se ofrece formación dirigida o, impartida por comunidades, grupos, individuos, así como aquellos que trabajen en el ámbito de la cultura y del patrimonio</w:t>
            </w:r>
          </w:p>
        </w:tc>
      </w:tr>
      <w:tr w:rsidR="005B0FE5" w:rsidRPr="000C2162" w14:paraId="2D3D8C26" w14:textId="77777777" w:rsidTr="004B4CDA">
        <w:trPr>
          <w:cantSplit/>
        </w:trPr>
        <w:tc>
          <w:tcPr>
            <w:tcW w:w="786" w:type="pct"/>
            <w:vMerge w:val="restart"/>
            <w:shd w:val="clear" w:color="auto" w:fill="auto"/>
          </w:tcPr>
          <w:p w14:paraId="03BC75DF" w14:textId="77777777" w:rsidR="005B0FE5" w:rsidRPr="00820BA3" w:rsidRDefault="005B0FE5" w:rsidP="00DA2ECC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  <w:lang w:val="es"/>
              </w:rPr>
              <w:t>Factores de evaluación</w:t>
            </w:r>
          </w:p>
        </w:tc>
        <w:tc>
          <w:tcPr>
            <w:tcW w:w="4214" w:type="pct"/>
            <w:gridSpan w:val="2"/>
            <w:shd w:val="clear" w:color="auto" w:fill="auto"/>
          </w:tcPr>
          <w:p w14:paraId="70028F3A" w14:textId="77777777" w:rsidR="005B0FE5" w:rsidRPr="000C2162" w:rsidRDefault="005B0FE5" w:rsidP="00946D71">
            <w:pPr>
              <w:keepLines/>
              <w:spacing w:before="120"/>
              <w:jc w:val="both"/>
              <w:rPr>
                <w:rFonts w:ascii="Arial" w:hAnsi="Arial" w:cs="Arial"/>
                <w:b/>
                <w:szCs w:val="22"/>
                <w:lang w:val="fr-FR"/>
              </w:rPr>
            </w:pPr>
            <w:r>
              <w:rPr>
                <w:rFonts w:ascii="Arial" w:hAnsi="Arial" w:cs="Arial"/>
                <w:szCs w:val="22"/>
                <w:lang w:val="es"/>
              </w:rPr>
              <w:t>Este indicador se evalúa sobre la base de dos factores de ámbito nacional que cada Estado Parte supervisa y notifica:</w:t>
            </w:r>
          </w:p>
        </w:tc>
      </w:tr>
      <w:tr w:rsidR="0001188E" w:rsidRPr="00820BA3" w14:paraId="67A5214D" w14:textId="77777777" w:rsidTr="004B4CDA">
        <w:trPr>
          <w:cantSplit/>
        </w:trPr>
        <w:tc>
          <w:tcPr>
            <w:tcW w:w="786" w:type="pct"/>
            <w:vMerge/>
            <w:shd w:val="clear" w:color="auto" w:fill="auto"/>
          </w:tcPr>
          <w:p w14:paraId="2D364CD2" w14:textId="77777777" w:rsidR="0001188E" w:rsidRPr="000C2162" w:rsidRDefault="0001188E" w:rsidP="0001188E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</w:p>
        </w:tc>
        <w:tc>
          <w:tcPr>
            <w:tcW w:w="3418" w:type="pct"/>
            <w:shd w:val="clear" w:color="auto" w:fill="auto"/>
            <w:vAlign w:val="center"/>
          </w:tcPr>
          <w:p w14:paraId="172DE4EA" w14:textId="77777777" w:rsidR="0001188E" w:rsidRPr="000C2162" w:rsidRDefault="0001188E" w:rsidP="00682321">
            <w:pPr>
              <w:pStyle w:val="ListParagraph"/>
              <w:keepLines/>
              <w:numPr>
                <w:ilvl w:val="1"/>
                <w:numId w:val="74"/>
              </w:numPr>
              <w:spacing w:before="120"/>
              <w:ind w:left="508" w:hanging="508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Los programas de formación, incluidos aquellos que las mismas comunidades impartan, que permitan el fortalecimiento de capacidades sobre el PCI de las comunidades, los grupos y los individuos, sobre una base inclusiva.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56B3A991" w14:textId="77777777" w:rsidR="0001188E" w:rsidRPr="00820BA3" w:rsidRDefault="0001188E" w:rsidP="0001188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 xml:space="preserve">Artículo 14 a)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"/>
              </w:rPr>
              <w:t>ii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"/>
              </w:rPr>
              <w:t>)</w:t>
            </w:r>
          </w:p>
          <w:p w14:paraId="457D013B" w14:textId="77777777" w:rsidR="0001188E" w:rsidRPr="00820BA3" w:rsidRDefault="0001188E" w:rsidP="0001188E">
            <w:pPr>
              <w:keepLines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 xml:space="preserve">DO 82, </w:t>
            </w:r>
            <w:r>
              <w:rPr>
                <w:rFonts w:ascii="Arial" w:hAnsi="Arial" w:cs="Arial"/>
                <w:sz w:val="20"/>
                <w:szCs w:val="20"/>
                <w:lang w:val="es"/>
              </w:rPr>
              <w:br/>
              <w:t xml:space="preserve">DO 153 b), </w:t>
            </w:r>
            <w:r>
              <w:rPr>
                <w:rFonts w:ascii="Arial" w:hAnsi="Arial" w:cs="Arial"/>
                <w:sz w:val="20"/>
                <w:szCs w:val="20"/>
                <w:lang w:val="es"/>
              </w:rPr>
              <w:br/>
              <w:t>DO 155 b)</w:t>
            </w:r>
          </w:p>
        </w:tc>
      </w:tr>
      <w:tr w:rsidR="0001188E" w:rsidRPr="00820BA3" w14:paraId="56B003AE" w14:textId="77777777" w:rsidTr="004B4CDA">
        <w:trPr>
          <w:cantSplit/>
        </w:trPr>
        <w:tc>
          <w:tcPr>
            <w:tcW w:w="786" w:type="pct"/>
            <w:vMerge/>
            <w:shd w:val="clear" w:color="auto" w:fill="auto"/>
          </w:tcPr>
          <w:p w14:paraId="44FB8441" w14:textId="77777777" w:rsidR="0001188E" w:rsidRPr="00820BA3" w:rsidRDefault="0001188E" w:rsidP="0001188E">
            <w:pPr>
              <w:spacing w:before="12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418" w:type="pct"/>
            <w:shd w:val="clear" w:color="auto" w:fill="auto"/>
            <w:vAlign w:val="center"/>
          </w:tcPr>
          <w:p w14:paraId="000D8011" w14:textId="77777777" w:rsidR="0001188E" w:rsidRPr="000C2162" w:rsidRDefault="0001188E" w:rsidP="00682321">
            <w:pPr>
              <w:pStyle w:val="ListParagraph"/>
              <w:keepLines/>
              <w:numPr>
                <w:ilvl w:val="1"/>
                <w:numId w:val="74"/>
              </w:numPr>
              <w:spacing w:before="120"/>
              <w:ind w:left="508" w:hanging="508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Los programas de formación que permitan el fortalecimiento de capacidades sobre el PCI destinado a aquellas personas que trabajen en el ámbito de la cultura y del patrimonio, sobre una base inclusiva.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20F6C679" w14:textId="77777777" w:rsidR="0001188E" w:rsidRPr="00820BA3" w:rsidRDefault="0001188E" w:rsidP="0001188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 xml:space="preserve">Artículo 14 a)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"/>
              </w:rPr>
              <w:t>iii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"/>
              </w:rPr>
              <w:t>)</w:t>
            </w:r>
          </w:p>
          <w:p w14:paraId="3628CF93" w14:textId="77777777" w:rsidR="0001188E" w:rsidRPr="00820BA3" w:rsidRDefault="0001188E" w:rsidP="0001188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DO 153 b)</w:t>
            </w:r>
          </w:p>
        </w:tc>
      </w:tr>
      <w:tr w:rsidR="005473CF" w:rsidRPr="000C2162" w14:paraId="7C1FDAC4" w14:textId="77777777" w:rsidTr="004B4CDA">
        <w:trPr>
          <w:cantSplit/>
        </w:trPr>
        <w:tc>
          <w:tcPr>
            <w:tcW w:w="786" w:type="pct"/>
            <w:shd w:val="clear" w:color="auto" w:fill="auto"/>
          </w:tcPr>
          <w:p w14:paraId="398A1CC7" w14:textId="77777777" w:rsidR="005473CF" w:rsidRPr="000C2162" w:rsidRDefault="005473CF" w:rsidP="005473CF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Cs w:val="22"/>
                <w:lang w:val="es"/>
              </w:rPr>
              <w:t>Relación con los ODS y otros indicadores</w:t>
            </w:r>
          </w:p>
        </w:tc>
        <w:tc>
          <w:tcPr>
            <w:tcW w:w="4214" w:type="pct"/>
            <w:gridSpan w:val="2"/>
            <w:shd w:val="clear" w:color="auto" w:fill="auto"/>
          </w:tcPr>
          <w:p w14:paraId="027ECDB9" w14:textId="33DE8B0A" w:rsidR="005473CF" w:rsidRPr="000C2162" w:rsidRDefault="005473CF" w:rsidP="005473CF">
            <w:pPr>
              <w:keepLines/>
              <w:spacing w:before="120"/>
              <w:jc w:val="both"/>
              <w:rPr>
                <w:rFonts w:ascii="Arial" w:hAnsi="Arial" w:cs="Arial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Cs w:val="22"/>
                <w:lang w:val="es"/>
              </w:rPr>
              <w:t xml:space="preserve">Objetivos de Desarrollo Sostenible: </w:t>
            </w:r>
            <w:r>
              <w:rPr>
                <w:rFonts w:ascii="Arial" w:hAnsi="Arial" w:cs="Arial"/>
                <w:szCs w:val="22"/>
                <w:lang w:val="es"/>
              </w:rPr>
              <w:t>Como todos los indicadores, responde a la meta 11.4 de los ODS, destinada a «redoblar los esfuerzos para proteger y salvaguardar el patrimonio cultural y natural del mundo». Si un Estado en desarrollo se beneficia del apoyo internacional para sus esfuerzos de creación de capacidades, este indicador también responde a la meta 17.9 de los ODS, que se centra en el apoyo internacional para realizar actividades de creación de capacidad eficaces y específicas que respalden la aplicación nacional de los ODS. Al igual que el indicador 2, este complementa la meta 4.7 de los ODS, que se refiere a «asegurar que todos los alumnos adquieran los conocimientos teóricos y prácticos necesarios para promover el desarrollo sostenible</w:t>
            </w:r>
            <w:proofErr w:type="gramStart"/>
            <w:r>
              <w:rPr>
                <w:rFonts w:ascii="Arial" w:hAnsi="Arial" w:cs="Arial"/>
                <w:szCs w:val="22"/>
                <w:lang w:val="es"/>
              </w:rPr>
              <w:t>...[</w:t>
            </w:r>
            <w:proofErr w:type="gramEnd"/>
            <w:r>
              <w:rPr>
                <w:rFonts w:ascii="Arial" w:hAnsi="Arial" w:cs="Arial"/>
                <w:szCs w:val="22"/>
                <w:lang w:val="es"/>
              </w:rPr>
              <w:t>en particular] la valoración de la contribución de la cultura al desarrollo sostenible».</w:t>
            </w:r>
          </w:p>
          <w:p w14:paraId="55A6D400" w14:textId="015CDFB6" w:rsidR="00AE166B" w:rsidRPr="000C2162" w:rsidRDefault="005473CF" w:rsidP="00FA32B1">
            <w:pPr>
              <w:keepLines/>
              <w:spacing w:before="120"/>
              <w:jc w:val="both"/>
              <w:rPr>
                <w:rFonts w:ascii="Arial" w:hAnsi="Arial" w:cs="Arial"/>
                <w:bCs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Cs w:val="22"/>
                <w:lang w:val="es"/>
              </w:rPr>
              <w:t>Relación con otros indicadores:</w:t>
            </w:r>
            <w:r>
              <w:rPr>
                <w:rFonts w:ascii="Arial" w:hAnsi="Arial" w:cs="Arial"/>
                <w:szCs w:val="22"/>
                <w:lang w:val="es"/>
              </w:rPr>
              <w:t xml:space="preserve"> Si bien el indicador 2 se centra en las instituciones, los órganos y otras organizaciones que ofrecen programas de creación de capacidades en materia de salvaguardia y gestión del PCI, este indicador se centra en las personas a las que se dirigen esos programas. La atención que este indicador presta al fortalecimiento de capacidades para la salvaguardia y gestión del PCI lo diferencia de los indicadores 4, 5 y 6, que están más orientados al respeto, la práctica y la transmisión del PCI.</w:t>
            </w:r>
          </w:p>
        </w:tc>
      </w:tr>
      <w:tr w:rsidR="00896177" w:rsidRPr="000C2162" w14:paraId="4B89ACFE" w14:textId="77777777" w:rsidTr="004B4CDA">
        <w:trPr>
          <w:cantSplit/>
        </w:trPr>
        <w:tc>
          <w:tcPr>
            <w:tcW w:w="786" w:type="pct"/>
            <w:shd w:val="clear" w:color="auto" w:fill="auto"/>
          </w:tcPr>
          <w:p w14:paraId="6D188F15" w14:textId="77777777" w:rsidR="00896177" w:rsidRPr="00820BA3" w:rsidRDefault="002C28BA" w:rsidP="00A7283F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  <w:lang w:val="es"/>
              </w:rPr>
              <w:t>Justificación de las medidas</w:t>
            </w:r>
          </w:p>
        </w:tc>
        <w:tc>
          <w:tcPr>
            <w:tcW w:w="4214" w:type="pct"/>
            <w:gridSpan w:val="2"/>
            <w:shd w:val="clear" w:color="auto" w:fill="auto"/>
          </w:tcPr>
          <w:p w14:paraId="6235F876" w14:textId="440E7BB9" w:rsidR="00704766" w:rsidRPr="000C2162" w:rsidRDefault="00FC75EF" w:rsidP="00270AC0">
            <w:pPr>
              <w:keepLines/>
              <w:spacing w:before="120"/>
              <w:jc w:val="both"/>
              <w:rPr>
                <w:rFonts w:asciiTheme="minorBidi" w:hAnsiTheme="minorBidi" w:cstheme="minorBidi"/>
                <w:szCs w:val="22"/>
                <w:lang w:val="fr-FR"/>
              </w:rPr>
            </w:pPr>
            <w:r>
              <w:rPr>
                <w:rFonts w:asciiTheme="minorBidi" w:hAnsiTheme="minorBidi" w:cstheme="minorBidi"/>
                <w:szCs w:val="22"/>
                <w:lang w:val="es"/>
              </w:rPr>
              <w:t xml:space="preserve">La Convención destaca la importancia de fortalecer las capacidades tanto de las comunidades y grupos interesados (Artículo 14 a) </w:t>
            </w:r>
            <w:proofErr w:type="spellStart"/>
            <w:r>
              <w:rPr>
                <w:rFonts w:asciiTheme="minorBidi" w:hAnsiTheme="minorBidi" w:cstheme="minorBidi"/>
                <w:szCs w:val="22"/>
                <w:lang w:val="es"/>
              </w:rPr>
              <w:t>ii</w:t>
            </w:r>
            <w:proofErr w:type="spellEnd"/>
            <w:r>
              <w:rPr>
                <w:rFonts w:asciiTheme="minorBidi" w:hAnsiTheme="minorBidi" w:cstheme="minorBidi"/>
                <w:szCs w:val="22"/>
                <w:lang w:val="es"/>
              </w:rPr>
              <w:t xml:space="preserve">)) como de los que participan profesionalmente en la salvaguardia y la gestión del PCI (Artículo 14 a) </w:t>
            </w:r>
            <w:proofErr w:type="spellStart"/>
            <w:r>
              <w:rPr>
                <w:rFonts w:asciiTheme="minorBidi" w:hAnsiTheme="minorBidi" w:cstheme="minorBidi"/>
                <w:szCs w:val="22"/>
                <w:lang w:val="es"/>
              </w:rPr>
              <w:t>iii</w:t>
            </w:r>
            <w:proofErr w:type="spellEnd"/>
            <w:r>
              <w:rPr>
                <w:rFonts w:asciiTheme="minorBidi" w:hAnsiTheme="minorBidi" w:cstheme="minorBidi"/>
                <w:szCs w:val="22"/>
                <w:lang w:val="es"/>
              </w:rPr>
              <w:t>)). Para lograr que las comunidades, los grupos y los individuos participen en la mayor medida posible en la salvaguardia y se involucren activamente en su gestión (Artículo 15), es posible que necesiten adquirir competencias y métodos especializados que actualmente no poseen. Del mismo modo, puede que los profesionales que trabajan en los ámbitos de la cultura y el patrimonio cuenten con amplios conocimientos y experiencia que respalden su labor; sin embargo, podrían carecer de conocimientos sobre los enfoques especializados adaptados a la salvaguardia y la gestión del PCI. Podría ser pertinente dirigirse a los destinatarios específicos involucrados directamente en el PCI, a la vez que se tiene en cuenta la importancia general de la inclusión en las actividades de fortalecimiento de capacidades.</w:t>
            </w:r>
          </w:p>
        </w:tc>
      </w:tr>
      <w:tr w:rsidR="00704766" w:rsidRPr="00820BA3" w14:paraId="782AE31E" w14:textId="77777777" w:rsidTr="004B4CDA">
        <w:trPr>
          <w:cantSplit/>
        </w:trPr>
        <w:tc>
          <w:tcPr>
            <w:tcW w:w="786" w:type="pct"/>
            <w:shd w:val="clear" w:color="auto" w:fill="auto"/>
          </w:tcPr>
          <w:p w14:paraId="53862DDA" w14:textId="77777777" w:rsidR="00704766" w:rsidRPr="00820BA3" w:rsidRDefault="00704766" w:rsidP="00BE5B3F">
            <w:pPr>
              <w:spacing w:before="120" w:after="60"/>
              <w:jc w:val="both"/>
              <w:rPr>
                <w:rFonts w:asciiTheme="minorBidi" w:hAnsiTheme="minorBidi" w:cstheme="minorBidi"/>
                <w:b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Cs w:val="22"/>
                <w:lang w:val="es"/>
              </w:rPr>
              <w:lastRenderedPageBreak/>
              <w:t>Términos clave</w:t>
            </w:r>
          </w:p>
        </w:tc>
        <w:tc>
          <w:tcPr>
            <w:tcW w:w="4214" w:type="pct"/>
            <w:gridSpan w:val="2"/>
            <w:shd w:val="clear" w:color="auto" w:fill="auto"/>
          </w:tcPr>
          <w:p w14:paraId="5D99EF1E" w14:textId="77777777" w:rsidR="00C42273" w:rsidRPr="00820BA3" w:rsidRDefault="00C42273" w:rsidP="00704766">
            <w:pPr>
              <w:pStyle w:val="ListParagraph"/>
              <w:numPr>
                <w:ilvl w:val="0"/>
                <w:numId w:val="71"/>
              </w:numPr>
              <w:spacing w:before="120" w:after="120"/>
              <w:ind w:left="714" w:hanging="357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val="es"/>
              </w:rPr>
              <w:t>Formación</w:t>
            </w:r>
          </w:p>
          <w:p w14:paraId="75773374" w14:textId="77777777" w:rsidR="00235CD0" w:rsidRPr="00845AD9" w:rsidRDefault="00235CD0" w:rsidP="00235CD0">
            <w:pPr>
              <w:pStyle w:val="ListParagraph"/>
              <w:numPr>
                <w:ilvl w:val="0"/>
                <w:numId w:val="71"/>
              </w:numPr>
              <w:spacing w:before="120" w:after="120"/>
              <w:ind w:left="714" w:hanging="357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val="es"/>
              </w:rPr>
              <w:t>Fortalecimiento de capacidades</w:t>
            </w:r>
          </w:p>
          <w:p w14:paraId="36C866A4" w14:textId="71657B89" w:rsidR="00820BA3" w:rsidRPr="000C2162" w:rsidRDefault="0001188E" w:rsidP="00235CD0">
            <w:pPr>
              <w:pStyle w:val="ListParagraph"/>
              <w:numPr>
                <w:ilvl w:val="0"/>
                <w:numId w:val="71"/>
              </w:numPr>
              <w:spacing w:before="120" w:after="120"/>
              <w:ind w:left="714" w:hanging="357"/>
              <w:jc w:val="both"/>
              <w:rPr>
                <w:rFonts w:asciiTheme="minorBidi" w:hAnsiTheme="minorBidi" w:cstheme="minorBidi"/>
                <w:lang w:val="fr-FR"/>
              </w:rPr>
            </w:pPr>
            <w:r>
              <w:rPr>
                <w:rFonts w:asciiTheme="minorBidi" w:hAnsiTheme="minorBidi" w:cstheme="minorBidi"/>
                <w:lang w:val="es"/>
              </w:rPr>
              <w:t>Comunidades, grupos y, en algunos casos, individuos</w:t>
            </w:r>
          </w:p>
          <w:p w14:paraId="3D080815" w14:textId="77777777" w:rsidR="0001188E" w:rsidRPr="00820BA3" w:rsidRDefault="0001188E" w:rsidP="00704766">
            <w:pPr>
              <w:pStyle w:val="ListParagraph"/>
              <w:numPr>
                <w:ilvl w:val="0"/>
                <w:numId w:val="71"/>
              </w:numPr>
              <w:spacing w:before="120" w:after="120"/>
              <w:ind w:left="714" w:hanging="357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val="es"/>
              </w:rPr>
              <w:t>Inclusivo/de manera inclusiva</w:t>
            </w:r>
          </w:p>
        </w:tc>
      </w:tr>
    </w:tbl>
    <w:p w14:paraId="2057FFC5" w14:textId="77777777" w:rsidR="0054175C" w:rsidRPr="00820BA3" w:rsidRDefault="0054175C" w:rsidP="0054175C">
      <w:pPr>
        <w:jc w:val="center"/>
        <w:rPr>
          <w:rFonts w:ascii="Arial" w:hAnsi="Arial" w:cs="Arial"/>
          <w:b/>
          <w:sz w:val="24"/>
        </w:rPr>
        <w:sectPr w:rsidR="0054175C" w:rsidRPr="00820BA3" w:rsidSect="000F25BA">
          <w:headerReference w:type="default" r:id="rId8"/>
          <w:footerReference w:type="default" r:id="rId9"/>
          <w:pgSz w:w="11906" w:h="16838" w:code="9"/>
          <w:pgMar w:top="1418" w:right="1134" w:bottom="1134" w:left="1134" w:header="397" w:footer="284" w:gutter="0"/>
          <w:cols w:space="708"/>
          <w:docGrid w:linePitch="360"/>
        </w:sectPr>
      </w:pPr>
    </w:p>
    <w:p w14:paraId="6AFBE46F" w14:textId="77777777" w:rsidR="0054175C" w:rsidRPr="000C2162" w:rsidRDefault="0054175C" w:rsidP="00704766">
      <w:pPr>
        <w:jc w:val="center"/>
        <w:rPr>
          <w:rFonts w:ascii="Arial" w:hAnsi="Arial" w:cs="Arial"/>
          <w:b/>
          <w:sz w:val="24"/>
          <w:lang w:val="fr-FR"/>
        </w:rPr>
      </w:pPr>
      <w:r>
        <w:rPr>
          <w:rFonts w:ascii="Arial" w:hAnsi="Arial" w:cs="Arial"/>
          <w:b/>
          <w:bCs/>
          <w:sz w:val="24"/>
          <w:lang w:val="es"/>
        </w:rPr>
        <w:t>Orientación específica sobre el seguimiento y la presentación de informes periódicos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2"/>
        <w:gridCol w:w="8116"/>
      </w:tblGrid>
      <w:tr w:rsidR="009C0510" w:rsidRPr="000C2162" w14:paraId="037AF645" w14:textId="77777777" w:rsidTr="000C2162">
        <w:tc>
          <w:tcPr>
            <w:tcW w:w="785" w:type="pct"/>
            <w:shd w:val="clear" w:color="auto" w:fill="auto"/>
          </w:tcPr>
          <w:p w14:paraId="5C77552F" w14:textId="77777777" w:rsidR="002C28BA" w:rsidRPr="00820BA3" w:rsidRDefault="002C28BA" w:rsidP="006B0DB6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  <w:lang w:val="es"/>
              </w:rPr>
              <w:t>Ventajas del seguimiento</w:t>
            </w:r>
          </w:p>
        </w:tc>
        <w:tc>
          <w:tcPr>
            <w:tcW w:w="4215" w:type="pct"/>
            <w:shd w:val="clear" w:color="auto" w:fill="auto"/>
          </w:tcPr>
          <w:p w14:paraId="690BC46A" w14:textId="014E4287" w:rsidR="002C28BA" w:rsidRPr="000C2162" w:rsidRDefault="001568B6" w:rsidP="00270AC0">
            <w:pPr>
              <w:keepLines/>
              <w:spacing w:before="120"/>
              <w:jc w:val="both"/>
              <w:rPr>
                <w:rFonts w:ascii="Arial" w:hAnsi="Arial" w:cs="Arial"/>
                <w:bCs/>
                <w:szCs w:val="22"/>
                <w:lang w:val="fr-FR"/>
              </w:rPr>
            </w:pPr>
            <w:r>
              <w:rPr>
                <w:rFonts w:ascii="Arial" w:hAnsi="Arial" w:cs="Arial"/>
                <w:szCs w:val="22"/>
                <w:lang w:val="es"/>
              </w:rPr>
              <w:t>Mientras que el indicador 2 se centra en la disponibilidad de programas de creación de capacidades, el indicador 3 se centra en determinar si dichos programas están llegando eficazmente a los distintos públicos destinatarios. Así pues, el seguimiento a nivel nacional ofrece información de interés tanto a aquellos que organizan los programas como a los funcionarios del Estado (que en algunos casos los financian). Dicha información arroja luz sobre la medida en que realmente ofrecen una formación que llega al público objetivo y sobre si se deben realizar ajustes para responder mejor a las necesidades de destinatarios específicos. El seguimiento y la presentación de informes a nivel mundial pueden ayudar a identificar buenos modelos para la prestación eficaz de servicios de fortalecimiento de capacidades, así como ayudar a otros Estados a conocer los enfoques y los métodos que han demostrado su eficacia.</w:t>
            </w:r>
          </w:p>
        </w:tc>
      </w:tr>
      <w:tr w:rsidR="0054175C" w:rsidRPr="000C2162" w14:paraId="20A7E499" w14:textId="77777777" w:rsidTr="000C2162">
        <w:tc>
          <w:tcPr>
            <w:tcW w:w="785" w:type="pct"/>
            <w:shd w:val="clear" w:color="auto" w:fill="auto"/>
          </w:tcPr>
          <w:p w14:paraId="1F466DCA" w14:textId="77777777" w:rsidR="0054175C" w:rsidRPr="000C2162" w:rsidRDefault="0054175C" w:rsidP="0054175C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Cs w:val="22"/>
                <w:lang w:val="es"/>
              </w:rPr>
              <w:t>Fuentes y recopilación de información</w:t>
            </w:r>
          </w:p>
        </w:tc>
        <w:tc>
          <w:tcPr>
            <w:tcW w:w="4215" w:type="pct"/>
            <w:shd w:val="clear" w:color="auto" w:fill="auto"/>
          </w:tcPr>
          <w:p w14:paraId="6BEEA51D" w14:textId="57FC77C3" w:rsidR="0054175C" w:rsidRPr="000C2162" w:rsidRDefault="00E2528B" w:rsidP="0054175C">
            <w:pPr>
              <w:spacing w:before="120"/>
              <w:jc w:val="both"/>
              <w:rPr>
                <w:rFonts w:ascii="Arial" w:hAnsi="Arial" w:cs="Arial"/>
                <w:szCs w:val="22"/>
                <w:lang w:val="fr-FR"/>
              </w:rPr>
            </w:pPr>
            <w:r>
              <w:rPr>
                <w:rFonts w:ascii="Arial" w:hAnsi="Arial" w:cs="Arial"/>
                <w:szCs w:val="22"/>
                <w:lang w:val="es"/>
              </w:rPr>
              <w:t>Si se dispone de ellos, los datos desagregados sobre los receptores y los beneficiarios de los programas y actividades de formación son una valiosa fuente de información. Suelen encontrarse en los informes que se presentan una vez finalizados los programas de formación, ya sea para los socios o para el público en general. Idealmente, tales informes identificarían si los individuos que reciben la formación son miembros de comunidades y grupos (factor de evaluación 3.1) o si están involucrados desde un punto de vista profesional en la cultura y el patrimonio (factor de evaluación 3.2). Puede hacerse un seguimiento de la inclusión mediante datos que distingan a los participantes por edad, género, idioma (si es pertinente), etnia, etc. Cuando sea posible, el seguimiento a medio y largo plazo de los participantes puede determinar en qué medida han utilizado las competencias y los conocimientos adquiridos durante los programas de formación.</w:t>
            </w:r>
          </w:p>
          <w:p w14:paraId="3D41355C" w14:textId="77777777" w:rsidR="0054175C" w:rsidRPr="00820BA3" w:rsidRDefault="00BE5B3F" w:rsidP="00704766">
            <w:pPr>
              <w:keepNext/>
              <w:spacing w:before="120" w:after="6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  <w:lang w:val="es"/>
              </w:rPr>
              <w:t>Posibles fuentes de información</w:t>
            </w:r>
          </w:p>
          <w:p w14:paraId="09A8CC96" w14:textId="77777777" w:rsidR="0054175C" w:rsidRPr="000C2162" w:rsidRDefault="00623AD9" w:rsidP="00BE5B3F">
            <w:pPr>
              <w:pStyle w:val="ListParagraph"/>
              <w:numPr>
                <w:ilvl w:val="0"/>
                <w:numId w:val="73"/>
              </w:numPr>
              <w:spacing w:before="12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es"/>
              </w:rPr>
              <w:t>Informes de proyectos y listas de participantes en programas y actividades de formación</w:t>
            </w:r>
          </w:p>
          <w:p w14:paraId="2BBD58E1" w14:textId="77777777" w:rsidR="00E17EE8" w:rsidRPr="000C2162" w:rsidRDefault="00623AD9" w:rsidP="00E17EE8">
            <w:pPr>
              <w:pStyle w:val="ListParagraph"/>
              <w:numPr>
                <w:ilvl w:val="0"/>
                <w:numId w:val="73"/>
              </w:numPr>
              <w:spacing w:before="12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es"/>
              </w:rPr>
              <w:t>Evaluaciones de los participantes en la formación (al final de la formación y, si es posible, más adelante)</w:t>
            </w:r>
          </w:p>
          <w:p w14:paraId="1A078708" w14:textId="77777777" w:rsidR="00156D7B" w:rsidRPr="00820BA3" w:rsidRDefault="00156D7B" w:rsidP="00E17EE8">
            <w:pPr>
              <w:pStyle w:val="ListParagraph"/>
              <w:numPr>
                <w:ilvl w:val="0"/>
                <w:numId w:val="73"/>
              </w:num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Información recopilada por las ONG y las organizaciones comunitarias</w:t>
            </w:r>
          </w:p>
          <w:p w14:paraId="2DD408D6" w14:textId="77777777" w:rsidR="00623AD9" w:rsidRPr="000C2162" w:rsidRDefault="00623AD9" w:rsidP="00BE5B3F">
            <w:pPr>
              <w:pStyle w:val="ListParagraph"/>
              <w:numPr>
                <w:ilvl w:val="0"/>
                <w:numId w:val="73"/>
              </w:numPr>
              <w:spacing w:before="12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es"/>
              </w:rPr>
              <w:t>Cobertura mediática de los talleres y las actividades de formación</w:t>
            </w:r>
          </w:p>
          <w:p w14:paraId="3A63C5CC" w14:textId="77777777" w:rsidR="00893297" w:rsidRPr="000C2162" w:rsidRDefault="00893297" w:rsidP="00893297">
            <w:pPr>
              <w:pStyle w:val="ListParagraph"/>
              <w:numPr>
                <w:ilvl w:val="0"/>
                <w:numId w:val="73"/>
              </w:numPr>
              <w:spacing w:before="12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es"/>
              </w:rPr>
              <w:t>Estudios sobre egresados para evaluar cómo están utilizando los conocimientos y habilidades que adquirieron mediante una formación específica</w:t>
            </w:r>
          </w:p>
        </w:tc>
      </w:tr>
    </w:tbl>
    <w:p w14:paraId="55EE2B3C" w14:textId="77777777" w:rsidR="00320242" w:rsidRPr="00820BA3" w:rsidRDefault="00320242" w:rsidP="00A5709F">
      <w:pPr>
        <w:rPr>
          <w:rFonts w:ascii="Arial" w:hAnsi="Arial" w:cs="Arial"/>
        </w:rPr>
      </w:pPr>
      <w:bookmarkStart w:id="0" w:name="_GoBack"/>
      <w:bookmarkEnd w:id="0"/>
    </w:p>
    <w:sectPr w:rsidR="00320242" w:rsidRPr="00820BA3" w:rsidSect="0054175C">
      <w:type w:val="continuous"/>
      <w:pgSz w:w="11906" w:h="16838" w:code="9"/>
      <w:pgMar w:top="1418" w:right="1134" w:bottom="1134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B8A5B" w14:textId="77777777" w:rsidR="00E82F7E" w:rsidRDefault="00E82F7E" w:rsidP="002938F2">
      <w:r>
        <w:separator/>
      </w:r>
    </w:p>
    <w:p w14:paraId="2617B2D5" w14:textId="77777777" w:rsidR="00E82F7E" w:rsidRDefault="00E82F7E"/>
  </w:endnote>
  <w:endnote w:type="continuationSeparator" w:id="0">
    <w:p w14:paraId="4F77043F" w14:textId="77777777" w:rsidR="00E82F7E" w:rsidRDefault="00E82F7E" w:rsidP="002938F2">
      <w:r>
        <w:continuationSeparator/>
      </w:r>
    </w:p>
    <w:p w14:paraId="23EAC5EC" w14:textId="77777777" w:rsidR="00E82F7E" w:rsidRDefault="00E82F7E"/>
  </w:endnote>
  <w:endnote w:type="continuationNotice" w:id="1">
    <w:p w14:paraId="2121546B" w14:textId="77777777" w:rsidR="00E82F7E" w:rsidRDefault="00E82F7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F1FD5" w14:textId="59F4ABE5" w:rsidR="00C04344" w:rsidRPr="000A0709" w:rsidRDefault="00A147CF" w:rsidP="000A0709">
    <w:pPr>
      <w:pStyle w:val="Footer"/>
      <w:jc w:val="center"/>
      <w:rPr>
        <w:rFonts w:ascii="Arial" w:hAnsi="Arial"/>
      </w:rPr>
    </w:pPr>
    <w:r>
      <w:rPr>
        <w:rFonts w:ascii="Arial" w:hAnsi="Arial" w:cs="Arial"/>
        <w:lang w:val="es"/>
      </w:rPr>
      <w:fldChar w:fldCharType="begin"/>
    </w:r>
    <w:r>
      <w:rPr>
        <w:rFonts w:ascii="Arial" w:hAnsi="Arial" w:cs="Arial"/>
        <w:lang w:val="es"/>
      </w:rPr>
      <w:instrText xml:space="preserve"> PAGE   \* MERGEFORMAT </w:instrText>
    </w:r>
    <w:r>
      <w:rPr>
        <w:rFonts w:ascii="Arial" w:hAnsi="Arial" w:cs="Arial"/>
        <w:lang w:val="es"/>
      </w:rPr>
      <w:fldChar w:fldCharType="separate"/>
    </w:r>
    <w:r>
      <w:rPr>
        <w:rFonts w:ascii="Arial" w:hAnsi="Arial" w:cs="Arial"/>
        <w:noProof/>
        <w:lang w:val="es"/>
      </w:rPr>
      <w:t>1</w:t>
    </w:r>
    <w:r>
      <w:rPr>
        <w:rFonts w:ascii="Arial" w:hAnsi="Arial" w:cs="Arial"/>
        <w:noProof/>
        <w:lang w:val="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36DE6" w14:textId="77777777" w:rsidR="00E82F7E" w:rsidRDefault="00E82F7E" w:rsidP="002938F2">
      <w:r>
        <w:separator/>
      </w:r>
    </w:p>
  </w:footnote>
  <w:footnote w:type="continuationSeparator" w:id="0">
    <w:p w14:paraId="02466223" w14:textId="77777777" w:rsidR="00E82F7E" w:rsidRDefault="00E82F7E" w:rsidP="002938F2">
      <w:r>
        <w:continuationSeparator/>
      </w:r>
    </w:p>
    <w:p w14:paraId="612F831F" w14:textId="77777777" w:rsidR="00E82F7E" w:rsidRDefault="00E82F7E"/>
  </w:footnote>
  <w:footnote w:type="continuationNotice" w:id="1">
    <w:p w14:paraId="2CF0D695" w14:textId="77777777" w:rsidR="00E82F7E" w:rsidRDefault="00E82F7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AC11E" w14:textId="77777777" w:rsidR="00AD5062" w:rsidRDefault="00AD50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709"/>
    <w:multiLevelType w:val="multilevel"/>
    <w:tmpl w:val="DBAE2B3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D6F3D"/>
    <w:multiLevelType w:val="multilevel"/>
    <w:tmpl w:val="850A45F8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E173312"/>
    <w:multiLevelType w:val="multilevel"/>
    <w:tmpl w:val="FA76023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F7F20F3"/>
    <w:multiLevelType w:val="multilevel"/>
    <w:tmpl w:val="69DC8654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13D0554B"/>
    <w:multiLevelType w:val="multilevel"/>
    <w:tmpl w:val="EBF25D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6" w15:restartNumberingAfterBreak="0">
    <w:nsid w:val="143607F2"/>
    <w:multiLevelType w:val="multilevel"/>
    <w:tmpl w:val="E5CE934C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7" w15:restartNumberingAfterBreak="0">
    <w:nsid w:val="14791B11"/>
    <w:multiLevelType w:val="hybridMultilevel"/>
    <w:tmpl w:val="354AE31A"/>
    <w:lvl w:ilvl="0" w:tplc="FC362CB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Unicode MS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03DF0"/>
    <w:multiLevelType w:val="hybridMultilevel"/>
    <w:tmpl w:val="DCF65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A14F7"/>
    <w:multiLevelType w:val="hybridMultilevel"/>
    <w:tmpl w:val="C212CBF0"/>
    <w:lvl w:ilvl="0" w:tplc="668A1C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865AC"/>
    <w:multiLevelType w:val="multilevel"/>
    <w:tmpl w:val="51FEE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F11CA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1D5155C1"/>
    <w:multiLevelType w:val="multilevel"/>
    <w:tmpl w:val="145462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14" w15:restartNumberingAfterBreak="0">
    <w:nsid w:val="1D5A2EAD"/>
    <w:multiLevelType w:val="multilevel"/>
    <w:tmpl w:val="6C06BF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1E6F3D42"/>
    <w:multiLevelType w:val="multilevel"/>
    <w:tmpl w:val="9232358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16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22A59F8"/>
    <w:multiLevelType w:val="hybridMultilevel"/>
    <w:tmpl w:val="8376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D06E1C"/>
    <w:multiLevelType w:val="multilevel"/>
    <w:tmpl w:val="13423B5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8503CC3"/>
    <w:multiLevelType w:val="multilevel"/>
    <w:tmpl w:val="765075C4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9526D2C"/>
    <w:multiLevelType w:val="multilevel"/>
    <w:tmpl w:val="F098B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2AA373D9"/>
    <w:multiLevelType w:val="multilevel"/>
    <w:tmpl w:val="09F43FF0"/>
    <w:lvl w:ilvl="0">
      <w:start w:val="1"/>
      <w:numFmt w:val="decimal"/>
      <w:lvlText w:val="%1."/>
      <w:lvlJc w:val="left"/>
      <w:pPr>
        <w:ind w:left="1636" w:hanging="360"/>
      </w:pPr>
      <w:rPr>
        <w:rFonts w:ascii="Arial" w:hAnsi="Arial" w:cs="Arial Unicode MS" w:hint="default"/>
        <w:b w:val="0"/>
        <w:i w:val="0"/>
        <w:sz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0F84BCB"/>
    <w:multiLevelType w:val="multilevel"/>
    <w:tmpl w:val="DBD86F44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380631B"/>
    <w:multiLevelType w:val="hybridMultilevel"/>
    <w:tmpl w:val="7D4EBB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4C7044B"/>
    <w:multiLevelType w:val="multilevel"/>
    <w:tmpl w:val="9C5E3B12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35F07BFE"/>
    <w:multiLevelType w:val="hybridMultilevel"/>
    <w:tmpl w:val="6CC67502"/>
    <w:lvl w:ilvl="0" w:tplc="3864E488">
      <w:start w:val="1"/>
      <w:numFmt w:val="decimal"/>
      <w:pStyle w:val="1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91359B8"/>
    <w:multiLevelType w:val="multilevel"/>
    <w:tmpl w:val="763406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28" w15:restartNumberingAfterBreak="0">
    <w:nsid w:val="3B7E05F0"/>
    <w:multiLevelType w:val="hybridMultilevel"/>
    <w:tmpl w:val="CE227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833CD7"/>
    <w:multiLevelType w:val="multilevel"/>
    <w:tmpl w:val="835843F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30" w15:restartNumberingAfterBreak="0">
    <w:nsid w:val="3FA7287F"/>
    <w:multiLevelType w:val="multilevel"/>
    <w:tmpl w:val="901029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31" w15:restartNumberingAfterBreak="0">
    <w:nsid w:val="40EB2969"/>
    <w:multiLevelType w:val="multilevel"/>
    <w:tmpl w:val="CCDA820A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40FD6EEF"/>
    <w:multiLevelType w:val="multilevel"/>
    <w:tmpl w:val="108073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33" w15:restartNumberingAfterBreak="0">
    <w:nsid w:val="42573C49"/>
    <w:multiLevelType w:val="hybridMultilevel"/>
    <w:tmpl w:val="1E2A9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984C0B"/>
    <w:multiLevelType w:val="multilevel"/>
    <w:tmpl w:val="F37EAD2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35" w15:restartNumberingAfterBreak="0">
    <w:nsid w:val="49545EAC"/>
    <w:multiLevelType w:val="multilevel"/>
    <w:tmpl w:val="924049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36" w15:restartNumberingAfterBreak="0">
    <w:nsid w:val="4B9B4C5A"/>
    <w:multiLevelType w:val="multilevel"/>
    <w:tmpl w:val="BA60A44C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585211E8"/>
    <w:multiLevelType w:val="multilevel"/>
    <w:tmpl w:val="6B8C3E2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38" w15:restartNumberingAfterBreak="0">
    <w:nsid w:val="595D0D35"/>
    <w:multiLevelType w:val="hybridMultilevel"/>
    <w:tmpl w:val="D39E1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EB212C"/>
    <w:multiLevelType w:val="multilevel"/>
    <w:tmpl w:val="A094F0A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5C1F5D61"/>
    <w:multiLevelType w:val="multilevel"/>
    <w:tmpl w:val="51FEE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D415796"/>
    <w:multiLevelType w:val="multilevel"/>
    <w:tmpl w:val="9D3EE0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092062"/>
    <w:multiLevelType w:val="multilevel"/>
    <w:tmpl w:val="FD704AB8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65D30E88"/>
    <w:multiLevelType w:val="multilevel"/>
    <w:tmpl w:val="54F84076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451BC5"/>
    <w:multiLevelType w:val="hybridMultilevel"/>
    <w:tmpl w:val="27A08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9B22285"/>
    <w:multiLevelType w:val="multilevel"/>
    <w:tmpl w:val="FF4EE7D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6A9B1360"/>
    <w:multiLevelType w:val="hybridMultilevel"/>
    <w:tmpl w:val="924CFA76"/>
    <w:lvl w:ilvl="0" w:tplc="AF164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114153"/>
    <w:multiLevelType w:val="hybridMultilevel"/>
    <w:tmpl w:val="8EB09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26031E"/>
    <w:multiLevelType w:val="multilevel"/>
    <w:tmpl w:val="A6C0A7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FC94CCC"/>
    <w:multiLevelType w:val="multilevel"/>
    <w:tmpl w:val="06AE9C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52" w15:restartNumberingAfterBreak="0">
    <w:nsid w:val="75C4390A"/>
    <w:multiLevelType w:val="hybridMultilevel"/>
    <w:tmpl w:val="D9B822D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D7558E"/>
    <w:multiLevelType w:val="multilevel"/>
    <w:tmpl w:val="84BED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4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367C2A"/>
    <w:multiLevelType w:val="multilevel"/>
    <w:tmpl w:val="A5D6A5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2"/>
  </w:num>
  <w:num w:numId="2">
    <w:abstractNumId w:val="26"/>
  </w:num>
  <w:num w:numId="3">
    <w:abstractNumId w:val="12"/>
  </w:num>
  <w:num w:numId="4">
    <w:abstractNumId w:val="54"/>
  </w:num>
  <w:num w:numId="5">
    <w:abstractNumId w:val="45"/>
  </w:num>
  <w:num w:numId="6">
    <w:abstractNumId w:val="4"/>
  </w:num>
  <w:num w:numId="7">
    <w:abstractNumId w:val="16"/>
  </w:num>
  <w:num w:numId="8">
    <w:abstractNumId w:val="25"/>
  </w:num>
  <w:num w:numId="9">
    <w:abstractNumId w:val="48"/>
  </w:num>
  <w:num w:numId="10">
    <w:abstractNumId w:val="25"/>
  </w:num>
  <w:num w:numId="11">
    <w:abstractNumId w:val="25"/>
  </w:num>
  <w:num w:numId="12">
    <w:abstractNumId w:val="25"/>
  </w:num>
  <w:num w:numId="13">
    <w:abstractNumId w:val="25"/>
  </w:num>
  <w:num w:numId="14">
    <w:abstractNumId w:val="25"/>
  </w:num>
  <w:num w:numId="15">
    <w:abstractNumId w:val="25"/>
  </w:num>
  <w:num w:numId="16">
    <w:abstractNumId w:val="23"/>
  </w:num>
  <w:num w:numId="17">
    <w:abstractNumId w:val="38"/>
  </w:num>
  <w:num w:numId="18">
    <w:abstractNumId w:val="25"/>
  </w:num>
  <w:num w:numId="19">
    <w:abstractNumId w:val="25"/>
  </w:num>
  <w:num w:numId="20">
    <w:abstractNumId w:val="25"/>
  </w:num>
  <w:num w:numId="21">
    <w:abstractNumId w:val="25"/>
  </w:num>
  <w:num w:numId="22">
    <w:abstractNumId w:val="25"/>
  </w:num>
  <w:num w:numId="23">
    <w:abstractNumId w:val="25"/>
  </w:num>
  <w:num w:numId="24">
    <w:abstractNumId w:val="25"/>
  </w:num>
  <w:num w:numId="25">
    <w:abstractNumId w:val="25"/>
  </w:num>
  <w:num w:numId="26">
    <w:abstractNumId w:val="52"/>
  </w:num>
  <w:num w:numId="27">
    <w:abstractNumId w:val="25"/>
  </w:num>
  <w:num w:numId="28">
    <w:abstractNumId w:val="25"/>
  </w:num>
  <w:num w:numId="29">
    <w:abstractNumId w:val="25"/>
  </w:num>
  <w:num w:numId="30">
    <w:abstractNumId w:val="25"/>
  </w:num>
  <w:num w:numId="31">
    <w:abstractNumId w:val="11"/>
  </w:num>
  <w:num w:numId="32">
    <w:abstractNumId w:val="9"/>
  </w:num>
  <w:num w:numId="33">
    <w:abstractNumId w:val="17"/>
  </w:num>
  <w:num w:numId="34">
    <w:abstractNumId w:val="46"/>
  </w:num>
  <w:num w:numId="35">
    <w:abstractNumId w:val="21"/>
  </w:num>
  <w:num w:numId="36">
    <w:abstractNumId w:val="40"/>
  </w:num>
  <w:num w:numId="37">
    <w:abstractNumId w:val="18"/>
  </w:num>
  <w:num w:numId="38">
    <w:abstractNumId w:val="10"/>
  </w:num>
  <w:num w:numId="39">
    <w:abstractNumId w:val="7"/>
  </w:num>
  <w:num w:numId="40">
    <w:abstractNumId w:val="20"/>
  </w:num>
  <w:num w:numId="41">
    <w:abstractNumId w:val="53"/>
  </w:num>
  <w:num w:numId="42">
    <w:abstractNumId w:val="50"/>
  </w:num>
  <w:num w:numId="43">
    <w:abstractNumId w:val="29"/>
  </w:num>
  <w:num w:numId="44">
    <w:abstractNumId w:val="13"/>
  </w:num>
  <w:num w:numId="45">
    <w:abstractNumId w:val="51"/>
  </w:num>
  <w:num w:numId="46">
    <w:abstractNumId w:val="5"/>
  </w:num>
  <w:num w:numId="47">
    <w:abstractNumId w:val="35"/>
  </w:num>
  <w:num w:numId="48">
    <w:abstractNumId w:val="55"/>
  </w:num>
  <w:num w:numId="49">
    <w:abstractNumId w:val="32"/>
  </w:num>
  <w:num w:numId="50">
    <w:abstractNumId w:val="30"/>
  </w:num>
  <w:num w:numId="51">
    <w:abstractNumId w:val="27"/>
  </w:num>
  <w:num w:numId="52">
    <w:abstractNumId w:val="37"/>
  </w:num>
  <w:num w:numId="53">
    <w:abstractNumId w:val="15"/>
  </w:num>
  <w:num w:numId="54">
    <w:abstractNumId w:val="1"/>
  </w:num>
  <w:num w:numId="55">
    <w:abstractNumId w:val="34"/>
  </w:num>
  <w:num w:numId="56">
    <w:abstractNumId w:val="39"/>
  </w:num>
  <w:num w:numId="57">
    <w:abstractNumId w:val="0"/>
  </w:num>
  <w:num w:numId="58">
    <w:abstractNumId w:val="3"/>
  </w:num>
  <w:num w:numId="59">
    <w:abstractNumId w:val="43"/>
  </w:num>
  <w:num w:numId="60">
    <w:abstractNumId w:val="2"/>
  </w:num>
  <w:num w:numId="61">
    <w:abstractNumId w:val="31"/>
  </w:num>
  <w:num w:numId="62">
    <w:abstractNumId w:val="22"/>
  </w:num>
  <w:num w:numId="63">
    <w:abstractNumId w:val="47"/>
  </w:num>
  <w:num w:numId="64">
    <w:abstractNumId w:val="19"/>
  </w:num>
  <w:num w:numId="65">
    <w:abstractNumId w:val="24"/>
  </w:num>
  <w:num w:numId="66">
    <w:abstractNumId w:val="44"/>
  </w:num>
  <w:num w:numId="67">
    <w:abstractNumId w:val="36"/>
  </w:num>
  <w:num w:numId="68">
    <w:abstractNumId w:val="14"/>
  </w:num>
  <w:num w:numId="69">
    <w:abstractNumId w:val="41"/>
  </w:num>
  <w:num w:numId="70">
    <w:abstractNumId w:val="33"/>
  </w:num>
  <w:num w:numId="71">
    <w:abstractNumId w:val="28"/>
  </w:num>
  <w:num w:numId="72">
    <w:abstractNumId w:val="49"/>
  </w:num>
  <w:num w:numId="73">
    <w:abstractNumId w:val="8"/>
  </w:num>
  <w:num w:numId="74">
    <w:abstractNumId w:val="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s-ES_tradnl" w:vendorID="64" w:dllVersion="4096" w:nlCheck="1" w:checkStyle="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AF1"/>
    <w:rsid w:val="000016A4"/>
    <w:rsid w:val="000019DB"/>
    <w:rsid w:val="0000266B"/>
    <w:rsid w:val="000047CC"/>
    <w:rsid w:val="00005BA5"/>
    <w:rsid w:val="00005BFA"/>
    <w:rsid w:val="00006F66"/>
    <w:rsid w:val="00010E2D"/>
    <w:rsid w:val="0001188E"/>
    <w:rsid w:val="000120FD"/>
    <w:rsid w:val="000127C3"/>
    <w:rsid w:val="00013A65"/>
    <w:rsid w:val="00013C41"/>
    <w:rsid w:val="0001506E"/>
    <w:rsid w:val="00015B9D"/>
    <w:rsid w:val="0001601A"/>
    <w:rsid w:val="00021831"/>
    <w:rsid w:val="00022C19"/>
    <w:rsid w:val="00031A37"/>
    <w:rsid w:val="00036843"/>
    <w:rsid w:val="00047E58"/>
    <w:rsid w:val="00054FDC"/>
    <w:rsid w:val="000632E2"/>
    <w:rsid w:val="0007203D"/>
    <w:rsid w:val="000729D2"/>
    <w:rsid w:val="00073D20"/>
    <w:rsid w:val="00074E7D"/>
    <w:rsid w:val="000755E1"/>
    <w:rsid w:val="0007681B"/>
    <w:rsid w:val="000769F1"/>
    <w:rsid w:val="00083694"/>
    <w:rsid w:val="00084889"/>
    <w:rsid w:val="00085541"/>
    <w:rsid w:val="00092AE6"/>
    <w:rsid w:val="00093063"/>
    <w:rsid w:val="000A0709"/>
    <w:rsid w:val="000A0F0D"/>
    <w:rsid w:val="000A112A"/>
    <w:rsid w:val="000A1AB2"/>
    <w:rsid w:val="000A21DA"/>
    <w:rsid w:val="000A34CE"/>
    <w:rsid w:val="000C03BF"/>
    <w:rsid w:val="000C15BD"/>
    <w:rsid w:val="000C2162"/>
    <w:rsid w:val="000C65E4"/>
    <w:rsid w:val="000C7EE0"/>
    <w:rsid w:val="000D1EBC"/>
    <w:rsid w:val="000D260B"/>
    <w:rsid w:val="000D345F"/>
    <w:rsid w:val="000D7375"/>
    <w:rsid w:val="000E2EE7"/>
    <w:rsid w:val="000F25BA"/>
    <w:rsid w:val="000F2B3F"/>
    <w:rsid w:val="000F7E6F"/>
    <w:rsid w:val="00106B72"/>
    <w:rsid w:val="00106D19"/>
    <w:rsid w:val="0011334A"/>
    <w:rsid w:val="00115830"/>
    <w:rsid w:val="00116489"/>
    <w:rsid w:val="0011750D"/>
    <w:rsid w:val="00121B41"/>
    <w:rsid w:val="001301DF"/>
    <w:rsid w:val="001412DE"/>
    <w:rsid w:val="00142D78"/>
    <w:rsid w:val="00144A4D"/>
    <w:rsid w:val="00151351"/>
    <w:rsid w:val="00156788"/>
    <w:rsid w:val="001568B6"/>
    <w:rsid w:val="00156D7B"/>
    <w:rsid w:val="001609A1"/>
    <w:rsid w:val="00162554"/>
    <w:rsid w:val="00163F68"/>
    <w:rsid w:val="00173B50"/>
    <w:rsid w:val="00173E0E"/>
    <w:rsid w:val="00174B39"/>
    <w:rsid w:val="00183F6C"/>
    <w:rsid w:val="00194802"/>
    <w:rsid w:val="00194AEB"/>
    <w:rsid w:val="001A431C"/>
    <w:rsid w:val="001A5519"/>
    <w:rsid w:val="001A7C3A"/>
    <w:rsid w:val="001B5C26"/>
    <w:rsid w:val="001C08BC"/>
    <w:rsid w:val="001C4A03"/>
    <w:rsid w:val="001C56BA"/>
    <w:rsid w:val="001C6D7D"/>
    <w:rsid w:val="001D00B5"/>
    <w:rsid w:val="001D3B29"/>
    <w:rsid w:val="001D59C8"/>
    <w:rsid w:val="001E4EEB"/>
    <w:rsid w:val="001E6026"/>
    <w:rsid w:val="001F3696"/>
    <w:rsid w:val="001F37CA"/>
    <w:rsid w:val="0020163D"/>
    <w:rsid w:val="00203AD7"/>
    <w:rsid w:val="002042CC"/>
    <w:rsid w:val="00204B37"/>
    <w:rsid w:val="002074D6"/>
    <w:rsid w:val="00210CBC"/>
    <w:rsid w:val="002119C5"/>
    <w:rsid w:val="00222AF2"/>
    <w:rsid w:val="00223C3B"/>
    <w:rsid w:val="00224346"/>
    <w:rsid w:val="0022597C"/>
    <w:rsid w:val="00226582"/>
    <w:rsid w:val="00230F77"/>
    <w:rsid w:val="00232E4E"/>
    <w:rsid w:val="00234AE4"/>
    <w:rsid w:val="00235CD0"/>
    <w:rsid w:val="00237935"/>
    <w:rsid w:val="00237E43"/>
    <w:rsid w:val="00245E26"/>
    <w:rsid w:val="0024651C"/>
    <w:rsid w:val="002539EA"/>
    <w:rsid w:val="002542FD"/>
    <w:rsid w:val="00254B4E"/>
    <w:rsid w:val="00254CA1"/>
    <w:rsid w:val="0026007A"/>
    <w:rsid w:val="002638C0"/>
    <w:rsid w:val="00265E42"/>
    <w:rsid w:val="00265E68"/>
    <w:rsid w:val="00266B45"/>
    <w:rsid w:val="00270AC0"/>
    <w:rsid w:val="0027198B"/>
    <w:rsid w:val="00273658"/>
    <w:rsid w:val="00282A9D"/>
    <w:rsid w:val="00286C0C"/>
    <w:rsid w:val="00287687"/>
    <w:rsid w:val="00290D5F"/>
    <w:rsid w:val="002938F2"/>
    <w:rsid w:val="00293CCC"/>
    <w:rsid w:val="002A195D"/>
    <w:rsid w:val="002B43D6"/>
    <w:rsid w:val="002B6B98"/>
    <w:rsid w:val="002C28BA"/>
    <w:rsid w:val="002C3B8F"/>
    <w:rsid w:val="002C444C"/>
    <w:rsid w:val="002C5021"/>
    <w:rsid w:val="002C5280"/>
    <w:rsid w:val="002C5C29"/>
    <w:rsid w:val="002C7C5D"/>
    <w:rsid w:val="002D396D"/>
    <w:rsid w:val="002D71D4"/>
    <w:rsid w:val="002E113D"/>
    <w:rsid w:val="002F17E1"/>
    <w:rsid w:val="003043A9"/>
    <w:rsid w:val="0030454E"/>
    <w:rsid w:val="00320242"/>
    <w:rsid w:val="00324A32"/>
    <w:rsid w:val="00325D6E"/>
    <w:rsid w:val="00334977"/>
    <w:rsid w:val="00337194"/>
    <w:rsid w:val="00342EE8"/>
    <w:rsid w:val="00344D78"/>
    <w:rsid w:val="00346517"/>
    <w:rsid w:val="00351CCB"/>
    <w:rsid w:val="0035648A"/>
    <w:rsid w:val="00362B41"/>
    <w:rsid w:val="00363995"/>
    <w:rsid w:val="00364E5E"/>
    <w:rsid w:val="00370E9B"/>
    <w:rsid w:val="00377E4B"/>
    <w:rsid w:val="00383BA9"/>
    <w:rsid w:val="003845B0"/>
    <w:rsid w:val="00385B34"/>
    <w:rsid w:val="00386C08"/>
    <w:rsid w:val="00387D88"/>
    <w:rsid w:val="0039446E"/>
    <w:rsid w:val="003A260A"/>
    <w:rsid w:val="003A2BC4"/>
    <w:rsid w:val="003A608F"/>
    <w:rsid w:val="003B31BE"/>
    <w:rsid w:val="003B504D"/>
    <w:rsid w:val="003C7065"/>
    <w:rsid w:val="003D2E0D"/>
    <w:rsid w:val="003D5113"/>
    <w:rsid w:val="003D5BFC"/>
    <w:rsid w:val="003D6E10"/>
    <w:rsid w:val="003E0C0F"/>
    <w:rsid w:val="003E0E28"/>
    <w:rsid w:val="003E19D5"/>
    <w:rsid w:val="003E76A8"/>
    <w:rsid w:val="003F5B90"/>
    <w:rsid w:val="00404856"/>
    <w:rsid w:val="00406ED7"/>
    <w:rsid w:val="004108B6"/>
    <w:rsid w:val="0041110F"/>
    <w:rsid w:val="0041300C"/>
    <w:rsid w:val="00414B68"/>
    <w:rsid w:val="00430ED2"/>
    <w:rsid w:val="00434773"/>
    <w:rsid w:val="004367F5"/>
    <w:rsid w:val="004458C9"/>
    <w:rsid w:val="00447C66"/>
    <w:rsid w:val="00462F38"/>
    <w:rsid w:val="00471B34"/>
    <w:rsid w:val="00474AFE"/>
    <w:rsid w:val="00477E66"/>
    <w:rsid w:val="00480809"/>
    <w:rsid w:val="00486A5E"/>
    <w:rsid w:val="00493F92"/>
    <w:rsid w:val="004A0C2B"/>
    <w:rsid w:val="004A610E"/>
    <w:rsid w:val="004B4CDA"/>
    <w:rsid w:val="004C20E2"/>
    <w:rsid w:val="004E056C"/>
    <w:rsid w:val="004E2817"/>
    <w:rsid w:val="004E2AE8"/>
    <w:rsid w:val="004E418A"/>
    <w:rsid w:val="005016FB"/>
    <w:rsid w:val="00504256"/>
    <w:rsid w:val="00511D17"/>
    <w:rsid w:val="005157E2"/>
    <w:rsid w:val="0051699F"/>
    <w:rsid w:val="00516DE3"/>
    <w:rsid w:val="005300BF"/>
    <w:rsid w:val="00532631"/>
    <w:rsid w:val="005414A1"/>
    <w:rsid w:val="0054175C"/>
    <w:rsid w:val="005473CF"/>
    <w:rsid w:val="00570355"/>
    <w:rsid w:val="00574530"/>
    <w:rsid w:val="00581423"/>
    <w:rsid w:val="00582F4C"/>
    <w:rsid w:val="0058407A"/>
    <w:rsid w:val="00594539"/>
    <w:rsid w:val="005A1BCE"/>
    <w:rsid w:val="005A65BD"/>
    <w:rsid w:val="005A7D00"/>
    <w:rsid w:val="005B0FE5"/>
    <w:rsid w:val="005B357C"/>
    <w:rsid w:val="005B4A0B"/>
    <w:rsid w:val="005B53C6"/>
    <w:rsid w:val="005C0015"/>
    <w:rsid w:val="005C0052"/>
    <w:rsid w:val="005C05F4"/>
    <w:rsid w:val="005C0660"/>
    <w:rsid w:val="005C44A6"/>
    <w:rsid w:val="005C7D6A"/>
    <w:rsid w:val="005D2DDA"/>
    <w:rsid w:val="005E3A3E"/>
    <w:rsid w:val="005E6A2B"/>
    <w:rsid w:val="005E7C7C"/>
    <w:rsid w:val="00601DD6"/>
    <w:rsid w:val="006032AE"/>
    <w:rsid w:val="00603F71"/>
    <w:rsid w:val="00605202"/>
    <w:rsid w:val="00621092"/>
    <w:rsid w:val="00621208"/>
    <w:rsid w:val="00623AD9"/>
    <w:rsid w:val="00632B30"/>
    <w:rsid w:val="006340A1"/>
    <w:rsid w:val="00636760"/>
    <w:rsid w:val="00644B92"/>
    <w:rsid w:val="00645B77"/>
    <w:rsid w:val="0065099D"/>
    <w:rsid w:val="006515C9"/>
    <w:rsid w:val="00651944"/>
    <w:rsid w:val="00652318"/>
    <w:rsid w:val="00652484"/>
    <w:rsid w:val="00653314"/>
    <w:rsid w:val="0067005F"/>
    <w:rsid w:val="0067015A"/>
    <w:rsid w:val="006736EC"/>
    <w:rsid w:val="00673D90"/>
    <w:rsid w:val="00676C1E"/>
    <w:rsid w:val="00682321"/>
    <w:rsid w:val="00686D60"/>
    <w:rsid w:val="00691869"/>
    <w:rsid w:val="006A0D86"/>
    <w:rsid w:val="006A49AE"/>
    <w:rsid w:val="006A56C0"/>
    <w:rsid w:val="006C0911"/>
    <w:rsid w:val="006C737A"/>
    <w:rsid w:val="006D46FB"/>
    <w:rsid w:val="006E29C0"/>
    <w:rsid w:val="006E752A"/>
    <w:rsid w:val="006E7CF0"/>
    <w:rsid w:val="006F3E83"/>
    <w:rsid w:val="006F4B83"/>
    <w:rsid w:val="006F7F47"/>
    <w:rsid w:val="00701458"/>
    <w:rsid w:val="00701D7E"/>
    <w:rsid w:val="00704766"/>
    <w:rsid w:val="007119B8"/>
    <w:rsid w:val="0072415E"/>
    <w:rsid w:val="007247D7"/>
    <w:rsid w:val="007250E3"/>
    <w:rsid w:val="007277C8"/>
    <w:rsid w:val="00732057"/>
    <w:rsid w:val="007368A2"/>
    <w:rsid w:val="007418AE"/>
    <w:rsid w:val="00742DD1"/>
    <w:rsid w:val="0074360F"/>
    <w:rsid w:val="00746204"/>
    <w:rsid w:val="00747715"/>
    <w:rsid w:val="00747F86"/>
    <w:rsid w:val="00750138"/>
    <w:rsid w:val="00753DA3"/>
    <w:rsid w:val="007610D3"/>
    <w:rsid w:val="007629DB"/>
    <w:rsid w:val="00764F50"/>
    <w:rsid w:val="00767871"/>
    <w:rsid w:val="00770A92"/>
    <w:rsid w:val="00774D9C"/>
    <w:rsid w:val="00776A63"/>
    <w:rsid w:val="00790C65"/>
    <w:rsid w:val="0079316B"/>
    <w:rsid w:val="00797D4A"/>
    <w:rsid w:val="007A0565"/>
    <w:rsid w:val="007A0EAA"/>
    <w:rsid w:val="007A1247"/>
    <w:rsid w:val="007A1E0A"/>
    <w:rsid w:val="007A6F91"/>
    <w:rsid w:val="007A7D45"/>
    <w:rsid w:val="007B4ADA"/>
    <w:rsid w:val="007C105C"/>
    <w:rsid w:val="007C1B00"/>
    <w:rsid w:val="007D0F1D"/>
    <w:rsid w:val="007D2881"/>
    <w:rsid w:val="007D31CE"/>
    <w:rsid w:val="007D3AD8"/>
    <w:rsid w:val="007D5BB7"/>
    <w:rsid w:val="007D6A69"/>
    <w:rsid w:val="007E0621"/>
    <w:rsid w:val="007E4E37"/>
    <w:rsid w:val="007F4B07"/>
    <w:rsid w:val="008029A6"/>
    <w:rsid w:val="008147BA"/>
    <w:rsid w:val="00820BA3"/>
    <w:rsid w:val="0082533C"/>
    <w:rsid w:val="008269B0"/>
    <w:rsid w:val="0083067E"/>
    <w:rsid w:val="00832357"/>
    <w:rsid w:val="0083488D"/>
    <w:rsid w:val="008364D8"/>
    <w:rsid w:val="00845AD9"/>
    <w:rsid w:val="008466C3"/>
    <w:rsid w:val="00846809"/>
    <w:rsid w:val="00851458"/>
    <w:rsid w:val="00861A47"/>
    <w:rsid w:val="008707FF"/>
    <w:rsid w:val="008724E5"/>
    <w:rsid w:val="00877AC5"/>
    <w:rsid w:val="00877F27"/>
    <w:rsid w:val="0088173A"/>
    <w:rsid w:val="00881EB9"/>
    <w:rsid w:val="008848E9"/>
    <w:rsid w:val="00884C09"/>
    <w:rsid w:val="00885596"/>
    <w:rsid w:val="00885B33"/>
    <w:rsid w:val="00886B71"/>
    <w:rsid w:val="00893297"/>
    <w:rsid w:val="0089499E"/>
    <w:rsid w:val="00896177"/>
    <w:rsid w:val="008A0BE3"/>
    <w:rsid w:val="008A2566"/>
    <w:rsid w:val="008A51DB"/>
    <w:rsid w:val="008A6663"/>
    <w:rsid w:val="008B6B4C"/>
    <w:rsid w:val="008B7346"/>
    <w:rsid w:val="008C7F60"/>
    <w:rsid w:val="008D3BF7"/>
    <w:rsid w:val="008E0DAA"/>
    <w:rsid w:val="008E194D"/>
    <w:rsid w:val="008F16C6"/>
    <w:rsid w:val="008F2A76"/>
    <w:rsid w:val="008F34A1"/>
    <w:rsid w:val="008F4F13"/>
    <w:rsid w:val="008F5052"/>
    <w:rsid w:val="008F5193"/>
    <w:rsid w:val="00900AF3"/>
    <w:rsid w:val="0090187D"/>
    <w:rsid w:val="00903C3D"/>
    <w:rsid w:val="0090710F"/>
    <w:rsid w:val="00910B12"/>
    <w:rsid w:val="00911179"/>
    <w:rsid w:val="009121CE"/>
    <w:rsid w:val="009127D8"/>
    <w:rsid w:val="00915343"/>
    <w:rsid w:val="00916F7B"/>
    <w:rsid w:val="00917A4D"/>
    <w:rsid w:val="00921F65"/>
    <w:rsid w:val="0092574C"/>
    <w:rsid w:val="009342E8"/>
    <w:rsid w:val="009357B4"/>
    <w:rsid w:val="00946D71"/>
    <w:rsid w:val="009577E1"/>
    <w:rsid w:val="00961F15"/>
    <w:rsid w:val="00971CA1"/>
    <w:rsid w:val="0097349C"/>
    <w:rsid w:val="009814C2"/>
    <w:rsid w:val="00982FFD"/>
    <w:rsid w:val="00985265"/>
    <w:rsid w:val="00985856"/>
    <w:rsid w:val="009A4969"/>
    <w:rsid w:val="009B1466"/>
    <w:rsid w:val="009B6973"/>
    <w:rsid w:val="009C0510"/>
    <w:rsid w:val="009C3663"/>
    <w:rsid w:val="009D098F"/>
    <w:rsid w:val="009D4547"/>
    <w:rsid w:val="009D5A49"/>
    <w:rsid w:val="009D5E38"/>
    <w:rsid w:val="009D602F"/>
    <w:rsid w:val="009D68D0"/>
    <w:rsid w:val="009E17AF"/>
    <w:rsid w:val="009F0D42"/>
    <w:rsid w:val="009F1B82"/>
    <w:rsid w:val="009F34A4"/>
    <w:rsid w:val="009F3988"/>
    <w:rsid w:val="00A003D0"/>
    <w:rsid w:val="00A073FD"/>
    <w:rsid w:val="00A147CF"/>
    <w:rsid w:val="00A150C7"/>
    <w:rsid w:val="00A2307A"/>
    <w:rsid w:val="00A462C6"/>
    <w:rsid w:val="00A519A2"/>
    <w:rsid w:val="00A51BDC"/>
    <w:rsid w:val="00A535B7"/>
    <w:rsid w:val="00A5709F"/>
    <w:rsid w:val="00A616C4"/>
    <w:rsid w:val="00A61F20"/>
    <w:rsid w:val="00A64796"/>
    <w:rsid w:val="00A66CD4"/>
    <w:rsid w:val="00A70883"/>
    <w:rsid w:val="00A77AEB"/>
    <w:rsid w:val="00A81F0A"/>
    <w:rsid w:val="00A85C7A"/>
    <w:rsid w:val="00A86042"/>
    <w:rsid w:val="00AA36F9"/>
    <w:rsid w:val="00AA444A"/>
    <w:rsid w:val="00AB1528"/>
    <w:rsid w:val="00AD5062"/>
    <w:rsid w:val="00AD6BD4"/>
    <w:rsid w:val="00AE166B"/>
    <w:rsid w:val="00AE1B18"/>
    <w:rsid w:val="00AE1D83"/>
    <w:rsid w:val="00AE2DFB"/>
    <w:rsid w:val="00AE3061"/>
    <w:rsid w:val="00AF15BA"/>
    <w:rsid w:val="00AF1AF1"/>
    <w:rsid w:val="00AF1C32"/>
    <w:rsid w:val="00AF65C6"/>
    <w:rsid w:val="00B11AE3"/>
    <w:rsid w:val="00B121A6"/>
    <w:rsid w:val="00B300B8"/>
    <w:rsid w:val="00B32A28"/>
    <w:rsid w:val="00B33904"/>
    <w:rsid w:val="00B3751E"/>
    <w:rsid w:val="00B427FE"/>
    <w:rsid w:val="00B51737"/>
    <w:rsid w:val="00B6102A"/>
    <w:rsid w:val="00B6167A"/>
    <w:rsid w:val="00B62ED0"/>
    <w:rsid w:val="00B64196"/>
    <w:rsid w:val="00B66A7A"/>
    <w:rsid w:val="00B70266"/>
    <w:rsid w:val="00B74304"/>
    <w:rsid w:val="00B82F05"/>
    <w:rsid w:val="00B87142"/>
    <w:rsid w:val="00B8750E"/>
    <w:rsid w:val="00B92374"/>
    <w:rsid w:val="00B924C8"/>
    <w:rsid w:val="00B95E33"/>
    <w:rsid w:val="00B973B5"/>
    <w:rsid w:val="00B97FD1"/>
    <w:rsid w:val="00BB1062"/>
    <w:rsid w:val="00BB28EF"/>
    <w:rsid w:val="00BB5DEE"/>
    <w:rsid w:val="00BC002E"/>
    <w:rsid w:val="00BC393F"/>
    <w:rsid w:val="00BC75FC"/>
    <w:rsid w:val="00BD11DA"/>
    <w:rsid w:val="00BD59BD"/>
    <w:rsid w:val="00BE5B3F"/>
    <w:rsid w:val="00BF351F"/>
    <w:rsid w:val="00BF3F50"/>
    <w:rsid w:val="00BF6F37"/>
    <w:rsid w:val="00C02924"/>
    <w:rsid w:val="00C04344"/>
    <w:rsid w:val="00C17FE4"/>
    <w:rsid w:val="00C21897"/>
    <w:rsid w:val="00C276EE"/>
    <w:rsid w:val="00C37B40"/>
    <w:rsid w:val="00C42273"/>
    <w:rsid w:val="00C43757"/>
    <w:rsid w:val="00C43BCE"/>
    <w:rsid w:val="00C47CF1"/>
    <w:rsid w:val="00C52006"/>
    <w:rsid w:val="00C53AB4"/>
    <w:rsid w:val="00C542F1"/>
    <w:rsid w:val="00C55BA2"/>
    <w:rsid w:val="00C572B3"/>
    <w:rsid w:val="00C57CA1"/>
    <w:rsid w:val="00C6300B"/>
    <w:rsid w:val="00C6426B"/>
    <w:rsid w:val="00C6478B"/>
    <w:rsid w:val="00C87194"/>
    <w:rsid w:val="00C90629"/>
    <w:rsid w:val="00C90C51"/>
    <w:rsid w:val="00CA3ED6"/>
    <w:rsid w:val="00CA7CF4"/>
    <w:rsid w:val="00CB0F37"/>
    <w:rsid w:val="00CB1135"/>
    <w:rsid w:val="00CB590B"/>
    <w:rsid w:val="00CC02C5"/>
    <w:rsid w:val="00CC2BC6"/>
    <w:rsid w:val="00CC3AAB"/>
    <w:rsid w:val="00CC5973"/>
    <w:rsid w:val="00CD324E"/>
    <w:rsid w:val="00CD4A28"/>
    <w:rsid w:val="00CD54BD"/>
    <w:rsid w:val="00CD6C36"/>
    <w:rsid w:val="00CE2586"/>
    <w:rsid w:val="00CF05D7"/>
    <w:rsid w:val="00CF34A6"/>
    <w:rsid w:val="00CF3F93"/>
    <w:rsid w:val="00D020F3"/>
    <w:rsid w:val="00D04515"/>
    <w:rsid w:val="00D065AD"/>
    <w:rsid w:val="00D22831"/>
    <w:rsid w:val="00D404B7"/>
    <w:rsid w:val="00D44509"/>
    <w:rsid w:val="00D448CB"/>
    <w:rsid w:val="00D47226"/>
    <w:rsid w:val="00D47ED5"/>
    <w:rsid w:val="00D61779"/>
    <w:rsid w:val="00D649C2"/>
    <w:rsid w:val="00D73DB6"/>
    <w:rsid w:val="00D809E5"/>
    <w:rsid w:val="00D81948"/>
    <w:rsid w:val="00D90819"/>
    <w:rsid w:val="00D93291"/>
    <w:rsid w:val="00D9501F"/>
    <w:rsid w:val="00DA12BF"/>
    <w:rsid w:val="00DB50D5"/>
    <w:rsid w:val="00DC5537"/>
    <w:rsid w:val="00DD11EE"/>
    <w:rsid w:val="00DD52A0"/>
    <w:rsid w:val="00DE5590"/>
    <w:rsid w:val="00DE6364"/>
    <w:rsid w:val="00DF1D9E"/>
    <w:rsid w:val="00DF3DA3"/>
    <w:rsid w:val="00DF5DA4"/>
    <w:rsid w:val="00E06492"/>
    <w:rsid w:val="00E065CE"/>
    <w:rsid w:val="00E06A00"/>
    <w:rsid w:val="00E13E03"/>
    <w:rsid w:val="00E17EE8"/>
    <w:rsid w:val="00E22B99"/>
    <w:rsid w:val="00E24A9D"/>
    <w:rsid w:val="00E2528B"/>
    <w:rsid w:val="00E258D9"/>
    <w:rsid w:val="00E30C27"/>
    <w:rsid w:val="00E35B8C"/>
    <w:rsid w:val="00E439CA"/>
    <w:rsid w:val="00E46DDB"/>
    <w:rsid w:val="00E473F3"/>
    <w:rsid w:val="00E5219B"/>
    <w:rsid w:val="00E54295"/>
    <w:rsid w:val="00E55693"/>
    <w:rsid w:val="00E56905"/>
    <w:rsid w:val="00E64BE4"/>
    <w:rsid w:val="00E82F7E"/>
    <w:rsid w:val="00E85565"/>
    <w:rsid w:val="00E87F91"/>
    <w:rsid w:val="00E94BC6"/>
    <w:rsid w:val="00EA0563"/>
    <w:rsid w:val="00EA198F"/>
    <w:rsid w:val="00EA2EA1"/>
    <w:rsid w:val="00EA3CB9"/>
    <w:rsid w:val="00EA59EB"/>
    <w:rsid w:val="00EA67F3"/>
    <w:rsid w:val="00EB48F8"/>
    <w:rsid w:val="00ED0346"/>
    <w:rsid w:val="00ED0C60"/>
    <w:rsid w:val="00ED3D26"/>
    <w:rsid w:val="00ED5218"/>
    <w:rsid w:val="00ED52C9"/>
    <w:rsid w:val="00EE1D9D"/>
    <w:rsid w:val="00EF0BCB"/>
    <w:rsid w:val="00EF0E74"/>
    <w:rsid w:val="00EF2549"/>
    <w:rsid w:val="00F00E8A"/>
    <w:rsid w:val="00F16242"/>
    <w:rsid w:val="00F17FCB"/>
    <w:rsid w:val="00F2047B"/>
    <w:rsid w:val="00F226CC"/>
    <w:rsid w:val="00F2691E"/>
    <w:rsid w:val="00F279DD"/>
    <w:rsid w:val="00F3242E"/>
    <w:rsid w:val="00F33650"/>
    <w:rsid w:val="00F348F9"/>
    <w:rsid w:val="00F37E4B"/>
    <w:rsid w:val="00F4144E"/>
    <w:rsid w:val="00F41B00"/>
    <w:rsid w:val="00F473CB"/>
    <w:rsid w:val="00F50245"/>
    <w:rsid w:val="00F63DDA"/>
    <w:rsid w:val="00F67029"/>
    <w:rsid w:val="00F70858"/>
    <w:rsid w:val="00F71BBC"/>
    <w:rsid w:val="00F7397F"/>
    <w:rsid w:val="00F75949"/>
    <w:rsid w:val="00F75CF4"/>
    <w:rsid w:val="00F866CD"/>
    <w:rsid w:val="00F941F0"/>
    <w:rsid w:val="00F97FF5"/>
    <w:rsid w:val="00FA32B1"/>
    <w:rsid w:val="00FA7CE6"/>
    <w:rsid w:val="00FB1313"/>
    <w:rsid w:val="00FC2238"/>
    <w:rsid w:val="00FC2459"/>
    <w:rsid w:val="00FC268E"/>
    <w:rsid w:val="00FC2BFD"/>
    <w:rsid w:val="00FC309D"/>
    <w:rsid w:val="00FC47E0"/>
    <w:rsid w:val="00FC75EF"/>
    <w:rsid w:val="00FD1C42"/>
    <w:rsid w:val="00FD1E96"/>
    <w:rsid w:val="00FD1FE7"/>
    <w:rsid w:val="00FD6442"/>
    <w:rsid w:val="00FE15F6"/>
    <w:rsid w:val="00FE1F8A"/>
    <w:rsid w:val="00FF14AA"/>
    <w:rsid w:val="00FF26CC"/>
    <w:rsid w:val="00FF2B1D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023402"/>
  <w15:docId w15:val="{8C3408CC-5433-4448-B2ED-5EB96B49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4766"/>
    <w:pPr>
      <w:spacing w:after="120"/>
    </w:pPr>
    <w:rPr>
      <w:rFonts w:ascii="Times New Roman" w:eastAsia="Times New Roman" w:hAnsi="Times New Roman"/>
      <w:sz w:val="22"/>
      <w:szCs w:val="24"/>
      <w:lang w:val="en-GB" w:eastAsia="fr-FR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0C7EE0"/>
    <w:pPr>
      <w:keepNext/>
      <w:keepLines/>
      <w:tabs>
        <w:tab w:val="left" w:pos="567"/>
      </w:tabs>
      <w:snapToGrid w:val="0"/>
      <w:spacing w:before="360" w:after="240"/>
      <w:outlineLvl w:val="3"/>
    </w:pPr>
    <w:rPr>
      <w:rFonts w:ascii="Arial" w:hAnsi="Arial"/>
      <w:b/>
      <w:bCs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uiPriority w:val="99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  <w:lang w:val="fr-FR" w:eastAsia="fr-FR" w:bidi="ar-SA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0C7EE0"/>
    <w:rPr>
      <w:rFonts w:ascii="Arial" w:eastAsia="Times New Roman" w:hAnsi="Arial"/>
      <w:b/>
      <w:bCs/>
      <w:snapToGrid w:val="0"/>
      <w:sz w:val="22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styleId="CommentReference">
    <w:name w:val="annotation reference"/>
    <w:uiPriority w:val="99"/>
    <w:rsid w:val="00B11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11A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11AE3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11AE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">
    <w:name w:val="1. GA Para"/>
    <w:qFormat/>
    <w:rsid w:val="00E22B99"/>
    <w:pPr>
      <w:numPr>
        <w:numId w:val="8"/>
      </w:numPr>
      <w:spacing w:after="120"/>
    </w:pPr>
    <w:rPr>
      <w:rFonts w:ascii="Arial" w:eastAsia="Times New Roman" w:hAnsi="Arial" w:cs="Arial"/>
      <w:snapToGrid w:val="0"/>
      <w:sz w:val="22"/>
      <w:szCs w:val="22"/>
      <w:lang w:val="en-GB" w:bidi="ar-SA"/>
    </w:rPr>
  </w:style>
  <w:style w:type="paragraph" w:customStyle="1" w:styleId="Sansinterligne2">
    <w:name w:val="Sans interligne2"/>
    <w:uiPriority w:val="1"/>
    <w:rsid w:val="006E7CF0"/>
    <w:rPr>
      <w:rFonts w:ascii="Times New Roman" w:eastAsia="Times New Roman" w:hAnsi="Times New Roman"/>
      <w:sz w:val="24"/>
      <w:szCs w:val="24"/>
      <w:lang w:val="fr-FR" w:eastAsia="fr-FR" w:bidi="ar-SA"/>
    </w:rPr>
  </w:style>
  <w:style w:type="character" w:styleId="Hyperlink">
    <w:name w:val="Hyperlink"/>
    <w:uiPriority w:val="99"/>
    <w:unhideWhenUsed/>
    <w:rsid w:val="006E7CF0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254CA1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unhideWhenUsed/>
    <w:rsid w:val="00210CBC"/>
    <w:pPr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210CBC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uiPriority w:val="99"/>
    <w:semiHidden/>
    <w:unhideWhenUsed/>
    <w:rsid w:val="00210CBC"/>
    <w:rPr>
      <w:vertAlign w:val="superscript"/>
    </w:rPr>
  </w:style>
  <w:style w:type="character" w:styleId="FollowedHyperlink">
    <w:name w:val="FollowedHyperlink"/>
    <w:semiHidden/>
    <w:unhideWhenUsed/>
    <w:rsid w:val="00B62ED0"/>
    <w:rPr>
      <w:color w:val="800080"/>
      <w:u w:val="single"/>
    </w:rPr>
  </w:style>
  <w:style w:type="paragraph" w:styleId="Revision">
    <w:name w:val="Revision"/>
    <w:hidden/>
    <w:uiPriority w:val="99"/>
    <w:semiHidden/>
    <w:rsid w:val="001609A1"/>
    <w:rPr>
      <w:rFonts w:ascii="Times New Roman" w:eastAsia="Times New Roman" w:hAnsi="Times New Roman"/>
      <w:sz w:val="22"/>
      <w:szCs w:val="24"/>
      <w:lang w:val="en-GB" w:eastAsia="fr-FR" w:bidi="ar-SA"/>
    </w:rPr>
  </w:style>
  <w:style w:type="paragraph" w:customStyle="1" w:styleId="Default">
    <w:name w:val="Default"/>
    <w:rsid w:val="000F2B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fr-FR" w:bidi="ar-SA"/>
    </w:rPr>
  </w:style>
  <w:style w:type="paragraph" w:styleId="ListParagraph">
    <w:name w:val="List Paragraph"/>
    <w:basedOn w:val="Normal"/>
    <w:uiPriority w:val="34"/>
    <w:qFormat/>
    <w:rsid w:val="00D47226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D47226"/>
    <w:rPr>
      <w:rFonts w:eastAsia="Malgun Gothic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47226"/>
    <w:pPr>
      <w:spacing w:after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EndnoteTextChar">
    <w:name w:val="Endnote Text Char"/>
    <w:link w:val="EndnoteText"/>
    <w:uiPriority w:val="99"/>
    <w:semiHidden/>
    <w:rsid w:val="00D47226"/>
    <w:rPr>
      <w:rFonts w:ascii="Calibri" w:eastAsia="Calibri" w:hAnsi="Calibri" w:cs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D47226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051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4766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AD5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k\Documents\Custom%20Office%20Templates\Guidance%20notes%20template_201904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F02C4-4A68-477C-AEF7-DBB3C555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Guidance notes template_20190423</Template>
  <TotalTime>9</TotalTime>
  <Pages>2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Proschan</dc:creator>
  <cp:keywords/>
  <cp:lastModifiedBy>scepi</cp:lastModifiedBy>
  <cp:revision>5</cp:revision>
  <dcterms:created xsi:type="dcterms:W3CDTF">2019-07-19T20:11:00Z</dcterms:created>
  <dcterms:modified xsi:type="dcterms:W3CDTF">2019-12-06T17:14:00Z</dcterms:modified>
</cp:coreProperties>
</file>