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08857" w14:textId="4D3EB341" w:rsidR="003C7BB6" w:rsidRPr="00614CB8" w:rsidRDefault="00FF2732" w:rsidP="0025444A">
      <w:pPr>
        <w:pStyle w:val="Caschap"/>
      </w:pPr>
      <w:bookmarkStart w:id="0" w:name="_Toc241229804"/>
      <w:bookmarkStart w:id="1" w:name="_Toc241230008"/>
      <w:bookmarkStart w:id="2" w:name="_Toc242165702"/>
      <w:r w:rsidRPr="000E6438">
        <w:rPr>
          <w:spacing w:val="5"/>
        </w:rPr>
        <w:t>C</w:t>
      </w:r>
      <w:r w:rsidRPr="000E6438">
        <w:t>AS</w:t>
      </w:r>
      <w:r w:rsidRPr="000E6438">
        <w:rPr>
          <w:spacing w:val="5"/>
        </w:rPr>
        <w:t xml:space="preserve">E </w:t>
      </w:r>
      <w:r w:rsidRPr="000E6438">
        <w:t>STUD</w:t>
      </w:r>
      <w:r w:rsidRPr="000E6438">
        <w:rPr>
          <w:spacing w:val="5"/>
        </w:rPr>
        <w:t xml:space="preserve">Y </w:t>
      </w:r>
      <w:r w:rsidRPr="000E6438">
        <w:t>13</w:t>
      </w:r>
      <w:bookmarkEnd w:id="0"/>
      <w:bookmarkEnd w:id="1"/>
      <w:bookmarkEnd w:id="2"/>
    </w:p>
    <w:p w14:paraId="22645125" w14:textId="5406A0DB" w:rsidR="00FF2732" w:rsidRPr="00646DFA" w:rsidRDefault="0070685A">
      <w:pPr>
        <w:pStyle w:val="Cas"/>
      </w:pPr>
      <w:bookmarkStart w:id="3" w:name="_Toc241229805"/>
      <w:bookmarkStart w:id="4" w:name="_Toc241230009"/>
      <w:bookmarkStart w:id="5" w:name="_Toc242165703"/>
      <w:r w:rsidRPr="000E6438">
        <w:t>A solution to a confli</w:t>
      </w:r>
      <w:bookmarkStart w:id="6" w:name="_GoBack"/>
      <w:bookmarkEnd w:id="6"/>
      <w:r w:rsidRPr="000E6438">
        <w:t xml:space="preserve">ct between </w:t>
      </w:r>
      <w:r w:rsidRPr="00646DFA">
        <w:t>intelle</w:t>
      </w:r>
      <w:r w:rsidRPr="000E6438">
        <w:t>c</w:t>
      </w:r>
      <w:r w:rsidRPr="00646DFA">
        <w:t>tua</w:t>
      </w:r>
      <w:r w:rsidRPr="000E6438">
        <w:t>l</w:t>
      </w:r>
      <w:r w:rsidRPr="00646DFA">
        <w:t xml:space="preserve"> p</w:t>
      </w:r>
      <w:r w:rsidRPr="000E6438">
        <w:t>r</w:t>
      </w:r>
      <w:r w:rsidRPr="00646DFA">
        <w:t>operty</w:t>
      </w:r>
      <w:r w:rsidRPr="000E6438">
        <w:t xml:space="preserve"> l</w:t>
      </w:r>
      <w:r w:rsidRPr="00646DFA">
        <w:t>aw</w:t>
      </w:r>
      <w:r w:rsidR="00FF2732" w:rsidRPr="000E6438">
        <w:t xml:space="preserve"> </w:t>
      </w:r>
      <w:r w:rsidRPr="00646DFA">
        <w:t>an</w:t>
      </w:r>
      <w:r w:rsidRPr="000E6438">
        <w:t>d</w:t>
      </w:r>
      <w:r w:rsidR="00FF2732" w:rsidRPr="00646DFA">
        <w:t xml:space="preserve"> </w:t>
      </w:r>
      <w:r w:rsidRPr="000E6438">
        <w:t>cus</w:t>
      </w:r>
      <w:r w:rsidRPr="00646DFA">
        <w:t>t</w:t>
      </w:r>
      <w:r w:rsidRPr="000E6438">
        <w:t>oma</w:t>
      </w:r>
      <w:r w:rsidRPr="00646DFA">
        <w:t>r</w:t>
      </w:r>
      <w:r w:rsidRPr="000E6438">
        <w:t>y</w:t>
      </w:r>
      <w:r w:rsidRPr="00646DFA">
        <w:t xml:space="preserve"> la</w:t>
      </w:r>
      <w:r w:rsidRPr="000E6438">
        <w:t>w in</w:t>
      </w:r>
      <w:r w:rsidRPr="00646DFA">
        <w:t xml:space="preserve"> </w:t>
      </w:r>
      <w:bookmarkEnd w:id="3"/>
      <w:bookmarkEnd w:id="4"/>
      <w:bookmarkEnd w:id="5"/>
      <w:r>
        <w:t>A</w:t>
      </w:r>
      <w:r w:rsidRPr="000E6438">
        <w:t>ustrali</w:t>
      </w:r>
      <w:r w:rsidRPr="00646DFA">
        <w:t>a</w:t>
      </w:r>
    </w:p>
    <w:p w14:paraId="7D89C4A4" w14:textId="77777777" w:rsidR="00FF2732" w:rsidRPr="000E6438" w:rsidRDefault="00FF2732" w:rsidP="002D5639">
      <w:pPr>
        <w:pStyle w:val="Texte1"/>
      </w:pPr>
      <w:r w:rsidRPr="000E6438">
        <w:t xml:space="preserve">This case study discusses the solution found to a conflict between Australian copyright law and the customary law of the </w:t>
      </w:r>
      <w:proofErr w:type="spellStart"/>
      <w:r w:rsidRPr="000E6438">
        <w:t>Wik</w:t>
      </w:r>
      <w:proofErr w:type="spellEnd"/>
      <w:r w:rsidRPr="000E6438">
        <w:t xml:space="preserve"> community.</w:t>
      </w:r>
    </w:p>
    <w:p w14:paraId="2949BD5E" w14:textId="77777777" w:rsidR="00FF2732" w:rsidRPr="000E6438" w:rsidRDefault="00FF2732" w:rsidP="002D5639">
      <w:pPr>
        <w:pStyle w:val="Texte1"/>
      </w:pPr>
      <w:r w:rsidRPr="000E6438">
        <w:t xml:space="preserve">The </w:t>
      </w:r>
      <w:proofErr w:type="spellStart"/>
      <w:r w:rsidRPr="000E6438">
        <w:t>Wik</w:t>
      </w:r>
      <w:proofErr w:type="spellEnd"/>
      <w:r w:rsidRPr="000E6438">
        <w:t xml:space="preserve"> community participates, with various other communities, in the Laura Aboriginal Dance and Cultural Festival, a biannual celebration of Indigenous Australian song, dance and music. However, ‘In 1998 it was revealed that certain images of dancers from the </w:t>
      </w:r>
      <w:proofErr w:type="spellStart"/>
      <w:r w:rsidRPr="000E6438">
        <w:t>Wik</w:t>
      </w:r>
      <w:proofErr w:type="spellEnd"/>
      <w:r w:rsidRPr="000E6438">
        <w:t xml:space="preserve"> community taken while they were performing at the Festival were being reproduced commercially without [their] permission. Photographs were available on CDs, postcards and other products.’</w:t>
      </w:r>
      <w:r w:rsidR="003C2E1E">
        <w:rPr>
          <w:rStyle w:val="FootnoteReference"/>
        </w:rPr>
        <w:footnoteReference w:id="1"/>
      </w:r>
      <w:r w:rsidRPr="000E6438">
        <w:t xml:space="preserve"> Since, according to </w:t>
      </w:r>
      <w:proofErr w:type="spellStart"/>
      <w:r w:rsidRPr="000E6438">
        <w:t>Wik</w:t>
      </w:r>
      <w:proofErr w:type="spellEnd"/>
      <w:r w:rsidRPr="000E6438">
        <w:t xml:space="preserve"> customary law, these images are only suitable for reproduction with the permission of specific individuals – senior custodians or elders – the reproductions were deemed to be culturally offensive. According to Molly </w:t>
      </w:r>
      <w:proofErr w:type="spellStart"/>
      <w:r w:rsidRPr="000E6438">
        <w:t>Torsen</w:t>
      </w:r>
      <w:proofErr w:type="spellEnd"/>
      <w:r w:rsidRPr="000E6438">
        <w:t xml:space="preserve"> and Jane Anderson:</w:t>
      </w:r>
    </w:p>
    <w:p w14:paraId="0CF2874F" w14:textId="77777777" w:rsidR="00FF2732" w:rsidRPr="000E6438" w:rsidRDefault="00FF2732" w:rsidP="00A7422F">
      <w:pPr>
        <w:pStyle w:val="Texte1"/>
        <w:ind w:left="1276"/>
      </w:pPr>
      <w:r w:rsidRPr="000E6438">
        <w:t xml:space="preserve">Under Australian copyright law, like most copyright laws, the copyright in the images of the dancers is vested in the photographer (who is the author for copyright purposes). Had the dancers known this, they would not have allowed any photography during the performance or would have reconsidered performing at the Festival. This highlights the need to provide information to tradition bearers about the range of rights that may exist in a performance and, when a performance </w:t>
      </w:r>
      <w:proofErr w:type="gramStart"/>
      <w:r w:rsidRPr="000E6438">
        <w:t>is documented</w:t>
      </w:r>
      <w:proofErr w:type="gramEnd"/>
      <w:r w:rsidRPr="000E6438">
        <w:t>, the performers themselves need access to information about IP rights in order to make informed decisions.</w:t>
      </w:r>
    </w:p>
    <w:p w14:paraId="4909D300" w14:textId="090696D5" w:rsidR="007351FD" w:rsidRDefault="00FF2732" w:rsidP="001973C0">
      <w:pPr>
        <w:pStyle w:val="Texte1"/>
      </w:pPr>
      <w:r w:rsidRPr="000E6438">
        <w:t xml:space="preserve">Since 1998, the organizers of the Laura Festival have adopted a written agreement concerning all photography and filming at the Festival. The agreement contains terms requiring that consent </w:t>
      </w:r>
      <w:proofErr w:type="gramStart"/>
      <w:r w:rsidRPr="000E6438">
        <w:t>be obtained</w:t>
      </w:r>
      <w:proofErr w:type="gramEnd"/>
      <w:r w:rsidRPr="000E6438">
        <w:t xml:space="preserve"> from the performers and that certain conditions for control of commercial photography be followed. Approved photographers sign an agreement stating that any commercial photography will be undertaken only after consent of the performers is received.</w:t>
      </w:r>
      <w:r w:rsidR="003C2E1E">
        <w:rPr>
          <w:rStyle w:val="FootnoteReference"/>
        </w:rPr>
        <w:footnoteReference w:id="2"/>
      </w:r>
    </w:p>
    <w:sectPr w:rsidR="007351FD" w:rsidSect="00857F6F">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CB4F" w14:textId="42CAD980" w:rsidR="00443DE5" w:rsidRPr="009B257B" w:rsidRDefault="00443DE5" w:rsidP="009D4AB5">
    <w:pPr>
      <w:pStyle w:val="Footer"/>
      <w:rPr>
        <w:lang w:val="en-US"/>
      </w:rPr>
    </w:pPr>
    <w:r w:rsidRPr="00E61793">
      <w:rPr>
        <w:noProof/>
        <w:snapToGrid/>
        <w:lang w:eastAsia="ja-JP"/>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9B257B">
      <w:rPr>
        <w:rStyle w:val="PageNumber"/>
        <w:lang w:val="en-US"/>
      </w:rPr>
      <w:tab/>
    </w:r>
    <w:r w:rsidRPr="009B257B">
      <w:rPr>
        <w:lang w:val="en-US"/>
      </w:rPr>
      <w:t xml:space="preserve">© UNESCO • Not to be reproduced without permission </w:t>
    </w:r>
    <w:r w:rsidRPr="009B257B">
      <w:rPr>
        <w:lang w:val="en-US"/>
      </w:rPr>
      <w:tab/>
      <w:t>CS33-v1.0-EN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0D65" w14:textId="741C540C" w:rsidR="00443DE5" w:rsidRPr="009B257B" w:rsidRDefault="00443DE5" w:rsidP="00CB334B">
    <w:pPr>
      <w:pStyle w:val="Footer"/>
      <w:rPr>
        <w:lang w:val="en-US"/>
      </w:rPr>
    </w:pPr>
    <w:r w:rsidRPr="009B257B">
      <w:rPr>
        <w:lang w:val="en-US"/>
      </w:rPr>
      <w:t>CS33-v1.0-EN</w:t>
    </w:r>
    <w:r w:rsidRPr="009B257B">
      <w:rPr>
        <w:lang w:val="en-US"/>
      </w:rPr>
      <w:tab/>
      <w:t>© UNESCO • Not to be reproduced without permission</w:t>
    </w:r>
    <w:r w:rsidRPr="009B257B">
      <w:rPr>
        <w:lang w:val="en-US"/>
      </w:rPr>
      <w:tab/>
    </w:r>
    <w:r w:rsidRPr="00E61793">
      <w:rPr>
        <w:noProof/>
        <w:snapToGrid/>
        <w:lang w:eastAsia="ja-JP"/>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7A58" w14:textId="0C1A5AD2" w:rsidR="00443DE5" w:rsidRPr="007351FD" w:rsidRDefault="007351FD" w:rsidP="007351FD">
    <w:pPr>
      <w:pStyle w:val="Footer"/>
      <w:rPr>
        <w:lang w:val="en-US"/>
      </w:rPr>
    </w:pPr>
    <w:r>
      <w:rPr>
        <w:lang w:val="en-US"/>
      </w:rPr>
      <w:t>CS13-v1.0-</w:t>
    </w:r>
    <w:r w:rsidRPr="008B4139">
      <w:rPr>
        <w:lang w:val="en-US"/>
      </w:rPr>
      <w:t>EN</w:t>
    </w:r>
    <w:r w:rsidRPr="008B4139">
      <w:rPr>
        <w:lang w:val="en-US"/>
      </w:rPr>
      <w:tab/>
    </w:r>
    <w:r w:rsidR="002B3285">
      <w:rPr>
        <w:noProof/>
        <w:lang w:eastAsia="ja-JP"/>
      </w:rPr>
      <w:drawing>
        <wp:anchor distT="0" distB="0" distL="114300" distR="114300" simplePos="0" relativeHeight="251906048" behindDoc="0" locked="0" layoutInCell="1" allowOverlap="1" wp14:anchorId="79AD32C6" wp14:editId="04E97D8D">
          <wp:simplePos x="0" y="0"/>
          <wp:positionH relativeFrom="column">
            <wp:posOffset>2533015</wp:posOffset>
          </wp:positionH>
          <wp:positionV relativeFrom="paragraph">
            <wp:posOffset>-73025</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8B4139">
      <w:rPr>
        <w:lang w:val="en-US"/>
      </w:rPr>
      <w:tab/>
    </w:r>
    <w:r w:rsidRPr="008B4139">
      <w:rPr>
        <w:noProof/>
        <w:snapToGrid/>
        <w:lang w:eastAsia="ja-JP"/>
      </w:rPr>
      <w:drawing>
        <wp:anchor distT="0" distB="0" distL="114300" distR="114300" simplePos="0" relativeHeight="251905024" behindDoc="0" locked="1" layoutInCell="1" allowOverlap="0" wp14:anchorId="0464342F" wp14:editId="1332B150">
          <wp:simplePos x="0" y="0"/>
          <wp:positionH relativeFrom="margin">
            <wp:posOffset>4681855</wp:posOffset>
          </wp:positionH>
          <wp:positionV relativeFrom="margin">
            <wp:posOffset>8641080</wp:posOffset>
          </wp:positionV>
          <wp:extent cx="942975" cy="538480"/>
          <wp:effectExtent l="0" t="0" r="0" b="0"/>
          <wp:wrapSquare wrapText="bothSides"/>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 w:id="1">
    <w:p w14:paraId="054FB847" w14:textId="77777777" w:rsidR="00443DE5" w:rsidRPr="00F303F3" w:rsidRDefault="00443DE5" w:rsidP="001973C0">
      <w:pPr>
        <w:pStyle w:val="FootnoteText"/>
        <w:rPr>
          <w:rStyle w:val="FootnoteReference"/>
          <w:sz w:val="16"/>
          <w:szCs w:val="20"/>
          <w:vertAlign w:val="baseline"/>
        </w:rPr>
      </w:pPr>
      <w:r w:rsidRPr="00F303F3">
        <w:rPr>
          <w:rStyle w:val="FootnoteReference"/>
          <w:sz w:val="16"/>
          <w:szCs w:val="20"/>
          <w:vertAlign w:val="baseline"/>
        </w:rPr>
        <w:footnoteRef/>
      </w:r>
      <w:r w:rsidRPr="00F303F3">
        <w:rPr>
          <w:rStyle w:val="FootnoteReference"/>
          <w:sz w:val="16"/>
          <w:szCs w:val="20"/>
          <w:vertAlign w:val="baseline"/>
        </w:rPr>
        <w:t>.</w:t>
      </w:r>
      <w:r w:rsidRPr="00F303F3">
        <w:rPr>
          <w:rStyle w:val="FootnoteReference"/>
          <w:sz w:val="16"/>
          <w:szCs w:val="20"/>
          <w:vertAlign w:val="baseline"/>
        </w:rPr>
        <w:tab/>
        <w:t xml:space="preserve">M. </w:t>
      </w:r>
      <w:proofErr w:type="spellStart"/>
      <w:r w:rsidRPr="00F303F3">
        <w:rPr>
          <w:rStyle w:val="FootnoteReference"/>
          <w:sz w:val="16"/>
          <w:szCs w:val="20"/>
          <w:vertAlign w:val="baseline"/>
        </w:rPr>
        <w:t>Torsen</w:t>
      </w:r>
      <w:proofErr w:type="spellEnd"/>
      <w:r w:rsidRPr="00F303F3">
        <w:rPr>
          <w:rStyle w:val="FootnoteReference"/>
          <w:sz w:val="16"/>
          <w:szCs w:val="20"/>
          <w:vertAlign w:val="baseline"/>
        </w:rPr>
        <w:t xml:space="preserve"> and J. Anderson, 2010, </w:t>
      </w:r>
      <w:proofErr w:type="spellStart"/>
      <w:r w:rsidRPr="00F303F3">
        <w:rPr>
          <w:rStyle w:val="FootnoteReference"/>
          <w:sz w:val="16"/>
          <w:szCs w:val="20"/>
          <w:vertAlign w:val="baseline"/>
        </w:rPr>
        <w:t>Intellectual</w:t>
      </w:r>
      <w:proofErr w:type="spellEnd"/>
      <w:r w:rsidRPr="00F303F3">
        <w:rPr>
          <w:rStyle w:val="FootnoteReference"/>
          <w:sz w:val="16"/>
          <w:szCs w:val="20"/>
          <w:vertAlign w:val="baseline"/>
        </w:rPr>
        <w:t xml:space="preserve"> </w:t>
      </w:r>
      <w:proofErr w:type="spellStart"/>
      <w:r w:rsidRPr="00F303F3">
        <w:rPr>
          <w:rStyle w:val="FootnoteReference"/>
          <w:sz w:val="16"/>
          <w:szCs w:val="20"/>
          <w:vertAlign w:val="baseline"/>
        </w:rPr>
        <w:t>Property</w:t>
      </w:r>
      <w:proofErr w:type="spellEnd"/>
      <w:r w:rsidRPr="00F303F3">
        <w:rPr>
          <w:rStyle w:val="FootnoteReference"/>
          <w:sz w:val="16"/>
          <w:szCs w:val="20"/>
          <w:vertAlign w:val="baseline"/>
        </w:rPr>
        <w:t xml:space="preserve"> and the </w:t>
      </w:r>
      <w:proofErr w:type="spellStart"/>
      <w:r w:rsidRPr="00F303F3">
        <w:rPr>
          <w:rStyle w:val="FootnoteReference"/>
          <w:sz w:val="16"/>
          <w:szCs w:val="20"/>
          <w:vertAlign w:val="baseline"/>
        </w:rPr>
        <w:t>Safeguarding</w:t>
      </w:r>
      <w:proofErr w:type="spellEnd"/>
      <w:r w:rsidRPr="00F303F3">
        <w:rPr>
          <w:rStyle w:val="FootnoteReference"/>
          <w:sz w:val="16"/>
          <w:szCs w:val="20"/>
          <w:vertAlign w:val="baseline"/>
        </w:rPr>
        <w:t xml:space="preserve"> of </w:t>
      </w:r>
      <w:proofErr w:type="spellStart"/>
      <w:r w:rsidRPr="00F303F3">
        <w:rPr>
          <w:rStyle w:val="FootnoteReference"/>
          <w:sz w:val="16"/>
          <w:szCs w:val="20"/>
          <w:vertAlign w:val="baseline"/>
        </w:rPr>
        <w:t>Traditional</w:t>
      </w:r>
      <w:proofErr w:type="spellEnd"/>
      <w:r w:rsidRPr="00F303F3">
        <w:rPr>
          <w:rStyle w:val="FootnoteReference"/>
          <w:sz w:val="16"/>
          <w:szCs w:val="20"/>
          <w:vertAlign w:val="baseline"/>
        </w:rPr>
        <w:t xml:space="preserve"> Cultures: </w:t>
      </w:r>
      <w:proofErr w:type="spellStart"/>
      <w:r w:rsidRPr="00F303F3">
        <w:rPr>
          <w:rStyle w:val="FootnoteReference"/>
          <w:sz w:val="16"/>
          <w:szCs w:val="20"/>
          <w:vertAlign w:val="baseline"/>
        </w:rPr>
        <w:t>Legal</w:t>
      </w:r>
      <w:proofErr w:type="spellEnd"/>
      <w:r w:rsidRPr="00F303F3">
        <w:rPr>
          <w:rStyle w:val="FootnoteReference"/>
          <w:sz w:val="16"/>
          <w:szCs w:val="20"/>
          <w:vertAlign w:val="baseline"/>
        </w:rPr>
        <w:t xml:space="preserve"> Issues and </w:t>
      </w:r>
      <w:proofErr w:type="spellStart"/>
      <w:r w:rsidRPr="00F303F3">
        <w:rPr>
          <w:rStyle w:val="FootnoteReference"/>
          <w:sz w:val="16"/>
          <w:szCs w:val="20"/>
          <w:vertAlign w:val="baseline"/>
        </w:rPr>
        <w:t>Practical</w:t>
      </w:r>
      <w:proofErr w:type="spellEnd"/>
      <w:r w:rsidRPr="00F303F3">
        <w:rPr>
          <w:rStyle w:val="FootnoteReference"/>
          <w:sz w:val="16"/>
          <w:szCs w:val="20"/>
          <w:vertAlign w:val="baseline"/>
        </w:rPr>
        <w:t xml:space="preserve"> Options for </w:t>
      </w:r>
      <w:proofErr w:type="spellStart"/>
      <w:r w:rsidRPr="00F303F3">
        <w:rPr>
          <w:rStyle w:val="FootnoteReference"/>
          <w:sz w:val="16"/>
          <w:szCs w:val="20"/>
          <w:vertAlign w:val="baseline"/>
        </w:rPr>
        <w:t>Museums</w:t>
      </w:r>
      <w:proofErr w:type="spellEnd"/>
      <w:r w:rsidRPr="00F303F3">
        <w:rPr>
          <w:rStyle w:val="FootnoteReference"/>
          <w:sz w:val="16"/>
          <w:szCs w:val="20"/>
          <w:vertAlign w:val="baseline"/>
        </w:rPr>
        <w:t xml:space="preserve">, </w:t>
      </w:r>
      <w:proofErr w:type="spellStart"/>
      <w:r w:rsidRPr="00F303F3">
        <w:rPr>
          <w:rStyle w:val="FootnoteReference"/>
          <w:sz w:val="16"/>
          <w:szCs w:val="20"/>
          <w:vertAlign w:val="baseline"/>
        </w:rPr>
        <w:t>Libraries</w:t>
      </w:r>
      <w:proofErr w:type="spellEnd"/>
      <w:r w:rsidRPr="00F303F3">
        <w:rPr>
          <w:rStyle w:val="FootnoteReference"/>
          <w:sz w:val="16"/>
          <w:szCs w:val="20"/>
          <w:vertAlign w:val="baseline"/>
        </w:rPr>
        <w:t xml:space="preserve"> and Archives, Geneva, World </w:t>
      </w:r>
      <w:proofErr w:type="spellStart"/>
      <w:r w:rsidRPr="00F303F3">
        <w:rPr>
          <w:rStyle w:val="FootnoteReference"/>
          <w:sz w:val="16"/>
          <w:szCs w:val="20"/>
          <w:vertAlign w:val="baseline"/>
        </w:rPr>
        <w:t>Intellectual</w:t>
      </w:r>
      <w:proofErr w:type="spellEnd"/>
      <w:r w:rsidRPr="00F303F3">
        <w:rPr>
          <w:rStyle w:val="FootnoteReference"/>
          <w:sz w:val="16"/>
          <w:szCs w:val="20"/>
          <w:vertAlign w:val="baseline"/>
        </w:rPr>
        <w:t xml:space="preserve"> </w:t>
      </w:r>
      <w:proofErr w:type="spellStart"/>
      <w:r w:rsidRPr="00F303F3">
        <w:rPr>
          <w:rStyle w:val="FootnoteReference"/>
          <w:sz w:val="16"/>
          <w:szCs w:val="20"/>
          <w:vertAlign w:val="baseline"/>
        </w:rPr>
        <w:t>Property</w:t>
      </w:r>
      <w:proofErr w:type="spellEnd"/>
      <w:r w:rsidRPr="00F303F3">
        <w:rPr>
          <w:rStyle w:val="FootnoteReference"/>
          <w:sz w:val="16"/>
          <w:szCs w:val="20"/>
          <w:vertAlign w:val="baseline"/>
        </w:rPr>
        <w:t xml:space="preserve"> </w:t>
      </w:r>
      <w:proofErr w:type="spellStart"/>
      <w:r w:rsidRPr="00F303F3">
        <w:rPr>
          <w:rStyle w:val="FootnoteReference"/>
          <w:sz w:val="16"/>
          <w:szCs w:val="20"/>
          <w:vertAlign w:val="baseline"/>
        </w:rPr>
        <w:t>Organization</w:t>
      </w:r>
      <w:proofErr w:type="spellEnd"/>
      <w:r w:rsidRPr="00F303F3">
        <w:rPr>
          <w:rStyle w:val="FootnoteReference"/>
          <w:sz w:val="16"/>
          <w:szCs w:val="20"/>
          <w:vertAlign w:val="baseline"/>
        </w:rPr>
        <w:t xml:space="preserve"> (WIPO), pp. 81–82.</w:t>
      </w:r>
    </w:p>
  </w:footnote>
  <w:footnote w:id="2">
    <w:p w14:paraId="5E5D25D4" w14:textId="22FD6298" w:rsidR="00443DE5" w:rsidRPr="007761C3" w:rsidRDefault="00443DE5">
      <w:pPr>
        <w:pStyle w:val="FootnoteText"/>
        <w:rPr>
          <w:rStyle w:val="FootnoteReference"/>
          <w:snapToGrid/>
          <w:szCs w:val="16"/>
        </w:rPr>
      </w:pPr>
      <w:r w:rsidRPr="00F303F3">
        <w:rPr>
          <w:rStyle w:val="FootnoteReference"/>
          <w:sz w:val="16"/>
          <w:szCs w:val="20"/>
          <w:vertAlign w:val="baseline"/>
        </w:rPr>
        <w:footnoteRef/>
      </w:r>
      <w:r w:rsidRPr="00F303F3">
        <w:rPr>
          <w:rStyle w:val="FootnoteReference"/>
          <w:sz w:val="16"/>
          <w:szCs w:val="20"/>
          <w:vertAlign w:val="baseline"/>
        </w:rPr>
        <w:t>.</w:t>
      </w:r>
      <w:r w:rsidRPr="00F303F3">
        <w:rPr>
          <w:rStyle w:val="FootnoteReference"/>
          <w:sz w:val="16"/>
          <w:szCs w:val="20"/>
          <w:vertAlign w:val="baseline"/>
        </w:rPr>
        <w:tab/>
        <w:t>Ibid</w:t>
      </w:r>
      <w:r w:rsidR="00B320C1" w:rsidRPr="00F303F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E25C"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351FD">
      <w:rPr>
        <w:rStyle w:val="PageNumber"/>
        <w:noProof/>
      </w:rPr>
      <w:t>2</w:t>
    </w:r>
    <w:r>
      <w:rPr>
        <w:rStyle w:val="PageNumber"/>
      </w:rPr>
      <w:fldChar w:fldCharType="end"/>
    </w:r>
  </w:p>
  <w:p w14:paraId="3FCECBA6" w14:textId="3663FBA9" w:rsidR="00443DE5" w:rsidRDefault="00443DE5" w:rsidP="00E61793">
    <w:pPr>
      <w:pStyle w:val="Header"/>
      <w:ind w:right="360" w:firstLine="360"/>
    </w:pPr>
    <w:r>
      <w:tab/>
      <w:t>Case study 33</w:t>
    </w:r>
    <w:r>
      <w:tab/>
      <w:t>Case studies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9132C">
      <w:rPr>
        <w:rStyle w:val="PageNumber"/>
        <w:noProof/>
      </w:rPr>
      <w:t>3</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F4BE1" w14:textId="083ECC3D" w:rsidR="00D00F8B" w:rsidRDefault="00D00F8B">
    <w:pPr>
      <w:pStyle w:val="Header"/>
    </w:pPr>
    <w:r>
      <w:tab/>
      <w:t>Case studies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15:restartNumberingAfterBreak="0">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15:restartNumberingAfterBreak="0">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4337">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3F03"/>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67F82"/>
    <w:rsid w:val="001704D3"/>
    <w:rsid w:val="00170BF2"/>
    <w:rsid w:val="00170BFE"/>
    <w:rsid w:val="00173ED1"/>
    <w:rsid w:val="001757F9"/>
    <w:rsid w:val="00176F70"/>
    <w:rsid w:val="00176FD3"/>
    <w:rsid w:val="00180896"/>
    <w:rsid w:val="00184583"/>
    <w:rsid w:val="00184FC1"/>
    <w:rsid w:val="00185FB0"/>
    <w:rsid w:val="00186D10"/>
    <w:rsid w:val="00187734"/>
    <w:rsid w:val="001973C0"/>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285"/>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5BFE"/>
    <w:rsid w:val="00376601"/>
    <w:rsid w:val="00376B67"/>
    <w:rsid w:val="003801E5"/>
    <w:rsid w:val="0038088F"/>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21D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388C"/>
    <w:rsid w:val="0070685A"/>
    <w:rsid w:val="007102EC"/>
    <w:rsid w:val="00722C13"/>
    <w:rsid w:val="00726F77"/>
    <w:rsid w:val="00731BEB"/>
    <w:rsid w:val="00732E2B"/>
    <w:rsid w:val="007342F5"/>
    <w:rsid w:val="007351FD"/>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76F96"/>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1545"/>
    <w:rsid w:val="00801CFC"/>
    <w:rsid w:val="00802500"/>
    <w:rsid w:val="00802D85"/>
    <w:rsid w:val="00803BA6"/>
    <w:rsid w:val="0080530D"/>
    <w:rsid w:val="00806058"/>
    <w:rsid w:val="00814D52"/>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257B"/>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5877"/>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220D"/>
    <w:rsid w:val="00A734AC"/>
    <w:rsid w:val="00A7422F"/>
    <w:rsid w:val="00A75193"/>
    <w:rsid w:val="00A775DA"/>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22EA"/>
    <w:rsid w:val="00AB3F98"/>
    <w:rsid w:val="00AB54CF"/>
    <w:rsid w:val="00AB6992"/>
    <w:rsid w:val="00AB74ED"/>
    <w:rsid w:val="00AC2953"/>
    <w:rsid w:val="00AC63A5"/>
    <w:rsid w:val="00AC798B"/>
    <w:rsid w:val="00AD0A26"/>
    <w:rsid w:val="00AD1B89"/>
    <w:rsid w:val="00AD44CF"/>
    <w:rsid w:val="00AE3C66"/>
    <w:rsid w:val="00AE3CA5"/>
    <w:rsid w:val="00AE7A78"/>
    <w:rsid w:val="00AE7B2A"/>
    <w:rsid w:val="00AF2898"/>
    <w:rsid w:val="00AF49BA"/>
    <w:rsid w:val="00AF4EA2"/>
    <w:rsid w:val="00B00A46"/>
    <w:rsid w:val="00B10189"/>
    <w:rsid w:val="00B11970"/>
    <w:rsid w:val="00B121E6"/>
    <w:rsid w:val="00B139E0"/>
    <w:rsid w:val="00B14A6D"/>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E47E5"/>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0F8B"/>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133D"/>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3F3"/>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enu v:ext="edit" fillcolor="none"/>
    </o:shapedefaults>
    <o:shapelayout v:ext="edit">
      <o:idmap v:ext="edit" data="1"/>
    </o:shapelayout>
  </w:shapeDefaults>
  <w:decimalSymbol w:val=","/>
  <w:listSeparator w:val=";"/>
  <w14:docId w14:val="25B3E6E5"/>
  <w14:defaultImageDpi w14:val="300"/>
  <w15:docId w15:val="{A10C7F99-84FC-4B0F-8AD4-A2B2FAAA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4B09D-CDB0-41F4-A4CE-35645E34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1701</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2006</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Kim, Dain</cp:lastModifiedBy>
  <cp:revision>7</cp:revision>
  <cp:lastPrinted>2014-04-15T11:42:00Z</cp:lastPrinted>
  <dcterms:created xsi:type="dcterms:W3CDTF">2014-09-10T13:26:00Z</dcterms:created>
  <dcterms:modified xsi:type="dcterms:W3CDTF">2018-03-14T09:51:00Z</dcterms:modified>
</cp:coreProperties>
</file>