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7671D" w14:textId="77777777" w:rsidR="007074E3" w:rsidRPr="003E6D9D" w:rsidRDefault="00F90193" w:rsidP="004936EF">
      <w:pPr>
        <w:pStyle w:val="Chapitre"/>
        <w:rPr>
          <w:kern w:val="0"/>
        </w:rPr>
      </w:pPr>
      <w:r w:rsidRPr="003E6D9D">
        <w:rPr>
          <w:b w:val="0"/>
          <w:caps w:val="0"/>
          <w:sz w:val="20"/>
          <w:szCs w:val="20"/>
          <w:lang w:val="fr-FR" w:eastAsia="zh-TW"/>
        </w:rPr>
        <w:drawing>
          <wp:anchor distT="0" distB="0" distL="114300" distR="114300" simplePos="0" relativeHeight="251672576" behindDoc="1" locked="1" layoutInCell="1" allowOverlap="0" wp14:anchorId="407586C3" wp14:editId="77BFC6BF">
            <wp:simplePos x="0" y="0"/>
            <wp:positionH relativeFrom="margin">
              <wp:posOffset>431800</wp:posOffset>
            </wp:positionH>
            <wp:positionV relativeFrom="margin">
              <wp:posOffset>1980565</wp:posOffset>
            </wp:positionV>
            <wp:extent cx="4870411" cy="4498145"/>
            <wp:effectExtent l="0" t="0" r="6985"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bookmarkStart w:id="0" w:name="_Toc241644715"/>
      <w:bookmarkStart w:id="1" w:name="_Toc302374685"/>
      <w:r w:rsidR="00C4640B" w:rsidRPr="003E6D9D">
        <w:rPr>
          <w:kern w:val="0"/>
        </w:rPr>
        <w:t xml:space="preserve">Unit </w:t>
      </w:r>
      <w:r w:rsidR="00B808E4" w:rsidRPr="003E6D9D">
        <w:rPr>
          <w:kern w:val="0"/>
        </w:rPr>
        <w:t>7</w:t>
      </w:r>
      <w:bookmarkEnd w:id="0"/>
    </w:p>
    <w:p w14:paraId="38AB8CD1" w14:textId="77777777" w:rsidR="00F90193" w:rsidRPr="003E6D9D" w:rsidRDefault="0038213C" w:rsidP="004936EF">
      <w:pPr>
        <w:pStyle w:val="UPlan"/>
        <w:rPr>
          <w:rFonts w:eastAsia="Calibri"/>
        </w:rPr>
      </w:pPr>
      <w:bookmarkStart w:id="2" w:name="_Toc241644716"/>
      <w:r w:rsidRPr="003E6D9D">
        <w:t>involving the communities concerned</w:t>
      </w:r>
    </w:p>
    <w:p w14:paraId="4DF3ED6D" w14:textId="77777777" w:rsidR="000808AF" w:rsidRPr="00C14A99" w:rsidRDefault="000808AF" w:rsidP="000808AF">
      <w:pPr>
        <w:tabs>
          <w:tab w:val="clear" w:pos="567"/>
        </w:tabs>
        <w:snapToGrid/>
        <w:jc w:val="left"/>
        <w:rPr>
          <w:lang w:val="en-GB"/>
        </w:rPr>
      </w:pPr>
    </w:p>
    <w:p w14:paraId="21E85C38" w14:textId="73373371" w:rsidR="000808AF" w:rsidRPr="00C14A99" w:rsidRDefault="000808AF" w:rsidP="000808AF">
      <w:pPr>
        <w:tabs>
          <w:tab w:val="clear" w:pos="567"/>
        </w:tabs>
        <w:snapToGrid/>
        <w:spacing w:before="480"/>
        <w:jc w:val="left"/>
        <w:rPr>
          <w:rFonts w:eastAsia="Times New Roman"/>
          <w:bCs/>
          <w:iCs/>
          <w:szCs w:val="22"/>
          <w:lang w:val="en-GB" w:eastAsia="pt-BR"/>
        </w:rPr>
      </w:pPr>
      <w:bookmarkStart w:id="3" w:name="_GoBack"/>
      <w:r w:rsidRPr="00C14A99">
        <w:rPr>
          <w:rFonts w:eastAsia="Times New Roman"/>
          <w:szCs w:val="22"/>
          <w:lang w:val="en-GB" w:eastAsia="pt-BR"/>
        </w:rPr>
        <w:t xml:space="preserve">Published in </w:t>
      </w:r>
      <w:r w:rsidR="001D4B46">
        <w:rPr>
          <w:rFonts w:eastAsia="Times New Roman"/>
          <w:szCs w:val="22"/>
          <w:lang w:val="en-GB" w:eastAsia="pt-BR"/>
        </w:rPr>
        <w:t>2016</w:t>
      </w:r>
      <w:r w:rsidRPr="00C14A99">
        <w:rPr>
          <w:rFonts w:eastAsia="Times New Roman"/>
          <w:szCs w:val="22"/>
          <w:lang w:val="en-GB" w:eastAsia="pt-BR"/>
        </w:rPr>
        <w:t xml:space="preserve"> by the United Nations Educational, Scientific and Cultural Organization, </w:t>
      </w:r>
      <w:r w:rsidRPr="00C14A99">
        <w:rPr>
          <w:rFonts w:eastAsia="Times New Roman"/>
          <w:bCs/>
          <w:iCs/>
          <w:szCs w:val="22"/>
          <w:lang w:val="en-GB" w:eastAsia="pt-BR"/>
        </w:rPr>
        <w:t>7, place de Fontenoy, 75352 Paris 07 SP, France</w:t>
      </w:r>
    </w:p>
    <w:p w14:paraId="6A26A037" w14:textId="77777777" w:rsidR="000808AF" w:rsidRPr="00C14A99" w:rsidRDefault="000808AF" w:rsidP="000808AF">
      <w:pPr>
        <w:tabs>
          <w:tab w:val="clear" w:pos="567"/>
        </w:tabs>
        <w:snapToGrid/>
        <w:jc w:val="left"/>
        <w:rPr>
          <w:rFonts w:eastAsia="Times New Roman"/>
          <w:bCs/>
          <w:iCs/>
          <w:szCs w:val="22"/>
          <w:lang w:val="en-GB" w:eastAsia="pt-BR"/>
        </w:rPr>
      </w:pPr>
    </w:p>
    <w:p w14:paraId="66DD4FF2" w14:textId="283546F8" w:rsidR="000808AF" w:rsidRPr="00C14A99" w:rsidRDefault="000808AF" w:rsidP="000808AF">
      <w:pPr>
        <w:autoSpaceDE w:val="0"/>
        <w:autoSpaceDN w:val="0"/>
        <w:adjustRightInd w:val="0"/>
        <w:rPr>
          <w:szCs w:val="22"/>
        </w:rPr>
      </w:pPr>
      <w:r w:rsidRPr="00C14A99">
        <w:rPr>
          <w:szCs w:val="22"/>
          <w:lang w:val="en-GB"/>
        </w:rPr>
        <w:t xml:space="preserve">© UNESCO </w:t>
      </w:r>
      <w:r w:rsidR="001D4B46">
        <w:rPr>
          <w:szCs w:val="22"/>
          <w:lang w:val="en-GB"/>
        </w:rPr>
        <w:t>2016</w:t>
      </w:r>
    </w:p>
    <w:p w14:paraId="5350DB51" w14:textId="77777777" w:rsidR="000808AF" w:rsidRPr="00C14A99" w:rsidRDefault="000808AF" w:rsidP="000808AF">
      <w:pPr>
        <w:autoSpaceDE w:val="0"/>
        <w:autoSpaceDN w:val="0"/>
        <w:adjustRightInd w:val="0"/>
        <w:rPr>
          <w:szCs w:val="22"/>
          <w:lang w:val="en-GB"/>
        </w:rPr>
      </w:pPr>
    </w:p>
    <w:p w14:paraId="5FFA9B8C" w14:textId="77777777" w:rsidR="000808AF" w:rsidRPr="00C14A99" w:rsidRDefault="000808AF" w:rsidP="000808AF">
      <w:pPr>
        <w:autoSpaceDE w:val="0"/>
        <w:autoSpaceDN w:val="0"/>
        <w:adjustRightInd w:val="0"/>
        <w:rPr>
          <w:szCs w:val="22"/>
          <w:lang w:val="en-GB"/>
        </w:rPr>
      </w:pPr>
      <w:r w:rsidRPr="00C14A99">
        <w:rPr>
          <w:noProof/>
          <w:szCs w:val="22"/>
          <w:lang w:val="fr-FR" w:eastAsia="zh-TW"/>
        </w:rPr>
        <w:drawing>
          <wp:inline distT="0" distB="0" distL="0" distR="0" wp14:anchorId="43429B29" wp14:editId="6D474869">
            <wp:extent cx="756527" cy="266031"/>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2C2E43FE" w14:textId="77777777" w:rsidR="000808AF" w:rsidRPr="00C14A99" w:rsidRDefault="000808AF" w:rsidP="000808AF">
      <w:pPr>
        <w:spacing w:before="240"/>
        <w:rPr>
          <w:szCs w:val="22"/>
        </w:rPr>
      </w:pPr>
      <w:r w:rsidRPr="00C14A99">
        <w:rPr>
          <w:szCs w:val="22"/>
        </w:rPr>
        <w:t>This publication is available in Open Access under the Attribution-ShareAlike 3.0 IGO (CC-BY-SA 3.0 IGO) license (</w:t>
      </w:r>
      <w:hyperlink r:id="rId12" w:history="1">
        <w:r w:rsidRPr="00C14A99">
          <w:rPr>
            <w:rFonts w:eastAsiaTheme="minorHAnsi"/>
            <w:color w:val="0000FF"/>
            <w:szCs w:val="22"/>
            <w:u w:val="single" w:color="0000FF"/>
            <w:lang w:val="en-GB" w:eastAsia="en-US"/>
          </w:rPr>
          <w:t>http://creativecommons.org/licenses/by-sa/3.0/igo/</w:t>
        </w:r>
      </w:hyperlink>
      <w:r w:rsidRPr="00C14A99">
        <w:rPr>
          <w:szCs w:val="22"/>
        </w:rPr>
        <w:t>). By using the content of this publication, the users accept to be bound by the terms of use of the UNESCO Open Access Repository (</w:t>
      </w:r>
      <w:hyperlink r:id="rId13" w:history="1">
        <w:r w:rsidRPr="00C14A99">
          <w:rPr>
            <w:color w:val="0000FF"/>
            <w:szCs w:val="22"/>
            <w:u w:val="single"/>
          </w:rPr>
          <w:t>http://www.unesco.org/open-access/terms-use-ccbysa-en</w:t>
        </w:r>
      </w:hyperlink>
      <w:r w:rsidRPr="00C14A99">
        <w:rPr>
          <w:szCs w:val="22"/>
        </w:rPr>
        <w:t>).</w:t>
      </w:r>
    </w:p>
    <w:p w14:paraId="05F343F7" w14:textId="77777777" w:rsidR="000808AF" w:rsidRPr="00C14A99" w:rsidRDefault="000808AF" w:rsidP="000808AF">
      <w:pPr>
        <w:snapToGrid/>
        <w:jc w:val="left"/>
        <w:rPr>
          <w:bCs/>
          <w:iCs/>
          <w:szCs w:val="22"/>
          <w:lang w:val="en-GB" w:eastAsia="pt-BR"/>
        </w:rPr>
      </w:pPr>
      <w:r w:rsidRPr="00C14A99">
        <w:rPr>
          <w:bCs/>
          <w:iCs/>
          <w:szCs w:val="22"/>
          <w:lang w:val="en-GB"/>
        </w:rPr>
        <w:t>The images of this publication do not fall under the CC-BY-SA licence and may not be used, reproduced, or commercialized without the prior permission of the copyright holders.</w:t>
      </w:r>
    </w:p>
    <w:p w14:paraId="6083024A" w14:textId="77777777" w:rsidR="000808AF" w:rsidRPr="00C14A99" w:rsidRDefault="000808AF" w:rsidP="000808AF">
      <w:pPr>
        <w:tabs>
          <w:tab w:val="clear" w:pos="567"/>
        </w:tabs>
        <w:snapToGrid/>
        <w:jc w:val="left"/>
        <w:rPr>
          <w:rFonts w:eastAsia="Times New Roman"/>
          <w:bCs/>
          <w:iCs/>
          <w:szCs w:val="22"/>
          <w:lang w:val="en-GB" w:eastAsia="pt-BR"/>
        </w:rPr>
      </w:pPr>
    </w:p>
    <w:p w14:paraId="1CFBCD7E" w14:textId="77777777" w:rsidR="000808AF" w:rsidRPr="00C14A99" w:rsidRDefault="000808AF" w:rsidP="000808AF">
      <w:pPr>
        <w:rPr>
          <w:bCs/>
          <w:iCs/>
          <w:szCs w:val="22"/>
          <w:lang w:val="en-GB"/>
        </w:rPr>
      </w:pPr>
      <w:r w:rsidRPr="00C14A99">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030710E0" w14:textId="77777777" w:rsidR="000808AF" w:rsidRPr="00C14A99" w:rsidRDefault="000808AF" w:rsidP="000808AF">
      <w:pPr>
        <w:tabs>
          <w:tab w:val="clear" w:pos="567"/>
        </w:tabs>
        <w:snapToGrid/>
        <w:jc w:val="left"/>
        <w:rPr>
          <w:rFonts w:eastAsia="Times New Roman"/>
          <w:bCs/>
          <w:iCs/>
          <w:szCs w:val="22"/>
          <w:lang w:val="en-GB" w:eastAsia="pt-BR"/>
        </w:rPr>
      </w:pPr>
    </w:p>
    <w:p w14:paraId="411F1A65" w14:textId="77777777" w:rsidR="000808AF" w:rsidRPr="00C14A99" w:rsidRDefault="000808AF" w:rsidP="000808AF">
      <w:pPr>
        <w:tabs>
          <w:tab w:val="clear" w:pos="567"/>
        </w:tabs>
        <w:snapToGrid/>
        <w:jc w:val="left"/>
        <w:rPr>
          <w:rFonts w:eastAsia="Times New Roman"/>
          <w:bCs/>
          <w:iCs/>
          <w:szCs w:val="22"/>
          <w:lang w:val="en-GB" w:eastAsia="pt-BR"/>
        </w:rPr>
      </w:pPr>
      <w:r w:rsidRPr="00C14A99">
        <w:rPr>
          <w:rFonts w:eastAsia="Times New Roman"/>
          <w:bCs/>
          <w:iCs/>
          <w:szCs w:val="22"/>
          <w:lang w:val="en-GB" w:eastAsia="pt-BR"/>
        </w:rPr>
        <w:t>The ideas and opinions expressed in this publication are those of the authors; they are not necessarily those of UNESCO and do not commit the Organization.</w:t>
      </w:r>
    </w:p>
    <w:bookmarkEnd w:id="3"/>
    <w:p w14:paraId="6144774C" w14:textId="77777777" w:rsidR="000808AF" w:rsidRPr="00C14A99" w:rsidRDefault="000808AF" w:rsidP="000808AF">
      <w:pPr>
        <w:tabs>
          <w:tab w:val="clear" w:pos="567"/>
        </w:tabs>
        <w:snapToGrid/>
        <w:jc w:val="left"/>
        <w:rPr>
          <w:lang w:val="en-GB"/>
        </w:rPr>
      </w:pPr>
    </w:p>
    <w:p w14:paraId="1AA190F4" w14:textId="77777777" w:rsidR="000808AF" w:rsidRDefault="000808AF" w:rsidP="000808AF">
      <w:pPr>
        <w:tabs>
          <w:tab w:val="clear" w:pos="567"/>
        </w:tabs>
        <w:snapToGrid/>
        <w:jc w:val="left"/>
      </w:pPr>
      <w:r>
        <w:br w:type="page"/>
      </w:r>
    </w:p>
    <w:p w14:paraId="2845FA21" w14:textId="736FDBCA" w:rsidR="00F90193" w:rsidRPr="003E6D9D" w:rsidRDefault="0038213C" w:rsidP="004936EF">
      <w:pPr>
        <w:pStyle w:val="Titcoul"/>
        <w:rPr>
          <w:szCs w:val="70"/>
        </w:rPr>
      </w:pPr>
      <w:r w:rsidRPr="003E6D9D">
        <w:rPr>
          <w:rFonts w:eastAsia="Calibri"/>
          <w:kern w:val="0"/>
          <w:szCs w:val="70"/>
        </w:rPr>
        <w:lastRenderedPageBreak/>
        <w:t>lesson plan</w:t>
      </w:r>
      <w:bookmarkEnd w:id="1"/>
    </w:p>
    <w:bookmarkEnd w:id="2"/>
    <w:p w14:paraId="1F99936A" w14:textId="77777777" w:rsidR="0033097C" w:rsidRPr="003E6D9D" w:rsidRDefault="007074E3" w:rsidP="00F90193">
      <w:pPr>
        <w:pStyle w:val="UTit4"/>
        <w:rPr>
          <w:lang w:val="en-GB"/>
        </w:rPr>
      </w:pPr>
      <w:r w:rsidRPr="003E6D9D">
        <w:rPr>
          <w:lang w:val="en-GB"/>
        </w:rPr>
        <w:t>Duration:</w:t>
      </w:r>
    </w:p>
    <w:p w14:paraId="61B911A9" w14:textId="77777777" w:rsidR="007074E3" w:rsidRPr="003E6D9D" w:rsidRDefault="007074E3" w:rsidP="0063677A">
      <w:pPr>
        <w:pStyle w:val="UTxt"/>
        <w:rPr>
          <w:i w:val="0"/>
          <w:lang w:val="en-GB"/>
        </w:rPr>
      </w:pPr>
      <w:r w:rsidRPr="003E6D9D">
        <w:rPr>
          <w:i w:val="0"/>
          <w:lang w:val="en-GB"/>
        </w:rPr>
        <w:t>2 hours (</w:t>
      </w:r>
      <w:r w:rsidR="00472FF6" w:rsidRPr="003E6D9D">
        <w:rPr>
          <w:i w:val="0"/>
          <w:lang w:val="en-GB"/>
        </w:rPr>
        <w:t>plus additional time</w:t>
      </w:r>
      <w:r w:rsidR="006B25B5" w:rsidRPr="003E6D9D">
        <w:rPr>
          <w:i w:val="0"/>
          <w:lang w:val="en-GB"/>
        </w:rPr>
        <w:t xml:space="preserve"> </w:t>
      </w:r>
      <w:r w:rsidRPr="003E6D9D">
        <w:rPr>
          <w:i w:val="0"/>
          <w:lang w:val="en-GB"/>
        </w:rPr>
        <w:t>for the optional exercise</w:t>
      </w:r>
      <w:r w:rsidR="00472FF6" w:rsidRPr="003E6D9D">
        <w:rPr>
          <w:i w:val="0"/>
          <w:lang w:val="en-GB"/>
        </w:rPr>
        <w:t>s</w:t>
      </w:r>
      <w:r w:rsidRPr="003E6D9D">
        <w:rPr>
          <w:i w:val="0"/>
          <w:lang w:val="en-GB"/>
        </w:rPr>
        <w:t xml:space="preserve"> at the end)</w:t>
      </w:r>
    </w:p>
    <w:p w14:paraId="13E77D87" w14:textId="77777777" w:rsidR="007074E3" w:rsidRPr="003E6D9D" w:rsidRDefault="007074E3" w:rsidP="004936EF">
      <w:pPr>
        <w:pStyle w:val="UTit4"/>
        <w:rPr>
          <w:szCs w:val="70"/>
          <w:lang w:val="en-GB"/>
        </w:rPr>
      </w:pPr>
      <w:r w:rsidRPr="003E6D9D">
        <w:rPr>
          <w:rFonts w:cs="Arial"/>
          <w:szCs w:val="70"/>
          <w:lang w:val="en-GB"/>
        </w:rPr>
        <w:t>Objective(s):</w:t>
      </w:r>
    </w:p>
    <w:p w14:paraId="32C7648F" w14:textId="724B77C4" w:rsidR="007074E3" w:rsidRPr="003E6D9D" w:rsidRDefault="007074E3" w:rsidP="0063677A">
      <w:pPr>
        <w:pStyle w:val="UTxt"/>
        <w:rPr>
          <w:i w:val="0"/>
          <w:lang w:val="en-GB"/>
        </w:rPr>
      </w:pPr>
      <w:r w:rsidRPr="003E6D9D">
        <w:rPr>
          <w:i w:val="0"/>
          <w:lang w:val="en-GB"/>
        </w:rPr>
        <w:t xml:space="preserve">Identify, through discussions and case studies, various ways in which communities, groups and individuals can participate in the widest possible way in the safeguarding of their </w:t>
      </w:r>
      <w:r w:rsidR="0097038A" w:rsidRPr="003E6D9D">
        <w:rPr>
          <w:i w:val="0"/>
          <w:lang w:val="en-GB"/>
        </w:rPr>
        <w:t>intangible cultural heritage (ICH)</w:t>
      </w:r>
      <w:r w:rsidRPr="003E6D9D">
        <w:rPr>
          <w:i w:val="0"/>
          <w:lang w:val="en-GB"/>
        </w:rPr>
        <w:t>, and in other aspects of the implementation of the Convention</w:t>
      </w:r>
      <w:r w:rsidR="00F848F4" w:rsidRPr="003E6D9D">
        <w:rPr>
          <w:i w:val="0"/>
          <w:lang w:val="en-GB"/>
        </w:rPr>
        <w:t xml:space="preserve"> for the Safeguarding of the Intangible Cultural Heritage</w:t>
      </w:r>
      <w:r w:rsidR="006535DB" w:rsidRPr="003E6D9D">
        <w:rPr>
          <w:i w:val="0"/>
          <w:lang w:val="en-GB"/>
        </w:rPr>
        <w:t>.</w:t>
      </w:r>
      <w:r w:rsidR="00F848F4" w:rsidRPr="003E6D9D">
        <w:rPr>
          <w:rStyle w:val="FootnoteReference"/>
          <w:i w:val="0"/>
          <w:lang w:val="en-GB"/>
        </w:rPr>
        <w:footnoteReference w:id="1"/>
      </w:r>
    </w:p>
    <w:p w14:paraId="2669847D" w14:textId="77777777" w:rsidR="007074E3" w:rsidRPr="003E6D9D" w:rsidRDefault="007074E3" w:rsidP="004936EF">
      <w:pPr>
        <w:pStyle w:val="UTit4"/>
        <w:rPr>
          <w:rFonts w:cs="Arial"/>
          <w:szCs w:val="70"/>
          <w:lang w:val="en-GB"/>
        </w:rPr>
      </w:pPr>
      <w:r w:rsidRPr="003E6D9D">
        <w:rPr>
          <w:rFonts w:cs="Arial"/>
          <w:szCs w:val="70"/>
          <w:lang w:val="en-GB"/>
        </w:rPr>
        <w:t>Description:</w:t>
      </w:r>
    </w:p>
    <w:p w14:paraId="390C6E47" w14:textId="497B92F0" w:rsidR="004A3B6C" w:rsidRPr="003E6D9D" w:rsidRDefault="004A3B6C" w:rsidP="009A3933">
      <w:pPr>
        <w:pStyle w:val="UTxt"/>
        <w:rPr>
          <w:i w:val="0"/>
          <w:lang w:val="en-GB"/>
        </w:rPr>
      </w:pPr>
      <w:r w:rsidRPr="003E6D9D">
        <w:rPr>
          <w:i w:val="0"/>
          <w:lang w:val="en-GB"/>
        </w:rPr>
        <w:t>This unit is about community participation in the implementation of the Convention and covers the following topics: what the Convention and the O</w:t>
      </w:r>
      <w:r w:rsidR="003A32F5" w:rsidRPr="003E6D9D">
        <w:rPr>
          <w:i w:val="0"/>
          <w:lang w:val="en-GB"/>
        </w:rPr>
        <w:t xml:space="preserve">perational </w:t>
      </w:r>
      <w:r w:rsidRPr="003E6D9D">
        <w:rPr>
          <w:i w:val="0"/>
          <w:lang w:val="en-GB"/>
        </w:rPr>
        <w:t>D</w:t>
      </w:r>
      <w:r w:rsidR="003A32F5" w:rsidRPr="003E6D9D">
        <w:rPr>
          <w:i w:val="0"/>
          <w:lang w:val="en-GB"/>
        </w:rPr>
        <w:t>irective</w:t>
      </w:r>
      <w:r w:rsidRPr="003E6D9D">
        <w:rPr>
          <w:i w:val="0"/>
          <w:lang w:val="en-GB"/>
        </w:rPr>
        <w:t>s</w:t>
      </w:r>
      <w:r w:rsidR="003A32F5" w:rsidRPr="003E6D9D">
        <w:rPr>
          <w:i w:val="0"/>
          <w:lang w:val="en-GB"/>
        </w:rPr>
        <w:t xml:space="preserve"> (ODs)</w:t>
      </w:r>
      <w:r w:rsidRPr="003E6D9D">
        <w:rPr>
          <w:i w:val="0"/>
          <w:lang w:val="en-GB"/>
        </w:rPr>
        <w:t xml:space="preserve"> tell us about community participation, why and when community participation and consent are required, community participation</w:t>
      </w:r>
      <w:r w:rsidR="003A32F5" w:rsidRPr="003E6D9D">
        <w:rPr>
          <w:i w:val="0"/>
          <w:lang w:val="en-GB"/>
        </w:rPr>
        <w:t xml:space="preserve"> in different safeguarding activities</w:t>
      </w:r>
      <w:r w:rsidRPr="003E6D9D">
        <w:rPr>
          <w:i w:val="0"/>
          <w:lang w:val="en-GB"/>
        </w:rPr>
        <w:t xml:space="preserve"> (inventorying, raising</w:t>
      </w:r>
      <w:r w:rsidR="00F74C2C" w:rsidRPr="003E6D9D">
        <w:rPr>
          <w:i w:val="0"/>
          <w:lang w:val="en-GB"/>
        </w:rPr>
        <w:t xml:space="preserve"> awareness</w:t>
      </w:r>
      <w:r w:rsidRPr="003E6D9D">
        <w:rPr>
          <w:i w:val="0"/>
          <w:lang w:val="en-GB"/>
        </w:rPr>
        <w:t>, prepar</w:t>
      </w:r>
      <w:r w:rsidR="00245898" w:rsidRPr="003E6D9D">
        <w:rPr>
          <w:i w:val="0"/>
          <w:lang w:val="en-GB"/>
        </w:rPr>
        <w:t>ing</w:t>
      </w:r>
      <w:r w:rsidRPr="003E6D9D">
        <w:rPr>
          <w:i w:val="0"/>
          <w:lang w:val="en-GB"/>
        </w:rPr>
        <w:t xml:space="preserve"> nomination files and requests for international assistance</w:t>
      </w:r>
      <w:r w:rsidR="00245898" w:rsidRPr="003E6D9D">
        <w:rPr>
          <w:i w:val="0"/>
          <w:lang w:val="en-GB"/>
        </w:rPr>
        <w:t>, etc.</w:t>
      </w:r>
      <w:r w:rsidRPr="003E6D9D">
        <w:rPr>
          <w:i w:val="0"/>
          <w:lang w:val="en-GB"/>
        </w:rPr>
        <w:t>), the identification of communities and their representatives, obtaining free, prior and informed consent, protecting the rights</w:t>
      </w:r>
      <w:r w:rsidR="003A32F5" w:rsidRPr="003E6D9D">
        <w:rPr>
          <w:i w:val="0"/>
          <w:lang w:val="en-GB"/>
        </w:rPr>
        <w:t xml:space="preserve"> of communities</w:t>
      </w:r>
      <w:r w:rsidRPr="003E6D9D">
        <w:rPr>
          <w:i w:val="0"/>
          <w:lang w:val="en-GB"/>
        </w:rPr>
        <w:t xml:space="preserve"> and ensuring that they benefit from the implementation of the Convention.</w:t>
      </w:r>
    </w:p>
    <w:p w14:paraId="2CEF5C7B" w14:textId="77777777" w:rsidR="007074E3" w:rsidRPr="003E6D9D" w:rsidRDefault="004A3B6C" w:rsidP="004936EF">
      <w:pPr>
        <w:pStyle w:val="UTxt"/>
        <w:rPr>
          <w:lang w:val="en-GB"/>
        </w:rPr>
      </w:pPr>
      <w:r w:rsidRPr="003E6D9D">
        <w:rPr>
          <w:lang w:val="en-GB"/>
        </w:rPr>
        <w:t>Proposed sequence:</w:t>
      </w:r>
    </w:p>
    <w:p w14:paraId="75BBA77B" w14:textId="77777777" w:rsidR="007074E3" w:rsidRPr="003E6D9D" w:rsidRDefault="007074E3" w:rsidP="004936EF">
      <w:pPr>
        <w:pStyle w:val="Upuce"/>
        <w:rPr>
          <w:lang w:val="en-GB"/>
        </w:rPr>
      </w:pPr>
      <w:r w:rsidRPr="003E6D9D">
        <w:rPr>
          <w:lang w:val="en-GB"/>
        </w:rPr>
        <w:t>What can go wrong</w:t>
      </w:r>
    </w:p>
    <w:p w14:paraId="3B1520DB" w14:textId="77777777" w:rsidR="007074E3" w:rsidRPr="003E6D9D" w:rsidRDefault="007074E3" w:rsidP="004936EF">
      <w:pPr>
        <w:pStyle w:val="Upuce"/>
        <w:rPr>
          <w:lang w:val="en-GB"/>
        </w:rPr>
      </w:pPr>
      <w:r w:rsidRPr="003E6D9D">
        <w:rPr>
          <w:lang w:val="en-GB"/>
        </w:rPr>
        <w:t>Why community participation</w:t>
      </w:r>
    </w:p>
    <w:p w14:paraId="349A3F1C" w14:textId="77777777" w:rsidR="007074E3" w:rsidRPr="003E6D9D" w:rsidRDefault="007074E3" w:rsidP="004936EF">
      <w:pPr>
        <w:pStyle w:val="Upuce"/>
        <w:rPr>
          <w:lang w:val="en-GB"/>
        </w:rPr>
      </w:pPr>
      <w:r w:rsidRPr="003E6D9D">
        <w:rPr>
          <w:lang w:val="en-GB"/>
        </w:rPr>
        <w:t>What the Convention and the ODs say (and do not say) about community participation</w:t>
      </w:r>
    </w:p>
    <w:p w14:paraId="1C73EEF0" w14:textId="77777777" w:rsidR="007074E3" w:rsidRPr="003E6D9D" w:rsidRDefault="007074E3" w:rsidP="004936EF">
      <w:pPr>
        <w:pStyle w:val="Upuce"/>
        <w:rPr>
          <w:lang w:val="en-GB"/>
        </w:rPr>
      </w:pPr>
      <w:r w:rsidRPr="003E6D9D">
        <w:rPr>
          <w:lang w:val="en-GB"/>
        </w:rPr>
        <w:t>Role of States and rights of communities</w:t>
      </w:r>
    </w:p>
    <w:p w14:paraId="26A237E5" w14:textId="77777777" w:rsidR="007074E3" w:rsidRPr="003E6D9D" w:rsidRDefault="007074E3" w:rsidP="004936EF">
      <w:pPr>
        <w:pStyle w:val="Upuce"/>
        <w:rPr>
          <w:lang w:val="en-GB"/>
        </w:rPr>
      </w:pPr>
      <w:r w:rsidRPr="003E6D9D">
        <w:rPr>
          <w:lang w:val="en-GB"/>
        </w:rPr>
        <w:t>Community participation in general: identification, inventorying and safeguarding</w:t>
      </w:r>
    </w:p>
    <w:p w14:paraId="38470357" w14:textId="77777777" w:rsidR="007074E3" w:rsidRPr="003E6D9D" w:rsidRDefault="007074E3" w:rsidP="004936EF">
      <w:pPr>
        <w:pStyle w:val="Upuce"/>
        <w:rPr>
          <w:lang w:val="en-GB"/>
        </w:rPr>
      </w:pPr>
      <w:r w:rsidRPr="003E6D9D">
        <w:rPr>
          <w:lang w:val="en-GB"/>
        </w:rPr>
        <w:t>Community participation in inventorying</w:t>
      </w:r>
    </w:p>
    <w:p w14:paraId="1757EE75" w14:textId="24C0CD04" w:rsidR="007074E3" w:rsidRPr="003E6D9D" w:rsidRDefault="007074E3" w:rsidP="004936EF">
      <w:pPr>
        <w:pStyle w:val="Upuce"/>
        <w:rPr>
          <w:lang w:val="en-GB"/>
        </w:rPr>
      </w:pPr>
      <w:r w:rsidRPr="003E6D9D">
        <w:rPr>
          <w:lang w:val="en-GB"/>
        </w:rPr>
        <w:t>Community participation in raising</w:t>
      </w:r>
      <w:r w:rsidR="00F74C2C" w:rsidRPr="003E6D9D">
        <w:rPr>
          <w:lang w:val="en-GB"/>
        </w:rPr>
        <w:t xml:space="preserve"> awareness</w:t>
      </w:r>
    </w:p>
    <w:p w14:paraId="2363CDC8" w14:textId="77777777" w:rsidR="007074E3" w:rsidRPr="003E6D9D" w:rsidRDefault="007074E3" w:rsidP="004936EF">
      <w:pPr>
        <w:pStyle w:val="Upuce"/>
        <w:rPr>
          <w:lang w:val="en-GB"/>
        </w:rPr>
      </w:pPr>
      <w:r w:rsidRPr="003E6D9D">
        <w:rPr>
          <w:lang w:val="en-GB"/>
        </w:rPr>
        <w:t>Community participation in nominations and international assistance requests</w:t>
      </w:r>
    </w:p>
    <w:p w14:paraId="46DA2BE0" w14:textId="77777777" w:rsidR="007074E3" w:rsidRPr="003E6D9D" w:rsidRDefault="007074E3" w:rsidP="004936EF">
      <w:pPr>
        <w:pStyle w:val="Upuce"/>
        <w:rPr>
          <w:lang w:val="en-GB"/>
        </w:rPr>
      </w:pPr>
      <w:r w:rsidRPr="003E6D9D">
        <w:rPr>
          <w:lang w:val="en-GB"/>
        </w:rPr>
        <w:t>Process of ensuring community participation and consent</w:t>
      </w:r>
    </w:p>
    <w:p w14:paraId="3AD20F62" w14:textId="77777777" w:rsidR="007074E3" w:rsidRPr="003E6D9D" w:rsidRDefault="007074E3" w:rsidP="004936EF">
      <w:pPr>
        <w:pStyle w:val="UTit4"/>
        <w:rPr>
          <w:szCs w:val="70"/>
          <w:lang w:val="en-GB"/>
        </w:rPr>
      </w:pPr>
      <w:r w:rsidRPr="003E6D9D">
        <w:rPr>
          <w:rFonts w:cs="Arial"/>
          <w:szCs w:val="70"/>
          <w:lang w:val="en-GB"/>
        </w:rPr>
        <w:t>Supporting documents:</w:t>
      </w:r>
    </w:p>
    <w:p w14:paraId="27A508BB" w14:textId="77777777" w:rsidR="00B152BA" w:rsidRPr="003E6D9D" w:rsidRDefault="00B152BA" w:rsidP="004936EF">
      <w:pPr>
        <w:pStyle w:val="Upuce"/>
        <w:rPr>
          <w:lang w:val="en-GB"/>
        </w:rPr>
      </w:pPr>
      <w:r w:rsidRPr="003E6D9D">
        <w:rPr>
          <w:lang w:val="en-GB"/>
        </w:rPr>
        <w:t>Facilitator’s</w:t>
      </w:r>
      <w:r w:rsidR="00F10CDD" w:rsidRPr="003E6D9D">
        <w:rPr>
          <w:lang w:val="en-GB"/>
        </w:rPr>
        <w:t> </w:t>
      </w:r>
      <w:r w:rsidRPr="003E6D9D">
        <w:rPr>
          <w:lang w:val="en-GB"/>
        </w:rPr>
        <w:t>n</w:t>
      </w:r>
      <w:r w:rsidR="009A3A18" w:rsidRPr="003E6D9D">
        <w:rPr>
          <w:lang w:val="en-GB"/>
        </w:rPr>
        <w:t>arrative</w:t>
      </w:r>
      <w:r w:rsidRPr="003E6D9D">
        <w:rPr>
          <w:lang w:val="en-GB"/>
        </w:rPr>
        <w:t xml:space="preserve"> Unit</w:t>
      </w:r>
      <w:r w:rsidR="008E5574" w:rsidRPr="003E6D9D">
        <w:rPr>
          <w:lang w:val="en-GB"/>
        </w:rPr>
        <w:t> </w:t>
      </w:r>
      <w:r w:rsidRPr="003E6D9D">
        <w:rPr>
          <w:lang w:val="en-GB"/>
        </w:rPr>
        <w:t>7</w:t>
      </w:r>
    </w:p>
    <w:p w14:paraId="014CB784" w14:textId="77777777" w:rsidR="007074E3" w:rsidRPr="003E6D9D" w:rsidRDefault="007074E3" w:rsidP="004936EF">
      <w:pPr>
        <w:pStyle w:val="Upuce"/>
        <w:rPr>
          <w:lang w:val="en-GB"/>
        </w:rPr>
      </w:pPr>
      <w:r w:rsidRPr="003E6D9D">
        <w:rPr>
          <w:lang w:val="en-GB"/>
        </w:rPr>
        <w:t xml:space="preserve">PowerPoint presentation </w:t>
      </w:r>
      <w:r w:rsidR="00B152BA" w:rsidRPr="003E6D9D">
        <w:rPr>
          <w:lang w:val="en-GB"/>
        </w:rPr>
        <w:t>Unit</w:t>
      </w:r>
      <w:r w:rsidR="008E5574" w:rsidRPr="003E6D9D">
        <w:rPr>
          <w:lang w:val="en-GB"/>
        </w:rPr>
        <w:t> </w:t>
      </w:r>
      <w:r w:rsidR="00B152BA" w:rsidRPr="003E6D9D">
        <w:rPr>
          <w:lang w:val="en-GB"/>
        </w:rPr>
        <w:t>7</w:t>
      </w:r>
    </w:p>
    <w:p w14:paraId="772904AA" w14:textId="77777777" w:rsidR="007074E3" w:rsidRPr="003E6D9D" w:rsidRDefault="00F02D08" w:rsidP="004936EF">
      <w:pPr>
        <w:pStyle w:val="Upuce"/>
        <w:rPr>
          <w:lang w:val="en-GB"/>
        </w:rPr>
      </w:pPr>
      <w:r w:rsidRPr="003E6D9D">
        <w:rPr>
          <w:lang w:val="en-GB"/>
        </w:rPr>
        <w:t>Participant’s</w:t>
      </w:r>
      <w:r w:rsidR="002A3923" w:rsidRPr="003E6D9D">
        <w:rPr>
          <w:lang w:val="en-GB"/>
        </w:rPr>
        <w:t xml:space="preserve"> text </w:t>
      </w:r>
      <w:r w:rsidR="005B7AFC" w:rsidRPr="003E6D9D">
        <w:rPr>
          <w:lang w:val="en-GB"/>
        </w:rPr>
        <w:t>Unit</w:t>
      </w:r>
      <w:r w:rsidR="008E5574" w:rsidRPr="003E6D9D">
        <w:rPr>
          <w:lang w:val="en-GB"/>
        </w:rPr>
        <w:t> </w:t>
      </w:r>
      <w:r w:rsidR="005B7AFC" w:rsidRPr="003E6D9D">
        <w:rPr>
          <w:lang w:val="en-GB"/>
        </w:rPr>
        <w:t>7</w:t>
      </w:r>
    </w:p>
    <w:p w14:paraId="7BA4D30F" w14:textId="77777777" w:rsidR="007074E3" w:rsidRPr="003E6D9D" w:rsidRDefault="00F02D08" w:rsidP="004936EF">
      <w:pPr>
        <w:pStyle w:val="Upuce"/>
        <w:rPr>
          <w:lang w:val="en-GB"/>
        </w:rPr>
      </w:pPr>
      <w:r w:rsidRPr="003E6D9D">
        <w:rPr>
          <w:lang w:val="en-GB"/>
        </w:rPr>
        <w:t>Participant’s</w:t>
      </w:r>
      <w:r w:rsidR="002A3923" w:rsidRPr="003E6D9D">
        <w:rPr>
          <w:lang w:val="en-GB"/>
        </w:rPr>
        <w:t xml:space="preserve"> text </w:t>
      </w:r>
      <w:r w:rsidR="005B7AFC" w:rsidRPr="003E6D9D">
        <w:rPr>
          <w:lang w:val="en-GB"/>
        </w:rPr>
        <w:t>Unit</w:t>
      </w:r>
      <w:r w:rsidR="008E5574" w:rsidRPr="003E6D9D">
        <w:rPr>
          <w:lang w:val="en-GB"/>
        </w:rPr>
        <w:t> </w:t>
      </w:r>
      <w:r w:rsidR="005B7AFC" w:rsidRPr="003E6D9D">
        <w:rPr>
          <w:lang w:val="en-GB"/>
        </w:rPr>
        <w:t>3</w:t>
      </w:r>
      <w:r w:rsidR="007074E3" w:rsidRPr="003E6D9D">
        <w:rPr>
          <w:lang w:val="en-GB"/>
        </w:rPr>
        <w:t>: ‘Communities, groups and individuals’, ‘Free, prior and informed consent’, ‘Indigenous communities’ and ‘Intellectual property’</w:t>
      </w:r>
    </w:p>
    <w:p w14:paraId="7D41E201" w14:textId="570D5446" w:rsidR="007074E3" w:rsidRDefault="005B7AFC" w:rsidP="004936EF">
      <w:pPr>
        <w:pStyle w:val="Upuce"/>
        <w:rPr>
          <w:lang w:val="en-GB"/>
        </w:rPr>
      </w:pPr>
      <w:r w:rsidRPr="003E6D9D">
        <w:rPr>
          <w:lang w:val="en-GB"/>
        </w:rPr>
        <w:lastRenderedPageBreak/>
        <w:t>C</w:t>
      </w:r>
      <w:r w:rsidR="007074E3" w:rsidRPr="003E6D9D">
        <w:rPr>
          <w:lang w:val="en-GB"/>
        </w:rPr>
        <w:t>ase studies</w:t>
      </w:r>
      <w:r w:rsidR="008E5574" w:rsidRPr="003E6D9D">
        <w:rPr>
          <w:lang w:val="en-GB"/>
        </w:rPr>
        <w:t> </w:t>
      </w:r>
      <w:r w:rsidR="007074E3" w:rsidRPr="003E6D9D">
        <w:rPr>
          <w:lang w:val="en-GB"/>
        </w:rPr>
        <w:t>9–13</w:t>
      </w:r>
    </w:p>
    <w:p w14:paraId="3566EFBA" w14:textId="3F9AB8DC" w:rsidR="0094589C" w:rsidRPr="0094589C" w:rsidRDefault="0094589C" w:rsidP="0094589C">
      <w:pPr>
        <w:pStyle w:val="Upuce"/>
        <w:rPr>
          <w:rFonts w:eastAsia="Times New Roman"/>
          <w:b/>
          <w:color w:val="0000FF"/>
          <w:szCs w:val="16"/>
          <w:u w:val="single"/>
          <w:lang w:val="en-GB"/>
        </w:rPr>
      </w:pPr>
      <w:r w:rsidRPr="0094589C">
        <w:rPr>
          <w:lang w:val="en-US"/>
        </w:rPr>
        <w:t xml:space="preserve">UNESCO. Basic Texts of the 2003 Convention for the Safeguarding of the Intangible Cultural Heritage (referred to in this unit as Basic Texts). </w:t>
      </w:r>
      <w:r w:rsidRPr="0094589C">
        <w:t xml:space="preserve">Paris, UNESCO. Available at </w:t>
      </w:r>
      <w:hyperlink r:id="rId14" w:history="1">
        <w:r w:rsidRPr="0094589C">
          <w:rPr>
            <w:rStyle w:val="Hyperlink"/>
            <w:rFonts w:eastAsia="Times New Roman"/>
            <w:b/>
            <w:szCs w:val="16"/>
            <w:lang w:val="en-GB"/>
          </w:rPr>
          <w:t>http://www.unesco.org/culture/ich/index.php?lg=en&amp;pg=00503</w:t>
        </w:r>
      </w:hyperlink>
    </w:p>
    <w:p w14:paraId="7A6A2BB7" w14:textId="3A077C1A" w:rsidR="001B03FB" w:rsidRPr="003E6D9D" w:rsidRDefault="00B42711" w:rsidP="004936EF">
      <w:pPr>
        <w:pStyle w:val="Soustitre"/>
        <w:rPr>
          <w:lang w:val="en-GB"/>
        </w:rPr>
      </w:pPr>
      <w:bookmarkStart w:id="4" w:name="_Toc238982229"/>
      <w:r w:rsidRPr="003E6D9D">
        <w:rPr>
          <w:lang w:val="en-GB"/>
        </w:rPr>
        <w:t>Notes and suggestions</w:t>
      </w:r>
      <w:bookmarkEnd w:id="4"/>
    </w:p>
    <w:p w14:paraId="561C120D" w14:textId="338D03A2" w:rsidR="00EA12F8" w:rsidRPr="00C664C4" w:rsidRDefault="00EA12F8" w:rsidP="009909DD">
      <w:pPr>
        <w:pStyle w:val="Texte1"/>
        <w:rPr>
          <w:lang w:val="en-GB"/>
        </w:rPr>
      </w:pPr>
      <w:r w:rsidRPr="00C664C4">
        <w:rPr>
          <w:lang w:val="en-GB"/>
        </w:rPr>
        <w:t xml:space="preserve">The </w:t>
      </w:r>
      <w:r w:rsidR="000670F0" w:rsidRPr="00C664C4">
        <w:rPr>
          <w:lang w:val="en-GB"/>
        </w:rPr>
        <w:t>International Cooperative Biodiversity Groups (</w:t>
      </w:r>
      <w:r w:rsidRPr="00C664C4">
        <w:rPr>
          <w:lang w:val="en-GB"/>
        </w:rPr>
        <w:t>ICBG</w:t>
      </w:r>
      <w:r w:rsidR="000670F0" w:rsidRPr="00C664C4">
        <w:rPr>
          <w:lang w:val="en-GB"/>
        </w:rPr>
        <w:t>)</w:t>
      </w:r>
      <w:r w:rsidRPr="00C664C4">
        <w:rPr>
          <w:lang w:val="en-GB"/>
        </w:rPr>
        <w:t xml:space="preserve"> Maya case study </w:t>
      </w:r>
      <w:r w:rsidR="00AD4013" w:rsidRPr="00C664C4">
        <w:rPr>
          <w:lang w:val="en-GB"/>
        </w:rPr>
        <w:t>or a similar local example of a project in which community participation became a contested issue could</w:t>
      </w:r>
      <w:r w:rsidR="00B04692" w:rsidRPr="00C664C4">
        <w:rPr>
          <w:lang w:val="en-GB"/>
        </w:rPr>
        <w:t xml:space="preserve"> be described and discussed in some detail. The other case studies are illustrative. </w:t>
      </w:r>
      <w:r w:rsidR="00A576E0" w:rsidRPr="00C664C4">
        <w:rPr>
          <w:lang w:val="en-GB"/>
        </w:rPr>
        <w:t xml:space="preserve">Alternative case studies could be selected and discussed to illustrate specific local challenges that </w:t>
      </w:r>
      <w:r w:rsidR="00AC0FF4" w:rsidRPr="00C664C4">
        <w:rPr>
          <w:lang w:val="en-GB"/>
        </w:rPr>
        <w:t xml:space="preserve">participants </w:t>
      </w:r>
      <w:r w:rsidR="00A576E0" w:rsidRPr="00C664C4">
        <w:rPr>
          <w:lang w:val="en-GB"/>
        </w:rPr>
        <w:t xml:space="preserve">may face. </w:t>
      </w:r>
      <w:r w:rsidR="00275AFC" w:rsidRPr="00C664C4">
        <w:rPr>
          <w:lang w:val="en-GB"/>
        </w:rPr>
        <w:t xml:space="preserve">It </w:t>
      </w:r>
      <w:r w:rsidR="00EF5270" w:rsidRPr="00C664C4">
        <w:rPr>
          <w:lang w:val="en-GB"/>
        </w:rPr>
        <w:t>is</w:t>
      </w:r>
      <w:r w:rsidR="00275AFC" w:rsidRPr="00C664C4">
        <w:rPr>
          <w:lang w:val="en-GB"/>
        </w:rPr>
        <w:t xml:space="preserve"> advisable to have examples of both urban and rural communities. </w:t>
      </w:r>
      <w:r w:rsidR="00B04692" w:rsidRPr="00C664C4">
        <w:rPr>
          <w:lang w:val="en-GB"/>
        </w:rPr>
        <w:t>In discussi</w:t>
      </w:r>
      <w:r w:rsidR="002F2355" w:rsidRPr="00C664C4">
        <w:rPr>
          <w:lang w:val="en-GB"/>
        </w:rPr>
        <w:t>ons on</w:t>
      </w:r>
      <w:r w:rsidR="00B04692" w:rsidRPr="00C664C4">
        <w:rPr>
          <w:lang w:val="en-GB"/>
        </w:rPr>
        <w:t xml:space="preserve"> the case studies, particular attention should be </w:t>
      </w:r>
      <w:r w:rsidR="0024732B" w:rsidRPr="00C664C4">
        <w:rPr>
          <w:lang w:val="en-GB"/>
        </w:rPr>
        <w:t xml:space="preserve">paid </w:t>
      </w:r>
      <w:r w:rsidR="00B04692" w:rsidRPr="00C664C4">
        <w:rPr>
          <w:lang w:val="en-GB"/>
        </w:rPr>
        <w:t>to the question of the legitimacy and authority of community representatives, an issue nicely illustrated by the Patum case study</w:t>
      </w:r>
      <w:r w:rsidR="00AD4013" w:rsidRPr="00C664C4">
        <w:rPr>
          <w:lang w:val="en-GB"/>
        </w:rPr>
        <w:t xml:space="preserve"> </w:t>
      </w:r>
      <w:r w:rsidR="0067284E" w:rsidRPr="00C664C4">
        <w:rPr>
          <w:lang w:val="en-GB"/>
        </w:rPr>
        <w:t>(</w:t>
      </w:r>
      <w:r w:rsidR="00F74C2C" w:rsidRPr="00C664C4">
        <w:rPr>
          <w:lang w:val="en-GB"/>
        </w:rPr>
        <w:t>see Facilitator’s narrative</w:t>
      </w:r>
      <w:r w:rsidR="0067284E" w:rsidRPr="00C664C4">
        <w:rPr>
          <w:lang w:val="en-GB"/>
        </w:rPr>
        <w:t>)</w:t>
      </w:r>
      <w:r w:rsidR="00B04692" w:rsidRPr="00C664C4">
        <w:rPr>
          <w:lang w:val="en-GB"/>
        </w:rPr>
        <w:t>.</w:t>
      </w:r>
      <w:r w:rsidR="00905949" w:rsidRPr="00C664C4">
        <w:rPr>
          <w:lang w:val="en-GB"/>
        </w:rPr>
        <w:t xml:space="preserve"> The point can be made that different strategies for community participation and representation may be appropriate </w:t>
      </w:r>
      <w:r w:rsidR="0024732B" w:rsidRPr="00C664C4">
        <w:rPr>
          <w:lang w:val="en-GB"/>
        </w:rPr>
        <w:t xml:space="preserve">for </w:t>
      </w:r>
      <w:r w:rsidR="00905949" w:rsidRPr="00C664C4">
        <w:rPr>
          <w:lang w:val="en-GB"/>
        </w:rPr>
        <w:t>different sizes and kinds of communities.</w:t>
      </w:r>
    </w:p>
    <w:p w14:paraId="0DED5F42" w14:textId="7E4B666F" w:rsidR="00EA12F8" w:rsidRPr="00C664C4" w:rsidRDefault="00B42711" w:rsidP="009909DD">
      <w:pPr>
        <w:pStyle w:val="Texte1"/>
        <w:rPr>
          <w:lang w:val="en-GB"/>
        </w:rPr>
      </w:pPr>
      <w:r w:rsidRPr="00C664C4">
        <w:rPr>
          <w:lang w:val="en-GB"/>
        </w:rPr>
        <w:t>Various exercises</w:t>
      </w:r>
      <w:r w:rsidR="00B21265" w:rsidRPr="00C664C4">
        <w:rPr>
          <w:lang w:val="en-GB"/>
        </w:rPr>
        <w:t xml:space="preserve"> are provided in the </w:t>
      </w:r>
      <w:r w:rsidR="00AF4E84" w:rsidRPr="00C664C4">
        <w:rPr>
          <w:lang w:val="en-GB"/>
        </w:rPr>
        <w:t>F</w:t>
      </w:r>
      <w:r w:rsidR="00207A9D" w:rsidRPr="00C664C4">
        <w:rPr>
          <w:lang w:val="en-GB"/>
        </w:rPr>
        <w:t>acilitator’s</w:t>
      </w:r>
      <w:r w:rsidR="00AC3FC7" w:rsidRPr="00C664C4">
        <w:rPr>
          <w:lang w:val="en-GB"/>
        </w:rPr>
        <w:t> </w:t>
      </w:r>
      <w:r w:rsidR="00207A9D" w:rsidRPr="00C664C4">
        <w:rPr>
          <w:lang w:val="en-GB"/>
        </w:rPr>
        <w:t>notes</w:t>
      </w:r>
      <w:r w:rsidR="00B21265" w:rsidRPr="00C664C4">
        <w:rPr>
          <w:lang w:val="en-GB"/>
        </w:rPr>
        <w:t xml:space="preserve">. </w:t>
      </w:r>
    </w:p>
    <w:p w14:paraId="666C14FB" w14:textId="77777777" w:rsidR="00DC49A3" w:rsidRPr="003E6D9D" w:rsidRDefault="00EA12F8" w:rsidP="00DC49A3">
      <w:pPr>
        <w:pStyle w:val="Texte1"/>
        <w:rPr>
          <w:lang w:val="en-GB"/>
        </w:rPr>
      </w:pPr>
      <w:r w:rsidRPr="00C664C4">
        <w:rPr>
          <w:lang w:val="en-GB"/>
        </w:rPr>
        <w:t xml:space="preserve">The two </w:t>
      </w:r>
      <w:r w:rsidR="00AE7200" w:rsidRPr="00C664C4">
        <w:rPr>
          <w:lang w:val="en-GB"/>
        </w:rPr>
        <w:t xml:space="preserve">additional, </w:t>
      </w:r>
      <w:r w:rsidR="005145E2" w:rsidRPr="00C664C4">
        <w:rPr>
          <w:lang w:val="en-GB"/>
        </w:rPr>
        <w:t>optional</w:t>
      </w:r>
      <w:r w:rsidRPr="00C664C4">
        <w:rPr>
          <w:lang w:val="en-GB"/>
        </w:rPr>
        <w:t xml:space="preserve"> exercises provided at the end of the </w:t>
      </w:r>
      <w:r w:rsidR="000B3B78" w:rsidRPr="00C664C4">
        <w:rPr>
          <w:lang w:val="en-GB"/>
        </w:rPr>
        <w:t>u</w:t>
      </w:r>
      <w:r w:rsidR="00E01074" w:rsidRPr="00C664C4">
        <w:rPr>
          <w:lang w:val="en-GB"/>
        </w:rPr>
        <w:t>nit</w:t>
      </w:r>
      <w:r w:rsidRPr="00C664C4">
        <w:rPr>
          <w:lang w:val="en-GB"/>
        </w:rPr>
        <w:t xml:space="preserve"> are </w:t>
      </w:r>
      <w:r w:rsidR="00F30732" w:rsidRPr="00C664C4">
        <w:rPr>
          <w:lang w:val="en-GB"/>
        </w:rPr>
        <w:t>role play</w:t>
      </w:r>
      <w:r w:rsidRPr="00C664C4">
        <w:rPr>
          <w:lang w:val="en-GB"/>
        </w:rPr>
        <w:t xml:space="preserve">s that allow participants to explore some of the difficult issues that </w:t>
      </w:r>
      <w:r w:rsidR="00E34DAA" w:rsidRPr="00C664C4">
        <w:rPr>
          <w:lang w:val="en-GB"/>
        </w:rPr>
        <w:t xml:space="preserve">might </w:t>
      </w:r>
      <w:r w:rsidRPr="00C664C4">
        <w:rPr>
          <w:lang w:val="en-GB"/>
        </w:rPr>
        <w:t xml:space="preserve">arise </w:t>
      </w:r>
      <w:r w:rsidR="00AC0FF4" w:rsidRPr="00C664C4">
        <w:rPr>
          <w:lang w:val="en-GB"/>
        </w:rPr>
        <w:t xml:space="preserve">during </w:t>
      </w:r>
      <w:r w:rsidRPr="00C664C4">
        <w:rPr>
          <w:lang w:val="en-GB"/>
        </w:rPr>
        <w:t xml:space="preserve">the development of a community participation strategy. These exercises will take some time to conduct (at least </w:t>
      </w:r>
      <w:r w:rsidR="00A646F7" w:rsidRPr="00C664C4">
        <w:rPr>
          <w:lang w:val="en-GB"/>
        </w:rPr>
        <w:t>1</w:t>
      </w:r>
      <w:r w:rsidRPr="00C664C4">
        <w:rPr>
          <w:lang w:val="en-GB"/>
        </w:rPr>
        <w:t xml:space="preserve"> hour</w:t>
      </w:r>
      <w:r w:rsidR="00A646F7" w:rsidRPr="00C664C4">
        <w:rPr>
          <w:lang w:val="en-GB"/>
        </w:rPr>
        <w:t xml:space="preserve"> and 30 minutes</w:t>
      </w:r>
      <w:r w:rsidR="00B04692" w:rsidRPr="00C664C4">
        <w:rPr>
          <w:lang w:val="en-GB"/>
        </w:rPr>
        <w:t xml:space="preserve"> is needed for each of them)</w:t>
      </w:r>
      <w:r w:rsidR="00AC0FF4" w:rsidRPr="00C664C4">
        <w:rPr>
          <w:lang w:val="en-GB"/>
        </w:rPr>
        <w:t>.</w:t>
      </w:r>
      <w:r w:rsidRPr="00C664C4">
        <w:rPr>
          <w:lang w:val="en-GB"/>
        </w:rPr>
        <w:t xml:space="preserve"> </w:t>
      </w:r>
      <w:r w:rsidR="00AC0FF4" w:rsidRPr="00C664C4">
        <w:rPr>
          <w:lang w:val="en-GB"/>
        </w:rPr>
        <w:t xml:space="preserve">Facilitators could decide to use only </w:t>
      </w:r>
      <w:r w:rsidRPr="00C664C4">
        <w:rPr>
          <w:lang w:val="en-GB"/>
        </w:rPr>
        <w:t xml:space="preserve">one of them </w:t>
      </w:r>
      <w:r w:rsidR="00B04692" w:rsidRPr="00C664C4">
        <w:rPr>
          <w:lang w:val="en-GB"/>
        </w:rPr>
        <w:t xml:space="preserve">and it should </w:t>
      </w:r>
      <w:r w:rsidRPr="00C664C4">
        <w:rPr>
          <w:lang w:val="en-GB"/>
        </w:rPr>
        <w:t>only be included in the workshop if sufficient time is available.</w:t>
      </w:r>
    </w:p>
    <w:p w14:paraId="5B6DCF40" w14:textId="77777777" w:rsidR="00DC49A3" w:rsidRPr="003E6D9D" w:rsidRDefault="00DC49A3">
      <w:pPr>
        <w:tabs>
          <w:tab w:val="clear" w:pos="567"/>
        </w:tabs>
        <w:snapToGrid/>
        <w:spacing w:before="0" w:after="0"/>
        <w:jc w:val="left"/>
        <w:rPr>
          <w:snapToGrid/>
          <w:sz w:val="20"/>
          <w:lang w:val="en-GB"/>
        </w:rPr>
      </w:pPr>
      <w:r w:rsidRPr="003E6D9D">
        <w:rPr>
          <w:lang w:val="en-GB"/>
        </w:rPr>
        <w:br w:type="page"/>
      </w:r>
    </w:p>
    <w:p w14:paraId="1EB4C3F0" w14:textId="77777777" w:rsidR="00555D14" w:rsidRPr="003E6D9D" w:rsidRDefault="00C4640B">
      <w:pPr>
        <w:pStyle w:val="Chapitre"/>
      </w:pPr>
      <w:bookmarkStart w:id="5" w:name="_Toc241644717"/>
      <w:bookmarkStart w:id="6" w:name="_Toc302374686"/>
      <w:r w:rsidRPr="003E6D9D">
        <w:lastRenderedPageBreak/>
        <w:t xml:space="preserve">Unit </w:t>
      </w:r>
      <w:r w:rsidR="00555D14" w:rsidRPr="003E6D9D">
        <w:t>7</w:t>
      </w:r>
      <w:bookmarkEnd w:id="5"/>
    </w:p>
    <w:p w14:paraId="17CD8111" w14:textId="77777777" w:rsidR="0038213C" w:rsidRPr="003E6D9D" w:rsidRDefault="0038213C" w:rsidP="0038213C">
      <w:pPr>
        <w:pStyle w:val="UPlan"/>
        <w:rPr>
          <w:rFonts w:eastAsia="Calibri"/>
        </w:rPr>
      </w:pPr>
      <w:bookmarkStart w:id="7" w:name="_Toc241644718"/>
      <w:r w:rsidRPr="003E6D9D">
        <w:t>involving the communities concerned</w:t>
      </w:r>
    </w:p>
    <w:p w14:paraId="41DD2977" w14:textId="77777777" w:rsidR="0038213C" w:rsidRPr="003E6D9D" w:rsidRDefault="0038213C" w:rsidP="0038213C">
      <w:pPr>
        <w:pStyle w:val="Titcoul"/>
        <w:rPr>
          <w:szCs w:val="70"/>
        </w:rPr>
      </w:pPr>
      <w:r w:rsidRPr="003E6D9D">
        <w:rPr>
          <w:rFonts w:eastAsia="Calibri"/>
          <w:kern w:val="0"/>
          <w:szCs w:val="70"/>
        </w:rPr>
        <w:t>facilitator’s narrative</w:t>
      </w:r>
    </w:p>
    <w:bookmarkEnd w:id="6"/>
    <w:bookmarkEnd w:id="7"/>
    <w:p w14:paraId="5C8C8E39" w14:textId="77777777" w:rsidR="0033097C" w:rsidRPr="003E6D9D" w:rsidRDefault="00F15D63" w:rsidP="004936EF">
      <w:pPr>
        <w:pStyle w:val="Heading6"/>
        <w:rPr>
          <w:lang w:val="en-GB"/>
        </w:rPr>
      </w:pPr>
      <w:r w:rsidRPr="003E6D9D">
        <w:rPr>
          <w:lang w:val="en-GB"/>
        </w:rPr>
        <w:t>S</w:t>
      </w:r>
      <w:r w:rsidR="00F452BB" w:rsidRPr="003E6D9D">
        <w:rPr>
          <w:lang w:val="en-GB"/>
        </w:rPr>
        <w:t>lide 1</w:t>
      </w:r>
      <w:r w:rsidR="0033097C" w:rsidRPr="003E6D9D">
        <w:rPr>
          <w:lang w:val="en-GB"/>
        </w:rPr>
        <w:t>.</w:t>
      </w:r>
    </w:p>
    <w:p w14:paraId="1739124D" w14:textId="77777777" w:rsidR="00F452BB" w:rsidRPr="003E6D9D" w:rsidRDefault="004F1859" w:rsidP="004936EF">
      <w:pPr>
        <w:pStyle w:val="diapo2"/>
        <w:rPr>
          <w:lang w:val="en-GB"/>
        </w:rPr>
      </w:pPr>
      <w:r w:rsidRPr="003E6D9D">
        <w:rPr>
          <w:lang w:val="en-GB"/>
        </w:rPr>
        <w:t>Involving the communities concerned</w:t>
      </w:r>
    </w:p>
    <w:p w14:paraId="037FD58A" w14:textId="77777777" w:rsidR="0033097C" w:rsidRPr="003E6D9D" w:rsidRDefault="00F452BB" w:rsidP="004936EF">
      <w:pPr>
        <w:pStyle w:val="Heading6"/>
        <w:rPr>
          <w:lang w:val="en-GB"/>
        </w:rPr>
      </w:pPr>
      <w:r w:rsidRPr="003E6D9D">
        <w:rPr>
          <w:lang w:val="en-GB"/>
        </w:rPr>
        <w:t>Slide 2</w:t>
      </w:r>
      <w:r w:rsidR="0033097C" w:rsidRPr="003E6D9D">
        <w:rPr>
          <w:lang w:val="en-GB"/>
        </w:rPr>
        <w:t>.</w:t>
      </w:r>
    </w:p>
    <w:p w14:paraId="5A2FC022" w14:textId="17F22173" w:rsidR="00F452BB" w:rsidRDefault="00F452BB" w:rsidP="004936EF">
      <w:pPr>
        <w:pStyle w:val="diapo2"/>
        <w:rPr>
          <w:lang w:val="en-GB"/>
        </w:rPr>
      </w:pPr>
      <w:r w:rsidRPr="003E6D9D">
        <w:rPr>
          <w:lang w:val="en-GB"/>
        </w:rPr>
        <w:t>In this presentation</w:t>
      </w:r>
      <w:r w:rsidR="002B7169" w:rsidRPr="003E6D9D">
        <w:rPr>
          <w:lang w:val="en-GB"/>
        </w:rPr>
        <w:t xml:space="preserve"> …</w:t>
      </w:r>
    </w:p>
    <w:p w14:paraId="44DB904C" w14:textId="391D26FD" w:rsidR="0033097C" w:rsidRPr="003E6D9D" w:rsidRDefault="007F2269" w:rsidP="004936EF">
      <w:pPr>
        <w:pStyle w:val="Heading6"/>
        <w:rPr>
          <w:lang w:val="en-GB"/>
        </w:rPr>
      </w:pPr>
      <w:r w:rsidRPr="003E6D9D">
        <w:rPr>
          <w:lang w:val="en-GB"/>
        </w:rPr>
        <w:t xml:space="preserve">Slide </w:t>
      </w:r>
      <w:r w:rsidR="00570EE9">
        <w:rPr>
          <w:lang w:val="en-GB"/>
        </w:rPr>
        <w:t>3</w:t>
      </w:r>
      <w:r w:rsidR="0033097C" w:rsidRPr="003E6D9D">
        <w:rPr>
          <w:lang w:val="en-GB"/>
        </w:rPr>
        <w:t>.</w:t>
      </w:r>
    </w:p>
    <w:p w14:paraId="363B8ECC" w14:textId="77777777" w:rsidR="007F2269" w:rsidRPr="003E6D9D" w:rsidRDefault="007F2269" w:rsidP="004936EF">
      <w:pPr>
        <w:pStyle w:val="diapo2"/>
        <w:rPr>
          <w:lang w:val="en-GB"/>
        </w:rPr>
      </w:pPr>
      <w:r w:rsidRPr="003E6D9D">
        <w:rPr>
          <w:lang w:val="en-GB"/>
        </w:rPr>
        <w:t>What the Convention and the ODs say (and do not say)</w:t>
      </w:r>
    </w:p>
    <w:p w14:paraId="23956814" w14:textId="4C31FD51" w:rsidR="00F74C2C" w:rsidRPr="003E6D9D" w:rsidRDefault="00F74C2C" w:rsidP="009909DD">
      <w:pPr>
        <w:pStyle w:val="Texte1"/>
        <w:rPr>
          <w:iCs/>
          <w:color w:val="3366FF"/>
          <w:szCs w:val="20"/>
          <w:lang w:val="en-GB"/>
        </w:rPr>
      </w:pPr>
      <w:r w:rsidRPr="003E6D9D">
        <w:rPr>
          <w:iCs/>
          <w:noProof/>
          <w:color w:val="3366FF"/>
          <w:szCs w:val="20"/>
          <w:lang w:eastAsia="zh-TW"/>
        </w:rPr>
        <w:drawing>
          <wp:anchor distT="0" distB="0" distL="114300" distR="114300" simplePos="0" relativeHeight="251695104" behindDoc="0" locked="1" layoutInCell="1" allowOverlap="0" wp14:anchorId="2DAEC4CE" wp14:editId="4A26065C">
            <wp:simplePos x="0" y="0"/>
            <wp:positionH relativeFrom="column">
              <wp:posOffset>0</wp:posOffset>
            </wp:positionH>
            <wp:positionV relativeFrom="paragraph">
              <wp:posOffset>-45720</wp:posOffset>
            </wp:positionV>
            <wp:extent cx="282575" cy="357505"/>
            <wp:effectExtent l="0" t="0" r="3175" b="4445"/>
            <wp:wrapNone/>
            <wp:docPr id="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3E6D9D">
        <w:rPr>
          <w:iCs/>
          <w:color w:val="3366FF"/>
          <w:szCs w:val="20"/>
          <w:lang w:val="en-GB"/>
        </w:rPr>
        <w:t xml:space="preserve">Refer to </w:t>
      </w:r>
      <w:r w:rsidR="00F02D08" w:rsidRPr="003E6D9D">
        <w:rPr>
          <w:iCs/>
          <w:color w:val="3366FF"/>
          <w:szCs w:val="20"/>
          <w:lang w:val="en-GB"/>
        </w:rPr>
        <w:t>Participant’s</w:t>
      </w:r>
      <w:r w:rsidR="002A3923" w:rsidRPr="003E6D9D">
        <w:rPr>
          <w:iCs/>
          <w:color w:val="3366FF"/>
          <w:szCs w:val="20"/>
          <w:lang w:val="en-GB"/>
        </w:rPr>
        <w:t xml:space="preserve"> text </w:t>
      </w:r>
      <w:r w:rsidR="005B7AFC" w:rsidRPr="003E6D9D">
        <w:rPr>
          <w:iCs/>
          <w:color w:val="3366FF"/>
          <w:szCs w:val="20"/>
          <w:lang w:val="en-GB"/>
        </w:rPr>
        <w:t>Unit</w:t>
      </w:r>
      <w:r w:rsidR="008E5574" w:rsidRPr="003E6D9D">
        <w:rPr>
          <w:iCs/>
          <w:color w:val="3366FF"/>
          <w:szCs w:val="20"/>
          <w:lang w:val="en-GB"/>
        </w:rPr>
        <w:t> </w:t>
      </w:r>
      <w:r w:rsidR="005B7AFC" w:rsidRPr="003E6D9D">
        <w:rPr>
          <w:iCs/>
          <w:color w:val="3366FF"/>
          <w:szCs w:val="20"/>
          <w:lang w:val="en-GB"/>
        </w:rPr>
        <w:t>7</w:t>
      </w:r>
      <w:r w:rsidR="007F2269" w:rsidRPr="003E6D9D">
        <w:rPr>
          <w:iCs/>
          <w:color w:val="3366FF"/>
          <w:szCs w:val="20"/>
          <w:lang w:val="en-GB"/>
        </w:rPr>
        <w:t>.1</w:t>
      </w:r>
      <w:r w:rsidRPr="003E6D9D">
        <w:rPr>
          <w:iCs/>
          <w:color w:val="3366FF"/>
          <w:szCs w:val="20"/>
          <w:lang w:val="en-GB"/>
        </w:rPr>
        <w:t>.</w:t>
      </w:r>
    </w:p>
    <w:p w14:paraId="25E20420" w14:textId="5BFE845B" w:rsidR="007F2269" w:rsidRPr="003E6D9D" w:rsidRDefault="00C1047D" w:rsidP="009909DD">
      <w:pPr>
        <w:pStyle w:val="Texte1"/>
        <w:rPr>
          <w:lang w:val="en-GB"/>
        </w:rPr>
      </w:pPr>
      <w:r w:rsidRPr="003E6D9D">
        <w:rPr>
          <w:lang w:val="en-GB"/>
        </w:rPr>
        <w:t xml:space="preserve"> </w:t>
      </w:r>
      <w:r w:rsidR="00F74C2C" w:rsidRPr="003E6D9D">
        <w:rPr>
          <w:lang w:val="en-GB"/>
        </w:rPr>
        <w:t>A</w:t>
      </w:r>
      <w:r w:rsidRPr="003E6D9D">
        <w:rPr>
          <w:lang w:val="en-GB"/>
        </w:rPr>
        <w:t xml:space="preserve">lthough the Convention and </w:t>
      </w:r>
      <w:r w:rsidR="00AF17D1" w:rsidRPr="003E6D9D">
        <w:rPr>
          <w:lang w:val="en-GB"/>
        </w:rPr>
        <w:t xml:space="preserve">the </w:t>
      </w:r>
      <w:r w:rsidRPr="003E6D9D">
        <w:rPr>
          <w:lang w:val="en-GB"/>
        </w:rPr>
        <w:t>ODs provide some guidance</w:t>
      </w:r>
      <w:r w:rsidR="00AF17D1" w:rsidRPr="003E6D9D">
        <w:rPr>
          <w:lang w:val="en-GB"/>
        </w:rPr>
        <w:t>,</w:t>
      </w:r>
      <w:r w:rsidRPr="003E6D9D">
        <w:rPr>
          <w:lang w:val="en-GB"/>
        </w:rPr>
        <w:t xml:space="preserve"> they leave much leeway to States Parties</w:t>
      </w:r>
      <w:r w:rsidR="00AF17D1" w:rsidRPr="003E6D9D">
        <w:rPr>
          <w:lang w:val="en-GB"/>
        </w:rPr>
        <w:t>;</w:t>
      </w:r>
      <w:r w:rsidRPr="003E6D9D">
        <w:rPr>
          <w:lang w:val="en-GB"/>
        </w:rPr>
        <w:t xml:space="preserve"> </w:t>
      </w:r>
      <w:r w:rsidR="00AF17D1" w:rsidRPr="003E6D9D">
        <w:rPr>
          <w:lang w:val="en-GB"/>
        </w:rPr>
        <w:t xml:space="preserve">they </w:t>
      </w:r>
      <w:r w:rsidRPr="003E6D9D">
        <w:rPr>
          <w:lang w:val="en-GB"/>
        </w:rPr>
        <w:t>do not, for example, define the concept of communities.</w:t>
      </w:r>
    </w:p>
    <w:p w14:paraId="6AC4F532" w14:textId="2E6D87DC" w:rsidR="0033097C" w:rsidRPr="003E6D9D" w:rsidRDefault="003C640B" w:rsidP="004936EF">
      <w:pPr>
        <w:pStyle w:val="Heading6"/>
        <w:rPr>
          <w:lang w:val="en-GB"/>
        </w:rPr>
      </w:pPr>
      <w:r w:rsidRPr="003E6D9D">
        <w:rPr>
          <w:lang w:val="en-GB"/>
        </w:rPr>
        <w:t xml:space="preserve">Slide </w:t>
      </w:r>
      <w:r w:rsidR="00570EE9">
        <w:rPr>
          <w:lang w:val="en-GB"/>
        </w:rPr>
        <w:t>4</w:t>
      </w:r>
      <w:r w:rsidR="0033097C" w:rsidRPr="003E6D9D">
        <w:rPr>
          <w:lang w:val="en-GB"/>
        </w:rPr>
        <w:t>.</w:t>
      </w:r>
    </w:p>
    <w:p w14:paraId="20FF7A80" w14:textId="77777777" w:rsidR="004534DA" w:rsidRPr="003E6D9D" w:rsidRDefault="006710F9" w:rsidP="004936EF">
      <w:pPr>
        <w:pStyle w:val="diapo2"/>
        <w:rPr>
          <w:lang w:val="en-GB"/>
        </w:rPr>
      </w:pPr>
      <w:r w:rsidRPr="003E6D9D">
        <w:rPr>
          <w:lang w:val="en-GB"/>
        </w:rPr>
        <w:t>Why c</w:t>
      </w:r>
      <w:r w:rsidR="004534DA" w:rsidRPr="003E6D9D">
        <w:rPr>
          <w:lang w:val="en-GB"/>
        </w:rPr>
        <w:t>ommunity participation?</w:t>
      </w:r>
    </w:p>
    <w:p w14:paraId="040B3361" w14:textId="4E287252" w:rsidR="00585C1C" w:rsidRPr="003E6D9D" w:rsidRDefault="00F74C2C" w:rsidP="009909DD">
      <w:pPr>
        <w:pStyle w:val="Texte1"/>
        <w:rPr>
          <w:lang w:val="en-GB"/>
        </w:rPr>
      </w:pPr>
      <w:r w:rsidRPr="003E6D9D">
        <w:rPr>
          <w:iCs/>
          <w:noProof/>
          <w:color w:val="3366FF"/>
          <w:szCs w:val="20"/>
          <w:lang w:eastAsia="zh-TW"/>
        </w:rPr>
        <w:drawing>
          <wp:anchor distT="0" distB="0" distL="114300" distR="114300" simplePos="0" relativeHeight="251657728" behindDoc="0" locked="1" layoutInCell="1" allowOverlap="0" wp14:anchorId="5D773246" wp14:editId="27CCE334">
            <wp:simplePos x="0" y="0"/>
            <wp:positionH relativeFrom="column">
              <wp:posOffset>0</wp:posOffset>
            </wp:positionH>
            <wp:positionV relativeFrom="paragraph">
              <wp:posOffset>-60960</wp:posOffset>
            </wp:positionV>
            <wp:extent cx="282575" cy="357505"/>
            <wp:effectExtent l="0" t="0" r="3175" b="4445"/>
            <wp:wrapNone/>
            <wp:docPr id="5"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3E6D9D">
        <w:rPr>
          <w:iCs/>
          <w:color w:val="3366FF"/>
          <w:szCs w:val="20"/>
          <w:lang w:val="en-GB"/>
        </w:rPr>
        <w:t xml:space="preserve">Refer to </w:t>
      </w:r>
      <w:r w:rsidR="00F02D08" w:rsidRPr="003E6D9D">
        <w:rPr>
          <w:iCs/>
          <w:color w:val="3366FF"/>
          <w:szCs w:val="20"/>
          <w:lang w:val="en-GB"/>
        </w:rPr>
        <w:t>Participant’s</w:t>
      </w:r>
      <w:r w:rsidR="002A3923" w:rsidRPr="003E6D9D">
        <w:rPr>
          <w:iCs/>
          <w:color w:val="3366FF"/>
          <w:szCs w:val="20"/>
          <w:lang w:val="en-GB"/>
        </w:rPr>
        <w:t xml:space="preserve"> text </w:t>
      </w:r>
      <w:r w:rsidR="005B7AFC" w:rsidRPr="003E6D9D">
        <w:rPr>
          <w:iCs/>
          <w:color w:val="3366FF"/>
          <w:szCs w:val="20"/>
          <w:lang w:val="en-GB"/>
        </w:rPr>
        <w:t>Unit</w:t>
      </w:r>
      <w:r w:rsidR="008E5574" w:rsidRPr="003E6D9D">
        <w:rPr>
          <w:iCs/>
          <w:color w:val="3366FF"/>
          <w:szCs w:val="20"/>
          <w:lang w:val="en-GB"/>
        </w:rPr>
        <w:t> </w:t>
      </w:r>
      <w:r w:rsidR="005B7AFC" w:rsidRPr="003E6D9D">
        <w:rPr>
          <w:iCs/>
          <w:color w:val="3366FF"/>
          <w:szCs w:val="20"/>
          <w:lang w:val="en-GB"/>
        </w:rPr>
        <w:t>7</w:t>
      </w:r>
      <w:r w:rsidR="00585C1C" w:rsidRPr="003E6D9D">
        <w:rPr>
          <w:iCs/>
          <w:color w:val="3366FF"/>
          <w:szCs w:val="20"/>
          <w:lang w:val="en-GB"/>
        </w:rPr>
        <w:t>.</w:t>
      </w:r>
      <w:r w:rsidR="00F23334" w:rsidRPr="003E6D9D">
        <w:rPr>
          <w:iCs/>
          <w:color w:val="3366FF"/>
          <w:szCs w:val="20"/>
          <w:lang w:val="en-GB"/>
        </w:rPr>
        <w:t>2</w:t>
      </w:r>
      <w:r w:rsidR="00F60C18" w:rsidRPr="003E6D9D">
        <w:rPr>
          <w:lang w:val="en-GB"/>
        </w:rPr>
        <w:t>.</w:t>
      </w:r>
    </w:p>
    <w:p w14:paraId="3CBED087" w14:textId="3B01D57E" w:rsidR="0033097C" w:rsidRPr="003E6D9D" w:rsidRDefault="003C640B" w:rsidP="004936EF">
      <w:pPr>
        <w:pStyle w:val="Heading6"/>
        <w:rPr>
          <w:rFonts w:cs="Arial"/>
          <w:sz w:val="20"/>
          <w:lang w:val="en-GB"/>
        </w:rPr>
      </w:pPr>
      <w:r w:rsidRPr="003E6D9D">
        <w:rPr>
          <w:lang w:val="en-GB"/>
        </w:rPr>
        <w:t xml:space="preserve">Slide </w:t>
      </w:r>
      <w:r w:rsidR="00570EE9">
        <w:rPr>
          <w:lang w:val="en-GB"/>
        </w:rPr>
        <w:t>5</w:t>
      </w:r>
      <w:r w:rsidR="0033097C" w:rsidRPr="003E6D9D">
        <w:rPr>
          <w:lang w:val="en-GB"/>
        </w:rPr>
        <w:t>.</w:t>
      </w:r>
    </w:p>
    <w:p w14:paraId="7F529F09" w14:textId="77777777" w:rsidR="004534DA" w:rsidRPr="003E6D9D" w:rsidRDefault="003E588D" w:rsidP="004936EF">
      <w:pPr>
        <w:pStyle w:val="diapo2"/>
        <w:rPr>
          <w:lang w:val="en-GB"/>
        </w:rPr>
      </w:pPr>
      <w:r w:rsidRPr="003E6D9D">
        <w:rPr>
          <w:lang w:val="en-GB"/>
        </w:rPr>
        <w:t xml:space="preserve">Role of States and </w:t>
      </w:r>
      <w:r w:rsidR="007D377C" w:rsidRPr="003E6D9D">
        <w:rPr>
          <w:lang w:val="en-GB"/>
        </w:rPr>
        <w:t xml:space="preserve">the </w:t>
      </w:r>
      <w:r w:rsidRPr="003E6D9D">
        <w:rPr>
          <w:lang w:val="en-GB"/>
        </w:rPr>
        <w:t xml:space="preserve">rights of </w:t>
      </w:r>
      <w:r w:rsidR="007116B3" w:rsidRPr="003E6D9D">
        <w:rPr>
          <w:lang w:val="en-GB"/>
        </w:rPr>
        <w:t>c</w:t>
      </w:r>
      <w:r w:rsidRPr="003E6D9D">
        <w:rPr>
          <w:lang w:val="en-GB"/>
        </w:rPr>
        <w:t>ommunities</w:t>
      </w:r>
    </w:p>
    <w:p w14:paraId="4FC7C76C" w14:textId="77C2DB61" w:rsidR="00F74C2C" w:rsidRPr="003E6D9D" w:rsidRDefault="00F74C2C" w:rsidP="003E6D9D">
      <w:pPr>
        <w:pStyle w:val="Texte1"/>
        <w:rPr>
          <w:lang w:val="en-GB"/>
        </w:rPr>
      </w:pPr>
      <w:r w:rsidRPr="003E6D9D">
        <w:rPr>
          <w:iCs/>
          <w:noProof/>
          <w:color w:val="3366FF"/>
          <w:szCs w:val="20"/>
          <w:lang w:eastAsia="zh-TW"/>
        </w:rPr>
        <w:drawing>
          <wp:anchor distT="0" distB="0" distL="114300" distR="114300" simplePos="0" relativeHeight="251699200" behindDoc="0" locked="1" layoutInCell="1" allowOverlap="0" wp14:anchorId="1B77C1A1" wp14:editId="452F046E">
            <wp:simplePos x="0" y="0"/>
            <wp:positionH relativeFrom="column">
              <wp:posOffset>0</wp:posOffset>
            </wp:positionH>
            <wp:positionV relativeFrom="paragraph">
              <wp:posOffset>-60960</wp:posOffset>
            </wp:positionV>
            <wp:extent cx="282575" cy="357505"/>
            <wp:effectExtent l="0" t="0" r="3175" b="4445"/>
            <wp:wrapNone/>
            <wp:docPr id="3"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3E6D9D">
        <w:rPr>
          <w:iCs/>
          <w:color w:val="3366FF"/>
          <w:szCs w:val="20"/>
          <w:lang w:val="en-GB"/>
        </w:rPr>
        <w:t>Refer to</w:t>
      </w:r>
      <w:r w:rsidR="006710F9" w:rsidRPr="003E6D9D">
        <w:rPr>
          <w:iCs/>
          <w:color w:val="3366FF"/>
          <w:szCs w:val="20"/>
          <w:lang w:val="en-GB"/>
        </w:rPr>
        <w:t xml:space="preserve"> </w:t>
      </w:r>
      <w:r w:rsidR="00F02D08" w:rsidRPr="003E6D9D">
        <w:rPr>
          <w:iCs/>
          <w:color w:val="3366FF"/>
          <w:szCs w:val="20"/>
          <w:lang w:val="en-GB"/>
        </w:rPr>
        <w:t>Participant’s</w:t>
      </w:r>
      <w:r w:rsidR="002A3923" w:rsidRPr="003E6D9D">
        <w:rPr>
          <w:iCs/>
          <w:color w:val="3366FF"/>
          <w:szCs w:val="20"/>
          <w:lang w:val="en-GB"/>
        </w:rPr>
        <w:t xml:space="preserve"> text </w:t>
      </w:r>
      <w:r w:rsidR="005B7AFC" w:rsidRPr="003E6D9D">
        <w:rPr>
          <w:iCs/>
          <w:color w:val="3366FF"/>
          <w:szCs w:val="20"/>
          <w:lang w:val="en-GB"/>
        </w:rPr>
        <w:t>Unit</w:t>
      </w:r>
      <w:r w:rsidR="008E5574" w:rsidRPr="003E6D9D">
        <w:rPr>
          <w:iCs/>
          <w:color w:val="3366FF"/>
          <w:szCs w:val="20"/>
          <w:lang w:val="en-GB"/>
        </w:rPr>
        <w:t> </w:t>
      </w:r>
      <w:r w:rsidR="005B7AFC" w:rsidRPr="003E6D9D">
        <w:rPr>
          <w:iCs/>
          <w:color w:val="3366FF"/>
          <w:szCs w:val="20"/>
          <w:lang w:val="en-GB"/>
        </w:rPr>
        <w:t>7</w:t>
      </w:r>
      <w:r w:rsidR="00AB770E" w:rsidRPr="003E6D9D">
        <w:rPr>
          <w:iCs/>
          <w:color w:val="3366FF"/>
          <w:szCs w:val="20"/>
          <w:lang w:val="en-GB"/>
        </w:rPr>
        <w:t>.</w:t>
      </w:r>
      <w:r w:rsidR="005C00F6" w:rsidRPr="003E6D9D">
        <w:rPr>
          <w:iCs/>
          <w:color w:val="3366FF"/>
          <w:szCs w:val="20"/>
          <w:lang w:val="en-GB"/>
        </w:rPr>
        <w:t>2</w:t>
      </w:r>
      <w:r w:rsidR="006710F9" w:rsidRPr="003E6D9D">
        <w:rPr>
          <w:iCs/>
          <w:color w:val="3366FF"/>
          <w:szCs w:val="20"/>
          <w:lang w:val="en-GB"/>
        </w:rPr>
        <w:t>.</w:t>
      </w:r>
    </w:p>
    <w:p w14:paraId="3E3A5C51" w14:textId="77777777" w:rsidR="00F74C2C" w:rsidRPr="003E6D9D" w:rsidRDefault="00F74C2C" w:rsidP="00F74C2C">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b/>
          <w:bCs/>
          <w:snapToGrid/>
          <w:color w:val="3366FF"/>
          <w:sz w:val="24"/>
          <w:lang w:val="en-GB" w:eastAsia="en-US"/>
        </w:rPr>
      </w:pPr>
      <w:r w:rsidRPr="003E6D9D">
        <w:rPr>
          <w:rFonts w:asciiTheme="minorBidi" w:hAnsiTheme="minorBidi" w:cstheme="minorBidi"/>
          <w:b/>
          <w:bCs/>
          <w:snapToGrid/>
          <w:color w:val="3366FF"/>
          <w:sz w:val="24"/>
          <w:lang w:val="en-GB" w:eastAsia="en-US"/>
        </w:rPr>
        <w:t>Exercise: Role of stakeholders</w:t>
      </w:r>
    </w:p>
    <w:p w14:paraId="5FF46059" w14:textId="77777777" w:rsidR="00F74C2C" w:rsidRPr="003E6D9D" w:rsidRDefault="00F74C2C" w:rsidP="00F74C2C">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en-GB" w:eastAsia="en-US"/>
        </w:rPr>
      </w:pPr>
      <w:r w:rsidRPr="003E6D9D">
        <w:rPr>
          <w:rFonts w:asciiTheme="minorBidi" w:hAnsiTheme="minorBidi" w:cstheme="minorBidi"/>
          <w:b/>
          <w:bCs/>
          <w:snapToGrid/>
          <w:sz w:val="24"/>
          <w:lang w:val="en-GB" w:eastAsia="en-US"/>
        </w:rPr>
        <w:t>20 mins</w:t>
      </w:r>
    </w:p>
    <w:p w14:paraId="3D2116C4" w14:textId="77777777" w:rsidR="00F74C2C" w:rsidRPr="003E6D9D" w:rsidRDefault="00F74C2C" w:rsidP="00F74C2C">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3E6D9D">
        <w:rPr>
          <w:snapToGrid/>
          <w:sz w:val="20"/>
          <w:lang w:val="en-GB"/>
        </w:rPr>
        <w:t xml:space="preserve">Participant’s text Unit 4 gives examples of the various roles that States Parties, NGOs, experts and other stakeholders can play alongside the communities and groups concerned in </w:t>
      </w:r>
      <w:r w:rsidRPr="003E6D9D">
        <w:rPr>
          <w:snapToGrid/>
          <w:sz w:val="20"/>
          <w:lang w:val="en-GB"/>
        </w:rPr>
        <w:lastRenderedPageBreak/>
        <w:t>implementing the Convention.</w:t>
      </w:r>
    </w:p>
    <w:p w14:paraId="39732E47" w14:textId="4615B996" w:rsidR="00F74C2C" w:rsidRPr="003E6D9D" w:rsidRDefault="00F74C2C" w:rsidP="00F74C2C">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lang w:val="en-GB"/>
        </w:rPr>
      </w:pPr>
      <w:r w:rsidRPr="003E6D9D">
        <w:rPr>
          <w:snapToGrid/>
          <w:sz w:val="20"/>
          <w:lang w:val="en-GB"/>
        </w:rPr>
        <w:t xml:space="preserve">The facilitator may ask participants to explain how communities have been involved in various roles in implementing the Convention so far, and lead a discussion on </w:t>
      </w:r>
      <w:r w:rsidR="00787AE2" w:rsidRPr="003E6D9D">
        <w:rPr>
          <w:snapToGrid/>
          <w:sz w:val="20"/>
          <w:lang w:val="en-GB"/>
        </w:rPr>
        <w:t>th</w:t>
      </w:r>
      <w:r w:rsidR="00787AE2">
        <w:rPr>
          <w:snapToGrid/>
          <w:sz w:val="20"/>
          <w:lang w:val="en-GB"/>
        </w:rPr>
        <w:t>e challenges and successes that they encountered in their own experiences</w:t>
      </w:r>
      <w:r w:rsidRPr="003E6D9D">
        <w:rPr>
          <w:snapToGrid/>
          <w:sz w:val="20"/>
          <w:lang w:val="en-GB"/>
        </w:rPr>
        <w:t>.</w:t>
      </w:r>
      <w:r w:rsidR="00934B3F">
        <w:rPr>
          <w:snapToGrid/>
          <w:sz w:val="20"/>
          <w:lang w:val="en-GB"/>
        </w:rPr>
        <w:t xml:space="preserve"> </w:t>
      </w:r>
    </w:p>
    <w:p w14:paraId="52682F87" w14:textId="4A7D7FBD" w:rsidR="0033097C" w:rsidRPr="003E6D9D" w:rsidRDefault="003C640B" w:rsidP="004936EF">
      <w:pPr>
        <w:pStyle w:val="Heading6"/>
        <w:rPr>
          <w:lang w:val="en-GB"/>
        </w:rPr>
      </w:pPr>
      <w:r w:rsidRPr="003E6D9D">
        <w:rPr>
          <w:lang w:val="en-GB"/>
        </w:rPr>
        <w:t xml:space="preserve">Slide </w:t>
      </w:r>
      <w:r w:rsidR="00570EE9">
        <w:rPr>
          <w:lang w:val="en-GB"/>
        </w:rPr>
        <w:t>6</w:t>
      </w:r>
      <w:r w:rsidR="0033097C" w:rsidRPr="003E6D9D">
        <w:rPr>
          <w:lang w:val="en-GB"/>
        </w:rPr>
        <w:t>.</w:t>
      </w:r>
    </w:p>
    <w:p w14:paraId="01F43646" w14:textId="77777777" w:rsidR="004534DA" w:rsidRPr="003E6D9D" w:rsidRDefault="00D546FC" w:rsidP="004936EF">
      <w:pPr>
        <w:pStyle w:val="diapo2"/>
        <w:rPr>
          <w:lang w:val="en-GB"/>
        </w:rPr>
      </w:pPr>
      <w:r w:rsidRPr="003E6D9D">
        <w:rPr>
          <w:lang w:val="en-GB"/>
        </w:rPr>
        <w:t>Community p</w:t>
      </w:r>
      <w:r w:rsidR="004534DA" w:rsidRPr="003E6D9D">
        <w:rPr>
          <w:lang w:val="en-GB"/>
        </w:rPr>
        <w:t>articipation in what?</w:t>
      </w:r>
    </w:p>
    <w:p w14:paraId="10D2C1F2" w14:textId="22848037" w:rsidR="00294CF8" w:rsidRPr="003E6D9D" w:rsidRDefault="00161049" w:rsidP="009909DD">
      <w:pPr>
        <w:pStyle w:val="Texte1"/>
        <w:rPr>
          <w:lang w:val="en-GB"/>
        </w:rPr>
      </w:pPr>
      <w:r w:rsidRPr="003E6D9D">
        <w:rPr>
          <w:iCs/>
          <w:noProof/>
          <w:color w:val="3366FF"/>
          <w:szCs w:val="20"/>
          <w:lang w:eastAsia="zh-TW"/>
        </w:rPr>
        <w:drawing>
          <wp:anchor distT="0" distB="0" distL="114300" distR="114300" simplePos="0" relativeHeight="251701248" behindDoc="0" locked="1" layoutInCell="1" allowOverlap="0" wp14:anchorId="1F8D0DE1" wp14:editId="09CFB2C2">
            <wp:simplePos x="0" y="0"/>
            <wp:positionH relativeFrom="column">
              <wp:posOffset>0</wp:posOffset>
            </wp:positionH>
            <wp:positionV relativeFrom="paragraph">
              <wp:posOffset>-61595</wp:posOffset>
            </wp:positionV>
            <wp:extent cx="282575" cy="357505"/>
            <wp:effectExtent l="0" t="0" r="3175" b="4445"/>
            <wp:wrapNone/>
            <wp:docPr id="8"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00F74C2C" w:rsidRPr="003E6D9D">
        <w:rPr>
          <w:iCs/>
          <w:color w:val="3366FF"/>
          <w:szCs w:val="20"/>
          <w:lang w:val="en-GB"/>
        </w:rPr>
        <w:t xml:space="preserve">Refer to </w:t>
      </w:r>
      <w:r w:rsidR="00F02D08" w:rsidRPr="003E6D9D">
        <w:rPr>
          <w:iCs/>
          <w:color w:val="3366FF"/>
          <w:szCs w:val="20"/>
          <w:lang w:val="en-GB"/>
        </w:rPr>
        <w:t>Participant’s</w:t>
      </w:r>
      <w:r w:rsidR="002A3923" w:rsidRPr="003E6D9D">
        <w:rPr>
          <w:iCs/>
          <w:color w:val="3366FF"/>
          <w:szCs w:val="20"/>
          <w:lang w:val="en-GB"/>
        </w:rPr>
        <w:t xml:space="preserve"> text </w:t>
      </w:r>
      <w:r w:rsidR="005B7AFC" w:rsidRPr="003E6D9D">
        <w:rPr>
          <w:iCs/>
          <w:color w:val="3366FF"/>
          <w:szCs w:val="20"/>
          <w:lang w:val="en-GB"/>
        </w:rPr>
        <w:t>Unit</w:t>
      </w:r>
      <w:r w:rsidR="00C37E4A" w:rsidRPr="003E6D9D">
        <w:rPr>
          <w:iCs/>
          <w:color w:val="3366FF"/>
          <w:szCs w:val="20"/>
          <w:lang w:val="en-GB"/>
        </w:rPr>
        <w:t> </w:t>
      </w:r>
      <w:r w:rsidR="005B7AFC" w:rsidRPr="003E6D9D">
        <w:rPr>
          <w:iCs/>
          <w:color w:val="3366FF"/>
          <w:szCs w:val="20"/>
          <w:lang w:val="en-GB"/>
        </w:rPr>
        <w:t>7</w:t>
      </w:r>
      <w:r w:rsidR="00294CF8" w:rsidRPr="003E6D9D">
        <w:rPr>
          <w:iCs/>
          <w:color w:val="3366FF"/>
          <w:szCs w:val="20"/>
          <w:lang w:val="en-GB"/>
        </w:rPr>
        <w:t>.</w:t>
      </w:r>
      <w:r w:rsidR="005C00F6" w:rsidRPr="003E6D9D">
        <w:rPr>
          <w:iCs/>
          <w:color w:val="3366FF"/>
          <w:szCs w:val="20"/>
          <w:lang w:val="en-GB"/>
        </w:rPr>
        <w:t>3</w:t>
      </w:r>
      <w:r w:rsidR="007B3266" w:rsidRPr="003E6D9D">
        <w:rPr>
          <w:lang w:val="en-GB"/>
        </w:rPr>
        <w:t>.</w:t>
      </w:r>
    </w:p>
    <w:p w14:paraId="00672255" w14:textId="26920DB8" w:rsidR="00172C95" w:rsidRPr="003E6D9D" w:rsidRDefault="00400D80" w:rsidP="004936EF">
      <w:pPr>
        <w:pStyle w:val="Soustitre"/>
        <w:rPr>
          <w:caps/>
          <w:lang w:val="en-GB"/>
        </w:rPr>
      </w:pPr>
      <w:bookmarkStart w:id="8" w:name="_Toc238982231"/>
      <w:r>
        <w:rPr>
          <w:lang w:val="en-GB"/>
        </w:rPr>
        <w:t>Good</w:t>
      </w:r>
      <w:r w:rsidR="00172C95" w:rsidRPr="003E6D9D">
        <w:rPr>
          <w:lang w:val="en-GB"/>
        </w:rPr>
        <w:t xml:space="preserve"> practices in community participation for safeguarding</w:t>
      </w:r>
      <w:bookmarkEnd w:id="8"/>
    </w:p>
    <w:p w14:paraId="0F9CD0F4" w14:textId="32ECDCC0" w:rsidR="0092683A" w:rsidRPr="003E6D9D" w:rsidRDefault="00FC4DFB" w:rsidP="009909DD">
      <w:pPr>
        <w:pStyle w:val="Texte1"/>
        <w:rPr>
          <w:lang w:val="en-GB"/>
        </w:rPr>
      </w:pPr>
      <w:r w:rsidRPr="003E6D9D">
        <w:rPr>
          <w:lang w:val="en-GB"/>
        </w:rPr>
        <w:t xml:space="preserve">It is important to have good examples of community participation in implementing the Convention. </w:t>
      </w:r>
      <w:r w:rsidR="0092683A" w:rsidRPr="003E6D9D">
        <w:rPr>
          <w:lang w:val="en-GB"/>
        </w:rPr>
        <w:t xml:space="preserve">Since 2009 several </w:t>
      </w:r>
      <w:r w:rsidRPr="003E6D9D">
        <w:rPr>
          <w:lang w:val="en-GB"/>
        </w:rPr>
        <w:t xml:space="preserve">examples </w:t>
      </w:r>
      <w:r w:rsidR="0092683A" w:rsidRPr="003E6D9D">
        <w:rPr>
          <w:lang w:val="en-GB"/>
        </w:rPr>
        <w:t xml:space="preserve">have been selected by </w:t>
      </w:r>
      <w:r w:rsidR="00997838" w:rsidRPr="003E6D9D">
        <w:rPr>
          <w:lang w:val="en-GB"/>
        </w:rPr>
        <w:t xml:space="preserve">the Committee as </w:t>
      </w:r>
      <w:r w:rsidR="00400D80">
        <w:rPr>
          <w:lang w:val="en-GB"/>
        </w:rPr>
        <w:t>good</w:t>
      </w:r>
      <w:r w:rsidR="00997838" w:rsidRPr="003E6D9D">
        <w:rPr>
          <w:lang w:val="en-GB"/>
        </w:rPr>
        <w:t xml:space="preserve"> practices and </w:t>
      </w:r>
      <w:r w:rsidR="0092683A" w:rsidRPr="003E6D9D">
        <w:rPr>
          <w:lang w:val="en-GB"/>
        </w:rPr>
        <w:t>widely disseminated</w:t>
      </w:r>
      <w:r w:rsidR="004A117B" w:rsidRPr="003E6D9D">
        <w:rPr>
          <w:lang w:val="en-GB"/>
        </w:rPr>
        <w:t>.</w:t>
      </w:r>
    </w:p>
    <w:p w14:paraId="0E08CB5B" w14:textId="410E80E4" w:rsidR="0092683A" w:rsidRPr="003E6D9D" w:rsidRDefault="0092683A" w:rsidP="00890D55">
      <w:pPr>
        <w:pStyle w:val="Informations0"/>
        <w:rPr>
          <w:i w:val="0"/>
          <w:lang w:val="en-GB"/>
        </w:rPr>
      </w:pPr>
      <w:r w:rsidRPr="003E6D9D">
        <w:rPr>
          <w:i w:val="0"/>
          <w:lang w:val="en-GB"/>
        </w:rPr>
        <w:t>See:</w:t>
      </w:r>
      <w:r w:rsidR="004A117B" w:rsidRPr="003E6D9D">
        <w:rPr>
          <w:i w:val="0"/>
          <w:lang w:val="en-GB"/>
        </w:rPr>
        <w:t xml:space="preserve"> </w:t>
      </w:r>
      <w:r w:rsidRPr="003E6D9D">
        <w:rPr>
          <w:i w:val="0"/>
          <w:lang w:val="en-GB"/>
        </w:rPr>
        <w:t>http://www.unesco.org/culture/ich/en/Register</w:t>
      </w:r>
    </w:p>
    <w:p w14:paraId="026E1213" w14:textId="41058B27" w:rsidR="00E52BE4" w:rsidRPr="003E6D9D" w:rsidRDefault="0074776E" w:rsidP="004936EF">
      <w:pPr>
        <w:pStyle w:val="Soustitre"/>
        <w:rPr>
          <w:caps/>
          <w:lang w:val="en-GB"/>
        </w:rPr>
      </w:pPr>
      <w:bookmarkStart w:id="9" w:name="_Toc238982232"/>
      <w:r w:rsidRPr="003E6D9D">
        <w:rPr>
          <w:lang w:val="en-GB"/>
        </w:rPr>
        <w:t>C</w:t>
      </w:r>
      <w:r w:rsidR="00E52BE4" w:rsidRPr="003E6D9D">
        <w:rPr>
          <w:lang w:val="en-GB"/>
        </w:rPr>
        <w:t>ommunity participation in tangible heritage management</w:t>
      </w:r>
      <w:bookmarkEnd w:id="9"/>
    </w:p>
    <w:p w14:paraId="53B8086C" w14:textId="77777777" w:rsidR="00294CF8" w:rsidRPr="003E6D9D" w:rsidRDefault="00294CF8" w:rsidP="009909DD">
      <w:pPr>
        <w:pStyle w:val="Texte1"/>
        <w:rPr>
          <w:lang w:val="en-GB"/>
        </w:rPr>
      </w:pPr>
      <w:r w:rsidRPr="003E6D9D">
        <w:rPr>
          <w:lang w:val="en-GB"/>
        </w:rPr>
        <w:t xml:space="preserve">In the management of tangible heritage, community participation has become a very important principle, </w:t>
      </w:r>
      <w:r w:rsidR="00E52BE4" w:rsidRPr="003E6D9D">
        <w:rPr>
          <w:lang w:val="en-GB"/>
        </w:rPr>
        <w:t xml:space="preserve">especially </w:t>
      </w:r>
      <w:r w:rsidRPr="003E6D9D">
        <w:rPr>
          <w:lang w:val="en-GB"/>
        </w:rPr>
        <w:t>as public value or social value has become more important in establishing the significance of places and objects. New fields of research and practice have emerged around it (such as community archaeology</w:t>
      </w:r>
      <w:r w:rsidR="001F6B41" w:rsidRPr="003E6D9D">
        <w:rPr>
          <w:lang w:val="en-GB"/>
        </w:rPr>
        <w:t xml:space="preserve"> and</w:t>
      </w:r>
      <w:r w:rsidRPr="003E6D9D">
        <w:rPr>
          <w:lang w:val="en-GB"/>
        </w:rPr>
        <w:t xml:space="preserve"> public archaeology).</w:t>
      </w:r>
    </w:p>
    <w:p w14:paraId="5627F900" w14:textId="4B9A641B" w:rsidR="0033097C" w:rsidRPr="003E6D9D" w:rsidRDefault="00E248EB" w:rsidP="004936EF">
      <w:pPr>
        <w:pStyle w:val="Heading6"/>
        <w:rPr>
          <w:lang w:val="en-GB"/>
        </w:rPr>
      </w:pPr>
      <w:r w:rsidRPr="003E6D9D">
        <w:rPr>
          <w:lang w:val="en-GB"/>
        </w:rPr>
        <w:t xml:space="preserve">Slide </w:t>
      </w:r>
      <w:r w:rsidR="00570EE9">
        <w:rPr>
          <w:lang w:val="en-GB"/>
        </w:rPr>
        <w:t>7</w:t>
      </w:r>
      <w:r w:rsidR="0033097C" w:rsidRPr="003E6D9D">
        <w:rPr>
          <w:lang w:val="en-GB"/>
        </w:rPr>
        <w:t>.</w:t>
      </w:r>
    </w:p>
    <w:p w14:paraId="568848EB" w14:textId="77777777" w:rsidR="004534DA" w:rsidRPr="003E6D9D" w:rsidRDefault="004534DA" w:rsidP="004936EF">
      <w:pPr>
        <w:pStyle w:val="diapo2"/>
        <w:rPr>
          <w:lang w:val="en-GB"/>
        </w:rPr>
      </w:pPr>
      <w:r w:rsidRPr="003E6D9D">
        <w:rPr>
          <w:lang w:val="en-GB"/>
        </w:rPr>
        <w:t>Community participation in inventorying their ICH</w:t>
      </w:r>
    </w:p>
    <w:p w14:paraId="456249FE" w14:textId="0CB82B9E" w:rsidR="00135FF1" w:rsidRPr="003E6D9D" w:rsidRDefault="0074776E" w:rsidP="009909DD">
      <w:pPr>
        <w:pStyle w:val="Texte1"/>
        <w:rPr>
          <w:lang w:val="en-GB" w:eastAsia="en-US"/>
        </w:rPr>
      </w:pPr>
      <w:r w:rsidRPr="003E6D9D">
        <w:rPr>
          <w:iCs/>
          <w:noProof/>
          <w:color w:val="3366FF"/>
          <w:szCs w:val="20"/>
          <w:lang w:eastAsia="zh-TW"/>
        </w:rPr>
        <w:drawing>
          <wp:anchor distT="0" distB="0" distL="114300" distR="114300" simplePos="0" relativeHeight="251703296" behindDoc="0" locked="1" layoutInCell="1" allowOverlap="0" wp14:anchorId="41D266C3" wp14:editId="60D95D15">
            <wp:simplePos x="0" y="0"/>
            <wp:positionH relativeFrom="column">
              <wp:posOffset>0</wp:posOffset>
            </wp:positionH>
            <wp:positionV relativeFrom="paragraph">
              <wp:posOffset>-53340</wp:posOffset>
            </wp:positionV>
            <wp:extent cx="282575" cy="357505"/>
            <wp:effectExtent l="0" t="0" r="3175" b="4445"/>
            <wp:wrapNone/>
            <wp:docPr id="10"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3E6D9D">
        <w:rPr>
          <w:iCs/>
          <w:color w:val="3366FF"/>
          <w:szCs w:val="20"/>
          <w:lang w:val="en-GB"/>
        </w:rPr>
        <w:t xml:space="preserve">Refer to </w:t>
      </w:r>
      <w:r w:rsidR="00F02D08" w:rsidRPr="003E6D9D">
        <w:rPr>
          <w:iCs/>
          <w:color w:val="3366FF"/>
          <w:szCs w:val="20"/>
          <w:lang w:val="en-GB"/>
        </w:rPr>
        <w:t>Participant’s</w:t>
      </w:r>
      <w:r w:rsidR="002A3923" w:rsidRPr="003E6D9D">
        <w:rPr>
          <w:iCs/>
          <w:color w:val="3366FF"/>
          <w:szCs w:val="20"/>
          <w:lang w:val="en-GB"/>
        </w:rPr>
        <w:t xml:space="preserve"> text </w:t>
      </w:r>
      <w:r w:rsidR="005B7AFC" w:rsidRPr="003E6D9D">
        <w:rPr>
          <w:iCs/>
          <w:color w:val="3366FF"/>
          <w:szCs w:val="20"/>
          <w:lang w:val="en-GB"/>
        </w:rPr>
        <w:t>Unit</w:t>
      </w:r>
      <w:r w:rsidR="00C37E4A" w:rsidRPr="003E6D9D">
        <w:rPr>
          <w:iCs/>
          <w:color w:val="3366FF"/>
          <w:szCs w:val="20"/>
          <w:lang w:val="en-GB"/>
        </w:rPr>
        <w:t> </w:t>
      </w:r>
      <w:r w:rsidR="005B7AFC" w:rsidRPr="003E6D9D">
        <w:rPr>
          <w:iCs/>
          <w:color w:val="3366FF"/>
          <w:szCs w:val="20"/>
          <w:lang w:val="en-GB"/>
        </w:rPr>
        <w:t>7</w:t>
      </w:r>
      <w:r w:rsidR="00135FF1" w:rsidRPr="003E6D9D">
        <w:rPr>
          <w:iCs/>
          <w:color w:val="3366FF"/>
          <w:szCs w:val="20"/>
          <w:lang w:val="en-GB"/>
        </w:rPr>
        <w:t>.</w:t>
      </w:r>
      <w:r w:rsidR="005C00F6" w:rsidRPr="003E6D9D">
        <w:rPr>
          <w:iCs/>
          <w:color w:val="3366FF"/>
          <w:szCs w:val="20"/>
          <w:lang w:val="en-GB"/>
        </w:rPr>
        <w:t>4</w:t>
      </w:r>
      <w:r w:rsidR="00C439BB" w:rsidRPr="003E6D9D">
        <w:rPr>
          <w:lang w:val="en-GB" w:eastAsia="en-US"/>
        </w:rPr>
        <w:t>.</w:t>
      </w:r>
    </w:p>
    <w:p w14:paraId="66BD8151" w14:textId="77777777" w:rsidR="004534DA" w:rsidRPr="003E6D9D" w:rsidRDefault="00C439BB" w:rsidP="009909DD">
      <w:pPr>
        <w:pStyle w:val="Texte1"/>
        <w:rPr>
          <w:szCs w:val="22"/>
          <w:lang w:val="en-GB"/>
        </w:rPr>
      </w:pPr>
      <w:r w:rsidRPr="003E6D9D">
        <w:rPr>
          <w:szCs w:val="22"/>
          <w:lang w:val="en-GB"/>
        </w:rPr>
        <w:t xml:space="preserve">The slide shows a quote from </w:t>
      </w:r>
      <w:r w:rsidR="004534DA" w:rsidRPr="003E6D9D">
        <w:rPr>
          <w:szCs w:val="22"/>
          <w:lang w:val="en-GB"/>
        </w:rPr>
        <w:t xml:space="preserve">Dr Londres Fonseca from </w:t>
      </w:r>
      <w:r w:rsidR="00666E91" w:rsidRPr="003E6D9D">
        <w:rPr>
          <w:szCs w:val="22"/>
          <w:lang w:val="en-GB"/>
        </w:rPr>
        <w:t>the Institute for National Artistic and Cultural Heritage (</w:t>
      </w:r>
      <w:r w:rsidR="004534DA" w:rsidRPr="003E6D9D">
        <w:rPr>
          <w:szCs w:val="22"/>
          <w:lang w:val="en-GB"/>
        </w:rPr>
        <w:t>IPHAN</w:t>
      </w:r>
      <w:r w:rsidR="00666E91" w:rsidRPr="003E6D9D">
        <w:rPr>
          <w:szCs w:val="22"/>
          <w:lang w:val="en-GB"/>
        </w:rPr>
        <w:t>)</w:t>
      </w:r>
      <w:r w:rsidR="00997838" w:rsidRPr="003E6D9D">
        <w:rPr>
          <w:szCs w:val="22"/>
          <w:lang w:val="en-GB"/>
        </w:rPr>
        <w:t xml:space="preserve">, the major </w:t>
      </w:r>
      <w:r w:rsidR="0056191C" w:rsidRPr="003E6D9D">
        <w:rPr>
          <w:szCs w:val="22"/>
          <w:lang w:val="en-GB"/>
        </w:rPr>
        <w:t>government</w:t>
      </w:r>
      <w:r w:rsidR="00997838" w:rsidRPr="003E6D9D">
        <w:rPr>
          <w:szCs w:val="22"/>
          <w:lang w:val="en-GB"/>
        </w:rPr>
        <w:t xml:space="preserve"> heritage institution</w:t>
      </w:r>
      <w:r w:rsidR="004534DA" w:rsidRPr="003E6D9D">
        <w:rPr>
          <w:szCs w:val="22"/>
          <w:lang w:val="en-GB"/>
        </w:rPr>
        <w:t xml:space="preserve"> in Brazil:</w:t>
      </w:r>
    </w:p>
    <w:p w14:paraId="0F16FDC9" w14:textId="77777777" w:rsidR="004534DA" w:rsidRPr="003E6D9D" w:rsidRDefault="004534DA" w:rsidP="004936EF">
      <w:pPr>
        <w:pStyle w:val="citation"/>
        <w:rPr>
          <w:lang w:val="en-GB"/>
        </w:rPr>
      </w:pPr>
      <w:r w:rsidRPr="003E6D9D">
        <w:rPr>
          <w:lang w:val="en-GB"/>
        </w:rPr>
        <w:t xml:space="preserve">In my opinion, what is really needed is for the community to participate in the process [of inventorying], because otherwise our vision is going to be too remote from what is actually happening and we shall fail to realize that the name and category of the element are not the only thing that matters. What matters above all are its meanings, the values attributed to it and how people practise it, which varies a lot </w:t>
      </w:r>
      <w:r w:rsidR="00666E91" w:rsidRPr="003E6D9D">
        <w:rPr>
          <w:lang w:val="en-GB"/>
        </w:rPr>
        <w:t>[ … ]</w:t>
      </w:r>
      <w:r w:rsidRPr="003E6D9D">
        <w:rPr>
          <w:lang w:val="en-GB"/>
        </w:rPr>
        <w:t xml:space="preserve"> </w:t>
      </w:r>
      <w:r w:rsidR="00666E91" w:rsidRPr="003E6D9D">
        <w:rPr>
          <w:lang w:val="en-GB"/>
        </w:rPr>
        <w:t>O</w:t>
      </w:r>
      <w:r w:rsidRPr="003E6D9D">
        <w:rPr>
          <w:lang w:val="en-GB"/>
        </w:rPr>
        <w:t>f course, an anthropologist’s view helps a lot, but I doubt whether the anthropologist’s view is enough. No doubt an anthropologist is very helpful and knows the methodology, but the problem is not just description, because for us an inventory is the first step towards safeguarding. If the population takes part in the inventory, if the community is involved, it has already become a partner in this process. If the inscription takes place without dialogue with the community, even if there is a formal gesture in this direction, I wonder whether there will actually be any involvement in safeguarding or whether this involvement will have to be built afterwards. This is not impossible, but I think it is better to do it beforehand if possible. However, I realize that scale is something very complicated here, and I think that each country must find its own answers.</w:t>
      </w:r>
    </w:p>
    <w:p w14:paraId="0012B714" w14:textId="7CFF2F9B" w:rsidR="0033097C" w:rsidRPr="003E6D9D" w:rsidRDefault="00E248EB" w:rsidP="004936EF">
      <w:pPr>
        <w:pStyle w:val="Heading6"/>
        <w:rPr>
          <w:lang w:val="en-GB"/>
        </w:rPr>
      </w:pPr>
      <w:r w:rsidRPr="003E6D9D">
        <w:rPr>
          <w:lang w:val="en-GB"/>
        </w:rPr>
        <w:lastRenderedPageBreak/>
        <w:t xml:space="preserve">Slide </w:t>
      </w:r>
      <w:r w:rsidR="00570EE9">
        <w:rPr>
          <w:lang w:val="en-GB"/>
        </w:rPr>
        <w:t>8</w:t>
      </w:r>
      <w:r w:rsidR="0033097C" w:rsidRPr="003E6D9D">
        <w:rPr>
          <w:lang w:val="en-GB"/>
        </w:rPr>
        <w:t>.</w:t>
      </w:r>
    </w:p>
    <w:p w14:paraId="69063070" w14:textId="77777777" w:rsidR="004534DA" w:rsidRPr="003E6D9D" w:rsidRDefault="00CD471A">
      <w:pPr>
        <w:pStyle w:val="diapo2"/>
        <w:rPr>
          <w:lang w:val="en-GB"/>
        </w:rPr>
      </w:pPr>
      <w:r w:rsidRPr="003E6D9D">
        <w:rPr>
          <w:lang w:val="en-GB"/>
        </w:rPr>
        <w:t>Case study</w:t>
      </w:r>
      <w:r w:rsidR="004534DA" w:rsidRPr="003E6D9D">
        <w:rPr>
          <w:lang w:val="en-GB"/>
        </w:rPr>
        <w:t xml:space="preserve">: </w:t>
      </w:r>
      <w:r w:rsidR="007116B3" w:rsidRPr="003E6D9D">
        <w:rPr>
          <w:lang w:val="en-GB"/>
        </w:rPr>
        <w:t>d</w:t>
      </w:r>
      <w:r w:rsidR="004534DA" w:rsidRPr="003E6D9D">
        <w:rPr>
          <w:lang w:val="en-GB"/>
        </w:rPr>
        <w:t>ocumenting Sub</w:t>
      </w:r>
      <w:r w:rsidR="00E85504" w:rsidRPr="003E6D9D">
        <w:rPr>
          <w:lang w:val="en-GB"/>
        </w:rPr>
        <w:t>anen indigenous knowledge (</w:t>
      </w:r>
      <w:r w:rsidR="007D377C" w:rsidRPr="003E6D9D">
        <w:rPr>
          <w:lang w:val="en-GB"/>
        </w:rPr>
        <w:t xml:space="preserve">the </w:t>
      </w:r>
      <w:r w:rsidR="00E85504" w:rsidRPr="003E6D9D">
        <w:rPr>
          <w:lang w:val="en-GB"/>
        </w:rPr>
        <w:t>Phil</w:t>
      </w:r>
      <w:r w:rsidR="004534DA" w:rsidRPr="003E6D9D">
        <w:rPr>
          <w:lang w:val="en-GB"/>
        </w:rPr>
        <w:t>ippines)</w:t>
      </w:r>
    </w:p>
    <w:p w14:paraId="2D7D1F0B" w14:textId="77777777" w:rsidR="00C439BB" w:rsidRPr="003E6D9D" w:rsidRDefault="00C439BB" w:rsidP="00CD471A">
      <w:pPr>
        <w:pStyle w:val="Texte1"/>
        <w:rPr>
          <w:lang w:val="en-GB"/>
        </w:rPr>
      </w:pPr>
      <w:r w:rsidRPr="003E6D9D">
        <w:rPr>
          <w:lang w:val="en-GB"/>
        </w:rPr>
        <w:t xml:space="preserve">This example is </w:t>
      </w:r>
      <w:r w:rsidR="00CD471A" w:rsidRPr="003E6D9D">
        <w:rPr>
          <w:lang w:val="en-GB"/>
        </w:rPr>
        <w:t>from</w:t>
      </w:r>
      <w:r w:rsidRPr="003E6D9D">
        <w:rPr>
          <w:lang w:val="en-GB"/>
        </w:rPr>
        <w:t xml:space="preserve"> </w:t>
      </w:r>
      <w:r w:rsidR="005B7AFC" w:rsidRPr="003E6D9D">
        <w:rPr>
          <w:lang w:val="en-GB"/>
        </w:rPr>
        <w:t>C</w:t>
      </w:r>
      <w:r w:rsidR="00442E1A" w:rsidRPr="003E6D9D">
        <w:rPr>
          <w:lang w:val="en-GB"/>
        </w:rPr>
        <w:t>ase study </w:t>
      </w:r>
      <w:r w:rsidR="00B577F8" w:rsidRPr="003E6D9D">
        <w:rPr>
          <w:lang w:val="en-GB"/>
        </w:rPr>
        <w:t>9</w:t>
      </w:r>
      <w:r w:rsidRPr="003E6D9D">
        <w:rPr>
          <w:lang w:val="en-GB"/>
        </w:rPr>
        <w:t>.</w:t>
      </w:r>
    </w:p>
    <w:p w14:paraId="341CAEC1" w14:textId="77777777" w:rsidR="00525C68" w:rsidRPr="003E6D9D" w:rsidRDefault="004534DA" w:rsidP="009909DD">
      <w:pPr>
        <w:pStyle w:val="Texte1"/>
        <w:rPr>
          <w:lang w:val="en-GB"/>
        </w:rPr>
      </w:pPr>
      <w:r w:rsidRPr="003E6D9D">
        <w:rPr>
          <w:lang w:val="en-GB"/>
        </w:rPr>
        <w:t xml:space="preserve">Between 2003 and 2004 the Subanen community in Zamboanga Peninsula (Western Mindanao) in the Philippines documented </w:t>
      </w:r>
      <w:r w:rsidR="0095646B" w:rsidRPr="003E6D9D">
        <w:rPr>
          <w:lang w:val="en-GB"/>
        </w:rPr>
        <w:t xml:space="preserve">their </w:t>
      </w:r>
      <w:r w:rsidRPr="003E6D9D">
        <w:rPr>
          <w:lang w:val="en-GB"/>
        </w:rPr>
        <w:t xml:space="preserve">indigenous knowledge about local plants. Note that </w:t>
      </w:r>
      <w:r w:rsidR="00526F81" w:rsidRPr="003E6D9D">
        <w:rPr>
          <w:lang w:val="en-GB"/>
        </w:rPr>
        <w:t xml:space="preserve">this activity was not followed by a nomination to one of the Lists </w:t>
      </w:r>
      <w:r w:rsidR="00A33193" w:rsidRPr="003E6D9D">
        <w:rPr>
          <w:lang w:val="en-GB"/>
        </w:rPr>
        <w:t xml:space="preserve">or to the Register </w:t>
      </w:r>
      <w:r w:rsidR="00526F81" w:rsidRPr="003E6D9D">
        <w:rPr>
          <w:lang w:val="en-GB"/>
        </w:rPr>
        <w:t xml:space="preserve">of the Convention. </w:t>
      </w:r>
      <w:r w:rsidR="00C439BB" w:rsidRPr="003E6D9D">
        <w:rPr>
          <w:lang w:val="en-GB"/>
        </w:rPr>
        <w:t xml:space="preserve">It is </w:t>
      </w:r>
      <w:r w:rsidR="00DF150F" w:rsidRPr="003E6D9D">
        <w:rPr>
          <w:lang w:val="en-GB"/>
        </w:rPr>
        <w:t xml:space="preserve">nevertheless </w:t>
      </w:r>
      <w:r w:rsidR="00C439BB" w:rsidRPr="003E6D9D">
        <w:rPr>
          <w:lang w:val="en-GB"/>
        </w:rPr>
        <w:t>a good example of community participation in documentation.</w:t>
      </w:r>
    </w:p>
    <w:p w14:paraId="4B690013" w14:textId="77777777" w:rsidR="004534DA" w:rsidRPr="003E6D9D" w:rsidRDefault="00510ACA" w:rsidP="009909DD">
      <w:pPr>
        <w:pStyle w:val="Texte1"/>
        <w:rPr>
          <w:lang w:val="en-GB"/>
        </w:rPr>
      </w:pPr>
      <w:r w:rsidRPr="003E6D9D">
        <w:rPr>
          <w:lang w:val="en-GB"/>
        </w:rPr>
        <w:t>K</w:t>
      </w:r>
      <w:r w:rsidR="004534DA" w:rsidRPr="003E6D9D">
        <w:rPr>
          <w:lang w:val="en-GB"/>
        </w:rPr>
        <w:t>ey points to note are:</w:t>
      </w:r>
    </w:p>
    <w:p w14:paraId="1634AA34" w14:textId="77777777" w:rsidR="004534DA" w:rsidRPr="003E6D9D" w:rsidRDefault="00212A32" w:rsidP="004936EF">
      <w:pPr>
        <w:pStyle w:val="Txtpucegras"/>
        <w:rPr>
          <w:lang w:val="en-GB"/>
        </w:rPr>
      </w:pPr>
      <w:r w:rsidRPr="003E6D9D">
        <w:rPr>
          <w:lang w:val="en-GB"/>
        </w:rPr>
        <w:t>The e</w:t>
      </w:r>
      <w:r w:rsidR="004534DA" w:rsidRPr="003E6D9D">
        <w:rPr>
          <w:lang w:val="en-GB"/>
        </w:rPr>
        <w:t>lders re</w:t>
      </w:r>
      <w:r w:rsidR="00EF5270" w:rsidRPr="003E6D9D">
        <w:rPr>
          <w:lang w:val="en-GB"/>
        </w:rPr>
        <w:t>ali</w:t>
      </w:r>
      <w:r w:rsidR="004534DA" w:rsidRPr="003E6D9D">
        <w:rPr>
          <w:lang w:val="en-GB"/>
        </w:rPr>
        <w:t xml:space="preserve">zed that their knowledge about local plants was </w:t>
      </w:r>
      <w:r w:rsidR="00A33193" w:rsidRPr="003E6D9D">
        <w:rPr>
          <w:lang w:val="en-GB"/>
        </w:rPr>
        <w:t>no longer</w:t>
      </w:r>
      <w:r w:rsidR="004534DA" w:rsidRPr="003E6D9D">
        <w:rPr>
          <w:lang w:val="en-GB"/>
        </w:rPr>
        <w:t xml:space="preserve"> being passed on to younger community members</w:t>
      </w:r>
      <w:r w:rsidRPr="003E6D9D">
        <w:rPr>
          <w:lang w:val="en-GB"/>
        </w:rPr>
        <w:t>.</w:t>
      </w:r>
    </w:p>
    <w:p w14:paraId="7D72436F" w14:textId="77777777" w:rsidR="004534DA" w:rsidRPr="003E6D9D" w:rsidRDefault="004534DA" w:rsidP="004936EF">
      <w:pPr>
        <w:pStyle w:val="Txtpucegras"/>
        <w:rPr>
          <w:lang w:val="en-GB"/>
        </w:rPr>
      </w:pPr>
      <w:r w:rsidRPr="003E6D9D">
        <w:rPr>
          <w:lang w:val="en-GB"/>
        </w:rPr>
        <w:t xml:space="preserve">They asked for help </w:t>
      </w:r>
      <w:r w:rsidR="0095646B" w:rsidRPr="003E6D9D">
        <w:rPr>
          <w:lang w:val="en-GB"/>
        </w:rPr>
        <w:t xml:space="preserve">in </w:t>
      </w:r>
      <w:r w:rsidRPr="003E6D9D">
        <w:rPr>
          <w:lang w:val="en-GB"/>
        </w:rPr>
        <w:t>train</w:t>
      </w:r>
      <w:r w:rsidR="0095646B" w:rsidRPr="003E6D9D">
        <w:rPr>
          <w:lang w:val="en-GB"/>
        </w:rPr>
        <w:t>ing</w:t>
      </w:r>
      <w:r w:rsidRPr="003E6D9D">
        <w:rPr>
          <w:lang w:val="en-GB"/>
        </w:rPr>
        <w:t xml:space="preserve"> young people to document this knowledge within the community, which led to a successful documentation project</w:t>
      </w:r>
      <w:r w:rsidR="00A33193" w:rsidRPr="003E6D9D">
        <w:rPr>
          <w:lang w:val="en-GB"/>
        </w:rPr>
        <w:t xml:space="preserve"> and enhanced transmission of the knowledge</w:t>
      </w:r>
      <w:r w:rsidR="00212A32" w:rsidRPr="003E6D9D">
        <w:rPr>
          <w:lang w:val="en-GB"/>
        </w:rPr>
        <w:t>.</w:t>
      </w:r>
    </w:p>
    <w:p w14:paraId="23920285" w14:textId="77777777" w:rsidR="004534DA" w:rsidRPr="003E6D9D" w:rsidRDefault="004534DA" w:rsidP="004936EF">
      <w:pPr>
        <w:pStyle w:val="Txtpucegras"/>
        <w:rPr>
          <w:lang w:val="en-GB"/>
        </w:rPr>
      </w:pPr>
      <w:r w:rsidRPr="003E6D9D">
        <w:rPr>
          <w:lang w:val="en-GB"/>
        </w:rPr>
        <w:t>Copyright protection was gained in the process of documentation</w:t>
      </w:r>
      <w:r w:rsidR="00212A32" w:rsidRPr="003E6D9D">
        <w:rPr>
          <w:lang w:val="en-GB"/>
        </w:rPr>
        <w:t>.</w:t>
      </w:r>
    </w:p>
    <w:p w14:paraId="33777246" w14:textId="77777777" w:rsidR="004534DA" w:rsidRPr="003E6D9D" w:rsidRDefault="004534DA" w:rsidP="004936EF">
      <w:pPr>
        <w:pStyle w:val="Txtpucegras"/>
        <w:rPr>
          <w:lang w:val="en-GB"/>
        </w:rPr>
      </w:pPr>
      <w:r w:rsidRPr="003E6D9D">
        <w:rPr>
          <w:lang w:val="en-GB"/>
        </w:rPr>
        <w:t xml:space="preserve">Materials were included in the school curriculum, leading to further </w:t>
      </w:r>
      <w:r w:rsidR="00154B92" w:rsidRPr="003E6D9D">
        <w:rPr>
          <w:lang w:val="en-GB"/>
        </w:rPr>
        <w:t>awareness-raising</w:t>
      </w:r>
      <w:r w:rsidR="0093017F" w:rsidRPr="003E6D9D">
        <w:rPr>
          <w:lang w:val="en-GB"/>
        </w:rPr>
        <w:t>.</w:t>
      </w:r>
    </w:p>
    <w:p w14:paraId="0867A5A0" w14:textId="64D2384E" w:rsidR="0033097C" w:rsidRPr="003E6D9D" w:rsidRDefault="002D3C34" w:rsidP="004936EF">
      <w:pPr>
        <w:pStyle w:val="Heading6"/>
        <w:rPr>
          <w:lang w:val="en-GB"/>
        </w:rPr>
      </w:pPr>
      <w:r w:rsidRPr="003E6D9D">
        <w:rPr>
          <w:lang w:val="en-GB"/>
        </w:rPr>
        <w:t xml:space="preserve">Slide </w:t>
      </w:r>
      <w:r w:rsidR="00570EE9">
        <w:rPr>
          <w:lang w:val="en-GB"/>
        </w:rPr>
        <w:t>9</w:t>
      </w:r>
      <w:r w:rsidR="0033097C" w:rsidRPr="003E6D9D">
        <w:rPr>
          <w:lang w:val="en-GB"/>
        </w:rPr>
        <w:t>.</w:t>
      </w:r>
    </w:p>
    <w:p w14:paraId="0B499577" w14:textId="106DF4B7" w:rsidR="004534DA" w:rsidRPr="003E6D9D" w:rsidRDefault="004534DA" w:rsidP="004936EF">
      <w:pPr>
        <w:pStyle w:val="diapo2"/>
        <w:rPr>
          <w:lang w:val="en-GB"/>
        </w:rPr>
      </w:pPr>
      <w:r w:rsidRPr="003E6D9D">
        <w:rPr>
          <w:lang w:val="en-GB"/>
        </w:rPr>
        <w:t xml:space="preserve">Community participation in </w:t>
      </w:r>
      <w:r w:rsidR="00EC3E9C" w:rsidRPr="003E6D9D">
        <w:rPr>
          <w:lang w:val="en-GB"/>
        </w:rPr>
        <w:t>raising awareness</w:t>
      </w:r>
    </w:p>
    <w:p w14:paraId="20F79B66" w14:textId="0B3F320B" w:rsidR="004534DA" w:rsidRPr="003E6D9D" w:rsidRDefault="0074776E" w:rsidP="009909DD">
      <w:pPr>
        <w:pStyle w:val="Texte1"/>
        <w:rPr>
          <w:lang w:val="en-GB"/>
        </w:rPr>
      </w:pPr>
      <w:r w:rsidRPr="003E6D9D">
        <w:rPr>
          <w:iCs/>
          <w:noProof/>
          <w:color w:val="3366FF"/>
          <w:szCs w:val="20"/>
          <w:lang w:eastAsia="zh-TW"/>
        </w:rPr>
        <w:drawing>
          <wp:anchor distT="0" distB="0" distL="114300" distR="114300" simplePos="0" relativeHeight="251705344" behindDoc="0" locked="1" layoutInCell="1" allowOverlap="0" wp14:anchorId="2139E8E7" wp14:editId="35E7618E">
            <wp:simplePos x="0" y="0"/>
            <wp:positionH relativeFrom="column">
              <wp:posOffset>0</wp:posOffset>
            </wp:positionH>
            <wp:positionV relativeFrom="paragraph">
              <wp:posOffset>-43815</wp:posOffset>
            </wp:positionV>
            <wp:extent cx="282575" cy="357505"/>
            <wp:effectExtent l="0" t="0" r="3175" b="4445"/>
            <wp:wrapNone/>
            <wp:docPr id="11"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3E6D9D">
        <w:rPr>
          <w:iCs/>
          <w:color w:val="3366FF"/>
          <w:szCs w:val="20"/>
          <w:lang w:val="en-GB"/>
        </w:rPr>
        <w:t xml:space="preserve">Refer to </w:t>
      </w:r>
      <w:r w:rsidR="00F02D08" w:rsidRPr="003E6D9D">
        <w:rPr>
          <w:iCs/>
          <w:color w:val="3366FF"/>
          <w:szCs w:val="20"/>
          <w:lang w:val="en-GB"/>
        </w:rPr>
        <w:t>Participant’s</w:t>
      </w:r>
      <w:r w:rsidR="002A3923" w:rsidRPr="003E6D9D">
        <w:rPr>
          <w:iCs/>
          <w:color w:val="3366FF"/>
          <w:szCs w:val="20"/>
          <w:lang w:val="en-GB"/>
        </w:rPr>
        <w:t xml:space="preserve"> text </w:t>
      </w:r>
      <w:r w:rsidR="005B7AFC" w:rsidRPr="003E6D9D">
        <w:rPr>
          <w:iCs/>
          <w:color w:val="3366FF"/>
          <w:szCs w:val="20"/>
          <w:lang w:val="en-GB"/>
        </w:rPr>
        <w:t>Unit</w:t>
      </w:r>
      <w:r w:rsidR="00C37E4A" w:rsidRPr="003E6D9D">
        <w:rPr>
          <w:iCs/>
          <w:color w:val="3366FF"/>
          <w:szCs w:val="20"/>
          <w:lang w:val="en-GB"/>
        </w:rPr>
        <w:t> </w:t>
      </w:r>
      <w:r w:rsidR="005B7AFC" w:rsidRPr="003E6D9D">
        <w:rPr>
          <w:iCs/>
          <w:color w:val="3366FF"/>
          <w:szCs w:val="20"/>
          <w:lang w:val="en-GB"/>
        </w:rPr>
        <w:t>7</w:t>
      </w:r>
      <w:r w:rsidR="00F86EB4" w:rsidRPr="003E6D9D">
        <w:rPr>
          <w:iCs/>
          <w:color w:val="3366FF"/>
          <w:szCs w:val="20"/>
          <w:lang w:val="en-GB"/>
        </w:rPr>
        <w:t>.</w:t>
      </w:r>
      <w:r w:rsidR="005C00F6" w:rsidRPr="003E6D9D">
        <w:rPr>
          <w:iCs/>
          <w:color w:val="3366FF"/>
          <w:szCs w:val="20"/>
          <w:lang w:val="en-GB"/>
        </w:rPr>
        <w:t>5</w:t>
      </w:r>
      <w:r w:rsidR="00C439BB" w:rsidRPr="003E6D9D">
        <w:rPr>
          <w:lang w:val="en-GB"/>
        </w:rPr>
        <w:t>.</w:t>
      </w:r>
    </w:p>
    <w:p w14:paraId="56114F20" w14:textId="6FC6F0DC" w:rsidR="0033097C" w:rsidRPr="003E6D9D" w:rsidRDefault="00F452BB" w:rsidP="004936EF">
      <w:pPr>
        <w:pStyle w:val="Heading6"/>
        <w:rPr>
          <w:lang w:val="en-GB"/>
        </w:rPr>
      </w:pPr>
      <w:r w:rsidRPr="003E6D9D">
        <w:rPr>
          <w:lang w:val="en-GB"/>
        </w:rPr>
        <w:t>Sli</w:t>
      </w:r>
      <w:r w:rsidR="00E248EB" w:rsidRPr="003E6D9D">
        <w:rPr>
          <w:lang w:val="en-GB"/>
        </w:rPr>
        <w:t>de 1</w:t>
      </w:r>
      <w:r w:rsidR="00570EE9">
        <w:rPr>
          <w:lang w:val="en-GB"/>
        </w:rPr>
        <w:t>0</w:t>
      </w:r>
      <w:r w:rsidR="0033097C" w:rsidRPr="003E6D9D">
        <w:rPr>
          <w:lang w:val="en-GB"/>
        </w:rPr>
        <w:t>.</w:t>
      </w:r>
    </w:p>
    <w:p w14:paraId="71156BDE" w14:textId="77777777" w:rsidR="004534DA" w:rsidRPr="003E6D9D" w:rsidRDefault="004534DA" w:rsidP="004936EF">
      <w:pPr>
        <w:pStyle w:val="diapo2"/>
        <w:rPr>
          <w:lang w:val="en-GB"/>
        </w:rPr>
      </w:pPr>
      <w:r w:rsidRPr="003E6D9D">
        <w:rPr>
          <w:lang w:val="en-GB"/>
        </w:rPr>
        <w:t xml:space="preserve">Community participation in nominations and international </w:t>
      </w:r>
      <w:r w:rsidR="00AD5D6D" w:rsidRPr="003E6D9D">
        <w:rPr>
          <w:lang w:val="en-GB"/>
        </w:rPr>
        <w:t xml:space="preserve">assistance </w:t>
      </w:r>
      <w:r w:rsidRPr="003E6D9D">
        <w:rPr>
          <w:lang w:val="en-GB"/>
        </w:rPr>
        <w:t>requests</w:t>
      </w:r>
    </w:p>
    <w:p w14:paraId="5DD81D68" w14:textId="126F8CC4" w:rsidR="00730EFF" w:rsidRPr="003E6D9D" w:rsidRDefault="0074776E" w:rsidP="009909DD">
      <w:pPr>
        <w:pStyle w:val="Texte1"/>
        <w:rPr>
          <w:iCs/>
          <w:color w:val="3366FF"/>
          <w:szCs w:val="20"/>
          <w:lang w:val="en-GB"/>
        </w:rPr>
      </w:pPr>
      <w:r w:rsidRPr="003E6D9D">
        <w:rPr>
          <w:iCs/>
          <w:noProof/>
          <w:color w:val="3366FF"/>
          <w:szCs w:val="20"/>
          <w:lang w:eastAsia="zh-TW"/>
        </w:rPr>
        <w:drawing>
          <wp:anchor distT="0" distB="0" distL="114300" distR="114300" simplePos="0" relativeHeight="251707392" behindDoc="0" locked="1" layoutInCell="1" allowOverlap="0" wp14:anchorId="3967202C" wp14:editId="0B55CB12">
            <wp:simplePos x="0" y="0"/>
            <wp:positionH relativeFrom="column">
              <wp:posOffset>0</wp:posOffset>
            </wp:positionH>
            <wp:positionV relativeFrom="paragraph">
              <wp:posOffset>-60960</wp:posOffset>
            </wp:positionV>
            <wp:extent cx="282575" cy="357505"/>
            <wp:effectExtent l="0" t="0" r="3175" b="4445"/>
            <wp:wrapNone/>
            <wp:docPr id="1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3E6D9D">
        <w:rPr>
          <w:iCs/>
          <w:color w:val="3366FF"/>
          <w:szCs w:val="20"/>
          <w:lang w:val="en-GB"/>
        </w:rPr>
        <w:t>Refer to</w:t>
      </w:r>
      <w:r w:rsidR="0095646B" w:rsidRPr="003E6D9D">
        <w:rPr>
          <w:iCs/>
          <w:color w:val="3366FF"/>
          <w:szCs w:val="20"/>
          <w:lang w:val="en-GB"/>
        </w:rPr>
        <w:t xml:space="preserve"> </w:t>
      </w:r>
      <w:r w:rsidR="00F02D08" w:rsidRPr="003E6D9D">
        <w:rPr>
          <w:iCs/>
          <w:color w:val="3366FF"/>
          <w:szCs w:val="20"/>
          <w:lang w:val="en-GB"/>
        </w:rPr>
        <w:t>Participant’s</w:t>
      </w:r>
      <w:r w:rsidR="002A3923" w:rsidRPr="003E6D9D">
        <w:rPr>
          <w:iCs/>
          <w:color w:val="3366FF"/>
          <w:szCs w:val="20"/>
          <w:lang w:val="en-GB"/>
        </w:rPr>
        <w:t xml:space="preserve"> text </w:t>
      </w:r>
      <w:r w:rsidR="005B7AFC" w:rsidRPr="003E6D9D">
        <w:rPr>
          <w:iCs/>
          <w:color w:val="3366FF"/>
          <w:szCs w:val="20"/>
          <w:lang w:val="en-GB"/>
        </w:rPr>
        <w:t>Unit</w:t>
      </w:r>
      <w:r w:rsidR="00C37E4A" w:rsidRPr="003E6D9D">
        <w:rPr>
          <w:iCs/>
          <w:color w:val="3366FF"/>
          <w:szCs w:val="20"/>
          <w:lang w:val="en-GB"/>
        </w:rPr>
        <w:t> </w:t>
      </w:r>
      <w:r w:rsidR="005B7AFC" w:rsidRPr="003E6D9D">
        <w:rPr>
          <w:iCs/>
          <w:color w:val="3366FF"/>
          <w:szCs w:val="20"/>
          <w:lang w:val="en-GB"/>
        </w:rPr>
        <w:t>7</w:t>
      </w:r>
      <w:r w:rsidR="00730EFF" w:rsidRPr="003E6D9D">
        <w:rPr>
          <w:iCs/>
          <w:color w:val="3366FF"/>
          <w:szCs w:val="20"/>
          <w:lang w:val="en-GB"/>
        </w:rPr>
        <w:t>.</w:t>
      </w:r>
      <w:r w:rsidR="005C00F6" w:rsidRPr="003E6D9D">
        <w:rPr>
          <w:iCs/>
          <w:color w:val="3366FF"/>
          <w:szCs w:val="20"/>
          <w:lang w:val="en-GB"/>
        </w:rPr>
        <w:t>6</w:t>
      </w:r>
      <w:r w:rsidR="0095646B" w:rsidRPr="003E6D9D">
        <w:rPr>
          <w:iCs/>
          <w:color w:val="3366FF"/>
          <w:szCs w:val="20"/>
          <w:lang w:val="en-GB"/>
        </w:rPr>
        <w:t>.</w:t>
      </w:r>
    </w:p>
    <w:p w14:paraId="46ECFF10" w14:textId="77777777" w:rsidR="004534DA" w:rsidRPr="003E6D9D" w:rsidRDefault="00590777" w:rsidP="004936EF">
      <w:pPr>
        <w:pStyle w:val="Soustitre"/>
        <w:rPr>
          <w:caps/>
          <w:lang w:val="en-GB"/>
        </w:rPr>
      </w:pPr>
      <w:bookmarkStart w:id="10" w:name="_Toc238982233"/>
      <w:r w:rsidRPr="003E6D9D">
        <w:rPr>
          <w:lang w:val="en-GB"/>
        </w:rPr>
        <w:t>Note on</w:t>
      </w:r>
      <w:r w:rsidR="004534DA" w:rsidRPr="003E6D9D">
        <w:rPr>
          <w:lang w:val="en-GB"/>
        </w:rPr>
        <w:t xml:space="preserve"> what can go wrong if the community concerned is not well informed about and/or does not participate in the nomination process</w:t>
      </w:r>
      <w:bookmarkEnd w:id="10"/>
    </w:p>
    <w:p w14:paraId="0D01F251" w14:textId="77777777" w:rsidR="002106E3" w:rsidRPr="003E6D9D" w:rsidRDefault="004534DA" w:rsidP="009909DD">
      <w:pPr>
        <w:pStyle w:val="Texte1"/>
        <w:rPr>
          <w:lang w:val="en-GB"/>
        </w:rPr>
      </w:pPr>
      <w:r w:rsidRPr="003E6D9D">
        <w:rPr>
          <w:lang w:val="en-GB"/>
        </w:rPr>
        <w:t xml:space="preserve">A French ethnologist had studied a procession that takes place every </w:t>
      </w:r>
      <w:r w:rsidR="007712FE" w:rsidRPr="003E6D9D">
        <w:rPr>
          <w:lang w:val="en-GB"/>
        </w:rPr>
        <w:t xml:space="preserve">six </w:t>
      </w:r>
      <w:r w:rsidRPr="003E6D9D">
        <w:rPr>
          <w:lang w:val="en-GB"/>
        </w:rPr>
        <w:t>year</w:t>
      </w:r>
      <w:r w:rsidR="007712FE" w:rsidRPr="003E6D9D">
        <w:rPr>
          <w:lang w:val="en-GB"/>
        </w:rPr>
        <w:t>s</w:t>
      </w:r>
      <w:r w:rsidRPr="003E6D9D">
        <w:rPr>
          <w:lang w:val="en-GB"/>
        </w:rPr>
        <w:t xml:space="preserve"> in a village in </w:t>
      </w:r>
      <w:r w:rsidR="007712FE" w:rsidRPr="003E6D9D">
        <w:rPr>
          <w:lang w:val="en-GB"/>
        </w:rPr>
        <w:t xml:space="preserve">the </w:t>
      </w:r>
      <w:r w:rsidR="00212A32" w:rsidRPr="003E6D9D">
        <w:rPr>
          <w:lang w:val="en-GB"/>
        </w:rPr>
        <w:t>w</w:t>
      </w:r>
      <w:r w:rsidR="007712FE" w:rsidRPr="003E6D9D">
        <w:rPr>
          <w:lang w:val="en-GB"/>
        </w:rPr>
        <w:t xml:space="preserve">est of </w:t>
      </w:r>
      <w:r w:rsidRPr="003E6D9D">
        <w:rPr>
          <w:lang w:val="en-GB"/>
        </w:rPr>
        <w:t xml:space="preserve">France. He </w:t>
      </w:r>
      <w:r w:rsidR="00DA174B" w:rsidRPr="003E6D9D">
        <w:rPr>
          <w:lang w:val="en-GB"/>
        </w:rPr>
        <w:t>was concerned</w:t>
      </w:r>
      <w:r w:rsidRPr="003E6D9D">
        <w:rPr>
          <w:lang w:val="en-GB"/>
        </w:rPr>
        <w:t xml:space="preserve"> that the procession </w:t>
      </w:r>
      <w:r w:rsidR="00DA174B" w:rsidRPr="003E6D9D">
        <w:rPr>
          <w:lang w:val="en-GB"/>
        </w:rPr>
        <w:t xml:space="preserve">was now </w:t>
      </w:r>
      <w:r w:rsidRPr="003E6D9D">
        <w:rPr>
          <w:lang w:val="en-GB"/>
        </w:rPr>
        <w:t>attract</w:t>
      </w:r>
      <w:r w:rsidR="00DA174B" w:rsidRPr="003E6D9D">
        <w:rPr>
          <w:lang w:val="en-GB"/>
        </w:rPr>
        <w:t>ing</w:t>
      </w:r>
      <w:r w:rsidRPr="003E6D9D">
        <w:rPr>
          <w:lang w:val="en-GB"/>
        </w:rPr>
        <w:t xml:space="preserve"> fewer people than it </w:t>
      </w:r>
      <w:r w:rsidR="00DA174B" w:rsidRPr="003E6D9D">
        <w:rPr>
          <w:lang w:val="en-GB"/>
        </w:rPr>
        <w:t xml:space="preserve">had </w:t>
      </w:r>
      <w:r w:rsidRPr="003E6D9D">
        <w:rPr>
          <w:lang w:val="en-GB"/>
        </w:rPr>
        <w:t xml:space="preserve">some decades </w:t>
      </w:r>
      <w:r w:rsidR="009343CD" w:rsidRPr="003E6D9D">
        <w:rPr>
          <w:lang w:val="en-GB"/>
        </w:rPr>
        <w:t xml:space="preserve">earlier </w:t>
      </w:r>
      <w:r w:rsidRPr="003E6D9D">
        <w:rPr>
          <w:lang w:val="en-GB"/>
        </w:rPr>
        <w:t xml:space="preserve">and that it was taking on a folkloric flavour. He </w:t>
      </w:r>
      <w:r w:rsidR="00212A32" w:rsidRPr="003E6D9D">
        <w:rPr>
          <w:lang w:val="en-GB"/>
        </w:rPr>
        <w:t>felt</w:t>
      </w:r>
      <w:r w:rsidRPr="003E6D9D">
        <w:rPr>
          <w:lang w:val="en-GB"/>
        </w:rPr>
        <w:t xml:space="preserve"> that </w:t>
      </w:r>
      <w:r w:rsidR="00E5366E" w:rsidRPr="003E6D9D">
        <w:rPr>
          <w:lang w:val="en-GB"/>
        </w:rPr>
        <w:t>it</w:t>
      </w:r>
      <w:r w:rsidRPr="003E6D9D">
        <w:rPr>
          <w:lang w:val="en-GB"/>
        </w:rPr>
        <w:t xml:space="preserve"> would </w:t>
      </w:r>
      <w:r w:rsidR="00E5366E" w:rsidRPr="003E6D9D">
        <w:rPr>
          <w:lang w:val="en-GB"/>
        </w:rPr>
        <w:t xml:space="preserve">be </w:t>
      </w:r>
      <w:r w:rsidRPr="003E6D9D">
        <w:rPr>
          <w:lang w:val="en-GB"/>
        </w:rPr>
        <w:t xml:space="preserve">a good candidate for listing under the Convention and announced in the press that ‘Paris’ had already approved the idea of nominating the procession to the </w:t>
      </w:r>
      <w:r w:rsidR="000670F0" w:rsidRPr="003E6D9D">
        <w:rPr>
          <w:lang w:val="en-GB"/>
        </w:rPr>
        <w:t>Representative List (</w:t>
      </w:r>
      <w:r w:rsidR="00693C9E" w:rsidRPr="003E6D9D">
        <w:rPr>
          <w:lang w:val="en-GB"/>
        </w:rPr>
        <w:t>RL</w:t>
      </w:r>
      <w:r w:rsidR="000670F0" w:rsidRPr="003E6D9D">
        <w:rPr>
          <w:lang w:val="en-GB"/>
        </w:rPr>
        <w:t>)</w:t>
      </w:r>
      <w:r w:rsidRPr="003E6D9D">
        <w:rPr>
          <w:lang w:val="en-GB"/>
        </w:rPr>
        <w:t xml:space="preserve">, </w:t>
      </w:r>
      <w:r w:rsidR="009343CD" w:rsidRPr="003E6D9D">
        <w:rPr>
          <w:lang w:val="en-GB"/>
        </w:rPr>
        <w:t xml:space="preserve">with a </w:t>
      </w:r>
      <w:r w:rsidRPr="003E6D9D">
        <w:rPr>
          <w:lang w:val="en-GB"/>
        </w:rPr>
        <w:t xml:space="preserve">view </w:t>
      </w:r>
      <w:r w:rsidR="009343CD" w:rsidRPr="003E6D9D">
        <w:rPr>
          <w:lang w:val="en-GB"/>
        </w:rPr>
        <w:t xml:space="preserve">to </w:t>
      </w:r>
      <w:r w:rsidRPr="003E6D9D">
        <w:rPr>
          <w:lang w:val="en-GB"/>
        </w:rPr>
        <w:t>safeguarding</w:t>
      </w:r>
      <w:r w:rsidR="00A4012C" w:rsidRPr="003E6D9D">
        <w:rPr>
          <w:lang w:val="en-GB"/>
        </w:rPr>
        <w:t xml:space="preserve"> it</w:t>
      </w:r>
      <w:r w:rsidRPr="003E6D9D">
        <w:rPr>
          <w:lang w:val="en-GB"/>
        </w:rPr>
        <w:t xml:space="preserve">. He developed a nomination file, more or less by himself, which he shared with the local population at a </w:t>
      </w:r>
      <w:r w:rsidR="005E5146" w:rsidRPr="003E6D9D">
        <w:rPr>
          <w:lang w:val="en-GB"/>
        </w:rPr>
        <w:t xml:space="preserve">relatively </w:t>
      </w:r>
      <w:r w:rsidRPr="003E6D9D">
        <w:rPr>
          <w:lang w:val="en-GB"/>
        </w:rPr>
        <w:t xml:space="preserve">late stage of the process. A </w:t>
      </w:r>
      <w:r w:rsidR="006015D7" w:rsidRPr="003E6D9D">
        <w:rPr>
          <w:lang w:val="en-GB"/>
        </w:rPr>
        <w:t>series</w:t>
      </w:r>
      <w:r w:rsidRPr="003E6D9D">
        <w:rPr>
          <w:lang w:val="en-GB"/>
        </w:rPr>
        <w:t xml:space="preserve"> of meetings started in the village: most people who were directly involved – such as </w:t>
      </w:r>
      <w:r w:rsidR="00212A32" w:rsidRPr="003E6D9D">
        <w:rPr>
          <w:lang w:val="en-GB"/>
        </w:rPr>
        <w:t>those</w:t>
      </w:r>
      <w:r w:rsidRPr="003E6D9D">
        <w:rPr>
          <w:lang w:val="en-GB"/>
        </w:rPr>
        <w:t xml:space="preserve"> whose territory was crossed by the procession – were surprised, suspicious and </w:t>
      </w:r>
      <w:r w:rsidR="002106E3" w:rsidRPr="003E6D9D">
        <w:rPr>
          <w:lang w:val="en-GB"/>
        </w:rPr>
        <w:t>dis</w:t>
      </w:r>
      <w:r w:rsidRPr="003E6D9D">
        <w:rPr>
          <w:lang w:val="en-GB"/>
        </w:rPr>
        <w:t xml:space="preserve">pleased by </w:t>
      </w:r>
      <w:r w:rsidR="005E086E" w:rsidRPr="003E6D9D">
        <w:rPr>
          <w:lang w:val="en-GB"/>
        </w:rPr>
        <w:t>the ethnologist</w:t>
      </w:r>
      <w:r w:rsidR="00E5366E" w:rsidRPr="003E6D9D">
        <w:rPr>
          <w:lang w:val="en-GB"/>
        </w:rPr>
        <w:t>’s activities</w:t>
      </w:r>
      <w:r w:rsidR="005E086E" w:rsidRPr="003E6D9D">
        <w:rPr>
          <w:lang w:val="en-GB"/>
        </w:rPr>
        <w:t xml:space="preserve">. They were worried that </w:t>
      </w:r>
      <w:r w:rsidRPr="003E6D9D">
        <w:rPr>
          <w:lang w:val="en-GB"/>
        </w:rPr>
        <w:t>customary right</w:t>
      </w:r>
      <w:r w:rsidR="005E086E" w:rsidRPr="003E6D9D">
        <w:rPr>
          <w:lang w:val="en-GB"/>
        </w:rPr>
        <w:t>s</w:t>
      </w:r>
      <w:r w:rsidRPr="003E6D9D">
        <w:rPr>
          <w:lang w:val="en-GB"/>
        </w:rPr>
        <w:t xml:space="preserve"> of way </w:t>
      </w:r>
      <w:r w:rsidR="005E086E" w:rsidRPr="003E6D9D">
        <w:rPr>
          <w:lang w:val="en-GB"/>
        </w:rPr>
        <w:t xml:space="preserve">would be permanently established </w:t>
      </w:r>
      <w:r w:rsidRPr="003E6D9D">
        <w:rPr>
          <w:lang w:val="en-GB"/>
        </w:rPr>
        <w:t xml:space="preserve">over their land, </w:t>
      </w:r>
      <w:r w:rsidR="005E086E" w:rsidRPr="003E6D9D">
        <w:rPr>
          <w:lang w:val="en-GB"/>
        </w:rPr>
        <w:t xml:space="preserve">and </w:t>
      </w:r>
      <w:r w:rsidR="005E5146" w:rsidRPr="003E6D9D">
        <w:rPr>
          <w:lang w:val="en-GB"/>
        </w:rPr>
        <w:t xml:space="preserve">were </w:t>
      </w:r>
      <w:r w:rsidR="005E086E" w:rsidRPr="003E6D9D">
        <w:rPr>
          <w:lang w:val="en-GB"/>
        </w:rPr>
        <w:t>doubtful of the benefit of</w:t>
      </w:r>
      <w:r w:rsidRPr="003E6D9D">
        <w:rPr>
          <w:lang w:val="en-GB"/>
        </w:rPr>
        <w:t xml:space="preserve"> having tourists join the procession. The villagers </w:t>
      </w:r>
      <w:r w:rsidR="005E086E" w:rsidRPr="003E6D9D">
        <w:rPr>
          <w:lang w:val="en-GB"/>
        </w:rPr>
        <w:t xml:space="preserve">thus </w:t>
      </w:r>
      <w:r w:rsidRPr="003E6D9D">
        <w:rPr>
          <w:lang w:val="en-GB"/>
        </w:rPr>
        <w:t xml:space="preserve">collectively decided to </w:t>
      </w:r>
      <w:r w:rsidR="007712FE" w:rsidRPr="003E6D9D">
        <w:rPr>
          <w:lang w:val="en-GB"/>
        </w:rPr>
        <w:t>halt</w:t>
      </w:r>
      <w:r w:rsidRPr="003E6D9D">
        <w:rPr>
          <w:lang w:val="en-GB"/>
        </w:rPr>
        <w:t xml:space="preserve"> the nomination process. The case was reported extensively in the local press.</w:t>
      </w:r>
    </w:p>
    <w:p w14:paraId="1EB9B750" w14:textId="77777777" w:rsidR="004534DA" w:rsidRPr="003E6D9D" w:rsidRDefault="00212A32" w:rsidP="009909DD">
      <w:pPr>
        <w:pStyle w:val="Texte1"/>
        <w:rPr>
          <w:lang w:val="en-GB"/>
        </w:rPr>
      </w:pPr>
      <w:r w:rsidRPr="003E6D9D">
        <w:rPr>
          <w:lang w:val="en-GB"/>
        </w:rPr>
        <w:lastRenderedPageBreak/>
        <w:t>T</w:t>
      </w:r>
      <w:r w:rsidR="004534DA" w:rsidRPr="003E6D9D">
        <w:rPr>
          <w:lang w:val="en-GB"/>
        </w:rPr>
        <w:t>hree examples of different community consultation processes used in developing nominations to the Lists of the Convention</w:t>
      </w:r>
      <w:r w:rsidRPr="003E6D9D">
        <w:rPr>
          <w:lang w:val="en-GB"/>
        </w:rPr>
        <w:t xml:space="preserve"> are given below</w:t>
      </w:r>
      <w:r w:rsidR="00E5366E" w:rsidRPr="003E6D9D">
        <w:rPr>
          <w:lang w:val="en-GB"/>
        </w:rPr>
        <w:t>.</w:t>
      </w:r>
    </w:p>
    <w:p w14:paraId="55BA4024" w14:textId="7C736DEC" w:rsidR="0033097C" w:rsidRPr="003E6D9D" w:rsidRDefault="009D09C4" w:rsidP="004936EF">
      <w:pPr>
        <w:pStyle w:val="Heading6"/>
        <w:rPr>
          <w:lang w:val="en-GB"/>
        </w:rPr>
      </w:pPr>
      <w:r w:rsidRPr="003E6D9D">
        <w:rPr>
          <w:lang w:val="en-GB"/>
        </w:rPr>
        <w:t xml:space="preserve">Slide </w:t>
      </w:r>
      <w:r w:rsidR="00570EE9" w:rsidRPr="003E6D9D">
        <w:rPr>
          <w:lang w:val="en-GB"/>
        </w:rPr>
        <w:t>1</w:t>
      </w:r>
      <w:r w:rsidR="00570EE9">
        <w:rPr>
          <w:lang w:val="en-GB"/>
        </w:rPr>
        <w:t>1</w:t>
      </w:r>
      <w:r w:rsidR="0033097C" w:rsidRPr="003E6D9D">
        <w:rPr>
          <w:lang w:val="en-GB"/>
        </w:rPr>
        <w:t>.</w:t>
      </w:r>
    </w:p>
    <w:p w14:paraId="653B9B3D" w14:textId="77777777" w:rsidR="004534DA" w:rsidRPr="003E6D9D" w:rsidRDefault="00CD471A">
      <w:pPr>
        <w:pStyle w:val="diapo2"/>
        <w:rPr>
          <w:lang w:val="en-GB"/>
        </w:rPr>
      </w:pPr>
      <w:r w:rsidRPr="003E6D9D">
        <w:rPr>
          <w:lang w:val="en-GB"/>
        </w:rPr>
        <w:t>Case study</w:t>
      </w:r>
      <w:r w:rsidR="001E0618" w:rsidRPr="003E6D9D">
        <w:rPr>
          <w:lang w:val="en-GB"/>
        </w:rPr>
        <w:t xml:space="preserve">: </w:t>
      </w:r>
      <w:r w:rsidR="004534DA" w:rsidRPr="003E6D9D">
        <w:rPr>
          <w:lang w:val="en-GB"/>
        </w:rPr>
        <w:t>the Otom</w:t>
      </w:r>
      <w:r w:rsidR="000B72AC" w:rsidRPr="003E6D9D">
        <w:rPr>
          <w:lang w:val="en-GB"/>
        </w:rPr>
        <w:t>í</w:t>
      </w:r>
      <w:r w:rsidR="004534DA" w:rsidRPr="003E6D9D">
        <w:rPr>
          <w:lang w:val="en-GB"/>
        </w:rPr>
        <w:t>-Chichimeca</w:t>
      </w:r>
      <w:r w:rsidR="0093017F" w:rsidRPr="003E6D9D">
        <w:rPr>
          <w:lang w:val="en-GB"/>
        </w:rPr>
        <w:t>s</w:t>
      </w:r>
      <w:r w:rsidR="004534DA" w:rsidRPr="003E6D9D">
        <w:rPr>
          <w:lang w:val="en-GB"/>
        </w:rPr>
        <w:t xml:space="preserve"> nomination process</w:t>
      </w:r>
      <w:r w:rsidR="001E0618" w:rsidRPr="003E6D9D">
        <w:rPr>
          <w:lang w:val="en-GB"/>
        </w:rPr>
        <w:t xml:space="preserve"> (Mexico)</w:t>
      </w:r>
    </w:p>
    <w:p w14:paraId="3ABF5E29" w14:textId="77777777" w:rsidR="00147860" w:rsidRPr="003E6D9D" w:rsidRDefault="00147860" w:rsidP="00CD471A">
      <w:pPr>
        <w:pStyle w:val="Texte1"/>
        <w:rPr>
          <w:lang w:val="en-GB"/>
        </w:rPr>
      </w:pPr>
      <w:r w:rsidRPr="003E6D9D">
        <w:rPr>
          <w:lang w:val="en-GB"/>
        </w:rPr>
        <w:t xml:space="preserve">This example is </w:t>
      </w:r>
      <w:r w:rsidR="00CD471A" w:rsidRPr="003E6D9D">
        <w:rPr>
          <w:lang w:val="en-GB"/>
        </w:rPr>
        <w:t>from</w:t>
      </w:r>
      <w:r w:rsidRPr="003E6D9D">
        <w:rPr>
          <w:lang w:val="en-GB"/>
        </w:rPr>
        <w:t xml:space="preserve"> </w:t>
      </w:r>
      <w:r w:rsidR="005B7AFC" w:rsidRPr="003E6D9D">
        <w:rPr>
          <w:lang w:val="en-GB"/>
        </w:rPr>
        <w:t>C</w:t>
      </w:r>
      <w:r w:rsidR="00442E1A" w:rsidRPr="003E6D9D">
        <w:rPr>
          <w:lang w:val="en-GB"/>
        </w:rPr>
        <w:t>ase study </w:t>
      </w:r>
      <w:r w:rsidRPr="003E6D9D">
        <w:rPr>
          <w:lang w:val="en-GB"/>
        </w:rPr>
        <w:t>12.</w:t>
      </w:r>
    </w:p>
    <w:p w14:paraId="5A8C0D0E" w14:textId="77777777" w:rsidR="007A0ACE" w:rsidRPr="003E6D9D" w:rsidRDefault="004534DA">
      <w:pPr>
        <w:pStyle w:val="Texte1"/>
        <w:rPr>
          <w:lang w:val="en-GB"/>
        </w:rPr>
      </w:pPr>
      <w:r w:rsidRPr="003E6D9D">
        <w:rPr>
          <w:kern w:val="28"/>
          <w:lang w:val="en-GB"/>
        </w:rPr>
        <w:t xml:space="preserve">The element </w:t>
      </w:r>
      <w:r w:rsidR="00D13846" w:rsidRPr="003E6D9D">
        <w:rPr>
          <w:kern w:val="28"/>
          <w:lang w:val="en-GB"/>
        </w:rPr>
        <w:t>Places of memory and living tra</w:t>
      </w:r>
      <w:r w:rsidR="0093017F" w:rsidRPr="003E6D9D">
        <w:rPr>
          <w:kern w:val="28"/>
          <w:lang w:val="en-GB"/>
        </w:rPr>
        <w:t>ditions of the Otomí-Chichimecas</w:t>
      </w:r>
      <w:r w:rsidR="00D13846" w:rsidRPr="003E6D9D">
        <w:rPr>
          <w:kern w:val="28"/>
          <w:lang w:val="en-GB"/>
        </w:rPr>
        <w:t xml:space="preserve"> people of Tolimán: the Peña de </w:t>
      </w:r>
      <w:r w:rsidR="00D13846" w:rsidRPr="003E6D9D">
        <w:rPr>
          <w:lang w:val="en-GB"/>
        </w:rPr>
        <w:t xml:space="preserve">Bernal, guardian of a sacred territory </w:t>
      </w:r>
      <w:r w:rsidRPr="003E6D9D">
        <w:rPr>
          <w:kern w:val="28"/>
          <w:lang w:val="en-GB"/>
        </w:rPr>
        <w:t xml:space="preserve">was inscribed on the </w:t>
      </w:r>
      <w:r w:rsidR="00693C9E" w:rsidRPr="003E6D9D">
        <w:rPr>
          <w:kern w:val="28"/>
          <w:lang w:val="en-GB"/>
        </w:rPr>
        <w:t>RL</w:t>
      </w:r>
      <w:r w:rsidRPr="003E6D9D">
        <w:rPr>
          <w:kern w:val="28"/>
          <w:lang w:val="en-GB"/>
        </w:rPr>
        <w:t xml:space="preserve"> in 2009</w:t>
      </w:r>
      <w:r w:rsidRPr="003E6D9D">
        <w:rPr>
          <w:lang w:val="en-GB"/>
        </w:rPr>
        <w:t>.</w:t>
      </w:r>
    </w:p>
    <w:p w14:paraId="49DDBAD6" w14:textId="77777777" w:rsidR="003B1A48" w:rsidRPr="003E6D9D" w:rsidRDefault="003B1A48" w:rsidP="009909DD">
      <w:pPr>
        <w:pStyle w:val="Texte1"/>
        <w:rPr>
          <w:lang w:val="en-GB"/>
        </w:rPr>
      </w:pPr>
      <w:r w:rsidRPr="003E6D9D">
        <w:rPr>
          <w:lang w:val="en-GB"/>
        </w:rPr>
        <w:t>Key points to note are:</w:t>
      </w:r>
    </w:p>
    <w:p w14:paraId="5A557B08" w14:textId="77777777" w:rsidR="003B1A48" w:rsidRPr="003E6D9D" w:rsidRDefault="003B1A48" w:rsidP="004936EF">
      <w:pPr>
        <w:pStyle w:val="Txtpucegras"/>
        <w:rPr>
          <w:lang w:val="en-GB"/>
        </w:rPr>
      </w:pPr>
      <w:r w:rsidRPr="003E6D9D">
        <w:rPr>
          <w:lang w:val="en-GB"/>
        </w:rPr>
        <w:t>In the initial information-gathering phase</w:t>
      </w:r>
      <w:r w:rsidR="00212A32" w:rsidRPr="003E6D9D">
        <w:rPr>
          <w:lang w:val="en-GB"/>
        </w:rPr>
        <w:t>,</w:t>
      </w:r>
      <w:r w:rsidRPr="003E6D9D">
        <w:rPr>
          <w:lang w:val="en-GB"/>
        </w:rPr>
        <w:t xml:space="preserve"> the authorities appointed representatives from various government agencies to a </w:t>
      </w:r>
      <w:r w:rsidR="00212A32" w:rsidRPr="003E6D9D">
        <w:rPr>
          <w:lang w:val="en-GB"/>
        </w:rPr>
        <w:t>multidis</w:t>
      </w:r>
      <w:r w:rsidRPr="003E6D9D">
        <w:rPr>
          <w:lang w:val="en-GB"/>
        </w:rPr>
        <w:t>ciplinary commission as part of a project to promote the cultural an</w:t>
      </w:r>
      <w:r w:rsidR="004E58DE" w:rsidRPr="003E6D9D">
        <w:rPr>
          <w:lang w:val="en-GB"/>
        </w:rPr>
        <w:t>d natural heritage of the Otomí-</w:t>
      </w:r>
      <w:r w:rsidRPr="003E6D9D">
        <w:rPr>
          <w:lang w:val="en-GB"/>
        </w:rPr>
        <w:t>Chichimeca</w:t>
      </w:r>
      <w:r w:rsidR="0093017F" w:rsidRPr="003E6D9D">
        <w:rPr>
          <w:lang w:val="en-GB"/>
        </w:rPr>
        <w:t>s</w:t>
      </w:r>
      <w:r w:rsidRPr="003E6D9D">
        <w:rPr>
          <w:lang w:val="en-GB"/>
        </w:rPr>
        <w:t xml:space="preserve"> people</w:t>
      </w:r>
      <w:r w:rsidR="00212A32" w:rsidRPr="003E6D9D">
        <w:rPr>
          <w:lang w:val="en-GB"/>
        </w:rPr>
        <w:t>.</w:t>
      </w:r>
    </w:p>
    <w:p w14:paraId="1C5DD333" w14:textId="77777777" w:rsidR="003B1A48" w:rsidRPr="003E6D9D" w:rsidRDefault="003B1A48" w:rsidP="004936EF">
      <w:pPr>
        <w:pStyle w:val="Txtpucegras"/>
        <w:rPr>
          <w:lang w:val="en-GB"/>
        </w:rPr>
      </w:pPr>
      <w:r w:rsidRPr="003E6D9D">
        <w:rPr>
          <w:lang w:val="en-GB"/>
        </w:rPr>
        <w:t>Consultation meetings and an opinion poll were used to engage with the communities and groups concerned</w:t>
      </w:r>
      <w:r w:rsidR="00212A32" w:rsidRPr="003E6D9D">
        <w:rPr>
          <w:lang w:val="en-GB"/>
        </w:rPr>
        <w:t>.</w:t>
      </w:r>
    </w:p>
    <w:p w14:paraId="567C1794" w14:textId="77777777" w:rsidR="003B1A48" w:rsidRPr="003E6D9D" w:rsidRDefault="003B1A48" w:rsidP="004936EF">
      <w:pPr>
        <w:pStyle w:val="Txtpucegras"/>
        <w:rPr>
          <w:lang w:val="en-GB"/>
        </w:rPr>
      </w:pPr>
      <w:r w:rsidRPr="003E6D9D">
        <w:rPr>
          <w:lang w:val="en-GB"/>
        </w:rPr>
        <w:t>Safeguarding proposals were submitted by a wide range of stakeholders</w:t>
      </w:r>
      <w:r w:rsidR="00212A32" w:rsidRPr="003E6D9D">
        <w:rPr>
          <w:lang w:val="en-GB"/>
        </w:rPr>
        <w:t>,</w:t>
      </w:r>
      <w:r w:rsidRPr="003E6D9D">
        <w:rPr>
          <w:lang w:val="en-GB"/>
        </w:rPr>
        <w:t xml:space="preserve"> including the community concerned</w:t>
      </w:r>
      <w:r w:rsidR="00A465F0" w:rsidRPr="003E6D9D">
        <w:rPr>
          <w:lang w:val="en-GB"/>
        </w:rPr>
        <w:t>.</w:t>
      </w:r>
    </w:p>
    <w:p w14:paraId="71A1709D" w14:textId="77777777" w:rsidR="003B1A48" w:rsidRPr="003E6D9D" w:rsidRDefault="00212A32" w:rsidP="004936EF">
      <w:pPr>
        <w:pStyle w:val="Txtpucegras"/>
        <w:rPr>
          <w:lang w:val="en-GB"/>
        </w:rPr>
      </w:pPr>
      <w:r w:rsidRPr="003E6D9D">
        <w:rPr>
          <w:lang w:val="en-GB"/>
        </w:rPr>
        <w:t>A r</w:t>
      </w:r>
      <w:r w:rsidR="003B1A48" w:rsidRPr="003E6D9D">
        <w:rPr>
          <w:lang w:val="en-GB"/>
        </w:rPr>
        <w:t>egional forum and community declaration provided proof of community consent</w:t>
      </w:r>
      <w:r w:rsidRPr="003E6D9D">
        <w:rPr>
          <w:lang w:val="en-GB"/>
        </w:rPr>
        <w:t>.</w:t>
      </w:r>
    </w:p>
    <w:p w14:paraId="596A2DCC" w14:textId="77777777" w:rsidR="003B1A48" w:rsidRPr="003E6D9D" w:rsidRDefault="00212A32" w:rsidP="004936EF">
      <w:pPr>
        <w:pStyle w:val="Txtpucegras"/>
        <w:rPr>
          <w:lang w:val="en-GB"/>
        </w:rPr>
      </w:pPr>
      <w:r w:rsidRPr="003E6D9D">
        <w:rPr>
          <w:lang w:val="en-GB"/>
        </w:rPr>
        <w:t>A r</w:t>
      </w:r>
      <w:r w:rsidR="003B1A48" w:rsidRPr="003E6D9D">
        <w:rPr>
          <w:lang w:val="en-GB"/>
        </w:rPr>
        <w:t>epresentative management</w:t>
      </w:r>
      <w:r w:rsidR="00BF6DA7" w:rsidRPr="003E6D9D">
        <w:rPr>
          <w:lang w:val="en-GB"/>
        </w:rPr>
        <w:t>/</w:t>
      </w:r>
      <w:r w:rsidR="003B1A48" w:rsidRPr="003E6D9D">
        <w:rPr>
          <w:lang w:val="en-GB"/>
        </w:rPr>
        <w:t xml:space="preserve">safeguarding body </w:t>
      </w:r>
      <w:r w:rsidRPr="003E6D9D">
        <w:rPr>
          <w:lang w:val="en-GB"/>
        </w:rPr>
        <w:t xml:space="preserve">was </w:t>
      </w:r>
      <w:r w:rsidR="003B1A48" w:rsidRPr="003E6D9D">
        <w:rPr>
          <w:lang w:val="en-GB"/>
        </w:rPr>
        <w:t>established to assist in implementing the safeguarding plan.</w:t>
      </w:r>
    </w:p>
    <w:p w14:paraId="596BC133" w14:textId="6A84C8B0" w:rsidR="0033097C" w:rsidRPr="003E6D9D" w:rsidRDefault="009D09C4" w:rsidP="004936EF">
      <w:pPr>
        <w:pStyle w:val="Heading6"/>
        <w:rPr>
          <w:lang w:val="en-GB"/>
        </w:rPr>
      </w:pPr>
      <w:r w:rsidRPr="003E6D9D">
        <w:rPr>
          <w:lang w:val="en-GB"/>
        </w:rPr>
        <w:t xml:space="preserve">Slide </w:t>
      </w:r>
      <w:r w:rsidR="00570EE9" w:rsidRPr="003E6D9D">
        <w:rPr>
          <w:lang w:val="en-GB"/>
        </w:rPr>
        <w:t>1</w:t>
      </w:r>
      <w:r w:rsidR="00570EE9">
        <w:rPr>
          <w:lang w:val="en-GB"/>
        </w:rPr>
        <w:t>2</w:t>
      </w:r>
      <w:r w:rsidR="0033097C" w:rsidRPr="003E6D9D">
        <w:rPr>
          <w:lang w:val="en-GB"/>
        </w:rPr>
        <w:t>.</w:t>
      </w:r>
    </w:p>
    <w:p w14:paraId="15DFB66B" w14:textId="77777777" w:rsidR="004534DA" w:rsidRPr="003E6D9D" w:rsidRDefault="00CD471A" w:rsidP="004936EF">
      <w:pPr>
        <w:pStyle w:val="diapo2"/>
        <w:rPr>
          <w:lang w:val="en-GB"/>
        </w:rPr>
      </w:pPr>
      <w:r w:rsidRPr="003E6D9D">
        <w:rPr>
          <w:lang w:val="en-GB"/>
        </w:rPr>
        <w:t>Case study</w:t>
      </w:r>
      <w:r w:rsidR="004534DA" w:rsidRPr="003E6D9D">
        <w:rPr>
          <w:lang w:val="en-GB"/>
        </w:rPr>
        <w:t xml:space="preserve">: </w:t>
      </w:r>
      <w:r w:rsidR="006146E6" w:rsidRPr="003E6D9D">
        <w:rPr>
          <w:lang w:val="en-GB"/>
        </w:rPr>
        <w:t>n</w:t>
      </w:r>
      <w:r w:rsidR="004534DA" w:rsidRPr="003E6D9D">
        <w:rPr>
          <w:lang w:val="en-GB"/>
        </w:rPr>
        <w:t xml:space="preserve">ominating the Cantu in Paghjella, </w:t>
      </w:r>
      <w:r w:rsidR="00040942" w:rsidRPr="003E6D9D">
        <w:rPr>
          <w:lang w:val="en-GB"/>
        </w:rPr>
        <w:t>a male polyphonic singing tradition (</w:t>
      </w:r>
      <w:r w:rsidR="004534DA" w:rsidRPr="003E6D9D">
        <w:rPr>
          <w:lang w:val="en-GB"/>
        </w:rPr>
        <w:t>France</w:t>
      </w:r>
      <w:r w:rsidR="00040942" w:rsidRPr="003E6D9D">
        <w:rPr>
          <w:lang w:val="en-GB"/>
        </w:rPr>
        <w:t>)</w:t>
      </w:r>
    </w:p>
    <w:p w14:paraId="4265E822" w14:textId="77777777" w:rsidR="00542EA1" w:rsidRPr="003E6D9D" w:rsidRDefault="00542EA1" w:rsidP="00966332">
      <w:pPr>
        <w:pStyle w:val="Texte1"/>
        <w:rPr>
          <w:lang w:val="en-GB"/>
        </w:rPr>
      </w:pPr>
      <w:r w:rsidRPr="003E6D9D">
        <w:rPr>
          <w:lang w:val="en-GB"/>
        </w:rPr>
        <w:t xml:space="preserve">This example is </w:t>
      </w:r>
      <w:r w:rsidR="00CD471A" w:rsidRPr="003E6D9D">
        <w:rPr>
          <w:lang w:val="en-GB"/>
        </w:rPr>
        <w:t>from</w:t>
      </w:r>
      <w:r w:rsidRPr="003E6D9D">
        <w:rPr>
          <w:lang w:val="en-GB"/>
        </w:rPr>
        <w:t xml:space="preserve"> </w:t>
      </w:r>
      <w:r w:rsidR="005B7AFC" w:rsidRPr="003E6D9D">
        <w:rPr>
          <w:lang w:val="en-GB"/>
        </w:rPr>
        <w:t>C</w:t>
      </w:r>
      <w:r w:rsidR="00442E1A" w:rsidRPr="003E6D9D">
        <w:rPr>
          <w:lang w:val="en-GB"/>
        </w:rPr>
        <w:t>ase study </w:t>
      </w:r>
      <w:r w:rsidRPr="003E6D9D">
        <w:rPr>
          <w:lang w:val="en-GB"/>
        </w:rPr>
        <w:t>10.</w:t>
      </w:r>
    </w:p>
    <w:p w14:paraId="5A874235" w14:textId="77777777" w:rsidR="004534DA" w:rsidRPr="003E6D9D" w:rsidRDefault="004534DA" w:rsidP="009909DD">
      <w:pPr>
        <w:pStyle w:val="Texte1"/>
        <w:rPr>
          <w:lang w:val="en-GB"/>
        </w:rPr>
      </w:pPr>
      <w:r w:rsidRPr="003E6D9D">
        <w:rPr>
          <w:lang w:val="en-GB"/>
        </w:rPr>
        <w:t>The Cantu in Paghjella: a secular and liturgical oral tradition of Corsica</w:t>
      </w:r>
      <w:r w:rsidR="00CD471A" w:rsidRPr="003E6D9D">
        <w:rPr>
          <w:lang w:val="en-GB"/>
        </w:rPr>
        <w:t>, France</w:t>
      </w:r>
      <w:r w:rsidRPr="003E6D9D">
        <w:rPr>
          <w:lang w:val="en-GB"/>
        </w:rPr>
        <w:t xml:space="preserve"> was inscribed on the </w:t>
      </w:r>
      <w:r w:rsidR="000670F0" w:rsidRPr="003E6D9D">
        <w:rPr>
          <w:lang w:val="en-GB"/>
        </w:rPr>
        <w:t>Urgent Safeguarding List (</w:t>
      </w:r>
      <w:r w:rsidR="00450866" w:rsidRPr="003E6D9D">
        <w:rPr>
          <w:lang w:val="en-GB"/>
        </w:rPr>
        <w:t>USL</w:t>
      </w:r>
      <w:r w:rsidR="000670F0" w:rsidRPr="003E6D9D">
        <w:rPr>
          <w:lang w:val="en-GB"/>
        </w:rPr>
        <w:t>)</w:t>
      </w:r>
      <w:r w:rsidRPr="003E6D9D">
        <w:rPr>
          <w:lang w:val="en-GB"/>
        </w:rPr>
        <w:t xml:space="preserve"> in 2009.</w:t>
      </w:r>
    </w:p>
    <w:p w14:paraId="1203CDA3" w14:textId="77777777" w:rsidR="004534DA" w:rsidRPr="003E6D9D" w:rsidRDefault="004534DA" w:rsidP="009909DD">
      <w:pPr>
        <w:pStyle w:val="Texte1"/>
        <w:rPr>
          <w:lang w:val="en-GB"/>
        </w:rPr>
      </w:pPr>
      <w:r w:rsidRPr="003E6D9D">
        <w:rPr>
          <w:lang w:val="en-GB"/>
        </w:rPr>
        <w:t>Key points to note are:</w:t>
      </w:r>
    </w:p>
    <w:p w14:paraId="36F4ACA6" w14:textId="77777777" w:rsidR="004534DA" w:rsidRPr="003E6D9D" w:rsidRDefault="004534DA" w:rsidP="004936EF">
      <w:pPr>
        <w:pStyle w:val="Txtpucegras"/>
        <w:rPr>
          <w:lang w:val="en-GB"/>
        </w:rPr>
      </w:pPr>
      <w:r w:rsidRPr="003E6D9D">
        <w:rPr>
          <w:lang w:val="en-GB"/>
        </w:rPr>
        <w:t>The value of expert-practitioner meetings</w:t>
      </w:r>
      <w:r w:rsidR="002E3BF7" w:rsidRPr="003E6D9D">
        <w:rPr>
          <w:lang w:val="en-GB"/>
        </w:rPr>
        <w:t xml:space="preserve">: </w:t>
      </w:r>
      <w:r w:rsidR="00A1371C" w:rsidRPr="003E6D9D">
        <w:rPr>
          <w:lang w:val="en-GB"/>
        </w:rPr>
        <w:t>i</w:t>
      </w:r>
      <w:r w:rsidR="002E3BF7" w:rsidRPr="003E6D9D">
        <w:rPr>
          <w:lang w:val="en-GB"/>
        </w:rPr>
        <w:t xml:space="preserve">n 2006 practitioners of the element met with Corsican and other experts at a conference to </w:t>
      </w:r>
      <w:r w:rsidR="001A7916" w:rsidRPr="003E6D9D">
        <w:rPr>
          <w:lang w:val="en-GB"/>
        </w:rPr>
        <w:t>analys</w:t>
      </w:r>
      <w:r w:rsidR="00FD6DB6" w:rsidRPr="003E6D9D">
        <w:rPr>
          <w:lang w:val="en-GB"/>
        </w:rPr>
        <w:t>e</w:t>
      </w:r>
      <w:r w:rsidR="002E3BF7" w:rsidRPr="003E6D9D">
        <w:rPr>
          <w:lang w:val="en-GB"/>
        </w:rPr>
        <w:t xml:space="preserve"> the threats to the element and develop a public safeguarding policy</w:t>
      </w:r>
      <w:r w:rsidR="00586DB7" w:rsidRPr="003E6D9D">
        <w:rPr>
          <w:lang w:val="en-GB"/>
        </w:rPr>
        <w:t>.</w:t>
      </w:r>
    </w:p>
    <w:p w14:paraId="63902C40" w14:textId="77777777" w:rsidR="003A6FAF" w:rsidRPr="003E6D9D" w:rsidRDefault="004534DA" w:rsidP="004936EF">
      <w:pPr>
        <w:pStyle w:val="Txtpucegras"/>
        <w:rPr>
          <w:lang w:val="en-GB"/>
        </w:rPr>
      </w:pPr>
      <w:r w:rsidRPr="003E6D9D">
        <w:rPr>
          <w:lang w:val="en-GB"/>
        </w:rPr>
        <w:t>The importance of associations</w:t>
      </w:r>
      <w:r w:rsidR="00A1371C" w:rsidRPr="003E6D9D">
        <w:rPr>
          <w:lang w:val="en-GB"/>
        </w:rPr>
        <w:t xml:space="preserve"> that involve and include practitioners</w:t>
      </w:r>
      <w:r w:rsidRPr="003E6D9D">
        <w:rPr>
          <w:lang w:val="en-GB"/>
        </w:rPr>
        <w:t xml:space="preserve">, and their </w:t>
      </w:r>
      <w:r w:rsidR="00A1371C" w:rsidRPr="003E6D9D">
        <w:rPr>
          <w:lang w:val="en-GB"/>
        </w:rPr>
        <w:t>role</w:t>
      </w:r>
      <w:r w:rsidRPr="003E6D9D">
        <w:rPr>
          <w:lang w:val="en-GB"/>
        </w:rPr>
        <w:t xml:space="preserve"> in inventorying</w:t>
      </w:r>
      <w:r w:rsidR="002E3BF7" w:rsidRPr="003E6D9D">
        <w:rPr>
          <w:lang w:val="en-GB"/>
        </w:rPr>
        <w:t xml:space="preserve">: in 2007, </w:t>
      </w:r>
      <w:r w:rsidR="003E6FFB" w:rsidRPr="003E6D9D">
        <w:rPr>
          <w:lang w:val="en-GB"/>
        </w:rPr>
        <w:t xml:space="preserve">following consultation with the community of practitioners, </w:t>
      </w:r>
      <w:r w:rsidR="002E3BF7" w:rsidRPr="003E6D9D">
        <w:rPr>
          <w:lang w:val="en-GB"/>
        </w:rPr>
        <w:t>the Cantu in Paghjella Association was created for ‘the identification, documentation, research, preservation, protection, promotion, enhancement, formal and informal transmission of the Cantu in Paghjella’</w:t>
      </w:r>
      <w:r w:rsidR="00586DB7" w:rsidRPr="003E6D9D">
        <w:rPr>
          <w:lang w:val="en-GB"/>
        </w:rPr>
        <w:t>.</w:t>
      </w:r>
    </w:p>
    <w:p w14:paraId="2CFE8C30" w14:textId="77777777" w:rsidR="004534DA" w:rsidRPr="003E6D9D" w:rsidRDefault="003A6FAF" w:rsidP="004936EF">
      <w:pPr>
        <w:pStyle w:val="Txtpucegras"/>
        <w:rPr>
          <w:lang w:val="en-GB"/>
        </w:rPr>
      </w:pPr>
      <w:r w:rsidRPr="003E6D9D">
        <w:rPr>
          <w:lang w:val="en-GB"/>
        </w:rPr>
        <w:t>Practitioners and their organizations were inspired by the Convention</w:t>
      </w:r>
      <w:r w:rsidR="00586DB7" w:rsidRPr="003E6D9D">
        <w:rPr>
          <w:lang w:val="en-GB"/>
        </w:rPr>
        <w:t>.</w:t>
      </w:r>
    </w:p>
    <w:p w14:paraId="3C54C75C" w14:textId="77777777" w:rsidR="004534DA" w:rsidRPr="003E6D9D" w:rsidRDefault="004534DA" w:rsidP="004936EF">
      <w:pPr>
        <w:pStyle w:val="Txtpucegras"/>
        <w:rPr>
          <w:lang w:val="en-GB"/>
        </w:rPr>
      </w:pPr>
      <w:r w:rsidRPr="003E6D9D">
        <w:rPr>
          <w:lang w:val="en-GB"/>
        </w:rPr>
        <w:t>Media campaigns to raise awareness</w:t>
      </w:r>
      <w:r w:rsidR="003E6FFB" w:rsidRPr="003E6D9D">
        <w:rPr>
          <w:lang w:val="en-GB"/>
        </w:rPr>
        <w:t>: both local a</w:t>
      </w:r>
      <w:r w:rsidR="00A1263E" w:rsidRPr="003E6D9D">
        <w:rPr>
          <w:lang w:val="en-GB"/>
        </w:rPr>
        <w:t xml:space="preserve">nd national media informed the </w:t>
      </w:r>
      <w:r w:rsidR="003E6FFB" w:rsidRPr="003E6D9D">
        <w:rPr>
          <w:lang w:val="en-GB"/>
        </w:rPr>
        <w:t xml:space="preserve">public about </w:t>
      </w:r>
      <w:r w:rsidR="008556AC" w:rsidRPr="003E6D9D">
        <w:rPr>
          <w:lang w:val="en-GB"/>
        </w:rPr>
        <w:t xml:space="preserve">the </w:t>
      </w:r>
      <w:r w:rsidR="005E5146" w:rsidRPr="003E6D9D">
        <w:rPr>
          <w:lang w:val="en-GB"/>
        </w:rPr>
        <w:t>element and the need to safeguard it</w:t>
      </w:r>
      <w:r w:rsidR="008556AC" w:rsidRPr="003E6D9D">
        <w:rPr>
          <w:lang w:val="en-GB"/>
        </w:rPr>
        <w:t>.</w:t>
      </w:r>
    </w:p>
    <w:p w14:paraId="1B70D78F" w14:textId="31192F4E" w:rsidR="0033097C" w:rsidRPr="003E6D9D" w:rsidRDefault="009D09C4" w:rsidP="004936EF">
      <w:pPr>
        <w:pStyle w:val="Heading6"/>
        <w:rPr>
          <w:lang w:val="en-GB"/>
        </w:rPr>
      </w:pPr>
      <w:r w:rsidRPr="003E6D9D">
        <w:rPr>
          <w:lang w:val="en-GB"/>
        </w:rPr>
        <w:lastRenderedPageBreak/>
        <w:t xml:space="preserve">Slide </w:t>
      </w:r>
      <w:r w:rsidR="00570EE9" w:rsidRPr="003E6D9D">
        <w:rPr>
          <w:lang w:val="en-GB"/>
        </w:rPr>
        <w:t>1</w:t>
      </w:r>
      <w:r w:rsidR="00570EE9">
        <w:rPr>
          <w:lang w:val="en-GB"/>
        </w:rPr>
        <w:t>3</w:t>
      </w:r>
      <w:r w:rsidR="0033097C" w:rsidRPr="003E6D9D">
        <w:rPr>
          <w:lang w:val="en-GB"/>
        </w:rPr>
        <w:t>.</w:t>
      </w:r>
    </w:p>
    <w:p w14:paraId="530A5932" w14:textId="77777777" w:rsidR="004534DA" w:rsidRPr="003E6D9D" w:rsidRDefault="008863F9" w:rsidP="004936EF">
      <w:pPr>
        <w:pStyle w:val="diapo2"/>
        <w:rPr>
          <w:lang w:val="en-GB"/>
        </w:rPr>
      </w:pPr>
      <w:r w:rsidRPr="003E6D9D">
        <w:rPr>
          <w:lang w:val="en-GB"/>
        </w:rPr>
        <w:t>Case study</w:t>
      </w:r>
      <w:r w:rsidR="004534DA" w:rsidRPr="003E6D9D">
        <w:rPr>
          <w:lang w:val="en-GB"/>
        </w:rPr>
        <w:t xml:space="preserve">: </w:t>
      </w:r>
      <w:r w:rsidR="006146E6" w:rsidRPr="003E6D9D">
        <w:rPr>
          <w:lang w:val="en-GB"/>
        </w:rPr>
        <w:t>n</w:t>
      </w:r>
      <w:r w:rsidR="004534DA" w:rsidRPr="003E6D9D">
        <w:rPr>
          <w:lang w:val="en-GB"/>
        </w:rPr>
        <w:t>ominating the Mijikenda traditions (Kenya)</w:t>
      </w:r>
    </w:p>
    <w:p w14:paraId="4F0CC19C" w14:textId="77777777" w:rsidR="004B1B09" w:rsidRPr="003E6D9D" w:rsidRDefault="004B1B09" w:rsidP="00966332">
      <w:pPr>
        <w:pStyle w:val="Texte1"/>
        <w:rPr>
          <w:lang w:val="en-GB"/>
        </w:rPr>
      </w:pPr>
      <w:r w:rsidRPr="003E6D9D">
        <w:rPr>
          <w:lang w:val="en-GB"/>
        </w:rPr>
        <w:t xml:space="preserve">This example is </w:t>
      </w:r>
      <w:r w:rsidR="008863F9" w:rsidRPr="003E6D9D">
        <w:rPr>
          <w:lang w:val="en-GB"/>
        </w:rPr>
        <w:t>from</w:t>
      </w:r>
      <w:r w:rsidRPr="003E6D9D">
        <w:rPr>
          <w:lang w:val="en-GB"/>
        </w:rPr>
        <w:t xml:space="preserve"> </w:t>
      </w:r>
      <w:r w:rsidR="005B7AFC" w:rsidRPr="003E6D9D">
        <w:rPr>
          <w:lang w:val="en-GB"/>
        </w:rPr>
        <w:t>C</w:t>
      </w:r>
      <w:r w:rsidR="00442E1A" w:rsidRPr="003E6D9D">
        <w:rPr>
          <w:lang w:val="en-GB"/>
        </w:rPr>
        <w:t>ase study </w:t>
      </w:r>
      <w:r w:rsidRPr="003E6D9D">
        <w:rPr>
          <w:lang w:val="en-GB"/>
        </w:rPr>
        <w:t>11.</w:t>
      </w:r>
    </w:p>
    <w:p w14:paraId="376C4D79" w14:textId="77777777" w:rsidR="004534DA" w:rsidRPr="003E6D9D" w:rsidRDefault="004534DA" w:rsidP="009909DD">
      <w:pPr>
        <w:pStyle w:val="Texte1"/>
        <w:rPr>
          <w:lang w:val="en-GB"/>
        </w:rPr>
      </w:pPr>
      <w:r w:rsidRPr="003E6D9D">
        <w:rPr>
          <w:lang w:val="en-GB"/>
        </w:rPr>
        <w:t xml:space="preserve">Traditions and practices associated to the Kayas in the sacred forests of the Mijikenda was inscribed on the </w:t>
      </w:r>
      <w:r w:rsidR="00586DB7" w:rsidRPr="003E6D9D">
        <w:rPr>
          <w:lang w:val="en-GB"/>
        </w:rPr>
        <w:t>USL</w:t>
      </w:r>
      <w:r w:rsidRPr="003E6D9D">
        <w:rPr>
          <w:lang w:val="en-GB"/>
        </w:rPr>
        <w:t xml:space="preserve"> in 2009.</w:t>
      </w:r>
    </w:p>
    <w:p w14:paraId="50E4DF97" w14:textId="77777777" w:rsidR="004534DA" w:rsidRPr="003E6D9D" w:rsidRDefault="005E5146" w:rsidP="009909DD">
      <w:pPr>
        <w:pStyle w:val="Texte1"/>
        <w:rPr>
          <w:lang w:val="en-GB"/>
        </w:rPr>
      </w:pPr>
      <w:r w:rsidRPr="003E6D9D">
        <w:rPr>
          <w:lang w:val="en-GB"/>
        </w:rPr>
        <w:t>T</w:t>
      </w:r>
      <w:r w:rsidR="004534DA" w:rsidRPr="003E6D9D">
        <w:rPr>
          <w:lang w:val="en-GB"/>
        </w:rPr>
        <w:t xml:space="preserve">he </w:t>
      </w:r>
      <w:r w:rsidR="000670F0" w:rsidRPr="003E6D9D">
        <w:rPr>
          <w:lang w:val="en-GB"/>
        </w:rPr>
        <w:t>c</w:t>
      </w:r>
      <w:r w:rsidR="00C47BFB" w:rsidRPr="003E6D9D">
        <w:rPr>
          <w:lang w:val="en-GB"/>
        </w:rPr>
        <w:t xml:space="preserve">ase </w:t>
      </w:r>
      <w:r w:rsidR="004534DA" w:rsidRPr="003E6D9D">
        <w:rPr>
          <w:lang w:val="en-GB"/>
        </w:rPr>
        <w:t xml:space="preserve">study </w:t>
      </w:r>
      <w:r w:rsidRPr="003E6D9D">
        <w:rPr>
          <w:lang w:val="en-GB"/>
        </w:rPr>
        <w:t xml:space="preserve">highlights the </w:t>
      </w:r>
      <w:r w:rsidR="0035264F" w:rsidRPr="003E6D9D">
        <w:rPr>
          <w:lang w:val="en-GB"/>
        </w:rPr>
        <w:t>w</w:t>
      </w:r>
      <w:r w:rsidRPr="003E6D9D">
        <w:rPr>
          <w:lang w:val="en-GB"/>
        </w:rPr>
        <w:t>ays in which communities have been involved in various processes, including</w:t>
      </w:r>
      <w:r w:rsidR="004534DA" w:rsidRPr="003E6D9D">
        <w:rPr>
          <w:lang w:val="en-GB"/>
        </w:rPr>
        <w:t>:</w:t>
      </w:r>
    </w:p>
    <w:p w14:paraId="77628C61" w14:textId="77777777" w:rsidR="004534DA" w:rsidRPr="003E6D9D" w:rsidRDefault="004534DA" w:rsidP="004936EF">
      <w:pPr>
        <w:pStyle w:val="Txtpucegras"/>
        <w:rPr>
          <w:lang w:val="en-GB"/>
        </w:rPr>
      </w:pPr>
      <w:r w:rsidRPr="003E6D9D">
        <w:rPr>
          <w:lang w:val="en-GB"/>
        </w:rPr>
        <w:t>Community consultations</w:t>
      </w:r>
      <w:r w:rsidR="00F75C60" w:rsidRPr="003E6D9D">
        <w:rPr>
          <w:lang w:val="en-GB"/>
        </w:rPr>
        <w:t>: a number of meetings about the nomination were held with Councils of Elders, Kaya conservation groups, women’s groups and youth groups</w:t>
      </w:r>
      <w:r w:rsidR="00586DB7" w:rsidRPr="003E6D9D">
        <w:rPr>
          <w:lang w:val="en-GB"/>
        </w:rPr>
        <w:t>.</w:t>
      </w:r>
    </w:p>
    <w:p w14:paraId="1AB04DFE" w14:textId="77777777" w:rsidR="004534DA" w:rsidRPr="003E6D9D" w:rsidRDefault="004534DA" w:rsidP="004936EF">
      <w:pPr>
        <w:pStyle w:val="Txtpucegras"/>
        <w:rPr>
          <w:lang w:val="en-GB"/>
        </w:rPr>
      </w:pPr>
      <w:r w:rsidRPr="003E6D9D">
        <w:rPr>
          <w:lang w:val="en-GB"/>
        </w:rPr>
        <w:t>Incorporating community ideas into the safeguarding plan</w:t>
      </w:r>
      <w:r w:rsidR="00EA4D5A" w:rsidRPr="003E6D9D">
        <w:rPr>
          <w:lang w:val="en-GB"/>
        </w:rPr>
        <w:t xml:space="preserve">: this included ideas about </w:t>
      </w:r>
      <w:r w:rsidR="007D1DAB" w:rsidRPr="003E6D9D">
        <w:rPr>
          <w:lang w:val="en-GB"/>
        </w:rPr>
        <w:t>income gen</w:t>
      </w:r>
      <w:r w:rsidR="00EA4D5A" w:rsidRPr="003E6D9D">
        <w:rPr>
          <w:lang w:val="en-GB"/>
        </w:rPr>
        <w:t xml:space="preserve">eration through </w:t>
      </w:r>
      <w:r w:rsidR="00E40118" w:rsidRPr="003E6D9D">
        <w:rPr>
          <w:lang w:val="en-GB"/>
        </w:rPr>
        <w:t>bee-keep</w:t>
      </w:r>
      <w:r w:rsidR="00EA4D5A" w:rsidRPr="003E6D9D">
        <w:rPr>
          <w:lang w:val="en-GB"/>
        </w:rPr>
        <w:t xml:space="preserve">ing and </w:t>
      </w:r>
      <w:r w:rsidR="00E40118" w:rsidRPr="003E6D9D">
        <w:rPr>
          <w:lang w:val="en-GB"/>
        </w:rPr>
        <w:t>ecotour</w:t>
      </w:r>
      <w:r w:rsidR="00EA4D5A" w:rsidRPr="003E6D9D">
        <w:rPr>
          <w:lang w:val="en-GB"/>
        </w:rPr>
        <w:t>ism, and the recruitment of community guards</w:t>
      </w:r>
      <w:r w:rsidR="00586DB7" w:rsidRPr="003E6D9D">
        <w:rPr>
          <w:lang w:val="en-GB"/>
        </w:rPr>
        <w:t>.</w:t>
      </w:r>
    </w:p>
    <w:p w14:paraId="78ACBA59" w14:textId="77777777" w:rsidR="004534DA" w:rsidRPr="003E6D9D" w:rsidRDefault="004534DA" w:rsidP="004936EF">
      <w:pPr>
        <w:pStyle w:val="Txtpucegras"/>
        <w:rPr>
          <w:lang w:val="en-GB"/>
        </w:rPr>
      </w:pPr>
      <w:r w:rsidRPr="003E6D9D">
        <w:rPr>
          <w:lang w:val="en-GB"/>
        </w:rPr>
        <w:t>Community development groups</w:t>
      </w:r>
      <w:r w:rsidR="00586DB7" w:rsidRPr="003E6D9D">
        <w:rPr>
          <w:lang w:val="en-GB"/>
        </w:rPr>
        <w:t>: these were</w:t>
      </w:r>
      <w:r w:rsidRPr="003E6D9D">
        <w:rPr>
          <w:lang w:val="en-GB"/>
        </w:rPr>
        <w:t xml:space="preserve"> formed</w:t>
      </w:r>
      <w:r w:rsidR="00EA4D5A" w:rsidRPr="003E6D9D">
        <w:rPr>
          <w:lang w:val="en-GB"/>
        </w:rPr>
        <w:t xml:space="preserve"> to </w:t>
      </w:r>
      <w:r w:rsidR="00B11323" w:rsidRPr="003E6D9D">
        <w:rPr>
          <w:lang w:val="en-GB"/>
        </w:rPr>
        <w:t xml:space="preserve">promote </w:t>
      </w:r>
      <w:r w:rsidR="005E5146" w:rsidRPr="003E6D9D">
        <w:rPr>
          <w:lang w:val="en-GB"/>
        </w:rPr>
        <w:t>community</w:t>
      </w:r>
      <w:r w:rsidR="00B11323" w:rsidRPr="003E6D9D">
        <w:rPr>
          <w:lang w:val="en-GB"/>
        </w:rPr>
        <w:t xml:space="preserve"> development while safeguarding the tangible and intangible heritage of the Kayas.</w:t>
      </w:r>
    </w:p>
    <w:p w14:paraId="1575E790" w14:textId="4B71815A" w:rsidR="00417074" w:rsidRPr="003E6D9D" w:rsidRDefault="009D09C4" w:rsidP="004936EF">
      <w:pPr>
        <w:pStyle w:val="Heading6"/>
        <w:rPr>
          <w:lang w:val="en-GB"/>
        </w:rPr>
      </w:pPr>
      <w:r w:rsidRPr="003E6D9D">
        <w:rPr>
          <w:lang w:val="en-GB"/>
        </w:rPr>
        <w:t xml:space="preserve">Slide </w:t>
      </w:r>
      <w:r w:rsidR="00570EE9" w:rsidRPr="003E6D9D">
        <w:rPr>
          <w:lang w:val="en-GB"/>
        </w:rPr>
        <w:t>1</w:t>
      </w:r>
      <w:r w:rsidR="00570EE9">
        <w:rPr>
          <w:lang w:val="en-GB"/>
        </w:rPr>
        <w:t>4</w:t>
      </w:r>
      <w:r w:rsidR="00417074" w:rsidRPr="003E6D9D">
        <w:rPr>
          <w:lang w:val="en-GB"/>
        </w:rPr>
        <w:t>.</w:t>
      </w:r>
    </w:p>
    <w:p w14:paraId="67414345" w14:textId="77777777" w:rsidR="00E248EB" w:rsidRPr="003E6D9D" w:rsidRDefault="006146E6" w:rsidP="004936EF">
      <w:pPr>
        <w:pStyle w:val="diapo2"/>
        <w:rPr>
          <w:lang w:val="en-GB"/>
        </w:rPr>
      </w:pPr>
      <w:r w:rsidRPr="003E6D9D">
        <w:rPr>
          <w:lang w:val="en-GB"/>
        </w:rPr>
        <w:t>E</w:t>
      </w:r>
      <w:r w:rsidR="001D4069" w:rsidRPr="003E6D9D">
        <w:rPr>
          <w:lang w:val="en-GB"/>
        </w:rPr>
        <w:t xml:space="preserve">nsuring </w:t>
      </w:r>
      <w:r w:rsidR="00E248EB" w:rsidRPr="003E6D9D">
        <w:rPr>
          <w:lang w:val="en-GB"/>
        </w:rPr>
        <w:t>community participation and consent</w:t>
      </w:r>
    </w:p>
    <w:p w14:paraId="539FF3AF" w14:textId="01D56653" w:rsidR="0037023C" w:rsidRPr="003E6D9D" w:rsidRDefault="00D41888" w:rsidP="009909DD">
      <w:pPr>
        <w:pStyle w:val="Texte1"/>
        <w:rPr>
          <w:lang w:val="en-GB"/>
        </w:rPr>
      </w:pPr>
      <w:r w:rsidRPr="003E6D9D">
        <w:rPr>
          <w:i/>
          <w:iCs/>
          <w:noProof/>
          <w:lang w:eastAsia="zh-TW"/>
        </w:rPr>
        <w:drawing>
          <wp:anchor distT="0" distB="0" distL="114300" distR="114300" simplePos="0" relativeHeight="251715584" behindDoc="0" locked="1" layoutInCell="1" allowOverlap="0" wp14:anchorId="10331B9B" wp14:editId="769BDA80">
            <wp:simplePos x="0" y="0"/>
            <wp:positionH relativeFrom="column">
              <wp:posOffset>78105</wp:posOffset>
            </wp:positionH>
            <wp:positionV relativeFrom="paragraph">
              <wp:posOffset>-62230</wp:posOffset>
            </wp:positionV>
            <wp:extent cx="282575" cy="357505"/>
            <wp:effectExtent l="0" t="0" r="3175" b="4445"/>
            <wp:wrapNone/>
            <wp:docPr id="20"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3E6D9D">
        <w:rPr>
          <w:lang w:val="en-GB"/>
        </w:rPr>
        <w:t xml:space="preserve">Refer to </w:t>
      </w:r>
      <w:r w:rsidR="005B7AFC" w:rsidRPr="003E6D9D">
        <w:rPr>
          <w:lang w:val="en-GB"/>
        </w:rPr>
        <w:t>Unit</w:t>
      </w:r>
      <w:r w:rsidR="00C37E4A" w:rsidRPr="003E6D9D">
        <w:rPr>
          <w:lang w:val="en-GB"/>
        </w:rPr>
        <w:t> </w:t>
      </w:r>
      <w:r w:rsidR="005B7AFC" w:rsidRPr="003E6D9D">
        <w:rPr>
          <w:lang w:val="en-GB"/>
        </w:rPr>
        <w:t>7</w:t>
      </w:r>
      <w:r w:rsidR="006D35B7" w:rsidRPr="003E6D9D">
        <w:rPr>
          <w:lang w:val="en-GB"/>
        </w:rPr>
        <w:t>.</w:t>
      </w:r>
      <w:r w:rsidR="005C00F6" w:rsidRPr="003E6D9D">
        <w:rPr>
          <w:lang w:val="en-GB"/>
        </w:rPr>
        <w:t>7</w:t>
      </w:r>
      <w:r w:rsidRPr="003E6D9D">
        <w:rPr>
          <w:lang w:val="en-GB"/>
        </w:rPr>
        <w:t xml:space="preserve"> of the Participants text</w:t>
      </w:r>
      <w:r w:rsidR="005B6F2C" w:rsidRPr="003E6D9D">
        <w:rPr>
          <w:lang w:val="en-GB"/>
        </w:rPr>
        <w:t xml:space="preserve"> </w:t>
      </w:r>
    </w:p>
    <w:p w14:paraId="4DBEA49A" w14:textId="44CCA53E" w:rsidR="00F30D29" w:rsidRPr="003E6D9D" w:rsidRDefault="0037023C" w:rsidP="009909DD">
      <w:pPr>
        <w:pStyle w:val="Texte1"/>
        <w:rPr>
          <w:lang w:val="en-GB"/>
        </w:rPr>
      </w:pPr>
      <w:r w:rsidRPr="003E6D9D">
        <w:rPr>
          <w:lang w:val="en-GB"/>
        </w:rPr>
        <w:t>S</w:t>
      </w:r>
      <w:r w:rsidR="004B1B09" w:rsidRPr="003E6D9D">
        <w:rPr>
          <w:lang w:val="en-GB"/>
        </w:rPr>
        <w:t xml:space="preserve">everal </w:t>
      </w:r>
      <w:r w:rsidR="005B6F2C" w:rsidRPr="003E6D9D">
        <w:rPr>
          <w:lang w:val="en-GB"/>
        </w:rPr>
        <w:t>issues that should be considered when ensuring community participation and consent in the implementation of the Convention.</w:t>
      </w:r>
    </w:p>
    <w:p w14:paraId="25BD8F6C" w14:textId="77777777" w:rsidR="00146DFA" w:rsidRPr="003E6D9D" w:rsidRDefault="006D35B7" w:rsidP="009909DD">
      <w:pPr>
        <w:pStyle w:val="Texte1"/>
        <w:rPr>
          <w:lang w:val="en-GB"/>
        </w:rPr>
      </w:pPr>
      <w:r w:rsidRPr="003E6D9D">
        <w:rPr>
          <w:lang w:val="en-GB"/>
        </w:rPr>
        <w:t>Each of the</w:t>
      </w:r>
      <w:r w:rsidR="00146DFA" w:rsidRPr="003E6D9D">
        <w:rPr>
          <w:lang w:val="en-GB"/>
        </w:rPr>
        <w:t xml:space="preserve"> issues</w:t>
      </w:r>
      <w:r w:rsidRPr="003E6D9D">
        <w:rPr>
          <w:lang w:val="en-GB"/>
        </w:rPr>
        <w:t xml:space="preserve"> identified</w:t>
      </w:r>
      <w:r w:rsidR="00146DFA" w:rsidRPr="003E6D9D">
        <w:rPr>
          <w:lang w:val="en-GB"/>
        </w:rPr>
        <w:t xml:space="preserve"> will be discussed in greater detail in the following few slides.</w:t>
      </w:r>
    </w:p>
    <w:p w14:paraId="7433F627" w14:textId="24A976BE" w:rsidR="00417074" w:rsidRPr="003E6D9D" w:rsidRDefault="009D09C4" w:rsidP="004936EF">
      <w:pPr>
        <w:pStyle w:val="Heading6"/>
        <w:rPr>
          <w:lang w:val="en-GB"/>
        </w:rPr>
      </w:pPr>
      <w:r w:rsidRPr="003E6D9D">
        <w:rPr>
          <w:lang w:val="en-GB"/>
        </w:rPr>
        <w:t xml:space="preserve">Slide </w:t>
      </w:r>
      <w:r w:rsidR="00570EE9" w:rsidRPr="003E6D9D">
        <w:rPr>
          <w:lang w:val="en-GB"/>
        </w:rPr>
        <w:t>1</w:t>
      </w:r>
      <w:r w:rsidR="00570EE9">
        <w:rPr>
          <w:lang w:val="en-GB"/>
        </w:rPr>
        <w:t>5</w:t>
      </w:r>
      <w:r w:rsidR="00417074" w:rsidRPr="003E6D9D">
        <w:rPr>
          <w:lang w:val="en-GB"/>
        </w:rPr>
        <w:t>.</w:t>
      </w:r>
    </w:p>
    <w:p w14:paraId="087720CB" w14:textId="77777777" w:rsidR="00E248EB" w:rsidRPr="003E6D9D" w:rsidRDefault="00E248EB" w:rsidP="004936EF">
      <w:pPr>
        <w:pStyle w:val="diapo2"/>
        <w:rPr>
          <w:lang w:val="en-GB"/>
        </w:rPr>
      </w:pPr>
      <w:r w:rsidRPr="003E6D9D">
        <w:rPr>
          <w:lang w:val="en-GB"/>
        </w:rPr>
        <w:t xml:space="preserve">Identifying </w:t>
      </w:r>
      <w:r w:rsidR="00E32F9F" w:rsidRPr="003E6D9D">
        <w:rPr>
          <w:lang w:val="en-GB"/>
        </w:rPr>
        <w:t xml:space="preserve">the </w:t>
      </w:r>
      <w:r w:rsidRPr="003E6D9D">
        <w:rPr>
          <w:lang w:val="en-GB"/>
        </w:rPr>
        <w:t>communities concerned</w:t>
      </w:r>
    </w:p>
    <w:p w14:paraId="1E780D00" w14:textId="6EE5BA82" w:rsidR="0037023C" w:rsidRPr="003E6D9D" w:rsidRDefault="0037023C" w:rsidP="009909DD">
      <w:pPr>
        <w:pStyle w:val="Texte1"/>
        <w:rPr>
          <w:lang w:val="en-GB"/>
        </w:rPr>
      </w:pPr>
      <w:r w:rsidRPr="003E6D9D">
        <w:rPr>
          <w:i/>
          <w:iCs/>
          <w:noProof/>
          <w:lang w:eastAsia="zh-TW"/>
        </w:rPr>
        <w:drawing>
          <wp:anchor distT="0" distB="0" distL="114300" distR="114300" simplePos="0" relativeHeight="251717632" behindDoc="0" locked="1" layoutInCell="1" allowOverlap="0" wp14:anchorId="18E6D24A" wp14:editId="6621EC92">
            <wp:simplePos x="0" y="0"/>
            <wp:positionH relativeFrom="column">
              <wp:posOffset>155575</wp:posOffset>
            </wp:positionH>
            <wp:positionV relativeFrom="paragraph">
              <wp:posOffset>-66040</wp:posOffset>
            </wp:positionV>
            <wp:extent cx="282575" cy="357505"/>
            <wp:effectExtent l="0" t="0" r="3175" b="4445"/>
            <wp:wrapNone/>
            <wp:docPr id="15"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3E6D9D">
        <w:rPr>
          <w:lang w:val="en-GB"/>
        </w:rPr>
        <w:t xml:space="preserve">Refer to </w:t>
      </w:r>
      <w:r w:rsidR="005B7AFC" w:rsidRPr="003E6D9D">
        <w:rPr>
          <w:lang w:val="en-GB"/>
        </w:rPr>
        <w:t>Unit</w:t>
      </w:r>
      <w:r w:rsidR="00C37E4A" w:rsidRPr="003E6D9D">
        <w:rPr>
          <w:lang w:val="en-GB"/>
        </w:rPr>
        <w:t> </w:t>
      </w:r>
      <w:r w:rsidR="005B7AFC" w:rsidRPr="003E6D9D">
        <w:rPr>
          <w:lang w:val="en-GB"/>
        </w:rPr>
        <w:t>7</w:t>
      </w:r>
      <w:r w:rsidR="008E2150" w:rsidRPr="003E6D9D">
        <w:rPr>
          <w:lang w:val="en-GB"/>
        </w:rPr>
        <w:t>.</w:t>
      </w:r>
      <w:r w:rsidR="005C00F6" w:rsidRPr="003E6D9D">
        <w:rPr>
          <w:lang w:val="en-GB"/>
        </w:rPr>
        <w:t>8</w:t>
      </w:r>
      <w:r w:rsidR="005B6F2C" w:rsidRPr="003E6D9D">
        <w:rPr>
          <w:lang w:val="en-GB"/>
        </w:rPr>
        <w:t xml:space="preserve"> </w:t>
      </w:r>
      <w:r w:rsidRPr="003E6D9D">
        <w:rPr>
          <w:lang w:val="en-GB"/>
        </w:rPr>
        <w:t xml:space="preserve">of the Participant’s text </w:t>
      </w:r>
    </w:p>
    <w:p w14:paraId="5D31D181" w14:textId="3020480C" w:rsidR="008E2150" w:rsidRPr="003E6D9D" w:rsidRDefault="0037023C" w:rsidP="009909DD">
      <w:pPr>
        <w:pStyle w:val="Texte1"/>
        <w:rPr>
          <w:lang w:val="en-GB"/>
        </w:rPr>
      </w:pPr>
      <w:r w:rsidRPr="003E6D9D">
        <w:rPr>
          <w:lang w:val="en-GB"/>
        </w:rPr>
        <w:t xml:space="preserve">The Participant’s text </w:t>
      </w:r>
      <w:r w:rsidR="005B6F2C" w:rsidRPr="003E6D9D">
        <w:rPr>
          <w:lang w:val="en-GB"/>
        </w:rPr>
        <w:t>outlines some issues that should be considered in the identification of the communities concerned.</w:t>
      </w:r>
    </w:p>
    <w:p w14:paraId="56079939" w14:textId="77777777" w:rsidR="0074776E" w:rsidRPr="003E6D9D" w:rsidRDefault="0074776E" w:rsidP="0074776E">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b/>
          <w:bCs/>
          <w:snapToGrid/>
          <w:color w:val="3366FF"/>
          <w:sz w:val="24"/>
          <w:lang w:val="en-GB" w:eastAsia="en-US"/>
        </w:rPr>
      </w:pPr>
      <w:r w:rsidRPr="003E6D9D">
        <w:rPr>
          <w:rFonts w:asciiTheme="minorBidi" w:hAnsiTheme="minorBidi" w:cstheme="minorBidi"/>
          <w:b/>
          <w:bCs/>
          <w:snapToGrid/>
          <w:color w:val="3366FF"/>
          <w:sz w:val="24"/>
          <w:lang w:val="en-GB" w:eastAsia="en-US"/>
        </w:rPr>
        <w:t>Exercise: Who are my communities?</w:t>
      </w:r>
    </w:p>
    <w:p w14:paraId="7C8DFEF0" w14:textId="77777777" w:rsidR="0074776E" w:rsidRPr="003E6D9D" w:rsidRDefault="0074776E" w:rsidP="0074776E">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en-GB" w:eastAsia="en-US"/>
        </w:rPr>
      </w:pPr>
      <w:r w:rsidRPr="003E6D9D">
        <w:rPr>
          <w:rFonts w:asciiTheme="minorBidi" w:hAnsiTheme="minorBidi" w:cstheme="minorBidi"/>
          <w:b/>
          <w:bCs/>
          <w:snapToGrid/>
          <w:sz w:val="24"/>
          <w:lang w:val="en-GB" w:eastAsia="en-US"/>
        </w:rPr>
        <w:t>15 mins</w:t>
      </w:r>
    </w:p>
    <w:p w14:paraId="6E7A3838" w14:textId="77777777" w:rsidR="0074776E" w:rsidRPr="003E6D9D" w:rsidRDefault="0074776E" w:rsidP="0074776E">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3E6D9D">
        <w:rPr>
          <w:snapToGrid/>
          <w:sz w:val="20"/>
          <w:lang w:val="en-GB"/>
        </w:rPr>
        <w:t>Participants should discuss the various communities or groups to which they belong, and mention any associated ICH practices. They should also identify some ICH practices they are familiar with an example who might, in their view, belong to ‘the community concerned’.</w:t>
      </w:r>
    </w:p>
    <w:p w14:paraId="7241F130" w14:textId="143D2E3E" w:rsidR="00907C2D" w:rsidRPr="003E6D9D" w:rsidRDefault="00907C2D" w:rsidP="00907C2D">
      <w:pPr>
        <w:pStyle w:val="Heading6"/>
        <w:rPr>
          <w:lang w:val="en-GB"/>
        </w:rPr>
      </w:pPr>
      <w:r w:rsidRPr="003E6D9D">
        <w:rPr>
          <w:lang w:val="en-GB"/>
        </w:rPr>
        <w:lastRenderedPageBreak/>
        <w:t xml:space="preserve">Slide </w:t>
      </w:r>
      <w:r w:rsidR="00570EE9" w:rsidRPr="003E6D9D">
        <w:rPr>
          <w:lang w:val="en-GB"/>
        </w:rPr>
        <w:t>1</w:t>
      </w:r>
      <w:r w:rsidR="00570EE9">
        <w:rPr>
          <w:lang w:val="en-GB"/>
        </w:rPr>
        <w:t>6</w:t>
      </w:r>
      <w:r w:rsidRPr="003E6D9D">
        <w:rPr>
          <w:lang w:val="en-GB"/>
        </w:rPr>
        <w:t>.</w:t>
      </w:r>
    </w:p>
    <w:p w14:paraId="66CEA144" w14:textId="77777777" w:rsidR="00907C2D" w:rsidRPr="003E6D9D" w:rsidRDefault="00907C2D" w:rsidP="009C7479">
      <w:pPr>
        <w:pStyle w:val="diapo2"/>
        <w:rPr>
          <w:lang w:val="en-GB"/>
        </w:rPr>
      </w:pPr>
      <w:r w:rsidRPr="003E6D9D">
        <w:rPr>
          <w:lang w:val="en-GB"/>
        </w:rPr>
        <w:t>Community complexities</w:t>
      </w:r>
    </w:p>
    <w:p w14:paraId="200D9E06" w14:textId="77777777" w:rsidR="00907C2D" w:rsidRPr="003E6D9D" w:rsidRDefault="00907C2D" w:rsidP="009C7479">
      <w:pPr>
        <w:pStyle w:val="Texte1"/>
        <w:rPr>
          <w:lang w:val="en-GB"/>
        </w:rPr>
      </w:pPr>
      <w:r w:rsidRPr="003E6D9D">
        <w:rPr>
          <w:lang w:val="en-GB"/>
        </w:rPr>
        <w:t>Despite all the good intentions of inclusion, it is clear that communities are complex, and factors such as class, gender, age, ethnicity, religion and others can also complicate genuine community participation.</w:t>
      </w:r>
    </w:p>
    <w:p w14:paraId="45740A5F" w14:textId="77777777" w:rsidR="00907C2D" w:rsidRPr="003E6D9D" w:rsidRDefault="00907C2D" w:rsidP="00966332">
      <w:pPr>
        <w:pStyle w:val="Texte1"/>
        <w:rPr>
          <w:lang w:val="en-GB"/>
        </w:rPr>
      </w:pPr>
      <w:r w:rsidRPr="003E6D9D">
        <w:rPr>
          <w:lang w:val="en-GB"/>
        </w:rPr>
        <w:t>Experiences show that facilitators of participatory processes often have a naïve perception of ‘community’ as being harmonious. As a result, internal dynamics and differences are inadequately understood, despite the fact that an understanding of them is necessary for any participatory process and for different groups in the community</w:t>
      </w:r>
      <w:r w:rsidR="008863F9" w:rsidRPr="003E6D9D">
        <w:rPr>
          <w:lang w:val="en-GB"/>
        </w:rPr>
        <w:t xml:space="preserve"> to benefit</w:t>
      </w:r>
      <w:r w:rsidRPr="003E6D9D">
        <w:rPr>
          <w:lang w:val="en-GB"/>
        </w:rPr>
        <w:t>. The myth of a homogenous and inclusive community is often deeply ingrained in the minds of participatory practitioners; what passes as participatory practice therefore hides biases that end up favouring the most influential and articulate members of the community. Communities are in fact not homogenous and not everyone will agree on every issue. In many cases, not all members of a community fully participate in the same set of ICH. Communities and groups often have internal hierarchies, for instance, those based on class, age or gender.</w:t>
      </w:r>
    </w:p>
    <w:p w14:paraId="0FBEAF36" w14:textId="77777777" w:rsidR="00907C2D" w:rsidRPr="003E6D9D" w:rsidRDefault="00907C2D" w:rsidP="00966332">
      <w:pPr>
        <w:pStyle w:val="Texte1"/>
        <w:rPr>
          <w:lang w:val="en-GB"/>
        </w:rPr>
      </w:pPr>
      <w:r w:rsidRPr="003E6D9D">
        <w:rPr>
          <w:lang w:val="en-GB"/>
        </w:rPr>
        <w:t xml:space="preserve">For example, even though women and youth may be consulted, their opinions often seem to count less when the final decisions are made. </w:t>
      </w:r>
      <w:r w:rsidR="00C47BFB" w:rsidRPr="003E6D9D">
        <w:rPr>
          <w:lang w:val="en-GB"/>
        </w:rPr>
        <w:t xml:space="preserve">Community-based inventorying </w:t>
      </w:r>
      <w:r w:rsidRPr="003E6D9D">
        <w:rPr>
          <w:lang w:val="en-GB"/>
        </w:rPr>
        <w:t xml:space="preserve">recognizes diversity within a community regarding their ICH. It values divergent and different opinions on the basis that there is no single truth, only identification with ICH and opinion. Variability is therefore fundamental to the nature of ICH. In particular, </w:t>
      </w:r>
      <w:r w:rsidR="00966332" w:rsidRPr="003E6D9D">
        <w:rPr>
          <w:lang w:val="en-GB"/>
        </w:rPr>
        <w:t xml:space="preserve">community-based inventorying </w:t>
      </w:r>
      <w:r w:rsidRPr="003E6D9D">
        <w:rPr>
          <w:lang w:val="en-GB"/>
        </w:rPr>
        <w:t xml:space="preserve">values the inclusion of youth as part of these multiple voices on ICH and recognizes its key role in the identification and transmission of ICH. Youth should therefore be included in all work relating to ICH. Generally, it is important to resist oversimplifying and over-romanticizing the ‘community’. Instead, it is important </w:t>
      </w:r>
      <w:r w:rsidR="00966332" w:rsidRPr="003E6D9D">
        <w:rPr>
          <w:lang w:val="en-GB"/>
        </w:rPr>
        <w:t xml:space="preserve">to </w:t>
      </w:r>
      <w:r w:rsidRPr="003E6D9D">
        <w:rPr>
          <w:lang w:val="en-GB"/>
        </w:rPr>
        <w:t>strive to identify and analyse community dynamics that could exclude some groups.</w:t>
      </w:r>
    </w:p>
    <w:p w14:paraId="21547626" w14:textId="77777777" w:rsidR="00907C2D" w:rsidRPr="003E6D9D" w:rsidRDefault="00907C2D" w:rsidP="00966332">
      <w:pPr>
        <w:pStyle w:val="Texte1"/>
        <w:rPr>
          <w:lang w:val="en-GB"/>
        </w:rPr>
      </w:pPr>
      <w:r w:rsidRPr="003E6D9D">
        <w:rPr>
          <w:lang w:val="en-GB"/>
        </w:rPr>
        <w:t xml:space="preserve">It </w:t>
      </w:r>
      <w:r w:rsidR="00966332" w:rsidRPr="003E6D9D">
        <w:rPr>
          <w:lang w:val="en-GB"/>
        </w:rPr>
        <w:t>also must be</w:t>
      </w:r>
      <w:r w:rsidRPr="003E6D9D">
        <w:rPr>
          <w:lang w:val="en-GB"/>
        </w:rPr>
        <w:t xml:space="preserve"> recognize</w:t>
      </w:r>
      <w:r w:rsidR="00966332" w:rsidRPr="003E6D9D">
        <w:rPr>
          <w:lang w:val="en-GB"/>
        </w:rPr>
        <w:t>d</w:t>
      </w:r>
      <w:r w:rsidRPr="003E6D9D">
        <w:rPr>
          <w:lang w:val="en-GB"/>
        </w:rPr>
        <w:t xml:space="preserve"> that any given community is characterized by particular social dynamics. It is therefore important to create an environment and a set of procedures that facilitate participation by diverse community members. The composition of groups, choice of venues, seasons and time could all determine who participates and the level of participation.</w:t>
      </w:r>
    </w:p>
    <w:p w14:paraId="404546E1" w14:textId="77777777" w:rsidR="00907C2D" w:rsidRPr="003E6D9D" w:rsidRDefault="00907C2D" w:rsidP="009C7479">
      <w:pPr>
        <w:pStyle w:val="Texte1"/>
        <w:rPr>
          <w:lang w:val="en-GB"/>
        </w:rPr>
      </w:pPr>
      <w:r w:rsidRPr="003E6D9D">
        <w:rPr>
          <w:lang w:val="en-GB"/>
        </w:rPr>
        <w:t xml:space="preserve">Certain critical questions may need to be asked including: Who is who within the community? Who decides who should or should not participate? Who participates and why? Who is left out and why? What needs to be done to ensure equal opportunities are created and </w:t>
      </w:r>
      <w:r w:rsidR="00966332" w:rsidRPr="003E6D9D">
        <w:rPr>
          <w:lang w:val="en-GB"/>
        </w:rPr>
        <w:t xml:space="preserve">there is </w:t>
      </w:r>
      <w:r w:rsidRPr="003E6D9D">
        <w:rPr>
          <w:lang w:val="en-GB"/>
        </w:rPr>
        <w:t>support for all to participate?</w:t>
      </w:r>
    </w:p>
    <w:p w14:paraId="3CBCEC9F" w14:textId="0A23C47D" w:rsidR="002D6D4A" w:rsidRPr="003E6D9D" w:rsidRDefault="002D6D4A" w:rsidP="002D6D4A">
      <w:pPr>
        <w:pStyle w:val="Heading6"/>
        <w:rPr>
          <w:rFonts w:cs="Arial"/>
          <w:sz w:val="20"/>
          <w:lang w:val="en-GB"/>
        </w:rPr>
      </w:pPr>
      <w:r w:rsidRPr="003E6D9D">
        <w:rPr>
          <w:lang w:val="en-GB"/>
        </w:rPr>
        <w:t xml:space="preserve">Slide </w:t>
      </w:r>
      <w:r w:rsidR="00570EE9" w:rsidRPr="003E6D9D">
        <w:rPr>
          <w:lang w:val="en-GB"/>
        </w:rPr>
        <w:t>1</w:t>
      </w:r>
      <w:r w:rsidR="00570EE9">
        <w:rPr>
          <w:lang w:val="en-GB"/>
        </w:rPr>
        <w:t>7</w:t>
      </w:r>
      <w:r w:rsidRPr="003E6D9D">
        <w:rPr>
          <w:lang w:val="en-GB"/>
        </w:rPr>
        <w:t>.</w:t>
      </w:r>
    </w:p>
    <w:p w14:paraId="36CE6328" w14:textId="77777777" w:rsidR="002D6D4A" w:rsidRPr="001B0A0D" w:rsidRDefault="002D6D4A" w:rsidP="002D6D4A">
      <w:pPr>
        <w:pStyle w:val="diapo2"/>
        <w:rPr>
          <w:lang w:val="en-GB"/>
        </w:rPr>
      </w:pPr>
      <w:r w:rsidRPr="001B0A0D">
        <w:rPr>
          <w:lang w:val="en-GB"/>
        </w:rPr>
        <w:t>Gender and community involvement</w:t>
      </w:r>
    </w:p>
    <w:p w14:paraId="26BED5BE" w14:textId="33F30EAB" w:rsidR="002D6D4A" w:rsidRPr="001B0A0D" w:rsidRDefault="00C855E4" w:rsidP="002D6D4A">
      <w:pPr>
        <w:pStyle w:val="Texte1"/>
        <w:rPr>
          <w:lang w:val="en-GB"/>
        </w:rPr>
      </w:pPr>
      <w:r>
        <w:rPr>
          <w:lang w:val="en-GB"/>
        </w:rPr>
        <w:t>Participant’s text Unit 7</w:t>
      </w:r>
      <w:r w:rsidR="002D6D4A" w:rsidRPr="001B0A0D">
        <w:rPr>
          <w:lang w:val="en-GB"/>
        </w:rPr>
        <w:t xml:space="preserve"> explains why a gender-based approach is essential when considering community involvement and participation within the framework of the Convention. </w:t>
      </w:r>
    </w:p>
    <w:p w14:paraId="021A9632" w14:textId="3843E0D2" w:rsidR="00417074" w:rsidRPr="003E6D9D" w:rsidRDefault="009D09C4" w:rsidP="004936EF">
      <w:pPr>
        <w:pStyle w:val="Heading6"/>
        <w:rPr>
          <w:lang w:val="en-GB"/>
        </w:rPr>
      </w:pPr>
      <w:r w:rsidRPr="003E6D9D">
        <w:rPr>
          <w:lang w:val="en-GB"/>
        </w:rPr>
        <w:lastRenderedPageBreak/>
        <w:t xml:space="preserve">Slide </w:t>
      </w:r>
      <w:r w:rsidR="00570EE9" w:rsidRPr="003E6D9D">
        <w:rPr>
          <w:lang w:val="en-GB"/>
        </w:rPr>
        <w:t>1</w:t>
      </w:r>
      <w:r w:rsidR="00570EE9">
        <w:rPr>
          <w:lang w:val="en-GB"/>
        </w:rPr>
        <w:t>8</w:t>
      </w:r>
      <w:r w:rsidR="00417074" w:rsidRPr="003E6D9D">
        <w:rPr>
          <w:lang w:val="en-GB"/>
        </w:rPr>
        <w:t>.</w:t>
      </w:r>
    </w:p>
    <w:p w14:paraId="5100AA2B" w14:textId="77777777" w:rsidR="00E248EB" w:rsidRPr="003E6D9D" w:rsidRDefault="00E248EB" w:rsidP="004936EF">
      <w:pPr>
        <w:pStyle w:val="diapo2"/>
        <w:rPr>
          <w:lang w:val="en-GB"/>
        </w:rPr>
      </w:pPr>
      <w:r w:rsidRPr="003E6D9D">
        <w:rPr>
          <w:lang w:val="en-GB"/>
        </w:rPr>
        <w:t>Identifying representatives</w:t>
      </w:r>
    </w:p>
    <w:p w14:paraId="28195B2A" w14:textId="77777777" w:rsidR="001E2F13" w:rsidRPr="003E6D9D" w:rsidRDefault="001E2F13" w:rsidP="001E2F13">
      <w:pPr>
        <w:pStyle w:val="Informations0"/>
        <w:rPr>
          <w:iCs/>
          <w:lang w:val="en-GB"/>
        </w:rPr>
      </w:pPr>
      <w:r w:rsidRPr="003E6D9D">
        <w:rPr>
          <w:i w:val="0"/>
          <w:iCs/>
          <w:noProof/>
          <w:lang w:eastAsia="zh-TW"/>
        </w:rPr>
        <w:drawing>
          <wp:anchor distT="0" distB="0" distL="114300" distR="114300" simplePos="0" relativeHeight="251713536" behindDoc="0" locked="1" layoutInCell="1" allowOverlap="0" wp14:anchorId="6FCB2ACE" wp14:editId="603604CA">
            <wp:simplePos x="0" y="0"/>
            <wp:positionH relativeFrom="column">
              <wp:posOffset>135255</wp:posOffset>
            </wp:positionH>
            <wp:positionV relativeFrom="paragraph">
              <wp:posOffset>-71755</wp:posOffset>
            </wp:positionV>
            <wp:extent cx="282575" cy="357505"/>
            <wp:effectExtent l="0" t="0" r="3175" b="4445"/>
            <wp:wrapNone/>
            <wp:docPr id="1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3E6D9D">
        <w:rPr>
          <w:i w:val="0"/>
          <w:iCs/>
          <w:lang w:val="en-GB"/>
        </w:rPr>
        <w:t>Participant’s text Unit 7.9.</w:t>
      </w:r>
    </w:p>
    <w:p w14:paraId="218D21B2" w14:textId="2C91CE69" w:rsidR="008E2150" w:rsidRPr="003E6D9D" w:rsidRDefault="001E2F13" w:rsidP="001E2F13">
      <w:pPr>
        <w:pStyle w:val="Texte1"/>
        <w:rPr>
          <w:lang w:val="en-GB"/>
        </w:rPr>
      </w:pPr>
      <w:r w:rsidRPr="003E6D9D">
        <w:rPr>
          <w:lang w:val="en-GB"/>
        </w:rPr>
        <w:t xml:space="preserve">The </w:t>
      </w:r>
      <w:r w:rsidR="00F02D08" w:rsidRPr="003E6D9D">
        <w:rPr>
          <w:lang w:val="en-GB"/>
        </w:rPr>
        <w:t>Participant’s</w:t>
      </w:r>
      <w:r w:rsidR="002A3923" w:rsidRPr="003E6D9D">
        <w:rPr>
          <w:lang w:val="en-GB"/>
        </w:rPr>
        <w:t xml:space="preserve"> text </w:t>
      </w:r>
      <w:r w:rsidR="005B6F2C" w:rsidRPr="003E6D9D">
        <w:rPr>
          <w:lang w:val="en-GB"/>
        </w:rPr>
        <w:t>introduces a discussion about community representation and some of the problems that may arise in this regard.</w:t>
      </w:r>
    </w:p>
    <w:p w14:paraId="3E526DA0" w14:textId="70A86443" w:rsidR="00A949DC" w:rsidRPr="003E6D9D" w:rsidRDefault="00D11F89" w:rsidP="004936EF">
      <w:pPr>
        <w:pStyle w:val="Soustitre"/>
        <w:rPr>
          <w:caps/>
          <w:lang w:val="en-GB"/>
        </w:rPr>
      </w:pPr>
      <w:bookmarkStart w:id="11" w:name="_Toc238982234"/>
      <w:r w:rsidRPr="003E6D9D">
        <w:rPr>
          <w:lang w:val="en-GB"/>
        </w:rPr>
        <w:t>D</w:t>
      </w:r>
      <w:r w:rsidR="00A949DC" w:rsidRPr="003E6D9D">
        <w:rPr>
          <w:lang w:val="en-GB"/>
        </w:rPr>
        <w:t>isputes about t</w:t>
      </w:r>
      <w:r w:rsidR="00474E40" w:rsidRPr="003E6D9D">
        <w:rPr>
          <w:lang w:val="en-GB"/>
        </w:rPr>
        <w:t xml:space="preserve">he </w:t>
      </w:r>
      <w:r w:rsidR="006336FE" w:rsidRPr="003E6D9D">
        <w:rPr>
          <w:lang w:val="en-GB"/>
        </w:rPr>
        <w:t>identification</w:t>
      </w:r>
      <w:r w:rsidR="00474E40" w:rsidRPr="003E6D9D">
        <w:rPr>
          <w:lang w:val="en-GB"/>
        </w:rPr>
        <w:t xml:space="preserve"> of the communities or groups</w:t>
      </w:r>
      <w:r w:rsidR="00A949DC" w:rsidRPr="003E6D9D">
        <w:rPr>
          <w:lang w:val="en-GB"/>
        </w:rPr>
        <w:t xml:space="preserve"> associated with a specific ICH element, or about who should represent them</w:t>
      </w:r>
      <w:bookmarkEnd w:id="11"/>
    </w:p>
    <w:p w14:paraId="7B44634C" w14:textId="77777777" w:rsidR="00A949DC" w:rsidRPr="003E6D9D" w:rsidRDefault="00A949DC" w:rsidP="009909DD">
      <w:pPr>
        <w:pStyle w:val="Texte1"/>
        <w:rPr>
          <w:lang w:val="en-GB"/>
        </w:rPr>
      </w:pPr>
      <w:r w:rsidRPr="003E6D9D">
        <w:rPr>
          <w:lang w:val="en-GB"/>
        </w:rPr>
        <w:t>Where disputes prevent the emergence of a community consensus, outsiders can undertake few actions under the Convention until agreement is reached within the community.</w:t>
      </w:r>
    </w:p>
    <w:p w14:paraId="09A24217" w14:textId="1F14AC36" w:rsidR="00417074" w:rsidRPr="003E6D9D" w:rsidRDefault="009D09C4" w:rsidP="004936EF">
      <w:pPr>
        <w:pStyle w:val="Heading6"/>
        <w:rPr>
          <w:lang w:val="en-GB"/>
        </w:rPr>
      </w:pPr>
      <w:r w:rsidRPr="003E6D9D">
        <w:rPr>
          <w:lang w:val="en-GB"/>
        </w:rPr>
        <w:t xml:space="preserve">Slide </w:t>
      </w:r>
      <w:r w:rsidR="00570EE9">
        <w:rPr>
          <w:lang w:val="en-GB"/>
        </w:rPr>
        <w:t>19</w:t>
      </w:r>
      <w:r w:rsidR="00417074" w:rsidRPr="003E6D9D">
        <w:rPr>
          <w:lang w:val="en-GB"/>
        </w:rPr>
        <w:t>.</w:t>
      </w:r>
    </w:p>
    <w:p w14:paraId="30CE19FD" w14:textId="77777777" w:rsidR="00E248EB" w:rsidRPr="003E6D9D" w:rsidRDefault="00E248EB" w:rsidP="004936EF">
      <w:pPr>
        <w:pStyle w:val="diapo2"/>
        <w:rPr>
          <w:lang w:val="en-GB"/>
        </w:rPr>
      </w:pPr>
      <w:r w:rsidRPr="003E6D9D">
        <w:rPr>
          <w:lang w:val="en-GB"/>
        </w:rPr>
        <w:t xml:space="preserve">Case </w:t>
      </w:r>
      <w:r w:rsidR="004022FE" w:rsidRPr="003E6D9D">
        <w:rPr>
          <w:lang w:val="en-GB"/>
        </w:rPr>
        <w:t>s</w:t>
      </w:r>
      <w:r w:rsidRPr="003E6D9D">
        <w:rPr>
          <w:lang w:val="en-GB"/>
        </w:rPr>
        <w:t>tudy: The Patum of Berg</w:t>
      </w:r>
      <w:r w:rsidR="009310B2" w:rsidRPr="003E6D9D">
        <w:rPr>
          <w:lang w:val="en-GB"/>
        </w:rPr>
        <w:t>a (Spain)</w:t>
      </w:r>
    </w:p>
    <w:p w14:paraId="6DC7CA23" w14:textId="77777777" w:rsidR="00AD4013" w:rsidRPr="003E6D9D" w:rsidRDefault="00AD4013" w:rsidP="009909DD">
      <w:pPr>
        <w:pStyle w:val="Texte1"/>
        <w:rPr>
          <w:lang w:val="en-GB"/>
        </w:rPr>
      </w:pPr>
      <w:r w:rsidRPr="003E6D9D">
        <w:rPr>
          <w:lang w:val="en-GB"/>
        </w:rPr>
        <w:t xml:space="preserve">This is included as an example in the </w:t>
      </w:r>
      <w:r w:rsidR="00C4640B" w:rsidRPr="003E6D9D">
        <w:rPr>
          <w:lang w:val="en-GB"/>
        </w:rPr>
        <w:t>Facilitator’s</w:t>
      </w:r>
      <w:r w:rsidR="00AC3FC7" w:rsidRPr="003E6D9D">
        <w:rPr>
          <w:lang w:val="en-GB"/>
        </w:rPr>
        <w:t> </w:t>
      </w:r>
      <w:r w:rsidR="00C4640B" w:rsidRPr="003E6D9D">
        <w:rPr>
          <w:lang w:val="en-GB"/>
        </w:rPr>
        <w:t>notes</w:t>
      </w:r>
      <w:r w:rsidRPr="003E6D9D">
        <w:rPr>
          <w:lang w:val="en-GB"/>
        </w:rPr>
        <w:t xml:space="preserve"> only.</w:t>
      </w:r>
    </w:p>
    <w:p w14:paraId="24A288A4" w14:textId="77777777" w:rsidR="0031089B" w:rsidRPr="003E6D9D" w:rsidRDefault="0031089B" w:rsidP="004936EF">
      <w:pPr>
        <w:pStyle w:val="Soustitre"/>
        <w:rPr>
          <w:lang w:val="en-GB"/>
        </w:rPr>
      </w:pPr>
      <w:bookmarkStart w:id="12" w:name="_Toc301101357"/>
      <w:bookmarkStart w:id="13" w:name="_Toc238982235"/>
      <w:r w:rsidRPr="003E6D9D">
        <w:rPr>
          <w:lang w:val="en-GB"/>
        </w:rPr>
        <w:t xml:space="preserve">Case </w:t>
      </w:r>
      <w:r w:rsidR="006146E6" w:rsidRPr="003E6D9D">
        <w:rPr>
          <w:lang w:val="en-GB"/>
        </w:rPr>
        <w:t>s</w:t>
      </w:r>
      <w:r w:rsidRPr="003E6D9D">
        <w:rPr>
          <w:lang w:val="en-GB"/>
        </w:rPr>
        <w:t xml:space="preserve">tudy: </w:t>
      </w:r>
      <w:r w:rsidR="006146E6" w:rsidRPr="003E6D9D">
        <w:rPr>
          <w:lang w:val="en-GB"/>
        </w:rPr>
        <w:t>q</w:t>
      </w:r>
      <w:r w:rsidR="00023082" w:rsidRPr="003E6D9D">
        <w:rPr>
          <w:lang w:val="en-GB"/>
        </w:rPr>
        <w:t>uestions of c</w:t>
      </w:r>
      <w:r w:rsidRPr="003E6D9D">
        <w:rPr>
          <w:lang w:val="en-GB"/>
        </w:rPr>
        <w:t>ommunity representati</w:t>
      </w:r>
      <w:r w:rsidR="00023082" w:rsidRPr="003E6D9D">
        <w:rPr>
          <w:lang w:val="en-GB"/>
        </w:rPr>
        <w:t>on</w:t>
      </w:r>
      <w:r w:rsidRPr="003E6D9D">
        <w:rPr>
          <w:lang w:val="en-GB"/>
        </w:rPr>
        <w:t xml:space="preserve"> </w:t>
      </w:r>
      <w:r w:rsidR="00023082" w:rsidRPr="003E6D9D">
        <w:rPr>
          <w:lang w:val="en-GB"/>
        </w:rPr>
        <w:t>in</w:t>
      </w:r>
      <w:r w:rsidRPr="003E6D9D">
        <w:rPr>
          <w:lang w:val="en-GB"/>
        </w:rPr>
        <w:t xml:space="preserve"> </w:t>
      </w:r>
      <w:r w:rsidR="006146E6" w:rsidRPr="003E6D9D">
        <w:rPr>
          <w:lang w:val="en-GB"/>
        </w:rPr>
        <w:t>t</w:t>
      </w:r>
      <w:r w:rsidRPr="003E6D9D">
        <w:rPr>
          <w:lang w:val="en-GB"/>
        </w:rPr>
        <w:t xml:space="preserve">he </w:t>
      </w:r>
      <w:r w:rsidR="00023082" w:rsidRPr="003E6D9D">
        <w:rPr>
          <w:lang w:val="en-GB"/>
        </w:rPr>
        <w:t xml:space="preserve">safeguarding of the </w:t>
      </w:r>
      <w:r w:rsidRPr="003E6D9D">
        <w:rPr>
          <w:lang w:val="en-GB"/>
        </w:rPr>
        <w:t>Patum of Berga (Spain)</w:t>
      </w:r>
      <w:bookmarkEnd w:id="12"/>
      <w:bookmarkEnd w:id="13"/>
    </w:p>
    <w:p w14:paraId="0A60D306" w14:textId="77777777" w:rsidR="0031089B" w:rsidRPr="003E6D9D" w:rsidRDefault="0031089B" w:rsidP="009909DD">
      <w:pPr>
        <w:pStyle w:val="Texte1"/>
        <w:rPr>
          <w:lang w:val="en-GB"/>
        </w:rPr>
      </w:pPr>
      <w:r w:rsidRPr="003E6D9D">
        <w:rPr>
          <w:lang w:val="en-GB"/>
        </w:rPr>
        <w:t>The Patum is a</w:t>
      </w:r>
      <w:r w:rsidR="00023082" w:rsidRPr="003E6D9D">
        <w:rPr>
          <w:lang w:val="en-GB"/>
        </w:rPr>
        <w:t>n annual</w:t>
      </w:r>
      <w:r w:rsidRPr="003E6D9D">
        <w:rPr>
          <w:lang w:val="en-GB"/>
        </w:rPr>
        <w:t xml:space="preserve"> festival </w:t>
      </w:r>
      <w:r w:rsidR="00023082" w:rsidRPr="003E6D9D">
        <w:rPr>
          <w:lang w:val="en-GB"/>
        </w:rPr>
        <w:t xml:space="preserve">in the town of Berga, </w:t>
      </w:r>
      <w:r w:rsidRPr="003E6D9D">
        <w:rPr>
          <w:lang w:val="en-GB"/>
        </w:rPr>
        <w:t xml:space="preserve">Catalonia, </w:t>
      </w:r>
      <w:r w:rsidR="00023082" w:rsidRPr="003E6D9D">
        <w:rPr>
          <w:lang w:val="en-GB"/>
        </w:rPr>
        <w:t xml:space="preserve">in </w:t>
      </w:r>
      <w:r w:rsidRPr="003E6D9D">
        <w:rPr>
          <w:lang w:val="en-GB"/>
        </w:rPr>
        <w:t xml:space="preserve">north-eastern Spain. Initially proclaimed as a Masterpiece of the Oral and Intangible Heritage of Humanity in 2005, it was inscribed on the </w:t>
      </w:r>
      <w:r w:rsidR="00693C9E" w:rsidRPr="003E6D9D">
        <w:rPr>
          <w:lang w:val="en-GB"/>
        </w:rPr>
        <w:t>RL</w:t>
      </w:r>
      <w:r w:rsidRPr="003E6D9D">
        <w:rPr>
          <w:lang w:val="en-GB"/>
        </w:rPr>
        <w:t xml:space="preserve"> in 2008. Conflict about the regulation of the festival within the community concerned illustrates the difficulty of identifying community representatives.</w:t>
      </w:r>
    </w:p>
    <w:p w14:paraId="3F8C3FAF" w14:textId="77777777" w:rsidR="0031089B" w:rsidRPr="003E6D9D" w:rsidRDefault="0031089B" w:rsidP="009909DD">
      <w:pPr>
        <w:pStyle w:val="Texte1"/>
        <w:rPr>
          <w:lang w:val="en-GB"/>
        </w:rPr>
      </w:pPr>
      <w:r w:rsidRPr="003E6D9D">
        <w:rPr>
          <w:lang w:val="en-GB"/>
        </w:rPr>
        <w:t xml:space="preserve">The Patum has been performed since at least the early seventeenth century. </w:t>
      </w:r>
      <w:r w:rsidR="00A43368" w:rsidRPr="003E6D9D">
        <w:rPr>
          <w:lang w:val="en-GB"/>
        </w:rPr>
        <w:t xml:space="preserve">At its </w:t>
      </w:r>
      <w:r w:rsidRPr="003E6D9D">
        <w:rPr>
          <w:lang w:val="en-GB"/>
        </w:rPr>
        <w:t xml:space="preserve">core is a series of dances performed several times </w:t>
      </w:r>
      <w:r w:rsidR="00C85930" w:rsidRPr="003E6D9D">
        <w:rPr>
          <w:lang w:val="en-GB"/>
        </w:rPr>
        <w:t xml:space="preserve">during </w:t>
      </w:r>
      <w:r w:rsidRPr="003E6D9D">
        <w:rPr>
          <w:lang w:val="en-GB"/>
        </w:rPr>
        <w:t>the course of five days</w:t>
      </w:r>
      <w:r w:rsidR="00C85930" w:rsidRPr="003E6D9D">
        <w:rPr>
          <w:lang w:val="en-GB"/>
        </w:rPr>
        <w:t xml:space="preserve"> in the town’s main square</w:t>
      </w:r>
      <w:r w:rsidRPr="003E6D9D">
        <w:rPr>
          <w:lang w:val="en-GB"/>
        </w:rPr>
        <w:t xml:space="preserve">, to the sound of a large drum the Patum. The dances feature different masked and sculpted figures, often </w:t>
      </w:r>
      <w:r w:rsidR="003B46C4" w:rsidRPr="003E6D9D">
        <w:rPr>
          <w:lang w:val="en-GB"/>
        </w:rPr>
        <w:t xml:space="preserve">engaged </w:t>
      </w:r>
      <w:r w:rsidRPr="003E6D9D">
        <w:rPr>
          <w:lang w:val="en-GB"/>
        </w:rPr>
        <w:t xml:space="preserve">in combat. As Dorothy Noyes explains, this contestation is part of what makes the Patum important </w:t>
      </w:r>
      <w:r w:rsidR="003B46C4" w:rsidRPr="003E6D9D">
        <w:rPr>
          <w:lang w:val="en-GB"/>
        </w:rPr>
        <w:t xml:space="preserve">for </w:t>
      </w:r>
      <w:r w:rsidRPr="003E6D9D">
        <w:rPr>
          <w:lang w:val="en-GB"/>
        </w:rPr>
        <w:t>the Berguedans:</w:t>
      </w:r>
    </w:p>
    <w:p w14:paraId="0273E063" w14:textId="77777777" w:rsidR="0031089B" w:rsidRPr="003E6D9D" w:rsidRDefault="0031089B" w:rsidP="004936EF">
      <w:pPr>
        <w:pStyle w:val="citation"/>
        <w:rPr>
          <w:lang w:val="en-GB"/>
        </w:rPr>
      </w:pPr>
      <w:r w:rsidRPr="003E6D9D">
        <w:rPr>
          <w:lang w:val="en-GB"/>
        </w:rPr>
        <w:t>The Patum is</w:t>
      </w:r>
      <w:r w:rsidR="00C368A0" w:rsidRPr="003E6D9D">
        <w:rPr>
          <w:lang w:val="en-GB"/>
        </w:rPr>
        <w:t xml:space="preserve"> … </w:t>
      </w:r>
      <w:r w:rsidRPr="003E6D9D">
        <w:rPr>
          <w:lang w:val="en-GB"/>
        </w:rPr>
        <w:t>the collective performance by which Berga struggles to achieve community; and community is all the more valued for being hard-won.</w:t>
      </w:r>
      <w:r w:rsidRPr="003E6D9D">
        <w:rPr>
          <w:vertAlign w:val="superscript"/>
          <w:lang w:val="en-GB"/>
        </w:rPr>
        <w:footnoteReference w:id="2"/>
      </w:r>
    </w:p>
    <w:p w14:paraId="3273F834" w14:textId="77777777" w:rsidR="0031089B" w:rsidRPr="003E6D9D" w:rsidRDefault="0031089B" w:rsidP="004936EF">
      <w:pPr>
        <w:pStyle w:val="citation"/>
        <w:rPr>
          <w:lang w:val="en-GB"/>
        </w:rPr>
      </w:pPr>
      <w:r w:rsidRPr="003E6D9D">
        <w:rPr>
          <w:lang w:val="en-GB"/>
        </w:rPr>
        <w:t>The Patum teaches Berguedans that they will never love one another, but also that no one is ever going away. Or as they say, ‘We won't die united, but we’ll die together</w:t>
      </w:r>
      <w:r w:rsidR="00C85930" w:rsidRPr="003E6D9D">
        <w:rPr>
          <w:lang w:val="en-GB"/>
        </w:rPr>
        <w:t>.</w:t>
      </w:r>
      <w:r w:rsidR="00023082" w:rsidRPr="003E6D9D">
        <w:rPr>
          <w:lang w:val="en-GB"/>
        </w:rPr>
        <w:t>’</w:t>
      </w:r>
      <w:r w:rsidRPr="003E6D9D">
        <w:rPr>
          <w:vertAlign w:val="superscript"/>
          <w:lang w:val="en-GB"/>
        </w:rPr>
        <w:footnoteReference w:id="3"/>
      </w:r>
    </w:p>
    <w:p w14:paraId="2605AC40" w14:textId="77777777" w:rsidR="0031089B" w:rsidRPr="003E6D9D" w:rsidRDefault="00023082" w:rsidP="009909DD">
      <w:pPr>
        <w:pStyle w:val="Texte1"/>
        <w:rPr>
          <w:lang w:val="en-GB"/>
        </w:rPr>
      </w:pPr>
      <w:r w:rsidRPr="003E6D9D">
        <w:rPr>
          <w:lang w:val="en-GB"/>
        </w:rPr>
        <w:t>In</w:t>
      </w:r>
      <w:r w:rsidR="0031089B" w:rsidRPr="003E6D9D">
        <w:rPr>
          <w:lang w:val="en-GB"/>
        </w:rPr>
        <w:t xml:space="preserve"> the festival</w:t>
      </w:r>
      <w:r w:rsidR="00C368A0" w:rsidRPr="003E6D9D">
        <w:rPr>
          <w:lang w:val="en-GB"/>
        </w:rPr>
        <w:t>,</w:t>
      </w:r>
      <w:r w:rsidR="0031089B" w:rsidRPr="003E6D9D">
        <w:rPr>
          <w:lang w:val="en-GB"/>
        </w:rPr>
        <w:t xml:space="preserve"> differ</w:t>
      </w:r>
      <w:r w:rsidR="00A43368" w:rsidRPr="003E6D9D">
        <w:rPr>
          <w:lang w:val="en-GB"/>
        </w:rPr>
        <w:t>ent</w:t>
      </w:r>
      <w:r w:rsidR="0031089B" w:rsidRPr="003E6D9D">
        <w:rPr>
          <w:lang w:val="en-GB"/>
        </w:rPr>
        <w:t xml:space="preserve"> groups and facti</w:t>
      </w:r>
      <w:r w:rsidRPr="003E6D9D">
        <w:rPr>
          <w:lang w:val="en-GB"/>
        </w:rPr>
        <w:t>ons beco</w:t>
      </w:r>
      <w:r w:rsidR="0031089B" w:rsidRPr="003E6D9D">
        <w:rPr>
          <w:lang w:val="en-GB"/>
        </w:rPr>
        <w:t xml:space="preserve">me involved in the same activity for five days, </w:t>
      </w:r>
      <w:r w:rsidRPr="003E6D9D">
        <w:rPr>
          <w:lang w:val="en-GB"/>
        </w:rPr>
        <w:t>which forges</w:t>
      </w:r>
      <w:r w:rsidR="0031089B" w:rsidRPr="003E6D9D">
        <w:rPr>
          <w:lang w:val="en-GB"/>
        </w:rPr>
        <w:t xml:space="preserve"> a sense of community in a town deeply divided by stratifications of gender, class, age and place of origin. </w:t>
      </w:r>
      <w:r w:rsidR="009D31D1" w:rsidRPr="003E6D9D">
        <w:rPr>
          <w:lang w:val="en-GB"/>
        </w:rPr>
        <w:t>T</w:t>
      </w:r>
      <w:r w:rsidR="0031089B" w:rsidRPr="003E6D9D">
        <w:rPr>
          <w:lang w:val="en-GB"/>
        </w:rPr>
        <w:t xml:space="preserve">he festival </w:t>
      </w:r>
      <w:r w:rsidRPr="003E6D9D">
        <w:rPr>
          <w:lang w:val="en-GB"/>
        </w:rPr>
        <w:t>continued</w:t>
      </w:r>
      <w:r w:rsidR="009D31D1" w:rsidRPr="003E6D9D">
        <w:rPr>
          <w:lang w:val="en-GB"/>
        </w:rPr>
        <w:t xml:space="preserve"> during the Franco period</w:t>
      </w:r>
      <w:r w:rsidRPr="003E6D9D">
        <w:rPr>
          <w:lang w:val="en-GB"/>
        </w:rPr>
        <w:t>, but</w:t>
      </w:r>
      <w:r w:rsidR="0031089B" w:rsidRPr="003E6D9D">
        <w:rPr>
          <w:lang w:val="en-GB"/>
        </w:rPr>
        <w:t xml:space="preserve"> some of its oppositional features were muted. It emerged revitalized from this period. But today, the higher stakes </w:t>
      </w:r>
      <w:r w:rsidR="00D12635" w:rsidRPr="003E6D9D">
        <w:rPr>
          <w:lang w:val="en-GB"/>
        </w:rPr>
        <w:t xml:space="preserve">created by the </w:t>
      </w:r>
      <w:r w:rsidR="0031089B" w:rsidRPr="003E6D9D">
        <w:rPr>
          <w:lang w:val="en-GB"/>
        </w:rPr>
        <w:t>international and national recognition through UNESCO</w:t>
      </w:r>
      <w:r w:rsidR="009D31D1" w:rsidRPr="003E6D9D">
        <w:rPr>
          <w:lang w:val="en-GB"/>
        </w:rPr>
        <w:t>,</w:t>
      </w:r>
      <w:r w:rsidR="0031089B" w:rsidRPr="003E6D9D">
        <w:rPr>
          <w:lang w:val="en-GB"/>
        </w:rPr>
        <w:t xml:space="preserve"> and </w:t>
      </w:r>
      <w:r w:rsidR="009D31D1" w:rsidRPr="003E6D9D">
        <w:rPr>
          <w:lang w:val="en-GB"/>
        </w:rPr>
        <w:t xml:space="preserve">the </w:t>
      </w:r>
      <w:r w:rsidR="0031089B" w:rsidRPr="003E6D9D">
        <w:rPr>
          <w:lang w:val="en-GB"/>
        </w:rPr>
        <w:t>possibilit</w:t>
      </w:r>
      <w:r w:rsidR="009D31D1" w:rsidRPr="003E6D9D">
        <w:rPr>
          <w:lang w:val="en-GB"/>
        </w:rPr>
        <w:t xml:space="preserve">y </w:t>
      </w:r>
      <w:r w:rsidR="00A43368" w:rsidRPr="003E6D9D">
        <w:rPr>
          <w:lang w:val="en-GB"/>
        </w:rPr>
        <w:t>of being able to</w:t>
      </w:r>
      <w:r w:rsidR="0031089B" w:rsidRPr="003E6D9D">
        <w:rPr>
          <w:lang w:val="en-GB"/>
        </w:rPr>
        <w:t xml:space="preserve"> protect elements of the festival in trademark law</w:t>
      </w:r>
      <w:r w:rsidR="009D31D1" w:rsidRPr="003E6D9D">
        <w:rPr>
          <w:lang w:val="en-GB"/>
        </w:rPr>
        <w:t>,</w:t>
      </w:r>
      <w:r w:rsidR="0031089B" w:rsidRPr="003E6D9D">
        <w:rPr>
          <w:lang w:val="en-GB"/>
        </w:rPr>
        <w:t xml:space="preserve"> have </w:t>
      </w:r>
      <w:r w:rsidR="00D12635" w:rsidRPr="003E6D9D">
        <w:rPr>
          <w:lang w:val="en-GB"/>
        </w:rPr>
        <w:t xml:space="preserve">led to </w:t>
      </w:r>
      <w:r w:rsidR="0031089B" w:rsidRPr="003E6D9D">
        <w:rPr>
          <w:lang w:val="en-GB"/>
        </w:rPr>
        <w:t xml:space="preserve">a situation in which contestations within the community </w:t>
      </w:r>
      <w:r w:rsidR="00D04E63" w:rsidRPr="003E6D9D">
        <w:rPr>
          <w:lang w:val="en-GB"/>
        </w:rPr>
        <w:t>are</w:t>
      </w:r>
      <w:r w:rsidR="0031089B" w:rsidRPr="003E6D9D">
        <w:rPr>
          <w:lang w:val="en-GB"/>
        </w:rPr>
        <w:t xml:space="preserve"> </w:t>
      </w:r>
      <w:r w:rsidR="00E1096F" w:rsidRPr="003E6D9D">
        <w:rPr>
          <w:lang w:val="en-GB"/>
        </w:rPr>
        <w:t xml:space="preserve">being </w:t>
      </w:r>
      <w:r w:rsidR="0031089B" w:rsidRPr="003E6D9D">
        <w:rPr>
          <w:lang w:val="en-GB"/>
        </w:rPr>
        <w:t xml:space="preserve">expressed </w:t>
      </w:r>
      <w:r w:rsidR="00E1096F" w:rsidRPr="003E6D9D">
        <w:rPr>
          <w:lang w:val="en-GB"/>
        </w:rPr>
        <w:t xml:space="preserve">less </w:t>
      </w:r>
      <w:r w:rsidR="00925F9D" w:rsidRPr="003E6D9D">
        <w:rPr>
          <w:lang w:val="en-GB"/>
        </w:rPr>
        <w:t xml:space="preserve">often </w:t>
      </w:r>
      <w:r w:rsidR="00E1096F" w:rsidRPr="003E6D9D">
        <w:rPr>
          <w:lang w:val="en-GB"/>
        </w:rPr>
        <w:t>within</w:t>
      </w:r>
      <w:r w:rsidR="0031089B" w:rsidRPr="003E6D9D">
        <w:rPr>
          <w:lang w:val="en-GB"/>
        </w:rPr>
        <w:t xml:space="preserve"> the festival</w:t>
      </w:r>
      <w:r w:rsidR="00E1096F" w:rsidRPr="003E6D9D">
        <w:rPr>
          <w:lang w:val="en-GB"/>
        </w:rPr>
        <w:t xml:space="preserve"> and more </w:t>
      </w:r>
      <w:r w:rsidR="00925F9D" w:rsidRPr="003E6D9D">
        <w:rPr>
          <w:lang w:val="en-GB"/>
        </w:rPr>
        <w:t xml:space="preserve">often in discussions </w:t>
      </w:r>
      <w:r w:rsidR="00E1096F" w:rsidRPr="003E6D9D">
        <w:rPr>
          <w:lang w:val="en-GB"/>
        </w:rPr>
        <w:t>about the festival</w:t>
      </w:r>
      <w:r w:rsidR="0031089B" w:rsidRPr="003E6D9D">
        <w:rPr>
          <w:lang w:val="en-GB"/>
        </w:rPr>
        <w:t>.</w:t>
      </w:r>
    </w:p>
    <w:p w14:paraId="42ADD70F" w14:textId="77777777" w:rsidR="0031089B" w:rsidRPr="003E6D9D" w:rsidRDefault="0031089B" w:rsidP="009909DD">
      <w:pPr>
        <w:pStyle w:val="Texte1"/>
        <w:rPr>
          <w:lang w:val="en-GB"/>
        </w:rPr>
      </w:pPr>
      <w:r w:rsidRPr="003E6D9D">
        <w:rPr>
          <w:lang w:val="en-GB"/>
        </w:rPr>
        <w:lastRenderedPageBreak/>
        <w:t>One group</w:t>
      </w:r>
      <w:r w:rsidR="00D04E63" w:rsidRPr="003E6D9D">
        <w:rPr>
          <w:lang w:val="en-GB"/>
        </w:rPr>
        <w:t>, the Patronat,</w:t>
      </w:r>
      <w:r w:rsidRPr="003E6D9D">
        <w:rPr>
          <w:lang w:val="en-GB"/>
        </w:rPr>
        <w:t xml:space="preserve"> has become particularly powerful in controlling the festival. </w:t>
      </w:r>
      <w:r w:rsidR="00F127FA" w:rsidRPr="003E6D9D">
        <w:rPr>
          <w:lang w:val="en-GB"/>
        </w:rPr>
        <w:t>E</w:t>
      </w:r>
      <w:r w:rsidRPr="003E6D9D">
        <w:rPr>
          <w:lang w:val="en-GB"/>
        </w:rPr>
        <w:t xml:space="preserve">stablished in the 1990s, </w:t>
      </w:r>
      <w:r w:rsidR="00F127FA" w:rsidRPr="003E6D9D">
        <w:rPr>
          <w:lang w:val="en-GB"/>
        </w:rPr>
        <w:t xml:space="preserve">the Patronat </w:t>
      </w:r>
      <w:r w:rsidRPr="003E6D9D">
        <w:rPr>
          <w:lang w:val="en-GB"/>
        </w:rPr>
        <w:t xml:space="preserve">has been acting as the representative of the community that practises the Patum, both in promoting the festival and </w:t>
      </w:r>
      <w:r w:rsidR="009D31D1" w:rsidRPr="003E6D9D">
        <w:rPr>
          <w:lang w:val="en-GB"/>
        </w:rPr>
        <w:t xml:space="preserve">in </w:t>
      </w:r>
      <w:r w:rsidRPr="003E6D9D">
        <w:rPr>
          <w:lang w:val="en-GB"/>
        </w:rPr>
        <w:t xml:space="preserve">seeking to register trademarks in some of </w:t>
      </w:r>
      <w:r w:rsidR="009D31D1" w:rsidRPr="003E6D9D">
        <w:rPr>
          <w:lang w:val="en-GB"/>
        </w:rPr>
        <w:t xml:space="preserve">its </w:t>
      </w:r>
      <w:r w:rsidRPr="003E6D9D">
        <w:rPr>
          <w:lang w:val="en-GB"/>
        </w:rPr>
        <w:t xml:space="preserve">distinctive aspects. The Patronat controls some of the material elements of the Patum, such as drums, effigies and costumes, and some of the administrative aspects. However, Noyes argues that the Patronat does not represent everyone who participates in the festival, and its efforts to commercialize and control the </w:t>
      </w:r>
      <w:r w:rsidR="009D31D1" w:rsidRPr="003E6D9D">
        <w:rPr>
          <w:lang w:val="en-GB"/>
        </w:rPr>
        <w:t xml:space="preserve">event </w:t>
      </w:r>
      <w:r w:rsidRPr="003E6D9D">
        <w:rPr>
          <w:lang w:val="en-GB"/>
        </w:rPr>
        <w:t>are not supported by all. The Patronat has been accused of excluding some performers and favouring the church-going</w:t>
      </w:r>
      <w:r w:rsidR="009D31D1" w:rsidRPr="003E6D9D">
        <w:rPr>
          <w:lang w:val="en-GB"/>
        </w:rPr>
        <w:t>,</w:t>
      </w:r>
      <w:r w:rsidRPr="003E6D9D">
        <w:rPr>
          <w:lang w:val="en-GB"/>
        </w:rPr>
        <w:t xml:space="preserve"> middle-class establishment of the town in its activities. From the 1960s to the 1980s, there was much resistance to the festival becoming a commercial event, but in recent years opinion has been divided on this issue, particularly in the musicians’ groups</w:t>
      </w:r>
      <w:r w:rsidRPr="003E6D9D">
        <w:rPr>
          <w:i/>
          <w:iCs/>
          <w:lang w:val="en-GB"/>
        </w:rPr>
        <w:t xml:space="preserve"> </w:t>
      </w:r>
      <w:r w:rsidRPr="003E6D9D">
        <w:rPr>
          <w:lang w:val="en-GB"/>
        </w:rPr>
        <w:t>(</w:t>
      </w:r>
      <w:r w:rsidRPr="003E6D9D">
        <w:rPr>
          <w:i/>
          <w:lang w:val="en-GB"/>
        </w:rPr>
        <w:t>comparsa</w:t>
      </w:r>
      <w:r w:rsidRPr="003E6D9D">
        <w:rPr>
          <w:lang w:val="en-GB"/>
        </w:rPr>
        <w:t>).</w:t>
      </w:r>
    </w:p>
    <w:p w14:paraId="2220430D" w14:textId="77777777" w:rsidR="0031089B" w:rsidRPr="003E6D9D" w:rsidRDefault="0031089B" w:rsidP="009909DD">
      <w:pPr>
        <w:pStyle w:val="Texte1"/>
        <w:rPr>
          <w:lang w:val="en-GB"/>
        </w:rPr>
      </w:pPr>
      <w:r w:rsidRPr="003E6D9D">
        <w:rPr>
          <w:lang w:val="en-GB"/>
        </w:rPr>
        <w:t>The organization of the festival has always been a matter for debate and dispute</w:t>
      </w:r>
      <w:r w:rsidR="009D31D1" w:rsidRPr="003E6D9D">
        <w:rPr>
          <w:lang w:val="en-GB"/>
        </w:rPr>
        <w:t>. According to Noyes,</w:t>
      </w:r>
      <w:r w:rsidRPr="003E6D9D">
        <w:rPr>
          <w:lang w:val="en-GB"/>
        </w:rPr>
        <w:t xml:space="preserve"> ‘Historically, certain elements were imposed from above; others were forced in from below and won sufficient popular acceptance that they had to be tolerated by the authorities.’</w:t>
      </w:r>
      <w:r w:rsidRPr="003E6D9D">
        <w:rPr>
          <w:vertAlign w:val="superscript"/>
          <w:lang w:val="en-GB"/>
        </w:rPr>
        <w:footnoteReference w:id="4"/>
      </w:r>
      <w:r w:rsidRPr="003E6D9D">
        <w:rPr>
          <w:lang w:val="en-GB"/>
        </w:rPr>
        <w:t xml:space="preserve"> Today, however, these disputes over the function and administration of the festival, and the increased power and authority of the Patronat, have led some community members and performers to stop participating in it. This is unfortunate since the meaning of the festival revolves around its ability to express and manage dissenting voices within the community.</w:t>
      </w:r>
    </w:p>
    <w:p w14:paraId="4AB91314" w14:textId="77777777" w:rsidR="0031089B" w:rsidRPr="003E6D9D" w:rsidRDefault="0031089B" w:rsidP="004936EF">
      <w:pPr>
        <w:pStyle w:val="Soustitre"/>
        <w:rPr>
          <w:lang w:val="en-GB"/>
        </w:rPr>
      </w:pPr>
      <w:r w:rsidRPr="003E6D9D">
        <w:rPr>
          <w:lang w:val="en-GB"/>
        </w:rPr>
        <w:t>F</w:t>
      </w:r>
      <w:r w:rsidR="009D31D1" w:rsidRPr="003E6D9D">
        <w:rPr>
          <w:lang w:val="en-GB"/>
        </w:rPr>
        <w:t>or f</w:t>
      </w:r>
      <w:r w:rsidRPr="003E6D9D">
        <w:rPr>
          <w:lang w:val="en-GB"/>
        </w:rPr>
        <w:t>urther information:</w:t>
      </w:r>
    </w:p>
    <w:p w14:paraId="391DB970" w14:textId="77777777" w:rsidR="009A364F" w:rsidRPr="003E6D9D" w:rsidRDefault="009A364F" w:rsidP="00356605">
      <w:pPr>
        <w:pStyle w:val="Txtpucegras"/>
        <w:rPr>
          <w:lang w:val="en-GB"/>
        </w:rPr>
      </w:pPr>
      <w:r w:rsidRPr="003E6D9D">
        <w:rPr>
          <w:lang w:val="en-GB"/>
        </w:rPr>
        <w:t>D. Noyes, 2010, ‘Necessity and Freedom in the Tradition Process’, paper delivered (23 Jan.) at the Institute for Advanced Studies on Asia at the University of Tokyo.</w:t>
      </w:r>
    </w:p>
    <w:p w14:paraId="445FC8FE" w14:textId="77777777" w:rsidR="00966332" w:rsidRPr="003E6D9D" w:rsidRDefault="00966332" w:rsidP="00A84C57">
      <w:pPr>
        <w:pStyle w:val="Txtpucegras"/>
        <w:rPr>
          <w:lang w:val="en-GB"/>
        </w:rPr>
      </w:pPr>
      <w:r w:rsidRPr="003E6D9D">
        <w:rPr>
          <w:lang w:val="en-GB"/>
        </w:rPr>
        <w:t xml:space="preserve">D. Noyes, 2006, ‘The Judgment of Solomon: Global Protections for Tradition and the Problem of Community Ownership’, Cultural Analysis, Vol. 5, pp. 27–56; </w:t>
      </w:r>
    </w:p>
    <w:p w14:paraId="29AE80CE" w14:textId="77777777" w:rsidR="00D16CF1" w:rsidRPr="003E6D9D" w:rsidRDefault="0031089B" w:rsidP="00A84C57">
      <w:pPr>
        <w:pStyle w:val="Txtpucegras"/>
        <w:rPr>
          <w:lang w:val="en-GB"/>
        </w:rPr>
      </w:pPr>
      <w:r w:rsidRPr="003E6D9D">
        <w:rPr>
          <w:lang w:val="en-GB"/>
        </w:rPr>
        <w:t>Noyes,</w:t>
      </w:r>
      <w:r w:rsidR="00C81062" w:rsidRPr="003E6D9D">
        <w:rPr>
          <w:lang w:val="en-GB"/>
        </w:rPr>
        <w:t xml:space="preserve"> D. 2003.</w:t>
      </w:r>
      <w:r w:rsidRPr="003E6D9D">
        <w:rPr>
          <w:lang w:val="en-GB"/>
        </w:rPr>
        <w:t xml:space="preserve"> </w:t>
      </w:r>
      <w:r w:rsidRPr="003E6D9D">
        <w:rPr>
          <w:i/>
          <w:lang w:val="en-GB"/>
        </w:rPr>
        <w:t>Fire in the Placa: Catalan Festival Politics after Franco</w:t>
      </w:r>
      <w:r w:rsidR="00C81062" w:rsidRPr="003E6D9D">
        <w:rPr>
          <w:lang w:val="en-GB"/>
        </w:rPr>
        <w:t>.</w:t>
      </w:r>
      <w:r w:rsidRPr="003E6D9D">
        <w:rPr>
          <w:lang w:val="en-GB"/>
        </w:rPr>
        <w:t xml:space="preserve"> </w:t>
      </w:r>
      <w:r w:rsidR="00023687" w:rsidRPr="003E6D9D">
        <w:rPr>
          <w:lang w:val="en-GB"/>
        </w:rPr>
        <w:t xml:space="preserve">Philadelphia, </w:t>
      </w:r>
      <w:r w:rsidRPr="003E6D9D">
        <w:rPr>
          <w:lang w:val="en-GB"/>
        </w:rPr>
        <w:t>University of Pennsylvania Press.</w:t>
      </w:r>
    </w:p>
    <w:p w14:paraId="26903215" w14:textId="77777777" w:rsidR="0031089B" w:rsidRPr="003E6D9D" w:rsidRDefault="001D4B46" w:rsidP="00356605">
      <w:pPr>
        <w:pStyle w:val="Txtpucegras"/>
        <w:numPr>
          <w:ilvl w:val="0"/>
          <w:numId w:val="0"/>
        </w:numPr>
        <w:ind w:left="1135"/>
        <w:rPr>
          <w:lang w:val="en-GB"/>
        </w:rPr>
      </w:pPr>
      <w:hyperlink r:id="rId17" w:history="1">
        <w:r w:rsidR="00283D69" w:rsidRPr="003E6D9D">
          <w:rPr>
            <w:rStyle w:val="Hyperlink"/>
            <w:lang w:val="en-GB"/>
          </w:rPr>
          <w:t>http://www.unesco.org/culture/ich/en/RL/00156</w:t>
        </w:r>
      </w:hyperlink>
    </w:p>
    <w:p w14:paraId="04DE21E7" w14:textId="31E4482E" w:rsidR="003A6DFD" w:rsidRPr="003E6D9D" w:rsidRDefault="009D09C4" w:rsidP="004936EF">
      <w:pPr>
        <w:pStyle w:val="Heading6"/>
        <w:rPr>
          <w:lang w:val="en-GB"/>
        </w:rPr>
      </w:pPr>
      <w:r w:rsidRPr="003E6D9D">
        <w:rPr>
          <w:lang w:val="en-GB"/>
        </w:rPr>
        <w:t xml:space="preserve">Slide </w:t>
      </w:r>
      <w:r w:rsidR="00570EE9" w:rsidRPr="003E6D9D">
        <w:rPr>
          <w:lang w:val="en-GB"/>
        </w:rPr>
        <w:t>2</w:t>
      </w:r>
      <w:r w:rsidR="00570EE9">
        <w:rPr>
          <w:lang w:val="en-GB"/>
        </w:rPr>
        <w:t>0</w:t>
      </w:r>
      <w:r w:rsidR="003A6DFD" w:rsidRPr="003E6D9D">
        <w:rPr>
          <w:lang w:val="en-GB"/>
        </w:rPr>
        <w:t>.</w:t>
      </w:r>
    </w:p>
    <w:p w14:paraId="58C75F54" w14:textId="77777777" w:rsidR="00E248EB" w:rsidRPr="003E6D9D" w:rsidRDefault="003E588D" w:rsidP="004936EF">
      <w:pPr>
        <w:pStyle w:val="diapo2"/>
        <w:rPr>
          <w:lang w:val="en-GB"/>
        </w:rPr>
      </w:pPr>
      <w:r w:rsidRPr="003E6D9D">
        <w:rPr>
          <w:lang w:val="en-GB"/>
        </w:rPr>
        <w:t>Methods</w:t>
      </w:r>
      <w:r w:rsidR="00E248EB" w:rsidRPr="003E6D9D">
        <w:rPr>
          <w:lang w:val="en-GB"/>
        </w:rPr>
        <w:t xml:space="preserve"> </w:t>
      </w:r>
      <w:r w:rsidR="00844490" w:rsidRPr="003E6D9D">
        <w:rPr>
          <w:lang w:val="en-GB"/>
        </w:rPr>
        <w:t xml:space="preserve">and purposes </w:t>
      </w:r>
      <w:r w:rsidR="00E248EB" w:rsidRPr="003E6D9D">
        <w:rPr>
          <w:lang w:val="en-GB"/>
        </w:rPr>
        <w:t>of community participation</w:t>
      </w:r>
    </w:p>
    <w:p w14:paraId="73A0ED22" w14:textId="1C046225" w:rsidR="00774150" w:rsidRPr="003E6D9D" w:rsidRDefault="00D22D50" w:rsidP="009909DD">
      <w:pPr>
        <w:pStyle w:val="Texte1"/>
        <w:rPr>
          <w:lang w:val="en-GB"/>
        </w:rPr>
      </w:pPr>
      <w:r w:rsidRPr="003E6D9D">
        <w:rPr>
          <w:iCs/>
          <w:noProof/>
          <w:color w:val="3366FF"/>
          <w:szCs w:val="20"/>
          <w:lang w:eastAsia="zh-TW"/>
        </w:rPr>
        <w:drawing>
          <wp:anchor distT="0" distB="0" distL="114300" distR="114300" simplePos="0" relativeHeight="251709440" behindDoc="0" locked="1" layoutInCell="1" allowOverlap="0" wp14:anchorId="3CEA0454" wp14:editId="7A8F29F5">
            <wp:simplePos x="0" y="0"/>
            <wp:positionH relativeFrom="column">
              <wp:posOffset>0</wp:posOffset>
            </wp:positionH>
            <wp:positionV relativeFrom="paragraph">
              <wp:posOffset>-69215</wp:posOffset>
            </wp:positionV>
            <wp:extent cx="282575" cy="357505"/>
            <wp:effectExtent l="0" t="0" r="3175" b="4445"/>
            <wp:wrapNone/>
            <wp:docPr id="13"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3E6D9D">
        <w:rPr>
          <w:iCs/>
          <w:color w:val="3366FF"/>
          <w:szCs w:val="20"/>
          <w:lang w:val="en-GB"/>
        </w:rPr>
        <w:t xml:space="preserve">Refer to </w:t>
      </w:r>
      <w:r w:rsidR="00F02D08" w:rsidRPr="003E6D9D">
        <w:rPr>
          <w:iCs/>
          <w:color w:val="3366FF"/>
          <w:szCs w:val="20"/>
          <w:lang w:val="en-GB"/>
        </w:rPr>
        <w:t>Participant’s</w:t>
      </w:r>
      <w:r w:rsidR="002A3923" w:rsidRPr="003E6D9D">
        <w:rPr>
          <w:iCs/>
          <w:color w:val="3366FF"/>
          <w:szCs w:val="20"/>
          <w:lang w:val="en-GB"/>
        </w:rPr>
        <w:t xml:space="preserve"> text </w:t>
      </w:r>
      <w:r w:rsidR="005B7AFC" w:rsidRPr="003E6D9D">
        <w:rPr>
          <w:iCs/>
          <w:color w:val="3366FF"/>
          <w:szCs w:val="20"/>
          <w:lang w:val="en-GB"/>
        </w:rPr>
        <w:t>Unit</w:t>
      </w:r>
      <w:r w:rsidR="00720B3A" w:rsidRPr="003E6D9D">
        <w:rPr>
          <w:iCs/>
          <w:color w:val="3366FF"/>
          <w:szCs w:val="20"/>
          <w:lang w:val="en-GB"/>
        </w:rPr>
        <w:t> </w:t>
      </w:r>
      <w:r w:rsidR="005B7AFC" w:rsidRPr="003E6D9D">
        <w:rPr>
          <w:iCs/>
          <w:color w:val="3366FF"/>
          <w:szCs w:val="20"/>
          <w:lang w:val="en-GB"/>
        </w:rPr>
        <w:t>7</w:t>
      </w:r>
      <w:r w:rsidR="00774150" w:rsidRPr="003E6D9D">
        <w:rPr>
          <w:iCs/>
          <w:color w:val="3366FF"/>
          <w:szCs w:val="20"/>
          <w:lang w:val="en-GB"/>
        </w:rPr>
        <w:t>.1</w:t>
      </w:r>
      <w:r w:rsidR="005C00F6" w:rsidRPr="003E6D9D">
        <w:rPr>
          <w:iCs/>
          <w:color w:val="3366FF"/>
          <w:szCs w:val="20"/>
          <w:lang w:val="en-GB"/>
        </w:rPr>
        <w:t>0</w:t>
      </w:r>
      <w:r w:rsidR="004D6305" w:rsidRPr="003E6D9D">
        <w:rPr>
          <w:lang w:val="en-GB"/>
        </w:rPr>
        <w:t>.</w:t>
      </w:r>
    </w:p>
    <w:p w14:paraId="7FB62676" w14:textId="4BA48F61" w:rsidR="003A6DFD" w:rsidRPr="003E6D9D" w:rsidRDefault="00F452BB" w:rsidP="004936EF">
      <w:pPr>
        <w:pStyle w:val="Heading6"/>
        <w:rPr>
          <w:lang w:val="en-GB"/>
        </w:rPr>
      </w:pPr>
      <w:r w:rsidRPr="003E6D9D">
        <w:rPr>
          <w:lang w:val="en-GB"/>
        </w:rPr>
        <w:t xml:space="preserve">Slide </w:t>
      </w:r>
      <w:r w:rsidR="00570EE9" w:rsidRPr="003E6D9D">
        <w:rPr>
          <w:lang w:val="en-GB"/>
        </w:rPr>
        <w:t>2</w:t>
      </w:r>
      <w:r w:rsidR="00570EE9">
        <w:rPr>
          <w:lang w:val="en-GB"/>
        </w:rPr>
        <w:t>1</w:t>
      </w:r>
      <w:r w:rsidR="003A6DFD" w:rsidRPr="003E6D9D">
        <w:rPr>
          <w:lang w:val="en-GB"/>
        </w:rPr>
        <w:t>.</w:t>
      </w:r>
    </w:p>
    <w:p w14:paraId="09EE797A" w14:textId="77777777" w:rsidR="004534DA" w:rsidRPr="003E6D9D" w:rsidRDefault="004534DA" w:rsidP="004936EF">
      <w:pPr>
        <w:pStyle w:val="diapo2"/>
        <w:rPr>
          <w:lang w:val="en-GB"/>
        </w:rPr>
      </w:pPr>
      <w:r w:rsidRPr="003E6D9D">
        <w:rPr>
          <w:lang w:val="en-GB"/>
        </w:rPr>
        <w:t xml:space="preserve">Obtaining </w:t>
      </w:r>
      <w:r w:rsidR="00597134" w:rsidRPr="003E6D9D">
        <w:rPr>
          <w:lang w:val="en-GB"/>
        </w:rPr>
        <w:t>f</w:t>
      </w:r>
      <w:r w:rsidRPr="003E6D9D">
        <w:rPr>
          <w:lang w:val="en-GB"/>
        </w:rPr>
        <w:t>ree, prior and informed consent</w:t>
      </w:r>
    </w:p>
    <w:p w14:paraId="1CB6F37F" w14:textId="1F63990A" w:rsidR="00774150" w:rsidRPr="003E6D9D" w:rsidRDefault="00D22D50" w:rsidP="009909DD">
      <w:pPr>
        <w:pStyle w:val="Texte1"/>
        <w:rPr>
          <w:lang w:val="en-GB"/>
        </w:rPr>
      </w:pPr>
      <w:r w:rsidRPr="003E6D9D">
        <w:rPr>
          <w:iCs/>
          <w:noProof/>
          <w:color w:val="3366FF"/>
          <w:szCs w:val="20"/>
          <w:lang w:eastAsia="zh-TW"/>
        </w:rPr>
        <w:drawing>
          <wp:anchor distT="0" distB="0" distL="114300" distR="114300" simplePos="0" relativeHeight="251711488" behindDoc="0" locked="1" layoutInCell="1" allowOverlap="0" wp14:anchorId="7253FBE7" wp14:editId="446074CE">
            <wp:simplePos x="0" y="0"/>
            <wp:positionH relativeFrom="column">
              <wp:posOffset>0</wp:posOffset>
            </wp:positionH>
            <wp:positionV relativeFrom="paragraph">
              <wp:posOffset>-52705</wp:posOffset>
            </wp:positionV>
            <wp:extent cx="282575" cy="357505"/>
            <wp:effectExtent l="0" t="0" r="3175" b="4445"/>
            <wp:wrapNone/>
            <wp:docPr id="14"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3E6D9D">
        <w:rPr>
          <w:iCs/>
          <w:color w:val="3366FF"/>
          <w:szCs w:val="20"/>
          <w:lang w:val="en-GB"/>
        </w:rPr>
        <w:t xml:space="preserve">Refer to </w:t>
      </w:r>
      <w:r w:rsidR="00F02D08" w:rsidRPr="003E6D9D">
        <w:rPr>
          <w:iCs/>
          <w:color w:val="3366FF"/>
          <w:szCs w:val="20"/>
          <w:lang w:val="en-GB"/>
        </w:rPr>
        <w:t>Participant’s</w:t>
      </w:r>
      <w:r w:rsidR="002A3923" w:rsidRPr="003E6D9D">
        <w:rPr>
          <w:iCs/>
          <w:color w:val="3366FF"/>
          <w:szCs w:val="20"/>
          <w:lang w:val="en-GB"/>
        </w:rPr>
        <w:t xml:space="preserve"> text </w:t>
      </w:r>
      <w:r w:rsidR="005B7AFC" w:rsidRPr="003E6D9D">
        <w:rPr>
          <w:iCs/>
          <w:color w:val="3366FF"/>
          <w:szCs w:val="20"/>
          <w:lang w:val="en-GB"/>
        </w:rPr>
        <w:t>Unit</w:t>
      </w:r>
      <w:r w:rsidR="00720B3A" w:rsidRPr="003E6D9D">
        <w:rPr>
          <w:iCs/>
          <w:color w:val="3366FF"/>
          <w:szCs w:val="20"/>
          <w:lang w:val="en-GB"/>
        </w:rPr>
        <w:t> </w:t>
      </w:r>
      <w:r w:rsidR="005B7AFC" w:rsidRPr="003E6D9D">
        <w:rPr>
          <w:iCs/>
          <w:color w:val="3366FF"/>
          <w:szCs w:val="20"/>
          <w:lang w:val="en-GB"/>
        </w:rPr>
        <w:t>7</w:t>
      </w:r>
      <w:r w:rsidR="00774150" w:rsidRPr="003E6D9D">
        <w:rPr>
          <w:iCs/>
          <w:color w:val="3366FF"/>
          <w:szCs w:val="20"/>
          <w:lang w:val="en-GB"/>
        </w:rPr>
        <w:t>.1</w:t>
      </w:r>
      <w:r w:rsidR="005C00F6" w:rsidRPr="003E6D9D">
        <w:rPr>
          <w:iCs/>
          <w:color w:val="3366FF"/>
          <w:szCs w:val="20"/>
          <w:lang w:val="en-GB"/>
        </w:rPr>
        <w:t>1</w:t>
      </w:r>
      <w:r w:rsidR="004D6305" w:rsidRPr="003E6D9D">
        <w:rPr>
          <w:lang w:val="en-GB"/>
        </w:rPr>
        <w:t>.</w:t>
      </w:r>
    </w:p>
    <w:p w14:paraId="31A80F20" w14:textId="4AF2D66C" w:rsidR="004D13C0" w:rsidRPr="003E6D9D" w:rsidRDefault="00D22D50" w:rsidP="004936EF">
      <w:pPr>
        <w:pStyle w:val="Soustitre"/>
        <w:rPr>
          <w:caps/>
          <w:lang w:val="en-GB"/>
        </w:rPr>
      </w:pPr>
      <w:bookmarkStart w:id="14" w:name="_Toc238982236"/>
      <w:r w:rsidRPr="003E6D9D">
        <w:rPr>
          <w:lang w:val="en-GB"/>
        </w:rPr>
        <w:t>O</w:t>
      </w:r>
      <w:r w:rsidR="004D13C0" w:rsidRPr="003E6D9D">
        <w:rPr>
          <w:lang w:val="en-GB"/>
        </w:rPr>
        <w:t>bjections to inscription of elements on the Lists of the Convention</w:t>
      </w:r>
      <w:bookmarkEnd w:id="14"/>
    </w:p>
    <w:p w14:paraId="17591D1D" w14:textId="77777777" w:rsidR="006142A5" w:rsidRPr="003E6D9D" w:rsidRDefault="00A646F7" w:rsidP="009909DD">
      <w:pPr>
        <w:pStyle w:val="Texte1"/>
        <w:rPr>
          <w:lang w:val="en-GB"/>
        </w:rPr>
      </w:pPr>
      <w:r w:rsidRPr="003E6D9D">
        <w:rPr>
          <w:lang w:val="en-GB"/>
        </w:rPr>
        <w:t>T</w:t>
      </w:r>
      <w:r w:rsidR="004534DA" w:rsidRPr="003E6D9D">
        <w:rPr>
          <w:lang w:val="en-GB"/>
        </w:rPr>
        <w:t xml:space="preserve">he Committee </w:t>
      </w:r>
      <w:r w:rsidR="00C50102" w:rsidRPr="003E6D9D">
        <w:rPr>
          <w:lang w:val="en-GB"/>
        </w:rPr>
        <w:t xml:space="preserve">has </w:t>
      </w:r>
      <w:r w:rsidR="004534DA" w:rsidRPr="003E6D9D">
        <w:rPr>
          <w:lang w:val="en-GB"/>
        </w:rPr>
        <w:t xml:space="preserve">received objections from members of communities </w:t>
      </w:r>
      <w:r w:rsidR="006142A5" w:rsidRPr="003E6D9D">
        <w:rPr>
          <w:lang w:val="en-GB"/>
        </w:rPr>
        <w:t>about</w:t>
      </w:r>
      <w:r w:rsidR="004534DA" w:rsidRPr="003E6D9D">
        <w:rPr>
          <w:lang w:val="en-GB"/>
        </w:rPr>
        <w:t xml:space="preserve"> elements</w:t>
      </w:r>
      <w:r w:rsidR="006142A5" w:rsidRPr="003E6D9D">
        <w:rPr>
          <w:lang w:val="en-GB"/>
        </w:rPr>
        <w:t xml:space="preserve"> being evaluated for inscription</w:t>
      </w:r>
      <w:r w:rsidR="004534DA" w:rsidRPr="003E6D9D">
        <w:rPr>
          <w:lang w:val="en-GB"/>
        </w:rPr>
        <w:t>, but nevertheless inscribed these elements on the Lists of the Convention</w:t>
      </w:r>
      <w:r w:rsidR="000F7698" w:rsidRPr="003E6D9D">
        <w:rPr>
          <w:lang w:val="en-GB"/>
        </w:rPr>
        <w:t>. In doing so, they</w:t>
      </w:r>
      <w:r w:rsidR="004534DA" w:rsidRPr="003E6D9D">
        <w:rPr>
          <w:lang w:val="en-GB"/>
        </w:rPr>
        <w:t xml:space="preserve"> follow</w:t>
      </w:r>
      <w:r w:rsidR="000F7698" w:rsidRPr="003E6D9D">
        <w:rPr>
          <w:lang w:val="en-GB"/>
        </w:rPr>
        <w:t>ed</w:t>
      </w:r>
      <w:r w:rsidR="004534DA" w:rsidRPr="003E6D9D">
        <w:rPr>
          <w:lang w:val="en-GB"/>
        </w:rPr>
        <w:t xml:space="preserve"> the recommendations of the experts and/or the</w:t>
      </w:r>
      <w:r w:rsidRPr="003E6D9D">
        <w:rPr>
          <w:lang w:val="en-GB"/>
        </w:rPr>
        <w:t xml:space="preserve"> </w:t>
      </w:r>
      <w:r w:rsidRPr="003E6D9D">
        <w:rPr>
          <w:lang w:val="en-GB"/>
        </w:rPr>
        <w:lastRenderedPageBreak/>
        <w:t>previous</w:t>
      </w:r>
      <w:r w:rsidR="004534DA" w:rsidRPr="003E6D9D">
        <w:rPr>
          <w:lang w:val="en-GB"/>
        </w:rPr>
        <w:t xml:space="preserve"> Subsidiary </w:t>
      </w:r>
      <w:r w:rsidR="00C50102" w:rsidRPr="003E6D9D">
        <w:rPr>
          <w:lang w:val="en-GB"/>
        </w:rPr>
        <w:t xml:space="preserve">and Consultative </w:t>
      </w:r>
      <w:r w:rsidR="004534DA" w:rsidRPr="003E6D9D">
        <w:rPr>
          <w:lang w:val="en-GB"/>
        </w:rPr>
        <w:t>Bod</w:t>
      </w:r>
      <w:r w:rsidR="00C50102" w:rsidRPr="003E6D9D">
        <w:rPr>
          <w:lang w:val="en-GB"/>
        </w:rPr>
        <w:t>ies</w:t>
      </w:r>
      <w:r w:rsidR="004534DA" w:rsidRPr="003E6D9D">
        <w:rPr>
          <w:lang w:val="en-GB"/>
        </w:rPr>
        <w:t xml:space="preserve"> who, having read the </w:t>
      </w:r>
      <w:r w:rsidR="00BF31B7" w:rsidRPr="003E6D9D">
        <w:rPr>
          <w:lang w:val="en-GB"/>
        </w:rPr>
        <w:t xml:space="preserve">relevant </w:t>
      </w:r>
      <w:r w:rsidR="004534DA" w:rsidRPr="003E6D9D">
        <w:rPr>
          <w:lang w:val="en-GB"/>
        </w:rPr>
        <w:t>letters</w:t>
      </w:r>
      <w:r w:rsidR="00BF31B7" w:rsidRPr="003E6D9D">
        <w:rPr>
          <w:lang w:val="en-GB"/>
        </w:rPr>
        <w:t>,</w:t>
      </w:r>
      <w:r w:rsidR="004534DA" w:rsidRPr="003E6D9D">
        <w:rPr>
          <w:lang w:val="en-GB"/>
        </w:rPr>
        <w:t xml:space="preserve"> had seen no reason to change their recommendations.</w:t>
      </w:r>
      <w:r w:rsidR="000F7698" w:rsidRPr="003E6D9D">
        <w:rPr>
          <w:lang w:val="en-GB"/>
        </w:rPr>
        <w:t xml:space="preserve"> </w:t>
      </w:r>
      <w:r w:rsidRPr="003E6D9D">
        <w:rPr>
          <w:lang w:val="en-GB"/>
        </w:rPr>
        <w:t>T</w:t>
      </w:r>
      <w:r w:rsidR="0025173D" w:rsidRPr="003E6D9D">
        <w:rPr>
          <w:lang w:val="en-GB"/>
        </w:rPr>
        <w:t>he Committee</w:t>
      </w:r>
      <w:r w:rsidRPr="003E6D9D">
        <w:rPr>
          <w:lang w:val="en-GB"/>
        </w:rPr>
        <w:t xml:space="preserve"> has</w:t>
      </w:r>
      <w:r w:rsidR="0025173D" w:rsidRPr="003E6D9D">
        <w:rPr>
          <w:lang w:val="en-GB"/>
        </w:rPr>
        <w:t xml:space="preserve"> adopted guidelines for the treatment of correspondence from the public or other concerned parties with regard to nominations.</w:t>
      </w:r>
    </w:p>
    <w:p w14:paraId="50BE96E2" w14:textId="0DC53F26" w:rsidR="004D13C0" w:rsidRPr="003E6D9D" w:rsidRDefault="00D22D50" w:rsidP="004936EF">
      <w:pPr>
        <w:pStyle w:val="Soustitre"/>
        <w:rPr>
          <w:caps/>
          <w:lang w:val="en-GB"/>
        </w:rPr>
      </w:pPr>
      <w:bookmarkStart w:id="15" w:name="_Toc238982237"/>
      <w:r w:rsidRPr="003E6D9D">
        <w:rPr>
          <w:lang w:val="en-GB"/>
        </w:rPr>
        <w:t>L</w:t>
      </w:r>
      <w:r w:rsidR="004D13C0" w:rsidRPr="003E6D9D">
        <w:rPr>
          <w:lang w:val="en-GB"/>
        </w:rPr>
        <w:t>imitations of free, prior and informed consent</w:t>
      </w:r>
      <w:bookmarkEnd w:id="15"/>
    </w:p>
    <w:p w14:paraId="3AAF4287" w14:textId="77777777" w:rsidR="004534DA" w:rsidRPr="003E6D9D" w:rsidRDefault="004534DA" w:rsidP="00A84C57">
      <w:pPr>
        <w:pStyle w:val="Texte1"/>
        <w:rPr>
          <w:lang w:val="en-GB"/>
        </w:rPr>
      </w:pPr>
      <w:r w:rsidRPr="003E6D9D">
        <w:rPr>
          <w:lang w:val="en-GB"/>
        </w:rPr>
        <w:t>The process of obtaining free, prior and informed consent for interventions regarding ICH cannot by itself guarantee that a community’s rights have been protected</w:t>
      </w:r>
      <w:r w:rsidR="004356F0" w:rsidRPr="003E6D9D">
        <w:rPr>
          <w:lang w:val="en-GB"/>
        </w:rPr>
        <w:t>,</w:t>
      </w:r>
      <w:r w:rsidRPr="003E6D9D">
        <w:rPr>
          <w:lang w:val="en-GB"/>
        </w:rPr>
        <w:t xml:space="preserve"> or ensure an equitable relationship between communities and outsiders, although it may be used as a way of building trust and common understanding between them. G. Dutfield </w:t>
      </w:r>
      <w:r w:rsidR="00F127FA" w:rsidRPr="003E6D9D">
        <w:rPr>
          <w:lang w:val="en-GB"/>
        </w:rPr>
        <w:t>has comment</w:t>
      </w:r>
      <w:r w:rsidR="004356F0" w:rsidRPr="003E6D9D">
        <w:rPr>
          <w:lang w:val="en-GB"/>
        </w:rPr>
        <w:t>ed:</w:t>
      </w:r>
      <w:r w:rsidR="004959D2" w:rsidRPr="003E6D9D">
        <w:rPr>
          <w:lang w:val="en-GB"/>
        </w:rPr>
        <w:t xml:space="preserve"> </w:t>
      </w:r>
      <w:r w:rsidRPr="003E6D9D">
        <w:rPr>
          <w:lang w:val="en-GB"/>
        </w:rPr>
        <w:t>‘Prior informed consent should be part of a broader regulatory framework’ and ‘emphasizing prior informed consent over other [regulatory] approaches may be unhelpful’.</w:t>
      </w:r>
      <w:r w:rsidRPr="003E6D9D">
        <w:rPr>
          <w:vertAlign w:val="superscript"/>
          <w:lang w:val="en-GB"/>
        </w:rPr>
        <w:footnoteReference w:id="5"/>
      </w:r>
    </w:p>
    <w:p w14:paraId="70981A7E" w14:textId="1798CDA6" w:rsidR="003A6DFD" w:rsidRPr="003E6D9D" w:rsidRDefault="009D09C4" w:rsidP="004936EF">
      <w:pPr>
        <w:pStyle w:val="Heading6"/>
        <w:rPr>
          <w:lang w:val="en-GB"/>
        </w:rPr>
      </w:pPr>
      <w:r w:rsidRPr="003E6D9D">
        <w:rPr>
          <w:lang w:val="en-GB"/>
        </w:rPr>
        <w:t xml:space="preserve">Slide </w:t>
      </w:r>
      <w:r w:rsidR="00570EE9" w:rsidRPr="003E6D9D">
        <w:rPr>
          <w:lang w:val="en-GB"/>
        </w:rPr>
        <w:t>2</w:t>
      </w:r>
      <w:r w:rsidR="00570EE9">
        <w:rPr>
          <w:lang w:val="en-GB"/>
        </w:rPr>
        <w:t>2</w:t>
      </w:r>
      <w:r w:rsidR="003A6DFD" w:rsidRPr="003E6D9D">
        <w:rPr>
          <w:lang w:val="en-GB"/>
        </w:rPr>
        <w:t>.</w:t>
      </w:r>
    </w:p>
    <w:p w14:paraId="163D51BB" w14:textId="77777777" w:rsidR="004534DA" w:rsidRPr="003E6D9D" w:rsidRDefault="004534DA" w:rsidP="004936EF">
      <w:pPr>
        <w:pStyle w:val="diapo2"/>
        <w:rPr>
          <w:lang w:val="en-GB"/>
        </w:rPr>
      </w:pPr>
      <w:r w:rsidRPr="003E6D9D">
        <w:rPr>
          <w:lang w:val="en-GB"/>
        </w:rPr>
        <w:t>Protecting the rights of communities</w:t>
      </w:r>
    </w:p>
    <w:p w14:paraId="49753372" w14:textId="77777777" w:rsidR="00774150" w:rsidRPr="003E6D9D" w:rsidRDefault="00F02D08" w:rsidP="00A01209">
      <w:pPr>
        <w:pStyle w:val="Texte1"/>
        <w:rPr>
          <w:lang w:val="en-GB"/>
        </w:rPr>
      </w:pPr>
      <w:r w:rsidRPr="003E6D9D">
        <w:rPr>
          <w:lang w:val="en-GB"/>
        </w:rPr>
        <w:t>Participant’s</w:t>
      </w:r>
      <w:r w:rsidR="002A3923" w:rsidRPr="003E6D9D">
        <w:rPr>
          <w:lang w:val="en-GB"/>
        </w:rPr>
        <w:t xml:space="preserve"> text </w:t>
      </w:r>
      <w:r w:rsidR="005B7AFC" w:rsidRPr="003E6D9D">
        <w:rPr>
          <w:lang w:val="en-GB"/>
        </w:rPr>
        <w:t>Unit</w:t>
      </w:r>
      <w:r w:rsidR="00720B3A" w:rsidRPr="003E6D9D">
        <w:rPr>
          <w:lang w:val="en-GB"/>
        </w:rPr>
        <w:t> </w:t>
      </w:r>
      <w:r w:rsidR="005B7AFC" w:rsidRPr="003E6D9D">
        <w:rPr>
          <w:lang w:val="en-GB"/>
        </w:rPr>
        <w:t>7</w:t>
      </w:r>
      <w:r w:rsidR="00774150" w:rsidRPr="003E6D9D">
        <w:rPr>
          <w:lang w:val="en-GB"/>
        </w:rPr>
        <w:t>.1</w:t>
      </w:r>
      <w:r w:rsidR="005C00F6" w:rsidRPr="003E6D9D">
        <w:rPr>
          <w:lang w:val="en-GB"/>
        </w:rPr>
        <w:t>2</w:t>
      </w:r>
      <w:r w:rsidR="00436B7C" w:rsidRPr="003E6D9D">
        <w:rPr>
          <w:lang w:val="en-GB"/>
        </w:rPr>
        <w:t xml:space="preserve"> introduces the idea that the rights of communities concerned should be protected in the safeguarding of their ICH, </w:t>
      </w:r>
      <w:r w:rsidR="00781D5E" w:rsidRPr="003E6D9D">
        <w:rPr>
          <w:lang w:val="en-GB"/>
        </w:rPr>
        <w:t xml:space="preserve">and that they should benefit </w:t>
      </w:r>
      <w:r w:rsidR="00A01209" w:rsidRPr="003E6D9D">
        <w:rPr>
          <w:lang w:val="en-GB"/>
        </w:rPr>
        <w:t>from it</w:t>
      </w:r>
      <w:r w:rsidR="00781D5E" w:rsidRPr="003E6D9D">
        <w:rPr>
          <w:lang w:val="en-GB"/>
        </w:rPr>
        <w:t xml:space="preserve">, </w:t>
      </w:r>
      <w:r w:rsidR="00436B7C" w:rsidRPr="003E6D9D">
        <w:rPr>
          <w:lang w:val="en-GB"/>
        </w:rPr>
        <w:t xml:space="preserve">a topic that is taken up again in </w:t>
      </w:r>
      <w:r w:rsidRPr="003E6D9D">
        <w:rPr>
          <w:lang w:val="en-GB"/>
        </w:rPr>
        <w:t>Participant’s</w:t>
      </w:r>
      <w:r w:rsidR="002A3923" w:rsidRPr="003E6D9D">
        <w:rPr>
          <w:lang w:val="en-GB"/>
        </w:rPr>
        <w:t xml:space="preserve"> text </w:t>
      </w:r>
      <w:r w:rsidR="005B7AFC" w:rsidRPr="003E6D9D">
        <w:rPr>
          <w:lang w:val="en-GB"/>
        </w:rPr>
        <w:t>Units</w:t>
      </w:r>
      <w:r w:rsidR="00720B3A" w:rsidRPr="003E6D9D">
        <w:rPr>
          <w:lang w:val="en-GB"/>
        </w:rPr>
        <w:t> </w:t>
      </w:r>
      <w:r w:rsidR="005B7AFC" w:rsidRPr="003E6D9D">
        <w:rPr>
          <w:lang w:val="en-GB"/>
        </w:rPr>
        <w:t>7 and 9</w:t>
      </w:r>
      <w:r w:rsidR="00436B7C" w:rsidRPr="003E6D9D">
        <w:rPr>
          <w:lang w:val="en-GB"/>
        </w:rPr>
        <w:t>.</w:t>
      </w:r>
    </w:p>
    <w:p w14:paraId="30438551" w14:textId="77777777" w:rsidR="006E144C" w:rsidRPr="003E6D9D" w:rsidRDefault="006E144C" w:rsidP="00A01209">
      <w:pPr>
        <w:pStyle w:val="Texte1"/>
        <w:rPr>
          <w:lang w:val="en-GB"/>
        </w:rPr>
      </w:pPr>
      <w:r w:rsidRPr="003E6D9D">
        <w:rPr>
          <w:lang w:val="en-GB"/>
        </w:rPr>
        <w:t xml:space="preserve">See </w:t>
      </w:r>
      <w:r w:rsidR="005B7AFC" w:rsidRPr="003E6D9D">
        <w:rPr>
          <w:lang w:val="en-GB"/>
        </w:rPr>
        <w:t>C</w:t>
      </w:r>
      <w:r w:rsidR="00442E1A" w:rsidRPr="003E6D9D">
        <w:rPr>
          <w:lang w:val="en-GB"/>
        </w:rPr>
        <w:t>ase study </w:t>
      </w:r>
      <w:r w:rsidR="00B577F8" w:rsidRPr="003E6D9D">
        <w:rPr>
          <w:lang w:val="en-GB"/>
        </w:rPr>
        <w:t>13</w:t>
      </w:r>
      <w:r w:rsidR="004C2ABE" w:rsidRPr="003E6D9D">
        <w:rPr>
          <w:lang w:val="en-GB"/>
        </w:rPr>
        <w:t xml:space="preserve"> on</w:t>
      </w:r>
      <w:r w:rsidRPr="003E6D9D">
        <w:rPr>
          <w:lang w:val="en-GB"/>
        </w:rPr>
        <w:t xml:space="preserve"> </w:t>
      </w:r>
      <w:r w:rsidR="00B34899" w:rsidRPr="003E6D9D">
        <w:rPr>
          <w:lang w:val="en-GB"/>
        </w:rPr>
        <w:t>t</w:t>
      </w:r>
      <w:r w:rsidR="00D85BCA" w:rsidRPr="003E6D9D">
        <w:rPr>
          <w:lang w:val="en-GB"/>
        </w:rPr>
        <w:t>he Laura Aboriginal Dance and Cultural Festival</w:t>
      </w:r>
      <w:r w:rsidRPr="003E6D9D">
        <w:rPr>
          <w:lang w:val="en-GB"/>
        </w:rPr>
        <w:t>.</w:t>
      </w:r>
    </w:p>
    <w:p w14:paraId="295E334B" w14:textId="270938E8" w:rsidR="005D5E47" w:rsidRPr="003E6D9D" w:rsidRDefault="00D22D50" w:rsidP="004936EF">
      <w:pPr>
        <w:pStyle w:val="Soustitre"/>
        <w:rPr>
          <w:caps/>
          <w:lang w:val="en-GB"/>
        </w:rPr>
      </w:pPr>
      <w:bookmarkStart w:id="16" w:name="_Toc238982238"/>
      <w:r w:rsidRPr="003E6D9D">
        <w:rPr>
          <w:lang w:val="en-GB"/>
        </w:rPr>
        <w:t>I</w:t>
      </w:r>
      <w:r w:rsidR="005D5E47" w:rsidRPr="003E6D9D">
        <w:rPr>
          <w:lang w:val="en-GB"/>
        </w:rPr>
        <w:t>ntellectual property rights in relation to ICH</w:t>
      </w:r>
      <w:bookmarkEnd w:id="16"/>
    </w:p>
    <w:p w14:paraId="1DE286EF" w14:textId="77777777" w:rsidR="006C5018" w:rsidRPr="003E6D9D" w:rsidRDefault="006C5018" w:rsidP="009909DD">
      <w:pPr>
        <w:pStyle w:val="Texte1"/>
        <w:rPr>
          <w:lang w:val="en-GB"/>
        </w:rPr>
      </w:pPr>
      <w:r w:rsidRPr="003E6D9D">
        <w:rPr>
          <w:lang w:val="en-GB"/>
        </w:rPr>
        <w:t xml:space="preserve">Intellectual property (IP), very broadly, means the legal rights that result from intellectual activity in the industrial, scientific, literary and artistic fields. For example, </w:t>
      </w:r>
      <w:r w:rsidR="00904138" w:rsidRPr="003E6D9D">
        <w:rPr>
          <w:lang w:val="en-GB"/>
        </w:rPr>
        <w:t>an author is</w:t>
      </w:r>
      <w:r w:rsidRPr="003E6D9D">
        <w:rPr>
          <w:lang w:val="en-GB"/>
        </w:rPr>
        <w:t xml:space="preserve"> entitled to receive royalties from the publication and sale of </w:t>
      </w:r>
      <w:r w:rsidR="00904138" w:rsidRPr="003E6D9D">
        <w:rPr>
          <w:lang w:val="en-GB"/>
        </w:rPr>
        <w:t xml:space="preserve">a </w:t>
      </w:r>
      <w:r w:rsidRPr="003E6D9D">
        <w:rPr>
          <w:lang w:val="en-GB"/>
        </w:rPr>
        <w:t xml:space="preserve">novel, or from it being turned into a film. </w:t>
      </w:r>
      <w:r w:rsidR="00904138" w:rsidRPr="003E6D9D">
        <w:rPr>
          <w:lang w:val="en-GB"/>
        </w:rPr>
        <w:t xml:space="preserve">States </w:t>
      </w:r>
      <w:r w:rsidRPr="003E6D9D">
        <w:rPr>
          <w:lang w:val="en-GB"/>
        </w:rPr>
        <w:t>have laws to protect intellectual property for two main reasons:</w:t>
      </w:r>
    </w:p>
    <w:p w14:paraId="165F4BA1" w14:textId="77777777" w:rsidR="006C5018" w:rsidRPr="003E6D9D" w:rsidRDefault="00904138" w:rsidP="00A84C57">
      <w:pPr>
        <w:pStyle w:val="nutiret"/>
        <w:numPr>
          <w:ilvl w:val="0"/>
          <w:numId w:val="160"/>
        </w:numPr>
        <w:rPr>
          <w:lang w:val="en-GB"/>
        </w:rPr>
      </w:pPr>
      <w:r w:rsidRPr="003E6D9D">
        <w:rPr>
          <w:lang w:val="en-GB"/>
        </w:rPr>
        <w:t>t</w:t>
      </w:r>
      <w:r w:rsidR="006C5018" w:rsidRPr="003E6D9D">
        <w:rPr>
          <w:lang w:val="en-GB"/>
        </w:rPr>
        <w:t>o protect the moral and economic rights of creators in their creations (</w:t>
      </w:r>
      <w:r w:rsidRPr="003E6D9D">
        <w:rPr>
          <w:lang w:val="en-GB"/>
        </w:rPr>
        <w:t>e.g</w:t>
      </w:r>
      <w:r w:rsidR="006C5018" w:rsidRPr="003E6D9D">
        <w:rPr>
          <w:lang w:val="en-GB"/>
        </w:rPr>
        <w:t xml:space="preserve">. to allow </w:t>
      </w:r>
      <w:r w:rsidRPr="003E6D9D">
        <w:rPr>
          <w:lang w:val="en-GB"/>
        </w:rPr>
        <w:t xml:space="preserve">the author of a novel </w:t>
      </w:r>
      <w:r w:rsidR="006C5018" w:rsidRPr="003E6D9D">
        <w:rPr>
          <w:lang w:val="en-GB"/>
        </w:rPr>
        <w:t xml:space="preserve">to be acknowledged and rewarded as the author of </w:t>
      </w:r>
      <w:r w:rsidRPr="003E6D9D">
        <w:rPr>
          <w:lang w:val="en-GB"/>
        </w:rPr>
        <w:t xml:space="preserve">that </w:t>
      </w:r>
      <w:r w:rsidR="006C5018" w:rsidRPr="003E6D9D">
        <w:rPr>
          <w:lang w:val="en-GB"/>
        </w:rPr>
        <w:t>novel) and the rights of the public in access to those creations</w:t>
      </w:r>
      <w:r w:rsidRPr="003E6D9D">
        <w:rPr>
          <w:lang w:val="en-GB"/>
        </w:rPr>
        <w:t>; and</w:t>
      </w:r>
    </w:p>
    <w:p w14:paraId="60E519EE" w14:textId="77777777" w:rsidR="006C5018" w:rsidRPr="003E6D9D" w:rsidRDefault="00904138" w:rsidP="00A84C57">
      <w:pPr>
        <w:pStyle w:val="nutiret"/>
        <w:numPr>
          <w:ilvl w:val="0"/>
          <w:numId w:val="160"/>
        </w:numPr>
        <w:rPr>
          <w:lang w:val="en-GB"/>
        </w:rPr>
      </w:pPr>
      <w:r w:rsidRPr="003E6D9D">
        <w:rPr>
          <w:lang w:val="en-GB"/>
        </w:rPr>
        <w:t>t</w:t>
      </w:r>
      <w:r w:rsidR="006C5018" w:rsidRPr="003E6D9D">
        <w:rPr>
          <w:lang w:val="en-GB"/>
        </w:rPr>
        <w:t xml:space="preserve">o promote creativity and the dissemination and application of its results (e.g. if </w:t>
      </w:r>
      <w:r w:rsidRPr="003E6D9D">
        <w:rPr>
          <w:lang w:val="en-GB"/>
        </w:rPr>
        <w:t>an author is</w:t>
      </w:r>
      <w:r w:rsidR="006C5018" w:rsidRPr="003E6D9D">
        <w:rPr>
          <w:lang w:val="en-GB"/>
        </w:rPr>
        <w:t xml:space="preserve"> rewarded </w:t>
      </w:r>
      <w:r w:rsidR="00D03BD9" w:rsidRPr="003E6D9D">
        <w:rPr>
          <w:lang w:val="en-GB"/>
        </w:rPr>
        <w:t>for</w:t>
      </w:r>
      <w:r w:rsidR="006C5018" w:rsidRPr="003E6D9D">
        <w:rPr>
          <w:lang w:val="en-GB"/>
        </w:rPr>
        <w:t xml:space="preserve"> writing a book, </w:t>
      </w:r>
      <w:r w:rsidRPr="003E6D9D">
        <w:rPr>
          <w:lang w:val="en-GB"/>
        </w:rPr>
        <w:t xml:space="preserve">he/she </w:t>
      </w:r>
      <w:r w:rsidR="006C5018" w:rsidRPr="003E6D9D">
        <w:rPr>
          <w:lang w:val="en-GB"/>
        </w:rPr>
        <w:t>may be more likely to do so</w:t>
      </w:r>
      <w:r w:rsidR="007A04B6" w:rsidRPr="003E6D9D">
        <w:rPr>
          <w:lang w:val="en-GB"/>
        </w:rPr>
        <w:t>:</w:t>
      </w:r>
      <w:r w:rsidR="006C5018" w:rsidRPr="003E6D9D">
        <w:rPr>
          <w:lang w:val="en-GB"/>
        </w:rPr>
        <w:t xml:space="preserve"> sharing knowledge is beneficial to society) and to encourage fair trad</w:t>
      </w:r>
      <w:r w:rsidR="00A646F7" w:rsidRPr="003E6D9D">
        <w:rPr>
          <w:lang w:val="en-GB"/>
        </w:rPr>
        <w:t>e</w:t>
      </w:r>
      <w:r w:rsidR="006C5018" w:rsidRPr="003E6D9D">
        <w:rPr>
          <w:lang w:val="en-GB"/>
        </w:rPr>
        <w:t xml:space="preserve"> </w:t>
      </w:r>
      <w:r w:rsidR="007A04B6" w:rsidRPr="003E6D9D">
        <w:rPr>
          <w:lang w:val="en-GB"/>
        </w:rPr>
        <w:t xml:space="preserve">that </w:t>
      </w:r>
      <w:r w:rsidR="006C5018" w:rsidRPr="003E6D9D">
        <w:rPr>
          <w:lang w:val="en-GB"/>
        </w:rPr>
        <w:t>would contribute to economic and social development (i.e. making sure that the rewards of writing the book go at least partly to the author).</w:t>
      </w:r>
      <w:r w:rsidR="006C5018" w:rsidRPr="003E6D9D">
        <w:rPr>
          <w:vertAlign w:val="superscript"/>
          <w:lang w:val="en-GB"/>
        </w:rPr>
        <w:footnoteReference w:id="6"/>
      </w:r>
    </w:p>
    <w:p w14:paraId="5020B360" w14:textId="77777777" w:rsidR="00FD58F3" w:rsidRPr="003E6D9D" w:rsidRDefault="001D1E90" w:rsidP="009909DD">
      <w:pPr>
        <w:pStyle w:val="Texte1"/>
        <w:rPr>
          <w:lang w:val="en-GB"/>
        </w:rPr>
      </w:pPr>
      <w:r w:rsidRPr="003E6D9D">
        <w:rPr>
          <w:lang w:val="en-GB"/>
        </w:rPr>
        <w:t xml:space="preserve">Intellectual property rights </w:t>
      </w:r>
      <w:r w:rsidR="005D5D44" w:rsidRPr="003E6D9D">
        <w:rPr>
          <w:lang w:val="en-GB"/>
        </w:rPr>
        <w:t xml:space="preserve">(IPR) </w:t>
      </w:r>
      <w:r w:rsidRPr="003E6D9D">
        <w:rPr>
          <w:lang w:val="en-GB"/>
        </w:rPr>
        <w:t>are usually conferred on individuals or companies; special regulations are required for conferring such rights on communities</w:t>
      </w:r>
      <w:r w:rsidR="00FD58F3" w:rsidRPr="003E6D9D">
        <w:rPr>
          <w:lang w:val="en-GB"/>
        </w:rPr>
        <w:t>. T</w:t>
      </w:r>
      <w:r w:rsidRPr="003E6D9D">
        <w:rPr>
          <w:lang w:val="en-GB"/>
        </w:rPr>
        <w:t xml:space="preserve">his has been done in a number of </w:t>
      </w:r>
      <w:r w:rsidR="005D5D44" w:rsidRPr="003E6D9D">
        <w:rPr>
          <w:lang w:val="en-GB"/>
        </w:rPr>
        <w:t>States</w:t>
      </w:r>
      <w:r w:rsidR="00FD58F3" w:rsidRPr="003E6D9D">
        <w:rPr>
          <w:lang w:val="en-GB"/>
        </w:rPr>
        <w:t>, but it is not a simple task</w:t>
      </w:r>
      <w:r w:rsidRPr="003E6D9D">
        <w:rPr>
          <w:lang w:val="en-GB"/>
        </w:rPr>
        <w:t xml:space="preserve">. </w:t>
      </w:r>
      <w:r w:rsidR="00DF7827" w:rsidRPr="003E6D9D">
        <w:rPr>
          <w:lang w:val="en-GB"/>
        </w:rPr>
        <w:t xml:space="preserve">The </w:t>
      </w:r>
      <w:r w:rsidR="00D03BD9" w:rsidRPr="003E6D9D">
        <w:rPr>
          <w:lang w:val="en-GB"/>
        </w:rPr>
        <w:t xml:space="preserve">Intergovernmental Committee on Intellectual Property and Genetic Resources, Traditional Knowledge and Folklore </w:t>
      </w:r>
      <w:r w:rsidR="00DF7827" w:rsidRPr="003E6D9D">
        <w:rPr>
          <w:lang w:val="en-GB"/>
        </w:rPr>
        <w:t xml:space="preserve">of the </w:t>
      </w:r>
      <w:r w:rsidR="00DF7827" w:rsidRPr="003E6D9D">
        <w:rPr>
          <w:szCs w:val="22"/>
          <w:lang w:val="en-GB"/>
        </w:rPr>
        <w:t>World Intellectual Property Organization</w:t>
      </w:r>
      <w:r w:rsidR="00DF7827" w:rsidRPr="003E6D9D">
        <w:rPr>
          <w:lang w:val="en-GB"/>
        </w:rPr>
        <w:t xml:space="preserve"> (WIPO) </w:t>
      </w:r>
      <w:r w:rsidR="00D03BD9" w:rsidRPr="003E6D9D">
        <w:rPr>
          <w:lang w:val="en-GB"/>
        </w:rPr>
        <w:t>has been working towards the</w:t>
      </w:r>
      <w:r w:rsidR="00FD58F3" w:rsidRPr="003E6D9D">
        <w:rPr>
          <w:lang w:val="en-GB"/>
        </w:rPr>
        <w:t xml:space="preserve"> establish</w:t>
      </w:r>
      <w:r w:rsidR="00D03BD9" w:rsidRPr="003E6D9D">
        <w:rPr>
          <w:lang w:val="en-GB"/>
        </w:rPr>
        <w:t>ment of</w:t>
      </w:r>
      <w:r w:rsidR="00FD58F3" w:rsidRPr="003E6D9D">
        <w:rPr>
          <w:lang w:val="en-GB"/>
        </w:rPr>
        <w:t xml:space="preserve"> an international legal instrument for protecting </w:t>
      </w:r>
      <w:r w:rsidR="00DF7827" w:rsidRPr="003E6D9D">
        <w:rPr>
          <w:lang w:val="en-GB"/>
        </w:rPr>
        <w:t>IPR</w:t>
      </w:r>
      <w:r w:rsidR="00FD58F3" w:rsidRPr="003E6D9D">
        <w:rPr>
          <w:lang w:val="en-GB"/>
        </w:rPr>
        <w:t xml:space="preserve"> over ICH </w:t>
      </w:r>
      <w:r w:rsidR="00D03BD9" w:rsidRPr="003E6D9D">
        <w:rPr>
          <w:lang w:val="en-GB"/>
        </w:rPr>
        <w:t>for some time because of the complexity of the task</w:t>
      </w:r>
      <w:r w:rsidR="00FD58F3" w:rsidRPr="003E6D9D">
        <w:rPr>
          <w:lang w:val="en-GB"/>
        </w:rPr>
        <w:t xml:space="preserve">. Some considerations in modifying existing IP </w:t>
      </w:r>
      <w:r w:rsidR="00FD58F3" w:rsidRPr="003E6D9D">
        <w:rPr>
          <w:lang w:val="en-GB"/>
        </w:rPr>
        <w:lastRenderedPageBreak/>
        <w:t>regimes have been that intellectual property rights over ICH should be inalienable rights (</w:t>
      </w:r>
      <w:r w:rsidR="00DF7827" w:rsidRPr="003E6D9D">
        <w:rPr>
          <w:lang w:val="en-GB"/>
        </w:rPr>
        <w:t xml:space="preserve">i.e. they </w:t>
      </w:r>
      <w:r w:rsidR="00FD58F3" w:rsidRPr="003E6D9D">
        <w:rPr>
          <w:lang w:val="en-GB"/>
        </w:rPr>
        <w:t>cannot be conferred on others outside the community concerned) and that (unlike copyright or patents) they should not expire automatically after a period of time (</w:t>
      </w:r>
      <w:r w:rsidR="00DF7827" w:rsidRPr="003E6D9D">
        <w:rPr>
          <w:lang w:val="en-GB"/>
        </w:rPr>
        <w:t xml:space="preserve">i.e. </w:t>
      </w:r>
      <w:r w:rsidR="00FD58F3" w:rsidRPr="003E6D9D">
        <w:rPr>
          <w:lang w:val="en-GB"/>
        </w:rPr>
        <w:t>they should be given in perpetuity). Questions arise as to whether the community-held IP</w:t>
      </w:r>
      <w:r w:rsidR="0058776C" w:rsidRPr="003E6D9D">
        <w:rPr>
          <w:lang w:val="en-GB"/>
        </w:rPr>
        <w:t>R</w:t>
      </w:r>
      <w:r w:rsidR="00FD58F3" w:rsidRPr="003E6D9D">
        <w:rPr>
          <w:lang w:val="en-GB"/>
        </w:rPr>
        <w:t xml:space="preserve"> </w:t>
      </w:r>
      <w:r w:rsidR="00DF7827" w:rsidRPr="003E6D9D">
        <w:rPr>
          <w:lang w:val="en-GB"/>
        </w:rPr>
        <w:t>must</w:t>
      </w:r>
      <w:r w:rsidR="00FD58F3" w:rsidRPr="003E6D9D">
        <w:rPr>
          <w:lang w:val="en-GB"/>
        </w:rPr>
        <w:t xml:space="preserve"> be exclusive rights, whether rights can be re-established over information already in the public domain, and how to define ICH for the purposes of the new IP regime.</w:t>
      </w:r>
    </w:p>
    <w:p w14:paraId="118E43A4" w14:textId="77777777" w:rsidR="005D5E47" w:rsidRPr="003E6D9D" w:rsidRDefault="005D5E47" w:rsidP="009909DD">
      <w:pPr>
        <w:pStyle w:val="Texte1"/>
        <w:rPr>
          <w:lang w:val="en-GB"/>
        </w:rPr>
      </w:pPr>
      <w:r w:rsidRPr="003E6D9D">
        <w:rPr>
          <w:lang w:val="en-GB"/>
        </w:rPr>
        <w:t>If no such rights are provided in law</w:t>
      </w:r>
      <w:r w:rsidR="00DF7827" w:rsidRPr="003E6D9D">
        <w:rPr>
          <w:lang w:val="en-GB"/>
        </w:rPr>
        <w:t>,</w:t>
      </w:r>
      <w:r w:rsidRPr="003E6D9D">
        <w:rPr>
          <w:lang w:val="en-GB"/>
        </w:rPr>
        <w:t xml:space="preserve"> then the agencies working with communities should be encouraged to assist them to mobilize other legal and social mechanisms to allow them to benefit from the use of their ICH as far as possible.</w:t>
      </w:r>
    </w:p>
    <w:p w14:paraId="19C5B549" w14:textId="77777777" w:rsidR="00DF7827" w:rsidRPr="003E6D9D" w:rsidRDefault="006C5018" w:rsidP="009909DD">
      <w:pPr>
        <w:pStyle w:val="Texte1"/>
        <w:rPr>
          <w:lang w:val="en-GB"/>
        </w:rPr>
      </w:pPr>
      <w:r w:rsidRPr="003E6D9D">
        <w:rPr>
          <w:lang w:val="en-GB"/>
        </w:rPr>
        <w:t xml:space="preserve">Where ICH practices are promoted through </w:t>
      </w:r>
      <w:r w:rsidR="00154B92" w:rsidRPr="003E6D9D">
        <w:rPr>
          <w:lang w:val="en-GB"/>
        </w:rPr>
        <w:t>awareness-raising</w:t>
      </w:r>
      <w:r w:rsidRPr="003E6D9D">
        <w:rPr>
          <w:lang w:val="en-GB"/>
        </w:rPr>
        <w:t xml:space="preserve"> or commercialized</w:t>
      </w:r>
      <w:r w:rsidR="00DF7827" w:rsidRPr="003E6D9D">
        <w:rPr>
          <w:lang w:val="en-GB"/>
        </w:rPr>
        <w:t>:</w:t>
      </w:r>
    </w:p>
    <w:p w14:paraId="50C868AB" w14:textId="77777777" w:rsidR="00DF7827" w:rsidRPr="003E6D9D" w:rsidRDefault="006C5018" w:rsidP="004936EF">
      <w:pPr>
        <w:pStyle w:val="citation"/>
        <w:rPr>
          <w:lang w:val="en-GB"/>
        </w:rPr>
      </w:pPr>
      <w:r w:rsidRPr="003E6D9D">
        <w:rPr>
          <w:lang w:val="en-GB"/>
        </w:rPr>
        <w:t>the focus of attention should be on the empowerment of those who want to use their traditional knowledge and resources to improve their livelihood. Empowering communities in this way may mean recognizing that for them, indigenous knowledge systems may have not just commercial value but also cultural and symbolic value.</w:t>
      </w:r>
      <w:r w:rsidRPr="003E6D9D">
        <w:rPr>
          <w:vertAlign w:val="superscript"/>
          <w:lang w:val="en-GB"/>
        </w:rPr>
        <w:footnoteReference w:id="7"/>
      </w:r>
    </w:p>
    <w:p w14:paraId="336435F9" w14:textId="77777777" w:rsidR="006C5018" w:rsidRPr="003E6D9D" w:rsidRDefault="006C5018" w:rsidP="009909DD">
      <w:pPr>
        <w:pStyle w:val="Texte1"/>
        <w:rPr>
          <w:lang w:val="en-GB"/>
        </w:rPr>
      </w:pPr>
      <w:r w:rsidRPr="003E6D9D">
        <w:rPr>
          <w:lang w:val="en-GB"/>
        </w:rPr>
        <w:t>On this issue</w:t>
      </w:r>
      <w:r w:rsidR="00DF7827" w:rsidRPr="003E6D9D">
        <w:rPr>
          <w:lang w:val="en-GB"/>
        </w:rPr>
        <w:t>,</w:t>
      </w:r>
      <w:r w:rsidRPr="003E6D9D">
        <w:rPr>
          <w:lang w:val="en-GB"/>
        </w:rPr>
        <w:t xml:space="preserve"> see OD</w:t>
      </w:r>
      <w:r w:rsidR="00613252" w:rsidRPr="003E6D9D">
        <w:rPr>
          <w:lang w:val="en-GB"/>
        </w:rPr>
        <w:t>s</w:t>
      </w:r>
      <w:r w:rsidR="00AC3FC7" w:rsidRPr="003E6D9D">
        <w:rPr>
          <w:lang w:val="en-GB"/>
        </w:rPr>
        <w:t> </w:t>
      </w:r>
      <w:r w:rsidRPr="003E6D9D">
        <w:rPr>
          <w:lang w:val="en-GB"/>
        </w:rPr>
        <w:t>101(d), 102(d)</w:t>
      </w:r>
      <w:r w:rsidR="00613252" w:rsidRPr="003E6D9D">
        <w:rPr>
          <w:lang w:val="en-GB"/>
        </w:rPr>
        <w:t xml:space="preserve"> and </w:t>
      </w:r>
      <w:r w:rsidRPr="003E6D9D">
        <w:rPr>
          <w:lang w:val="en-GB"/>
        </w:rPr>
        <w:t>104.</w:t>
      </w:r>
    </w:p>
    <w:p w14:paraId="267760BC" w14:textId="77777777" w:rsidR="00774150" w:rsidRPr="003E6D9D" w:rsidRDefault="00774150" w:rsidP="009C7479">
      <w:pPr>
        <w:pStyle w:val="Soustitre"/>
        <w:rPr>
          <w:sz w:val="24"/>
          <w:szCs w:val="22"/>
          <w:lang w:val="en-GB"/>
        </w:rPr>
      </w:pPr>
      <w:bookmarkStart w:id="17" w:name="_Toc238982239"/>
      <w:r w:rsidRPr="003E6D9D">
        <w:rPr>
          <w:lang w:val="en-GB"/>
        </w:rPr>
        <w:t>Example of the impact of activities that may threaten the rights of communities in regard to their ICH</w:t>
      </w:r>
      <w:bookmarkEnd w:id="17"/>
    </w:p>
    <w:p w14:paraId="4CC6C684" w14:textId="77777777" w:rsidR="004534DA" w:rsidRPr="003E6D9D" w:rsidRDefault="003B5581" w:rsidP="009909DD">
      <w:pPr>
        <w:pStyle w:val="Texte1"/>
        <w:rPr>
          <w:lang w:val="en-GB"/>
        </w:rPr>
      </w:pPr>
      <w:r w:rsidRPr="003E6D9D">
        <w:rPr>
          <w:lang w:val="en-GB"/>
        </w:rPr>
        <w:t>Participants may be asked to i</w:t>
      </w:r>
      <w:r w:rsidR="00557256" w:rsidRPr="003E6D9D">
        <w:rPr>
          <w:lang w:val="en-GB"/>
        </w:rPr>
        <w:t>magine that</w:t>
      </w:r>
      <w:r w:rsidR="004534DA" w:rsidRPr="003E6D9D">
        <w:rPr>
          <w:lang w:val="en-GB"/>
        </w:rPr>
        <w:t xml:space="preserve"> a television programme </w:t>
      </w:r>
      <w:r w:rsidRPr="003E6D9D">
        <w:rPr>
          <w:lang w:val="en-GB"/>
        </w:rPr>
        <w:t xml:space="preserve">is being </w:t>
      </w:r>
      <w:r w:rsidR="004534DA" w:rsidRPr="003E6D9D">
        <w:rPr>
          <w:lang w:val="en-GB"/>
        </w:rPr>
        <w:t>made about a specific form of traditional medic</w:t>
      </w:r>
      <w:r w:rsidR="00A01209" w:rsidRPr="003E6D9D">
        <w:rPr>
          <w:lang w:val="en-GB"/>
        </w:rPr>
        <w:t>inal</w:t>
      </w:r>
      <w:r w:rsidR="004534DA" w:rsidRPr="003E6D9D">
        <w:rPr>
          <w:lang w:val="en-GB"/>
        </w:rPr>
        <w:t xml:space="preserve"> therapy used in a small regional community (previously unknown to the rest of the world)</w:t>
      </w:r>
      <w:r w:rsidR="00DF3A8C" w:rsidRPr="003E6D9D">
        <w:rPr>
          <w:lang w:val="en-GB"/>
        </w:rPr>
        <w:t>: it</w:t>
      </w:r>
      <w:r w:rsidR="004534DA" w:rsidRPr="003E6D9D">
        <w:rPr>
          <w:lang w:val="en-GB"/>
        </w:rPr>
        <w:t xml:space="preserve"> </w:t>
      </w:r>
      <w:r w:rsidRPr="003E6D9D">
        <w:rPr>
          <w:lang w:val="en-GB"/>
        </w:rPr>
        <w:t xml:space="preserve">will then be </w:t>
      </w:r>
      <w:r w:rsidR="00557256" w:rsidRPr="003E6D9D">
        <w:rPr>
          <w:lang w:val="en-GB"/>
        </w:rPr>
        <w:t>broadcast to the whole country. A</w:t>
      </w:r>
      <w:r w:rsidR="004534DA" w:rsidRPr="003E6D9D">
        <w:rPr>
          <w:lang w:val="en-GB"/>
        </w:rPr>
        <w:t xml:space="preserve">n undesirable result would be the use of this information to create a new commercial product based on this therapy, </w:t>
      </w:r>
      <w:r w:rsidR="00A07CEA" w:rsidRPr="003E6D9D">
        <w:rPr>
          <w:lang w:val="en-GB"/>
        </w:rPr>
        <w:t xml:space="preserve">without consultation with or consent by </w:t>
      </w:r>
      <w:r w:rsidR="00557256" w:rsidRPr="003E6D9D">
        <w:rPr>
          <w:lang w:val="en-GB"/>
        </w:rPr>
        <w:t>the community concerned</w:t>
      </w:r>
      <w:r w:rsidR="00A07CEA" w:rsidRPr="003E6D9D">
        <w:rPr>
          <w:lang w:val="en-GB"/>
        </w:rPr>
        <w:t xml:space="preserve">. </w:t>
      </w:r>
      <w:r w:rsidR="009A420E" w:rsidRPr="003E6D9D">
        <w:rPr>
          <w:lang w:val="en-GB"/>
        </w:rPr>
        <w:t xml:space="preserve">Such activities would not constitute </w:t>
      </w:r>
      <w:r w:rsidR="00154B92" w:rsidRPr="003E6D9D">
        <w:rPr>
          <w:lang w:val="en-GB"/>
        </w:rPr>
        <w:t>awareness-raising</w:t>
      </w:r>
      <w:r w:rsidR="009A420E" w:rsidRPr="003E6D9D">
        <w:rPr>
          <w:lang w:val="en-GB"/>
        </w:rPr>
        <w:t xml:space="preserve"> </w:t>
      </w:r>
      <w:r w:rsidR="00D03BD9" w:rsidRPr="003E6D9D">
        <w:rPr>
          <w:lang w:val="en-GB"/>
        </w:rPr>
        <w:t>as advocated by</w:t>
      </w:r>
      <w:r w:rsidR="009A420E" w:rsidRPr="003E6D9D">
        <w:rPr>
          <w:lang w:val="en-GB"/>
        </w:rPr>
        <w:t xml:space="preserve"> the Convention. </w:t>
      </w:r>
      <w:r w:rsidR="00A07CEA" w:rsidRPr="003E6D9D">
        <w:rPr>
          <w:lang w:val="en-GB"/>
        </w:rPr>
        <w:t>The product might be</w:t>
      </w:r>
      <w:r w:rsidR="004534DA" w:rsidRPr="003E6D9D">
        <w:rPr>
          <w:lang w:val="en-GB"/>
        </w:rPr>
        <w:t xml:space="preserve"> patented by commercial interests</w:t>
      </w:r>
      <w:r w:rsidR="00D307B6" w:rsidRPr="003E6D9D">
        <w:rPr>
          <w:lang w:val="en-GB"/>
        </w:rPr>
        <w:t xml:space="preserve"> and</w:t>
      </w:r>
      <w:r w:rsidR="004534DA" w:rsidRPr="003E6D9D">
        <w:rPr>
          <w:lang w:val="en-GB"/>
        </w:rPr>
        <w:t xml:space="preserve"> manufactured in another part of the country, with profits accruing to</w:t>
      </w:r>
      <w:r w:rsidR="00A07CEA" w:rsidRPr="003E6D9D">
        <w:rPr>
          <w:lang w:val="en-GB"/>
        </w:rPr>
        <w:t xml:space="preserve"> these</w:t>
      </w:r>
      <w:r w:rsidR="004534DA" w:rsidRPr="003E6D9D">
        <w:rPr>
          <w:lang w:val="en-GB"/>
        </w:rPr>
        <w:t xml:space="preserve"> commercial companies</w:t>
      </w:r>
      <w:r w:rsidR="00557256" w:rsidRPr="003E6D9D">
        <w:rPr>
          <w:lang w:val="en-GB"/>
        </w:rPr>
        <w:t xml:space="preserve"> alone</w:t>
      </w:r>
      <w:r w:rsidR="004534DA" w:rsidRPr="003E6D9D">
        <w:rPr>
          <w:lang w:val="en-GB"/>
        </w:rPr>
        <w:t xml:space="preserve">. This would not benefit the small regional community or those who had the original knowledge about the remedy; it </w:t>
      </w:r>
      <w:r w:rsidR="00613252" w:rsidRPr="003E6D9D">
        <w:rPr>
          <w:lang w:val="en-GB"/>
        </w:rPr>
        <w:t xml:space="preserve">might, </w:t>
      </w:r>
      <w:r w:rsidR="004534DA" w:rsidRPr="003E6D9D">
        <w:rPr>
          <w:lang w:val="en-GB"/>
        </w:rPr>
        <w:t>in fact</w:t>
      </w:r>
      <w:r w:rsidR="00613252" w:rsidRPr="003E6D9D">
        <w:rPr>
          <w:lang w:val="en-GB"/>
        </w:rPr>
        <w:t>,</w:t>
      </w:r>
      <w:r w:rsidR="004534DA" w:rsidRPr="003E6D9D">
        <w:rPr>
          <w:lang w:val="en-GB"/>
        </w:rPr>
        <w:t xml:space="preserve"> threaten the livelihoods of people in the community and their transmission of ICH. </w:t>
      </w:r>
      <w:r w:rsidR="001F0D2C" w:rsidRPr="003E6D9D">
        <w:rPr>
          <w:lang w:val="en-GB"/>
        </w:rPr>
        <w:t>I</w:t>
      </w:r>
      <w:r w:rsidR="004534DA" w:rsidRPr="003E6D9D">
        <w:rPr>
          <w:lang w:val="en-GB"/>
        </w:rPr>
        <w:t>f anticipated, the situation can be avoided or addressed promptly when it arises</w:t>
      </w:r>
      <w:r w:rsidR="00A07CEA" w:rsidRPr="003E6D9D">
        <w:rPr>
          <w:lang w:val="en-GB"/>
        </w:rPr>
        <w:t>; community rights and interests could be protected</w:t>
      </w:r>
      <w:r w:rsidR="004534DA" w:rsidRPr="003E6D9D">
        <w:rPr>
          <w:lang w:val="en-GB"/>
        </w:rPr>
        <w:t>.</w:t>
      </w:r>
    </w:p>
    <w:p w14:paraId="00BA94F7" w14:textId="5476C305" w:rsidR="003A6DFD" w:rsidRPr="003E6D9D" w:rsidRDefault="009D09C4" w:rsidP="004936EF">
      <w:pPr>
        <w:pStyle w:val="Heading6"/>
        <w:rPr>
          <w:lang w:val="en-GB"/>
        </w:rPr>
      </w:pPr>
      <w:r w:rsidRPr="003E6D9D">
        <w:rPr>
          <w:lang w:val="en-GB"/>
        </w:rPr>
        <w:t xml:space="preserve">Slide </w:t>
      </w:r>
      <w:r w:rsidR="00570EE9" w:rsidRPr="003E6D9D">
        <w:rPr>
          <w:lang w:val="en-GB"/>
        </w:rPr>
        <w:t>2</w:t>
      </w:r>
      <w:r w:rsidR="00570EE9">
        <w:rPr>
          <w:lang w:val="en-GB"/>
        </w:rPr>
        <w:t>3</w:t>
      </w:r>
      <w:r w:rsidR="003A6DFD" w:rsidRPr="003E6D9D">
        <w:rPr>
          <w:lang w:val="en-GB"/>
        </w:rPr>
        <w:t>.</w:t>
      </w:r>
    </w:p>
    <w:p w14:paraId="10F1877F" w14:textId="77777777" w:rsidR="004534DA" w:rsidRPr="003E6D9D" w:rsidRDefault="004534DA" w:rsidP="004936EF">
      <w:pPr>
        <w:pStyle w:val="diapo2"/>
        <w:rPr>
          <w:lang w:val="en-GB"/>
        </w:rPr>
      </w:pPr>
      <w:r w:rsidRPr="003E6D9D">
        <w:rPr>
          <w:lang w:val="en-GB"/>
        </w:rPr>
        <w:t xml:space="preserve">Ensuring </w:t>
      </w:r>
      <w:r w:rsidR="00613252" w:rsidRPr="003E6D9D">
        <w:rPr>
          <w:lang w:val="en-GB"/>
        </w:rPr>
        <w:t xml:space="preserve">that </w:t>
      </w:r>
      <w:r w:rsidRPr="003E6D9D">
        <w:rPr>
          <w:lang w:val="en-GB"/>
        </w:rPr>
        <w:t>communities benefit</w:t>
      </w:r>
    </w:p>
    <w:p w14:paraId="1CE7DCB8" w14:textId="3CE6282C" w:rsidR="006865B6" w:rsidRPr="003E6D9D" w:rsidRDefault="00E6428B" w:rsidP="009909DD">
      <w:pPr>
        <w:pStyle w:val="Texte1"/>
        <w:rPr>
          <w:lang w:val="en-GB"/>
        </w:rPr>
      </w:pPr>
      <w:r w:rsidRPr="003E6D9D">
        <w:rPr>
          <w:lang w:val="en-GB"/>
        </w:rPr>
        <w:t xml:space="preserve">Refer to Unit 7.12 of the </w:t>
      </w:r>
      <w:r w:rsidR="00F02D08" w:rsidRPr="003E6D9D">
        <w:rPr>
          <w:lang w:val="en-GB"/>
        </w:rPr>
        <w:t>Participant’s</w:t>
      </w:r>
      <w:r w:rsidR="002A3923" w:rsidRPr="003E6D9D">
        <w:rPr>
          <w:lang w:val="en-GB"/>
        </w:rPr>
        <w:t> text</w:t>
      </w:r>
      <w:r w:rsidR="006270AB" w:rsidRPr="003E6D9D">
        <w:rPr>
          <w:lang w:val="en-GB"/>
        </w:rPr>
        <w:t>.</w:t>
      </w:r>
    </w:p>
    <w:p w14:paraId="060B4C10" w14:textId="649FF3AD" w:rsidR="00E56E21" w:rsidRPr="003E6D9D" w:rsidRDefault="006865B6" w:rsidP="009909DD">
      <w:pPr>
        <w:pStyle w:val="Texte1"/>
        <w:rPr>
          <w:lang w:val="en-GB"/>
        </w:rPr>
      </w:pPr>
      <w:r w:rsidRPr="003E6D9D">
        <w:rPr>
          <w:lang w:val="en-GB"/>
        </w:rPr>
        <w:t xml:space="preserve">After the Bonn Guidelines on Access to Genetic Resources and Fair and Equitable Sharing of the Benefits Arising out of their Utilization (2002) were developed, other guidelines and protocols are being prepared to assist in the implementation of the </w:t>
      </w:r>
      <w:r w:rsidRPr="003E6D9D">
        <w:rPr>
          <w:lang w:val="en-GB"/>
        </w:rPr>
        <w:lastRenderedPageBreak/>
        <w:t xml:space="preserve">Convention on Biological Diversity (CBD). This may encourage and guide the development of similar tools in the field of </w:t>
      </w:r>
      <w:r w:rsidR="005F3BDC" w:rsidRPr="003E6D9D">
        <w:rPr>
          <w:lang w:val="en-GB"/>
        </w:rPr>
        <w:t>ICH</w:t>
      </w:r>
      <w:r w:rsidRPr="003E6D9D">
        <w:rPr>
          <w:lang w:val="en-GB"/>
        </w:rPr>
        <w:t>.</w:t>
      </w:r>
      <w:r w:rsidRPr="003E6D9D">
        <w:rPr>
          <w:vertAlign w:val="superscript"/>
          <w:lang w:val="en-GB"/>
        </w:rPr>
        <w:footnoteReference w:id="8"/>
      </w:r>
    </w:p>
    <w:p w14:paraId="7A71A909" w14:textId="77777777" w:rsidR="006865B6" w:rsidRPr="003E6D9D" w:rsidRDefault="00D03BD9" w:rsidP="009909DD">
      <w:pPr>
        <w:pStyle w:val="Texte1"/>
        <w:rPr>
          <w:lang w:val="en-GB"/>
        </w:rPr>
      </w:pPr>
      <w:r w:rsidRPr="003E6D9D">
        <w:rPr>
          <w:lang w:val="en-GB"/>
        </w:rPr>
        <w:t>T</w:t>
      </w:r>
      <w:r w:rsidR="006865B6" w:rsidRPr="003E6D9D">
        <w:rPr>
          <w:lang w:val="en-GB"/>
        </w:rPr>
        <w:t xml:space="preserve">he </w:t>
      </w:r>
      <w:r w:rsidRPr="003E6D9D">
        <w:rPr>
          <w:lang w:val="en-GB"/>
        </w:rPr>
        <w:t xml:space="preserve">following </w:t>
      </w:r>
      <w:r w:rsidR="006865B6" w:rsidRPr="003E6D9D">
        <w:rPr>
          <w:lang w:val="en-GB"/>
        </w:rPr>
        <w:t xml:space="preserve">ODs </w:t>
      </w:r>
      <w:r w:rsidRPr="003E6D9D">
        <w:rPr>
          <w:lang w:val="en-GB"/>
        </w:rPr>
        <w:t>are</w:t>
      </w:r>
      <w:r w:rsidR="006865B6" w:rsidRPr="003E6D9D">
        <w:rPr>
          <w:lang w:val="en-GB"/>
        </w:rPr>
        <w:t xml:space="preserve"> particularly relevant </w:t>
      </w:r>
      <w:r w:rsidRPr="003E6D9D">
        <w:rPr>
          <w:lang w:val="en-GB"/>
        </w:rPr>
        <w:t>in this respect</w:t>
      </w:r>
      <w:r w:rsidR="00D307B6" w:rsidRPr="003E6D9D">
        <w:rPr>
          <w:lang w:val="en-GB"/>
        </w:rPr>
        <w:t>.</w:t>
      </w:r>
    </w:p>
    <w:p w14:paraId="756EAEB2" w14:textId="77777777" w:rsidR="003A6DFD" w:rsidRPr="003E6D9D" w:rsidRDefault="003A6DFD" w:rsidP="00A84C57">
      <w:pPr>
        <w:pStyle w:val="DO"/>
        <w:rPr>
          <w:lang w:val="en-GB"/>
        </w:rPr>
      </w:pPr>
      <w:r w:rsidRPr="003E6D9D">
        <w:rPr>
          <w:lang w:val="en-GB"/>
        </w:rPr>
        <w:t>OD</w:t>
      </w:r>
      <w:r w:rsidR="00DE0C60" w:rsidRPr="003E6D9D">
        <w:rPr>
          <w:lang w:val="en-GB"/>
        </w:rPr>
        <w:t> </w:t>
      </w:r>
      <w:r w:rsidRPr="003E6D9D">
        <w:rPr>
          <w:lang w:val="en-GB"/>
        </w:rPr>
        <w:t>81</w:t>
      </w:r>
      <w:r w:rsidRPr="003E6D9D">
        <w:rPr>
          <w:lang w:val="en-GB"/>
        </w:rPr>
        <w:tab/>
        <w:t xml:space="preserve">States Parties shall take necessary measures to </w:t>
      </w:r>
      <w:r w:rsidR="00A84C57" w:rsidRPr="003E6D9D">
        <w:rPr>
          <w:lang w:val="en-GB"/>
        </w:rPr>
        <w:t xml:space="preserve">raise the awareness of </w:t>
      </w:r>
      <w:r w:rsidRPr="003E6D9D">
        <w:rPr>
          <w:lang w:val="en-GB"/>
        </w:rPr>
        <w:t>communities, groups and, where applicable, individuals to the importance and value of their intangible cultural heritage, as well as of the Convention, so that the bearers of this heritage may fully benefit from this standard-setting instrument.</w:t>
      </w:r>
    </w:p>
    <w:p w14:paraId="3230E4F7" w14:textId="77777777" w:rsidR="003A6DFD" w:rsidRPr="003E6D9D" w:rsidRDefault="003A6DFD" w:rsidP="004936EF">
      <w:pPr>
        <w:pStyle w:val="DO"/>
        <w:rPr>
          <w:lang w:val="en-GB"/>
        </w:rPr>
      </w:pPr>
      <w:r w:rsidRPr="003E6D9D">
        <w:rPr>
          <w:lang w:val="en-GB"/>
        </w:rPr>
        <w:t>OD</w:t>
      </w:r>
      <w:r w:rsidR="00DE0C60" w:rsidRPr="003E6D9D">
        <w:rPr>
          <w:lang w:val="en-GB"/>
        </w:rPr>
        <w:t> </w:t>
      </w:r>
      <w:r w:rsidRPr="003E6D9D">
        <w:rPr>
          <w:lang w:val="en-GB"/>
        </w:rPr>
        <w:t>101(d)</w:t>
      </w:r>
      <w:r w:rsidRPr="003E6D9D">
        <w:rPr>
          <w:lang w:val="en-GB"/>
        </w:rPr>
        <w:tab/>
      </w:r>
      <w:r w:rsidRPr="003E6D9D">
        <w:rPr>
          <w:color w:val="000000"/>
          <w:lang w:val="en-GB"/>
        </w:rPr>
        <w:t>The communities, groups and, where appropriate, individuals concerned shall benefit from the actions taken to raise awareness about their intangible cultural heritage.</w:t>
      </w:r>
    </w:p>
    <w:p w14:paraId="18CCACC7" w14:textId="77777777" w:rsidR="003A6DFD" w:rsidRPr="003E6D9D" w:rsidRDefault="003A6DFD" w:rsidP="004936EF">
      <w:pPr>
        <w:pStyle w:val="DO"/>
        <w:rPr>
          <w:lang w:val="en-GB"/>
        </w:rPr>
      </w:pPr>
      <w:r w:rsidRPr="003E6D9D">
        <w:rPr>
          <w:lang w:val="en-GB"/>
        </w:rPr>
        <w:t>OD</w:t>
      </w:r>
      <w:r w:rsidR="00D46495" w:rsidRPr="003E6D9D">
        <w:rPr>
          <w:lang w:val="en-GB"/>
        </w:rPr>
        <w:t> </w:t>
      </w:r>
      <w:r w:rsidRPr="003E6D9D">
        <w:rPr>
          <w:lang w:val="en-GB"/>
        </w:rPr>
        <w:t>116</w:t>
      </w:r>
      <w:r w:rsidRPr="003E6D9D">
        <w:rPr>
          <w:lang w:val="en-GB"/>
        </w:rPr>
        <w:tab/>
      </w:r>
      <w:r w:rsidRPr="003E6D9D">
        <w:rPr>
          <w:color w:val="000000"/>
          <w:lang w:val="en-GB"/>
        </w:rPr>
        <w:t>Commercial activities that can emerge from certain forms of intangible cultural heritage and trade in cultural goods and services related to intangible cultural heritage … should not, however, threaten the viability of the intangible cultural heritage, and all appropriate measures should be taken to ensure that the communities concerned are their primary beneficiaries. …</w:t>
      </w:r>
    </w:p>
    <w:p w14:paraId="3E7114C9" w14:textId="77777777" w:rsidR="00D22D50" w:rsidRPr="003E6D9D" w:rsidRDefault="00D22D50" w:rsidP="00D22D50">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b/>
          <w:bCs/>
          <w:snapToGrid/>
          <w:color w:val="3366FF"/>
          <w:sz w:val="24"/>
          <w:lang w:val="en-GB" w:eastAsia="en-US"/>
        </w:rPr>
      </w:pPr>
      <w:r w:rsidRPr="003E6D9D">
        <w:rPr>
          <w:rFonts w:asciiTheme="minorBidi" w:hAnsiTheme="minorBidi" w:cstheme="minorBidi"/>
          <w:b/>
          <w:bCs/>
          <w:snapToGrid/>
          <w:color w:val="3366FF"/>
          <w:sz w:val="24"/>
          <w:lang w:val="en-GB" w:eastAsia="en-US"/>
        </w:rPr>
        <w:t>Exercise (optional): Role play on community participation in safeguarding</w:t>
      </w:r>
    </w:p>
    <w:p w14:paraId="13372A94" w14:textId="77777777" w:rsidR="00D22D50" w:rsidRPr="003E6D9D" w:rsidRDefault="00D22D50" w:rsidP="00D22D50">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en-GB" w:eastAsia="en-US"/>
        </w:rPr>
      </w:pPr>
      <w:r w:rsidRPr="003E6D9D">
        <w:rPr>
          <w:rFonts w:asciiTheme="minorBidi" w:hAnsiTheme="minorBidi" w:cstheme="minorBidi"/>
          <w:b/>
          <w:bCs/>
          <w:snapToGrid/>
          <w:sz w:val="24"/>
          <w:lang w:val="en-GB" w:eastAsia="en-US"/>
        </w:rPr>
        <w:t>1 hour 30 mins</w:t>
      </w:r>
    </w:p>
    <w:p w14:paraId="46693526"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3E6D9D">
        <w:rPr>
          <w:snapToGrid/>
          <w:sz w:val="20"/>
          <w:lang w:val="en-GB"/>
        </w:rPr>
        <w:t>Role plays can be useful in workshops like this one, but require careful preparation by the facilitator if they are to be successful. They should be tailored to the context and experience of participants, and they should also be carefully designed to achieve specific outcomes linked to the subject matter of the workshop. Role plays can deepen participants’ understanding of the variety of positions and debates in the field, and of how to maximize beneficial outcomes from interactions (both positive and negative) between different stakeholders in the implementation of the Convention.</w:t>
      </w:r>
    </w:p>
    <w:p w14:paraId="4D28D449"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3E6D9D">
        <w:rPr>
          <w:snapToGrid/>
          <w:sz w:val="20"/>
          <w:lang w:val="en-GB"/>
        </w:rPr>
        <w:t>The following role play exercise is merely a suggestion that can be adapted by the facilitator. The suggested roles of stakeholders may change depending on the ICH element selected for discussion, the background of participants and their interests.</w:t>
      </w:r>
    </w:p>
    <w:p w14:paraId="3264DA6C"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b/>
          <w:bCs/>
          <w:i/>
          <w:iCs/>
          <w:snapToGrid/>
          <w:sz w:val="20"/>
          <w:lang w:val="en-GB"/>
        </w:rPr>
      </w:pPr>
      <w:r w:rsidRPr="003E6D9D">
        <w:rPr>
          <w:b/>
          <w:bCs/>
          <w:i/>
          <w:iCs/>
          <w:snapToGrid/>
          <w:sz w:val="20"/>
          <w:lang w:val="en-GB"/>
        </w:rPr>
        <w:t>Suggested exercise</w:t>
      </w:r>
    </w:p>
    <w:p w14:paraId="621C3C45"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3E6D9D">
        <w:rPr>
          <w:snapToGrid/>
          <w:sz w:val="20"/>
          <w:lang w:val="en-GB"/>
        </w:rPr>
        <w:t>This role play simulates a meeting aimed at assessing community willingness to support the idea of safeguarding an element of their ICH with outside assistance.</w:t>
      </w:r>
    </w:p>
    <w:p w14:paraId="70411781"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3E6D9D">
        <w:rPr>
          <w:snapToGrid/>
          <w:sz w:val="20"/>
          <w:lang w:val="en-GB"/>
        </w:rPr>
        <w:t>The role play may help participants to gain a deeper understanding of factors affecting community attitudes towards safeguarding their ICH and their interactions with other stakeholders. It may also help participants to think about the attitude and motivations of other stakeholders in the safeguarding process.</w:t>
      </w:r>
    </w:p>
    <w:p w14:paraId="0C2F940C"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z w:val="20"/>
          <w:szCs w:val="20"/>
          <w:lang w:val="en-GB"/>
        </w:rPr>
      </w:pPr>
      <w:r w:rsidRPr="003E6D9D">
        <w:rPr>
          <w:snapToGrid/>
          <w:sz w:val="20"/>
          <w:lang w:val="en-GB"/>
        </w:rPr>
        <w:t xml:space="preserve">Before the role play begins, the facilitator should brief participants on the nature and viability of the element chosen for the discussion and assign roles to all participants. They are then given time to prepare (about 30 mins) through discussion in two groups </w:t>
      </w:r>
      <w:r w:rsidRPr="003E6D9D">
        <w:rPr>
          <w:lang w:val="en-GB"/>
        </w:rPr>
        <w:t xml:space="preserve">– </w:t>
      </w:r>
      <w:r w:rsidRPr="003E6D9D">
        <w:rPr>
          <w:sz w:val="20"/>
          <w:szCs w:val="20"/>
          <w:lang w:val="en-GB"/>
        </w:rPr>
        <w:t>one for community members and one for other stakeholders.</w:t>
      </w:r>
    </w:p>
    <w:p w14:paraId="184F3E4B"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z w:val="20"/>
          <w:szCs w:val="20"/>
          <w:lang w:val="en-GB"/>
        </w:rPr>
      </w:pPr>
      <w:r w:rsidRPr="003E6D9D">
        <w:rPr>
          <w:sz w:val="20"/>
          <w:szCs w:val="20"/>
          <w:lang w:val="en-GB"/>
        </w:rPr>
        <w:t>A meeting is convened by the provincial administration to discuss the following agenda:</w:t>
      </w:r>
    </w:p>
    <w:p w14:paraId="331583FC" w14:textId="77777777"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lastRenderedPageBreak/>
        <w:t>Are community members represented in the meeting considering the safeguarding of the ICH element to be necessary and desirable?</w:t>
      </w:r>
    </w:p>
    <w:p w14:paraId="5B7531FD" w14:textId="77777777"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t>What would be the best way to collect and reflect on opinions of other community members on this issue and how to develop safeguarding measures for the element?</w:t>
      </w:r>
    </w:p>
    <w:p w14:paraId="3A0B8FC7" w14:textId="77777777"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t>Should the community support the government in its efforts to seek financial assistance from the ICH Fund to support the implementation of the safeguarding measures?</w:t>
      </w:r>
    </w:p>
    <w:p w14:paraId="6897891A"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z w:val="20"/>
          <w:szCs w:val="20"/>
          <w:lang w:val="en-GB"/>
        </w:rPr>
      </w:pPr>
      <w:r w:rsidRPr="003E6D9D">
        <w:rPr>
          <w:sz w:val="20"/>
          <w:szCs w:val="20"/>
          <w:lang w:val="en-GB"/>
        </w:rPr>
        <w:t>It may be assumed that the meeting is a follow up to an awareness-raising programme in which community members have been informed about the Convention and the implications of safeguarding under it. The meeting is chaired by the facilitator, who plays the role of the director of the provincial administration, responsible for culture and heritage. After the role play, participants (guided by the facilitator) could be asked to evaluate the meeting and discuss what they have learned from the exercise.</w:t>
      </w:r>
    </w:p>
    <w:p w14:paraId="1873930C"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b/>
          <w:bCs/>
          <w:i/>
          <w:iCs/>
          <w:snapToGrid/>
          <w:sz w:val="20"/>
          <w:lang w:val="en-GB"/>
        </w:rPr>
      </w:pPr>
      <w:r w:rsidRPr="003E6D9D">
        <w:rPr>
          <w:b/>
          <w:bCs/>
          <w:i/>
          <w:iCs/>
          <w:snapToGrid/>
          <w:sz w:val="20"/>
          <w:lang w:val="en-GB"/>
        </w:rPr>
        <w:t>The element</w:t>
      </w:r>
    </w:p>
    <w:p w14:paraId="24DCFCB7"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z w:val="20"/>
          <w:szCs w:val="20"/>
          <w:lang w:val="en-GB"/>
        </w:rPr>
      </w:pPr>
      <w:r w:rsidRPr="003E6D9D">
        <w:rPr>
          <w:sz w:val="20"/>
          <w:szCs w:val="20"/>
          <w:lang w:val="en-GB"/>
        </w:rPr>
        <w:t>The ICH element could be chosen to fit the experience of participants, or it could, for example, be a celebratory festivity involving dancing and singing that has been practised at the end of the harvest period in the rural community for many generations, but is now threatened by several factors: the mechanization of agriculture, lack of space and time, or the migration of young people to towns. Such an element might be included in a provincial heritage inventory. Safeguarding the element might include: awareness-raising; teaching the dances and songs to the children of the villages concerned through voluntary after-school classes; promoting the element in  tourist information; paying the musicians; and encouraging young people to return to the rural areas at the end of the harvest to participate in the festivity.</w:t>
      </w:r>
    </w:p>
    <w:p w14:paraId="4CD7CBA7"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b/>
          <w:bCs/>
          <w:i/>
          <w:iCs/>
          <w:sz w:val="20"/>
          <w:szCs w:val="20"/>
          <w:lang w:val="en-GB"/>
        </w:rPr>
      </w:pPr>
      <w:r w:rsidRPr="003E6D9D">
        <w:rPr>
          <w:b/>
          <w:bCs/>
          <w:i/>
          <w:iCs/>
          <w:sz w:val="20"/>
          <w:szCs w:val="20"/>
          <w:lang w:val="en-GB"/>
        </w:rPr>
        <w:t>Roles for participants</w:t>
      </w:r>
    </w:p>
    <w:p w14:paraId="0DAC90F9"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z w:val="20"/>
          <w:szCs w:val="20"/>
          <w:lang w:val="en-GB"/>
        </w:rPr>
      </w:pPr>
      <w:r w:rsidRPr="003E6D9D">
        <w:rPr>
          <w:sz w:val="20"/>
          <w:szCs w:val="20"/>
          <w:lang w:val="en-GB"/>
        </w:rPr>
        <w:t>Different roles may be chosen depending on the element selected: the roles given here are simply suggestions. Some participants should be asked to act as community representatives while the other participants could be given roles as other stakeholders.</w:t>
      </w:r>
    </w:p>
    <w:p w14:paraId="304268FD"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z w:val="20"/>
          <w:szCs w:val="20"/>
          <w:lang w:val="en-GB"/>
        </w:rPr>
      </w:pPr>
      <w:r w:rsidRPr="003E6D9D">
        <w:rPr>
          <w:sz w:val="20"/>
          <w:szCs w:val="20"/>
          <w:lang w:val="en-GB"/>
        </w:rPr>
        <w:t>Community members could include the following roles:</w:t>
      </w:r>
    </w:p>
    <w:p w14:paraId="7EC28527" w14:textId="77777777"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t>An older practitioner who has lost interest in enacting the element;</w:t>
      </w:r>
    </w:p>
    <w:p w14:paraId="077B21CE" w14:textId="77777777"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t>A younger practitioner who has been involved in a documentation project with a research;</w:t>
      </w:r>
    </w:p>
    <w:p w14:paraId="19CCA066" w14:textId="77777777"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t>A community member who is unhappy about the slow delivery of services to the community by government;</w:t>
      </w:r>
    </w:p>
    <w:p w14:paraId="5A32243F" w14:textId="01819FA4"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t>A schoolteacher, working in the community school, who feels that th</w:t>
      </w:r>
      <w:r w:rsidR="00A430D5">
        <w:rPr>
          <w:snapToGrid/>
          <w:sz w:val="20"/>
          <w:lang w:val="en-GB"/>
        </w:rPr>
        <w:t>e practice of ICH</w:t>
      </w:r>
      <w:r w:rsidRPr="003E6D9D">
        <w:rPr>
          <w:snapToGrid/>
          <w:sz w:val="20"/>
          <w:lang w:val="en-GB"/>
        </w:rPr>
        <w:t xml:space="preserve"> traditions will not help the children advance in the world;</w:t>
      </w:r>
    </w:p>
    <w:p w14:paraId="50A571C2" w14:textId="77777777"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t>A representative of a local cultural organization who is eager to have the element revitalized;</w:t>
      </w:r>
    </w:p>
    <w:p w14:paraId="7609F664" w14:textId="77777777"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t>A young person interested in preserving his/her culture but concerned about prospects for future employment; and</w:t>
      </w:r>
    </w:p>
    <w:p w14:paraId="773E4F23" w14:textId="77777777"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t>The local hotel owner, keen on attracting more tourists and running for mayor.</w:t>
      </w:r>
    </w:p>
    <w:p w14:paraId="2C6EF8D0"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z w:val="20"/>
          <w:szCs w:val="20"/>
          <w:lang w:val="en-GB"/>
        </w:rPr>
      </w:pPr>
      <w:r w:rsidRPr="003E6D9D">
        <w:rPr>
          <w:sz w:val="20"/>
          <w:szCs w:val="20"/>
          <w:lang w:val="en-GB"/>
        </w:rPr>
        <w:t>Other stakeholders represented at the meeting could include the following roles:</w:t>
      </w:r>
    </w:p>
    <w:p w14:paraId="384C0A38" w14:textId="77777777"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t>An employee of an NGO promoting sustainable development in rural areas through cultural events;</w:t>
      </w:r>
    </w:p>
    <w:p w14:paraId="5830EB32" w14:textId="77777777"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t>A representative of an NGO promoting arts teaching in rural areas who would like the element adapted to be more marketable to tourists;</w:t>
      </w:r>
    </w:p>
    <w:p w14:paraId="67BBC9BC" w14:textId="77777777"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t xml:space="preserve">An official from the National Ministry of Culture who is interested in maximizing community </w:t>
      </w:r>
      <w:r w:rsidRPr="003E6D9D">
        <w:rPr>
          <w:snapToGrid/>
          <w:sz w:val="20"/>
          <w:lang w:val="en-GB"/>
        </w:rPr>
        <w:lastRenderedPageBreak/>
        <w:t>participation in safeguarding the element; and</w:t>
      </w:r>
    </w:p>
    <w:p w14:paraId="2A3712B5" w14:textId="77777777"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t>A research from the capital who is interested in inventorying and research the element.</w:t>
      </w:r>
    </w:p>
    <w:p w14:paraId="1DD56254"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z w:val="20"/>
          <w:szCs w:val="20"/>
          <w:lang w:val="en-GB"/>
        </w:rPr>
      </w:pPr>
      <w:r w:rsidRPr="003E6D9D">
        <w:rPr>
          <w:sz w:val="20"/>
          <w:szCs w:val="20"/>
          <w:lang w:val="en-GB"/>
        </w:rPr>
        <w:t>More roles could be invented, depending on the number of participants. Each participant should develop a few reasons for supporting or opposing the idea of safeguarding the element, some opinions on how best to gauge broader community opinion, and an attitude towards assistance from government, researchers or NGOs.</w:t>
      </w:r>
    </w:p>
    <w:p w14:paraId="5620530E" w14:textId="1F3F4596" w:rsidR="00D22D50" w:rsidRPr="003E6D9D" w:rsidRDefault="00D22D50" w:rsidP="00D22D50">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before="360" w:line="300" w:lineRule="exact"/>
        <w:ind w:left="113" w:right="113"/>
        <w:jc w:val="left"/>
        <w:outlineLvl w:val="3"/>
        <w:rPr>
          <w:rFonts w:asciiTheme="minorBidi" w:hAnsiTheme="minorBidi" w:cstheme="minorBidi"/>
          <w:b/>
          <w:bCs/>
          <w:snapToGrid/>
          <w:color w:val="3366FF"/>
          <w:sz w:val="24"/>
          <w:lang w:val="en-GB" w:eastAsia="en-US"/>
        </w:rPr>
      </w:pPr>
      <w:r w:rsidRPr="003E6D9D">
        <w:rPr>
          <w:color w:val="000000"/>
          <w:lang w:val="en-GB"/>
        </w:rPr>
        <w:br w:type="page"/>
      </w:r>
      <w:r w:rsidRPr="003E6D9D">
        <w:rPr>
          <w:rFonts w:asciiTheme="minorBidi" w:hAnsiTheme="minorBidi" w:cstheme="minorBidi"/>
          <w:b/>
          <w:bCs/>
          <w:snapToGrid/>
          <w:color w:val="3366FF"/>
          <w:sz w:val="24"/>
          <w:lang w:val="en-GB" w:eastAsia="en-US"/>
        </w:rPr>
        <w:lastRenderedPageBreak/>
        <w:t>Exercise (optional): Plan an advocacy strategy to promote or prevent the nomination of an element to one of the Convention’s Lists</w:t>
      </w:r>
    </w:p>
    <w:p w14:paraId="311F1548" w14:textId="77777777" w:rsidR="00D22D50" w:rsidRPr="003E6D9D" w:rsidRDefault="00D22D50" w:rsidP="00D22D50">
      <w:pPr>
        <w:keepNext/>
        <w:keepLines/>
        <w:pBdr>
          <w:top w:val="single" w:sz="12" w:space="6" w:color="auto" w:shadow="1"/>
          <w:left w:val="single" w:sz="12" w:space="4" w:color="auto" w:shadow="1"/>
          <w:bottom w:val="single" w:sz="12" w:space="6" w:color="auto" w:shadow="1"/>
          <w:right w:val="single" w:sz="12" w:space="4" w:color="auto" w:shadow="1"/>
        </w:pBdr>
        <w:tabs>
          <w:tab w:val="clear" w:pos="567"/>
        </w:tabs>
        <w:snapToGrid/>
        <w:spacing w:line="300" w:lineRule="exact"/>
        <w:ind w:left="113" w:right="113"/>
        <w:jc w:val="left"/>
        <w:outlineLvl w:val="3"/>
        <w:rPr>
          <w:rFonts w:asciiTheme="minorBidi" w:hAnsiTheme="minorBidi" w:cstheme="minorBidi"/>
          <w:b/>
          <w:bCs/>
          <w:snapToGrid/>
          <w:sz w:val="24"/>
          <w:lang w:val="en-GB" w:eastAsia="en-US"/>
        </w:rPr>
      </w:pPr>
      <w:r w:rsidRPr="003E6D9D">
        <w:rPr>
          <w:rFonts w:asciiTheme="minorBidi" w:hAnsiTheme="minorBidi" w:cstheme="minorBidi"/>
          <w:b/>
          <w:bCs/>
          <w:snapToGrid/>
          <w:sz w:val="24"/>
          <w:lang w:val="en-GB" w:eastAsia="en-US"/>
        </w:rPr>
        <w:t>1 hour 30 mins</w:t>
      </w:r>
    </w:p>
    <w:p w14:paraId="108032CA"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3E6D9D">
        <w:rPr>
          <w:snapToGrid/>
          <w:sz w:val="20"/>
          <w:lang w:val="en-GB"/>
        </w:rPr>
        <w:t>Community members may decide that they wish to support or oppose a process, suggested by the Ministry of Education and Culture, for nominating an element of their ICH to the Convention’s Lists. The setting for this exercise is a meeting in a provincial government institution, chaired by a provincial governor, to decide whether or not to nominate the element. The facilitator should provide the participants with information about the ICH element at stake (preferably one well known to the participants or one already discussed during the workshop).</w:t>
      </w:r>
    </w:p>
    <w:p w14:paraId="21293BBD"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3E6D9D">
        <w:rPr>
          <w:snapToGrid/>
          <w:sz w:val="20"/>
          <w:lang w:val="en-GB"/>
        </w:rPr>
        <w:t>Participants may be given the following roles (others may be invented as needed):</w:t>
      </w:r>
    </w:p>
    <w:p w14:paraId="45E578A8" w14:textId="77777777"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t xml:space="preserve">representatives of a community that has decided that it does (or does not) wish a specific element of its ICH to be nominated to one of the Lists of the Convention; </w:t>
      </w:r>
    </w:p>
    <w:p w14:paraId="0F52AB50" w14:textId="77777777"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t>representatives from NGOs, research institutes and official agencies who are keen to see the nomination process proceed (though some of them may express reservations); and</w:t>
      </w:r>
    </w:p>
    <w:p w14:paraId="7182CD36" w14:textId="77777777" w:rsidR="00D22D50" w:rsidRPr="003E6D9D" w:rsidRDefault="00D22D50" w:rsidP="00D22D50">
      <w:pPr>
        <w:widowControl w:val="0"/>
        <w:numPr>
          <w:ilvl w:val="0"/>
          <w:numId w:val="101"/>
        </w:numPr>
        <w:pBdr>
          <w:top w:val="single" w:sz="12" w:space="6" w:color="auto" w:shadow="1"/>
          <w:left w:val="single" w:sz="12" w:space="4" w:color="auto" w:shadow="1"/>
          <w:bottom w:val="single" w:sz="12" w:space="6" w:color="auto" w:shadow="1"/>
          <w:right w:val="single" w:sz="12" w:space="4" w:color="auto" w:shadow="1"/>
        </w:pBdr>
        <w:spacing w:before="0" w:after="60" w:line="280" w:lineRule="exact"/>
        <w:ind w:left="470" w:right="113" w:hanging="357"/>
        <w:rPr>
          <w:snapToGrid/>
          <w:sz w:val="20"/>
          <w:lang w:val="en-GB"/>
        </w:rPr>
      </w:pPr>
      <w:r w:rsidRPr="003E6D9D">
        <w:rPr>
          <w:snapToGrid/>
          <w:sz w:val="20"/>
          <w:lang w:val="en-GB"/>
        </w:rPr>
        <w:t>a representative of the provincial government, who chairs the meeting and tries to be neutral, but is in favour as the nomination is advocated by the Heritage Department of the Ministry of Education and Culture.</w:t>
      </w:r>
    </w:p>
    <w:p w14:paraId="420796D0"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3E6D9D">
        <w:rPr>
          <w:snapToGrid/>
          <w:sz w:val="20"/>
          <w:lang w:val="en-GB"/>
        </w:rPr>
        <w:t>Those who play the roles of community representatives should plan a short speech explaining why they feel it would be better to submit (or not submit) a nomination file. If the proposal is opposed, for example, they could refer to community concerns about increased tourism disturbing rituals or damaging sacred sites where ICH practices are performed, concerns about controlling access to secret or sacred knowledge, or any other objections they want to raise. One of the participants may take a contrary view.</w:t>
      </w:r>
    </w:p>
    <w:p w14:paraId="38318FB1"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3E6D9D">
        <w:rPr>
          <w:snapToGrid/>
          <w:sz w:val="20"/>
          <w:lang w:val="en-GB"/>
        </w:rPr>
        <w:t>Those who take the roles of representatives of NGOs, institutes or agencies should prepare short speeches explaining why they think the nomination should proceed (or express reservations). While taking community concerns into account, they try to convince community members to agree with them.</w:t>
      </w:r>
    </w:p>
    <w:p w14:paraId="606242E1"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3E6D9D">
        <w:rPr>
          <w:snapToGrid/>
          <w:sz w:val="20"/>
          <w:lang w:val="en-GB"/>
        </w:rPr>
        <w:t>Once the speeches have been prepared (30 minutes preparation time), the actual meeting takes place: the chair will give the floor first to the community representatives and then to the representatives of NGOs, institutes or agencies (roughly 20 minutes for each of the two groups). A final discussion and a conclusion by the chair end the meeting (20 minutes maximum).</w:t>
      </w:r>
    </w:p>
    <w:p w14:paraId="34AC99D1" w14:textId="77777777" w:rsidR="00D22D50" w:rsidRPr="003E6D9D" w:rsidRDefault="00D22D50" w:rsidP="00D22D50">
      <w:pPr>
        <w:widowControl w:val="0"/>
        <w:pBdr>
          <w:top w:val="single" w:sz="12" w:space="6" w:color="auto" w:shadow="1"/>
          <w:left w:val="single" w:sz="12" w:space="4" w:color="auto" w:shadow="1"/>
          <w:bottom w:val="single" w:sz="12" w:space="6" w:color="auto" w:shadow="1"/>
          <w:right w:val="single" w:sz="12" w:space="4" w:color="auto" w:shadow="1"/>
        </w:pBdr>
        <w:tabs>
          <w:tab w:val="clear" w:pos="567"/>
          <w:tab w:val="left" w:pos="110"/>
        </w:tabs>
        <w:spacing w:before="0" w:after="60" w:line="280" w:lineRule="exact"/>
        <w:ind w:left="113" w:right="113"/>
        <w:rPr>
          <w:snapToGrid/>
          <w:sz w:val="20"/>
          <w:lang w:val="en-GB"/>
        </w:rPr>
      </w:pPr>
      <w:r w:rsidRPr="003E6D9D">
        <w:rPr>
          <w:snapToGrid/>
          <w:sz w:val="20"/>
          <w:lang w:val="en-GB"/>
        </w:rPr>
        <w:t>After the role play, participants (guided by the facilitator) could be asked to evaluate the meeting and discuss what they have learned from the exercise.</w:t>
      </w:r>
    </w:p>
    <w:p w14:paraId="43020B3A" w14:textId="233812DD" w:rsidR="00CB573C" w:rsidRPr="003E6D9D" w:rsidRDefault="00CB573C" w:rsidP="00D22D50">
      <w:pPr>
        <w:pStyle w:val="diapo2"/>
        <w:rPr>
          <w:lang w:val="en-GB"/>
        </w:rPr>
      </w:pPr>
    </w:p>
    <w:sectPr w:rsidR="00CB573C" w:rsidRPr="003E6D9D" w:rsidSect="009B3A94">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oddPage"/>
      <w:pgSz w:w="11900" w:h="16820" w:code="9"/>
      <w:pgMar w:top="1701" w:right="1531" w:bottom="1701" w:left="153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3F9FE" w14:textId="77777777" w:rsidR="00AF6176" w:rsidRDefault="00AF6176" w:rsidP="000A699C">
      <w:pPr>
        <w:spacing w:before="0" w:after="0"/>
      </w:pPr>
      <w:r>
        <w:separator/>
      </w:r>
    </w:p>
  </w:endnote>
  <w:endnote w:type="continuationSeparator" w:id="0">
    <w:p w14:paraId="6078A817" w14:textId="77777777" w:rsidR="00AF6176" w:rsidRDefault="00AF6176"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E91A" w14:textId="493968AF" w:rsidR="00AC7C60" w:rsidRDefault="000808AF" w:rsidP="004936EF">
    <w:pPr>
      <w:pStyle w:val="Footer"/>
    </w:pPr>
    <w:r>
      <w:rPr>
        <w:noProof/>
        <w:lang w:val="fr-FR" w:eastAsia="zh-TW"/>
      </w:rPr>
      <w:drawing>
        <wp:anchor distT="0" distB="0" distL="114300" distR="114300" simplePos="0" relativeHeight="251798528" behindDoc="0" locked="0" layoutInCell="1" allowOverlap="1" wp14:anchorId="3A71E647" wp14:editId="70A5369D">
          <wp:simplePos x="0" y="0"/>
          <wp:positionH relativeFrom="column">
            <wp:posOffset>2533650</wp:posOffset>
          </wp:positionH>
          <wp:positionV relativeFrom="paragraph">
            <wp:posOffset>8890</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C7C60" w:rsidRPr="002A3923">
      <w:rPr>
        <w:noProof/>
        <w:lang w:val="fr-FR" w:eastAsia="zh-TW"/>
      </w:rPr>
      <w:drawing>
        <wp:anchor distT="0" distB="0" distL="114300" distR="114300" simplePos="0" relativeHeight="251759616" behindDoc="0" locked="1" layoutInCell="1" allowOverlap="0" wp14:anchorId="49E65C08" wp14:editId="5E57A05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AC7C60">
      <w:tab/>
    </w:r>
    <w:r w:rsidR="00CE292F">
      <w:tab/>
      <w:t>U007-v1.2</w:t>
    </w:r>
    <w:r w:rsidR="00AC7C60">
      <w:t>-FN-EN</w:t>
    </w:r>
    <w:r w:rsidR="00AC7C60" w:rsidDel="00F22FFD">
      <w:rPr>
        <w:rStyle w:val="PageNumber"/>
      </w:rPr>
      <w:t xml:space="preserve"> </w:t>
    </w:r>
  </w:p>
  <w:p w14:paraId="4CB374B1" w14:textId="77777777" w:rsidR="00AC7C60" w:rsidRDefault="00AC7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184FD" w14:textId="6A15898C" w:rsidR="00AC7C60" w:rsidRPr="007D60D5" w:rsidRDefault="000808AF">
    <w:pPr>
      <w:pStyle w:val="Footer"/>
    </w:pPr>
    <w:r>
      <w:rPr>
        <w:noProof/>
        <w:lang w:val="fr-FR" w:eastAsia="zh-TW"/>
      </w:rPr>
      <w:drawing>
        <wp:anchor distT="0" distB="0" distL="114300" distR="114300" simplePos="0" relativeHeight="251800576" behindDoc="0" locked="0" layoutInCell="1" allowOverlap="1" wp14:anchorId="574A9D38" wp14:editId="687250A7">
          <wp:simplePos x="0" y="0"/>
          <wp:positionH relativeFrom="column">
            <wp:posOffset>2533650</wp:posOffset>
          </wp:positionH>
          <wp:positionV relativeFrom="paragraph">
            <wp:posOffset>4445</wp:posOffset>
          </wp:positionV>
          <wp:extent cx="542925" cy="190500"/>
          <wp:effectExtent l="0" t="0" r="9525"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E292F">
      <w:t>U007-v1.2</w:t>
    </w:r>
    <w:r w:rsidR="00AC7C60">
      <w:t>-FN-EN</w:t>
    </w:r>
    <w:r w:rsidR="00AC7C60">
      <w:tab/>
    </w:r>
    <w:r w:rsidR="00AC7C60">
      <w:tab/>
    </w:r>
    <w:r w:rsidR="00AC7C60" w:rsidRPr="005B7AFC">
      <w:rPr>
        <w:noProof/>
        <w:lang w:val="fr-FR" w:eastAsia="zh-TW"/>
      </w:rPr>
      <w:drawing>
        <wp:anchor distT="0" distB="0" distL="114300" distR="114300" simplePos="0" relativeHeight="251773952" behindDoc="0" locked="1" layoutInCell="1" allowOverlap="0" wp14:anchorId="43BBA7B1" wp14:editId="111D15A2">
          <wp:simplePos x="0" y="0"/>
          <wp:positionH relativeFrom="margin">
            <wp:align>right</wp:align>
          </wp:positionH>
          <wp:positionV relativeFrom="margin">
            <wp:posOffset>8641080</wp:posOffset>
          </wp:positionV>
          <wp:extent cx="942975" cy="538480"/>
          <wp:effectExtent l="0" t="0" r="9525"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D0B04" w14:textId="287B739D" w:rsidR="00AC7C60" w:rsidRDefault="000808AF">
    <w:pPr>
      <w:pStyle w:val="Footer"/>
    </w:pPr>
    <w:r>
      <w:rPr>
        <w:noProof/>
        <w:lang w:val="fr-FR" w:eastAsia="zh-TW"/>
      </w:rPr>
      <w:drawing>
        <wp:anchor distT="0" distB="0" distL="114300" distR="114300" simplePos="0" relativeHeight="251796480" behindDoc="0" locked="0" layoutInCell="1" allowOverlap="1" wp14:anchorId="230F112C" wp14:editId="7CE78F32">
          <wp:simplePos x="0" y="0"/>
          <wp:positionH relativeFrom="column">
            <wp:posOffset>2533650</wp:posOffset>
          </wp:positionH>
          <wp:positionV relativeFrom="paragraph">
            <wp:posOffset>4445</wp:posOffset>
          </wp:positionV>
          <wp:extent cx="542925" cy="190500"/>
          <wp:effectExtent l="0" t="0" r="952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CE292F">
      <w:t>U007-v1.</w:t>
    </w:r>
    <w:r w:rsidR="00CE292F">
      <w:rPr>
        <w:lang w:val="en-US"/>
      </w:rPr>
      <w:t>2</w:t>
    </w:r>
    <w:r w:rsidR="00AC7C60">
      <w:t>-FN-EN</w:t>
    </w:r>
    <w:r w:rsidR="00AC7C60">
      <w:tab/>
    </w:r>
    <w:r w:rsidR="00AC7C60">
      <w:tab/>
    </w:r>
    <w:r w:rsidR="00AC7C60" w:rsidRPr="00473E47">
      <w:rPr>
        <w:noProof/>
        <w:szCs w:val="20"/>
        <w:lang w:val="fr-FR" w:eastAsia="zh-TW"/>
      </w:rPr>
      <w:drawing>
        <wp:anchor distT="0" distB="0" distL="114300" distR="114300" simplePos="0" relativeHeight="251788288" behindDoc="0" locked="1" layoutInCell="1" allowOverlap="0" wp14:anchorId="23D3A3A5" wp14:editId="0939C8D6">
          <wp:simplePos x="0" y="0"/>
          <wp:positionH relativeFrom="margin">
            <wp:posOffset>4681855</wp:posOffset>
          </wp:positionH>
          <wp:positionV relativeFrom="margin">
            <wp:posOffset>8641080</wp:posOffset>
          </wp:positionV>
          <wp:extent cx="942975" cy="538480"/>
          <wp:effectExtent l="0" t="0" r="0"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29334" w14:textId="77777777" w:rsidR="00AF6176" w:rsidRDefault="00AF6176" w:rsidP="000A699C">
      <w:pPr>
        <w:spacing w:before="0" w:after="0"/>
      </w:pPr>
      <w:r>
        <w:separator/>
      </w:r>
    </w:p>
  </w:footnote>
  <w:footnote w:type="continuationSeparator" w:id="0">
    <w:p w14:paraId="74F07952" w14:textId="77777777" w:rsidR="00AF6176" w:rsidRDefault="00AF6176" w:rsidP="000A699C">
      <w:pPr>
        <w:spacing w:before="0" w:after="0"/>
      </w:pPr>
      <w:r>
        <w:continuationSeparator/>
      </w:r>
    </w:p>
  </w:footnote>
  <w:footnote w:id="1">
    <w:p w14:paraId="08DA6FB2" w14:textId="77777777" w:rsidR="00AC7C60" w:rsidRPr="00213C68" w:rsidRDefault="00AC7C60" w:rsidP="00213C68">
      <w:pPr>
        <w:pStyle w:val="FootnoteText"/>
      </w:pPr>
      <w:r w:rsidRPr="000B69A8">
        <w:rPr>
          <w:rStyle w:val="FootnoteReference"/>
          <w:vertAlign w:val="baseline"/>
        </w:rPr>
        <w:footnoteRef/>
      </w:r>
      <w:r w:rsidRPr="00AE5F9A">
        <w:t>.</w:t>
      </w:r>
      <w:r w:rsidRPr="00213C68">
        <w:tab/>
        <w:t>Frequently referred to as the ‘Intangible Heritage Convention’, the ‘2003 Convention’ and, for the purpose of this unit, simply the ‘Convention’.</w:t>
      </w:r>
    </w:p>
  </w:footnote>
  <w:footnote w:id="2">
    <w:p w14:paraId="57D24C3C" w14:textId="77777777" w:rsidR="00AC7C60" w:rsidRPr="00A84C57" w:rsidRDefault="00AC7C60">
      <w:pPr>
        <w:pStyle w:val="FootnoteText"/>
      </w:pPr>
      <w:r w:rsidRPr="00A84C57">
        <w:rPr>
          <w:rStyle w:val="FootnoteReference"/>
          <w:vertAlign w:val="baseline"/>
        </w:rPr>
        <w:footnoteRef/>
      </w:r>
      <w:r w:rsidRPr="00A84C57">
        <w:t>.</w:t>
      </w:r>
      <w:r w:rsidRPr="00A84C57">
        <w:tab/>
        <w:t xml:space="preserve">Noyes, ‘The Judgment of Solomon’, </w:t>
      </w:r>
      <w:r>
        <w:t xml:space="preserve">op.cit., </w:t>
      </w:r>
      <w:r w:rsidRPr="00A84C57">
        <w:t>pp. 27–56.</w:t>
      </w:r>
    </w:p>
  </w:footnote>
  <w:footnote w:id="3">
    <w:p w14:paraId="39C37463" w14:textId="77777777" w:rsidR="00AC7C60" w:rsidRPr="00A84C57" w:rsidRDefault="00AC7C60">
      <w:pPr>
        <w:pStyle w:val="FootnoteText"/>
      </w:pPr>
      <w:r w:rsidRPr="00A84C57">
        <w:rPr>
          <w:rStyle w:val="FootnoteReference"/>
          <w:vertAlign w:val="baseline"/>
        </w:rPr>
        <w:footnoteRef/>
      </w:r>
      <w:r w:rsidRPr="00A84C57">
        <w:t>.</w:t>
      </w:r>
      <w:r w:rsidRPr="00A84C57">
        <w:tab/>
        <w:t>Noyes, ‘Necessity and Freedom’</w:t>
      </w:r>
      <w:r>
        <w:t xml:space="preserve">, op. cit., </w:t>
      </w:r>
    </w:p>
  </w:footnote>
  <w:footnote w:id="4">
    <w:p w14:paraId="1A54C499" w14:textId="77777777" w:rsidR="00AC7C60" w:rsidRPr="004936EF" w:rsidRDefault="00AC7C60">
      <w:pPr>
        <w:pStyle w:val="FootnoteText"/>
      </w:pPr>
      <w:r w:rsidRPr="00A84C57">
        <w:rPr>
          <w:rStyle w:val="FootnoteReference"/>
          <w:vertAlign w:val="baseline"/>
        </w:rPr>
        <w:footnoteRef/>
      </w:r>
      <w:r w:rsidRPr="00A84C57">
        <w:t>.</w:t>
      </w:r>
      <w:r w:rsidRPr="00A84C57">
        <w:tab/>
        <w:t>Noyes, ‘The Judgment of Solomon’, op. cit., pp. 27–56.</w:t>
      </w:r>
    </w:p>
  </w:footnote>
  <w:footnote w:id="5">
    <w:p w14:paraId="4106D1C3" w14:textId="77777777" w:rsidR="00AC7C60" w:rsidRPr="00AE5F9A" w:rsidRDefault="00AC7C60">
      <w:pPr>
        <w:pStyle w:val="FootnoteText"/>
      </w:pPr>
      <w:r w:rsidRPr="00AE5F9A">
        <w:rPr>
          <w:rStyle w:val="FootnoteReference"/>
          <w:vertAlign w:val="baseline"/>
        </w:rPr>
        <w:footnoteRef/>
      </w:r>
      <w:r w:rsidRPr="00AE5F9A">
        <w:t>.</w:t>
      </w:r>
      <w:r w:rsidRPr="00AE5F9A">
        <w:tab/>
        <w:t>G. Dutfield, ‘Prior Informed Consent and Traditional Knowledge in a Multicultural World’, in T. Kono (ed.), 2009, Intangible Cultural Heritage and Intellectual Property. Communities, Cultural Diversity and Sustainable Development, Antwerp-Oxford-Portland, Intersentia, pp. 261–82.</w:t>
      </w:r>
    </w:p>
  </w:footnote>
  <w:footnote w:id="6">
    <w:p w14:paraId="3DA9F7D0" w14:textId="77777777" w:rsidR="00AC7C60" w:rsidRPr="00AE5F9A" w:rsidRDefault="00AC7C60">
      <w:pPr>
        <w:pStyle w:val="FootnoteText"/>
      </w:pPr>
      <w:r w:rsidRPr="00AE5F9A">
        <w:rPr>
          <w:rStyle w:val="FootnoteReference"/>
          <w:vertAlign w:val="baseline"/>
        </w:rPr>
        <w:footnoteRef/>
      </w:r>
      <w:r w:rsidRPr="00AE5F9A">
        <w:t>.</w:t>
      </w:r>
      <w:r w:rsidRPr="00AE5F9A">
        <w:tab/>
        <w:t>From WIPO introduction to intellectual property. See: http://www.wipo.int/export/sites/www/about-ip/en/iprm/pdf/ch1.pdf</w:t>
      </w:r>
    </w:p>
  </w:footnote>
  <w:footnote w:id="7">
    <w:p w14:paraId="3C94B576" w14:textId="77777777" w:rsidR="00AC7C60" w:rsidRPr="004936EF" w:rsidRDefault="00AC7C60">
      <w:pPr>
        <w:pStyle w:val="FootnoteText"/>
      </w:pPr>
      <w:r w:rsidRPr="00AE5F9A">
        <w:rPr>
          <w:rStyle w:val="FootnoteReference"/>
          <w:vertAlign w:val="baseline"/>
        </w:rPr>
        <w:footnoteRef/>
      </w:r>
      <w:r w:rsidRPr="00AE5F9A">
        <w:t>.</w:t>
      </w:r>
      <w:r w:rsidRPr="00AE5F9A">
        <w:tab/>
        <w:t>S. Vermeylen, 2008, ‘From Life Force to Slimming Aid: Exploring Views on the Commodification of Traditional Medicinal Knowledge’, Applied Geography, Vol. 28, No. 3, pp. 224–35.</w:t>
      </w:r>
      <w:r w:rsidRPr="00AE5F9A">
        <w:tab/>
      </w:r>
      <w:r w:rsidRPr="00AE5F9A">
        <w:br/>
        <w:t>http://eprints.lancs.ac.uk/28093/1/commodification_of_traditional_knowledge.pdf</w:t>
      </w:r>
    </w:p>
  </w:footnote>
  <w:footnote w:id="8">
    <w:p w14:paraId="300253F9" w14:textId="77777777" w:rsidR="00AC7C60" w:rsidRPr="00AE5F9A" w:rsidRDefault="00AC7C60">
      <w:pPr>
        <w:pStyle w:val="FootnoteText"/>
      </w:pPr>
      <w:r w:rsidRPr="00AE5F9A">
        <w:rPr>
          <w:rStyle w:val="FootnoteReference"/>
          <w:vertAlign w:val="baseline"/>
        </w:rPr>
        <w:footnoteRef/>
      </w:r>
      <w:r w:rsidRPr="00AE5F9A">
        <w:t>.</w:t>
      </w:r>
      <w:r w:rsidRPr="00AE5F9A">
        <w:tab/>
        <w:t xml:space="preserve">See </w:t>
      </w:r>
      <w:hyperlink r:id="rId1" w:history="1">
        <w:r w:rsidRPr="00AE5F9A">
          <w:rPr>
            <w:rStyle w:val="Hyperlink"/>
            <w:color w:val="auto"/>
            <w:u w:val="none"/>
          </w:rPr>
          <w:t>http://www.cbd.int/abs/information-kit/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FA1E6" w14:textId="796A7EFA" w:rsidR="00AC7C60" w:rsidRDefault="00AC7C60">
    <w:pPr>
      <w:pStyle w:val="Header"/>
    </w:pPr>
    <w:r>
      <w:rPr>
        <w:rStyle w:val="PageNumber"/>
      </w:rPr>
      <w:fldChar w:fldCharType="begin"/>
    </w:r>
    <w:r>
      <w:rPr>
        <w:rStyle w:val="PageNumber"/>
      </w:rPr>
      <w:instrText xml:space="preserve"> PAGE </w:instrText>
    </w:r>
    <w:r>
      <w:rPr>
        <w:rStyle w:val="PageNumber"/>
      </w:rPr>
      <w:fldChar w:fldCharType="separate"/>
    </w:r>
    <w:r w:rsidR="001D4B46">
      <w:rPr>
        <w:rStyle w:val="PageNumber"/>
        <w:noProof/>
      </w:rPr>
      <w:t>2</w:t>
    </w:r>
    <w:r>
      <w:rPr>
        <w:rStyle w:val="PageNumber"/>
      </w:rPr>
      <w:fldChar w:fldCharType="end"/>
    </w:r>
    <w:r>
      <w:rPr>
        <w:rStyle w:val="PageNumber"/>
      </w:rPr>
      <w:tab/>
    </w:r>
    <w:r>
      <w:t>Unit 7: Involving the communities concerned</w:t>
    </w:r>
    <w: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FC937" w14:textId="325556ED" w:rsidR="00AC7C60" w:rsidRPr="004A4AD6" w:rsidRDefault="00AC7C60" w:rsidP="00D25BBB">
    <w:pPr>
      <w:pStyle w:val="Header"/>
    </w:pPr>
    <w:r>
      <w:t>Facilitator’s notes</w:t>
    </w:r>
    <w:r>
      <w:tab/>
      <w:t>Unit 7: Involving the communities concerned</w:t>
    </w:r>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1D4B46">
      <w:rPr>
        <w:rStyle w:val="PageNumber"/>
        <w:noProof/>
      </w:rPr>
      <w:t>17</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36B83" w14:textId="77777777" w:rsidR="00AC7C60" w:rsidRDefault="00AC7C60" w:rsidP="009A3933">
    <w:pPr>
      <w:pStyle w:val="Header"/>
      <w:ind w:right="360"/>
    </w:pPr>
    <w:r>
      <w:tab/>
      <w:t>Facilitator’s notes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19B646D"/>
    <w:multiLevelType w:val="hybridMultilevel"/>
    <w:tmpl w:val="FD902F14"/>
    <w:lvl w:ilvl="0" w:tplc="89087168">
      <w:start w:val="1"/>
      <w:numFmt w:val="decimal"/>
      <w:lvlText w:val="%1)"/>
      <w:lvlJc w:val="left"/>
      <w:pPr>
        <w:tabs>
          <w:tab w:val="num" w:pos="360"/>
        </w:tabs>
        <w:ind w:left="360" w:hanging="360"/>
      </w:pPr>
      <w:rPr>
        <w:rFonts w:ascii="Times New Roman" w:eastAsia="Times New Roman" w:hAnsi="Times New Roman" w:cs="Times New Roman"/>
      </w:rPr>
    </w:lvl>
    <w:lvl w:ilvl="1" w:tplc="04130019" w:tentative="1">
      <w:start w:val="1"/>
      <w:numFmt w:val="lowerLetter"/>
      <w:lvlText w:val="%2."/>
      <w:lvlJc w:val="left"/>
      <w:pPr>
        <w:tabs>
          <w:tab w:val="num" w:pos="-1678"/>
        </w:tabs>
        <w:ind w:left="-1678" w:hanging="360"/>
      </w:pPr>
    </w:lvl>
    <w:lvl w:ilvl="2" w:tplc="0413001B" w:tentative="1">
      <w:start w:val="1"/>
      <w:numFmt w:val="lowerRoman"/>
      <w:lvlText w:val="%3."/>
      <w:lvlJc w:val="right"/>
      <w:pPr>
        <w:tabs>
          <w:tab w:val="num" w:pos="-958"/>
        </w:tabs>
        <w:ind w:left="-958" w:hanging="180"/>
      </w:pPr>
    </w:lvl>
    <w:lvl w:ilvl="3" w:tplc="0413000F" w:tentative="1">
      <w:start w:val="1"/>
      <w:numFmt w:val="decimal"/>
      <w:lvlText w:val="%4."/>
      <w:lvlJc w:val="left"/>
      <w:pPr>
        <w:tabs>
          <w:tab w:val="num" w:pos="-238"/>
        </w:tabs>
        <w:ind w:left="-238" w:hanging="360"/>
      </w:pPr>
    </w:lvl>
    <w:lvl w:ilvl="4" w:tplc="04130019" w:tentative="1">
      <w:start w:val="1"/>
      <w:numFmt w:val="lowerLetter"/>
      <w:lvlText w:val="%5."/>
      <w:lvlJc w:val="left"/>
      <w:pPr>
        <w:tabs>
          <w:tab w:val="num" w:pos="482"/>
        </w:tabs>
        <w:ind w:left="482" w:hanging="360"/>
      </w:pPr>
    </w:lvl>
    <w:lvl w:ilvl="5" w:tplc="0413001B" w:tentative="1">
      <w:start w:val="1"/>
      <w:numFmt w:val="lowerRoman"/>
      <w:lvlText w:val="%6."/>
      <w:lvlJc w:val="right"/>
      <w:pPr>
        <w:tabs>
          <w:tab w:val="num" w:pos="1202"/>
        </w:tabs>
        <w:ind w:left="1202" w:hanging="180"/>
      </w:pPr>
    </w:lvl>
    <w:lvl w:ilvl="6" w:tplc="0413000F" w:tentative="1">
      <w:start w:val="1"/>
      <w:numFmt w:val="decimal"/>
      <w:lvlText w:val="%7."/>
      <w:lvlJc w:val="left"/>
      <w:pPr>
        <w:tabs>
          <w:tab w:val="num" w:pos="1922"/>
        </w:tabs>
        <w:ind w:left="1922" w:hanging="360"/>
      </w:pPr>
    </w:lvl>
    <w:lvl w:ilvl="7" w:tplc="04130019" w:tentative="1">
      <w:start w:val="1"/>
      <w:numFmt w:val="lowerLetter"/>
      <w:lvlText w:val="%8."/>
      <w:lvlJc w:val="left"/>
      <w:pPr>
        <w:tabs>
          <w:tab w:val="num" w:pos="2642"/>
        </w:tabs>
        <w:ind w:left="2642" w:hanging="360"/>
      </w:pPr>
    </w:lvl>
    <w:lvl w:ilvl="8" w:tplc="0413001B" w:tentative="1">
      <w:start w:val="1"/>
      <w:numFmt w:val="lowerRoman"/>
      <w:lvlText w:val="%9."/>
      <w:lvlJc w:val="right"/>
      <w:pPr>
        <w:tabs>
          <w:tab w:val="num" w:pos="3362"/>
        </w:tabs>
        <w:ind w:left="3362" w:hanging="180"/>
      </w:pPr>
    </w:lvl>
  </w:abstractNum>
  <w:abstractNum w:abstractNumId="24"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3DD68E9"/>
    <w:multiLevelType w:val="hybridMultilevel"/>
    <w:tmpl w:val="E49CCEAE"/>
    <w:lvl w:ilvl="0" w:tplc="040A0001">
      <w:start w:val="1"/>
      <w:numFmt w:val="bullet"/>
      <w:lvlText w:val=""/>
      <w:lvlJc w:val="left"/>
      <w:pPr>
        <w:ind w:left="1571" w:hanging="360"/>
      </w:pPr>
      <w:rPr>
        <w:rFonts w:ascii="Symbol" w:hAnsi="Symbol" w:hint="default"/>
      </w:rPr>
    </w:lvl>
    <w:lvl w:ilvl="1" w:tplc="040A0003" w:tentative="1">
      <w:start w:val="1"/>
      <w:numFmt w:val="bullet"/>
      <w:lvlText w:val="o"/>
      <w:lvlJc w:val="left"/>
      <w:pPr>
        <w:ind w:left="2291" w:hanging="360"/>
      </w:pPr>
      <w:rPr>
        <w:rFonts w:ascii="Courier New" w:hAnsi="Courier New" w:cs="Courier New" w:hint="default"/>
      </w:rPr>
    </w:lvl>
    <w:lvl w:ilvl="2" w:tplc="040A0005" w:tentative="1">
      <w:start w:val="1"/>
      <w:numFmt w:val="bullet"/>
      <w:lvlText w:val=""/>
      <w:lvlJc w:val="left"/>
      <w:pPr>
        <w:ind w:left="3011" w:hanging="360"/>
      </w:pPr>
      <w:rPr>
        <w:rFonts w:ascii="Wingdings" w:hAnsi="Wingdings" w:hint="default"/>
      </w:rPr>
    </w:lvl>
    <w:lvl w:ilvl="3" w:tplc="040A0001" w:tentative="1">
      <w:start w:val="1"/>
      <w:numFmt w:val="bullet"/>
      <w:lvlText w:val=""/>
      <w:lvlJc w:val="left"/>
      <w:pPr>
        <w:ind w:left="3731" w:hanging="360"/>
      </w:pPr>
      <w:rPr>
        <w:rFonts w:ascii="Symbol" w:hAnsi="Symbol" w:hint="default"/>
      </w:rPr>
    </w:lvl>
    <w:lvl w:ilvl="4" w:tplc="040A0003" w:tentative="1">
      <w:start w:val="1"/>
      <w:numFmt w:val="bullet"/>
      <w:lvlText w:val="o"/>
      <w:lvlJc w:val="left"/>
      <w:pPr>
        <w:ind w:left="4451" w:hanging="360"/>
      </w:pPr>
      <w:rPr>
        <w:rFonts w:ascii="Courier New" w:hAnsi="Courier New" w:cs="Courier New" w:hint="default"/>
      </w:rPr>
    </w:lvl>
    <w:lvl w:ilvl="5" w:tplc="040A0005" w:tentative="1">
      <w:start w:val="1"/>
      <w:numFmt w:val="bullet"/>
      <w:lvlText w:val=""/>
      <w:lvlJc w:val="left"/>
      <w:pPr>
        <w:ind w:left="5171" w:hanging="360"/>
      </w:pPr>
      <w:rPr>
        <w:rFonts w:ascii="Wingdings" w:hAnsi="Wingdings" w:hint="default"/>
      </w:rPr>
    </w:lvl>
    <w:lvl w:ilvl="6" w:tplc="040A0001" w:tentative="1">
      <w:start w:val="1"/>
      <w:numFmt w:val="bullet"/>
      <w:lvlText w:val=""/>
      <w:lvlJc w:val="left"/>
      <w:pPr>
        <w:ind w:left="5891" w:hanging="360"/>
      </w:pPr>
      <w:rPr>
        <w:rFonts w:ascii="Symbol" w:hAnsi="Symbol" w:hint="default"/>
      </w:rPr>
    </w:lvl>
    <w:lvl w:ilvl="7" w:tplc="040A0003" w:tentative="1">
      <w:start w:val="1"/>
      <w:numFmt w:val="bullet"/>
      <w:lvlText w:val="o"/>
      <w:lvlJc w:val="left"/>
      <w:pPr>
        <w:ind w:left="6611" w:hanging="360"/>
      </w:pPr>
      <w:rPr>
        <w:rFonts w:ascii="Courier New" w:hAnsi="Courier New" w:cs="Courier New" w:hint="default"/>
      </w:rPr>
    </w:lvl>
    <w:lvl w:ilvl="8" w:tplc="040A0005" w:tentative="1">
      <w:start w:val="1"/>
      <w:numFmt w:val="bullet"/>
      <w:lvlText w:val=""/>
      <w:lvlJc w:val="left"/>
      <w:pPr>
        <w:ind w:left="7331" w:hanging="360"/>
      </w:pPr>
      <w:rPr>
        <w:rFonts w:ascii="Wingdings" w:hAnsi="Wingdings" w:hint="default"/>
      </w:rPr>
    </w:lvl>
  </w:abstractNum>
  <w:abstractNum w:abstractNumId="38" w15:restartNumberingAfterBreak="0">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9"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40"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3"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4"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0"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3"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4"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5"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7"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60"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5577FF0"/>
    <w:multiLevelType w:val="hybridMultilevel"/>
    <w:tmpl w:val="D26890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3"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5"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3"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5"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6"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0"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2"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3"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4"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9"/>
  </w:num>
  <w:num w:numId="3">
    <w:abstractNumId w:val="22"/>
  </w:num>
  <w:num w:numId="4">
    <w:abstractNumId w:val="83"/>
  </w:num>
  <w:num w:numId="5">
    <w:abstractNumId w:val="11"/>
  </w:num>
  <w:num w:numId="6">
    <w:abstractNumId w:val="60"/>
  </w:num>
  <w:num w:numId="7">
    <w:abstractNumId w:val="59"/>
  </w:num>
  <w:num w:numId="8">
    <w:abstractNumId w:val="9"/>
  </w:num>
  <w:num w:numId="9">
    <w:abstractNumId w:val="29"/>
  </w:num>
  <w:num w:numId="10">
    <w:abstractNumId w:val="8"/>
  </w:num>
  <w:num w:numId="11">
    <w:abstractNumId w:val="13"/>
  </w:num>
  <w:num w:numId="12">
    <w:abstractNumId w:val="70"/>
  </w:num>
  <w:num w:numId="13">
    <w:abstractNumId w:val="80"/>
  </w:num>
  <w:num w:numId="14">
    <w:abstractNumId w:val="31"/>
  </w:num>
  <w:num w:numId="15">
    <w:abstractNumId w:val="73"/>
  </w:num>
  <w:num w:numId="16">
    <w:abstractNumId w:val="17"/>
  </w:num>
  <w:num w:numId="17">
    <w:abstractNumId w:val="46"/>
  </w:num>
  <w:num w:numId="18">
    <w:abstractNumId w:val="41"/>
  </w:num>
  <w:num w:numId="19">
    <w:abstractNumId w:val="71"/>
  </w:num>
  <w:num w:numId="20">
    <w:abstractNumId w:val="52"/>
  </w:num>
  <w:num w:numId="21">
    <w:abstractNumId w:val="10"/>
  </w:num>
  <w:num w:numId="22">
    <w:abstractNumId w:val="5"/>
  </w:num>
  <w:num w:numId="23">
    <w:abstractNumId w:val="65"/>
  </w:num>
  <w:num w:numId="24">
    <w:abstractNumId w:val="43"/>
  </w:num>
  <w:num w:numId="25">
    <w:abstractNumId w:val="50"/>
  </w:num>
  <w:num w:numId="26">
    <w:abstractNumId w:val="21"/>
  </w:num>
  <w:num w:numId="27">
    <w:abstractNumId w:val="25"/>
  </w:num>
  <w:num w:numId="28">
    <w:abstractNumId w:val="42"/>
  </w:num>
  <w:num w:numId="29">
    <w:abstractNumId w:val="44"/>
  </w:num>
  <w:num w:numId="30">
    <w:abstractNumId w:val="56"/>
  </w:num>
  <w:num w:numId="31">
    <w:abstractNumId w:val="72"/>
  </w:num>
  <w:num w:numId="32">
    <w:abstractNumId w:val="75"/>
  </w:num>
  <w:num w:numId="33">
    <w:abstractNumId w:val="19"/>
  </w:num>
  <w:num w:numId="34">
    <w:abstractNumId w:val="0"/>
  </w:num>
  <w:num w:numId="35">
    <w:abstractNumId w:val="79"/>
  </w:num>
  <w:num w:numId="36">
    <w:abstractNumId w:val="28"/>
  </w:num>
  <w:num w:numId="37">
    <w:abstractNumId w:val="68"/>
  </w:num>
  <w:num w:numId="38">
    <w:abstractNumId w:val="79"/>
  </w:num>
  <w:num w:numId="39">
    <w:abstractNumId w:val="2"/>
  </w:num>
  <w:num w:numId="40">
    <w:abstractNumId w:val="63"/>
  </w:num>
  <w:num w:numId="41">
    <w:abstractNumId w:val="28"/>
    <w:lvlOverride w:ilvl="0">
      <w:startOverride w:val="1"/>
    </w:lvlOverride>
  </w:num>
  <w:num w:numId="42">
    <w:abstractNumId w:val="14"/>
  </w:num>
  <w:num w:numId="43">
    <w:abstractNumId w:val="45"/>
  </w:num>
  <w:num w:numId="44">
    <w:abstractNumId w:val="78"/>
  </w:num>
  <w:num w:numId="45">
    <w:abstractNumId w:val="32"/>
  </w:num>
  <w:num w:numId="46">
    <w:abstractNumId w:val="67"/>
  </w:num>
  <w:num w:numId="47">
    <w:abstractNumId w:val="32"/>
    <w:lvlOverride w:ilvl="0">
      <w:startOverride w:val="1"/>
    </w:lvlOverride>
  </w:num>
  <w:num w:numId="48">
    <w:abstractNumId w:val="44"/>
  </w:num>
  <w:num w:numId="49">
    <w:abstractNumId w:val="76"/>
  </w:num>
  <w:num w:numId="50">
    <w:abstractNumId w:val="32"/>
    <w:lvlOverride w:ilvl="0">
      <w:startOverride w:val="1"/>
    </w:lvlOverride>
  </w:num>
  <w:num w:numId="51">
    <w:abstractNumId w:val="26"/>
  </w:num>
  <w:num w:numId="52">
    <w:abstractNumId w:val="32"/>
    <w:lvlOverride w:ilvl="0">
      <w:startOverride w:val="1"/>
    </w:lvlOverride>
  </w:num>
  <w:num w:numId="53">
    <w:abstractNumId w:val="79"/>
  </w:num>
  <w:num w:numId="54">
    <w:abstractNumId w:val="79"/>
  </w:num>
  <w:num w:numId="55">
    <w:abstractNumId w:val="79"/>
  </w:num>
  <w:num w:numId="56">
    <w:abstractNumId w:val="79"/>
  </w:num>
  <w:num w:numId="57">
    <w:abstractNumId w:val="79"/>
  </w:num>
  <w:num w:numId="58">
    <w:abstractNumId w:val="84"/>
  </w:num>
  <w:num w:numId="59">
    <w:abstractNumId w:val="47"/>
  </w:num>
  <w:num w:numId="60">
    <w:abstractNumId w:val="4"/>
  </w:num>
  <w:num w:numId="61">
    <w:abstractNumId w:val="47"/>
    <w:lvlOverride w:ilvl="0">
      <w:startOverride w:val="1"/>
    </w:lvlOverride>
  </w:num>
  <w:num w:numId="62">
    <w:abstractNumId w:val="47"/>
  </w:num>
  <w:num w:numId="63">
    <w:abstractNumId w:val="47"/>
  </w:num>
  <w:num w:numId="64">
    <w:abstractNumId w:val="47"/>
  </w:num>
  <w:num w:numId="65">
    <w:abstractNumId w:val="47"/>
  </w:num>
  <w:num w:numId="66">
    <w:abstractNumId w:val="47"/>
  </w:num>
  <w:num w:numId="67">
    <w:abstractNumId w:val="47"/>
  </w:num>
  <w:num w:numId="68">
    <w:abstractNumId w:val="48"/>
  </w:num>
  <w:num w:numId="69">
    <w:abstractNumId w:val="47"/>
    <w:lvlOverride w:ilvl="0">
      <w:startOverride w:val="1"/>
    </w:lvlOverride>
  </w:num>
  <w:num w:numId="70">
    <w:abstractNumId w:val="47"/>
  </w:num>
  <w:num w:numId="71">
    <w:abstractNumId w:val="47"/>
  </w:num>
  <w:num w:numId="72">
    <w:abstractNumId w:val="47"/>
  </w:num>
  <w:num w:numId="73">
    <w:abstractNumId w:val="47"/>
  </w:num>
  <w:num w:numId="74">
    <w:abstractNumId w:val="47"/>
  </w:num>
  <w:num w:numId="75">
    <w:abstractNumId w:val="47"/>
  </w:num>
  <w:num w:numId="76">
    <w:abstractNumId w:val="47"/>
  </w:num>
  <w:num w:numId="77">
    <w:abstractNumId w:val="47"/>
  </w:num>
  <w:num w:numId="78">
    <w:abstractNumId w:val="30"/>
  </w:num>
  <w:num w:numId="79">
    <w:abstractNumId w:val="18"/>
  </w:num>
  <w:num w:numId="80">
    <w:abstractNumId w:val="47"/>
    <w:lvlOverride w:ilvl="0">
      <w:startOverride w:val="1"/>
    </w:lvlOverride>
  </w:num>
  <w:num w:numId="81">
    <w:abstractNumId w:val="61"/>
  </w:num>
  <w:num w:numId="82">
    <w:abstractNumId w:val="34"/>
  </w:num>
  <w:num w:numId="83">
    <w:abstractNumId w:val="40"/>
  </w:num>
  <w:num w:numId="84">
    <w:abstractNumId w:val="16"/>
  </w:num>
  <w:num w:numId="85">
    <w:abstractNumId w:val="47"/>
    <w:lvlOverride w:ilvl="0">
      <w:startOverride w:val="1"/>
    </w:lvlOverride>
  </w:num>
  <w:num w:numId="86">
    <w:abstractNumId w:val="3"/>
  </w:num>
  <w:num w:numId="87">
    <w:abstractNumId w:val="12"/>
  </w:num>
  <w:num w:numId="88">
    <w:abstractNumId w:val="47"/>
    <w:lvlOverride w:ilvl="0">
      <w:startOverride w:val="1"/>
    </w:lvlOverride>
  </w:num>
  <w:num w:numId="89">
    <w:abstractNumId w:val="33"/>
  </w:num>
  <w:num w:numId="90">
    <w:abstractNumId w:val="47"/>
    <w:lvlOverride w:ilvl="0">
      <w:startOverride w:val="1"/>
    </w:lvlOverride>
  </w:num>
  <w:num w:numId="91">
    <w:abstractNumId w:val="6"/>
  </w:num>
  <w:num w:numId="92">
    <w:abstractNumId w:val="51"/>
  </w:num>
  <w:num w:numId="93">
    <w:abstractNumId w:val="58"/>
  </w:num>
  <w:num w:numId="94">
    <w:abstractNumId w:val="55"/>
  </w:num>
  <w:num w:numId="95">
    <w:abstractNumId w:val="47"/>
    <w:lvlOverride w:ilvl="0">
      <w:startOverride w:val="2"/>
    </w:lvlOverride>
  </w:num>
  <w:num w:numId="96">
    <w:abstractNumId w:val="53"/>
  </w:num>
  <w:num w:numId="97">
    <w:abstractNumId w:val="69"/>
  </w:num>
  <w:num w:numId="98">
    <w:abstractNumId w:val="66"/>
  </w:num>
  <w:num w:numId="99">
    <w:abstractNumId w:val="36"/>
  </w:num>
  <w:num w:numId="100">
    <w:abstractNumId w:val="35"/>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7"/>
  </w:num>
  <w:num w:numId="109">
    <w:abstractNumId w:val="35"/>
    <w:lvlOverride w:ilvl="0">
      <w:startOverride w:val="1"/>
    </w:lvlOverride>
  </w:num>
  <w:num w:numId="110">
    <w:abstractNumId w:val="35"/>
  </w:num>
  <w:num w:numId="111">
    <w:abstractNumId w:val="35"/>
  </w:num>
  <w:num w:numId="112">
    <w:abstractNumId w:val="77"/>
  </w:num>
  <w:num w:numId="113">
    <w:abstractNumId w:val="82"/>
  </w:num>
  <w:num w:numId="114">
    <w:abstractNumId w:val="74"/>
  </w:num>
  <w:num w:numId="115">
    <w:abstractNumId w:val="35"/>
    <w:lvlOverride w:ilvl="0">
      <w:startOverride w:val="1"/>
    </w:lvlOverride>
  </w:num>
  <w:num w:numId="116">
    <w:abstractNumId w:val="54"/>
  </w:num>
  <w:num w:numId="117">
    <w:abstractNumId w:val="35"/>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9"/>
  </w:num>
  <w:num w:numId="124">
    <w:abstractNumId w:val="35"/>
    <w:lvlOverride w:ilvl="0">
      <w:startOverride w:val="1"/>
    </w:lvlOverride>
  </w:num>
  <w:num w:numId="125">
    <w:abstractNumId w:val="7"/>
  </w:num>
  <w:num w:numId="126">
    <w:abstractNumId w:val="7"/>
  </w:num>
  <w:num w:numId="127">
    <w:abstractNumId w:val="81"/>
  </w:num>
  <w:num w:numId="128">
    <w:abstractNumId w:val="35"/>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4"/>
  </w:num>
  <w:num w:numId="141">
    <w:abstractNumId w:val="35"/>
    <w:lvlOverride w:ilvl="0">
      <w:startOverride w:val="1"/>
    </w:lvlOverride>
  </w:num>
  <w:num w:numId="142">
    <w:abstractNumId w:val="66"/>
  </w:num>
  <w:num w:numId="143">
    <w:abstractNumId w:val="42"/>
  </w:num>
  <w:num w:numId="144">
    <w:abstractNumId w:val="24"/>
  </w:num>
  <w:num w:numId="145">
    <w:abstractNumId w:val="15"/>
  </w:num>
  <w:num w:numId="146">
    <w:abstractNumId w:val="35"/>
  </w:num>
  <w:num w:numId="147">
    <w:abstractNumId w:val="57"/>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62"/>
  </w:num>
  <w:num w:numId="160">
    <w:abstractNumId w:val="37"/>
  </w:num>
  <w:num w:numId="1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3"/>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mirrorMargins/>
  <w:defaultTabStop w:val="340"/>
  <w:hyphenationZone w:val="425"/>
  <w:evenAndOddHeaders/>
  <w:drawingGridHorizontalSpacing w:val="110"/>
  <w:displayHorizontalDrawingGridEvery w:val="2"/>
  <w:characterSpacingControl w:val="doNotCompress"/>
  <w:hdrShapeDefaults>
    <o:shapedefaults v:ext="edit" spidmax="2048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6385"/>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442"/>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0F0"/>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8AF"/>
    <w:rsid w:val="00080E67"/>
    <w:rsid w:val="00081371"/>
    <w:rsid w:val="00081A4A"/>
    <w:rsid w:val="00082491"/>
    <w:rsid w:val="0008267A"/>
    <w:rsid w:val="000837DB"/>
    <w:rsid w:val="0008391A"/>
    <w:rsid w:val="000842C9"/>
    <w:rsid w:val="00084F96"/>
    <w:rsid w:val="000851A4"/>
    <w:rsid w:val="000854C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5D3"/>
    <w:rsid w:val="000A36AA"/>
    <w:rsid w:val="000A3A99"/>
    <w:rsid w:val="000A3B80"/>
    <w:rsid w:val="000A3E74"/>
    <w:rsid w:val="000A46C0"/>
    <w:rsid w:val="000A5092"/>
    <w:rsid w:val="000A5341"/>
    <w:rsid w:val="000A5925"/>
    <w:rsid w:val="000A667F"/>
    <w:rsid w:val="000A699C"/>
    <w:rsid w:val="000A742E"/>
    <w:rsid w:val="000A7B1E"/>
    <w:rsid w:val="000B014C"/>
    <w:rsid w:val="000B0600"/>
    <w:rsid w:val="000B09A1"/>
    <w:rsid w:val="000B0EE0"/>
    <w:rsid w:val="000B0FBF"/>
    <w:rsid w:val="000B16E3"/>
    <w:rsid w:val="000B1972"/>
    <w:rsid w:val="000B1D92"/>
    <w:rsid w:val="000B1EB5"/>
    <w:rsid w:val="000B2604"/>
    <w:rsid w:val="000B2A31"/>
    <w:rsid w:val="000B31CB"/>
    <w:rsid w:val="000B33A8"/>
    <w:rsid w:val="000B33F4"/>
    <w:rsid w:val="000B36F3"/>
    <w:rsid w:val="000B3B78"/>
    <w:rsid w:val="000B4167"/>
    <w:rsid w:val="000B4C4D"/>
    <w:rsid w:val="000B50F4"/>
    <w:rsid w:val="000B570E"/>
    <w:rsid w:val="000B593F"/>
    <w:rsid w:val="000B5F73"/>
    <w:rsid w:val="000B6983"/>
    <w:rsid w:val="000B69A8"/>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378"/>
    <w:rsid w:val="000C7636"/>
    <w:rsid w:val="000C79A7"/>
    <w:rsid w:val="000C7A20"/>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4AD2"/>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5F20"/>
    <w:rsid w:val="001165B3"/>
    <w:rsid w:val="00116D0F"/>
    <w:rsid w:val="00116D14"/>
    <w:rsid w:val="00116F65"/>
    <w:rsid w:val="00117B05"/>
    <w:rsid w:val="00117ED6"/>
    <w:rsid w:val="00120085"/>
    <w:rsid w:val="001201C2"/>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153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07A"/>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049"/>
    <w:rsid w:val="00161726"/>
    <w:rsid w:val="00161876"/>
    <w:rsid w:val="00161C90"/>
    <w:rsid w:val="00161E8B"/>
    <w:rsid w:val="001621CB"/>
    <w:rsid w:val="00162205"/>
    <w:rsid w:val="0016251C"/>
    <w:rsid w:val="00162B5E"/>
    <w:rsid w:val="001631F9"/>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A76"/>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1FB3"/>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1DE9"/>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5C7D"/>
    <w:rsid w:val="001A629B"/>
    <w:rsid w:val="001A64B0"/>
    <w:rsid w:val="001A6667"/>
    <w:rsid w:val="001A6704"/>
    <w:rsid w:val="001A6B05"/>
    <w:rsid w:val="001A78B8"/>
    <w:rsid w:val="001A7916"/>
    <w:rsid w:val="001A7BF9"/>
    <w:rsid w:val="001A7EAF"/>
    <w:rsid w:val="001B02AB"/>
    <w:rsid w:val="001B02EE"/>
    <w:rsid w:val="001B03FB"/>
    <w:rsid w:val="001B05EA"/>
    <w:rsid w:val="001B0899"/>
    <w:rsid w:val="001B0A0D"/>
    <w:rsid w:val="001B1124"/>
    <w:rsid w:val="001B114C"/>
    <w:rsid w:val="001B1683"/>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46"/>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13"/>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2E4"/>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64F"/>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C68"/>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92"/>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5E6"/>
    <w:rsid w:val="00241A0D"/>
    <w:rsid w:val="00241B6B"/>
    <w:rsid w:val="0024261C"/>
    <w:rsid w:val="002431A6"/>
    <w:rsid w:val="002435A0"/>
    <w:rsid w:val="00243A55"/>
    <w:rsid w:val="00243C9B"/>
    <w:rsid w:val="0024448F"/>
    <w:rsid w:val="0024489F"/>
    <w:rsid w:val="002448C2"/>
    <w:rsid w:val="00245898"/>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02A"/>
    <w:rsid w:val="002522CD"/>
    <w:rsid w:val="00252375"/>
    <w:rsid w:val="00252589"/>
    <w:rsid w:val="00252DCD"/>
    <w:rsid w:val="00252FA5"/>
    <w:rsid w:val="00253955"/>
    <w:rsid w:val="0025406B"/>
    <w:rsid w:val="002542E9"/>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36A"/>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544"/>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B0F"/>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755"/>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AB9"/>
    <w:rsid w:val="002C5DD0"/>
    <w:rsid w:val="002C6336"/>
    <w:rsid w:val="002C657B"/>
    <w:rsid w:val="002C6608"/>
    <w:rsid w:val="002C6B34"/>
    <w:rsid w:val="002C6DBF"/>
    <w:rsid w:val="002C785B"/>
    <w:rsid w:val="002C7953"/>
    <w:rsid w:val="002C7A0A"/>
    <w:rsid w:val="002C7A44"/>
    <w:rsid w:val="002C7C68"/>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5F4"/>
    <w:rsid w:val="002D4B72"/>
    <w:rsid w:val="002D533C"/>
    <w:rsid w:val="002D5596"/>
    <w:rsid w:val="002D5615"/>
    <w:rsid w:val="002D6241"/>
    <w:rsid w:val="002D6D4A"/>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B97"/>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AAE"/>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750"/>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8BF"/>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05"/>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D93"/>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3C"/>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EF6"/>
    <w:rsid w:val="00380F01"/>
    <w:rsid w:val="00380F36"/>
    <w:rsid w:val="003811B9"/>
    <w:rsid w:val="0038213C"/>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304"/>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594C"/>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D9D"/>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94"/>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80"/>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2FF6"/>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35E"/>
    <w:rsid w:val="00477562"/>
    <w:rsid w:val="004808B0"/>
    <w:rsid w:val="004809B9"/>
    <w:rsid w:val="00480B84"/>
    <w:rsid w:val="00481097"/>
    <w:rsid w:val="00481435"/>
    <w:rsid w:val="004815B8"/>
    <w:rsid w:val="00481879"/>
    <w:rsid w:val="004818E4"/>
    <w:rsid w:val="004824C9"/>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59D2"/>
    <w:rsid w:val="00496A4E"/>
    <w:rsid w:val="00496AF5"/>
    <w:rsid w:val="00496D2B"/>
    <w:rsid w:val="004973DE"/>
    <w:rsid w:val="00497656"/>
    <w:rsid w:val="004978C1"/>
    <w:rsid w:val="00497FC9"/>
    <w:rsid w:val="004A00B5"/>
    <w:rsid w:val="004A0293"/>
    <w:rsid w:val="004A042B"/>
    <w:rsid w:val="004A06CB"/>
    <w:rsid w:val="004A08C1"/>
    <w:rsid w:val="004A099E"/>
    <w:rsid w:val="004A0BED"/>
    <w:rsid w:val="004A0EC8"/>
    <w:rsid w:val="004A1062"/>
    <w:rsid w:val="004A117B"/>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A7FD9"/>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912"/>
    <w:rsid w:val="004B5F07"/>
    <w:rsid w:val="004B6ACB"/>
    <w:rsid w:val="004B73B6"/>
    <w:rsid w:val="004B7998"/>
    <w:rsid w:val="004B799C"/>
    <w:rsid w:val="004C00A9"/>
    <w:rsid w:val="004C0416"/>
    <w:rsid w:val="004C093E"/>
    <w:rsid w:val="004C0B3A"/>
    <w:rsid w:val="004C0FAC"/>
    <w:rsid w:val="004C110A"/>
    <w:rsid w:val="004C1229"/>
    <w:rsid w:val="004C1E56"/>
    <w:rsid w:val="004C202A"/>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12A"/>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1D18"/>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16D"/>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C27"/>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23"/>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81A"/>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0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0EE9"/>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095"/>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549"/>
    <w:rsid w:val="005B46A5"/>
    <w:rsid w:val="005B4C7F"/>
    <w:rsid w:val="005B4E76"/>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ECD"/>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BDC"/>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049"/>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DC7"/>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5D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1"/>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1FDE"/>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6E96"/>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837"/>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48C2"/>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06"/>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B3A"/>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127"/>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37428"/>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76E"/>
    <w:rsid w:val="00747833"/>
    <w:rsid w:val="00747B57"/>
    <w:rsid w:val="00750211"/>
    <w:rsid w:val="00750378"/>
    <w:rsid w:val="00750458"/>
    <w:rsid w:val="00750DF3"/>
    <w:rsid w:val="0075101B"/>
    <w:rsid w:val="00752385"/>
    <w:rsid w:val="007524FA"/>
    <w:rsid w:val="00752973"/>
    <w:rsid w:val="00752FA9"/>
    <w:rsid w:val="0075308D"/>
    <w:rsid w:val="00753163"/>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A"/>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AE2"/>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ACE"/>
    <w:rsid w:val="007A0BBB"/>
    <w:rsid w:val="007A0EE9"/>
    <w:rsid w:val="007A143D"/>
    <w:rsid w:val="007A16A4"/>
    <w:rsid w:val="007A1891"/>
    <w:rsid w:val="007A1C66"/>
    <w:rsid w:val="007A1FA6"/>
    <w:rsid w:val="007A23DC"/>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8C"/>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85"/>
    <w:rsid w:val="007E6EFD"/>
    <w:rsid w:val="007E7451"/>
    <w:rsid w:val="007E7F29"/>
    <w:rsid w:val="007F02B2"/>
    <w:rsid w:val="007F045B"/>
    <w:rsid w:val="007F048E"/>
    <w:rsid w:val="007F05C7"/>
    <w:rsid w:val="007F0751"/>
    <w:rsid w:val="007F0EBD"/>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5F9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2AF"/>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485"/>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3F9"/>
    <w:rsid w:val="00886A15"/>
    <w:rsid w:val="00887C66"/>
    <w:rsid w:val="00887D11"/>
    <w:rsid w:val="0089005C"/>
    <w:rsid w:val="008906C1"/>
    <w:rsid w:val="00890A3D"/>
    <w:rsid w:val="00890D55"/>
    <w:rsid w:val="00890FAB"/>
    <w:rsid w:val="00891077"/>
    <w:rsid w:val="0089121C"/>
    <w:rsid w:val="008913F1"/>
    <w:rsid w:val="00891740"/>
    <w:rsid w:val="00891914"/>
    <w:rsid w:val="008928C5"/>
    <w:rsid w:val="00892F11"/>
    <w:rsid w:val="00892FD7"/>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77C"/>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0F0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574"/>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7D7"/>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1783C"/>
    <w:rsid w:val="0092046F"/>
    <w:rsid w:val="009204F2"/>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160"/>
    <w:rsid w:val="00927B4D"/>
    <w:rsid w:val="00927D15"/>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B3F"/>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89C"/>
    <w:rsid w:val="00945975"/>
    <w:rsid w:val="00946401"/>
    <w:rsid w:val="009465CD"/>
    <w:rsid w:val="00946994"/>
    <w:rsid w:val="009469E7"/>
    <w:rsid w:val="00947197"/>
    <w:rsid w:val="009473D5"/>
    <w:rsid w:val="00950A87"/>
    <w:rsid w:val="00950D53"/>
    <w:rsid w:val="00951445"/>
    <w:rsid w:val="0095156E"/>
    <w:rsid w:val="00951C33"/>
    <w:rsid w:val="00951E35"/>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332"/>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0FD9"/>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369"/>
    <w:rsid w:val="009908A4"/>
    <w:rsid w:val="009908C4"/>
    <w:rsid w:val="009909DD"/>
    <w:rsid w:val="00990BB7"/>
    <w:rsid w:val="00990DB6"/>
    <w:rsid w:val="0099109C"/>
    <w:rsid w:val="00991370"/>
    <w:rsid w:val="009915F4"/>
    <w:rsid w:val="00992205"/>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64F"/>
    <w:rsid w:val="009A3933"/>
    <w:rsid w:val="009A3A18"/>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995"/>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C41"/>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209"/>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4E17"/>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4A3"/>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154"/>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0A72"/>
    <w:rsid w:val="00A4134C"/>
    <w:rsid w:val="00A41862"/>
    <w:rsid w:val="00A4205F"/>
    <w:rsid w:val="00A4239C"/>
    <w:rsid w:val="00A42476"/>
    <w:rsid w:val="00A428CD"/>
    <w:rsid w:val="00A430D5"/>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6F7"/>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77CE1"/>
    <w:rsid w:val="00A809B5"/>
    <w:rsid w:val="00A80DB3"/>
    <w:rsid w:val="00A817F5"/>
    <w:rsid w:val="00A81B4A"/>
    <w:rsid w:val="00A81C95"/>
    <w:rsid w:val="00A81F63"/>
    <w:rsid w:val="00A825B8"/>
    <w:rsid w:val="00A82AE3"/>
    <w:rsid w:val="00A83833"/>
    <w:rsid w:val="00A84C57"/>
    <w:rsid w:val="00A84D28"/>
    <w:rsid w:val="00A85135"/>
    <w:rsid w:val="00A857F2"/>
    <w:rsid w:val="00A86E95"/>
    <w:rsid w:val="00A86F2C"/>
    <w:rsid w:val="00A86FB2"/>
    <w:rsid w:val="00A87037"/>
    <w:rsid w:val="00A872FD"/>
    <w:rsid w:val="00A87447"/>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52"/>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7"/>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C60"/>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2F88"/>
    <w:rsid w:val="00AE31CE"/>
    <w:rsid w:val="00AE3438"/>
    <w:rsid w:val="00AE36DA"/>
    <w:rsid w:val="00AE3842"/>
    <w:rsid w:val="00AE4331"/>
    <w:rsid w:val="00AE438A"/>
    <w:rsid w:val="00AE47D7"/>
    <w:rsid w:val="00AE58FB"/>
    <w:rsid w:val="00AE5F3F"/>
    <w:rsid w:val="00AE5F9A"/>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4E84"/>
    <w:rsid w:val="00AF5EDF"/>
    <w:rsid w:val="00AF6176"/>
    <w:rsid w:val="00AF685C"/>
    <w:rsid w:val="00AF7034"/>
    <w:rsid w:val="00AF7431"/>
    <w:rsid w:val="00B00480"/>
    <w:rsid w:val="00B00698"/>
    <w:rsid w:val="00B00B7C"/>
    <w:rsid w:val="00B00BB5"/>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2BA"/>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5F3"/>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6FEA"/>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284"/>
    <w:rsid w:val="00B5637C"/>
    <w:rsid w:val="00B564A5"/>
    <w:rsid w:val="00B56699"/>
    <w:rsid w:val="00B567C8"/>
    <w:rsid w:val="00B571BB"/>
    <w:rsid w:val="00B576F1"/>
    <w:rsid w:val="00B577F8"/>
    <w:rsid w:val="00B57A85"/>
    <w:rsid w:val="00B57E88"/>
    <w:rsid w:val="00B610B9"/>
    <w:rsid w:val="00B61434"/>
    <w:rsid w:val="00B62249"/>
    <w:rsid w:val="00B62623"/>
    <w:rsid w:val="00B62975"/>
    <w:rsid w:val="00B62DC1"/>
    <w:rsid w:val="00B62F3B"/>
    <w:rsid w:val="00B63902"/>
    <w:rsid w:val="00B63C48"/>
    <w:rsid w:val="00B63EAD"/>
    <w:rsid w:val="00B64312"/>
    <w:rsid w:val="00B64E2A"/>
    <w:rsid w:val="00B65430"/>
    <w:rsid w:val="00B657C7"/>
    <w:rsid w:val="00B657D3"/>
    <w:rsid w:val="00B65D7D"/>
    <w:rsid w:val="00B66447"/>
    <w:rsid w:val="00B669BB"/>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5D"/>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375"/>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531"/>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9AC"/>
    <w:rsid w:val="00BA3E99"/>
    <w:rsid w:val="00BA3FE1"/>
    <w:rsid w:val="00BA45BA"/>
    <w:rsid w:val="00BA54A6"/>
    <w:rsid w:val="00BA55F0"/>
    <w:rsid w:val="00BA576F"/>
    <w:rsid w:val="00BA5770"/>
    <w:rsid w:val="00BA5869"/>
    <w:rsid w:val="00BA5AF2"/>
    <w:rsid w:val="00BA5E6D"/>
    <w:rsid w:val="00BA6661"/>
    <w:rsid w:val="00BA6B1E"/>
    <w:rsid w:val="00BA72B3"/>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A6B"/>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78D"/>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AA8"/>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37E4A"/>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BFB"/>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57DB1"/>
    <w:rsid w:val="00C60241"/>
    <w:rsid w:val="00C60655"/>
    <w:rsid w:val="00C60829"/>
    <w:rsid w:val="00C61038"/>
    <w:rsid w:val="00C61058"/>
    <w:rsid w:val="00C613FE"/>
    <w:rsid w:val="00C62140"/>
    <w:rsid w:val="00C627A8"/>
    <w:rsid w:val="00C62BF7"/>
    <w:rsid w:val="00C62DD6"/>
    <w:rsid w:val="00C62FF0"/>
    <w:rsid w:val="00C635B5"/>
    <w:rsid w:val="00C63960"/>
    <w:rsid w:val="00C6411C"/>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4C4"/>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9F6"/>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5E4"/>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990"/>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73C"/>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1FC7"/>
    <w:rsid w:val="00CD21E8"/>
    <w:rsid w:val="00CD2498"/>
    <w:rsid w:val="00CD2A4D"/>
    <w:rsid w:val="00CD2EE9"/>
    <w:rsid w:val="00CD2F08"/>
    <w:rsid w:val="00CD2FBB"/>
    <w:rsid w:val="00CD330C"/>
    <w:rsid w:val="00CD3468"/>
    <w:rsid w:val="00CD3919"/>
    <w:rsid w:val="00CD3A06"/>
    <w:rsid w:val="00CD3FF1"/>
    <w:rsid w:val="00CD471A"/>
    <w:rsid w:val="00CD48A3"/>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292F"/>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BFD"/>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6F5"/>
    <w:rsid w:val="00D06BD8"/>
    <w:rsid w:val="00D06E4E"/>
    <w:rsid w:val="00D076D8"/>
    <w:rsid w:val="00D07952"/>
    <w:rsid w:val="00D107A1"/>
    <w:rsid w:val="00D11113"/>
    <w:rsid w:val="00D1161B"/>
    <w:rsid w:val="00D11BB1"/>
    <w:rsid w:val="00D11DC5"/>
    <w:rsid w:val="00D11F89"/>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6CF1"/>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D50"/>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7C7"/>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188"/>
    <w:rsid w:val="00D4157D"/>
    <w:rsid w:val="00D41641"/>
    <w:rsid w:val="00D41888"/>
    <w:rsid w:val="00D418D7"/>
    <w:rsid w:val="00D41FB2"/>
    <w:rsid w:val="00D41FDA"/>
    <w:rsid w:val="00D42205"/>
    <w:rsid w:val="00D4224F"/>
    <w:rsid w:val="00D4230F"/>
    <w:rsid w:val="00D4235F"/>
    <w:rsid w:val="00D425F6"/>
    <w:rsid w:val="00D42BFA"/>
    <w:rsid w:val="00D42D98"/>
    <w:rsid w:val="00D4363F"/>
    <w:rsid w:val="00D43698"/>
    <w:rsid w:val="00D44A8F"/>
    <w:rsid w:val="00D44FF5"/>
    <w:rsid w:val="00D455F3"/>
    <w:rsid w:val="00D45BB7"/>
    <w:rsid w:val="00D45DD7"/>
    <w:rsid w:val="00D45F42"/>
    <w:rsid w:val="00D45FA5"/>
    <w:rsid w:val="00D4644B"/>
    <w:rsid w:val="00D46495"/>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1A0C"/>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5AE"/>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A6C"/>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40"/>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A7C5C"/>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57E4"/>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961"/>
    <w:rsid w:val="00DD6DB5"/>
    <w:rsid w:val="00DD6EFF"/>
    <w:rsid w:val="00DD7278"/>
    <w:rsid w:val="00DD7323"/>
    <w:rsid w:val="00DD7864"/>
    <w:rsid w:val="00DD7CA4"/>
    <w:rsid w:val="00DD7F30"/>
    <w:rsid w:val="00DE09E9"/>
    <w:rsid w:val="00DE0C60"/>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3CA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E8A"/>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453D"/>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3D7"/>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954"/>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8FB"/>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51B"/>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5C6"/>
    <w:rsid w:val="00E526FD"/>
    <w:rsid w:val="00E52BE4"/>
    <w:rsid w:val="00E53030"/>
    <w:rsid w:val="00E5366E"/>
    <w:rsid w:val="00E543E5"/>
    <w:rsid w:val="00E5448C"/>
    <w:rsid w:val="00E54691"/>
    <w:rsid w:val="00E54981"/>
    <w:rsid w:val="00E54F3F"/>
    <w:rsid w:val="00E5537E"/>
    <w:rsid w:val="00E557DA"/>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3B4E"/>
    <w:rsid w:val="00E6428B"/>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78C"/>
    <w:rsid w:val="00E72BE6"/>
    <w:rsid w:val="00E72E35"/>
    <w:rsid w:val="00E736F8"/>
    <w:rsid w:val="00E7373E"/>
    <w:rsid w:val="00E73F8A"/>
    <w:rsid w:val="00E746AF"/>
    <w:rsid w:val="00E7490E"/>
    <w:rsid w:val="00E74B42"/>
    <w:rsid w:val="00E74EAE"/>
    <w:rsid w:val="00E74F6F"/>
    <w:rsid w:val="00E753DE"/>
    <w:rsid w:val="00E7580E"/>
    <w:rsid w:val="00E76246"/>
    <w:rsid w:val="00E76252"/>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B19"/>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6E70"/>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1FD7"/>
    <w:rsid w:val="00EC24EB"/>
    <w:rsid w:val="00EC2826"/>
    <w:rsid w:val="00EC2E4E"/>
    <w:rsid w:val="00EC3077"/>
    <w:rsid w:val="00EC3370"/>
    <w:rsid w:val="00EC36B6"/>
    <w:rsid w:val="00EC36DA"/>
    <w:rsid w:val="00EC3C94"/>
    <w:rsid w:val="00EC3E9C"/>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E06"/>
    <w:rsid w:val="00ED6F1A"/>
    <w:rsid w:val="00ED70AA"/>
    <w:rsid w:val="00ED710C"/>
    <w:rsid w:val="00ED7265"/>
    <w:rsid w:val="00ED7336"/>
    <w:rsid w:val="00ED7432"/>
    <w:rsid w:val="00ED76DF"/>
    <w:rsid w:val="00ED77E8"/>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331"/>
    <w:rsid w:val="00EE652A"/>
    <w:rsid w:val="00EE66E9"/>
    <w:rsid w:val="00EE681F"/>
    <w:rsid w:val="00EE7184"/>
    <w:rsid w:val="00EE766A"/>
    <w:rsid w:val="00EE7E70"/>
    <w:rsid w:val="00EF042B"/>
    <w:rsid w:val="00EF081E"/>
    <w:rsid w:val="00EF0B55"/>
    <w:rsid w:val="00EF0BEE"/>
    <w:rsid w:val="00EF1100"/>
    <w:rsid w:val="00EF15E6"/>
    <w:rsid w:val="00EF17F1"/>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1D72"/>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0CDD"/>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783"/>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725"/>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8FC"/>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2C"/>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17A"/>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7A2"/>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FD3FFEB"/>
  <w15:docId w15:val="{B557AF8D-25EF-4F75-9460-F5632C10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aliases w:val=" Car Car3 Char, Car Car3 Char Char Char Char"/>
    <w:link w:val="CarCar3"/>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CD48A3"/>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customStyle="1" w:styleId="CarCar3">
    <w:name w:val="Car Car3"/>
    <w:aliases w:val=" Car Car3 Char Char"/>
    <w:basedOn w:val="Normal"/>
    <w:link w:val="Hyperlink"/>
    <w:uiPriority w:val="99"/>
    <w:rsid w:val="00927160"/>
    <w:pPr>
      <w:tabs>
        <w:tab w:val="clear" w:pos="567"/>
        <w:tab w:val="left" w:pos="510"/>
        <w:tab w:val="right" w:pos="9639"/>
      </w:tabs>
      <w:autoSpaceDE w:val="0"/>
      <w:autoSpaceDN w:val="0"/>
      <w:adjustRightInd w:val="0"/>
      <w:snapToGrid/>
      <w:spacing w:before="0" w:after="80" w:line="220" w:lineRule="exact"/>
      <w:ind w:left="1020" w:hanging="510"/>
    </w:pPr>
    <w:rPr>
      <w:rFonts w:ascii="Calibri" w:eastAsia="Calibri" w:hAnsi="Calibri" w:cs="Times New Roman"/>
      <w:snapToGrid/>
      <w:color w:val="0000FF"/>
      <w:sz w:val="20"/>
      <w:szCs w:val="20"/>
      <w:u w:val="sing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en"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yperlink" Target="http://www.unesco.org/culture/ich/en/RL/00156"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index.php?lg=en&amp;pg=00503"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cbd.int/abs/information-ki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CA8BA-A307-4ED8-9681-026729960002}">
  <ds:schemaRefs>
    <ds:schemaRef ds:uri="http://schemas.openxmlformats.org/officeDocument/2006/bibliography"/>
  </ds:schemaRefs>
</ds:datastoreItem>
</file>

<file path=customXml/itemProps2.xml><?xml version="1.0" encoding="utf-8"?>
<ds:datastoreItem xmlns:ds="http://schemas.openxmlformats.org/officeDocument/2006/customXml" ds:itemID="{2C919FDD-6AFC-420B-8226-9F741523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5797</Words>
  <Characters>31887</Characters>
  <Application>Microsoft Office Word</Application>
  <DocSecurity>0</DocSecurity>
  <Lines>265</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UNESCO</Company>
  <LinksUpToDate>false</LinksUpToDate>
  <CharactersWithSpaces>37609</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Hopkins</dc:creator>
  <cp:lastModifiedBy>Kim, Dain</cp:lastModifiedBy>
  <cp:revision>11</cp:revision>
  <dcterms:created xsi:type="dcterms:W3CDTF">2017-06-15T09:11:00Z</dcterms:created>
  <dcterms:modified xsi:type="dcterms:W3CDTF">2018-04-20T13:49:00Z</dcterms:modified>
</cp:coreProperties>
</file>