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D7D0B" w14:textId="77777777" w:rsidR="004D76DA" w:rsidRDefault="00A853D3" w:rsidP="00C70B5B">
      <w:pPr>
        <w:pStyle w:val="Chapitre"/>
        <w:keepNext w:val="0"/>
        <w:widowControl w:val="0"/>
        <w:rPr>
          <w:w w:val="99"/>
        </w:rPr>
      </w:pPr>
      <w:bookmarkStart w:id="0" w:name="_Toc241229720"/>
      <w:bookmarkStart w:id="1" w:name="_Toc241229924"/>
      <w:bookmarkStart w:id="2" w:name="_Toc242165618"/>
      <w:r w:rsidRPr="00787639">
        <w:rPr>
          <w:w w:val="99"/>
        </w:rPr>
        <w:t xml:space="preserve">Unit </w:t>
      </w:r>
      <w:r w:rsidR="00020DDD" w:rsidRPr="00787639">
        <w:rPr>
          <w:w w:val="99"/>
        </w:rPr>
        <w:t>9</w:t>
      </w:r>
      <w:r w:rsidR="00830A9C" w:rsidRPr="00787639">
        <w:rPr>
          <w:w w:val="99"/>
        </w:rPr>
        <w:tab/>
      </w:r>
    </w:p>
    <w:p w14:paraId="7E430142" w14:textId="77777777" w:rsidR="00FA49AE" w:rsidRPr="00FA49AE" w:rsidRDefault="00FA49AE" w:rsidP="00FA49AE">
      <w:pPr>
        <w:keepNext/>
        <w:keepLines/>
        <w:spacing w:before="480" w:line="480" w:lineRule="exact"/>
        <w:ind w:left="0"/>
        <w:jc w:val="left"/>
        <w:outlineLvl w:val="0"/>
        <w:rPr>
          <w:rFonts w:eastAsia="Times New Roman"/>
          <w:b/>
          <w:bCs/>
          <w:caps/>
          <w:noProof/>
          <w:snapToGrid w:val="0"/>
          <w:color w:val="3366FF"/>
          <w:kern w:val="28"/>
          <w:sz w:val="48"/>
          <w:szCs w:val="48"/>
          <w:lang w:val="en-GB"/>
        </w:rPr>
      </w:pPr>
      <w:bookmarkStart w:id="3" w:name="_Toc241644724"/>
      <w:bookmarkEnd w:id="0"/>
      <w:bookmarkEnd w:id="1"/>
      <w:bookmarkEnd w:id="2"/>
      <w:r w:rsidRPr="00FA49AE">
        <w:rPr>
          <w:rFonts w:eastAsia="Times New Roman"/>
          <w:b/>
          <w:bCs/>
          <w:caps/>
          <w:noProof/>
          <w:snapToGrid w:val="0"/>
          <w:color w:val="3366FF"/>
          <w:kern w:val="28"/>
          <w:sz w:val="48"/>
          <w:szCs w:val="48"/>
          <w:lang w:val="en-GB"/>
        </w:rPr>
        <w:t>safeguarding</w:t>
      </w:r>
    </w:p>
    <w:bookmarkEnd w:id="3"/>
    <w:p w14:paraId="6B944154" w14:textId="77777777" w:rsidR="00FA49AE" w:rsidRPr="00FA49AE" w:rsidRDefault="00FA49AE" w:rsidP="00FA49AE">
      <w:pPr>
        <w:keepNext/>
        <w:keepLines/>
        <w:spacing w:before="480" w:after="480" w:line="480" w:lineRule="exact"/>
        <w:ind w:left="0"/>
        <w:jc w:val="left"/>
        <w:outlineLvl w:val="0"/>
        <w:rPr>
          <w:rFonts w:eastAsia="Times New Roman"/>
          <w:b/>
          <w:bCs/>
          <w:caps/>
          <w:noProof/>
          <w:snapToGrid w:val="0"/>
          <w:color w:val="3366FF"/>
          <w:sz w:val="32"/>
          <w:szCs w:val="70"/>
          <w:lang w:val="en-US"/>
        </w:rPr>
      </w:pPr>
      <w:r>
        <w:rPr>
          <w:rFonts w:eastAsia="Times New Roman"/>
          <w:b/>
          <w:bCs/>
          <w:caps/>
          <w:noProof/>
          <w:snapToGrid w:val="0"/>
          <w:color w:val="3366FF"/>
          <w:sz w:val="32"/>
          <w:szCs w:val="70"/>
          <w:lang w:val="en-US"/>
        </w:rPr>
        <w:t>participant’s text</w:t>
      </w:r>
    </w:p>
    <w:p w14:paraId="319B1333" w14:textId="77777777" w:rsidR="00487F47" w:rsidRPr="00B43374" w:rsidRDefault="00487F47" w:rsidP="00725E8F">
      <w:pPr>
        <w:pStyle w:val="Sschap"/>
      </w:pPr>
      <w:r w:rsidRPr="00B43374">
        <w:rPr>
          <w:rFonts w:hint="eastAsia"/>
        </w:rPr>
        <w:t xml:space="preserve">This </w:t>
      </w:r>
      <w:r w:rsidR="00A31F35" w:rsidRPr="00B73CA7">
        <w:rPr>
          <w:rFonts w:hint="eastAsia"/>
        </w:rPr>
        <w:t>unit</w:t>
      </w:r>
      <w:r w:rsidRPr="0071007C">
        <w:t xml:space="preserve"> is about </w:t>
      </w:r>
      <w:r w:rsidR="00725E8F">
        <w:t xml:space="preserve">the </w:t>
      </w:r>
      <w:r w:rsidRPr="0071007C">
        <w:t xml:space="preserve">safeguarding of </w:t>
      </w:r>
      <w:r w:rsidR="00915125">
        <w:t xml:space="preserve">intangible </w:t>
      </w:r>
      <w:bookmarkStart w:id="4" w:name="_GoBack"/>
      <w:bookmarkEnd w:id="4"/>
      <w:r w:rsidR="00915125">
        <w:t>cultural heritage (</w:t>
      </w:r>
      <w:r w:rsidRPr="0071007C">
        <w:t>ICH</w:t>
      </w:r>
      <w:r w:rsidR="00915125">
        <w:t>)</w:t>
      </w:r>
      <w:r w:rsidRPr="0071007C">
        <w:t xml:space="preserve"> elements at the national level, </w:t>
      </w:r>
      <w:r w:rsidR="00725E8F">
        <w:t>including</w:t>
      </w:r>
      <w:r w:rsidR="00725E8F" w:rsidRPr="0071007C">
        <w:t xml:space="preserve"> </w:t>
      </w:r>
      <w:r w:rsidRPr="0071007C">
        <w:t xml:space="preserve">both general safeguarding measures and safeguarding activities relating to specific element(s) of ICH. </w:t>
      </w:r>
      <w:r w:rsidRPr="0071007C">
        <w:rPr>
          <w:lang w:val="en-US"/>
        </w:rPr>
        <w:t xml:space="preserve">It </w:t>
      </w:r>
      <w:r w:rsidRPr="00FF1221">
        <w:rPr>
          <w:rFonts w:hint="eastAsia"/>
        </w:rPr>
        <w:t>covers</w:t>
      </w:r>
      <w:r w:rsidRPr="0071007C">
        <w:t xml:space="preserve"> </w:t>
      </w:r>
      <w:r w:rsidRPr="00FF1221">
        <w:rPr>
          <w:rFonts w:hint="eastAsia"/>
        </w:rPr>
        <w:t>the</w:t>
      </w:r>
      <w:r w:rsidRPr="0071007C">
        <w:t xml:space="preserve"> </w:t>
      </w:r>
      <w:r w:rsidRPr="00FF1221">
        <w:rPr>
          <w:rFonts w:hint="eastAsia"/>
        </w:rPr>
        <w:t>following</w:t>
      </w:r>
      <w:r w:rsidRPr="0071007C">
        <w:t xml:space="preserve"> </w:t>
      </w:r>
      <w:r w:rsidRPr="00FF1221">
        <w:rPr>
          <w:rFonts w:hint="eastAsia"/>
        </w:rPr>
        <w:t>topics:</w:t>
      </w:r>
    </w:p>
    <w:p w14:paraId="253C63B8" w14:textId="677146D9" w:rsidR="00487F47" w:rsidRPr="005A3433" w:rsidRDefault="005A3433" w:rsidP="0071007C">
      <w:pPr>
        <w:pStyle w:val="Txtchap"/>
        <w:rPr>
          <w:w w:val="99"/>
        </w:rPr>
      </w:pPr>
      <w:r>
        <w:t>S</w:t>
      </w:r>
      <w:r w:rsidR="00487F47" w:rsidRPr="0071007C">
        <w:t>afeguarding under the Convention</w:t>
      </w:r>
      <w:r w:rsidR="00915125">
        <w:t xml:space="preserve"> for the Safeguarding of the Intangible </w:t>
      </w:r>
      <w:r w:rsidR="00915125" w:rsidRPr="005A3433">
        <w:t>Cultural Heritage</w:t>
      </w:r>
      <w:r w:rsidR="00915125" w:rsidRPr="005A3433">
        <w:rPr>
          <w:rStyle w:val="FootnoteReference"/>
          <w:sz w:val="24"/>
          <w:szCs w:val="24"/>
          <w:lang w:val="en-US"/>
        </w:rPr>
        <w:footnoteReference w:id="1"/>
      </w:r>
      <w:r w:rsidR="005525E9">
        <w:rPr>
          <w:lang w:val="en-US"/>
        </w:rPr>
        <w:t>.</w:t>
      </w:r>
    </w:p>
    <w:p w14:paraId="18CA5BAB" w14:textId="4EE80976" w:rsidR="00487F47" w:rsidRPr="005A3433" w:rsidRDefault="005A3433" w:rsidP="0071007C">
      <w:pPr>
        <w:pStyle w:val="Txtchap"/>
        <w:rPr>
          <w:w w:val="99"/>
        </w:rPr>
      </w:pPr>
      <w:r w:rsidRPr="005A3433">
        <w:t>G</w:t>
      </w:r>
      <w:r w:rsidR="00487F47" w:rsidRPr="005A3433">
        <w:t>eneral and specific safeguarding measures</w:t>
      </w:r>
      <w:r w:rsidR="005525E9">
        <w:t>.</w:t>
      </w:r>
    </w:p>
    <w:p w14:paraId="262B7016" w14:textId="78519E44" w:rsidR="00487F47" w:rsidRPr="005A3433" w:rsidRDefault="005A3433" w:rsidP="0071007C">
      <w:pPr>
        <w:pStyle w:val="Txtchap"/>
      </w:pPr>
      <w:r w:rsidRPr="005A3433">
        <w:t>A</w:t>
      </w:r>
      <w:r w:rsidR="00487F47" w:rsidRPr="005A3433">
        <w:t>ddressing threats and risks to viability</w:t>
      </w:r>
      <w:r w:rsidR="005525E9">
        <w:rPr>
          <w:noProof/>
        </w:rPr>
        <w:t>.</w:t>
      </w:r>
      <w:r w:rsidR="00CE3D17" w:rsidRPr="0068396F">
        <w:rPr>
          <w:noProof/>
          <w:lang w:val="fr-FR" w:eastAsia="zh-TW"/>
        </w:rPr>
        <w:drawing>
          <wp:anchor distT="0" distB="0" distL="114300" distR="114300" simplePos="0" relativeHeight="252045824" behindDoc="1" locked="0" layoutInCell="1" allowOverlap="0" wp14:anchorId="15160234" wp14:editId="085F3287">
            <wp:simplePos x="0" y="0"/>
            <wp:positionH relativeFrom="margin">
              <wp:posOffset>360045</wp:posOffset>
            </wp:positionH>
            <wp:positionV relativeFrom="margin">
              <wp:posOffset>1800225</wp:posOffset>
            </wp:positionV>
            <wp:extent cx="4870411" cy="4498145"/>
            <wp:effectExtent l="0" t="0" r="6985" b="0"/>
            <wp:wrapNone/>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6B77C1F9" w14:textId="77777777" w:rsidR="00487F47" w:rsidRPr="005A3433" w:rsidRDefault="005A3433" w:rsidP="0071007C">
      <w:pPr>
        <w:pStyle w:val="Txtchap"/>
      </w:pPr>
      <w:r w:rsidRPr="005A3433">
        <w:t>S</w:t>
      </w:r>
      <w:r w:rsidR="00487F47" w:rsidRPr="005A3433">
        <w:t>afeguarding measures and plans.</w:t>
      </w:r>
    </w:p>
    <w:p w14:paraId="6C596052" w14:textId="77777777" w:rsidR="00487F47" w:rsidRPr="00787639" w:rsidRDefault="00487F47" w:rsidP="0071007C">
      <w:pPr>
        <w:pStyle w:val="Chapinfo"/>
        <w:rPr>
          <w:rFonts w:ascii="Calibri" w:eastAsia="MS Gothic" w:hAnsi="Calibri" w:cs="Times New Roman"/>
          <w:b/>
          <w:bCs/>
          <w:color w:val="365F91"/>
          <w:sz w:val="28"/>
          <w:szCs w:val="28"/>
          <w:lang w:eastAsia="fr-FR"/>
        </w:rPr>
      </w:pPr>
      <w:r w:rsidRPr="00447005">
        <w:rPr>
          <w:noProof/>
          <w:position w:val="1"/>
        </w:rPr>
        <w:t xml:space="preserve">Relevant entries in </w:t>
      </w:r>
      <w:r w:rsidR="00C61BCD" w:rsidRPr="00447005">
        <w:rPr>
          <w:noProof/>
          <w:position w:val="1"/>
        </w:rPr>
        <w:t>Participant’s</w:t>
      </w:r>
      <w:r w:rsidR="003D642D" w:rsidRPr="00447005">
        <w:rPr>
          <w:noProof/>
          <w:position w:val="1"/>
        </w:rPr>
        <w:t> </w:t>
      </w:r>
      <w:r w:rsidR="00C61BCD" w:rsidRPr="00447005">
        <w:rPr>
          <w:noProof/>
          <w:position w:val="1"/>
        </w:rPr>
        <w:t>text</w:t>
      </w:r>
      <w:r w:rsidRPr="00447005">
        <w:rPr>
          <w:noProof/>
          <w:position w:val="1"/>
        </w:rPr>
        <w:t xml:space="preserve"> </w:t>
      </w:r>
      <w:r w:rsidR="00002A62" w:rsidRPr="00447005">
        <w:rPr>
          <w:noProof/>
          <w:position w:val="1"/>
        </w:rPr>
        <w:t>Unit</w:t>
      </w:r>
      <w:r w:rsidR="008A1398" w:rsidRPr="00447005">
        <w:rPr>
          <w:noProof/>
          <w:position w:val="1"/>
        </w:rPr>
        <w:t> </w:t>
      </w:r>
      <w:r w:rsidR="00002A62" w:rsidRPr="00447005">
        <w:rPr>
          <w:noProof/>
          <w:position w:val="1"/>
        </w:rPr>
        <w:t>3</w:t>
      </w:r>
      <w:r w:rsidRPr="00447005">
        <w:rPr>
          <w:noProof/>
          <w:position w:val="1"/>
        </w:rPr>
        <w:t xml:space="preserve"> include:</w:t>
      </w:r>
      <w:r w:rsidRPr="00447005">
        <w:rPr>
          <w:noProof/>
          <w:spacing w:val="-1"/>
          <w:position w:val="1"/>
        </w:rPr>
        <w:t xml:space="preserve"> </w:t>
      </w:r>
      <w:r w:rsidRPr="00447005">
        <w:rPr>
          <w:noProof/>
          <w:position w:val="1"/>
        </w:rPr>
        <w:t>‘Awareness</w:t>
      </w:r>
      <w:r w:rsidRPr="00447005">
        <w:rPr>
          <w:noProof/>
          <w:spacing w:val="-1"/>
          <w:position w:val="1"/>
        </w:rPr>
        <w:t xml:space="preserve"> </w:t>
      </w:r>
      <w:r w:rsidRPr="00447005">
        <w:rPr>
          <w:noProof/>
          <w:position w:val="1"/>
        </w:rPr>
        <w:t>raising’,</w:t>
      </w:r>
      <w:r w:rsidRPr="00447005">
        <w:rPr>
          <w:noProof/>
          <w:spacing w:val="-1"/>
          <w:position w:val="1"/>
        </w:rPr>
        <w:t xml:space="preserve"> </w:t>
      </w:r>
      <w:r w:rsidRPr="00447005">
        <w:rPr>
          <w:noProof/>
          <w:position w:val="1"/>
        </w:rPr>
        <w:t xml:space="preserve">‘Domains </w:t>
      </w:r>
      <w:r w:rsidRPr="00447005">
        <w:rPr>
          <w:noProof/>
        </w:rPr>
        <w:t>of</w:t>
      </w:r>
      <w:r w:rsidRPr="00447005">
        <w:rPr>
          <w:noProof/>
          <w:spacing w:val="3"/>
        </w:rPr>
        <w:t xml:space="preserve"> </w:t>
      </w:r>
      <w:r w:rsidRPr="00447005">
        <w:rPr>
          <w:noProof/>
        </w:rPr>
        <w:t>ICH’,</w:t>
      </w:r>
      <w:r w:rsidRPr="00447005">
        <w:rPr>
          <w:noProof/>
          <w:spacing w:val="3"/>
        </w:rPr>
        <w:t xml:space="preserve"> </w:t>
      </w:r>
      <w:r w:rsidRPr="00447005">
        <w:rPr>
          <w:noProof/>
        </w:rPr>
        <w:t>‘Elements</w:t>
      </w:r>
      <w:r w:rsidRPr="00447005">
        <w:rPr>
          <w:noProof/>
          <w:spacing w:val="3"/>
        </w:rPr>
        <w:t xml:space="preserve"> </w:t>
      </w:r>
      <w:r w:rsidRPr="00447005">
        <w:rPr>
          <w:noProof/>
        </w:rPr>
        <w:t>of</w:t>
      </w:r>
      <w:r w:rsidRPr="00447005">
        <w:rPr>
          <w:noProof/>
          <w:spacing w:val="3"/>
        </w:rPr>
        <w:t xml:space="preserve"> </w:t>
      </w:r>
      <w:r w:rsidRPr="00447005">
        <w:rPr>
          <w:noProof/>
        </w:rPr>
        <w:t>ICH’,</w:t>
      </w:r>
      <w:r w:rsidRPr="00447005">
        <w:rPr>
          <w:noProof/>
          <w:spacing w:val="2"/>
        </w:rPr>
        <w:t xml:space="preserve"> </w:t>
      </w:r>
      <w:r w:rsidR="00440C36" w:rsidRPr="00447005">
        <w:rPr>
          <w:noProof/>
          <w:spacing w:val="2"/>
        </w:rPr>
        <w:t xml:space="preserve">‘Ethics’, </w:t>
      </w:r>
      <w:r w:rsidRPr="00447005">
        <w:rPr>
          <w:noProof/>
        </w:rPr>
        <w:t>‘Identification</w:t>
      </w:r>
      <w:r w:rsidRPr="00447005">
        <w:rPr>
          <w:noProof/>
          <w:spacing w:val="2"/>
        </w:rPr>
        <w:t xml:space="preserve"> </w:t>
      </w:r>
      <w:r w:rsidRPr="00447005">
        <w:rPr>
          <w:noProof/>
        </w:rPr>
        <w:t>and</w:t>
      </w:r>
      <w:r w:rsidRPr="00447005">
        <w:rPr>
          <w:noProof/>
          <w:spacing w:val="2"/>
        </w:rPr>
        <w:t xml:space="preserve"> </w:t>
      </w:r>
      <w:r w:rsidRPr="00447005">
        <w:rPr>
          <w:noProof/>
        </w:rPr>
        <w:t>definition’,</w:t>
      </w:r>
      <w:r w:rsidRPr="00447005">
        <w:rPr>
          <w:noProof/>
          <w:spacing w:val="2"/>
        </w:rPr>
        <w:t xml:space="preserve"> </w:t>
      </w:r>
      <w:r w:rsidRPr="00447005">
        <w:rPr>
          <w:noProof/>
        </w:rPr>
        <w:t>‘Inventorying’, ‘Preservation</w:t>
      </w:r>
      <w:r w:rsidRPr="00447005">
        <w:rPr>
          <w:noProof/>
          <w:spacing w:val="1"/>
        </w:rPr>
        <w:t xml:space="preserve"> </w:t>
      </w:r>
      <w:r w:rsidRPr="00447005">
        <w:rPr>
          <w:noProof/>
        </w:rPr>
        <w:t>and protection’, ‘Promotion and enhancement’, ‘Respect’, ‘Revitalization’,</w:t>
      </w:r>
      <w:r w:rsidRPr="00447005">
        <w:rPr>
          <w:noProof/>
          <w:spacing w:val="14"/>
        </w:rPr>
        <w:t xml:space="preserve"> </w:t>
      </w:r>
      <w:r w:rsidRPr="00447005">
        <w:rPr>
          <w:noProof/>
        </w:rPr>
        <w:t>‘Safeguarding</w:t>
      </w:r>
      <w:r w:rsidRPr="00447005">
        <w:rPr>
          <w:noProof/>
          <w:spacing w:val="14"/>
        </w:rPr>
        <w:t xml:space="preserve"> </w:t>
      </w:r>
      <w:r w:rsidRPr="00447005">
        <w:rPr>
          <w:noProof/>
        </w:rPr>
        <w:t>and</w:t>
      </w:r>
      <w:r w:rsidRPr="00447005">
        <w:rPr>
          <w:noProof/>
          <w:spacing w:val="13"/>
        </w:rPr>
        <w:t xml:space="preserve"> </w:t>
      </w:r>
      <w:r w:rsidRPr="00447005">
        <w:rPr>
          <w:noProof/>
        </w:rPr>
        <w:t>safeguarding</w:t>
      </w:r>
      <w:r w:rsidRPr="00447005">
        <w:rPr>
          <w:noProof/>
          <w:spacing w:val="13"/>
        </w:rPr>
        <w:t xml:space="preserve"> </w:t>
      </w:r>
      <w:r w:rsidRPr="00447005">
        <w:rPr>
          <w:noProof/>
        </w:rPr>
        <w:t>measures’,</w:t>
      </w:r>
      <w:r w:rsidRPr="00447005">
        <w:rPr>
          <w:noProof/>
          <w:spacing w:val="13"/>
        </w:rPr>
        <w:t xml:space="preserve"> </w:t>
      </w:r>
      <w:r w:rsidRPr="00447005">
        <w:rPr>
          <w:noProof/>
        </w:rPr>
        <w:t>‘Threats</w:t>
      </w:r>
      <w:r w:rsidRPr="00447005">
        <w:rPr>
          <w:noProof/>
          <w:spacing w:val="13"/>
        </w:rPr>
        <w:t xml:space="preserve"> </w:t>
      </w:r>
      <w:r w:rsidRPr="00447005">
        <w:rPr>
          <w:noProof/>
        </w:rPr>
        <w:t>and</w:t>
      </w:r>
      <w:r w:rsidRPr="00447005">
        <w:rPr>
          <w:noProof/>
          <w:spacing w:val="13"/>
        </w:rPr>
        <w:t xml:space="preserve"> </w:t>
      </w:r>
      <w:r w:rsidRPr="00447005">
        <w:rPr>
          <w:noProof/>
        </w:rPr>
        <w:t xml:space="preserve">risks’ </w:t>
      </w:r>
      <w:r w:rsidRPr="00447005">
        <w:rPr>
          <w:noProof/>
          <w:w w:val="103"/>
        </w:rPr>
        <w:t>and</w:t>
      </w:r>
      <w:r w:rsidRPr="00447005">
        <w:rPr>
          <w:noProof/>
          <w:spacing w:val="1"/>
          <w:w w:val="103"/>
        </w:rPr>
        <w:t xml:space="preserve"> </w:t>
      </w:r>
      <w:r w:rsidRPr="00447005">
        <w:rPr>
          <w:noProof/>
          <w:w w:val="103"/>
        </w:rPr>
        <w:t>‘Viability’.</w:t>
      </w:r>
    </w:p>
    <w:p w14:paraId="3BD11529" w14:textId="77777777" w:rsidR="00713A17" w:rsidRDefault="00487F47">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4"/>
        </w:rPr>
        <w:t xml:space="preserve"> </w:t>
      </w:r>
      <w:r w:rsidRPr="00447005">
        <w:rPr>
          <w:noProof/>
        </w:rPr>
        <w:t>be</w:t>
      </w:r>
      <w:r w:rsidRPr="00447005">
        <w:rPr>
          <w:noProof/>
          <w:spacing w:val="-4"/>
        </w:rPr>
        <w:t xml:space="preserve"> </w:t>
      </w:r>
      <w:r w:rsidRPr="00447005">
        <w:rPr>
          <w:noProof/>
        </w:rPr>
        <w:t>found</w:t>
      </w:r>
      <w:r w:rsidRPr="00787639">
        <w:rPr>
          <w:spacing w:val="-4"/>
        </w:rPr>
        <w:t xml:space="preserve"> </w:t>
      </w:r>
      <w:r w:rsidRPr="00787639">
        <w:t>in</w:t>
      </w:r>
      <w:r w:rsidRPr="00787639">
        <w:rPr>
          <w:spacing w:val="-5"/>
        </w:rPr>
        <w:t xml:space="preserve"> </w:t>
      </w:r>
      <w:r w:rsidR="00C62D56">
        <w:t>C</w:t>
      </w:r>
      <w:r w:rsidR="00C62D56" w:rsidRPr="00787639">
        <w:t>ase</w:t>
      </w:r>
      <w:r w:rsidR="00C62D56" w:rsidRPr="00787639">
        <w:rPr>
          <w:spacing w:val="-2"/>
        </w:rPr>
        <w:t xml:space="preserve"> </w:t>
      </w:r>
      <w:r w:rsidRPr="00447005">
        <w:rPr>
          <w:noProof/>
        </w:rPr>
        <w:t>studies</w:t>
      </w:r>
      <w:r w:rsidR="008A1398">
        <w:t> </w:t>
      </w:r>
      <w:r w:rsidRPr="00787639">
        <w:t>21–27.</w:t>
      </w:r>
    </w:p>
    <w:p w14:paraId="5F25AAF9" w14:textId="77777777" w:rsidR="00713A17" w:rsidRDefault="00713A17">
      <w:pPr>
        <w:tabs>
          <w:tab w:val="clear" w:pos="567"/>
        </w:tabs>
        <w:snapToGrid/>
        <w:spacing w:line="240" w:lineRule="auto"/>
        <w:ind w:left="0"/>
        <w:jc w:val="left"/>
        <w:rPr>
          <w:i/>
          <w:iCs/>
          <w:color w:val="3366FF"/>
          <w:sz w:val="24"/>
          <w:szCs w:val="24"/>
          <w:lang w:val="en-GB"/>
        </w:rPr>
      </w:pPr>
      <w:r w:rsidRPr="008C4432">
        <w:rPr>
          <w:lang w:val="en-US"/>
        </w:rPr>
        <w:br w:type="page"/>
      </w:r>
    </w:p>
    <w:p w14:paraId="1332D85D" w14:textId="77777777" w:rsidR="00274756" w:rsidRPr="00C14A99" w:rsidRDefault="00274756" w:rsidP="00274756">
      <w:pPr>
        <w:tabs>
          <w:tab w:val="clear" w:pos="567"/>
        </w:tabs>
        <w:snapToGrid/>
        <w:spacing w:line="240" w:lineRule="auto"/>
        <w:ind w:left="0"/>
        <w:jc w:val="left"/>
        <w:rPr>
          <w:lang w:val="en-GB"/>
        </w:rPr>
      </w:pPr>
      <w:bookmarkStart w:id="5" w:name="_Toc241229721"/>
      <w:bookmarkStart w:id="6" w:name="_Toc241229925"/>
      <w:bookmarkStart w:id="7" w:name="_Toc242165619"/>
    </w:p>
    <w:p w14:paraId="20A33530" w14:textId="6B7E5988" w:rsidR="00274756" w:rsidRPr="00C14A99" w:rsidRDefault="00274756" w:rsidP="00274756">
      <w:pPr>
        <w:tabs>
          <w:tab w:val="clear" w:pos="567"/>
        </w:tabs>
        <w:snapToGrid/>
        <w:spacing w:before="480" w:line="240" w:lineRule="auto"/>
        <w:ind w:left="0"/>
        <w:jc w:val="left"/>
        <w:rPr>
          <w:rFonts w:eastAsia="Times New Roman"/>
          <w:bCs/>
          <w:iCs/>
          <w:sz w:val="22"/>
          <w:szCs w:val="22"/>
          <w:lang w:val="en-GB" w:eastAsia="pt-BR"/>
        </w:rPr>
      </w:pPr>
      <w:r w:rsidRPr="00C14A99">
        <w:rPr>
          <w:rFonts w:eastAsia="Times New Roman"/>
          <w:sz w:val="22"/>
          <w:szCs w:val="22"/>
          <w:lang w:val="en-GB" w:eastAsia="pt-BR"/>
        </w:rPr>
        <w:t xml:space="preserve">Published in </w:t>
      </w:r>
      <w:r w:rsidR="00D025C5">
        <w:rPr>
          <w:rFonts w:eastAsia="Times New Roman"/>
          <w:sz w:val="22"/>
          <w:szCs w:val="22"/>
          <w:lang w:val="en-GB" w:eastAsia="pt-BR"/>
        </w:rPr>
        <w:t>2016</w:t>
      </w:r>
      <w:r w:rsidRPr="00C14A99">
        <w:rPr>
          <w:rFonts w:eastAsia="Times New Roman"/>
          <w:sz w:val="22"/>
          <w:szCs w:val="22"/>
          <w:lang w:val="en-GB" w:eastAsia="pt-BR"/>
        </w:rPr>
        <w:t xml:space="preserve"> by the United Nations Educational, Scientific and Cultural Organization, </w:t>
      </w:r>
      <w:r w:rsidRPr="00C14A99">
        <w:rPr>
          <w:rFonts w:eastAsia="Times New Roman"/>
          <w:bCs/>
          <w:iCs/>
          <w:sz w:val="22"/>
          <w:szCs w:val="22"/>
          <w:lang w:val="en-GB" w:eastAsia="pt-BR"/>
        </w:rPr>
        <w:t>7, place de Fontenoy, 75352 Paris 07 SP, France</w:t>
      </w:r>
    </w:p>
    <w:p w14:paraId="303C3E44" w14:textId="77777777" w:rsidR="00274756" w:rsidRPr="00C14A99" w:rsidRDefault="00274756" w:rsidP="00274756">
      <w:pPr>
        <w:tabs>
          <w:tab w:val="clear" w:pos="567"/>
        </w:tabs>
        <w:snapToGrid/>
        <w:spacing w:line="240" w:lineRule="auto"/>
        <w:ind w:left="0"/>
        <w:jc w:val="left"/>
        <w:rPr>
          <w:rFonts w:eastAsia="Times New Roman"/>
          <w:bCs/>
          <w:iCs/>
          <w:sz w:val="22"/>
          <w:szCs w:val="22"/>
          <w:lang w:val="en-GB" w:eastAsia="pt-BR"/>
        </w:rPr>
      </w:pPr>
    </w:p>
    <w:p w14:paraId="122D89A7" w14:textId="7E87FC84" w:rsidR="00274756" w:rsidRPr="00C14A99" w:rsidRDefault="00274756" w:rsidP="00274756">
      <w:pPr>
        <w:autoSpaceDE w:val="0"/>
        <w:autoSpaceDN w:val="0"/>
        <w:adjustRightInd w:val="0"/>
        <w:spacing w:before="120" w:after="120" w:line="240" w:lineRule="auto"/>
        <w:ind w:left="0"/>
        <w:rPr>
          <w:snapToGrid w:val="0"/>
          <w:sz w:val="22"/>
          <w:szCs w:val="22"/>
          <w:lang w:val="en-US"/>
        </w:rPr>
      </w:pPr>
      <w:r w:rsidRPr="00C14A99">
        <w:rPr>
          <w:snapToGrid w:val="0"/>
          <w:sz w:val="22"/>
          <w:szCs w:val="22"/>
          <w:lang w:val="en-GB"/>
        </w:rPr>
        <w:t xml:space="preserve">© UNESCO </w:t>
      </w:r>
      <w:r w:rsidR="00D025C5">
        <w:rPr>
          <w:snapToGrid w:val="0"/>
          <w:sz w:val="22"/>
          <w:szCs w:val="22"/>
          <w:lang w:val="en-GB"/>
        </w:rPr>
        <w:t>2016</w:t>
      </w:r>
    </w:p>
    <w:p w14:paraId="78068210" w14:textId="77777777" w:rsidR="00274756" w:rsidRPr="00C14A99" w:rsidRDefault="00274756" w:rsidP="00274756">
      <w:pPr>
        <w:autoSpaceDE w:val="0"/>
        <w:autoSpaceDN w:val="0"/>
        <w:adjustRightInd w:val="0"/>
        <w:spacing w:before="120" w:after="120" w:line="240" w:lineRule="auto"/>
        <w:ind w:left="0"/>
        <w:rPr>
          <w:snapToGrid w:val="0"/>
          <w:sz w:val="22"/>
          <w:szCs w:val="22"/>
          <w:lang w:val="en-GB"/>
        </w:rPr>
      </w:pPr>
    </w:p>
    <w:p w14:paraId="2CB89B12" w14:textId="77777777" w:rsidR="00274756" w:rsidRPr="00C14A99" w:rsidRDefault="00274756" w:rsidP="00274756">
      <w:pPr>
        <w:autoSpaceDE w:val="0"/>
        <w:autoSpaceDN w:val="0"/>
        <w:adjustRightInd w:val="0"/>
        <w:spacing w:before="120" w:after="120" w:line="240" w:lineRule="auto"/>
        <w:ind w:left="0"/>
        <w:rPr>
          <w:snapToGrid w:val="0"/>
          <w:sz w:val="22"/>
          <w:szCs w:val="22"/>
          <w:lang w:val="en-GB"/>
        </w:rPr>
      </w:pPr>
      <w:r w:rsidRPr="00C14A99">
        <w:rPr>
          <w:noProof/>
          <w:snapToGrid w:val="0"/>
          <w:sz w:val="22"/>
          <w:szCs w:val="22"/>
          <w:lang w:eastAsia="zh-TW"/>
        </w:rPr>
        <w:drawing>
          <wp:inline distT="0" distB="0" distL="0" distR="0" wp14:anchorId="4427E4EC" wp14:editId="4985FC96">
            <wp:extent cx="756527" cy="266031"/>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121D3BC" w14:textId="77777777" w:rsidR="00274756" w:rsidRPr="00C14A99" w:rsidRDefault="00274756" w:rsidP="00274756">
      <w:pPr>
        <w:spacing w:before="240" w:after="120" w:line="240" w:lineRule="auto"/>
        <w:ind w:left="0"/>
        <w:rPr>
          <w:snapToGrid w:val="0"/>
          <w:sz w:val="22"/>
          <w:szCs w:val="22"/>
          <w:lang w:val="en-US"/>
        </w:rPr>
      </w:pPr>
      <w:r w:rsidRPr="00C14A99">
        <w:rPr>
          <w:snapToGrid w:val="0"/>
          <w:sz w:val="22"/>
          <w:szCs w:val="22"/>
          <w:lang w:val="en-US"/>
        </w:rPr>
        <w:t>This publication is available in Open Access under the Attribution-ShareAlike 3.0 IGO (CC-BY-SA 3.0 IGO) license (</w:t>
      </w:r>
      <w:hyperlink r:id="rId10" w:history="1">
        <w:r w:rsidRPr="00C14A99">
          <w:rPr>
            <w:rFonts w:eastAsiaTheme="minorHAnsi"/>
            <w:snapToGrid w:val="0"/>
            <w:color w:val="0000FF"/>
            <w:sz w:val="22"/>
            <w:szCs w:val="22"/>
            <w:u w:val="single" w:color="0000FF"/>
            <w:lang w:val="en-GB" w:eastAsia="en-US"/>
          </w:rPr>
          <w:t>http://creativecommons.org/licenses/by-sa/3.0/igo/</w:t>
        </w:r>
      </w:hyperlink>
      <w:r w:rsidRPr="00C14A99">
        <w:rPr>
          <w:snapToGrid w:val="0"/>
          <w:sz w:val="22"/>
          <w:szCs w:val="22"/>
          <w:lang w:val="en-US"/>
        </w:rPr>
        <w:t>). By using the content of this publication, the users accept to be bound by the terms of use of the UNESCO Open Access Repository (</w:t>
      </w:r>
      <w:hyperlink r:id="rId11" w:history="1">
        <w:r w:rsidRPr="00C14A99">
          <w:rPr>
            <w:snapToGrid w:val="0"/>
            <w:color w:val="0000FF"/>
            <w:sz w:val="22"/>
            <w:szCs w:val="22"/>
            <w:u w:val="single"/>
            <w:lang w:val="en-US"/>
          </w:rPr>
          <w:t>http://www.unesco.org/open-access/terms-use-ccbysa-en</w:t>
        </w:r>
      </w:hyperlink>
      <w:r w:rsidRPr="00C14A99">
        <w:rPr>
          <w:snapToGrid w:val="0"/>
          <w:sz w:val="22"/>
          <w:szCs w:val="22"/>
          <w:lang w:val="en-US"/>
        </w:rPr>
        <w:t>).</w:t>
      </w:r>
    </w:p>
    <w:p w14:paraId="49C4B71A" w14:textId="77777777" w:rsidR="00274756" w:rsidRPr="00C14A99" w:rsidRDefault="00274756" w:rsidP="00274756">
      <w:pPr>
        <w:snapToGrid/>
        <w:spacing w:after="120" w:line="240" w:lineRule="auto"/>
        <w:ind w:left="0"/>
        <w:jc w:val="left"/>
        <w:rPr>
          <w:bCs/>
          <w:iCs/>
          <w:snapToGrid w:val="0"/>
          <w:sz w:val="22"/>
          <w:szCs w:val="22"/>
          <w:lang w:val="en-GB" w:eastAsia="pt-BR"/>
        </w:rPr>
      </w:pPr>
      <w:r w:rsidRPr="00C14A99">
        <w:rPr>
          <w:bCs/>
          <w:iCs/>
          <w:snapToGrid w:val="0"/>
          <w:sz w:val="22"/>
          <w:szCs w:val="22"/>
          <w:lang w:val="en-GB"/>
        </w:rPr>
        <w:t>The images of this publication do not fall under the CC-BY-SA licence and may not be used, reproduced, or commercialized without the prior permission of the copyright holders.</w:t>
      </w:r>
    </w:p>
    <w:p w14:paraId="1AB13830" w14:textId="77777777" w:rsidR="00274756" w:rsidRPr="00C14A99" w:rsidRDefault="00274756" w:rsidP="00274756">
      <w:pPr>
        <w:tabs>
          <w:tab w:val="clear" w:pos="567"/>
        </w:tabs>
        <w:snapToGrid/>
        <w:spacing w:line="240" w:lineRule="auto"/>
        <w:ind w:left="0"/>
        <w:jc w:val="left"/>
        <w:rPr>
          <w:rFonts w:eastAsia="Times New Roman"/>
          <w:bCs/>
          <w:iCs/>
          <w:sz w:val="22"/>
          <w:szCs w:val="22"/>
          <w:lang w:val="en-GB" w:eastAsia="pt-BR"/>
        </w:rPr>
      </w:pPr>
    </w:p>
    <w:p w14:paraId="1BC557D1" w14:textId="77777777" w:rsidR="00274756" w:rsidRPr="00C14A99" w:rsidRDefault="00274756" w:rsidP="00274756">
      <w:pPr>
        <w:spacing w:before="120" w:after="120" w:line="240" w:lineRule="auto"/>
        <w:ind w:left="0"/>
        <w:rPr>
          <w:bCs/>
          <w:iCs/>
          <w:snapToGrid w:val="0"/>
          <w:sz w:val="22"/>
          <w:szCs w:val="22"/>
          <w:lang w:val="en-GB"/>
        </w:rPr>
      </w:pPr>
      <w:r w:rsidRPr="00C14A99">
        <w:rPr>
          <w:bCs/>
          <w:iCs/>
          <w:snapToGrid w:val="0"/>
          <w:sz w:val="22"/>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7CC6A040" w14:textId="77777777" w:rsidR="00274756" w:rsidRPr="00C14A99" w:rsidRDefault="00274756" w:rsidP="00274756">
      <w:pPr>
        <w:tabs>
          <w:tab w:val="clear" w:pos="567"/>
        </w:tabs>
        <w:snapToGrid/>
        <w:spacing w:line="240" w:lineRule="auto"/>
        <w:ind w:left="0"/>
        <w:jc w:val="left"/>
        <w:rPr>
          <w:rFonts w:eastAsia="Times New Roman"/>
          <w:bCs/>
          <w:iCs/>
          <w:sz w:val="22"/>
          <w:szCs w:val="22"/>
          <w:lang w:val="en-GB" w:eastAsia="pt-BR"/>
        </w:rPr>
      </w:pPr>
    </w:p>
    <w:p w14:paraId="6AFEA159" w14:textId="77777777" w:rsidR="00274756" w:rsidRPr="00C14A99" w:rsidRDefault="00274756" w:rsidP="00274756">
      <w:pPr>
        <w:tabs>
          <w:tab w:val="clear" w:pos="567"/>
        </w:tabs>
        <w:snapToGrid/>
        <w:spacing w:line="240" w:lineRule="auto"/>
        <w:ind w:left="0"/>
        <w:jc w:val="left"/>
        <w:rPr>
          <w:rFonts w:eastAsia="Times New Roman"/>
          <w:bCs/>
          <w:iCs/>
          <w:sz w:val="22"/>
          <w:szCs w:val="22"/>
          <w:lang w:val="en-GB" w:eastAsia="pt-BR"/>
        </w:rPr>
      </w:pPr>
      <w:r w:rsidRPr="00C14A99">
        <w:rPr>
          <w:rFonts w:eastAsia="Times New Roman"/>
          <w:bCs/>
          <w:iCs/>
          <w:sz w:val="22"/>
          <w:szCs w:val="22"/>
          <w:lang w:val="en-GB" w:eastAsia="pt-BR"/>
        </w:rPr>
        <w:t>The ideas and opinions expressed in this publication are those of the authors; they are not necessarily those of UNESCO and do not commit the Organization.</w:t>
      </w:r>
    </w:p>
    <w:p w14:paraId="4580B4F7" w14:textId="77777777" w:rsidR="00274756" w:rsidRPr="00C14A99" w:rsidRDefault="00274756" w:rsidP="00274756">
      <w:pPr>
        <w:tabs>
          <w:tab w:val="clear" w:pos="567"/>
        </w:tabs>
        <w:snapToGrid/>
        <w:spacing w:line="240" w:lineRule="auto"/>
        <w:ind w:left="0"/>
        <w:jc w:val="left"/>
        <w:rPr>
          <w:lang w:val="en-GB"/>
        </w:rPr>
      </w:pPr>
    </w:p>
    <w:p w14:paraId="75AB3547" w14:textId="77777777" w:rsidR="00274756" w:rsidRDefault="00274756" w:rsidP="00274756">
      <w:pPr>
        <w:tabs>
          <w:tab w:val="clear" w:pos="567"/>
        </w:tabs>
        <w:snapToGrid/>
        <w:spacing w:line="240" w:lineRule="auto"/>
        <w:ind w:left="0"/>
        <w:jc w:val="left"/>
        <w:rPr>
          <w:lang w:val="en-US"/>
        </w:rPr>
      </w:pPr>
      <w:r>
        <w:rPr>
          <w:lang w:val="en-US"/>
        </w:rPr>
        <w:br w:type="page"/>
      </w:r>
    </w:p>
    <w:p w14:paraId="431CED92" w14:textId="1B884413" w:rsidR="00802500" w:rsidRPr="00787639" w:rsidRDefault="00955176" w:rsidP="00C824DE">
      <w:pPr>
        <w:pStyle w:val="Titcoul"/>
        <w:spacing w:before="0"/>
        <w:rPr>
          <w:spacing w:val="1"/>
          <w:w w:val="107"/>
          <w:lang w:val="en-GB"/>
        </w:rPr>
      </w:pPr>
      <w:r w:rsidRPr="004D76DA">
        <w:rPr>
          <w:lang w:val="en-GB"/>
        </w:rPr>
        <w:lastRenderedPageBreak/>
        <w:t>9</w:t>
      </w:r>
      <w:r w:rsidR="00802500" w:rsidRPr="004D76DA">
        <w:rPr>
          <w:lang w:val="en-GB"/>
        </w:rPr>
        <w:t>.1</w:t>
      </w:r>
      <w:r w:rsidR="003426FF" w:rsidRPr="00787639">
        <w:rPr>
          <w:spacing w:val="1"/>
          <w:w w:val="107"/>
          <w:lang w:val="en-GB"/>
        </w:rPr>
        <w:tab/>
      </w:r>
      <w:r w:rsidR="00802500" w:rsidRPr="00D44CAC">
        <w:rPr>
          <w:spacing w:val="3"/>
          <w:w w:val="107"/>
          <w:lang w:val="en-GB"/>
        </w:rPr>
        <w:t>TH</w:t>
      </w:r>
      <w:r w:rsidR="00802500" w:rsidRPr="004D76DA">
        <w:rPr>
          <w:lang w:val="en-GB"/>
        </w:rPr>
        <w:t>E</w:t>
      </w:r>
      <w:r w:rsidR="00802500" w:rsidRPr="00787639">
        <w:rPr>
          <w:spacing w:val="1"/>
          <w:w w:val="107"/>
          <w:lang w:val="en-GB"/>
        </w:rPr>
        <w:t xml:space="preserve"> </w:t>
      </w:r>
      <w:r w:rsidR="00802500" w:rsidRPr="004D76DA">
        <w:rPr>
          <w:lang w:val="en-GB"/>
        </w:rPr>
        <w:t>C</w:t>
      </w:r>
      <w:r w:rsidR="00802500" w:rsidRPr="00787639">
        <w:rPr>
          <w:spacing w:val="3"/>
          <w:w w:val="107"/>
          <w:lang w:val="en-GB"/>
        </w:rPr>
        <w:t>ONVENTIO</w:t>
      </w:r>
      <w:r w:rsidR="00802500" w:rsidRPr="00D44CAC">
        <w:rPr>
          <w:spacing w:val="1"/>
          <w:w w:val="107"/>
          <w:lang w:val="en-GB"/>
        </w:rPr>
        <w:t xml:space="preserve">N </w:t>
      </w:r>
      <w:r w:rsidR="00802500" w:rsidRPr="004D76DA">
        <w:rPr>
          <w:lang w:val="en-GB"/>
        </w:rPr>
        <w:t>AN</w:t>
      </w:r>
      <w:r w:rsidR="00802500" w:rsidRPr="00787639">
        <w:rPr>
          <w:spacing w:val="2"/>
          <w:w w:val="107"/>
          <w:lang w:val="en-GB"/>
        </w:rPr>
        <w:t>D</w:t>
      </w:r>
      <w:r w:rsidR="00802500" w:rsidRPr="004D76DA">
        <w:rPr>
          <w:lang w:val="en-GB"/>
        </w:rPr>
        <w:t xml:space="preserve"> SAFEGUARDING</w:t>
      </w:r>
      <w:bookmarkEnd w:id="5"/>
      <w:bookmarkEnd w:id="6"/>
      <w:bookmarkEnd w:id="7"/>
    </w:p>
    <w:p w14:paraId="7D5F38AF" w14:textId="00A1DC13" w:rsidR="00B617A6" w:rsidRPr="0095547A" w:rsidRDefault="00521548" w:rsidP="002D5639">
      <w:pPr>
        <w:pStyle w:val="Texte1"/>
      </w:pPr>
      <w:r w:rsidRPr="0095547A">
        <w:rPr>
          <w:bCs/>
          <w:noProof/>
          <w:lang w:val="fr-FR" w:eastAsia="zh-TW"/>
        </w:rPr>
        <w:drawing>
          <wp:anchor distT="0" distB="0" distL="114300" distR="114300" simplePos="0" relativeHeight="251658240" behindDoc="0" locked="1" layoutInCell="1" allowOverlap="0" wp14:anchorId="472209E8" wp14:editId="1E53A4FE">
            <wp:simplePos x="0" y="0"/>
            <wp:positionH relativeFrom="column">
              <wp:posOffset>0</wp:posOffset>
            </wp:positionH>
            <wp:positionV relativeFrom="paragraph">
              <wp:posOffset>165100</wp:posOffset>
            </wp:positionV>
            <wp:extent cx="283210" cy="358775"/>
            <wp:effectExtent l="0" t="0" r="0" b="0"/>
            <wp:wrapThrough wrapText="bothSides">
              <wp:wrapPolygon edited="0">
                <wp:start x="0" y="0"/>
                <wp:lineTo x="0" y="19880"/>
                <wp:lineTo x="19372" y="19880"/>
                <wp:lineTo x="19372" y="0"/>
                <wp:lineTo x="0" y="0"/>
              </wp:wrapPolygon>
            </wp:wrapThrough>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DD01F3" w:rsidRPr="0095547A">
        <w:rPr>
          <w:bCs/>
        </w:rPr>
        <w:t>Article </w:t>
      </w:r>
      <w:r w:rsidR="00802500" w:rsidRPr="0095547A">
        <w:rPr>
          <w:bCs/>
        </w:rPr>
        <w:t>2.3</w:t>
      </w:r>
      <w:r w:rsidR="00802500" w:rsidRPr="0095547A">
        <w:t xml:space="preserve"> of the Convention defines safeguarding as ‘</w:t>
      </w:r>
      <w:r w:rsidR="008473EF" w:rsidRPr="0095547A">
        <w:t xml:space="preserve">measures aimed at </w:t>
      </w:r>
      <w:r w:rsidR="00802500" w:rsidRPr="0095547A">
        <w:t xml:space="preserve">ensuring the viability of the intangible cultural heritage’, (see </w:t>
      </w:r>
      <w:r w:rsidR="00C61BCD" w:rsidRPr="0095547A">
        <w:t>Participant’s</w:t>
      </w:r>
      <w:r w:rsidR="009467F3" w:rsidRPr="0095547A">
        <w:t> </w:t>
      </w:r>
      <w:r w:rsidR="00C61BCD" w:rsidRPr="0095547A">
        <w:t>text</w:t>
      </w:r>
      <w:r w:rsidR="00802500" w:rsidRPr="0095547A">
        <w:t xml:space="preserve"> </w:t>
      </w:r>
      <w:r w:rsidR="00002A62" w:rsidRPr="0095547A">
        <w:t>Unit</w:t>
      </w:r>
      <w:r w:rsidR="008A1398" w:rsidRPr="0095547A">
        <w:t> </w:t>
      </w:r>
      <w:r w:rsidR="00002A62" w:rsidRPr="0095547A">
        <w:t>3</w:t>
      </w:r>
      <w:r w:rsidR="00802500" w:rsidRPr="0095547A">
        <w:t>: ‘Safeguarding and safeguarding measures’).</w:t>
      </w:r>
    </w:p>
    <w:p w14:paraId="5C848471" w14:textId="74AF4165" w:rsidR="00E73EC1" w:rsidRPr="0095547A" w:rsidRDefault="00E73EC1" w:rsidP="002D5639">
      <w:pPr>
        <w:pStyle w:val="Texte1"/>
        <w:rPr>
          <w:strike/>
        </w:rPr>
      </w:pPr>
      <w:r w:rsidRPr="0095547A">
        <w:t xml:space="preserve">In its focus on maintaining the viability of practice or expressions, safeguarding of </w:t>
      </w:r>
      <w:r w:rsidR="001C6B4B" w:rsidRPr="0095547A">
        <w:t>ICH</w:t>
      </w:r>
      <w:r w:rsidRPr="0095547A">
        <w:t xml:space="preserve"> is quite different from conservation of tangible heritage and places</w:t>
      </w:r>
    </w:p>
    <w:p w14:paraId="27C70830" w14:textId="77777777" w:rsidR="00802500" w:rsidRPr="004D76DA" w:rsidRDefault="00802500" w:rsidP="00A853D3">
      <w:pPr>
        <w:pStyle w:val="Heading4"/>
        <w:rPr>
          <w:lang w:val="en-GB"/>
        </w:rPr>
      </w:pPr>
      <w:r w:rsidRPr="004D76DA">
        <w:rPr>
          <w:lang w:val="en-GB"/>
        </w:rPr>
        <w:t>Safeguarding</w:t>
      </w:r>
      <w:r w:rsidRPr="00787639">
        <w:rPr>
          <w:spacing w:val="2"/>
          <w:w w:val="106"/>
          <w:lang w:val="en-GB"/>
        </w:rPr>
        <w:t xml:space="preserve"> </w:t>
      </w:r>
      <w:r w:rsidRPr="004D76DA">
        <w:rPr>
          <w:lang w:val="en-GB"/>
        </w:rPr>
        <w:t>is</w:t>
      </w:r>
      <w:r w:rsidRPr="00787639">
        <w:rPr>
          <w:spacing w:val="2"/>
          <w:w w:val="106"/>
          <w:lang w:val="en-GB"/>
        </w:rPr>
        <w:t xml:space="preserve"> </w:t>
      </w:r>
      <w:r w:rsidRPr="004D76DA">
        <w:rPr>
          <w:lang w:val="en-GB"/>
        </w:rPr>
        <w:t>the</w:t>
      </w:r>
      <w:r w:rsidRPr="00787639">
        <w:rPr>
          <w:spacing w:val="2"/>
          <w:w w:val="106"/>
          <w:lang w:val="en-GB"/>
        </w:rPr>
        <w:t xml:space="preserve"> </w:t>
      </w:r>
      <w:r w:rsidRPr="004D76DA">
        <w:rPr>
          <w:lang w:val="en-GB"/>
        </w:rPr>
        <w:t>main</w:t>
      </w:r>
      <w:r w:rsidRPr="00787639">
        <w:rPr>
          <w:spacing w:val="1"/>
          <w:w w:val="106"/>
          <w:lang w:val="en-GB"/>
        </w:rPr>
        <w:t xml:space="preserve"> </w:t>
      </w:r>
      <w:r w:rsidRPr="004D76DA">
        <w:rPr>
          <w:lang w:val="en-GB"/>
        </w:rPr>
        <w:t>goal</w:t>
      </w:r>
      <w:r w:rsidRPr="00787639">
        <w:rPr>
          <w:spacing w:val="1"/>
          <w:w w:val="106"/>
          <w:lang w:val="en-GB"/>
        </w:rPr>
        <w:t xml:space="preserve"> </w:t>
      </w:r>
      <w:r w:rsidRPr="004D76DA">
        <w:rPr>
          <w:lang w:val="en-GB"/>
        </w:rPr>
        <w:t>of</w:t>
      </w:r>
      <w:r w:rsidRPr="00787639">
        <w:rPr>
          <w:spacing w:val="1"/>
          <w:w w:val="106"/>
          <w:lang w:val="en-GB"/>
        </w:rPr>
        <w:t xml:space="preserve"> </w:t>
      </w:r>
      <w:r w:rsidRPr="004D76DA">
        <w:rPr>
          <w:lang w:val="en-GB"/>
        </w:rPr>
        <w:t>the</w:t>
      </w:r>
      <w:r w:rsidRPr="00787639">
        <w:rPr>
          <w:spacing w:val="1"/>
          <w:w w:val="106"/>
          <w:lang w:val="en-GB"/>
        </w:rPr>
        <w:t xml:space="preserve"> </w:t>
      </w:r>
      <w:r w:rsidRPr="004D76DA">
        <w:rPr>
          <w:lang w:val="en-GB"/>
        </w:rPr>
        <w:t>Convention</w:t>
      </w:r>
    </w:p>
    <w:p w14:paraId="1991CF9D" w14:textId="77777777" w:rsidR="00802500" w:rsidRPr="00D90418" w:rsidRDefault="00802500" w:rsidP="002D5639">
      <w:pPr>
        <w:pStyle w:val="Texte1"/>
      </w:pPr>
      <w:r w:rsidRPr="00787639">
        <w:t>Sa</w:t>
      </w:r>
      <w:r w:rsidRPr="00D44CAC">
        <w:t xml:space="preserve">feguarding ICH is the main goal of the Convention, as indicated by its full title, the Convention for the Safeguarding of the Intangible Cultural Heritage. Various provisions of </w:t>
      </w:r>
      <w:r w:rsidRPr="00D90418">
        <w:t>the Convention and the Operational Directives (ODs) support this:</w:t>
      </w:r>
    </w:p>
    <w:p w14:paraId="09D67A07" w14:textId="77777777" w:rsidR="00802500" w:rsidRPr="00787639" w:rsidRDefault="00802500" w:rsidP="00AD2211">
      <w:pPr>
        <w:pStyle w:val="Txtpucegras"/>
      </w:pPr>
      <w:r w:rsidRPr="00787639">
        <w:t>States Parties are required to ‘take the necessary measures’ to safeguard the</w:t>
      </w:r>
      <w:r w:rsidR="001F0E80" w:rsidRPr="00787639">
        <w:t xml:space="preserve"> </w:t>
      </w:r>
      <w:r w:rsidRPr="00787639">
        <w:t>ICH present in their territory (</w:t>
      </w:r>
      <w:r w:rsidR="00DD01F3" w:rsidRPr="00787639">
        <w:t>Article </w:t>
      </w:r>
      <w:r w:rsidRPr="00787639">
        <w:t>11(a)).</w:t>
      </w:r>
    </w:p>
    <w:p w14:paraId="041416AB" w14:textId="77777777" w:rsidR="00802500" w:rsidRPr="00787639" w:rsidRDefault="00802500" w:rsidP="00952DBE">
      <w:pPr>
        <w:pStyle w:val="Txtpucegras"/>
      </w:pPr>
      <w:r w:rsidRPr="00787639">
        <w:t>States Parties are encouraged to support and assist communities living in</w:t>
      </w:r>
      <w:r w:rsidR="001F0E80" w:rsidRPr="00787639">
        <w:t xml:space="preserve"> </w:t>
      </w:r>
      <w:r w:rsidRPr="00787639">
        <w:t>their territories who wish to safeguard specific elements of their ICH.</w:t>
      </w:r>
    </w:p>
    <w:p w14:paraId="11B65379" w14:textId="6A0136CD" w:rsidR="00802500" w:rsidRPr="00787639" w:rsidRDefault="00802500">
      <w:pPr>
        <w:pStyle w:val="Txtpucegras"/>
      </w:pPr>
      <w:r w:rsidRPr="00787639">
        <w:t>The ODs suggest many different ways in which States may assist in</w:t>
      </w:r>
      <w:r w:rsidR="001F0E80" w:rsidRPr="00787639">
        <w:t xml:space="preserve"> </w:t>
      </w:r>
      <w:r w:rsidRPr="00787639">
        <w:t>safeguarding ICH and in supporting communities to do so (e.g.</w:t>
      </w:r>
      <w:r w:rsidR="006F64E1">
        <w:t> </w:t>
      </w:r>
      <w:r w:rsidRPr="000C3AB5">
        <w:t>ODs</w:t>
      </w:r>
      <w:r w:rsidR="00947385" w:rsidRPr="000C3AB5">
        <w:t> </w:t>
      </w:r>
      <w:r w:rsidRPr="000C3AB5">
        <w:t>80–82 and 85–86</w:t>
      </w:r>
      <w:r w:rsidRPr="00787639">
        <w:t>).</w:t>
      </w:r>
    </w:p>
    <w:p w14:paraId="1AAD0906" w14:textId="77777777" w:rsidR="00802500" w:rsidRPr="00787639" w:rsidRDefault="00FF1221">
      <w:pPr>
        <w:pStyle w:val="Txtpucegras"/>
      </w:pPr>
      <w:r>
        <w:t>T</w:t>
      </w:r>
      <w:r w:rsidR="00802500" w:rsidRPr="00787639">
        <w:t>he Convention establishes a special List for ICH in need of urgent</w:t>
      </w:r>
      <w:r w:rsidR="001F0E80" w:rsidRPr="00787639">
        <w:t xml:space="preserve"> </w:t>
      </w:r>
      <w:r w:rsidR="00802500" w:rsidRPr="00787639">
        <w:t>safeguarding (</w:t>
      </w:r>
      <w:r w:rsidR="00DD01F3" w:rsidRPr="00787639">
        <w:t>Article </w:t>
      </w:r>
      <w:r w:rsidR="00802500" w:rsidRPr="00787639">
        <w:t>17; OD</w:t>
      </w:r>
      <w:r w:rsidR="00947385">
        <w:t> </w:t>
      </w:r>
      <w:r w:rsidR="00802500" w:rsidRPr="00787639">
        <w:t>1) and makes special provisions for elements that need safeguarding on an extremely urgent basis (</w:t>
      </w:r>
      <w:r w:rsidR="00802500" w:rsidRPr="0068396F">
        <w:t>OD</w:t>
      </w:r>
      <w:r w:rsidR="00947385" w:rsidRPr="0068396F">
        <w:t> </w:t>
      </w:r>
      <w:r w:rsidR="00802500" w:rsidRPr="0068396F">
        <w:t>32).</w:t>
      </w:r>
    </w:p>
    <w:p w14:paraId="7B3FEA44" w14:textId="532CC667" w:rsidR="00802500" w:rsidRPr="00787639" w:rsidRDefault="00DD01F3">
      <w:pPr>
        <w:pStyle w:val="Txtpucegras"/>
      </w:pPr>
      <w:r w:rsidRPr="00787639">
        <w:t>Article </w:t>
      </w:r>
      <w:r w:rsidR="00802500" w:rsidRPr="00787639">
        <w:t>18 of the Convention calls for the nomination, selection and</w:t>
      </w:r>
      <w:r w:rsidR="001F0E80" w:rsidRPr="00787639">
        <w:t xml:space="preserve"> </w:t>
      </w:r>
      <w:r w:rsidR="00802500" w:rsidRPr="00787639">
        <w:t xml:space="preserve">dissemination of </w:t>
      </w:r>
      <w:r w:rsidR="007B71FE">
        <w:t>good</w:t>
      </w:r>
      <w:r w:rsidR="00802500" w:rsidRPr="00787639">
        <w:t xml:space="preserve"> safeguarding practices (</w:t>
      </w:r>
      <w:r w:rsidR="00802500" w:rsidRPr="00500962">
        <w:t>ODs</w:t>
      </w:r>
      <w:r w:rsidR="00947385" w:rsidRPr="00500962">
        <w:t> </w:t>
      </w:r>
      <w:r w:rsidR="00802500" w:rsidRPr="00500962">
        <w:t>42–46</w:t>
      </w:r>
      <w:r w:rsidR="00802500" w:rsidRPr="00787639">
        <w:t>).</w:t>
      </w:r>
    </w:p>
    <w:p w14:paraId="01F5C554" w14:textId="77777777" w:rsidR="00AF3AB1" w:rsidRDefault="00725E8F" w:rsidP="0025100D">
      <w:pPr>
        <w:pStyle w:val="Txtpucegras"/>
      </w:pPr>
      <w:r>
        <w:t>One</w:t>
      </w:r>
      <w:r w:rsidR="00997270">
        <w:t> </w:t>
      </w:r>
      <w:r>
        <w:t>of the</w:t>
      </w:r>
      <w:r w:rsidR="00802500" w:rsidRPr="00787639">
        <w:t xml:space="preserve"> purpose</w:t>
      </w:r>
      <w:r>
        <w:t>s</w:t>
      </w:r>
      <w:r w:rsidR="00802500" w:rsidRPr="00787639">
        <w:t xml:space="preserve"> of international assistance mentioned in </w:t>
      </w:r>
      <w:r w:rsidR="00DD01F3" w:rsidRPr="00787639">
        <w:t>Article </w:t>
      </w:r>
      <w:r w:rsidR="00802500" w:rsidRPr="00787639">
        <w:t>20</w:t>
      </w:r>
      <w:r w:rsidR="001F0E80" w:rsidRPr="00787639">
        <w:t xml:space="preserve"> </w:t>
      </w:r>
      <w:r w:rsidR="00802500" w:rsidRPr="00787639">
        <w:t>of the Convention is the safeguarding of heritage inscribed on the Urgent Safeguarding List (</w:t>
      </w:r>
      <w:r w:rsidR="00802500" w:rsidRPr="00500962">
        <w:t>OD</w:t>
      </w:r>
      <w:r w:rsidR="00947385" w:rsidRPr="00500962">
        <w:t> </w:t>
      </w:r>
      <w:r w:rsidR="00802500" w:rsidRPr="00500962">
        <w:t>9(a)).</w:t>
      </w:r>
    </w:p>
    <w:p w14:paraId="6E5683E8" w14:textId="77777777" w:rsidR="00802500" w:rsidRPr="004D76DA" w:rsidRDefault="00802500" w:rsidP="00A853D3">
      <w:pPr>
        <w:pStyle w:val="Heading4"/>
        <w:rPr>
          <w:lang w:val="en-GB"/>
        </w:rPr>
      </w:pPr>
      <w:r w:rsidRPr="004D76DA">
        <w:rPr>
          <w:lang w:val="en-GB"/>
        </w:rPr>
        <w:t>Gene</w:t>
      </w:r>
      <w:r w:rsidRPr="00787639">
        <w:rPr>
          <w:spacing w:val="-1"/>
          <w:w w:val="107"/>
          <w:lang w:val="en-GB"/>
        </w:rPr>
        <w:t>r</w:t>
      </w:r>
      <w:r w:rsidRPr="004D76DA">
        <w:rPr>
          <w:lang w:val="en-GB"/>
        </w:rPr>
        <w:t>al and specific sa</w:t>
      </w:r>
      <w:r w:rsidRPr="00787639">
        <w:rPr>
          <w:spacing w:val="-1"/>
          <w:w w:val="107"/>
          <w:lang w:val="en-GB"/>
        </w:rPr>
        <w:t>f</w:t>
      </w:r>
      <w:r w:rsidRPr="004D76DA">
        <w:rPr>
          <w:lang w:val="en-GB"/>
        </w:rPr>
        <w:t>egua</w:t>
      </w:r>
      <w:r w:rsidRPr="00787639">
        <w:rPr>
          <w:spacing w:val="-2"/>
          <w:w w:val="107"/>
          <w:lang w:val="en-GB"/>
        </w:rPr>
        <w:t>r</w:t>
      </w:r>
      <w:r w:rsidRPr="004D76DA">
        <w:rPr>
          <w:lang w:val="en-GB"/>
        </w:rPr>
        <w:t>ding</w:t>
      </w:r>
      <w:r w:rsidRPr="00787639">
        <w:rPr>
          <w:spacing w:val="-1"/>
          <w:w w:val="107"/>
          <w:lang w:val="en-GB"/>
        </w:rPr>
        <w:t xml:space="preserve"> </w:t>
      </w:r>
      <w:r w:rsidRPr="004D76DA">
        <w:rPr>
          <w:lang w:val="en-GB"/>
        </w:rPr>
        <w:t>measu</w:t>
      </w:r>
      <w:r w:rsidRPr="00787639">
        <w:rPr>
          <w:spacing w:val="-1"/>
          <w:w w:val="107"/>
          <w:lang w:val="en-GB"/>
        </w:rPr>
        <w:t>r</w:t>
      </w:r>
      <w:r w:rsidRPr="004D76DA">
        <w:rPr>
          <w:lang w:val="en-GB"/>
        </w:rPr>
        <w:t>es</w:t>
      </w:r>
    </w:p>
    <w:p w14:paraId="080F442F" w14:textId="55E9888A" w:rsidR="00802500" w:rsidRPr="000568BC" w:rsidRDefault="00802500" w:rsidP="002D5639">
      <w:pPr>
        <w:pStyle w:val="Texte1"/>
      </w:pPr>
      <w:r w:rsidRPr="00787639">
        <w:t>M</w:t>
      </w:r>
      <w:r w:rsidRPr="00D44CAC">
        <w:t xml:space="preserve">easures for safeguarding may aim at creating favourable general conditions in which the ICH </w:t>
      </w:r>
      <w:r w:rsidRPr="000568BC">
        <w:t xml:space="preserve">present </w:t>
      </w:r>
      <w:r w:rsidR="007B71FE" w:rsidRPr="000568BC">
        <w:t>on the territory</w:t>
      </w:r>
      <w:r w:rsidRPr="000568BC">
        <w:t xml:space="preserve"> can thrive</w:t>
      </w:r>
      <w:r w:rsidR="000C2D7C" w:rsidRPr="000568BC">
        <w:t>,</w:t>
      </w:r>
      <w:r w:rsidRPr="000568BC">
        <w:t xml:space="preserve"> e.g.</w:t>
      </w:r>
      <w:r w:rsidR="006F64E1" w:rsidRPr="000568BC">
        <w:t> </w:t>
      </w:r>
      <w:r w:rsidRPr="000568BC">
        <w:t>through legislative, administrative, financial or awareness-raising measures. Safeguarding measures may also target specific ICH elements or groups of elements that face threats or risks to their continued viability.</w:t>
      </w:r>
      <w:r w:rsidR="00441CE3" w:rsidRPr="000568BC">
        <w:t xml:space="preserve"> The design and implementation of any safeguarding measures </w:t>
      </w:r>
      <w:r w:rsidR="001235B5" w:rsidRPr="000568BC">
        <w:t>should reflect the involvement of communities in safeguard</w:t>
      </w:r>
      <w:r w:rsidR="00084E84" w:rsidRPr="000568BC">
        <w:t>ing their own ICH and the</w:t>
      </w:r>
      <w:r w:rsidR="00262115" w:rsidRPr="000568BC">
        <w:t xml:space="preserve"> significant role in determining what constitutes threats to their ICH</w:t>
      </w:r>
      <w:r w:rsidR="00084E84" w:rsidRPr="000568BC">
        <w:t xml:space="preserve">. It should also reflect </w:t>
      </w:r>
      <w:r w:rsidR="00441CE3" w:rsidRPr="000568BC">
        <w:t xml:space="preserve">how to prevent and mitigate such threats and underscore the importance of cultural diversity, gender equality, youth involvement and respect </w:t>
      </w:r>
      <w:r w:rsidR="00262115" w:rsidRPr="000568BC">
        <w:t xml:space="preserve">for ethnic identities </w:t>
      </w:r>
      <w:r w:rsidR="000A57C4" w:rsidRPr="000568BC">
        <w:t xml:space="preserve">(see Ethical Principles). </w:t>
      </w:r>
    </w:p>
    <w:p w14:paraId="4CB77DF0" w14:textId="77777777" w:rsidR="00802500" w:rsidRPr="004D76DA" w:rsidRDefault="00955176" w:rsidP="00C82E38">
      <w:pPr>
        <w:pStyle w:val="Titcoul"/>
        <w:rPr>
          <w:lang w:val="en-GB"/>
        </w:rPr>
      </w:pPr>
      <w:bookmarkStart w:id="8" w:name="_Toc241229722"/>
      <w:bookmarkStart w:id="9" w:name="_Toc241229926"/>
      <w:bookmarkStart w:id="10" w:name="_Toc242165620"/>
      <w:r w:rsidRPr="004D76DA">
        <w:rPr>
          <w:lang w:val="en-GB"/>
        </w:rPr>
        <w:lastRenderedPageBreak/>
        <w:t>9</w:t>
      </w:r>
      <w:r w:rsidR="00802500" w:rsidRPr="004D76DA">
        <w:rPr>
          <w:lang w:val="en-GB"/>
        </w:rPr>
        <w:t xml:space="preserve">.2 </w:t>
      </w:r>
      <w:r w:rsidR="003C3419" w:rsidRPr="004D76DA">
        <w:rPr>
          <w:lang w:val="en-GB"/>
        </w:rPr>
        <w:tab/>
      </w:r>
      <w:r w:rsidR="00802500" w:rsidRPr="004D76DA">
        <w:rPr>
          <w:lang w:val="en-GB"/>
        </w:rPr>
        <w:t>MEASURES FOR SAFEGUARDING ICH IN GENERAL</w:t>
      </w:r>
      <w:bookmarkEnd w:id="8"/>
      <w:bookmarkEnd w:id="9"/>
      <w:bookmarkEnd w:id="10"/>
    </w:p>
    <w:p w14:paraId="3667493D" w14:textId="77777777" w:rsidR="00802500" w:rsidRPr="00787639" w:rsidRDefault="00802500" w:rsidP="002D5639">
      <w:pPr>
        <w:pStyle w:val="Texte1"/>
      </w:pPr>
      <w:r w:rsidRPr="00787639">
        <w:t>A</w:t>
      </w:r>
      <w:r w:rsidRPr="00D44CAC">
        <w:t>rticles</w:t>
      </w:r>
      <w:r w:rsidR="00614593">
        <w:t> </w:t>
      </w:r>
      <w:r w:rsidRPr="00D44CAC">
        <w:t>11(b)–15 of the Convention give clear indications of how a St</w:t>
      </w:r>
      <w:r w:rsidRPr="00D90418">
        <w:t>ate Party may fulfil its obligation to ‘take the necessary measures’ to ensure the safeguarding of the ICH present in its territory (</w:t>
      </w:r>
      <w:r w:rsidR="00DD01F3" w:rsidRPr="00787639">
        <w:t>Article </w:t>
      </w:r>
      <w:r w:rsidRPr="00787639">
        <w:t>11(a)). The provisions in these articles may be summari</w:t>
      </w:r>
      <w:r w:rsidR="00ED5D2E">
        <w:t>z</w:t>
      </w:r>
      <w:r w:rsidRPr="00787639">
        <w:t>ed as follows (for the full text see the Convention):</w:t>
      </w:r>
    </w:p>
    <w:p w14:paraId="337175F6" w14:textId="77777777" w:rsidR="00802500" w:rsidRPr="00787639" w:rsidRDefault="00802500" w:rsidP="008B4139">
      <w:pPr>
        <w:pStyle w:val="Soustitre"/>
      </w:pPr>
      <w:r w:rsidRPr="00787639">
        <w:rPr>
          <w:rFonts w:hint="eastAsia"/>
        </w:rPr>
        <w:t>Each State Party shall:</w:t>
      </w:r>
    </w:p>
    <w:p w14:paraId="22C73F2D" w14:textId="20AEDD4F" w:rsidR="00802500" w:rsidRPr="00A84FF1" w:rsidRDefault="00A84FF1" w:rsidP="00D70B05">
      <w:pPr>
        <w:pStyle w:val="Txtpucegras"/>
      </w:pPr>
      <w:r w:rsidRPr="00A84FF1">
        <w:t>I</w:t>
      </w:r>
      <w:r w:rsidR="00DB3411" w:rsidRPr="00A84FF1">
        <w:t xml:space="preserve">dentify </w:t>
      </w:r>
      <w:r w:rsidR="00802500" w:rsidRPr="00A84FF1">
        <w:t>and define the ICH present in its territory (</w:t>
      </w:r>
      <w:r w:rsidR="00DD01F3" w:rsidRPr="00A84FF1">
        <w:t>Article </w:t>
      </w:r>
      <w:r w:rsidR="00802500" w:rsidRPr="00A84FF1">
        <w:t>11(b))</w:t>
      </w:r>
      <w:r w:rsidR="00A7257D" w:rsidRPr="00A84FF1">
        <w:t>;</w:t>
      </w:r>
      <w:r w:rsidR="00286424" w:rsidRPr="00A84FF1">
        <w:t xml:space="preserve"> </w:t>
      </w:r>
    </w:p>
    <w:p w14:paraId="50CF6EE6" w14:textId="77777777" w:rsidR="00802500" w:rsidRPr="00A84FF1" w:rsidRDefault="00A84FF1" w:rsidP="00AD2211">
      <w:pPr>
        <w:pStyle w:val="Txtpucegras"/>
      </w:pPr>
      <w:r w:rsidRPr="00A84FF1">
        <w:t>D</w:t>
      </w:r>
      <w:r w:rsidR="00DB3411" w:rsidRPr="00A84FF1">
        <w:t xml:space="preserve">raw </w:t>
      </w:r>
      <w:r w:rsidR="00802500" w:rsidRPr="00A84FF1">
        <w:t>up one or more inventories of the ICH present in its territory (</w:t>
      </w:r>
      <w:r w:rsidR="00DD01F3" w:rsidRPr="00A84FF1">
        <w:t>Article </w:t>
      </w:r>
      <w:r w:rsidR="00802500" w:rsidRPr="00A84FF1">
        <w:t>12).</w:t>
      </w:r>
    </w:p>
    <w:p w14:paraId="40DE4752" w14:textId="77777777" w:rsidR="00802500" w:rsidRPr="00A84FF1" w:rsidRDefault="00802500" w:rsidP="008B4139">
      <w:pPr>
        <w:pStyle w:val="Soustitre"/>
      </w:pPr>
      <w:r w:rsidRPr="00A84FF1">
        <w:t>Each State Party shall endeavour to:</w:t>
      </w:r>
    </w:p>
    <w:p w14:paraId="2A62DF7F" w14:textId="77777777" w:rsidR="00802500" w:rsidRPr="00A84FF1" w:rsidRDefault="00A84FF1" w:rsidP="00AD2211">
      <w:pPr>
        <w:pStyle w:val="Txtpucegras"/>
      </w:pPr>
      <w:r w:rsidRPr="00A84FF1">
        <w:t>A</w:t>
      </w:r>
      <w:r w:rsidR="00DB3411" w:rsidRPr="00A84FF1">
        <w:t xml:space="preserve">dopt </w:t>
      </w:r>
      <w:r w:rsidR="00802500" w:rsidRPr="00A84FF1">
        <w:t>general policies; designate or establish one or more competent bodies</w:t>
      </w:r>
      <w:r w:rsidR="001F0E80" w:rsidRPr="00A84FF1">
        <w:t xml:space="preserve"> </w:t>
      </w:r>
      <w:r w:rsidR="00802500" w:rsidRPr="00A84FF1">
        <w:t>for safeguarding ICH; foster studies (‘with a view to effective safeguarding of the intangible cultural heritage’); and adopt appropriate legal, technical, administrative and financial measures (</w:t>
      </w:r>
      <w:r w:rsidR="00DD01F3" w:rsidRPr="00A84FF1">
        <w:t>Article </w:t>
      </w:r>
      <w:r w:rsidR="00802500" w:rsidRPr="00A84FF1">
        <w:t>13)</w:t>
      </w:r>
      <w:r w:rsidR="00A7257D" w:rsidRPr="00447005">
        <w:t>;</w:t>
      </w:r>
    </w:p>
    <w:p w14:paraId="2E24C249" w14:textId="77777777" w:rsidR="00802500" w:rsidRPr="00A84FF1" w:rsidRDefault="00A84FF1" w:rsidP="00A83B80">
      <w:pPr>
        <w:pStyle w:val="Txtpucegras"/>
      </w:pPr>
      <w:r w:rsidRPr="00A84FF1">
        <w:t>E</w:t>
      </w:r>
      <w:r w:rsidR="00DB3411" w:rsidRPr="00A84FF1">
        <w:t xml:space="preserve">nsure </w:t>
      </w:r>
      <w:r w:rsidR="00802500" w:rsidRPr="00A84FF1">
        <w:t>recognition of, respect for and enhancement of ICH in society</w:t>
      </w:r>
      <w:r w:rsidR="00DD01F3" w:rsidRPr="00A84FF1">
        <w:t xml:space="preserve"> </w:t>
      </w:r>
      <w:r w:rsidR="00802500" w:rsidRPr="00A84FF1">
        <w:t>(</w:t>
      </w:r>
      <w:r w:rsidR="00DD01F3" w:rsidRPr="00A84FF1">
        <w:t>Article </w:t>
      </w:r>
      <w:r w:rsidR="00802500" w:rsidRPr="00A84FF1">
        <w:t>14)</w:t>
      </w:r>
      <w:r w:rsidR="00A7257D" w:rsidRPr="00447005">
        <w:t>;</w:t>
      </w:r>
    </w:p>
    <w:p w14:paraId="533E385F" w14:textId="01D2AC53" w:rsidR="00802500" w:rsidRPr="00A84FF1" w:rsidRDefault="00A84FF1" w:rsidP="00D70B05">
      <w:pPr>
        <w:pStyle w:val="Txtpucegras"/>
      </w:pPr>
      <w:r w:rsidRPr="00A84FF1">
        <w:t>E</w:t>
      </w:r>
      <w:r w:rsidR="00DB3411" w:rsidRPr="00A84FF1">
        <w:t xml:space="preserve">nsure </w:t>
      </w:r>
      <w:r w:rsidR="00802500" w:rsidRPr="00A84FF1">
        <w:t>the participation of communities in safeguarding activities and</w:t>
      </w:r>
      <w:r w:rsidR="001F0E80" w:rsidRPr="00A84FF1">
        <w:t xml:space="preserve"> </w:t>
      </w:r>
      <w:r w:rsidR="00802500" w:rsidRPr="00A84FF1">
        <w:t>involve them in the management of their ICH (Articles</w:t>
      </w:r>
      <w:r w:rsidR="00614593" w:rsidRPr="00A84FF1">
        <w:t> </w:t>
      </w:r>
      <w:r w:rsidR="00802500" w:rsidRPr="00A84FF1">
        <w:t>11(b), 15)</w:t>
      </w:r>
      <w:r w:rsidR="00A7257D" w:rsidRPr="00A84FF1">
        <w:t>.</w:t>
      </w:r>
    </w:p>
    <w:p w14:paraId="150563CA" w14:textId="77777777" w:rsidR="00802500" w:rsidRPr="00787639" w:rsidRDefault="00802500" w:rsidP="002D5639">
      <w:pPr>
        <w:pStyle w:val="Texte1"/>
      </w:pPr>
      <w:r w:rsidRPr="00787639">
        <w:t>These provisions aim at achieving the following objectives of the Convention at the national level (</w:t>
      </w:r>
      <w:r w:rsidR="00DD01F3" w:rsidRPr="00787639">
        <w:t>Article </w:t>
      </w:r>
      <w:r w:rsidRPr="00787639">
        <w:t>1): (a) safeguarding ICH; (b) ensuring respect for ICH; and (c) raising awareness of the importance of ICH in general and ensuring mutual appreciation of ICH between and within different communities.</w:t>
      </w:r>
    </w:p>
    <w:p w14:paraId="0AD1F69B" w14:textId="77777777" w:rsidR="00802500" w:rsidRPr="00787639" w:rsidRDefault="00802500" w:rsidP="008B4139">
      <w:pPr>
        <w:pStyle w:val="Soustitre"/>
      </w:pPr>
      <w:r w:rsidRPr="00787639">
        <w:rPr>
          <w:rFonts w:hint="eastAsia"/>
        </w:rPr>
        <w:t>The Operational Directives elaborate further on these general measures:</w:t>
      </w:r>
    </w:p>
    <w:p w14:paraId="33EE50F5" w14:textId="17DB81D5" w:rsidR="00802500" w:rsidRPr="00A84FF1" w:rsidRDefault="00A84FF1" w:rsidP="00AD2211">
      <w:pPr>
        <w:pStyle w:val="Txtpucegras"/>
      </w:pPr>
      <w:r w:rsidRPr="00A84FF1">
        <w:t>E</w:t>
      </w:r>
      <w:r w:rsidR="00DB3411" w:rsidRPr="00A84FF1">
        <w:t xml:space="preserve">nsuring </w:t>
      </w:r>
      <w:r w:rsidR="00802500" w:rsidRPr="00A84FF1">
        <w:t>community participation in and consent to safeguarding (ODs</w:t>
      </w:r>
      <w:r w:rsidR="00947385" w:rsidRPr="00A84FF1">
        <w:t> </w:t>
      </w:r>
      <w:r w:rsidR="00802500" w:rsidRPr="00A84FF1">
        <w:t>1, 2, 7,</w:t>
      </w:r>
      <w:r w:rsidR="001F0E80" w:rsidRPr="00A84FF1">
        <w:t xml:space="preserve"> </w:t>
      </w:r>
      <w:r w:rsidR="00802500" w:rsidRPr="00A84FF1">
        <w:t>12, 79–80, 88, 101, 157 and 162)</w:t>
      </w:r>
      <w:r w:rsidR="007D7BC1" w:rsidRPr="00447005">
        <w:t>;</w:t>
      </w:r>
    </w:p>
    <w:p w14:paraId="58A486C4" w14:textId="77777777" w:rsidR="00802500" w:rsidRPr="00A84FF1" w:rsidRDefault="00A84FF1" w:rsidP="00952DBE">
      <w:pPr>
        <w:pStyle w:val="Txtpucegras"/>
      </w:pPr>
      <w:r w:rsidRPr="00A84FF1">
        <w:t>E</w:t>
      </w:r>
      <w:r w:rsidR="00DB3411" w:rsidRPr="00A84FF1">
        <w:t xml:space="preserve">nsuring </w:t>
      </w:r>
      <w:r w:rsidR="00802500" w:rsidRPr="00A84FF1">
        <w:t>capacity building for safeguarding (ODs</w:t>
      </w:r>
      <w:r w:rsidR="00947385" w:rsidRPr="00A84FF1">
        <w:t> </w:t>
      </w:r>
      <w:r w:rsidR="00802500" w:rsidRPr="00A84FF1">
        <w:t>82, 107 and 155)</w:t>
      </w:r>
      <w:r w:rsidR="007D7BC1" w:rsidRPr="00447005">
        <w:t>;</w:t>
      </w:r>
    </w:p>
    <w:p w14:paraId="3AD2FD26" w14:textId="77777777" w:rsidR="00802500" w:rsidRPr="00A84FF1" w:rsidRDefault="00A84FF1">
      <w:pPr>
        <w:pStyle w:val="Txtpucegras"/>
      </w:pPr>
      <w:r w:rsidRPr="00A84FF1">
        <w:t>E</w:t>
      </w:r>
      <w:r w:rsidR="00DB3411" w:rsidRPr="00A84FF1">
        <w:t xml:space="preserve">nsuring </w:t>
      </w:r>
      <w:r w:rsidR="00802500" w:rsidRPr="00A84FF1">
        <w:t>the existence of appropriate legal frameworks and codes of ethics for</w:t>
      </w:r>
      <w:r w:rsidR="001F0E80" w:rsidRPr="00A84FF1">
        <w:t xml:space="preserve"> </w:t>
      </w:r>
      <w:r w:rsidR="00802500" w:rsidRPr="00A84FF1">
        <w:t>safeguarding ICH and raising awareness (ODs</w:t>
      </w:r>
      <w:r w:rsidR="00947385" w:rsidRPr="00A84FF1">
        <w:t> </w:t>
      </w:r>
      <w:r w:rsidR="00802500" w:rsidRPr="00A84FF1">
        <w:t>103, 105 and 107), including ‘ensuring the rights of communities, groups and individuals concerned are duly protected when raising awareness about their heritage or engaging in commercial activities’ (OD</w:t>
      </w:r>
      <w:r w:rsidR="00947385" w:rsidRPr="00A84FF1">
        <w:t> </w:t>
      </w:r>
      <w:r w:rsidR="00802500" w:rsidRPr="00A84FF1">
        <w:t>104)</w:t>
      </w:r>
      <w:r w:rsidR="00D22AFB">
        <w:t>;</w:t>
      </w:r>
    </w:p>
    <w:p w14:paraId="4B465C84" w14:textId="77777777" w:rsidR="00802500" w:rsidRPr="00A84FF1" w:rsidRDefault="00A84FF1">
      <w:pPr>
        <w:pStyle w:val="Txtpucegras"/>
      </w:pPr>
      <w:r w:rsidRPr="00A84FF1">
        <w:t>R</w:t>
      </w:r>
      <w:r w:rsidR="00DB3411" w:rsidRPr="00A84FF1">
        <w:t xml:space="preserve">aising </w:t>
      </w:r>
      <w:r w:rsidR="00802500" w:rsidRPr="00A84FF1">
        <w:t>awareness (ODs</w:t>
      </w:r>
      <w:r w:rsidR="00947385" w:rsidRPr="00A84FF1">
        <w:t> </w:t>
      </w:r>
      <w:r w:rsidR="00802500" w:rsidRPr="00A84FF1">
        <w:t>100–123)</w:t>
      </w:r>
      <w:r w:rsidR="007D7BC1" w:rsidRPr="00447005">
        <w:t>;</w:t>
      </w:r>
    </w:p>
    <w:p w14:paraId="65581941" w14:textId="10F684D5" w:rsidR="00802500" w:rsidRPr="00A84FF1" w:rsidRDefault="00A84FF1">
      <w:pPr>
        <w:pStyle w:val="Txtpucegras"/>
      </w:pPr>
      <w:r w:rsidRPr="00A84FF1">
        <w:t>U</w:t>
      </w:r>
      <w:r w:rsidR="00DB3411" w:rsidRPr="00A84FF1">
        <w:t xml:space="preserve">ndertaking </w:t>
      </w:r>
      <w:r w:rsidR="00802500" w:rsidRPr="00A84FF1">
        <w:t>risk assessment, monitoring and evaluation of threats facing</w:t>
      </w:r>
      <w:r w:rsidR="001F0E80" w:rsidRPr="00A84FF1">
        <w:t xml:space="preserve"> </w:t>
      </w:r>
      <w:r w:rsidR="00802500" w:rsidRPr="00A84FF1">
        <w:t>ICH (OD</w:t>
      </w:r>
      <w:r w:rsidR="00947385" w:rsidRPr="00A84FF1">
        <w:t> </w:t>
      </w:r>
      <w:r w:rsidR="00802500" w:rsidRPr="00A84FF1">
        <w:t>116)</w:t>
      </w:r>
      <w:r w:rsidR="007D7BC1" w:rsidRPr="00447005">
        <w:t>;</w:t>
      </w:r>
    </w:p>
    <w:p w14:paraId="7FCDC2A1" w14:textId="436D7D35" w:rsidR="00802500" w:rsidRPr="000568BC" w:rsidRDefault="00A84FF1">
      <w:pPr>
        <w:pStyle w:val="Txtpucegras"/>
      </w:pPr>
      <w:r>
        <w:t>E</w:t>
      </w:r>
      <w:r w:rsidR="00DB3411" w:rsidRPr="00787639">
        <w:t xml:space="preserve">nsuring </w:t>
      </w:r>
      <w:r w:rsidR="00802500" w:rsidRPr="00787639">
        <w:t>the existence of administrative structures to promote consultation</w:t>
      </w:r>
      <w:r w:rsidR="001F0E80" w:rsidRPr="00787639">
        <w:t xml:space="preserve"> </w:t>
      </w:r>
      <w:r w:rsidR="00802500" w:rsidRPr="00787639">
        <w:t>between communities,</w:t>
      </w:r>
      <w:r w:rsidR="00286424">
        <w:t xml:space="preserve"> </w:t>
      </w:r>
      <w:r w:rsidR="00286424" w:rsidRPr="0068396F">
        <w:t>non-governmental organizations</w:t>
      </w:r>
      <w:r w:rsidR="00802500" w:rsidRPr="0068396F">
        <w:t xml:space="preserve"> </w:t>
      </w:r>
      <w:r w:rsidR="00286424" w:rsidRPr="0068396F">
        <w:t>(</w:t>
      </w:r>
      <w:r w:rsidR="00802500" w:rsidRPr="0068396F">
        <w:t>NGOs</w:t>
      </w:r>
      <w:r w:rsidR="00286424" w:rsidRPr="0068396F">
        <w:t>)</w:t>
      </w:r>
      <w:r w:rsidR="00802500" w:rsidRPr="0068396F">
        <w:t>,</w:t>
      </w:r>
      <w:r w:rsidR="00802500" w:rsidRPr="00787639">
        <w:t xml:space="preserve"> experts and centres of </w:t>
      </w:r>
      <w:r w:rsidR="00802500" w:rsidRPr="000568BC">
        <w:t>expertise and others (OD</w:t>
      </w:r>
      <w:r w:rsidR="00947385" w:rsidRPr="000568BC">
        <w:t> </w:t>
      </w:r>
      <w:r w:rsidR="00802500" w:rsidRPr="000568BC">
        <w:t>80).</w:t>
      </w:r>
    </w:p>
    <w:p w14:paraId="13B08989" w14:textId="5C528E0F" w:rsidR="00D70B05" w:rsidRPr="000568BC" w:rsidRDefault="009A794F" w:rsidP="0060744C">
      <w:pPr>
        <w:pStyle w:val="Txtpucegras"/>
      </w:pPr>
      <w:r w:rsidRPr="000568BC">
        <w:t>Foster the contributions of ICH and its safeguarding to greater gender equality and to eliminating gender-based discrimination (OD 181).</w:t>
      </w:r>
    </w:p>
    <w:p w14:paraId="769907BC" w14:textId="77777777" w:rsidR="00802500" w:rsidRPr="004D76DA" w:rsidRDefault="00955176" w:rsidP="00C82E38">
      <w:pPr>
        <w:pStyle w:val="Titcoul"/>
        <w:rPr>
          <w:lang w:val="en-GB"/>
        </w:rPr>
      </w:pPr>
      <w:bookmarkStart w:id="11" w:name="_Toc241229723"/>
      <w:bookmarkStart w:id="12" w:name="_Toc241229927"/>
      <w:bookmarkStart w:id="13" w:name="_Toc242165621"/>
      <w:r w:rsidRPr="004D76DA">
        <w:rPr>
          <w:lang w:val="en-GB"/>
        </w:rPr>
        <w:t>9</w:t>
      </w:r>
      <w:r w:rsidR="00802500" w:rsidRPr="004D76DA">
        <w:rPr>
          <w:lang w:val="en-GB"/>
        </w:rPr>
        <w:t>.3</w:t>
      </w:r>
      <w:r w:rsidR="003C3419" w:rsidRPr="004D76DA">
        <w:rPr>
          <w:lang w:val="en-GB"/>
        </w:rPr>
        <w:tab/>
      </w:r>
      <w:r w:rsidR="00802500" w:rsidRPr="004D76DA">
        <w:rPr>
          <w:lang w:val="en-GB"/>
        </w:rPr>
        <w:t>EXAMPLES OF GENERAL SAFEGUARDING MEASURES</w:t>
      </w:r>
      <w:bookmarkEnd w:id="11"/>
      <w:bookmarkEnd w:id="12"/>
      <w:bookmarkEnd w:id="13"/>
    </w:p>
    <w:p w14:paraId="67CAB5A0" w14:textId="77777777" w:rsidR="00802500" w:rsidRPr="00D44CAC" w:rsidRDefault="00802500" w:rsidP="002D5639">
      <w:pPr>
        <w:pStyle w:val="Texte1"/>
      </w:pPr>
      <w:r w:rsidRPr="00787639">
        <w:t>T</w:t>
      </w:r>
      <w:r w:rsidRPr="00D44CAC">
        <w:t>here are a number of measures used for safeguarding ICH in general:</w:t>
      </w:r>
    </w:p>
    <w:p w14:paraId="66A69E8E" w14:textId="77777777" w:rsidR="00802500" w:rsidRPr="00787639" w:rsidRDefault="00303C7A" w:rsidP="002D5639">
      <w:pPr>
        <w:pStyle w:val="Enutiret"/>
      </w:pPr>
      <w:r>
        <w:lastRenderedPageBreak/>
        <w:t>R</w:t>
      </w:r>
      <w:r w:rsidR="00802500" w:rsidRPr="00D90418">
        <w:t xml:space="preserve">aising awareness about the value of ICH (discussed in detail in </w:t>
      </w:r>
      <w:r w:rsidR="00C61BCD" w:rsidRPr="00787639">
        <w:t>Participant’s</w:t>
      </w:r>
      <w:r w:rsidR="003D642D">
        <w:t> </w:t>
      </w:r>
      <w:r w:rsidR="00C61BCD" w:rsidRPr="00787639">
        <w:t>text</w:t>
      </w:r>
      <w:r w:rsidR="00497179" w:rsidRPr="00787639">
        <w:t>,</w:t>
      </w:r>
      <w:r w:rsidR="001F0E80" w:rsidRPr="00787639">
        <w:t xml:space="preserve"> </w:t>
      </w:r>
      <w:r w:rsidR="00A853D3" w:rsidRPr="00787639">
        <w:t>Unit</w:t>
      </w:r>
      <w:r w:rsidR="005D35D9" w:rsidRPr="00787639">
        <w:t> </w:t>
      </w:r>
      <w:r w:rsidR="00955176" w:rsidRPr="00787639">
        <w:t>5</w:t>
      </w:r>
      <w:r w:rsidR="00802500" w:rsidRPr="00787639">
        <w:t>);</w:t>
      </w:r>
    </w:p>
    <w:p w14:paraId="211D88DA" w14:textId="77777777" w:rsidR="00802500" w:rsidRPr="00787639" w:rsidRDefault="00303C7A" w:rsidP="002D5639">
      <w:pPr>
        <w:pStyle w:val="Enutiret"/>
      </w:pPr>
      <w:r>
        <w:t>I</w:t>
      </w:r>
      <w:r w:rsidR="00802500" w:rsidRPr="00787639">
        <w:t xml:space="preserve">dentifying and inventorying ICH (discussed in </w:t>
      </w:r>
      <w:r w:rsidR="00C61BCD" w:rsidRPr="00787639">
        <w:t>Participant’s</w:t>
      </w:r>
      <w:r w:rsidR="003D642D">
        <w:t> </w:t>
      </w:r>
      <w:r w:rsidR="00C61BCD" w:rsidRPr="00787639">
        <w:t>text</w:t>
      </w:r>
      <w:r w:rsidR="00802500" w:rsidRPr="00787639">
        <w:t xml:space="preserve"> </w:t>
      </w:r>
      <w:r w:rsidR="00A853D3" w:rsidRPr="00787639">
        <w:t>Unit</w:t>
      </w:r>
      <w:r w:rsidR="008A1398">
        <w:t> </w:t>
      </w:r>
      <w:r w:rsidR="00955176" w:rsidRPr="00787639">
        <w:t>6</w:t>
      </w:r>
      <w:r w:rsidR="00802500" w:rsidRPr="00787639">
        <w:t>); and</w:t>
      </w:r>
    </w:p>
    <w:p w14:paraId="0517CFD1" w14:textId="77777777" w:rsidR="00802500" w:rsidRPr="00787639" w:rsidRDefault="00EC0C35" w:rsidP="002D5639">
      <w:pPr>
        <w:pStyle w:val="Enutiret"/>
      </w:pPr>
      <w:r w:rsidRPr="00AD244C">
        <w:rPr>
          <w:noProof/>
          <w:lang w:val="fr-FR" w:eastAsia="zh-TW"/>
        </w:rPr>
        <w:drawing>
          <wp:anchor distT="0" distB="0" distL="114300" distR="114300" simplePos="0" relativeHeight="251729408" behindDoc="0" locked="1" layoutInCell="1" allowOverlap="0" wp14:anchorId="404C559F" wp14:editId="4B7D86CF">
            <wp:simplePos x="0" y="0"/>
            <wp:positionH relativeFrom="column">
              <wp:posOffset>0</wp:posOffset>
            </wp:positionH>
            <wp:positionV relativeFrom="paragraph">
              <wp:posOffset>351155</wp:posOffset>
            </wp:positionV>
            <wp:extent cx="283210" cy="358775"/>
            <wp:effectExtent l="0" t="0" r="2540" b="3175"/>
            <wp:wrapThrough wrapText="bothSides">
              <wp:wrapPolygon edited="0">
                <wp:start x="0" y="0"/>
                <wp:lineTo x="0" y="20644"/>
                <wp:lineTo x="20341" y="20644"/>
                <wp:lineTo x="20341"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03C7A">
        <w:t>C</w:t>
      </w:r>
      <w:r w:rsidR="00802500" w:rsidRPr="00787639">
        <w:t>reating an enabling legal and ad</w:t>
      </w:r>
      <w:r w:rsidR="00802500" w:rsidRPr="00D44CAC">
        <w:t>ministrative environment for safeguarding</w:t>
      </w:r>
      <w:r w:rsidR="00DD01F3" w:rsidRPr="00D90418">
        <w:t xml:space="preserve"> </w:t>
      </w:r>
      <w:r w:rsidR="00802500" w:rsidRPr="00787639">
        <w:t xml:space="preserve">(discussed in </w:t>
      </w:r>
      <w:r w:rsidR="00C61BCD" w:rsidRPr="00787639">
        <w:t>Participant’s</w:t>
      </w:r>
      <w:r w:rsidR="003D642D">
        <w:t> </w:t>
      </w:r>
      <w:r w:rsidR="00C61BCD" w:rsidRPr="00787639">
        <w:t>text</w:t>
      </w:r>
      <w:r w:rsidR="00F13DB7" w:rsidRPr="00787639">
        <w:t xml:space="preserve"> </w:t>
      </w:r>
      <w:r w:rsidR="00A853D3" w:rsidRPr="00787639">
        <w:t>Unit</w:t>
      </w:r>
      <w:r w:rsidR="008A1398">
        <w:t> </w:t>
      </w:r>
      <w:r w:rsidR="00802500" w:rsidRPr="00787639">
        <w:t>9).</w:t>
      </w:r>
    </w:p>
    <w:p w14:paraId="7D8C3660" w14:textId="77777777" w:rsidR="00802500" w:rsidRPr="00447005" w:rsidRDefault="007C1952" w:rsidP="002D5639">
      <w:pPr>
        <w:pStyle w:val="Informations"/>
        <w:rPr>
          <w:i w:val="0"/>
          <w:iCs w:val="0"/>
        </w:rPr>
      </w:pPr>
      <w:r w:rsidRPr="00447005">
        <w:rPr>
          <w:i w:val="0"/>
          <w:iCs w:val="0"/>
        </w:rPr>
        <w:t>See</w:t>
      </w:r>
      <w:r w:rsidR="00802500" w:rsidRPr="00447005">
        <w:rPr>
          <w:i w:val="0"/>
          <w:iCs w:val="0"/>
        </w:rPr>
        <w:t xml:space="preserve"> </w:t>
      </w:r>
      <w:r w:rsidR="00C62D56" w:rsidRPr="00447005">
        <w:rPr>
          <w:i w:val="0"/>
          <w:iCs w:val="0"/>
        </w:rPr>
        <w:t>C</w:t>
      </w:r>
      <w:r w:rsidR="00802500" w:rsidRPr="00447005">
        <w:rPr>
          <w:i w:val="0"/>
          <w:iCs w:val="0"/>
        </w:rPr>
        <w:t>ase studies</w:t>
      </w:r>
      <w:r w:rsidR="008A1398" w:rsidRPr="00447005">
        <w:rPr>
          <w:i w:val="0"/>
          <w:iCs w:val="0"/>
        </w:rPr>
        <w:t> </w:t>
      </w:r>
      <w:r w:rsidR="00802500" w:rsidRPr="00447005">
        <w:rPr>
          <w:i w:val="0"/>
          <w:iCs w:val="0"/>
        </w:rPr>
        <w:t>3, 6, 28 and 29.</w:t>
      </w:r>
    </w:p>
    <w:p w14:paraId="070EFC96" w14:textId="77777777" w:rsidR="005523C8" w:rsidRPr="00787639" w:rsidRDefault="00802500" w:rsidP="002D5639">
      <w:pPr>
        <w:pStyle w:val="Texte1"/>
      </w:pPr>
      <w:r w:rsidRPr="0071007C">
        <w:t xml:space="preserve">When taking general measures, States Parties will not usually have to start </w:t>
      </w:r>
      <w:r w:rsidRPr="00787639">
        <w:t>from scratch: they will be able to make use of existing institutions, networks and programmes, expanding and reinforcing them as required.</w:t>
      </w:r>
    </w:p>
    <w:p w14:paraId="64FCB5C5" w14:textId="77777777" w:rsidR="00802500" w:rsidRDefault="00802500" w:rsidP="002D5639">
      <w:pPr>
        <w:pStyle w:val="Texte1"/>
        <w:rPr>
          <w:position w:val="-1"/>
        </w:rPr>
      </w:pPr>
      <w:r w:rsidRPr="00787639">
        <w:t>Before ratifying the Convention, some States review existing regulations, laws and policies concerning the ICH present in their territory, collecting information about relevant programmes and networks, institutes and organi</w:t>
      </w:r>
      <w:r w:rsidR="00ED5D2E">
        <w:t>z</w:t>
      </w:r>
      <w:r w:rsidRPr="00787639">
        <w:t xml:space="preserve">ations, as well as about previous and ongoing activities for the identification, promotion and </w:t>
      </w:r>
      <w:r w:rsidRPr="00787639">
        <w:rPr>
          <w:position w:val="-1"/>
        </w:rPr>
        <w:t>safeguarding of ICH.</w:t>
      </w:r>
    </w:p>
    <w:p w14:paraId="4DD63802" w14:textId="6620B581" w:rsidR="009A794F" w:rsidRPr="00E60D60" w:rsidRDefault="00C650C4" w:rsidP="00E60D60">
      <w:pPr>
        <w:pStyle w:val="Heading4"/>
        <w:rPr>
          <w:lang w:val="en-US"/>
        </w:rPr>
      </w:pPr>
      <w:r w:rsidRPr="00E60D60">
        <w:rPr>
          <w:lang w:val="en-GB"/>
        </w:rPr>
        <w:t>G</w:t>
      </w:r>
      <w:r w:rsidR="009A794F" w:rsidRPr="00E60D60">
        <w:rPr>
          <w:lang w:val="en-GB"/>
        </w:rPr>
        <w:t>ender and safeguarding measures</w:t>
      </w:r>
    </w:p>
    <w:p w14:paraId="2E2F7EB8" w14:textId="77777777" w:rsidR="009A794F" w:rsidRPr="000568BC" w:rsidRDefault="009A794F" w:rsidP="009A794F">
      <w:pPr>
        <w:pStyle w:val="Texte1"/>
        <w:rPr>
          <w:position w:val="-1"/>
        </w:rPr>
      </w:pPr>
      <w:r w:rsidRPr="000568BC">
        <w:rPr>
          <w:position w:val="-1"/>
        </w:rPr>
        <w:t>Because gender plays a significant role in creating and maintaining ICH while, at the same time, ICH may provide an essential means for the expression of gender roles, it is extremely important that safeguarding activities are based on an awareness of the potential impacts on both ICH and gender roles. OD 181(e) encourages State parties to ‘ensure gender equality in the planning, management, and implementation of safeguarding measures, at all levels and in all contexts, in order to take full advantage of the diverse perspectives of all members of society’.</w:t>
      </w:r>
    </w:p>
    <w:p w14:paraId="6F1D1216" w14:textId="77777777" w:rsidR="009A794F" w:rsidRPr="000568BC" w:rsidRDefault="009A794F" w:rsidP="009A794F">
      <w:pPr>
        <w:pStyle w:val="Texte1"/>
        <w:rPr>
          <w:position w:val="-1"/>
        </w:rPr>
      </w:pPr>
      <w:r w:rsidRPr="000568BC">
        <w:rPr>
          <w:position w:val="-1"/>
        </w:rPr>
        <w:t xml:space="preserve">Once a sufficient level of gender awareness has been reached, the next consideration is what types of strategies, measures, and approaches are needed in order to ensure that safeguarding measures are gender responsive. A gender analysis informs us as to how gender roles and relations could impact and/or be impacted by safeguarding plans. It also allows for an identification of whether or not differences in roles in terms of gender – in interaction with other socially determined roles (e.g. ethnicity, disability, age, etc.) - generate the power to dominate and humiliate and, then, respond accordingly. Failure to conduct such an analysis may mean that significant assumptions are overlooked and safeguarding plans may be undermined, or indeed, unintentional harm may be caused to community or group members or the gender dynamics of their ICH. </w:t>
      </w:r>
    </w:p>
    <w:p w14:paraId="494BCD81" w14:textId="2AA21100" w:rsidR="009A794F" w:rsidRPr="000568BC" w:rsidRDefault="009A794F" w:rsidP="009A794F">
      <w:pPr>
        <w:pStyle w:val="Texte1"/>
        <w:rPr>
          <w:position w:val="-1"/>
        </w:rPr>
      </w:pPr>
      <w:r w:rsidRPr="000568BC">
        <w:rPr>
          <w:position w:val="-1"/>
        </w:rPr>
        <w:t>Specific reference to gender in identifying and inve</w:t>
      </w:r>
      <w:r w:rsidR="00AE23A7" w:rsidRPr="000568BC">
        <w:rPr>
          <w:position w:val="-1"/>
        </w:rPr>
        <w:t>ntorying is discussed in Unit 6</w:t>
      </w:r>
      <w:r w:rsidRPr="000568BC">
        <w:rPr>
          <w:position w:val="-1"/>
        </w:rPr>
        <w:t xml:space="preserve"> while further discussion of gender in specific measures for safeguarding can be found below. </w:t>
      </w:r>
    </w:p>
    <w:p w14:paraId="7C179CE9" w14:textId="68DC7A7E" w:rsidR="009A794F" w:rsidRPr="000568BC" w:rsidRDefault="009A794F" w:rsidP="009A794F">
      <w:pPr>
        <w:pStyle w:val="Texte1"/>
        <w:rPr>
          <w:position w:val="-1"/>
        </w:rPr>
      </w:pPr>
      <w:r w:rsidRPr="000568BC">
        <w:rPr>
          <w:position w:val="-1"/>
        </w:rPr>
        <w:t>See Units 48 and 49 for more</w:t>
      </w:r>
      <w:r w:rsidR="00547AC3">
        <w:rPr>
          <w:position w:val="-1"/>
        </w:rPr>
        <w:t xml:space="preserve"> on</w:t>
      </w:r>
      <w:r w:rsidRPr="000568BC">
        <w:rPr>
          <w:position w:val="-1"/>
        </w:rPr>
        <w:t xml:space="preserve"> gender and ICH, and gender-responsive approaches to safeguarding ICH; See also Gender and ICH in Participant’s Text Unit 3; ODs 181(a-e).</w:t>
      </w:r>
    </w:p>
    <w:p w14:paraId="30EB88B0" w14:textId="77777777" w:rsidR="009A794F" w:rsidRPr="000568BC" w:rsidRDefault="009A794F" w:rsidP="002D5639">
      <w:pPr>
        <w:pStyle w:val="Texte1"/>
        <w:rPr>
          <w:position w:val="-1"/>
        </w:rPr>
      </w:pPr>
    </w:p>
    <w:p w14:paraId="56E78D18" w14:textId="77777777" w:rsidR="00802500" w:rsidRPr="004D76DA" w:rsidRDefault="00955176" w:rsidP="00C82E38">
      <w:pPr>
        <w:pStyle w:val="Titcoul"/>
        <w:rPr>
          <w:lang w:val="en-GB"/>
        </w:rPr>
      </w:pPr>
      <w:bookmarkStart w:id="14" w:name="_Toc241229724"/>
      <w:bookmarkStart w:id="15" w:name="_Toc241229928"/>
      <w:bookmarkStart w:id="16" w:name="_Toc242165622"/>
      <w:r w:rsidRPr="004D76DA">
        <w:rPr>
          <w:lang w:val="en-GB"/>
        </w:rPr>
        <w:lastRenderedPageBreak/>
        <w:t>9</w:t>
      </w:r>
      <w:r w:rsidR="00802500" w:rsidRPr="004D76DA">
        <w:rPr>
          <w:lang w:val="en-GB"/>
        </w:rPr>
        <w:t>.4</w:t>
      </w:r>
      <w:r w:rsidR="00EC0C35" w:rsidRPr="004D76DA">
        <w:rPr>
          <w:lang w:val="en-GB"/>
        </w:rPr>
        <w:tab/>
      </w:r>
      <w:r w:rsidR="00802500" w:rsidRPr="004D76DA">
        <w:rPr>
          <w:lang w:val="en-GB"/>
        </w:rPr>
        <w:t>MEASURES FOR SAFEGUARDING SPECIFIC ICH ELEMENTS</w:t>
      </w:r>
      <w:bookmarkEnd w:id="14"/>
      <w:bookmarkEnd w:id="15"/>
      <w:bookmarkEnd w:id="16"/>
    </w:p>
    <w:p w14:paraId="0C1CC4AA" w14:textId="617E78E0" w:rsidR="00802500" w:rsidRPr="00D44CAC" w:rsidRDefault="00802500">
      <w:pPr>
        <w:pStyle w:val="Texte1"/>
      </w:pPr>
      <w:r w:rsidRPr="00787639">
        <w:t xml:space="preserve">Specific safeguarding measures seek to ensure the continued viability of a specific ICH element, or of a specific group of elements, when practice and transmission </w:t>
      </w:r>
      <w:r w:rsidR="007C1952">
        <w:t>of the element/s</w:t>
      </w:r>
      <w:r w:rsidR="007C1952" w:rsidRPr="00787639">
        <w:t xml:space="preserve"> </w:t>
      </w:r>
      <w:r w:rsidRPr="00787639">
        <w:t>is under threat in some way</w:t>
      </w:r>
      <w:r w:rsidR="001520D1">
        <w:t xml:space="preserve"> (see </w:t>
      </w:r>
      <w:r w:rsidR="00494FAD">
        <w:t>EP</w:t>
      </w:r>
      <w:r w:rsidR="001520D1">
        <w:t xml:space="preserve"> </w:t>
      </w:r>
      <w:r w:rsidR="00494FAD">
        <w:t>10</w:t>
      </w:r>
      <w:r w:rsidR="001520D1">
        <w:t>)</w:t>
      </w:r>
      <w:r w:rsidR="00494FAD">
        <w:t>.</w:t>
      </w:r>
    </w:p>
    <w:p w14:paraId="46B1534C" w14:textId="4BF003BD" w:rsidR="00802500" w:rsidRPr="00787639" w:rsidRDefault="00802500" w:rsidP="002D5639">
      <w:pPr>
        <w:pStyle w:val="Texte1"/>
      </w:pPr>
      <w:r w:rsidRPr="00D90418">
        <w:t xml:space="preserve">Specific safeguarding measures are not necessary when </w:t>
      </w:r>
      <w:r w:rsidRPr="00500962">
        <w:t>normal</w:t>
      </w:r>
      <w:r w:rsidRPr="00D90418">
        <w:t xml:space="preserve"> practice and t</w:t>
      </w:r>
      <w:r w:rsidRPr="00787639">
        <w:t>ransmission sustain an ICH element over time. Under these circumstances, the ICH does not face any specific threats or risks to its viability; no outside interventions are needed and general safeguarding measures (such as awareness raising) are more appropriate than specific ones</w:t>
      </w:r>
      <w:r w:rsidR="00AC2448">
        <w:t xml:space="preserve"> (See EP 2, 3, 5, 6, 8, 9 and 10)</w:t>
      </w:r>
      <w:r w:rsidRPr="00787639">
        <w:t>.</w:t>
      </w:r>
      <w:r w:rsidR="00D70B05">
        <w:t xml:space="preserve"> </w:t>
      </w:r>
    </w:p>
    <w:p w14:paraId="1BD56487" w14:textId="77777777" w:rsidR="00802500" w:rsidRPr="004D76DA" w:rsidRDefault="00802500" w:rsidP="00233CE4">
      <w:pPr>
        <w:pStyle w:val="Heading4"/>
        <w:rPr>
          <w:lang w:val="en-GB"/>
        </w:rPr>
      </w:pPr>
      <w:r w:rsidRPr="004D76DA">
        <w:rPr>
          <w:lang w:val="en-GB"/>
        </w:rPr>
        <w:t>Addressing threats and risks</w:t>
      </w:r>
    </w:p>
    <w:p w14:paraId="647E4151" w14:textId="7EECD01A" w:rsidR="00802500" w:rsidRPr="00D90418" w:rsidRDefault="00802500" w:rsidP="002D5639">
      <w:pPr>
        <w:pStyle w:val="Texte1"/>
      </w:pPr>
      <w:r w:rsidRPr="00787639">
        <w:t>Identification</w:t>
      </w:r>
      <w:r w:rsidRPr="00D44CAC">
        <w:t xml:space="preserve"> and analysis of threats and risks is required before safeguarding measures can be elaborated. Sometimes the problems are relatively simple, but usually they are not. Safeguarding measures often propose change</w:t>
      </w:r>
      <w:r w:rsidRPr="00D90418">
        <w:t>s in the practice or transmission of ICH in an effort to adapt it to the rapidly changing living circumstances of the communities concerned; similar adaptations commonly occur in the practice of thriving ICH elements.</w:t>
      </w:r>
    </w:p>
    <w:p w14:paraId="5A9CBC0E" w14:textId="4C87213C" w:rsidR="00494FAD" w:rsidRDefault="00494FAD" w:rsidP="002D5639">
      <w:pPr>
        <w:pStyle w:val="Texte1"/>
      </w:pPr>
      <w:r w:rsidRPr="00494FAD">
        <w:t>EP</w:t>
      </w:r>
      <w:r w:rsidR="006F5548">
        <w:t xml:space="preserve"> </w:t>
      </w:r>
      <w:r w:rsidRPr="00494FAD">
        <w:t xml:space="preserve">10 emphasises that </w:t>
      </w:r>
      <w:r w:rsidR="00D47256">
        <w:t>communities, groups and individuals</w:t>
      </w:r>
      <w:r w:rsidR="00E60D60">
        <w:t xml:space="preserve"> </w:t>
      </w:r>
      <w:r w:rsidRPr="00494FAD">
        <w:t>should play a significant role in determining what constitutes threats to their ICH</w:t>
      </w:r>
      <w:r w:rsidR="006F5548">
        <w:t>,</w:t>
      </w:r>
      <w:r w:rsidRPr="00494FAD">
        <w:t xml:space="preserve"> including the decontextualization, commodification and misrepresentation of it and in deciding how to prevent and mitigate such threats</w:t>
      </w:r>
      <w:r>
        <w:t xml:space="preserve">. </w:t>
      </w:r>
      <w:r w:rsidR="00802500" w:rsidRPr="00787639">
        <w:t>If threats to the viability of ICH are not mitigated, the ICH might cease to be practised as living heritage although performances or products may continue to be produced for tourists or other outsiders purely for commercial reasons. Not all ICH should – or indeed can be – safeguarded or revitali</w:t>
      </w:r>
      <w:r w:rsidR="00ED5D2E">
        <w:t>z</w:t>
      </w:r>
      <w:r w:rsidR="00802500" w:rsidRPr="00787639">
        <w:t>ed. If the community or group concerned no longer considers certain elements of ICH relevant or meaningful, they can hardly be safeguarded in the sense of the Convention. In such cases, elements may simply be recorded before they cease to be enacted at all.</w:t>
      </w:r>
      <w:r>
        <w:t xml:space="preserve"> </w:t>
      </w:r>
    </w:p>
    <w:p w14:paraId="4B766CF4" w14:textId="77777777" w:rsidR="00802500" w:rsidRPr="004D76DA" w:rsidRDefault="00802500" w:rsidP="00A853D3">
      <w:pPr>
        <w:pStyle w:val="Heading4"/>
        <w:rPr>
          <w:lang w:val="en-GB"/>
        </w:rPr>
      </w:pPr>
      <w:r w:rsidRPr="004D76DA">
        <w:rPr>
          <w:lang w:val="en-GB"/>
        </w:rPr>
        <w:t>Types of safeguarding measures</w:t>
      </w:r>
    </w:p>
    <w:p w14:paraId="193EAA61" w14:textId="2FA33FD2" w:rsidR="00802500" w:rsidRPr="00787639" w:rsidRDefault="00802500" w:rsidP="002D5639">
      <w:pPr>
        <w:pStyle w:val="Texte1"/>
      </w:pPr>
      <w:r w:rsidRPr="00787639">
        <w:t>Safeguarding measures may be straightfo</w:t>
      </w:r>
      <w:r w:rsidRPr="00D44CAC">
        <w:t>rward activities, such as the reinforcing of an organi</w:t>
      </w:r>
      <w:r w:rsidR="00ED5D2E">
        <w:t>z</w:t>
      </w:r>
      <w:r w:rsidRPr="00D44CAC">
        <w:t xml:space="preserve">ing committee or the planting of new trees required for making musical instruments, collecting money within the community or </w:t>
      </w:r>
      <w:r w:rsidRPr="00D90418">
        <w:t>setting up informal training sessions for the transmission of skills. Safeguarding measures may also involve more complex activities, grouped together in a coherent plan: multifaceted, medium-term safeguarding strategies, for example,</w:t>
      </w:r>
      <w:r w:rsidRPr="00787639">
        <w:t xml:space="preserve"> involving numerous role players that might be coordinated by a community-based organi</w:t>
      </w:r>
      <w:r w:rsidR="00ED5D2E">
        <w:t>z</w:t>
      </w:r>
      <w:r w:rsidRPr="00787639">
        <w:t>ation, assisted by NGOs, local authorities, speciali</w:t>
      </w:r>
      <w:r w:rsidR="00ED5D2E">
        <w:t>z</w:t>
      </w:r>
      <w:r w:rsidRPr="00787639">
        <w:t>ed institutions, etc.</w:t>
      </w:r>
    </w:p>
    <w:p w14:paraId="141B07A2" w14:textId="77777777" w:rsidR="00802500" w:rsidRPr="00D90418" w:rsidRDefault="007C1952" w:rsidP="002D5639">
      <w:pPr>
        <w:pStyle w:val="Texte1"/>
      </w:pPr>
      <w:r>
        <w:t>S</w:t>
      </w:r>
      <w:r w:rsidR="00802500" w:rsidRPr="00787639">
        <w:t xml:space="preserve">afeguarding measures that could be applied to specific elements are mentioned in </w:t>
      </w:r>
      <w:r w:rsidR="00DD01F3" w:rsidRPr="00787639">
        <w:t>Article </w:t>
      </w:r>
      <w:r w:rsidR="00802500" w:rsidRPr="00787639">
        <w:t>2.3: ‘identification, documentation, research, preservation, protection, promotion, enhancement, transmission, particularly through formal and non-formal education [and] revitalization’</w:t>
      </w:r>
      <w:r w:rsidR="00F74532" w:rsidRPr="00787639">
        <w:t xml:space="preserve"> </w:t>
      </w:r>
      <w:r w:rsidR="00802500" w:rsidRPr="00787639">
        <w:t>provides a detailed discussion of these terms</w:t>
      </w:r>
      <w:r w:rsidR="005D35D9" w:rsidRPr="00787639">
        <w:t xml:space="preserve">; see also </w:t>
      </w:r>
      <w:r w:rsidR="00FB49CB" w:rsidRPr="00787639">
        <w:t>Participant’s</w:t>
      </w:r>
      <w:r w:rsidR="003D642D">
        <w:t> </w:t>
      </w:r>
      <w:r w:rsidR="00FB49CB" w:rsidRPr="00787639">
        <w:t>text</w:t>
      </w:r>
      <w:r w:rsidR="005D35D9" w:rsidRPr="00787639">
        <w:t xml:space="preserve"> </w:t>
      </w:r>
      <w:r w:rsidR="00E50FB4">
        <w:t>U</w:t>
      </w:r>
      <w:r w:rsidR="00E50FB4" w:rsidRPr="00787639">
        <w:t>nit </w:t>
      </w:r>
      <w:r w:rsidR="005D35D9" w:rsidRPr="00787639">
        <w:t>3</w:t>
      </w:r>
      <w:r w:rsidR="004542FE">
        <w:t>.</w:t>
      </w:r>
      <w:r w:rsidR="00802500" w:rsidRPr="00787639">
        <w:t xml:space="preserve"> This list of safeguarding measures is non-exhaustive, and safeguarding activities may be categori</w:t>
      </w:r>
      <w:r w:rsidR="00ED5D2E">
        <w:t>z</w:t>
      </w:r>
      <w:r w:rsidR="00802500" w:rsidRPr="00787639">
        <w:t>ed under several of the measures at the same time. In the context of safeguarding under the Convention, however, the classification of specific</w:t>
      </w:r>
      <w:r w:rsidR="00802500" w:rsidRPr="00D44CAC">
        <w:t xml:space="preserve"> measures (as</w:t>
      </w:r>
      <w:r w:rsidR="00802500" w:rsidRPr="00D90418">
        <w:t xml:space="preserve"> </w:t>
      </w:r>
      <w:r w:rsidR="00802500" w:rsidRPr="00D90418">
        <w:lastRenderedPageBreak/>
        <w:t>‘research’, ‘documentation’, ‘revitalization’ and so on) is less important than the tailoring of these activities to address threats posed to the viability of the elements concerned.</w:t>
      </w:r>
    </w:p>
    <w:p w14:paraId="6C0094C3" w14:textId="77777777" w:rsidR="00802500" w:rsidRPr="004D76DA" w:rsidRDefault="00955176" w:rsidP="00C82E38">
      <w:pPr>
        <w:pStyle w:val="Titcoul"/>
        <w:rPr>
          <w:lang w:val="en-GB"/>
        </w:rPr>
      </w:pPr>
      <w:bookmarkStart w:id="17" w:name="_Toc241229725"/>
      <w:bookmarkStart w:id="18" w:name="_Toc241229929"/>
      <w:bookmarkStart w:id="19" w:name="_Toc242165623"/>
      <w:r w:rsidRPr="004D76DA">
        <w:rPr>
          <w:lang w:val="en-GB"/>
        </w:rPr>
        <w:t>9</w:t>
      </w:r>
      <w:r w:rsidR="00802500" w:rsidRPr="004D76DA">
        <w:rPr>
          <w:lang w:val="en-GB"/>
        </w:rPr>
        <w:t>.5</w:t>
      </w:r>
      <w:r w:rsidR="00EC0C35" w:rsidRPr="004D76DA">
        <w:rPr>
          <w:lang w:val="en-GB"/>
        </w:rPr>
        <w:tab/>
      </w:r>
      <w:r w:rsidR="00802500" w:rsidRPr="004D76DA">
        <w:rPr>
          <w:lang w:val="en-GB"/>
        </w:rPr>
        <w:t>EXAMPLES OF SPECIFIC SAFEGUARDING MEASURES</w:t>
      </w:r>
      <w:bookmarkEnd w:id="17"/>
      <w:bookmarkEnd w:id="18"/>
      <w:bookmarkEnd w:id="19"/>
    </w:p>
    <w:p w14:paraId="6D57DE8B" w14:textId="77777777" w:rsidR="00802500" w:rsidRPr="00D90418" w:rsidRDefault="00802500" w:rsidP="002D5639">
      <w:pPr>
        <w:pStyle w:val="Texte1"/>
      </w:pPr>
      <w:r w:rsidRPr="00787639">
        <w:t>Some</w:t>
      </w:r>
      <w:r w:rsidRPr="00D44CAC">
        <w:t xml:space="preserve"> examples of measures</w:t>
      </w:r>
      <w:r w:rsidRPr="00D90418">
        <w:t xml:space="preserve"> that might be used in safeguarding projects are listed below. Any safeguarding measure chosen to address specific threats to an ICH element would need to be adapted to the specific circumstances of that situation.</w:t>
      </w:r>
    </w:p>
    <w:p w14:paraId="5F01754D" w14:textId="72CB8246" w:rsidR="00802500" w:rsidRPr="00787639" w:rsidRDefault="00802500">
      <w:pPr>
        <w:pStyle w:val="Texte1"/>
      </w:pPr>
      <w:r w:rsidRPr="00787639">
        <w:t xml:space="preserve">In drafting safeguarding measures, inspiration may be sought from experiences of other States Parties. Examples of safeguarding activities are provided in the Register of </w:t>
      </w:r>
      <w:r w:rsidR="002E08FA">
        <w:t xml:space="preserve">Good </w:t>
      </w:r>
      <w:r w:rsidRPr="00787639">
        <w:t xml:space="preserve">Safeguarding Practices and safeguarding measures are elaborated in all nomination files submitted for inscription notably on the Urgent Safeguarding List. All nomination files are available on the </w:t>
      </w:r>
      <w:r w:rsidR="00614593">
        <w:t xml:space="preserve">ICH </w:t>
      </w:r>
      <w:r w:rsidRPr="00787639">
        <w:t>website</w:t>
      </w:r>
      <w:r w:rsidR="007C1952">
        <w:t xml:space="preserve"> (</w:t>
      </w:r>
      <w:r w:rsidR="007C1952" w:rsidRPr="007C1952">
        <w:t>http://www.unesco.org/culture/ich/</w:t>
      </w:r>
      <w:r w:rsidR="007C1952">
        <w:t>)</w:t>
      </w:r>
      <w:r w:rsidRPr="00787639">
        <w:t>.</w:t>
      </w:r>
    </w:p>
    <w:p w14:paraId="55FE0016" w14:textId="77777777" w:rsidR="00802500" w:rsidRPr="00787639" w:rsidRDefault="00802500" w:rsidP="008B4139">
      <w:pPr>
        <w:pStyle w:val="Heading4"/>
        <w:rPr>
          <w:w w:val="106"/>
          <w:lang w:val="en-GB"/>
        </w:rPr>
      </w:pPr>
      <w:r w:rsidRPr="00787639">
        <w:rPr>
          <w:w w:val="106"/>
          <w:lang w:val="en-GB"/>
        </w:rPr>
        <w:t>Research and documentation</w:t>
      </w:r>
    </w:p>
    <w:p w14:paraId="0C56222A" w14:textId="27A1D3B2" w:rsidR="00802500" w:rsidRPr="000568BC" w:rsidRDefault="00802500" w:rsidP="002D5639">
      <w:pPr>
        <w:pStyle w:val="Texte1"/>
      </w:pPr>
      <w:r w:rsidRPr="00787639">
        <w:t xml:space="preserve">Research and documentation of ICH often used to be undertaken by experts, centres of expertise, research institutions and State agencies or NGOs, only involving the communities concerned as informants. Under the Convention, however, these activities should be carried out with community participation and consent. </w:t>
      </w:r>
      <w:r w:rsidR="00494FAD">
        <w:t>EP</w:t>
      </w:r>
      <w:r w:rsidR="00F7527A">
        <w:t xml:space="preserve"> </w:t>
      </w:r>
      <w:r w:rsidR="00C50789">
        <w:t>4</w:t>
      </w:r>
      <w:r w:rsidR="00494FAD">
        <w:t xml:space="preserve"> </w:t>
      </w:r>
      <w:r w:rsidR="00F7527A">
        <w:t>specifies</w:t>
      </w:r>
      <w:r w:rsidR="00494FAD">
        <w:t xml:space="preserve"> that this should be characterized by </w:t>
      </w:r>
      <w:r w:rsidR="00494FAD" w:rsidRPr="00494FAD">
        <w:t xml:space="preserve">transparent collaboration, dialogue, negotiation and consultation, and contingent upon their free, prior, </w:t>
      </w:r>
      <w:r w:rsidR="00494FAD" w:rsidRPr="000568BC">
        <w:t>sustained and informed consent</w:t>
      </w:r>
      <w:r w:rsidR="00F7527A" w:rsidRPr="000568BC">
        <w:t>.</w:t>
      </w:r>
      <w:r w:rsidR="00494FAD" w:rsidRPr="000568BC">
        <w:t xml:space="preserve"> </w:t>
      </w:r>
      <w:r w:rsidR="009A794F" w:rsidRPr="000568BC">
        <w:t xml:space="preserve">It is also important that those involved in researching ICH be aware of the potential for gender bias in the design of their research, including in activities of community-based </w:t>
      </w:r>
      <w:r w:rsidR="00C81492" w:rsidRPr="000568BC">
        <w:t xml:space="preserve">researchers </w:t>
      </w:r>
      <w:r w:rsidR="009A794F" w:rsidRPr="000568BC">
        <w:t xml:space="preserve">or among the community that is the subject of the research. </w:t>
      </w:r>
      <w:r w:rsidRPr="000568BC">
        <w:t>Documentation of an element in the framework of the implementation of the Convention should take into account variations in its form and function. Possible activities include:</w:t>
      </w:r>
    </w:p>
    <w:p w14:paraId="5F695463" w14:textId="77777777" w:rsidR="00802500" w:rsidRPr="000568BC" w:rsidRDefault="007414B3" w:rsidP="00AD2211">
      <w:pPr>
        <w:pStyle w:val="Txtpucegras"/>
      </w:pPr>
      <w:r w:rsidRPr="000568BC">
        <w:t>D</w:t>
      </w:r>
      <w:r w:rsidR="00802500" w:rsidRPr="000568BC">
        <w:t>ocumenting ICH elements (with community participation), with a view</w:t>
      </w:r>
      <w:r w:rsidR="00F358EA" w:rsidRPr="000568BC">
        <w:t xml:space="preserve"> </w:t>
      </w:r>
      <w:r w:rsidR="00802500" w:rsidRPr="000568BC">
        <w:t>to safeguarding, awareness</w:t>
      </w:r>
      <w:r w:rsidR="001C7A9C" w:rsidRPr="000568BC">
        <w:t xml:space="preserve"> </w:t>
      </w:r>
      <w:r w:rsidR="00802500" w:rsidRPr="000568BC">
        <w:t>raising and capacity building within the community</w:t>
      </w:r>
      <w:r w:rsidR="00660942" w:rsidRPr="000568BC">
        <w:t>;</w:t>
      </w:r>
    </w:p>
    <w:p w14:paraId="66D73D78" w14:textId="77777777" w:rsidR="00802500" w:rsidRPr="000568BC" w:rsidRDefault="007414B3" w:rsidP="00952DBE">
      <w:pPr>
        <w:pStyle w:val="Txtpucegras"/>
      </w:pPr>
      <w:r w:rsidRPr="000568BC">
        <w:t>H</w:t>
      </w:r>
      <w:r w:rsidR="00802500" w:rsidRPr="000568BC">
        <w:t>elping the communities concerned to manage an archive of information</w:t>
      </w:r>
      <w:r w:rsidR="00F358EA" w:rsidRPr="000568BC">
        <w:t xml:space="preserve"> </w:t>
      </w:r>
      <w:r w:rsidR="00802500" w:rsidRPr="000568BC">
        <w:t xml:space="preserve">about their </w:t>
      </w:r>
      <w:r w:rsidR="00356606" w:rsidRPr="000568BC">
        <w:t>ICH</w:t>
      </w:r>
      <w:r w:rsidR="00660942" w:rsidRPr="000568BC">
        <w:t>;</w:t>
      </w:r>
    </w:p>
    <w:p w14:paraId="6A5E06D3" w14:textId="0F1E286F" w:rsidR="00802500" w:rsidRPr="000568BC" w:rsidRDefault="007414B3">
      <w:pPr>
        <w:pStyle w:val="Txtpucegras"/>
      </w:pPr>
      <w:r w:rsidRPr="000568BC">
        <w:t>E</w:t>
      </w:r>
      <w:r w:rsidR="00802500" w:rsidRPr="000568BC">
        <w:t>ncouraging people to document ICH elements associated with their</w:t>
      </w:r>
      <w:r w:rsidR="00F358EA" w:rsidRPr="000568BC">
        <w:t xml:space="preserve"> </w:t>
      </w:r>
      <w:r w:rsidR="00802500" w:rsidRPr="000568BC">
        <w:t>communities, for example by interviewing practitioners and tradition bearers, and to disseminate the resulting informa</w:t>
      </w:r>
      <w:r w:rsidR="00356606" w:rsidRPr="000568BC">
        <w:t>tion</w:t>
      </w:r>
      <w:r w:rsidR="00660942" w:rsidRPr="000568BC">
        <w:t>;</w:t>
      </w:r>
    </w:p>
    <w:p w14:paraId="3438AB83" w14:textId="77777777" w:rsidR="00802500" w:rsidRPr="000568BC" w:rsidRDefault="007414B3">
      <w:pPr>
        <w:pStyle w:val="Txtpucegras"/>
      </w:pPr>
      <w:r w:rsidRPr="000568BC">
        <w:t>C</w:t>
      </w:r>
      <w:r w:rsidR="00802500" w:rsidRPr="000568BC">
        <w:t>apacity building among community members to support the</w:t>
      </w:r>
      <w:r w:rsidR="00F358EA" w:rsidRPr="000568BC">
        <w:t xml:space="preserve"> </w:t>
      </w:r>
      <w:r w:rsidR="00802500" w:rsidRPr="000568BC">
        <w:t>documentation proc</w:t>
      </w:r>
      <w:r w:rsidR="00356606" w:rsidRPr="000568BC">
        <w:t>ess</w:t>
      </w:r>
      <w:r w:rsidR="00660942" w:rsidRPr="000568BC">
        <w:t>;</w:t>
      </w:r>
    </w:p>
    <w:p w14:paraId="7D1898C7" w14:textId="77777777" w:rsidR="00802500" w:rsidRPr="000568BC" w:rsidRDefault="007414B3">
      <w:pPr>
        <w:pStyle w:val="Txtpucegras"/>
      </w:pPr>
      <w:r w:rsidRPr="000568BC">
        <w:t>M</w:t>
      </w:r>
      <w:r w:rsidR="00802500" w:rsidRPr="000568BC">
        <w:t>obili</w:t>
      </w:r>
      <w:r w:rsidR="005A3433" w:rsidRPr="000568BC">
        <w:t>z</w:t>
      </w:r>
      <w:r w:rsidR="00802500" w:rsidRPr="000568BC">
        <w:t>ing existing documentation and audiovisual recordings for</w:t>
      </w:r>
      <w:r w:rsidR="00F358EA" w:rsidRPr="000568BC">
        <w:t xml:space="preserve"> </w:t>
      </w:r>
      <w:r w:rsidR="00802500" w:rsidRPr="000568BC">
        <w:t>revitali</w:t>
      </w:r>
      <w:r w:rsidR="00ED5D2E" w:rsidRPr="000568BC">
        <w:t>z</w:t>
      </w:r>
      <w:r w:rsidR="00802500" w:rsidRPr="000568BC">
        <w:t>ation pr</w:t>
      </w:r>
      <w:r w:rsidR="00356606" w:rsidRPr="000568BC">
        <w:t>ojects</w:t>
      </w:r>
      <w:r w:rsidR="00660942" w:rsidRPr="000568BC">
        <w:t>;</w:t>
      </w:r>
    </w:p>
    <w:p w14:paraId="33AA027B" w14:textId="77777777" w:rsidR="009A794F" w:rsidRPr="000568BC" w:rsidRDefault="007414B3" w:rsidP="009A794F">
      <w:pPr>
        <w:pStyle w:val="Txtpucegras"/>
      </w:pPr>
      <w:r w:rsidRPr="000568BC">
        <w:t>H</w:t>
      </w:r>
      <w:r w:rsidR="00802500" w:rsidRPr="000568BC">
        <w:t>elping the communities concerned have access to existing archived</w:t>
      </w:r>
      <w:r w:rsidR="00F358EA" w:rsidRPr="000568BC">
        <w:t xml:space="preserve"> </w:t>
      </w:r>
      <w:r w:rsidR="00802500" w:rsidRPr="000568BC">
        <w:t>information about their ICH that has been compiled by others.</w:t>
      </w:r>
      <w:r w:rsidR="009A794F" w:rsidRPr="000568BC">
        <w:t xml:space="preserve"> </w:t>
      </w:r>
    </w:p>
    <w:p w14:paraId="7084849E" w14:textId="1D8C2462" w:rsidR="00F7527A" w:rsidRPr="000568BC" w:rsidRDefault="009A794F" w:rsidP="009A794F">
      <w:pPr>
        <w:pStyle w:val="Txtpucegras"/>
      </w:pPr>
      <w:r w:rsidRPr="000568BC">
        <w:t xml:space="preserve">Differences in </w:t>
      </w:r>
      <w:r w:rsidR="00B22E46" w:rsidRPr="000568BC">
        <w:t>gender</w:t>
      </w:r>
      <w:r w:rsidRPr="000568BC">
        <w:t xml:space="preserve"> roles vis-a-vis ICH is also in and of itself an important area for research. OD 181(d) specifically encourages fostering scientific studies and research methodologies including those conducted by the communities and groups themselves, aimed at understanding the diversity of gender roles within particular expressions of ICH.</w:t>
      </w:r>
    </w:p>
    <w:p w14:paraId="6A85F4E6" w14:textId="0E62F3BE" w:rsidR="008029B8" w:rsidRPr="000568BC" w:rsidRDefault="008029B8" w:rsidP="00E60D60">
      <w:pPr>
        <w:pStyle w:val="Txtpucegras"/>
      </w:pPr>
      <w:r w:rsidRPr="000568BC">
        <w:lastRenderedPageBreak/>
        <w:t>EP</w:t>
      </w:r>
      <w:r w:rsidR="00F7527A" w:rsidRPr="000568BC">
        <w:t xml:space="preserve"> </w:t>
      </w:r>
      <w:r w:rsidRPr="000568BC">
        <w:t>7 stat</w:t>
      </w:r>
      <w:r w:rsidR="00F7527A" w:rsidRPr="000568BC">
        <w:t>es</w:t>
      </w:r>
      <w:r w:rsidRPr="000568BC">
        <w:t xml:space="preserve"> that the </w:t>
      </w:r>
      <w:r w:rsidR="00200355" w:rsidRPr="000568BC">
        <w:t>“</w:t>
      </w:r>
      <w:r w:rsidR="00D47256" w:rsidRPr="000568BC">
        <w:t>communities, groups and individuals</w:t>
      </w:r>
      <w:r w:rsidRPr="000568BC">
        <w:t xml:space="preserve"> who create ICH should benefit from the protection of the moral and material interests resulting from such heritage, and particularly from its use, research, documentation, promotion or adaptation by members of the communities or others.</w:t>
      </w:r>
      <w:r w:rsidR="00200355" w:rsidRPr="000568BC">
        <w:t>”</w:t>
      </w:r>
    </w:p>
    <w:p w14:paraId="3010F997" w14:textId="052D6E1C" w:rsidR="00802500" w:rsidRPr="00764FA8" w:rsidRDefault="00802500" w:rsidP="00E60D60">
      <w:pPr>
        <w:tabs>
          <w:tab w:val="clear" w:pos="567"/>
        </w:tabs>
        <w:snapToGrid/>
        <w:spacing w:line="240" w:lineRule="auto"/>
        <w:ind w:left="2"/>
        <w:jc w:val="left"/>
        <w:rPr>
          <w:lang w:val="en-US"/>
        </w:rPr>
      </w:pPr>
    </w:p>
    <w:p w14:paraId="1643EE20" w14:textId="77777777" w:rsidR="00C27CF6" w:rsidRPr="00C27CF6" w:rsidRDefault="00C27CF6" w:rsidP="002D5639">
      <w:pPr>
        <w:pStyle w:val="Texte1"/>
        <w:rPr>
          <w:b/>
          <w:bCs/>
        </w:rPr>
      </w:pPr>
      <w:r w:rsidRPr="00C27CF6">
        <w:rPr>
          <w:b/>
          <w:bCs/>
        </w:rPr>
        <w:t>Example: Recording music, stories and linguistic material in Papua New Guinea</w:t>
      </w:r>
    </w:p>
    <w:p w14:paraId="4712F40D" w14:textId="77777777" w:rsidR="00802500" w:rsidRPr="000E1D9D" w:rsidRDefault="00802500" w:rsidP="002D5639">
      <w:pPr>
        <w:pStyle w:val="Texte1"/>
      </w:pPr>
      <w:r w:rsidRPr="00482544">
        <w:t>In the late 1990s,</w:t>
      </w:r>
      <w:r w:rsidRPr="000E1D9D">
        <w:t xml:space="preserve"> the Austrian Academy of Sciences in Vienna collaborated with the Institute of Papua New Guinea Studies to make music, stories and other linguistic material recorded in Papua New Guinea in the early </w:t>
      </w:r>
      <w:r w:rsidRPr="001E70E2">
        <w:t>1900s</w:t>
      </w:r>
      <w:r w:rsidRPr="000E1D9D">
        <w:t xml:space="preserve"> available to institutions and cultural centres in Papua New Guinea today. Public awareness of the availability of the material was promoted through local newspapers and radio stations. Some of the recordings documented ceremonial songs that were no longer performed – either prohibited by missionaries or replaced by ceremonies from neighbouring groups. Today, these traditions are only remembered in a very fragmentary form. Local performance groups are thus using the recordings to stimulate village elders to recall performance practices of their youth, which can then be passed on to younger generations. Without these recorded examples as a starting point, such revitali</w:t>
      </w:r>
      <w:r w:rsidR="00ED5D2E">
        <w:t>z</w:t>
      </w:r>
      <w:r w:rsidRPr="000E1D9D">
        <w:t>ation efforts would not have been possible</w:t>
      </w:r>
      <w:r w:rsidR="004542FE">
        <w:t>.</w:t>
      </w:r>
      <w:r w:rsidR="00F358EA" w:rsidRPr="000E1D9D">
        <w:rPr>
          <w:rStyle w:val="FootnoteReference"/>
          <w:sz w:val="20"/>
          <w:szCs w:val="20"/>
        </w:rPr>
        <w:footnoteReference w:id="2"/>
      </w:r>
    </w:p>
    <w:p w14:paraId="3D2979EE" w14:textId="77777777" w:rsidR="00802500" w:rsidRPr="004D76DA" w:rsidRDefault="00802500" w:rsidP="00A853D3">
      <w:pPr>
        <w:pStyle w:val="Heading4"/>
        <w:rPr>
          <w:lang w:val="en-GB"/>
        </w:rPr>
      </w:pPr>
      <w:r w:rsidRPr="004D76DA">
        <w:rPr>
          <w:lang w:val="en-GB"/>
        </w:rPr>
        <w:t>Revitali</w:t>
      </w:r>
      <w:r w:rsidR="00ED5D2E">
        <w:rPr>
          <w:lang w:val="en-GB"/>
        </w:rPr>
        <w:t>Z</w:t>
      </w:r>
      <w:r w:rsidRPr="004D76DA">
        <w:rPr>
          <w:lang w:val="en-GB"/>
        </w:rPr>
        <w:t>ing the practice and transmission of ICH</w:t>
      </w:r>
    </w:p>
    <w:p w14:paraId="7B3765D1" w14:textId="11F73B84" w:rsidR="00802500" w:rsidRPr="00D44CAC" w:rsidRDefault="00802500" w:rsidP="002D5639">
      <w:pPr>
        <w:pStyle w:val="Texte1"/>
      </w:pPr>
      <w:r w:rsidRPr="00787639">
        <w:t>T</w:t>
      </w:r>
      <w:r w:rsidRPr="00D44CAC">
        <w:t>he communities concerned may be assisted in this task by State agencies, NGOs, experts, centres of expertise and research institutions. Possible activities include:</w:t>
      </w:r>
    </w:p>
    <w:p w14:paraId="1749F246" w14:textId="1A628E2C" w:rsidR="00802500" w:rsidRPr="007414B3" w:rsidRDefault="00997270" w:rsidP="00AD2211">
      <w:pPr>
        <w:pStyle w:val="Txtpucegras"/>
      </w:pPr>
      <w:r>
        <w:t>A</w:t>
      </w:r>
      <w:r w:rsidR="00802500" w:rsidRPr="00787639">
        <w:t>wareness</w:t>
      </w:r>
      <w:r w:rsidR="001C7A9C">
        <w:t xml:space="preserve"> </w:t>
      </w:r>
      <w:r w:rsidR="00802500" w:rsidRPr="00787639">
        <w:t>raising within the community concerned about the value of</w:t>
      </w:r>
      <w:r w:rsidR="00F358EA" w:rsidRPr="00787639">
        <w:t xml:space="preserve"> </w:t>
      </w:r>
      <w:r w:rsidR="00802500" w:rsidRPr="00787639">
        <w:t xml:space="preserve">specific ICH </w:t>
      </w:r>
      <w:r w:rsidR="00802500" w:rsidRPr="007414B3">
        <w:t>elemen</w:t>
      </w:r>
      <w:r w:rsidR="00356606" w:rsidRPr="007414B3">
        <w:t>ts</w:t>
      </w:r>
      <w:r w:rsidR="00660942" w:rsidRPr="00447005">
        <w:t>;</w:t>
      </w:r>
    </w:p>
    <w:p w14:paraId="0AE017E9" w14:textId="77777777" w:rsidR="00802500" w:rsidRPr="007414B3" w:rsidRDefault="00997270" w:rsidP="00952DBE">
      <w:pPr>
        <w:pStyle w:val="Txtpucegras"/>
      </w:pPr>
      <w:r w:rsidRPr="007414B3">
        <w:t>E</w:t>
      </w:r>
      <w:r w:rsidR="00802500" w:rsidRPr="007414B3">
        <w:t>ncouraging the establishment of community organi</w:t>
      </w:r>
      <w:r w:rsidR="00ED5D2E" w:rsidRPr="007414B3">
        <w:t>z</w:t>
      </w:r>
      <w:r w:rsidR="00802500" w:rsidRPr="007414B3">
        <w:t>ations that will</w:t>
      </w:r>
      <w:r w:rsidR="00F358EA" w:rsidRPr="007414B3">
        <w:t xml:space="preserve"> </w:t>
      </w:r>
      <w:r w:rsidR="00802500" w:rsidRPr="007414B3">
        <w:t>promote the safeguarding of their ICH and take steps to safeguar</w:t>
      </w:r>
      <w:r w:rsidR="00356606" w:rsidRPr="007414B3">
        <w:t>d it</w:t>
      </w:r>
      <w:r w:rsidR="00660942" w:rsidRPr="00447005">
        <w:t>;</w:t>
      </w:r>
    </w:p>
    <w:p w14:paraId="52020D20" w14:textId="6607740C" w:rsidR="00802500" w:rsidRPr="000568BC" w:rsidRDefault="00997270">
      <w:pPr>
        <w:pStyle w:val="Txtpucegras"/>
      </w:pPr>
      <w:r w:rsidRPr="007414B3">
        <w:t>A</w:t>
      </w:r>
      <w:r w:rsidR="00802500" w:rsidRPr="007414B3">
        <w:t>nalysing (by or with the communities concerned) threats to the viability of</w:t>
      </w:r>
      <w:r w:rsidR="00F358EA" w:rsidRPr="007414B3">
        <w:t xml:space="preserve"> </w:t>
      </w:r>
      <w:r w:rsidR="00802500" w:rsidRPr="007414B3">
        <w:t xml:space="preserve">their ICH </w:t>
      </w:r>
      <w:r w:rsidR="00802500" w:rsidRPr="000568BC">
        <w:t>elements, if an</w:t>
      </w:r>
      <w:r w:rsidR="00356606" w:rsidRPr="000568BC">
        <w:t>y</w:t>
      </w:r>
      <w:r w:rsidR="008029B8" w:rsidRPr="000568BC">
        <w:t xml:space="preserve"> (see also EP</w:t>
      </w:r>
      <w:r w:rsidR="00576307" w:rsidRPr="000568BC">
        <w:t xml:space="preserve"> </w:t>
      </w:r>
      <w:r w:rsidR="008029B8" w:rsidRPr="000568BC">
        <w:t>10)</w:t>
      </w:r>
      <w:r w:rsidR="00660942" w:rsidRPr="000568BC">
        <w:t>;</w:t>
      </w:r>
    </w:p>
    <w:p w14:paraId="33BE6968" w14:textId="77777777" w:rsidR="00802500" w:rsidRPr="000568BC" w:rsidRDefault="00997270">
      <w:pPr>
        <w:pStyle w:val="Txtpucegras"/>
      </w:pPr>
      <w:r w:rsidRPr="000568BC">
        <w:t>S</w:t>
      </w:r>
      <w:r w:rsidR="00802500" w:rsidRPr="000568BC">
        <w:t>upporting experienced practitioners to transmit knowledge, skills and</w:t>
      </w:r>
      <w:r w:rsidR="00F358EA" w:rsidRPr="000568BC">
        <w:t xml:space="preserve"> </w:t>
      </w:r>
      <w:r w:rsidR="00802500" w:rsidRPr="000568BC">
        <w:t>values required for the practice and appreciation of ICH elements by others in the community conc</w:t>
      </w:r>
      <w:r w:rsidR="00356606" w:rsidRPr="000568BC">
        <w:t>erned</w:t>
      </w:r>
      <w:r w:rsidR="00660942" w:rsidRPr="000568BC">
        <w:t>;</w:t>
      </w:r>
    </w:p>
    <w:p w14:paraId="2ADE7A06" w14:textId="74D59415" w:rsidR="00802500" w:rsidRPr="000568BC" w:rsidRDefault="00997270">
      <w:pPr>
        <w:pStyle w:val="Txtpucegras"/>
      </w:pPr>
      <w:r w:rsidRPr="000568BC">
        <w:t>P</w:t>
      </w:r>
      <w:r w:rsidR="00802500" w:rsidRPr="000568BC">
        <w:t>roviding education and training for young community members to ensure</w:t>
      </w:r>
      <w:r w:rsidR="00F358EA" w:rsidRPr="000568BC">
        <w:t xml:space="preserve"> </w:t>
      </w:r>
      <w:r w:rsidR="00802500" w:rsidRPr="000568BC">
        <w:t>that the skills are in place for continued practice of ICH elements in cases where traditional methods of transmission ar</w:t>
      </w:r>
      <w:r w:rsidR="00356606" w:rsidRPr="000568BC">
        <w:t>e no longer viable</w:t>
      </w:r>
      <w:r w:rsidR="008029B8" w:rsidRPr="000568BC">
        <w:t xml:space="preserve"> (see also EP</w:t>
      </w:r>
      <w:r w:rsidR="00576307" w:rsidRPr="000568BC">
        <w:t xml:space="preserve"> </w:t>
      </w:r>
      <w:r w:rsidR="008029B8" w:rsidRPr="000568BC">
        <w:t>11)</w:t>
      </w:r>
      <w:r w:rsidR="00660942" w:rsidRPr="000568BC">
        <w:t>;</w:t>
      </w:r>
    </w:p>
    <w:p w14:paraId="33FBF758" w14:textId="3E936E56" w:rsidR="009A794F" w:rsidRPr="000568BC" w:rsidRDefault="009A794F" w:rsidP="009A794F">
      <w:pPr>
        <w:pStyle w:val="Txtpucegras"/>
      </w:pPr>
      <w:r w:rsidRPr="000568BC">
        <w:t>In cases where traditional modes of transmission are weak, considering whether gender-based attitudes contribute to problems in transmission. This might consist in part of asking how the gender</w:t>
      </w:r>
      <w:r w:rsidR="00B91094" w:rsidRPr="000568BC">
        <w:t>-</w:t>
      </w:r>
      <w:r w:rsidRPr="000568BC">
        <w:t>specific aspects have come about (e.g. father-to-son, mother-to</w:t>
      </w:r>
      <w:r w:rsidR="00B91094" w:rsidRPr="000568BC">
        <w:t>-</w:t>
      </w:r>
      <w:r w:rsidRPr="000568BC">
        <w:t>daughter, etc.), and how, if at all, have they changed over time and why.</w:t>
      </w:r>
    </w:p>
    <w:p w14:paraId="644CC987" w14:textId="77777777" w:rsidR="00802500" w:rsidRPr="000568BC" w:rsidRDefault="00997270">
      <w:pPr>
        <w:pStyle w:val="Txtpucegras"/>
      </w:pPr>
      <w:r w:rsidRPr="000568BC">
        <w:t>E</w:t>
      </w:r>
      <w:r w:rsidR="00802500" w:rsidRPr="000568BC">
        <w:t>ncouraging traditional contests and competitions, in particular where</w:t>
      </w:r>
      <w:r w:rsidR="00F358EA" w:rsidRPr="000568BC">
        <w:t xml:space="preserve"> </w:t>
      </w:r>
      <w:r w:rsidR="00802500" w:rsidRPr="000568BC">
        <w:t>these were used in the past as vehicles for enact</w:t>
      </w:r>
      <w:r w:rsidR="00713DAA" w:rsidRPr="000568BC">
        <w:t>ing</w:t>
      </w:r>
      <w:r w:rsidR="00802500" w:rsidRPr="000568BC">
        <w:t xml:space="preserve"> and transmi</w:t>
      </w:r>
      <w:r w:rsidR="00713DAA" w:rsidRPr="000568BC">
        <w:t>tting</w:t>
      </w:r>
      <w:r w:rsidR="00802500" w:rsidRPr="000568BC">
        <w:t xml:space="preserve"> the elemen</w:t>
      </w:r>
      <w:r w:rsidR="00356606" w:rsidRPr="000568BC">
        <w:t>t</w:t>
      </w:r>
      <w:r w:rsidR="00660942" w:rsidRPr="000568BC">
        <w:t>;</w:t>
      </w:r>
    </w:p>
    <w:p w14:paraId="70DC22B9" w14:textId="25592EC9" w:rsidR="00802500" w:rsidRPr="000568BC" w:rsidRDefault="00997270">
      <w:pPr>
        <w:pStyle w:val="Txtpucegras"/>
      </w:pPr>
      <w:r w:rsidRPr="000568BC">
        <w:t>E</w:t>
      </w:r>
      <w:r w:rsidR="00802500" w:rsidRPr="000568BC">
        <w:t>nsuring that the material conditions for continued practice and</w:t>
      </w:r>
      <w:r w:rsidR="00F358EA" w:rsidRPr="000568BC">
        <w:t xml:space="preserve"> </w:t>
      </w:r>
      <w:r w:rsidR="00802500" w:rsidRPr="000568BC">
        <w:t>transmission are met, e.g.</w:t>
      </w:r>
      <w:r w:rsidR="006F64E1" w:rsidRPr="000568BC">
        <w:t> </w:t>
      </w:r>
      <w:r w:rsidR="00802500" w:rsidRPr="000568BC">
        <w:t>through the continued availability of sufficient raw materials, performance spaces or t</w:t>
      </w:r>
      <w:r w:rsidR="00356606" w:rsidRPr="000568BC">
        <w:t>ools</w:t>
      </w:r>
      <w:r w:rsidR="008029B8" w:rsidRPr="000568BC">
        <w:t xml:space="preserve"> (see also EP</w:t>
      </w:r>
      <w:r w:rsidR="00576307" w:rsidRPr="000568BC">
        <w:t xml:space="preserve"> </w:t>
      </w:r>
      <w:r w:rsidR="008029B8" w:rsidRPr="000568BC">
        <w:t>5)</w:t>
      </w:r>
      <w:r w:rsidR="00660942" w:rsidRPr="000568BC">
        <w:t>;</w:t>
      </w:r>
    </w:p>
    <w:p w14:paraId="482CF583" w14:textId="77777777" w:rsidR="00802500" w:rsidRPr="007414B3" w:rsidRDefault="00997270">
      <w:pPr>
        <w:pStyle w:val="Txtpucegras"/>
      </w:pPr>
      <w:r w:rsidRPr="007414B3">
        <w:lastRenderedPageBreak/>
        <w:t>E</w:t>
      </w:r>
      <w:r w:rsidR="00802500" w:rsidRPr="007414B3">
        <w:t>nsuring funding for safeguarding projects</w:t>
      </w:r>
      <w:r w:rsidR="00660942" w:rsidRPr="00447005">
        <w:t>;</w:t>
      </w:r>
    </w:p>
    <w:p w14:paraId="7FD3886A" w14:textId="38FCAA9D" w:rsidR="00C27CF6" w:rsidRPr="000568BC" w:rsidRDefault="00997270" w:rsidP="00406F9D">
      <w:pPr>
        <w:pStyle w:val="Txtpucegras"/>
      </w:pPr>
      <w:r w:rsidRPr="007414B3">
        <w:t>M</w:t>
      </w:r>
      <w:r w:rsidR="00802500" w:rsidRPr="007414B3">
        <w:t>onitoring the effects of safeguarding measures and development</w:t>
      </w:r>
      <w:r w:rsidR="00F358EA" w:rsidRPr="007414B3">
        <w:t xml:space="preserve"> </w:t>
      </w:r>
      <w:r w:rsidR="00802500" w:rsidRPr="007414B3">
        <w:t>activities on the</w:t>
      </w:r>
      <w:r w:rsidR="00802500" w:rsidRPr="00787639">
        <w:t xml:space="preserve"> viability of the elements and taking remedial action if new threats to the viability of the element </w:t>
      </w:r>
      <w:r w:rsidR="00802500" w:rsidRPr="000568BC">
        <w:t>emerge</w:t>
      </w:r>
      <w:r w:rsidR="008029B8" w:rsidRPr="000568BC">
        <w:t xml:space="preserve"> (see also EP</w:t>
      </w:r>
      <w:r w:rsidR="00576307" w:rsidRPr="000568BC">
        <w:t xml:space="preserve"> </w:t>
      </w:r>
      <w:r w:rsidR="008029B8" w:rsidRPr="000568BC">
        <w:t>9)</w:t>
      </w:r>
      <w:r w:rsidR="00802500" w:rsidRPr="000568BC">
        <w:t>.</w:t>
      </w:r>
    </w:p>
    <w:p w14:paraId="712544F0" w14:textId="77777777" w:rsidR="00C27CF6" w:rsidRPr="00BE1A7C" w:rsidRDefault="00C27CF6" w:rsidP="00BE1A7C">
      <w:pPr>
        <w:pStyle w:val="Txtpucegras"/>
        <w:numPr>
          <w:ilvl w:val="0"/>
          <w:numId w:val="0"/>
        </w:numPr>
        <w:ind w:left="851"/>
        <w:rPr>
          <w:b/>
          <w:bCs/>
        </w:rPr>
      </w:pPr>
      <w:r w:rsidRPr="00BE1A7C">
        <w:rPr>
          <w:b/>
          <w:bCs/>
        </w:rPr>
        <w:t xml:space="preserve">Example: </w:t>
      </w:r>
      <w:r w:rsidR="00F13F47" w:rsidRPr="00BE1A7C">
        <w:rPr>
          <w:b/>
          <w:bCs/>
        </w:rPr>
        <w:t>Batik cloth dyeing in Indonesia</w:t>
      </w:r>
    </w:p>
    <w:p w14:paraId="3DD2A3E6" w14:textId="77777777" w:rsidR="00802500" w:rsidRPr="000E1D9D" w:rsidRDefault="00E53930" w:rsidP="002D5639">
      <w:pPr>
        <w:pStyle w:val="Texte1"/>
      </w:pPr>
      <w:r w:rsidRPr="0068396F">
        <w:t>‘</w:t>
      </w:r>
      <w:r w:rsidR="00802500" w:rsidRPr="0068396F">
        <w:t>Batik is a method of cloth dyeing common in Indonesia</w:t>
      </w:r>
      <w:r w:rsidRPr="0068396F">
        <w:t xml:space="preserve"> [</w:t>
      </w:r>
      <w:r w:rsidR="00802500" w:rsidRPr="0068396F">
        <w:t>; it was</w:t>
      </w:r>
      <w:r w:rsidRPr="0068396F">
        <w:t>]</w:t>
      </w:r>
      <w:r w:rsidR="00802500" w:rsidRPr="0068396F">
        <w:t xml:space="preserve"> inscribed</w:t>
      </w:r>
      <w:r w:rsidR="00802500" w:rsidRPr="00482544">
        <w:t xml:space="preserve"> on the Representative List in 2009. In making ba</w:t>
      </w:r>
      <w:r w:rsidR="00802500" w:rsidRPr="000E1D9D">
        <w:t xml:space="preserve">tik cloth, craftspeople draw designs on fabric using dots and lines of hot wax, which resists vegetable and other dyes and therefore allows selective colouring of the cloth. Individuals </w:t>
      </w:r>
      <w:r w:rsidR="00802500" w:rsidRPr="0068396F">
        <w:t>skilled in batik making have been identified with a view to declaring them as National Treasures. In 2008</w:t>
      </w:r>
      <w:r w:rsidRPr="0068396F">
        <w:t>,</w:t>
      </w:r>
      <w:r w:rsidR="00802500" w:rsidRPr="0068396F">
        <w:t xml:space="preserve"> the Indonesian Batik Community Forum was established to facilitate communication and collaboration among batik community members for its safeguarding.</w:t>
      </w:r>
      <w:r w:rsidRPr="0068396F">
        <w:t>’</w:t>
      </w:r>
      <w:r w:rsidR="00F358EA" w:rsidRPr="0068396F">
        <w:rPr>
          <w:rStyle w:val="FootnoteReference"/>
          <w:sz w:val="20"/>
          <w:szCs w:val="20"/>
        </w:rPr>
        <w:footnoteReference w:id="3"/>
      </w:r>
    </w:p>
    <w:p w14:paraId="54E67A02" w14:textId="77777777" w:rsidR="00802500" w:rsidRPr="00D65838" w:rsidRDefault="00802500">
      <w:pPr>
        <w:pStyle w:val="Texte1"/>
      </w:pPr>
      <w:r w:rsidRPr="00787639">
        <w:t>The members developed various safeguarding measures:</w:t>
      </w:r>
      <w:r w:rsidR="005E0090" w:rsidRPr="00787639">
        <w:t xml:space="preserve"> one</w:t>
      </w:r>
      <w:r w:rsidR="00997270">
        <w:t> </w:t>
      </w:r>
      <w:r w:rsidR="005E0090" w:rsidRPr="00787639">
        <w:t xml:space="preserve">of them was to ensure that </w:t>
      </w:r>
      <w:r w:rsidR="005E0090" w:rsidRPr="0068396F">
        <w:t>speciali</w:t>
      </w:r>
      <w:r w:rsidR="00ED5D2E" w:rsidRPr="0068396F">
        <w:t>z</w:t>
      </w:r>
      <w:r w:rsidR="005E0090" w:rsidRPr="0068396F">
        <w:t>ed canthing tulis pens and canthing cap stamps</w:t>
      </w:r>
      <w:r w:rsidR="005E0090" w:rsidRPr="00787639">
        <w:t xml:space="preserve"> were available to make the cloth, as the knowledge of how to make these pens and stamps has now become endangered. The Batik Museum Institute planned to carry out a training programme to teach the making of these tools.</w:t>
      </w:r>
      <w:r w:rsidR="0004143A">
        <w:t xml:space="preserve"> Additional information on safeguarding batik, including a short video, is available at: </w:t>
      </w:r>
      <w:r w:rsidR="0004143A" w:rsidRPr="0004143A">
        <w:t>http://www.unesco.org/culture/ich/en/register</w:t>
      </w:r>
    </w:p>
    <w:p w14:paraId="28E37532" w14:textId="71A6D7CC" w:rsidR="00802500" w:rsidRPr="004D76DA" w:rsidRDefault="00955176" w:rsidP="008B4139">
      <w:pPr>
        <w:pStyle w:val="Titcoul"/>
        <w:rPr>
          <w:lang w:val="en-GB"/>
        </w:rPr>
      </w:pPr>
      <w:bookmarkStart w:id="20" w:name="_Toc241229726"/>
      <w:bookmarkStart w:id="21" w:name="_Toc241229930"/>
      <w:bookmarkStart w:id="22" w:name="_Toc242165624"/>
      <w:r w:rsidRPr="004D76DA">
        <w:rPr>
          <w:lang w:val="en-GB"/>
        </w:rPr>
        <w:t>9</w:t>
      </w:r>
      <w:r w:rsidR="00802500" w:rsidRPr="004D76DA">
        <w:rPr>
          <w:lang w:val="en-GB"/>
        </w:rPr>
        <w:t>.6</w:t>
      </w:r>
      <w:r w:rsidR="00EC0C35" w:rsidRPr="004D76DA">
        <w:rPr>
          <w:lang w:val="en-GB"/>
        </w:rPr>
        <w:tab/>
      </w:r>
      <w:r w:rsidR="00802500" w:rsidRPr="004D76DA">
        <w:rPr>
          <w:lang w:val="en-GB"/>
        </w:rPr>
        <w:t>INVOLVING COMMUNITIES CONCERNED IN SAFEGUARDING</w:t>
      </w:r>
      <w:bookmarkEnd w:id="20"/>
      <w:bookmarkEnd w:id="21"/>
      <w:bookmarkEnd w:id="22"/>
    </w:p>
    <w:p w14:paraId="3913CA2B" w14:textId="502A2CEA" w:rsidR="00802500" w:rsidRPr="00320A0E" w:rsidRDefault="00802500" w:rsidP="00764FA8">
      <w:pPr>
        <w:pStyle w:val="Texte1"/>
      </w:pPr>
      <w:r w:rsidRPr="003531BA">
        <w:t xml:space="preserve">This issue </w:t>
      </w:r>
      <w:r w:rsidR="00A83B80">
        <w:t>of involving the communities concerned in safeguarding</w:t>
      </w:r>
      <w:r w:rsidRPr="003531BA">
        <w:t xml:space="preserve"> </w:t>
      </w:r>
      <w:r w:rsidR="00A31ED9">
        <w:t xml:space="preserve">is </w:t>
      </w:r>
      <w:r w:rsidRPr="003531BA">
        <w:t xml:space="preserve">also discussed in </w:t>
      </w:r>
      <w:r w:rsidR="00C61BCD" w:rsidRPr="003531BA">
        <w:t>Participant’s</w:t>
      </w:r>
      <w:r w:rsidR="008A1398">
        <w:t> </w:t>
      </w:r>
      <w:r w:rsidR="00C61BCD" w:rsidRPr="003531BA">
        <w:t>text</w:t>
      </w:r>
      <w:r w:rsidRPr="00346CC4">
        <w:t xml:space="preserve"> </w:t>
      </w:r>
      <w:r w:rsidR="00A853D3" w:rsidRPr="00320A0E">
        <w:t>Unit</w:t>
      </w:r>
      <w:r w:rsidR="008A1398">
        <w:t> </w:t>
      </w:r>
      <w:r w:rsidR="00955176" w:rsidRPr="00320A0E">
        <w:t>7</w:t>
      </w:r>
      <w:r w:rsidRPr="00320A0E">
        <w:t>.</w:t>
      </w:r>
    </w:p>
    <w:p w14:paraId="473FA6A4" w14:textId="4AD0E538" w:rsidR="00802500" w:rsidRPr="00320A0E" w:rsidRDefault="00DD01F3">
      <w:pPr>
        <w:pStyle w:val="Texte1"/>
      </w:pPr>
      <w:r w:rsidRPr="00406F9D">
        <w:t>Article </w:t>
      </w:r>
      <w:r w:rsidR="00802500" w:rsidRPr="00406F9D">
        <w:t>15</w:t>
      </w:r>
      <w:r w:rsidR="00802500" w:rsidRPr="00320A0E">
        <w:t xml:space="preserve"> of the Convention </w:t>
      </w:r>
      <w:r w:rsidR="008029B8">
        <w:t xml:space="preserve">is clear: </w:t>
      </w:r>
    </w:p>
    <w:p w14:paraId="6FE8C54E" w14:textId="733B86DD" w:rsidR="00754E4F" w:rsidRPr="000568BC" w:rsidRDefault="00802500" w:rsidP="002D5639">
      <w:pPr>
        <w:pStyle w:val="citation"/>
      </w:pPr>
      <w:r w:rsidRPr="00320A0E">
        <w:t xml:space="preserve">Within the framework of its safeguarding activities of the intangible cultural heritage, each State Party shall endeavour to ensure the </w:t>
      </w:r>
      <w:r w:rsidRPr="00150F56">
        <w:rPr>
          <w:i/>
        </w:rPr>
        <w:t>widest possible participation of communities</w:t>
      </w:r>
      <w:r w:rsidRPr="00150F56">
        <w:t xml:space="preserve">, </w:t>
      </w:r>
      <w:r w:rsidRPr="00BE1A7C">
        <w:rPr>
          <w:i/>
        </w:rPr>
        <w:t>groups and, where appropriate, individuals</w:t>
      </w:r>
      <w:r w:rsidRPr="00612E93">
        <w:t xml:space="preserve"> that create, maintain and </w:t>
      </w:r>
      <w:r w:rsidRPr="000568BC">
        <w:t xml:space="preserve">transmit such heritage, and to </w:t>
      </w:r>
      <w:r w:rsidRPr="000568BC">
        <w:rPr>
          <w:i/>
        </w:rPr>
        <w:t>involve them actively in its management</w:t>
      </w:r>
      <w:r w:rsidRPr="000568BC">
        <w:t>. (Emphasis added.</w:t>
      </w:r>
      <w:r w:rsidR="00760F7D" w:rsidRPr="000568BC">
        <w:t>)</w:t>
      </w:r>
    </w:p>
    <w:p w14:paraId="3F925561" w14:textId="4AF682E4" w:rsidR="0060744C" w:rsidRPr="000568BC" w:rsidRDefault="000E107B" w:rsidP="007C2D33">
      <w:pPr>
        <w:pStyle w:val="Texte1"/>
      </w:pPr>
      <w:r w:rsidRPr="000568BC">
        <w:t xml:space="preserve">In particular, the voices of different age and gender groups need to be taken into account. Consideration should be made of how identified gender roles will affect both negotiations between different stakeholders and the design and implementation of successful safeguarding plans on different levels (local, national, and international).  </w:t>
      </w:r>
    </w:p>
    <w:p w14:paraId="08B49733" w14:textId="39E0FB83" w:rsidR="008029B8" w:rsidRDefault="00802500" w:rsidP="0060744C">
      <w:pPr>
        <w:pStyle w:val="Texte1"/>
      </w:pPr>
      <w:r w:rsidRPr="000568BC">
        <w:t xml:space="preserve">The most promising safeguarding activities </w:t>
      </w:r>
      <w:r w:rsidRPr="00B73CA7">
        <w:t>are initiated at the community level, by individuals who are concerned abo</w:t>
      </w:r>
      <w:r w:rsidRPr="003531BA">
        <w:t>ut</w:t>
      </w:r>
      <w:r w:rsidRPr="00787639">
        <w:t xml:space="preserve"> threats to the viability of one or more elements of their ICH and mobili</w:t>
      </w:r>
      <w:r w:rsidR="00ED5D2E">
        <w:t>z</w:t>
      </w:r>
      <w:r w:rsidRPr="00787639">
        <w:t xml:space="preserve">e themselves and others, often without outside support. </w:t>
      </w:r>
    </w:p>
    <w:p w14:paraId="13193E8C" w14:textId="77777777" w:rsidR="008029B8" w:rsidRDefault="008029B8">
      <w:pPr>
        <w:pStyle w:val="Texte1"/>
      </w:pPr>
    </w:p>
    <w:p w14:paraId="4A812B1E" w14:textId="6E24CA9F" w:rsidR="00802500" w:rsidRPr="00D44CAC" w:rsidRDefault="00802500">
      <w:pPr>
        <w:pStyle w:val="Texte1"/>
      </w:pPr>
      <w:r w:rsidRPr="00787639">
        <w:t xml:space="preserve">The </w:t>
      </w:r>
      <w:r w:rsidR="00FF7FA1" w:rsidRPr="00AD244C">
        <w:rPr>
          <w:noProof/>
          <w:lang w:val="fr-FR" w:eastAsia="zh-TW"/>
        </w:rPr>
        <w:drawing>
          <wp:anchor distT="0" distB="0" distL="114300" distR="114300" simplePos="0" relativeHeight="252157440" behindDoc="0" locked="1" layoutInCell="1" allowOverlap="0" wp14:anchorId="50F6BF85" wp14:editId="71A24F34">
            <wp:simplePos x="0" y="0"/>
            <wp:positionH relativeFrom="column">
              <wp:posOffset>2540</wp:posOffset>
            </wp:positionH>
            <wp:positionV relativeFrom="paragraph">
              <wp:posOffset>642620</wp:posOffset>
            </wp:positionV>
            <wp:extent cx="283210" cy="358775"/>
            <wp:effectExtent l="0" t="0" r="2540" b="3175"/>
            <wp:wrapThrough wrapText="bothSides">
              <wp:wrapPolygon edited="0">
                <wp:start x="0" y="0"/>
                <wp:lineTo x="0" y="20644"/>
                <wp:lineTo x="20341" y="20644"/>
                <wp:lineTo x="20341" y="0"/>
                <wp:lineTo x="0" y="0"/>
              </wp:wrapPolygon>
            </wp:wrapThrough>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787639">
        <w:t>documents of the Asia/Pacific Cultural Centre for UNESCO (ACCU), a Japanese non-profit organi</w:t>
      </w:r>
      <w:r w:rsidR="00ED5D2E">
        <w:t>z</w:t>
      </w:r>
      <w:r w:rsidRPr="00787639">
        <w:t>ation, provide some examples o</w:t>
      </w:r>
      <w:r w:rsidRPr="00D44CAC">
        <w:t xml:space="preserve">f community-based safeguarding activities (see, for example, </w:t>
      </w:r>
      <w:r w:rsidR="003531BA" w:rsidRPr="003531BA">
        <w:t>http://www.accu.or.jp/ich/en/pdf/2ndworkshop.pdf</w:t>
      </w:r>
      <w:r w:rsidRPr="00D44CAC">
        <w:t>).</w:t>
      </w:r>
    </w:p>
    <w:p w14:paraId="586008D2" w14:textId="77777777" w:rsidR="00802500" w:rsidRDefault="00E13B6A">
      <w:pPr>
        <w:pStyle w:val="Informations"/>
        <w:rPr>
          <w:i w:val="0"/>
          <w:iCs w:val="0"/>
          <w:color w:val="auto"/>
        </w:rPr>
      </w:pPr>
      <w:r w:rsidRPr="00447005">
        <w:rPr>
          <w:i w:val="0"/>
          <w:iCs w:val="0"/>
          <w:color w:val="auto"/>
        </w:rPr>
        <w:lastRenderedPageBreak/>
        <w:t>C</w:t>
      </w:r>
      <w:r w:rsidR="00802500" w:rsidRPr="00447005">
        <w:rPr>
          <w:i w:val="0"/>
          <w:iCs w:val="0"/>
          <w:color w:val="auto"/>
        </w:rPr>
        <w:t>ase study</w:t>
      </w:r>
      <w:r w:rsidR="00C06994" w:rsidRPr="00447005">
        <w:rPr>
          <w:i w:val="0"/>
          <w:iCs w:val="0"/>
          <w:color w:val="auto"/>
        </w:rPr>
        <w:t> </w:t>
      </w:r>
      <w:r w:rsidR="00802500" w:rsidRPr="00447005">
        <w:rPr>
          <w:i w:val="0"/>
          <w:iCs w:val="0"/>
          <w:color w:val="auto"/>
        </w:rPr>
        <w:t>25 discusses the revitali</w:t>
      </w:r>
      <w:r w:rsidR="00ED5D2E" w:rsidRPr="00447005">
        <w:rPr>
          <w:color w:val="auto"/>
        </w:rPr>
        <w:t>z</w:t>
      </w:r>
      <w:r w:rsidR="00802500" w:rsidRPr="00447005">
        <w:rPr>
          <w:i w:val="0"/>
          <w:iCs w:val="0"/>
          <w:color w:val="auto"/>
        </w:rPr>
        <w:t xml:space="preserve">ation and renewed appreciation of a traditional practice, the </w:t>
      </w:r>
      <w:r w:rsidR="005C12D7" w:rsidRPr="00447005">
        <w:rPr>
          <w:iCs w:val="0"/>
          <w:color w:val="auto"/>
        </w:rPr>
        <w:t>Sanbasomawashi</w:t>
      </w:r>
      <w:r w:rsidR="005C12D7" w:rsidRPr="00D06211">
        <w:rPr>
          <w:i w:val="0"/>
          <w:iCs w:val="0"/>
          <w:color w:val="auto"/>
        </w:rPr>
        <w:t xml:space="preserve"> </w:t>
      </w:r>
      <w:r w:rsidR="00802500" w:rsidRPr="00447005">
        <w:rPr>
          <w:i w:val="0"/>
          <w:iCs w:val="0"/>
          <w:color w:val="auto"/>
        </w:rPr>
        <w:t>(New Year’s Performance) in Japan through community participation.</w:t>
      </w:r>
    </w:p>
    <w:p w14:paraId="773F41D8" w14:textId="1964C5BC" w:rsidR="0099002E" w:rsidRPr="00447005" w:rsidRDefault="002C703C" w:rsidP="002D5639">
      <w:pPr>
        <w:pStyle w:val="Informations"/>
        <w:rPr>
          <w:i w:val="0"/>
          <w:iCs w:val="0"/>
        </w:rPr>
      </w:pPr>
      <w:r w:rsidRPr="003531BA">
        <w:rPr>
          <w:noProof/>
          <w:lang w:val="fr-FR" w:eastAsia="zh-TW"/>
        </w:rPr>
        <w:drawing>
          <wp:anchor distT="0" distB="0" distL="114300" distR="114300" simplePos="0" relativeHeight="252159488" behindDoc="0" locked="1" layoutInCell="1" allowOverlap="0" wp14:anchorId="4A0288AD" wp14:editId="3CA4BBB6">
            <wp:simplePos x="0" y="0"/>
            <wp:positionH relativeFrom="column">
              <wp:posOffset>0</wp:posOffset>
            </wp:positionH>
            <wp:positionV relativeFrom="paragraph">
              <wp:posOffset>-86995</wp:posOffset>
            </wp:positionV>
            <wp:extent cx="283210" cy="358775"/>
            <wp:effectExtent l="0" t="0" r="2540" b="3175"/>
            <wp:wrapThrough wrapText="bothSides">
              <wp:wrapPolygon edited="0">
                <wp:start x="0" y="0"/>
                <wp:lineTo x="0" y="20644"/>
                <wp:lineTo x="20341" y="20644"/>
                <wp:lineTo x="20341" y="0"/>
                <wp:lineTo x="0" y="0"/>
              </wp:wrapPolygon>
            </wp:wrapThrough>
            <wp:docPr id="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2">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9002E" w:rsidRPr="00447005">
        <w:rPr>
          <w:i w:val="0"/>
          <w:iCs w:val="0"/>
        </w:rPr>
        <w:t>Refer to Participant’s</w:t>
      </w:r>
      <w:r w:rsidR="006F64E1">
        <w:rPr>
          <w:i w:val="0"/>
          <w:iCs w:val="0"/>
        </w:rPr>
        <w:t> </w:t>
      </w:r>
      <w:r w:rsidR="0099002E" w:rsidRPr="00447005">
        <w:rPr>
          <w:i w:val="0"/>
          <w:iCs w:val="0"/>
        </w:rPr>
        <w:t>text Unit 7 and Case study 25</w:t>
      </w:r>
      <w:r w:rsidR="009B59BE">
        <w:rPr>
          <w:i w:val="0"/>
          <w:iCs w:val="0"/>
        </w:rPr>
        <w:t xml:space="preserve"> and the Ethical Principles</w:t>
      </w:r>
      <w:r w:rsidR="0099002E" w:rsidRPr="00447005">
        <w:rPr>
          <w:i w:val="0"/>
          <w:iCs w:val="0"/>
        </w:rPr>
        <w:t>.</w:t>
      </w:r>
    </w:p>
    <w:p w14:paraId="50CDE857" w14:textId="77777777" w:rsidR="00802500" w:rsidRPr="004D76DA" w:rsidRDefault="00955176" w:rsidP="00C82E38">
      <w:pPr>
        <w:pStyle w:val="Titcoul"/>
        <w:rPr>
          <w:lang w:val="en-GB"/>
        </w:rPr>
      </w:pPr>
      <w:bookmarkStart w:id="23" w:name="_Toc241229727"/>
      <w:bookmarkStart w:id="24" w:name="_Toc241229931"/>
      <w:bookmarkStart w:id="25" w:name="_Toc242165625"/>
      <w:r w:rsidRPr="004D76DA">
        <w:rPr>
          <w:lang w:val="en-GB"/>
        </w:rPr>
        <w:t>9</w:t>
      </w:r>
      <w:r w:rsidR="00802500" w:rsidRPr="004D76DA">
        <w:rPr>
          <w:lang w:val="en-GB"/>
        </w:rPr>
        <w:t>.7</w:t>
      </w:r>
      <w:r w:rsidR="00EC0C35" w:rsidRPr="004D76DA">
        <w:rPr>
          <w:lang w:val="en-GB"/>
        </w:rPr>
        <w:tab/>
      </w:r>
      <w:r w:rsidR="00802500" w:rsidRPr="004D76DA">
        <w:rPr>
          <w:lang w:val="en-GB"/>
        </w:rPr>
        <w:t>SAFEGUARDING MEASURES AND PLANS</w:t>
      </w:r>
      <w:bookmarkEnd w:id="23"/>
      <w:bookmarkEnd w:id="24"/>
      <w:bookmarkEnd w:id="25"/>
    </w:p>
    <w:p w14:paraId="0657289A" w14:textId="02481DC8" w:rsidR="00802500" w:rsidRPr="00787639" w:rsidRDefault="00802500" w:rsidP="002D5639">
      <w:pPr>
        <w:pStyle w:val="Texte1"/>
      </w:pPr>
      <w:r w:rsidRPr="00787639">
        <w:t>Safeguarding measures may be developed for any ICH elements that face threat</w:t>
      </w:r>
      <w:r w:rsidRPr="00D44CAC">
        <w:t>s o</w:t>
      </w:r>
      <w:r w:rsidRPr="00D90418">
        <w:t xml:space="preserve">r risks to their viability, but </w:t>
      </w:r>
      <w:r w:rsidRPr="00A677E2">
        <w:t>they have to be developed for elements nominated to the Lists of the</w:t>
      </w:r>
      <w:r w:rsidRPr="00D90418">
        <w:t xml:space="preserve"> Convention (see ODs</w:t>
      </w:r>
      <w:r w:rsidR="00947385">
        <w:t> </w:t>
      </w:r>
      <w:r w:rsidRPr="00D90418">
        <w:t>1 and 2). Safeguarding measures should, if possible, be presented as a coherent set of measures (i.e.</w:t>
      </w:r>
      <w:r w:rsidR="006F64E1">
        <w:t> </w:t>
      </w:r>
      <w:r w:rsidRPr="00D90418">
        <w:t xml:space="preserve">as a </w:t>
      </w:r>
      <w:r w:rsidR="00F4420F">
        <w:t xml:space="preserve">safeguarding </w:t>
      </w:r>
      <w:r w:rsidRPr="00D90418">
        <w:t>plan).</w:t>
      </w:r>
      <w:r w:rsidRPr="00787639">
        <w:t xml:space="preserve"> However, </w:t>
      </w:r>
      <w:r w:rsidR="00F4420F">
        <w:t xml:space="preserve">already </w:t>
      </w:r>
      <w:r w:rsidRPr="00787639">
        <w:t>a single measure can sometimes do wonders.</w:t>
      </w:r>
    </w:p>
    <w:p w14:paraId="58BD4B00" w14:textId="2579B5B5" w:rsidR="00802500" w:rsidRPr="00787639" w:rsidRDefault="00802500" w:rsidP="002D5639">
      <w:pPr>
        <w:pStyle w:val="Texte1"/>
      </w:pPr>
      <w:r w:rsidRPr="00787639">
        <w:t>Where several safeguarding measures are proposed, it may be necessary to prioriti</w:t>
      </w:r>
      <w:r w:rsidR="00C919A2">
        <w:t>z</w:t>
      </w:r>
      <w:r w:rsidRPr="00787639">
        <w:t xml:space="preserve">e them, as </w:t>
      </w:r>
      <w:r w:rsidR="00F4420F">
        <w:t>b</w:t>
      </w:r>
      <w:r w:rsidRPr="00787639">
        <w:t>udgets for safeguarding are</w:t>
      </w:r>
      <w:r w:rsidR="00F4420F">
        <w:t xml:space="preserve"> usually rather limited</w:t>
      </w:r>
      <w:r w:rsidRPr="00787639">
        <w:t xml:space="preserve">. </w:t>
      </w:r>
      <w:r w:rsidR="00F4420F">
        <w:t>However, s</w:t>
      </w:r>
      <w:r w:rsidRPr="00787639">
        <w:t xml:space="preserve">afeguarding measures </w:t>
      </w:r>
      <w:r w:rsidR="00F4420F">
        <w:t xml:space="preserve">are not always </w:t>
      </w:r>
      <w:r w:rsidRPr="00787639">
        <w:t xml:space="preserve">expensive to implement. If funds are required to </w:t>
      </w:r>
      <w:r w:rsidRPr="00D44CAC">
        <w:t xml:space="preserve">implement them, especially in relation to elements (being) inscribed on the </w:t>
      </w:r>
      <w:r w:rsidR="00AA6E66" w:rsidRPr="0068396F">
        <w:t>Urgent Safeguarding List</w:t>
      </w:r>
      <w:r w:rsidRPr="0068396F">
        <w:t>, States</w:t>
      </w:r>
      <w:r w:rsidRPr="00D44CAC">
        <w:t xml:space="preserve"> Parties may seek international assistance under the Convention (discussed further in </w:t>
      </w:r>
      <w:r w:rsidR="00C61BCD" w:rsidRPr="00D90418">
        <w:t>Participant’s</w:t>
      </w:r>
      <w:r w:rsidR="003D642D">
        <w:t> </w:t>
      </w:r>
      <w:r w:rsidR="00C61BCD" w:rsidRPr="00D90418">
        <w:t>text</w:t>
      </w:r>
      <w:r w:rsidRPr="00787639">
        <w:t xml:space="preserve"> </w:t>
      </w:r>
      <w:r w:rsidR="00A853D3" w:rsidRPr="00787639">
        <w:t>Unit</w:t>
      </w:r>
      <w:r w:rsidR="008A1398">
        <w:t> </w:t>
      </w:r>
      <w:r w:rsidR="003967C2" w:rsidRPr="00787639">
        <w:t>12</w:t>
      </w:r>
      <w:r w:rsidRPr="00787639">
        <w:t>). States may also turn to other States Parties for cooperation, for instance concerning ICH shared between them, or for other forms of assistance, such as documentation or advice.</w:t>
      </w:r>
    </w:p>
    <w:p w14:paraId="70F31B89" w14:textId="77777777" w:rsidR="00802500" w:rsidRPr="00787639" w:rsidRDefault="00802500" w:rsidP="002D5639">
      <w:pPr>
        <w:pStyle w:val="Texte1"/>
      </w:pPr>
      <w:r w:rsidRPr="00787639">
        <w:t>Safeguarding plans should be assessed for feasibility. It is seldom possible to anticipate all the positive and negative effects of safeguarding interventions. Safeguarding measures should thus be regularly reviewed and assessed, and adapted where necessary</w:t>
      </w:r>
      <w:r w:rsidR="00AB487F">
        <w:t>, taking into consideration the varying contexts and threats</w:t>
      </w:r>
      <w:r w:rsidRPr="00787639">
        <w:t>.</w:t>
      </w:r>
    </w:p>
    <w:p w14:paraId="39743D1F" w14:textId="77777777" w:rsidR="00802500" w:rsidRPr="000568BC" w:rsidRDefault="00E13B6A" w:rsidP="00447005">
      <w:pPr>
        <w:pStyle w:val="Texte1"/>
      </w:pPr>
      <w:r w:rsidRPr="00787639">
        <w:t>C</w:t>
      </w:r>
      <w:r w:rsidR="00802500" w:rsidRPr="00D44CAC">
        <w:t>ase study</w:t>
      </w:r>
      <w:r w:rsidR="00C06994">
        <w:t> </w:t>
      </w:r>
      <w:r w:rsidR="00802500" w:rsidRPr="00D44CAC">
        <w:t>22, discusses the safeguarding measures developed to address threats to the viabilit</w:t>
      </w:r>
      <w:r w:rsidR="00802500" w:rsidRPr="00D90418">
        <w:t xml:space="preserve">y of the </w:t>
      </w:r>
      <w:r w:rsidR="00802500" w:rsidRPr="000568BC">
        <w:t>Ritual ceremony of the Voladores (‘flying men’) in Mexico</w:t>
      </w:r>
      <w:r w:rsidR="00E61C19" w:rsidRPr="000568BC">
        <w:t>.</w:t>
      </w:r>
    </w:p>
    <w:p w14:paraId="3B59ACE6" w14:textId="77777777" w:rsidR="000E107B" w:rsidRPr="000568BC" w:rsidRDefault="000E107B" w:rsidP="000E107B">
      <w:pPr>
        <w:pStyle w:val="Texte1"/>
      </w:pPr>
      <w:r w:rsidRPr="000568BC">
        <w:t>Note on gender-aware safeguarding measures and plans</w:t>
      </w:r>
    </w:p>
    <w:p w14:paraId="7A4AB6D6" w14:textId="4B2BEB08" w:rsidR="000E107B" w:rsidRPr="000568BC" w:rsidRDefault="00195CB7" w:rsidP="000E107B">
      <w:pPr>
        <w:pStyle w:val="Texte1"/>
      </w:pPr>
      <w:r w:rsidRPr="000568BC">
        <w:t>At this juncture</w:t>
      </w:r>
      <w:r w:rsidR="000E107B" w:rsidRPr="000568BC">
        <w:t>, it is worth highlighting some of the central objectives for a gender-aware safeguarding plan: create better awareness of gender issues among government agencies and experts, and within communities; maximize the potential of ICH to develop wider social, cultural, and economic value of the skills and know-how of marginalized groups; ensure safeguarding measures respect gender equality.</w:t>
      </w:r>
    </w:p>
    <w:p w14:paraId="1F55344B" w14:textId="77777777" w:rsidR="00E61C19" w:rsidRPr="0071007C" w:rsidRDefault="00955176" w:rsidP="00C82E38">
      <w:pPr>
        <w:pStyle w:val="Titcoul"/>
        <w:rPr>
          <w:lang w:val="en-GB"/>
        </w:rPr>
      </w:pPr>
      <w:bookmarkStart w:id="26" w:name="_Toc241229728"/>
      <w:bookmarkStart w:id="27" w:name="_Toc241229932"/>
      <w:bookmarkStart w:id="28" w:name="_Toc242165626"/>
      <w:r w:rsidRPr="0071007C">
        <w:rPr>
          <w:lang w:val="en-GB"/>
        </w:rPr>
        <w:t>9</w:t>
      </w:r>
      <w:r w:rsidR="00E61C19" w:rsidRPr="0071007C">
        <w:rPr>
          <w:lang w:val="en-GB"/>
        </w:rPr>
        <w:t>.8</w:t>
      </w:r>
      <w:r w:rsidR="00EC0C35" w:rsidRPr="0071007C">
        <w:rPr>
          <w:lang w:val="en-GB"/>
        </w:rPr>
        <w:tab/>
      </w:r>
      <w:r w:rsidR="00E61C19" w:rsidRPr="0071007C">
        <w:rPr>
          <w:lang w:val="en-GB"/>
        </w:rPr>
        <w:t>DEVELOPING SAFEGUARDING MEASURES</w:t>
      </w:r>
      <w:bookmarkEnd w:id="26"/>
      <w:bookmarkEnd w:id="27"/>
      <w:bookmarkEnd w:id="28"/>
    </w:p>
    <w:p w14:paraId="22C3E129" w14:textId="77777777" w:rsidR="00E61C19" w:rsidRPr="00D90418" w:rsidRDefault="00E61C19" w:rsidP="002D5639">
      <w:pPr>
        <w:pStyle w:val="Texte1"/>
      </w:pPr>
      <w:r w:rsidRPr="00787639">
        <w:t>Identifyin</w:t>
      </w:r>
      <w:r w:rsidRPr="00D44CAC">
        <w:t xml:space="preserve">g, preparing and implementing successful safeguarding measures for individual elements might cover most if not all of the following actions, </w:t>
      </w:r>
      <w:r w:rsidRPr="00D90418">
        <w:t>not necessarily in the order below:</w:t>
      </w:r>
    </w:p>
    <w:p w14:paraId="4FA1B969" w14:textId="4AF4223C" w:rsidR="00E61C19" w:rsidRPr="00A34702" w:rsidRDefault="00A34702" w:rsidP="00AD2211">
      <w:pPr>
        <w:pStyle w:val="Txtpucegras"/>
      </w:pPr>
      <w:r>
        <w:t>E</w:t>
      </w:r>
      <w:r w:rsidR="00E61C19" w:rsidRPr="00787639">
        <w:t>stablish who will work together and draw up an initial working plan. If the</w:t>
      </w:r>
      <w:r w:rsidR="001D0283" w:rsidRPr="00787639">
        <w:t xml:space="preserve"> </w:t>
      </w:r>
      <w:r w:rsidR="00E61C19" w:rsidRPr="00787639">
        <w:t xml:space="preserve">initiative </w:t>
      </w:r>
      <w:r w:rsidR="00E61C19" w:rsidRPr="00A34702">
        <w:t>does not come from within the community, involve community representatives from the start and make sure that they do indeed represent that community</w:t>
      </w:r>
      <w:r w:rsidR="005C12D7" w:rsidRPr="00A34702">
        <w:t>;</w:t>
      </w:r>
    </w:p>
    <w:p w14:paraId="0A52D0FB" w14:textId="77777777" w:rsidR="00E61C19" w:rsidRPr="00A34702" w:rsidRDefault="00A34702" w:rsidP="00952DBE">
      <w:pPr>
        <w:pStyle w:val="Txtpucegras"/>
      </w:pPr>
      <w:r w:rsidRPr="00A34702">
        <w:t>D</w:t>
      </w:r>
      <w:r w:rsidR="00E61C19" w:rsidRPr="00A34702">
        <w:t>etermine the current viability of the element</w:t>
      </w:r>
      <w:r w:rsidR="005C12D7" w:rsidRPr="00447005">
        <w:t>;</w:t>
      </w:r>
    </w:p>
    <w:p w14:paraId="2627ECE0" w14:textId="2DD8F5E7" w:rsidR="00E61C19" w:rsidRPr="000568BC" w:rsidRDefault="00A34702">
      <w:pPr>
        <w:pStyle w:val="Txtpucegras"/>
      </w:pPr>
      <w:r w:rsidRPr="00A34702">
        <w:lastRenderedPageBreak/>
        <w:t>I</w:t>
      </w:r>
      <w:r w:rsidR="00E61C19" w:rsidRPr="00A34702">
        <w:t xml:space="preserve">dentify any existing threats to the viability of </w:t>
      </w:r>
      <w:r w:rsidR="00E61C19" w:rsidRPr="000568BC">
        <w:t>the element</w:t>
      </w:r>
      <w:r w:rsidR="009B59BE" w:rsidRPr="000568BC">
        <w:t xml:space="preserve"> (see also EP</w:t>
      </w:r>
      <w:r w:rsidR="00667F56" w:rsidRPr="000568BC">
        <w:t xml:space="preserve"> </w:t>
      </w:r>
      <w:r w:rsidR="009B59BE" w:rsidRPr="000568BC">
        <w:t>10)</w:t>
      </w:r>
      <w:r w:rsidR="005C12D7" w:rsidRPr="000568BC">
        <w:t>;</w:t>
      </w:r>
    </w:p>
    <w:p w14:paraId="64B70FFC" w14:textId="738B3AD8" w:rsidR="00E61C19" w:rsidRPr="000568BC" w:rsidRDefault="00A34702">
      <w:pPr>
        <w:pStyle w:val="Txtpucegras"/>
      </w:pPr>
      <w:r w:rsidRPr="000568BC">
        <w:t>I</w:t>
      </w:r>
      <w:r w:rsidR="00E61C19" w:rsidRPr="000568BC">
        <w:t>dentify any future risks to the viability of the element</w:t>
      </w:r>
      <w:r w:rsidR="009B59BE" w:rsidRPr="000568BC">
        <w:t xml:space="preserve"> (see </w:t>
      </w:r>
      <w:r w:rsidR="00667F56" w:rsidRPr="000568BC">
        <w:t xml:space="preserve">also </w:t>
      </w:r>
      <w:r w:rsidR="009B59BE" w:rsidRPr="000568BC">
        <w:t>EP</w:t>
      </w:r>
      <w:r w:rsidR="00667F56" w:rsidRPr="000568BC">
        <w:t xml:space="preserve"> </w:t>
      </w:r>
      <w:r w:rsidR="009B59BE" w:rsidRPr="000568BC">
        <w:t>9)</w:t>
      </w:r>
      <w:r w:rsidR="005C12D7" w:rsidRPr="000568BC">
        <w:t>;</w:t>
      </w:r>
    </w:p>
    <w:p w14:paraId="5DED22BE" w14:textId="77777777" w:rsidR="00E61C19" w:rsidRPr="000568BC" w:rsidRDefault="00A34702">
      <w:pPr>
        <w:pStyle w:val="Txtpucegras"/>
      </w:pPr>
      <w:r w:rsidRPr="000568BC">
        <w:t>I</w:t>
      </w:r>
      <w:r w:rsidR="00E61C19" w:rsidRPr="000568BC">
        <w:t>dentify and evaluate previous and current safeguarding measures (if any)</w:t>
      </w:r>
      <w:r w:rsidR="005C12D7" w:rsidRPr="000568BC">
        <w:t>;</w:t>
      </w:r>
    </w:p>
    <w:p w14:paraId="6D5AB7F3" w14:textId="77777777" w:rsidR="000E107B" w:rsidRPr="000568BC" w:rsidRDefault="000E107B" w:rsidP="000E107B">
      <w:pPr>
        <w:pStyle w:val="Txtpucegras"/>
      </w:pPr>
      <w:r w:rsidRPr="000568BC">
        <w:t xml:space="preserve">Take a gender-responsive approach to safeguarding measures. </w:t>
      </w:r>
    </w:p>
    <w:p w14:paraId="4C4FD8D1" w14:textId="6685F6FE" w:rsidR="00E61C19" w:rsidRPr="000568BC" w:rsidRDefault="00A34702">
      <w:pPr>
        <w:pStyle w:val="Txtpucegras"/>
      </w:pPr>
      <w:r w:rsidRPr="000568BC">
        <w:t>I</w:t>
      </w:r>
      <w:r w:rsidR="00E61C19" w:rsidRPr="000568BC">
        <w:t xml:space="preserve">nform </w:t>
      </w:r>
      <w:r w:rsidR="009B59BE" w:rsidRPr="000568BC">
        <w:t xml:space="preserve">and </w:t>
      </w:r>
      <w:r w:rsidR="00667F56" w:rsidRPr="000568BC">
        <w:t>i</w:t>
      </w:r>
      <w:r w:rsidR="009B59BE" w:rsidRPr="000568BC">
        <w:t xml:space="preserve">nvolve </w:t>
      </w:r>
      <w:r w:rsidR="00E61C19" w:rsidRPr="000568BC">
        <w:t>the community concerned, making use of means that are tailored to</w:t>
      </w:r>
      <w:r w:rsidR="001D0283" w:rsidRPr="000568BC">
        <w:t xml:space="preserve"> </w:t>
      </w:r>
      <w:r w:rsidR="00E61C19" w:rsidRPr="000568BC">
        <w:t>the occasion. If appropriate, inform other communities</w:t>
      </w:r>
      <w:r w:rsidR="009B59BE" w:rsidRPr="000568BC">
        <w:t xml:space="preserve"> (see EP</w:t>
      </w:r>
      <w:r w:rsidR="00667F56" w:rsidRPr="000568BC">
        <w:t xml:space="preserve"> </w:t>
      </w:r>
      <w:r w:rsidR="009B59BE" w:rsidRPr="000568BC">
        <w:t>4)</w:t>
      </w:r>
      <w:r w:rsidR="005C12D7" w:rsidRPr="000568BC">
        <w:t>;</w:t>
      </w:r>
    </w:p>
    <w:p w14:paraId="2E3DA75D" w14:textId="77777777" w:rsidR="00E61C19" w:rsidRPr="000568BC" w:rsidRDefault="00A34702">
      <w:pPr>
        <w:pStyle w:val="Txtpucegras"/>
      </w:pPr>
      <w:r w:rsidRPr="000568BC">
        <w:t>D</w:t>
      </w:r>
      <w:r w:rsidR="00E61C19" w:rsidRPr="000568BC">
        <w:t>etermine the commitment within the community concerned, and outside</w:t>
      </w:r>
      <w:r w:rsidR="001D0283" w:rsidRPr="000568BC">
        <w:t xml:space="preserve"> </w:t>
      </w:r>
      <w:r w:rsidR="00E61C19" w:rsidRPr="000568BC">
        <w:t>it, to safeguarding the element</w:t>
      </w:r>
      <w:r w:rsidR="005C12D7" w:rsidRPr="000568BC">
        <w:t>;</w:t>
      </w:r>
    </w:p>
    <w:p w14:paraId="0E4A61AC" w14:textId="77777777" w:rsidR="00E61C19" w:rsidRPr="000568BC" w:rsidRDefault="00A34702">
      <w:pPr>
        <w:pStyle w:val="Txtpucegras"/>
      </w:pPr>
      <w:r w:rsidRPr="000568BC">
        <w:t>I</w:t>
      </w:r>
      <w:r w:rsidR="00E61C19" w:rsidRPr="000568BC">
        <w:t>f appropriate, identify or create a structure that will coordinate the</w:t>
      </w:r>
      <w:r w:rsidR="001D0283" w:rsidRPr="000568BC">
        <w:t xml:space="preserve"> </w:t>
      </w:r>
      <w:r w:rsidR="00E61C19" w:rsidRPr="000568BC">
        <w:t>implementation of the measures – with the involvement of community members</w:t>
      </w:r>
      <w:r w:rsidR="005C12D7" w:rsidRPr="000568BC">
        <w:t>;</w:t>
      </w:r>
    </w:p>
    <w:p w14:paraId="5691B084" w14:textId="77777777" w:rsidR="00E61C19" w:rsidRPr="000568BC" w:rsidRDefault="00A34702">
      <w:pPr>
        <w:pStyle w:val="Txtpucegras"/>
      </w:pPr>
      <w:r w:rsidRPr="000568BC">
        <w:t>P</w:t>
      </w:r>
      <w:r w:rsidR="00E61C19" w:rsidRPr="000568BC">
        <w:t>rioriti</w:t>
      </w:r>
      <w:r w:rsidR="00C919A2" w:rsidRPr="000568BC">
        <w:t>z</w:t>
      </w:r>
      <w:r w:rsidR="00E61C19" w:rsidRPr="000568BC">
        <w:t>e and cost the safeguarding measures</w:t>
      </w:r>
      <w:r w:rsidR="005C12D7" w:rsidRPr="000568BC">
        <w:t>;</w:t>
      </w:r>
    </w:p>
    <w:p w14:paraId="2E2D982A" w14:textId="6E083932" w:rsidR="00E61C19" w:rsidRPr="000568BC" w:rsidRDefault="00A34702">
      <w:pPr>
        <w:pStyle w:val="Txtpucegras"/>
      </w:pPr>
      <w:r w:rsidRPr="000568BC">
        <w:t>O</w:t>
      </w:r>
      <w:r w:rsidR="00E61C19" w:rsidRPr="000568BC">
        <w:t>btain</w:t>
      </w:r>
      <w:r w:rsidR="009B59BE" w:rsidRPr="000568BC">
        <w:t xml:space="preserve"> free, prior and informed consent and, when applicable, sustained </w:t>
      </w:r>
      <w:r w:rsidR="00E61C19" w:rsidRPr="000568BC">
        <w:t>consent to the implementation of the safeguarding</w:t>
      </w:r>
      <w:r w:rsidR="001D0283" w:rsidRPr="000568BC">
        <w:t xml:space="preserve"> </w:t>
      </w:r>
      <w:r w:rsidR="00E61C19" w:rsidRPr="000568BC">
        <w:t>measures</w:t>
      </w:r>
      <w:r w:rsidR="00F44AEE" w:rsidRPr="000568BC">
        <w:t xml:space="preserve"> (see EP</w:t>
      </w:r>
      <w:r w:rsidR="00D2423A" w:rsidRPr="000568BC">
        <w:t xml:space="preserve"> </w:t>
      </w:r>
      <w:r w:rsidR="00F44AEE" w:rsidRPr="000568BC">
        <w:t>4)</w:t>
      </w:r>
      <w:r w:rsidR="005C12D7" w:rsidRPr="000568BC">
        <w:t>;</w:t>
      </w:r>
    </w:p>
    <w:p w14:paraId="26333F6D" w14:textId="77777777" w:rsidR="00E61C19" w:rsidRPr="000568BC" w:rsidRDefault="00A34702">
      <w:pPr>
        <w:pStyle w:val="Txtpucegras"/>
      </w:pPr>
      <w:r w:rsidRPr="000568BC">
        <w:t>F</w:t>
      </w:r>
      <w:r w:rsidR="00E61C19" w:rsidRPr="000568BC">
        <w:t>ind resources (human and material) to implement the safeguarding</w:t>
      </w:r>
      <w:r w:rsidR="001D0283" w:rsidRPr="000568BC">
        <w:t xml:space="preserve"> </w:t>
      </w:r>
      <w:r w:rsidR="00E61C19" w:rsidRPr="000568BC">
        <w:t>measures</w:t>
      </w:r>
      <w:r w:rsidR="005C12D7" w:rsidRPr="000568BC">
        <w:t>;</w:t>
      </w:r>
    </w:p>
    <w:p w14:paraId="17150CF8" w14:textId="77777777" w:rsidR="00E61C19" w:rsidRPr="000568BC" w:rsidRDefault="00A34702">
      <w:pPr>
        <w:pStyle w:val="Txtpucegras"/>
      </w:pPr>
      <w:r w:rsidRPr="000568BC">
        <w:t>I</w:t>
      </w:r>
      <w:r w:rsidR="00E61C19" w:rsidRPr="000568BC">
        <w:t>mplement the safeguarding measures</w:t>
      </w:r>
      <w:r w:rsidR="005C12D7" w:rsidRPr="000568BC">
        <w:t>;</w:t>
      </w:r>
    </w:p>
    <w:p w14:paraId="1D9F4DCD" w14:textId="77777777" w:rsidR="00E61C19" w:rsidRPr="000568BC" w:rsidRDefault="00A34702">
      <w:pPr>
        <w:pStyle w:val="Txtpucegras"/>
      </w:pPr>
      <w:r w:rsidRPr="000568BC">
        <w:t>M</w:t>
      </w:r>
      <w:r w:rsidR="00E61C19" w:rsidRPr="000568BC">
        <w:t>onitor and evaluate the impact of the safeguarding measures</w:t>
      </w:r>
      <w:r w:rsidR="005C12D7" w:rsidRPr="000568BC">
        <w:t>;</w:t>
      </w:r>
    </w:p>
    <w:p w14:paraId="037884CC" w14:textId="5303522E" w:rsidR="00E61C19" w:rsidRPr="000568BC" w:rsidRDefault="00A34702">
      <w:pPr>
        <w:pStyle w:val="Txtpucegras"/>
      </w:pPr>
      <w:r w:rsidRPr="000568BC">
        <w:t>I</w:t>
      </w:r>
      <w:r w:rsidR="00E61C19" w:rsidRPr="000568BC">
        <w:t>f necessary, adjust the safeguarding measures</w:t>
      </w:r>
      <w:r w:rsidR="00F44AEE" w:rsidRPr="000568BC">
        <w:t xml:space="preserve"> (see EP</w:t>
      </w:r>
      <w:r w:rsidR="00D2423A" w:rsidRPr="000568BC">
        <w:t xml:space="preserve"> </w:t>
      </w:r>
      <w:r w:rsidR="00F44AEE" w:rsidRPr="000568BC">
        <w:t>4)</w:t>
      </w:r>
      <w:r w:rsidR="00E61C19" w:rsidRPr="000568BC">
        <w:t>.</w:t>
      </w:r>
    </w:p>
    <w:p w14:paraId="418B38FC" w14:textId="77777777" w:rsidR="00BF57B3" w:rsidRPr="00C06994" w:rsidRDefault="00E13B6A" w:rsidP="00447005">
      <w:pPr>
        <w:pStyle w:val="Texte1"/>
      </w:pPr>
      <w:r w:rsidRPr="000568BC">
        <w:t>C</w:t>
      </w:r>
      <w:r w:rsidR="00E61C19" w:rsidRPr="000568BC">
        <w:t>ase studies</w:t>
      </w:r>
      <w:r w:rsidR="00C06994" w:rsidRPr="000568BC">
        <w:t> </w:t>
      </w:r>
      <w:r w:rsidR="00E61C19" w:rsidRPr="000568BC">
        <w:t xml:space="preserve">22–27, provide various examples of safeguarding measures developed and/or implemented for elements of ICH; some but not all of these elements are </w:t>
      </w:r>
      <w:r w:rsidR="00E61C19" w:rsidRPr="00D90418">
        <w:t>inscribed on a List of the Convention.</w:t>
      </w:r>
    </w:p>
    <w:sectPr w:rsidR="00BF57B3" w:rsidRPr="00C06994" w:rsidSect="00B6055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D6FF" w14:textId="77777777" w:rsidR="00A534E9" w:rsidRDefault="00A534E9" w:rsidP="000F4C6A">
      <w:r>
        <w:separator/>
      </w:r>
    </w:p>
    <w:p w14:paraId="6117E57A" w14:textId="77777777" w:rsidR="00A534E9" w:rsidRDefault="00A534E9"/>
  </w:endnote>
  <w:endnote w:type="continuationSeparator" w:id="0">
    <w:p w14:paraId="526CB918" w14:textId="77777777" w:rsidR="00A534E9" w:rsidRDefault="00A534E9" w:rsidP="000F4C6A">
      <w:r>
        <w:continuationSeparator/>
      </w:r>
    </w:p>
    <w:p w14:paraId="3005C23C" w14:textId="77777777" w:rsidR="00A534E9" w:rsidRDefault="00A5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4695" w14:textId="37E70815" w:rsidR="00166A8A" w:rsidRPr="008B4139" w:rsidRDefault="00274756" w:rsidP="009D4AB5">
    <w:pPr>
      <w:pStyle w:val="Footer"/>
      <w:rPr>
        <w:lang w:val="en-US"/>
      </w:rPr>
    </w:pPr>
    <w:r>
      <w:rPr>
        <w:noProof/>
        <w:lang w:eastAsia="zh-TW"/>
      </w:rPr>
      <w:drawing>
        <wp:anchor distT="0" distB="0" distL="114300" distR="114300" simplePos="0" relativeHeight="252060672" behindDoc="0" locked="0" layoutInCell="1" allowOverlap="1" wp14:anchorId="352DEA77" wp14:editId="73A94240">
          <wp:simplePos x="0" y="0"/>
          <wp:positionH relativeFrom="column">
            <wp:posOffset>2527540</wp:posOffset>
          </wp:positionH>
          <wp:positionV relativeFrom="paragraph">
            <wp:posOffset>8662</wp:posOffset>
          </wp:positionV>
          <wp:extent cx="542925" cy="190500"/>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noProof/>
        <w:snapToGrid/>
        <w:lang w:eastAsia="zh-TW"/>
      </w:rPr>
      <w:drawing>
        <wp:anchor distT="0" distB="0" distL="114300" distR="114300" simplePos="0" relativeHeight="251991040" behindDoc="0" locked="1" layoutInCell="1" allowOverlap="0" wp14:anchorId="5F168BF4" wp14:editId="01CA796E">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873ED" w:rsidRPr="008B4139">
      <w:rPr>
        <w:rStyle w:val="PageNumber"/>
        <w:lang w:val="en-US"/>
      </w:rPr>
      <w:tab/>
    </w:r>
    <w:r w:rsidR="004873ED" w:rsidRPr="008B4139">
      <w:rPr>
        <w:lang w:val="en-US"/>
      </w:rPr>
      <w:tab/>
      <w:t>U0</w:t>
    </w:r>
    <w:r w:rsidR="00767F03">
      <w:rPr>
        <w:lang w:val="en-US"/>
      </w:rPr>
      <w:t>09</w:t>
    </w:r>
    <w:r w:rsidR="004873ED" w:rsidRPr="008B4139">
      <w:rPr>
        <w:lang w:val="en-US"/>
      </w:rPr>
      <w:t>-v1.</w:t>
    </w:r>
    <w:r w:rsidR="00480A39">
      <w:rPr>
        <w:lang w:val="en-US"/>
      </w:rPr>
      <w:t>2</w:t>
    </w:r>
    <w:r w:rsidR="004873ED" w:rsidRPr="008B4139">
      <w:rPr>
        <w:lang w:val="en-US"/>
      </w:rPr>
      <w:t>-PT-EN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36FF" w14:textId="635E8B87" w:rsidR="004873ED" w:rsidRPr="008B4139" w:rsidRDefault="00274756" w:rsidP="00CB334B">
    <w:pPr>
      <w:pStyle w:val="Footer"/>
      <w:rPr>
        <w:lang w:val="en-US"/>
      </w:rPr>
    </w:pPr>
    <w:r>
      <w:rPr>
        <w:noProof/>
        <w:lang w:eastAsia="zh-TW"/>
      </w:rPr>
      <w:drawing>
        <wp:anchor distT="0" distB="0" distL="114300" distR="114300" simplePos="0" relativeHeight="252062720" behindDoc="0" locked="0" layoutInCell="1" allowOverlap="1" wp14:anchorId="3D1B9AC7" wp14:editId="736D4119">
          <wp:simplePos x="0" y="0"/>
          <wp:positionH relativeFrom="column">
            <wp:posOffset>2527540</wp:posOffset>
          </wp:positionH>
          <wp:positionV relativeFrom="paragraph">
            <wp:posOffset>8663</wp:posOffset>
          </wp:positionV>
          <wp:extent cx="542925" cy="190500"/>
          <wp:effectExtent l="0" t="0" r="952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873ED" w:rsidRPr="008B4139">
      <w:rPr>
        <w:lang w:val="en-US"/>
      </w:rPr>
      <w:t>U0</w:t>
    </w:r>
    <w:r w:rsidR="00767F03">
      <w:rPr>
        <w:lang w:val="en-US"/>
      </w:rPr>
      <w:t>09</w:t>
    </w:r>
    <w:r w:rsidR="004873ED" w:rsidRPr="008B4139">
      <w:rPr>
        <w:lang w:val="en-US"/>
      </w:rPr>
      <w:t>-v1.</w:t>
    </w:r>
    <w:r w:rsidR="00480A39">
      <w:rPr>
        <w:lang w:val="en-US"/>
      </w:rPr>
      <w:t>2</w:t>
    </w:r>
    <w:r w:rsidR="004873ED" w:rsidRPr="008B4139">
      <w:rPr>
        <w:lang w:val="en-US"/>
      </w:rPr>
      <w:t>-PT-EN</w:t>
    </w:r>
    <w:r w:rsidR="004873ED" w:rsidRPr="008B4139">
      <w:rPr>
        <w:lang w:val="en-US"/>
      </w:rPr>
      <w:tab/>
    </w:r>
    <w:r w:rsidR="004873ED" w:rsidRPr="008B4139">
      <w:rPr>
        <w:noProof/>
        <w:snapToGrid/>
        <w:lang w:eastAsia="zh-TW"/>
      </w:rPr>
      <w:drawing>
        <wp:anchor distT="0" distB="0" distL="114300" distR="114300" simplePos="0" relativeHeight="251988992" behindDoc="0" locked="1" layoutInCell="1" allowOverlap="0" wp14:anchorId="55575763" wp14:editId="12C059CB">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45D9" w14:textId="3F4DC1A3" w:rsidR="004873ED" w:rsidRPr="008B4139" w:rsidRDefault="00274756" w:rsidP="00DA711D">
    <w:pPr>
      <w:pStyle w:val="Footer"/>
      <w:rPr>
        <w:lang w:val="en-US"/>
      </w:rPr>
    </w:pPr>
    <w:r>
      <w:rPr>
        <w:noProof/>
        <w:lang w:eastAsia="zh-TW"/>
      </w:rPr>
      <w:drawing>
        <wp:anchor distT="0" distB="0" distL="114300" distR="114300" simplePos="0" relativeHeight="252058624" behindDoc="0" locked="0" layoutInCell="1" allowOverlap="1" wp14:anchorId="250A6960" wp14:editId="724B0AFC">
          <wp:simplePos x="0" y="0"/>
          <wp:positionH relativeFrom="column">
            <wp:posOffset>2527540</wp:posOffset>
          </wp:positionH>
          <wp:positionV relativeFrom="paragraph">
            <wp:posOffset>8662</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67F03" w:rsidRPr="008B4139">
      <w:rPr>
        <w:lang w:val="en-US"/>
      </w:rPr>
      <w:t>U</w:t>
    </w:r>
    <w:r w:rsidR="00767F03">
      <w:rPr>
        <w:lang w:val="en-US"/>
      </w:rPr>
      <w:t>009</w:t>
    </w:r>
    <w:r w:rsidR="004873ED" w:rsidRPr="008B4139">
      <w:rPr>
        <w:lang w:val="en-US"/>
      </w:rPr>
      <w:t>-v1.</w:t>
    </w:r>
    <w:r w:rsidR="00480A39">
      <w:rPr>
        <w:lang w:val="en-US"/>
      </w:rPr>
      <w:t>2</w:t>
    </w:r>
    <w:r w:rsidR="004873ED" w:rsidRPr="008B4139">
      <w:rPr>
        <w:lang w:val="en-US"/>
      </w:rPr>
      <w:t>-PT-EN</w:t>
    </w:r>
    <w:r w:rsidR="004873ED" w:rsidRPr="008B4139">
      <w:rPr>
        <w:lang w:val="en-US"/>
      </w:rPr>
      <w:tab/>
    </w:r>
    <w:r w:rsidR="004873ED" w:rsidRPr="008B4139">
      <w:rPr>
        <w:lang w:val="en-US"/>
      </w:rPr>
      <w:tab/>
    </w:r>
    <w:r w:rsidR="004873ED" w:rsidRPr="008B4139">
      <w:rPr>
        <w:noProof/>
        <w:snapToGrid/>
        <w:lang w:eastAsia="zh-TW"/>
      </w:rPr>
      <w:drawing>
        <wp:anchor distT="0" distB="0" distL="114300" distR="114300" simplePos="0" relativeHeight="252050432" behindDoc="0" locked="1" layoutInCell="1" allowOverlap="0" wp14:anchorId="784178A4" wp14:editId="02BE18C1">
          <wp:simplePos x="0" y="0"/>
          <wp:positionH relativeFrom="margin">
            <wp:posOffset>4680585</wp:posOffset>
          </wp:positionH>
          <wp:positionV relativeFrom="margin">
            <wp:posOffset>8641080</wp:posOffset>
          </wp:positionV>
          <wp:extent cx="942975" cy="53848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07E7" w14:textId="77777777" w:rsidR="00A534E9" w:rsidRDefault="00A534E9" w:rsidP="00117DDB">
      <w:pPr>
        <w:ind w:left="0"/>
      </w:pPr>
      <w:r>
        <w:separator/>
      </w:r>
    </w:p>
  </w:footnote>
  <w:footnote w:type="continuationSeparator" w:id="0">
    <w:p w14:paraId="0283B4DB" w14:textId="77777777" w:rsidR="00A534E9" w:rsidRDefault="00A534E9" w:rsidP="000F4C6A">
      <w:r>
        <w:continuationSeparator/>
      </w:r>
    </w:p>
    <w:p w14:paraId="11BDF972" w14:textId="77777777" w:rsidR="00A534E9" w:rsidRDefault="00A534E9"/>
  </w:footnote>
  <w:footnote w:id="1">
    <w:p w14:paraId="51C84A40" w14:textId="77777777" w:rsidR="004873ED" w:rsidRPr="008A1398" w:rsidRDefault="004873ED" w:rsidP="00491965">
      <w:pPr>
        <w:pStyle w:val="FootnoteText"/>
        <w:rPr>
          <w:lang w:val="en-GB"/>
        </w:rPr>
      </w:pPr>
      <w:r w:rsidRPr="008A1398">
        <w:rPr>
          <w:rStyle w:val="FootnoteReference"/>
          <w:sz w:val="16"/>
          <w:szCs w:val="16"/>
          <w:vertAlign w:val="baseline"/>
          <w:lang w:val="en-GB"/>
        </w:rPr>
        <w:t>1.</w:t>
      </w:r>
      <w:r w:rsidRPr="008A1398">
        <w:rPr>
          <w:lang w:val="en-GB"/>
        </w:rPr>
        <w:tab/>
      </w:r>
      <w:r w:rsidR="00DB5F2D" w:rsidRPr="008A1398">
        <w:rPr>
          <w:lang w:val="en-GB"/>
        </w:rPr>
        <w:t xml:space="preserve">Frequently referred to as the ‘Intangible Heritage Convention’, the ‘2003 Convention’ and, for the purpose of this </w:t>
      </w:r>
      <w:r w:rsidR="009467F3">
        <w:rPr>
          <w:lang w:val="en-GB"/>
        </w:rPr>
        <w:t>u</w:t>
      </w:r>
      <w:r w:rsidR="00DB5F2D" w:rsidRPr="008A1398">
        <w:rPr>
          <w:lang w:val="en-GB"/>
        </w:rPr>
        <w:t>nit, simply the ‘Convention’.</w:t>
      </w:r>
    </w:p>
  </w:footnote>
  <w:footnote w:id="2">
    <w:p w14:paraId="0BD5648E" w14:textId="77777777" w:rsidR="004873ED" w:rsidRPr="008A1398" w:rsidRDefault="004873ED" w:rsidP="0068396F">
      <w:pPr>
        <w:pStyle w:val="FootnoteText"/>
        <w:rPr>
          <w:lang w:val="en-GB"/>
        </w:rPr>
      </w:pPr>
      <w:r w:rsidRPr="008A1398">
        <w:rPr>
          <w:rStyle w:val="FootnoteReference"/>
          <w:sz w:val="16"/>
          <w:szCs w:val="16"/>
          <w:vertAlign w:val="baseline"/>
          <w:lang w:val="en-GB"/>
        </w:rPr>
        <w:t>2.</w:t>
      </w:r>
      <w:r w:rsidRPr="008A1398">
        <w:rPr>
          <w:lang w:val="en-GB"/>
        </w:rPr>
        <w:tab/>
      </w:r>
      <w:r w:rsidRPr="008A1398">
        <w:rPr>
          <w:lang w:val="en-GB"/>
        </w:rPr>
        <w:tab/>
      </w:r>
      <w:r w:rsidR="00985B97" w:rsidRPr="00447005">
        <w:rPr>
          <w:i/>
          <w:lang w:val="en-GB"/>
        </w:rPr>
        <w:t>Intangible Heritage Messenger</w:t>
      </w:r>
      <w:r w:rsidRPr="0068396F">
        <w:rPr>
          <w:lang w:val="en-GB"/>
        </w:rPr>
        <w:t>, 2007</w:t>
      </w:r>
      <w:r w:rsidRPr="00500962">
        <w:rPr>
          <w:lang w:val="en-GB"/>
        </w:rPr>
        <w:t xml:space="preserve">, No. </w:t>
      </w:r>
      <w:r w:rsidR="001E70E2" w:rsidRPr="00500962">
        <w:rPr>
          <w:lang w:val="en-GB"/>
        </w:rPr>
        <w:t>6</w:t>
      </w:r>
      <w:r w:rsidRPr="00500962">
        <w:rPr>
          <w:lang w:val="en-GB"/>
        </w:rPr>
        <w:t>, May</w:t>
      </w:r>
      <w:r w:rsidRPr="008A1398">
        <w:rPr>
          <w:lang w:val="en-GB"/>
        </w:rPr>
        <w:t xml:space="preserve">. </w:t>
      </w:r>
      <w:hyperlink r:id="rId1" w:history="1">
        <w:r w:rsidR="0057663D" w:rsidRPr="006C0EC9">
          <w:rPr>
            <w:rStyle w:val="Hyperlink"/>
            <w:lang w:val="en-GB"/>
          </w:rPr>
          <w:t>http://unesdoc.unesco.org/images/0015/001506/150671e.pdf</w:t>
        </w:r>
      </w:hyperlink>
    </w:p>
  </w:footnote>
  <w:footnote w:id="3">
    <w:p w14:paraId="147F43E6" w14:textId="77777777" w:rsidR="004873ED" w:rsidRPr="001E0D28" w:rsidRDefault="004873ED">
      <w:pPr>
        <w:pStyle w:val="FootnoteText"/>
        <w:rPr>
          <w:lang w:val="en-GB"/>
        </w:rPr>
      </w:pPr>
      <w:r w:rsidRPr="00545807">
        <w:rPr>
          <w:rStyle w:val="FootnoteReference"/>
          <w:sz w:val="16"/>
          <w:szCs w:val="16"/>
          <w:vertAlign w:val="baseline"/>
        </w:rPr>
        <w:footnoteRef/>
      </w:r>
      <w:r w:rsidRPr="00C06994">
        <w:rPr>
          <w:rStyle w:val="FootnoteReference"/>
          <w:sz w:val="16"/>
          <w:szCs w:val="16"/>
          <w:vertAlign w:val="baseline"/>
          <w:lang w:val="en-GB"/>
        </w:rPr>
        <w:t>.</w:t>
      </w:r>
      <w:r w:rsidRPr="00C06994">
        <w:rPr>
          <w:lang w:val="en-GB"/>
        </w:rPr>
        <w:tab/>
        <w:t>Batik nomination file, UNESCO website. See also L. Lowthorp, 2010, ‘National Intangible Cultural Heritage (ICH) Legislation and initiatives’, UNESCO, New Delhi Office, p.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54F0" w14:textId="28587CD9" w:rsidR="004873ED" w:rsidRDefault="004873ED">
    <w:pPr>
      <w:pStyle w:val="Header"/>
    </w:pPr>
    <w:r>
      <w:rPr>
        <w:rStyle w:val="PageNumber"/>
      </w:rPr>
      <w:fldChar w:fldCharType="begin"/>
    </w:r>
    <w:r>
      <w:rPr>
        <w:rStyle w:val="PageNumber"/>
      </w:rPr>
      <w:instrText xml:space="preserve"> PAGE </w:instrText>
    </w:r>
    <w:r>
      <w:rPr>
        <w:rStyle w:val="PageNumber"/>
      </w:rPr>
      <w:fldChar w:fldCharType="separate"/>
    </w:r>
    <w:r w:rsidR="00D025C5">
      <w:rPr>
        <w:rStyle w:val="PageNumber"/>
        <w:noProof/>
      </w:rPr>
      <w:t>10</w:t>
    </w:r>
    <w:r>
      <w:rPr>
        <w:rStyle w:val="PageNumber"/>
      </w:rPr>
      <w:fldChar w:fldCharType="end"/>
    </w:r>
    <w:r>
      <w:tab/>
    </w:r>
    <w:r>
      <w:rPr>
        <w:szCs w:val="16"/>
      </w:rPr>
      <w:t xml:space="preserve">Unit </w:t>
    </w:r>
    <w:r w:rsidR="00767F03">
      <w:rPr>
        <w:szCs w:val="16"/>
      </w:rPr>
      <w:t>9: Safeguarding</w:t>
    </w:r>
    <w:r>
      <w:tab/>
      <w:t xml:space="preserve">Participant’s text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4D2F" w14:textId="72422249" w:rsidR="004873ED" w:rsidRPr="00DB506E" w:rsidRDefault="004873ED" w:rsidP="009D4AB5">
    <w:pPr>
      <w:pStyle w:val="Header"/>
    </w:pPr>
    <w:r>
      <w:t>Participant’s text</w:t>
    </w:r>
    <w:r>
      <w:tab/>
    </w:r>
    <w:r w:rsidR="00767F03">
      <w:rPr>
        <w:szCs w:val="16"/>
      </w:rPr>
      <w:t>Unit 9: Safeguarding</w:t>
    </w:r>
    <w:r>
      <w:tab/>
    </w:r>
    <w:r>
      <w:rPr>
        <w:rStyle w:val="PageNumber"/>
      </w:rPr>
      <w:fldChar w:fldCharType="begin"/>
    </w:r>
    <w:r>
      <w:rPr>
        <w:rStyle w:val="PageNumber"/>
      </w:rPr>
      <w:instrText xml:space="preserve"> PAGE </w:instrText>
    </w:r>
    <w:r>
      <w:rPr>
        <w:rStyle w:val="PageNumber"/>
      </w:rPr>
      <w:fldChar w:fldCharType="separate"/>
    </w:r>
    <w:r w:rsidR="00D025C5">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5A64" w14:textId="77777777" w:rsidR="004873ED" w:rsidRDefault="004873ED" w:rsidP="00065059">
    <w:pPr>
      <w:pStyle w:val="Header"/>
      <w:ind w:right="360"/>
    </w:pPr>
    <w:r>
      <w:tab/>
      <w:t xml:space="preserve">Participant’s text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4"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7"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0"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2"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3"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5"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7"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8"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9"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0"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1"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3"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6"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7"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1"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2"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3"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5"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7"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8"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9"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1"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2"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4"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7"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0"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1"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2"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4"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5"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7"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9"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0"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3"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4"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5"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6"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7"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9"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0"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3"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6"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7"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8"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9"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1"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2"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3"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4"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5"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6"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9"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0"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1"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3"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4"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6"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8"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9"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1"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2"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6"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7"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8"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9"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0"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4"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5"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6"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7"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8"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9"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1"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3"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5"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6"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8"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9"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1"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2"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4"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5"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6"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7"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9"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0"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2"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3"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4"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5"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7"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9"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2"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3"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4"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6"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7"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1"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3"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4"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5"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6"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7"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8"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9"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1"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3"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5"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6"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7"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9"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0"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3"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6"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7"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9" w15:restartNumberingAfterBreak="0">
    <w:nsid w:val="6EBD194B"/>
    <w:multiLevelType w:val="hybridMultilevel"/>
    <w:tmpl w:val="9B20C8A2"/>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0"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1"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3"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6"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7"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8"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9"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1"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3"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4"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5"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6"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7"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8"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9"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2"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8"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9"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1"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4"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5"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6"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7"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38"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9"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0"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1"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4"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8"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9"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0"/>
  </w:num>
  <w:num w:numId="2">
    <w:abstractNumId w:val="205"/>
  </w:num>
  <w:num w:numId="3">
    <w:abstractNumId w:val="270"/>
  </w:num>
  <w:num w:numId="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9"/>
  </w:num>
  <w:num w:numId="7">
    <w:abstractNumId w:val="280"/>
  </w:num>
  <w:num w:numId="8">
    <w:abstractNumId w:val="237"/>
  </w:num>
  <w:num w:numId="9">
    <w:abstractNumId w:val="289"/>
  </w:num>
  <w:num w:numId="10">
    <w:abstractNumId w:val="219"/>
  </w:num>
  <w:num w:numId="11">
    <w:abstractNumId w:val="223"/>
  </w:num>
  <w:num w:numId="12">
    <w:abstractNumId w:val="260"/>
  </w:num>
  <w:num w:numId="13">
    <w:abstractNumId w:val="2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num>
  <w:num w:numId="18">
    <w:abstractNumId w:val="21"/>
  </w:num>
  <w:num w:numId="19">
    <w:abstractNumId w:val="40"/>
  </w:num>
  <w:num w:numId="20">
    <w:abstractNumId w:val="334"/>
  </w:num>
  <w:num w:numId="21">
    <w:abstractNumId w:val="75"/>
  </w:num>
  <w:num w:numId="22">
    <w:abstractNumId w:val="251"/>
  </w:num>
  <w:num w:numId="23">
    <w:abstractNumId w:val="29"/>
  </w:num>
  <w:num w:numId="24">
    <w:abstractNumId w:val="166"/>
  </w:num>
  <w:num w:numId="25">
    <w:abstractNumId w:val="232"/>
  </w:num>
  <w:num w:numId="26">
    <w:abstractNumId w:val="91"/>
  </w:num>
  <w:num w:numId="27">
    <w:abstractNumId w:val="56"/>
  </w:num>
  <w:num w:numId="28">
    <w:abstractNumId w:val="222"/>
  </w:num>
  <w:num w:numId="29">
    <w:abstractNumId w:val="65"/>
  </w:num>
  <w:num w:numId="30">
    <w:abstractNumId w:val="314"/>
  </w:num>
  <w:num w:numId="31">
    <w:abstractNumId w:val="18"/>
  </w:num>
  <w:num w:numId="32">
    <w:abstractNumId w:val="78"/>
  </w:num>
  <w:num w:numId="33">
    <w:abstractNumId w:val="188"/>
  </w:num>
  <w:num w:numId="34">
    <w:abstractNumId w:val="238"/>
  </w:num>
  <w:num w:numId="35">
    <w:abstractNumId w:val="102"/>
  </w:num>
  <w:num w:numId="36">
    <w:abstractNumId w:val="142"/>
  </w:num>
  <w:num w:numId="37">
    <w:abstractNumId w:val="339"/>
  </w:num>
  <w:num w:numId="38">
    <w:abstractNumId w:val="5"/>
  </w:num>
  <w:num w:numId="39">
    <w:abstractNumId w:val="316"/>
  </w:num>
  <w:num w:numId="40">
    <w:abstractNumId w:val="185"/>
  </w:num>
  <w:num w:numId="41">
    <w:abstractNumId w:val="213"/>
  </w:num>
  <w:num w:numId="42">
    <w:abstractNumId w:val="156"/>
  </w:num>
  <w:num w:numId="43">
    <w:abstractNumId w:val="148"/>
  </w:num>
  <w:num w:numId="44">
    <w:abstractNumId w:val="266"/>
  </w:num>
  <w:num w:numId="45">
    <w:abstractNumId w:val="146"/>
  </w:num>
  <w:num w:numId="46">
    <w:abstractNumId w:val="144"/>
  </w:num>
  <w:num w:numId="47">
    <w:abstractNumId w:val="246"/>
  </w:num>
  <w:num w:numId="48">
    <w:abstractNumId w:val="190"/>
  </w:num>
  <w:num w:numId="49">
    <w:abstractNumId w:val="135"/>
  </w:num>
  <w:num w:numId="50">
    <w:abstractNumId w:val="129"/>
  </w:num>
  <w:num w:numId="51">
    <w:abstractNumId w:val="110"/>
  </w:num>
  <w:num w:numId="52">
    <w:abstractNumId w:val="286"/>
  </w:num>
  <w:num w:numId="53">
    <w:abstractNumId w:val="301"/>
  </w:num>
  <w:num w:numId="54">
    <w:abstractNumId w:val="191"/>
  </w:num>
  <w:num w:numId="55">
    <w:abstractNumId w:val="82"/>
  </w:num>
  <w:num w:numId="56">
    <w:abstractNumId w:val="172"/>
  </w:num>
  <w:num w:numId="57">
    <w:abstractNumId w:val="132"/>
  </w:num>
  <w:num w:numId="58">
    <w:abstractNumId w:val="92"/>
  </w:num>
  <w:num w:numId="59">
    <w:abstractNumId w:val="31"/>
  </w:num>
  <w:num w:numId="60">
    <w:abstractNumId w:val="23"/>
  </w:num>
  <w:num w:numId="61">
    <w:abstractNumId w:val="284"/>
  </w:num>
  <w:num w:numId="62">
    <w:abstractNumId w:val="253"/>
  </w:num>
  <w:num w:numId="63">
    <w:abstractNumId w:val="313"/>
  </w:num>
  <w:num w:numId="64">
    <w:abstractNumId w:val="174"/>
  </w:num>
  <w:num w:numId="65">
    <w:abstractNumId w:val="32"/>
  </w:num>
  <w:num w:numId="66">
    <w:abstractNumId w:val="87"/>
  </w:num>
  <w:num w:numId="67">
    <w:abstractNumId w:val="59"/>
  </w:num>
  <w:num w:numId="68">
    <w:abstractNumId w:val="117"/>
  </w:num>
  <w:num w:numId="69">
    <w:abstractNumId w:val="258"/>
  </w:num>
  <w:num w:numId="70">
    <w:abstractNumId w:val="241"/>
  </w:num>
  <w:num w:numId="71">
    <w:abstractNumId w:val="70"/>
  </w:num>
  <w:num w:numId="72">
    <w:abstractNumId w:val="111"/>
  </w:num>
  <w:num w:numId="73">
    <w:abstractNumId w:val="291"/>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num>
  <w:num w:numId="76">
    <w:abstractNumId w:val="158"/>
  </w:num>
  <w:num w:numId="77">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num>
  <w:num w:numId="84">
    <w:abstractNumId w:val="271"/>
  </w:num>
  <w:num w:numId="85">
    <w:abstractNumId w:val="17"/>
  </w:num>
  <w:num w:numId="86">
    <w:abstractNumId w:val="176"/>
  </w:num>
  <w:num w:numId="87">
    <w:abstractNumId w:val="126"/>
  </w:num>
  <w:num w:numId="88">
    <w:abstractNumId w:val="171"/>
  </w:num>
  <w:num w:numId="89">
    <w:abstractNumId w:val="325"/>
  </w:num>
  <w:num w:numId="90">
    <w:abstractNumId w:val="242"/>
  </w:num>
  <w:num w:numId="91">
    <w:abstractNumId w:val="14"/>
  </w:num>
  <w:num w:numId="92">
    <w:abstractNumId w:val="311"/>
  </w:num>
  <w:num w:numId="93">
    <w:abstractNumId w:val="204"/>
  </w:num>
  <w:num w:numId="94">
    <w:abstractNumId w:val="257"/>
  </w:num>
  <w:num w:numId="95">
    <w:abstractNumId w:val="344"/>
  </w:num>
  <w:num w:numId="96">
    <w:abstractNumId w:val="89"/>
  </w:num>
  <w:num w:numId="97">
    <w:abstractNumId w:val="282"/>
  </w:num>
  <w:num w:numId="98">
    <w:abstractNumId w:val="43"/>
  </w:num>
  <w:num w:numId="99">
    <w:abstractNumId w:val="322"/>
  </w:num>
  <w:num w:numId="100">
    <w:abstractNumId w:val="133"/>
  </w:num>
  <w:num w:numId="101">
    <w:abstractNumId w:val="134"/>
  </w:num>
  <w:num w:numId="102">
    <w:abstractNumId w:val="283"/>
    <w:lvlOverride w:ilvl="0">
      <w:startOverride w:val="1"/>
    </w:lvlOverride>
  </w:num>
  <w:num w:numId="103">
    <w:abstractNumId w:val="283"/>
  </w:num>
  <w:num w:numId="104">
    <w:abstractNumId w:val="114"/>
  </w:num>
  <w:num w:numId="105">
    <w:abstractNumId w:val="68"/>
  </w:num>
  <w:num w:numId="106">
    <w:abstractNumId w:val="346"/>
  </w:num>
  <w:num w:numId="107">
    <w:abstractNumId w:val="202"/>
  </w:num>
  <w:num w:numId="108">
    <w:abstractNumId w:val="0"/>
  </w:num>
  <w:num w:numId="109">
    <w:abstractNumId w:val="287"/>
  </w:num>
  <w:num w:numId="110">
    <w:abstractNumId w:val="299"/>
  </w:num>
  <w:num w:numId="111">
    <w:abstractNumId w:val="299"/>
  </w:num>
  <w:num w:numId="112">
    <w:abstractNumId w:val="299"/>
  </w:num>
  <w:num w:numId="113">
    <w:abstractNumId w:val="299"/>
  </w:num>
  <w:num w:numId="114">
    <w:abstractNumId w:val="299"/>
  </w:num>
  <w:num w:numId="115">
    <w:abstractNumId w:val="299"/>
  </w:num>
  <w:num w:numId="116">
    <w:abstractNumId w:val="299"/>
  </w:num>
  <w:num w:numId="117">
    <w:abstractNumId w:val="299"/>
  </w:num>
  <w:num w:numId="118">
    <w:abstractNumId w:val="299"/>
  </w:num>
  <w:num w:numId="119">
    <w:abstractNumId w:val="299"/>
  </w:num>
  <w:num w:numId="120">
    <w:abstractNumId w:val="299"/>
  </w:num>
  <w:num w:numId="121">
    <w:abstractNumId w:val="299"/>
  </w:num>
  <w:num w:numId="122">
    <w:abstractNumId w:val="299"/>
  </w:num>
  <w:num w:numId="123">
    <w:abstractNumId w:val="299"/>
  </w:num>
  <w:num w:numId="124">
    <w:abstractNumId w:val="299"/>
  </w:num>
  <w:num w:numId="125">
    <w:abstractNumId w:val="299"/>
  </w:num>
  <w:num w:numId="126">
    <w:abstractNumId w:val="299"/>
  </w:num>
  <w:num w:numId="127">
    <w:abstractNumId w:val="299"/>
  </w:num>
  <w:num w:numId="128">
    <w:abstractNumId w:val="299"/>
  </w:num>
  <w:num w:numId="129">
    <w:abstractNumId w:val="299"/>
  </w:num>
  <w:num w:numId="130">
    <w:abstractNumId w:val="299"/>
  </w:num>
  <w:num w:numId="131">
    <w:abstractNumId w:val="299"/>
  </w:num>
  <w:num w:numId="132">
    <w:abstractNumId w:val="299"/>
  </w:num>
  <w:num w:numId="133">
    <w:abstractNumId w:val="299"/>
  </w:num>
  <w:num w:numId="134">
    <w:abstractNumId w:val="299"/>
  </w:num>
  <w:num w:numId="135">
    <w:abstractNumId w:val="299"/>
  </w:num>
  <w:num w:numId="136">
    <w:abstractNumId w:val="299"/>
  </w:num>
  <w:num w:numId="137">
    <w:abstractNumId w:val="299"/>
  </w:num>
  <w:num w:numId="138">
    <w:abstractNumId w:val="299"/>
  </w:num>
  <w:num w:numId="139">
    <w:abstractNumId w:val="299"/>
  </w:num>
  <w:num w:numId="140">
    <w:abstractNumId w:val="297"/>
  </w:num>
  <w:num w:numId="141">
    <w:abstractNumId w:val="340"/>
  </w:num>
  <w:num w:numId="142">
    <w:abstractNumId w:val="55"/>
  </w:num>
  <w:num w:numId="143">
    <w:abstractNumId w:val="261"/>
  </w:num>
  <w:num w:numId="144">
    <w:abstractNumId w:val="224"/>
  </w:num>
  <w:num w:numId="145">
    <w:abstractNumId w:val="259"/>
  </w:num>
  <w:num w:numId="146">
    <w:abstractNumId w:val="153"/>
  </w:num>
  <w:num w:numId="147">
    <w:abstractNumId w:val="315"/>
  </w:num>
  <w:num w:numId="148">
    <w:abstractNumId w:val="141"/>
  </w:num>
  <w:num w:numId="149">
    <w:abstractNumId w:val="272"/>
  </w:num>
  <w:num w:numId="150">
    <w:abstractNumId w:val="153"/>
  </w:num>
  <w:num w:numId="151">
    <w:abstractNumId w:val="264"/>
  </w:num>
  <w:num w:numId="152">
    <w:abstractNumId w:val="220"/>
  </w:num>
  <w:num w:numId="153">
    <w:abstractNumId w:val="120"/>
  </w:num>
  <w:num w:numId="154">
    <w:abstractNumId w:val="167"/>
  </w:num>
  <w:num w:numId="155">
    <w:abstractNumId w:val="169"/>
  </w:num>
  <w:num w:numId="156">
    <w:abstractNumId w:val="343"/>
  </w:num>
  <w:num w:numId="157">
    <w:abstractNumId w:val="294"/>
  </w:num>
  <w:num w:numId="158">
    <w:abstractNumId w:val="107"/>
  </w:num>
  <w:num w:numId="159">
    <w:abstractNumId w:val="145"/>
  </w:num>
  <w:num w:numId="160">
    <w:abstractNumId w:val="294"/>
    <w:lvlOverride w:ilvl="0">
      <w:startOverride w:val="1"/>
    </w:lvlOverride>
  </w:num>
  <w:num w:numId="161">
    <w:abstractNumId w:val="35"/>
  </w:num>
  <w:num w:numId="162">
    <w:abstractNumId w:val="300"/>
  </w:num>
  <w:num w:numId="163">
    <w:abstractNumId w:val="109"/>
  </w:num>
  <w:num w:numId="164">
    <w:abstractNumId w:val="225"/>
  </w:num>
  <w:num w:numId="165">
    <w:abstractNumId w:val="10"/>
  </w:num>
  <w:num w:numId="166">
    <w:abstractNumId w:val="338"/>
  </w:num>
  <w:num w:numId="167">
    <w:abstractNumId w:val="338"/>
  </w:num>
  <w:num w:numId="168">
    <w:abstractNumId w:val="338"/>
  </w:num>
  <w:num w:numId="169">
    <w:abstractNumId w:val="338"/>
  </w:num>
  <w:num w:numId="170">
    <w:abstractNumId w:val="299"/>
  </w:num>
  <w:num w:numId="171">
    <w:abstractNumId w:val="299"/>
  </w:num>
  <w:num w:numId="172">
    <w:abstractNumId w:val="299"/>
  </w:num>
  <w:num w:numId="173">
    <w:abstractNumId w:val="299"/>
  </w:num>
  <w:num w:numId="174">
    <w:abstractNumId w:val="299"/>
  </w:num>
  <w:num w:numId="175">
    <w:abstractNumId w:val="299"/>
  </w:num>
  <w:num w:numId="176">
    <w:abstractNumId w:val="234"/>
  </w:num>
  <w:num w:numId="177">
    <w:abstractNumId w:val="328"/>
  </w:num>
  <w:num w:numId="178">
    <w:abstractNumId w:val="295"/>
  </w:num>
  <w:num w:numId="179">
    <w:abstractNumId w:val="299"/>
  </w:num>
  <w:num w:numId="180">
    <w:abstractNumId w:val="239"/>
  </w:num>
  <w:num w:numId="181">
    <w:abstractNumId w:val="216"/>
  </w:num>
  <w:num w:numId="182">
    <w:abstractNumId w:val="46"/>
  </w:num>
  <w:num w:numId="183">
    <w:abstractNumId w:val="201"/>
  </w:num>
  <w:num w:numId="184">
    <w:abstractNumId w:val="178"/>
  </w:num>
  <w:num w:numId="185">
    <w:abstractNumId w:val="201"/>
  </w:num>
  <w:num w:numId="186">
    <w:abstractNumId w:val="201"/>
  </w:num>
  <w:num w:numId="187">
    <w:abstractNumId w:val="201"/>
  </w:num>
  <w:num w:numId="188">
    <w:abstractNumId w:val="201"/>
  </w:num>
  <w:num w:numId="189">
    <w:abstractNumId w:val="326"/>
  </w:num>
  <w:num w:numId="190">
    <w:abstractNumId w:val="19"/>
  </w:num>
  <w:num w:numId="191">
    <w:abstractNumId w:val="36"/>
  </w:num>
  <w:num w:numId="192">
    <w:abstractNumId w:val="183"/>
  </w:num>
  <w:num w:numId="193">
    <w:abstractNumId w:val="331"/>
  </w:num>
  <w:num w:numId="194">
    <w:abstractNumId w:val="211"/>
  </w:num>
  <w:num w:numId="195">
    <w:abstractNumId w:val="81"/>
  </w:num>
  <w:num w:numId="196">
    <w:abstractNumId w:val="93"/>
  </w:num>
  <w:num w:numId="197">
    <w:abstractNumId w:val="86"/>
  </w:num>
  <w:num w:numId="198">
    <w:abstractNumId w:val="285"/>
  </w:num>
  <w:num w:numId="199">
    <w:abstractNumId w:val="285"/>
  </w:num>
  <w:num w:numId="200">
    <w:abstractNumId w:val="285"/>
  </w:num>
  <w:num w:numId="201">
    <w:abstractNumId w:val="285"/>
  </w:num>
  <w:num w:numId="202">
    <w:abstractNumId w:val="285"/>
  </w:num>
  <w:num w:numId="203">
    <w:abstractNumId w:val="285"/>
  </w:num>
  <w:num w:numId="204">
    <w:abstractNumId w:val="285"/>
  </w:num>
  <w:num w:numId="205">
    <w:abstractNumId w:val="268"/>
  </w:num>
  <w:num w:numId="206">
    <w:abstractNumId w:val="1"/>
  </w:num>
  <w:num w:numId="207">
    <w:abstractNumId w:val="12"/>
  </w:num>
  <w:num w:numId="208">
    <w:abstractNumId w:val="30"/>
  </w:num>
  <w:num w:numId="209">
    <w:abstractNumId w:val="63"/>
  </w:num>
  <w:num w:numId="210">
    <w:abstractNumId w:val="267"/>
  </w:num>
  <w:num w:numId="211">
    <w:abstractNumId w:val="164"/>
  </w:num>
  <w:num w:numId="212">
    <w:abstractNumId w:val="276"/>
  </w:num>
  <w:num w:numId="213">
    <w:abstractNumId w:val="292"/>
  </w:num>
  <w:num w:numId="214">
    <w:abstractNumId w:val="348"/>
  </w:num>
  <w:num w:numId="215">
    <w:abstractNumId w:val="348"/>
  </w:num>
  <w:num w:numId="216">
    <w:abstractNumId w:val="4"/>
  </w:num>
  <w:num w:numId="217">
    <w:abstractNumId w:val="348"/>
    <w:lvlOverride w:ilvl="0">
      <w:startOverride w:val="1"/>
    </w:lvlOverride>
  </w:num>
  <w:num w:numId="218">
    <w:abstractNumId w:val="168"/>
  </w:num>
  <w:num w:numId="219">
    <w:abstractNumId w:val="337"/>
  </w:num>
  <w:num w:numId="220">
    <w:abstractNumId w:val="303"/>
  </w:num>
  <w:num w:numId="221">
    <w:abstractNumId w:val="332"/>
  </w:num>
  <w:num w:numId="222">
    <w:abstractNumId w:val="179"/>
  </w:num>
  <w:num w:numId="223">
    <w:abstractNumId w:val="255"/>
  </w:num>
  <w:num w:numId="224">
    <w:abstractNumId w:val="275"/>
  </w:num>
  <w:num w:numId="225">
    <w:abstractNumId w:val="269"/>
  </w:num>
  <w:num w:numId="226">
    <w:abstractNumId w:val="77"/>
  </w:num>
  <w:num w:numId="227">
    <w:abstractNumId w:val="347"/>
  </w:num>
  <w:num w:numId="228">
    <w:abstractNumId w:val="226"/>
  </w:num>
  <w:num w:numId="229">
    <w:abstractNumId w:val="20"/>
  </w:num>
  <w:num w:numId="230">
    <w:abstractNumId w:val="299"/>
  </w:num>
  <w:num w:numId="231">
    <w:abstractNumId w:val="187"/>
  </w:num>
  <w:num w:numId="232">
    <w:abstractNumId w:val="2"/>
  </w:num>
  <w:num w:numId="233">
    <w:abstractNumId w:val="2"/>
  </w:num>
  <w:num w:numId="234">
    <w:abstractNumId w:val="112"/>
  </w:num>
  <w:num w:numId="235">
    <w:abstractNumId w:val="2"/>
    <w:lvlOverride w:ilvl="0">
      <w:startOverride w:val="2"/>
    </w:lvlOverride>
  </w:num>
  <w:num w:numId="236">
    <w:abstractNumId w:val="85"/>
  </w:num>
  <w:num w:numId="237">
    <w:abstractNumId w:val="170"/>
  </w:num>
  <w:num w:numId="238">
    <w:abstractNumId w:val="206"/>
  </w:num>
  <w:num w:numId="239">
    <w:abstractNumId w:val="28"/>
  </w:num>
  <w:num w:numId="240">
    <w:abstractNumId w:val="244"/>
  </w:num>
  <w:num w:numId="241">
    <w:abstractNumId w:val="94"/>
  </w:num>
  <w:num w:numId="242">
    <w:abstractNumId w:val="330"/>
  </w:num>
  <w:num w:numId="243">
    <w:abstractNumId w:val="9"/>
  </w:num>
  <w:num w:numId="244">
    <w:abstractNumId w:val="108"/>
  </w:num>
  <w:num w:numId="245">
    <w:abstractNumId w:val="51"/>
  </w:num>
  <w:num w:numId="246">
    <w:abstractNumId w:val="66"/>
  </w:num>
  <w:num w:numId="247">
    <w:abstractNumId w:val="104"/>
  </w:num>
  <w:num w:numId="248">
    <w:abstractNumId w:val="227"/>
  </w:num>
  <w:num w:numId="249">
    <w:abstractNumId w:val="281"/>
  </w:num>
  <w:num w:numId="250">
    <w:abstractNumId w:val="203"/>
  </w:num>
  <w:num w:numId="251">
    <w:abstractNumId w:val="265"/>
  </w:num>
  <w:num w:numId="252">
    <w:abstractNumId w:val="6"/>
  </w:num>
  <w:num w:numId="253">
    <w:abstractNumId w:val="299"/>
  </w:num>
  <w:num w:numId="254">
    <w:abstractNumId w:val="341"/>
  </w:num>
  <w:num w:numId="255">
    <w:abstractNumId w:val="6"/>
    <w:lvlOverride w:ilvl="0">
      <w:startOverride w:val="2"/>
    </w:lvlOverride>
  </w:num>
  <w:num w:numId="256">
    <w:abstractNumId w:val="199"/>
  </w:num>
  <w:num w:numId="257">
    <w:abstractNumId w:val="235"/>
  </w:num>
  <w:num w:numId="258">
    <w:abstractNumId w:val="159"/>
  </w:num>
  <w:num w:numId="259">
    <w:abstractNumId w:val="181"/>
  </w:num>
  <w:num w:numId="260">
    <w:abstractNumId w:val="308"/>
  </w:num>
  <w:num w:numId="261">
    <w:abstractNumId w:val="83"/>
  </w:num>
  <w:num w:numId="262">
    <w:abstractNumId w:val="76"/>
  </w:num>
  <w:num w:numId="263">
    <w:abstractNumId w:val="181"/>
    <w:lvlOverride w:ilvl="0">
      <w:startOverride w:val="2"/>
    </w:lvlOverride>
  </w:num>
  <w:num w:numId="264">
    <w:abstractNumId w:val="39"/>
  </w:num>
  <w:num w:numId="265">
    <w:abstractNumId w:val="138"/>
  </w:num>
  <w:num w:numId="266">
    <w:abstractNumId w:val="41"/>
  </w:num>
  <w:num w:numId="267">
    <w:abstractNumId w:val="293"/>
  </w:num>
  <w:num w:numId="268">
    <w:abstractNumId w:val="11"/>
  </w:num>
  <w:num w:numId="269">
    <w:abstractNumId w:val="139"/>
  </w:num>
  <w:num w:numId="270">
    <w:abstractNumId w:val="11"/>
    <w:lvlOverride w:ilvl="0">
      <w:startOverride w:val="2"/>
    </w:lvlOverride>
  </w:num>
  <w:num w:numId="271">
    <w:abstractNumId w:val="16"/>
  </w:num>
  <w:num w:numId="272">
    <w:abstractNumId w:val="352"/>
  </w:num>
  <w:num w:numId="273">
    <w:abstractNumId w:val="154"/>
  </w:num>
  <w:num w:numId="274">
    <w:abstractNumId w:val="48"/>
  </w:num>
  <w:num w:numId="275">
    <w:abstractNumId w:val="33"/>
  </w:num>
  <w:num w:numId="276">
    <w:abstractNumId w:val="11"/>
  </w:num>
  <w:num w:numId="277">
    <w:abstractNumId w:val="125"/>
  </w:num>
  <w:num w:numId="278">
    <w:abstractNumId w:val="231"/>
  </w:num>
  <w:num w:numId="279">
    <w:abstractNumId w:val="15"/>
  </w:num>
  <w:num w:numId="280">
    <w:abstractNumId w:val="345"/>
  </w:num>
  <w:num w:numId="281">
    <w:abstractNumId w:val="320"/>
  </w:num>
  <w:num w:numId="282">
    <w:abstractNumId w:val="67"/>
  </w:num>
  <w:num w:numId="283">
    <w:abstractNumId w:val="247"/>
  </w:num>
  <w:num w:numId="284">
    <w:abstractNumId w:val="312"/>
  </w:num>
  <w:num w:numId="285">
    <w:abstractNumId w:val="186"/>
  </w:num>
  <w:num w:numId="286">
    <w:abstractNumId w:val="353"/>
  </w:num>
  <w:num w:numId="287">
    <w:abstractNumId w:val="38"/>
  </w:num>
  <w:num w:numId="288">
    <w:abstractNumId w:val="234"/>
  </w:num>
  <w:num w:numId="289">
    <w:abstractNumId w:val="234"/>
  </w:num>
  <w:num w:numId="290">
    <w:abstractNumId w:val="234"/>
  </w:num>
  <w:num w:numId="291">
    <w:abstractNumId w:val="234"/>
  </w:num>
  <w:num w:numId="292">
    <w:abstractNumId w:val="234"/>
  </w:num>
  <w:num w:numId="293">
    <w:abstractNumId w:val="137"/>
  </w:num>
  <w:num w:numId="294">
    <w:abstractNumId w:val="123"/>
  </w:num>
  <w:num w:numId="295">
    <w:abstractNumId w:val="229"/>
  </w:num>
  <w:num w:numId="296">
    <w:abstractNumId w:val="155"/>
  </w:num>
  <w:num w:numId="297">
    <w:abstractNumId w:val="34"/>
  </w:num>
  <w:num w:numId="298">
    <w:abstractNumId w:val="233"/>
  </w:num>
  <w:num w:numId="299">
    <w:abstractNumId w:val="184"/>
  </w:num>
  <w:num w:numId="300">
    <w:abstractNumId w:val="248"/>
  </w:num>
  <w:num w:numId="301">
    <w:abstractNumId w:val="13"/>
  </w:num>
  <w:num w:numId="302">
    <w:abstractNumId w:val="323"/>
  </w:num>
  <w:num w:numId="303">
    <w:abstractNumId w:val="193"/>
  </w:num>
  <w:num w:numId="304">
    <w:abstractNumId w:val="140"/>
  </w:num>
  <w:num w:numId="305">
    <w:abstractNumId w:val="128"/>
  </w:num>
  <w:num w:numId="306">
    <w:abstractNumId w:val="336"/>
  </w:num>
  <w:num w:numId="307">
    <w:abstractNumId w:val="335"/>
  </w:num>
  <w:num w:numId="308">
    <w:abstractNumId w:val="197"/>
  </w:num>
  <w:num w:numId="309">
    <w:abstractNumId w:val="100"/>
  </w:num>
  <w:num w:numId="310">
    <w:abstractNumId w:val="210"/>
  </w:num>
  <w:num w:numId="311">
    <w:abstractNumId w:val="54"/>
  </w:num>
  <w:num w:numId="312">
    <w:abstractNumId w:val="198"/>
  </w:num>
  <w:num w:numId="313">
    <w:abstractNumId w:val="161"/>
  </w:num>
  <w:num w:numId="314">
    <w:abstractNumId w:val="161"/>
  </w:num>
  <w:num w:numId="315">
    <w:abstractNumId w:val="230"/>
  </w:num>
  <w:num w:numId="316">
    <w:abstractNumId w:val="278"/>
  </w:num>
  <w:num w:numId="317">
    <w:abstractNumId w:val="122"/>
  </w:num>
  <w:num w:numId="318">
    <w:abstractNumId w:val="152"/>
  </w:num>
  <w:num w:numId="319">
    <w:abstractNumId w:val="217"/>
  </w:num>
  <w:num w:numId="320">
    <w:abstractNumId w:val="150"/>
  </w:num>
  <w:num w:numId="321">
    <w:abstractNumId w:val="150"/>
  </w:num>
  <w:num w:numId="322">
    <w:abstractNumId w:val="173"/>
  </w:num>
  <w:num w:numId="323">
    <w:abstractNumId w:val="53"/>
  </w:num>
  <w:num w:numId="324">
    <w:abstractNumId w:val="342"/>
  </w:num>
  <w:num w:numId="325">
    <w:abstractNumId w:val="351"/>
  </w:num>
  <w:num w:numId="326">
    <w:abstractNumId w:val="256"/>
  </w:num>
  <w:num w:numId="327">
    <w:abstractNumId w:val="98"/>
  </w:num>
  <w:num w:numId="328">
    <w:abstractNumId w:val="245"/>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7"/>
  </w:num>
  <w:num w:numId="338">
    <w:abstractNumId w:val="319"/>
  </w:num>
  <w:num w:numId="339">
    <w:abstractNumId w:val="290"/>
  </w:num>
  <w:num w:numId="340">
    <w:abstractNumId w:val="324"/>
  </w:num>
  <w:num w:numId="341">
    <w:abstractNumId w:val="228"/>
  </w:num>
  <w:num w:numId="342">
    <w:abstractNumId w:val="309"/>
  </w:num>
  <w:num w:numId="343">
    <w:abstractNumId w:val="79"/>
  </w:num>
  <w:num w:numId="344">
    <w:abstractNumId w:val="299"/>
  </w:num>
  <w:num w:numId="345">
    <w:abstractNumId w:val="299"/>
  </w:num>
  <w:num w:numId="346">
    <w:abstractNumId w:val="304"/>
  </w:num>
  <w:num w:numId="347">
    <w:abstractNumId w:val="162"/>
  </w:num>
  <w:num w:numId="348">
    <w:abstractNumId w:val="177"/>
  </w:num>
  <w:num w:numId="349">
    <w:abstractNumId w:val="236"/>
  </w:num>
  <w:num w:numId="350">
    <w:abstractNumId w:val="304"/>
  </w:num>
  <w:num w:numId="351">
    <w:abstractNumId w:val="45"/>
  </w:num>
  <w:num w:numId="352">
    <w:abstractNumId w:val="37"/>
  </w:num>
  <w:num w:numId="353">
    <w:abstractNumId w:val="37"/>
  </w:num>
  <w:num w:numId="354">
    <w:abstractNumId w:val="214"/>
  </w:num>
  <w:num w:numId="355">
    <w:abstractNumId w:val="333"/>
  </w:num>
  <w:num w:numId="356">
    <w:abstractNumId w:val="288"/>
  </w:num>
  <w:num w:numId="357">
    <w:abstractNumId w:val="263"/>
  </w:num>
  <w:num w:numId="358">
    <w:abstractNumId w:val="189"/>
  </w:num>
  <w:num w:numId="359">
    <w:abstractNumId w:val="254"/>
  </w:num>
  <w:num w:numId="360">
    <w:abstractNumId w:val="234"/>
    <w:lvlOverride w:ilvl="0">
      <w:startOverride w:val="1"/>
    </w:lvlOverride>
  </w:num>
  <w:num w:numId="361">
    <w:abstractNumId w:val="80"/>
  </w:num>
  <w:num w:numId="362">
    <w:abstractNumId w:val="234"/>
    <w:lvlOverride w:ilvl="0">
      <w:startOverride w:val="1"/>
    </w:lvlOverride>
  </w:num>
  <w:num w:numId="363">
    <w:abstractNumId w:val="72"/>
  </w:num>
  <w:num w:numId="364">
    <w:abstractNumId w:val="234"/>
    <w:lvlOverride w:ilvl="0">
      <w:startOverride w:val="1"/>
    </w:lvlOverride>
  </w:num>
  <w:num w:numId="365">
    <w:abstractNumId w:val="124"/>
  </w:num>
  <w:num w:numId="366">
    <w:abstractNumId w:val="234"/>
    <w:lvlOverride w:ilvl="0">
      <w:startOverride w:val="1"/>
    </w:lvlOverride>
  </w:num>
  <w:num w:numId="367">
    <w:abstractNumId w:val="99"/>
  </w:num>
  <w:num w:numId="368">
    <w:abstractNumId w:val="234"/>
    <w:lvlOverride w:ilvl="0">
      <w:startOverride w:val="1"/>
    </w:lvlOverride>
  </w:num>
  <w:num w:numId="369">
    <w:abstractNumId w:val="182"/>
  </w:num>
  <w:num w:numId="370">
    <w:abstractNumId w:val="234"/>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3"/>
  </w:num>
  <w:num w:numId="378">
    <w:abstractNumId w:val="234"/>
    <w:lvlOverride w:ilvl="0">
      <w:startOverride w:val="1"/>
    </w:lvlOverride>
  </w:num>
  <w:num w:numId="379">
    <w:abstractNumId w:val="37"/>
  </w:num>
  <w:num w:numId="380">
    <w:abstractNumId w:val="27"/>
  </w:num>
  <w:num w:numId="381">
    <w:abstractNumId w:val="234"/>
    <w:lvlOverride w:ilvl="0">
      <w:startOverride w:val="1"/>
    </w:lvlOverride>
  </w:num>
  <w:num w:numId="382">
    <w:abstractNumId w:val="103"/>
  </w:num>
  <w:num w:numId="383">
    <w:abstractNumId w:val="61"/>
  </w:num>
  <w:num w:numId="384">
    <w:abstractNumId w:val="200"/>
  </w:num>
  <w:num w:numId="385">
    <w:abstractNumId w:val="143"/>
  </w:num>
  <w:num w:numId="386">
    <w:abstractNumId w:val="22"/>
  </w:num>
  <w:num w:numId="387">
    <w:abstractNumId w:val="329"/>
  </w:num>
  <w:num w:numId="388">
    <w:abstractNumId w:val="250"/>
  </w:num>
  <w:num w:numId="389">
    <w:abstractNumId w:val="318"/>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5"/>
  </w:num>
  <w:num w:numId="399">
    <w:abstractNumId w:val="234"/>
    <w:lvlOverride w:ilvl="0">
      <w:startOverride w:val="1"/>
    </w:lvlOverride>
  </w:num>
  <w:num w:numId="400">
    <w:abstractNumId w:val="234"/>
  </w:num>
  <w:num w:numId="401">
    <w:abstractNumId w:val="62"/>
  </w:num>
  <w:num w:numId="402">
    <w:abstractNumId w:val="234"/>
    <w:lvlOverride w:ilvl="0">
      <w:startOverride w:val="1"/>
    </w:lvlOverride>
  </w:num>
  <w:num w:numId="403">
    <w:abstractNumId w:val="101"/>
  </w:num>
  <w:num w:numId="404">
    <w:abstractNumId w:val="234"/>
    <w:lvlOverride w:ilvl="0">
      <w:startOverride w:val="1"/>
    </w:lvlOverride>
  </w:num>
  <w:num w:numId="405">
    <w:abstractNumId w:val="305"/>
  </w:num>
  <w:num w:numId="406">
    <w:abstractNumId w:val="7"/>
  </w:num>
  <w:num w:numId="407">
    <w:abstractNumId w:val="162"/>
  </w:num>
  <w:num w:numId="408">
    <w:abstractNumId w:val="299"/>
  </w:num>
  <w:num w:numId="409">
    <w:abstractNumId w:val="299"/>
  </w:num>
  <w:num w:numId="410">
    <w:abstractNumId w:val="299"/>
  </w:num>
  <w:num w:numId="411">
    <w:abstractNumId w:val="299"/>
  </w:num>
  <w:num w:numId="412">
    <w:abstractNumId w:val="299"/>
  </w:num>
  <w:num w:numId="413">
    <w:abstractNumId w:val="299"/>
  </w:num>
  <w:num w:numId="414">
    <w:abstractNumId w:val="299"/>
  </w:num>
  <w:num w:numId="415">
    <w:abstractNumId w:val="299"/>
  </w:num>
  <w:num w:numId="416">
    <w:abstractNumId w:val="299"/>
  </w:num>
  <w:num w:numId="417">
    <w:abstractNumId w:val="299"/>
  </w:num>
  <w:num w:numId="418">
    <w:abstractNumId w:val="299"/>
  </w:num>
  <w:num w:numId="419">
    <w:abstractNumId w:val="37"/>
  </w:num>
  <w:num w:numId="420">
    <w:abstractNumId w:val="299"/>
  </w:num>
  <w:num w:numId="421">
    <w:abstractNumId w:val="299"/>
  </w:num>
  <w:num w:numId="422">
    <w:abstractNumId w:val="299"/>
  </w:num>
  <w:num w:numId="423">
    <w:abstractNumId w:val="299"/>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6"/>
  </w:num>
  <w:num w:numId="432">
    <w:abstractNumId w:val="274"/>
  </w:num>
  <w:num w:numId="433">
    <w:abstractNumId w:val="321"/>
  </w:num>
  <w:num w:numId="434">
    <w:abstractNumId w:val="165"/>
  </w:num>
  <w:num w:numId="435">
    <w:abstractNumId w:val="234"/>
    <w:lvlOverride w:ilvl="0">
      <w:startOverride w:val="1"/>
    </w:lvlOverride>
  </w:num>
  <w:num w:numId="436">
    <w:abstractNumId w:val="73"/>
  </w:num>
  <w:num w:numId="437">
    <w:abstractNumId w:val="234"/>
    <w:lvlOverride w:ilvl="0">
      <w:startOverride w:val="1"/>
    </w:lvlOverride>
  </w:num>
  <w:num w:numId="438">
    <w:abstractNumId w:val="37"/>
  </w:num>
  <w:num w:numId="439">
    <w:abstractNumId w:val="37"/>
  </w:num>
  <w:num w:numId="440">
    <w:abstractNumId w:val="277"/>
  </w:num>
  <w:num w:numId="441">
    <w:abstractNumId w:val="234"/>
    <w:lvlOverride w:ilvl="0">
      <w:startOverride w:val="1"/>
    </w:lvlOverride>
  </w:num>
  <w:num w:numId="442">
    <w:abstractNumId w:val="234"/>
  </w:num>
  <w:num w:numId="443">
    <w:abstractNumId w:val="3"/>
  </w:num>
  <w:num w:numId="444">
    <w:abstractNumId w:val="60"/>
  </w:num>
  <w:num w:numId="445">
    <w:abstractNumId w:val="234"/>
    <w:lvlOverride w:ilvl="0">
      <w:startOverride w:val="1"/>
    </w:lvlOverride>
  </w:num>
  <w:num w:numId="446">
    <w:abstractNumId w:val="307"/>
  </w:num>
  <w:num w:numId="447">
    <w:abstractNumId w:val="160"/>
  </w:num>
  <w:num w:numId="448">
    <w:abstractNumId w:val="209"/>
  </w:num>
  <w:num w:numId="449">
    <w:abstractNumId w:val="160"/>
    <w:lvlOverride w:ilvl="0">
      <w:startOverride w:val="1"/>
    </w:lvlOverride>
  </w:num>
  <w:num w:numId="450">
    <w:abstractNumId w:val="37"/>
  </w:num>
  <w:num w:numId="451">
    <w:abstractNumId w:val="240"/>
  </w:num>
  <w:num w:numId="452">
    <w:abstractNumId w:val="160"/>
    <w:lvlOverride w:ilvl="0">
      <w:startOverride w:val="1"/>
    </w:lvlOverride>
  </w:num>
  <w:num w:numId="453">
    <w:abstractNumId w:val="42"/>
  </w:num>
  <w:num w:numId="454">
    <w:abstractNumId w:val="160"/>
    <w:lvlOverride w:ilvl="0">
      <w:startOverride w:val="1"/>
    </w:lvlOverride>
  </w:num>
  <w:num w:numId="455">
    <w:abstractNumId w:val="37"/>
  </w:num>
  <w:num w:numId="456">
    <w:abstractNumId w:val="26"/>
  </w:num>
  <w:num w:numId="457">
    <w:abstractNumId w:val="160"/>
    <w:lvlOverride w:ilvl="0">
      <w:startOverride w:val="1"/>
    </w:lvlOverride>
  </w:num>
  <w:num w:numId="458">
    <w:abstractNumId w:val="207"/>
  </w:num>
  <w:num w:numId="459">
    <w:abstractNumId w:val="119"/>
  </w:num>
  <w:num w:numId="460">
    <w:abstractNumId w:val="196"/>
  </w:num>
  <w:num w:numId="461">
    <w:abstractNumId w:val="163"/>
  </w:num>
  <w:num w:numId="462">
    <w:abstractNumId w:val="95"/>
  </w:num>
  <w:num w:numId="463">
    <w:abstractNumId w:val="249"/>
  </w:num>
  <w:num w:numId="464">
    <w:abstractNumId w:val="221"/>
  </w:num>
  <w:num w:numId="465">
    <w:abstractNumId w:val="160"/>
    <w:lvlOverride w:ilvl="0">
      <w:startOverride w:val="1"/>
    </w:lvlOverride>
  </w:num>
  <w:num w:numId="466">
    <w:abstractNumId w:val="57"/>
  </w:num>
  <w:num w:numId="467">
    <w:abstractNumId w:val="252"/>
  </w:num>
  <w:num w:numId="468">
    <w:abstractNumId w:val="147"/>
  </w:num>
  <w:num w:numId="469">
    <w:abstractNumId w:val="252"/>
  </w:num>
  <w:num w:numId="470">
    <w:abstractNumId w:val="317"/>
  </w:num>
  <w:num w:numId="471">
    <w:abstractNumId w:val="252"/>
    <w:lvlOverride w:ilvl="0">
      <w:startOverride w:val="1"/>
    </w:lvlOverride>
  </w:num>
  <w:num w:numId="472">
    <w:abstractNumId w:val="127"/>
  </w:num>
  <w:num w:numId="473">
    <w:abstractNumId w:val="327"/>
  </w:num>
  <w:num w:numId="474">
    <w:abstractNumId w:val="47"/>
  </w:num>
  <w:num w:numId="475">
    <w:abstractNumId w:val="88"/>
  </w:num>
  <w:num w:numId="476">
    <w:abstractNumId w:val="262"/>
  </w:num>
  <w:num w:numId="477">
    <w:abstractNumId w:val="58"/>
  </w:num>
  <w:num w:numId="478">
    <w:abstractNumId w:val="37"/>
  </w:num>
  <w:num w:numId="479">
    <w:abstractNumId w:val="243"/>
  </w:num>
  <w:num w:numId="480">
    <w:abstractNumId w:val="90"/>
  </w:num>
  <w:num w:numId="481">
    <w:abstractNumId w:val="195"/>
  </w:num>
  <w:num w:numId="482">
    <w:abstractNumId w:val="52"/>
  </w:num>
  <w:num w:numId="483">
    <w:abstractNumId w:val="349"/>
  </w:num>
  <w:num w:numId="484">
    <w:abstractNumId w:val="96"/>
  </w:num>
  <w:num w:numId="485">
    <w:abstractNumId w:val="149"/>
  </w:num>
  <w:num w:numId="486">
    <w:abstractNumId w:val="97"/>
  </w:num>
  <w:num w:numId="487">
    <w:abstractNumId w:val="215"/>
  </w:num>
  <w:num w:numId="488">
    <w:abstractNumId w:val="279"/>
  </w:num>
  <w:num w:numId="489">
    <w:abstractNumId w:val="69"/>
  </w:num>
  <w:num w:numId="490">
    <w:abstractNumId w:val="218"/>
  </w:num>
  <w:num w:numId="491">
    <w:abstractNumId w:val="130"/>
  </w:num>
  <w:num w:numId="492">
    <w:abstractNumId w:val="194"/>
  </w:num>
  <w:num w:numId="493">
    <w:abstractNumId w:val="116"/>
  </w:num>
  <w:num w:numId="494">
    <w:abstractNumId w:val="299"/>
  </w:num>
  <w:num w:numId="495">
    <w:abstractNumId w:val="162"/>
  </w:num>
  <w:num w:numId="496">
    <w:abstractNumId w:val="273"/>
  </w:num>
  <w:num w:numId="497">
    <w:abstractNumId w:val="310"/>
  </w:num>
  <w:num w:numId="498">
    <w:abstractNumId w:val="306"/>
  </w:num>
  <w:num w:numId="499">
    <w:abstractNumId w:val="350"/>
  </w:num>
  <w:num w:numId="500">
    <w:abstractNumId w:val="49"/>
  </w:num>
  <w:num w:numId="501">
    <w:abstractNumId w:val="175"/>
  </w:num>
  <w:num w:numId="502">
    <w:abstractNumId w:val="64"/>
  </w:num>
  <w:num w:numId="503">
    <w:abstractNumId w:val="212"/>
  </w:num>
  <w:num w:numId="504">
    <w:abstractNumId w:val="64"/>
    <w:lvlOverride w:ilvl="0">
      <w:startOverride w:val="1"/>
    </w:lvlOverride>
  </w:num>
  <w:num w:numId="505">
    <w:abstractNumId w:val="105"/>
  </w:num>
  <w:num w:numId="506">
    <w:abstractNumId w:val="299"/>
  </w:num>
  <w:num w:numId="507">
    <w:abstractNumId w:val="299"/>
  </w:num>
  <w:num w:numId="508">
    <w:abstractNumId w:val="162"/>
  </w:num>
  <w:num w:numId="509">
    <w:abstractNumId w:val="162"/>
  </w:num>
  <w:num w:numId="510">
    <w:abstractNumId w:val="299"/>
  </w:num>
  <w:num w:numId="511">
    <w:abstractNumId w:val="162"/>
  </w:num>
  <w:num w:numId="512">
    <w:abstractNumId w:val="162"/>
  </w:num>
  <w:num w:numId="513">
    <w:abstractNumId w:val="162"/>
  </w:num>
  <w:num w:numId="514">
    <w:abstractNumId w:val="162"/>
  </w:num>
  <w:num w:numId="515">
    <w:abstractNumId w:val="162"/>
  </w:num>
  <w:num w:numId="516">
    <w:abstractNumId w:val="162"/>
  </w:num>
  <w:num w:numId="517">
    <w:abstractNumId w:val="162"/>
  </w:num>
  <w:num w:numId="518">
    <w:abstractNumId w:val="162"/>
  </w:num>
  <w:num w:numId="519">
    <w:abstractNumId w:val="84"/>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4300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jUxNzI0MbEwNLZQ0lEKTi0uzszPAykwqgUAIR4KOSwAAAA="/>
    <w:docVar w:name="MacDisableGlyphATSUI" w:val="0"/>
  </w:docVars>
  <w:rsids>
    <w:rsidRoot w:val="0086683E"/>
    <w:rsid w:val="000006EA"/>
    <w:rsid w:val="00001B1A"/>
    <w:rsid w:val="00002A62"/>
    <w:rsid w:val="00006598"/>
    <w:rsid w:val="000070CA"/>
    <w:rsid w:val="00014873"/>
    <w:rsid w:val="00015386"/>
    <w:rsid w:val="00017360"/>
    <w:rsid w:val="00017D71"/>
    <w:rsid w:val="00020DDD"/>
    <w:rsid w:val="000213A8"/>
    <w:rsid w:val="0002203F"/>
    <w:rsid w:val="00022302"/>
    <w:rsid w:val="0002511C"/>
    <w:rsid w:val="00025E6B"/>
    <w:rsid w:val="00027510"/>
    <w:rsid w:val="00030E38"/>
    <w:rsid w:val="00033E6C"/>
    <w:rsid w:val="0003412A"/>
    <w:rsid w:val="000349C0"/>
    <w:rsid w:val="00035D61"/>
    <w:rsid w:val="00036843"/>
    <w:rsid w:val="00036BC5"/>
    <w:rsid w:val="0003710D"/>
    <w:rsid w:val="00037FE6"/>
    <w:rsid w:val="0004143A"/>
    <w:rsid w:val="00041EBF"/>
    <w:rsid w:val="00042018"/>
    <w:rsid w:val="00043843"/>
    <w:rsid w:val="00043DFF"/>
    <w:rsid w:val="00044417"/>
    <w:rsid w:val="00044E3A"/>
    <w:rsid w:val="0004504C"/>
    <w:rsid w:val="00047769"/>
    <w:rsid w:val="00051508"/>
    <w:rsid w:val="00051E75"/>
    <w:rsid w:val="0005226C"/>
    <w:rsid w:val="00053368"/>
    <w:rsid w:val="000542FD"/>
    <w:rsid w:val="0005468C"/>
    <w:rsid w:val="000568BC"/>
    <w:rsid w:val="00060230"/>
    <w:rsid w:val="00060BBD"/>
    <w:rsid w:val="00065059"/>
    <w:rsid w:val="0007226E"/>
    <w:rsid w:val="00072B6A"/>
    <w:rsid w:val="00072F5E"/>
    <w:rsid w:val="00073E1C"/>
    <w:rsid w:val="00073E48"/>
    <w:rsid w:val="00074F29"/>
    <w:rsid w:val="00076221"/>
    <w:rsid w:val="00081E8B"/>
    <w:rsid w:val="000826CD"/>
    <w:rsid w:val="000838BD"/>
    <w:rsid w:val="0008417E"/>
    <w:rsid w:val="00084E84"/>
    <w:rsid w:val="00085406"/>
    <w:rsid w:val="0008689C"/>
    <w:rsid w:val="000870DC"/>
    <w:rsid w:val="000877FD"/>
    <w:rsid w:val="00094B61"/>
    <w:rsid w:val="00094E6C"/>
    <w:rsid w:val="000A06A3"/>
    <w:rsid w:val="000A1092"/>
    <w:rsid w:val="000A137F"/>
    <w:rsid w:val="000A57C4"/>
    <w:rsid w:val="000A7857"/>
    <w:rsid w:val="000A7DE3"/>
    <w:rsid w:val="000B3AC7"/>
    <w:rsid w:val="000B3BEF"/>
    <w:rsid w:val="000B4FF1"/>
    <w:rsid w:val="000B6CC5"/>
    <w:rsid w:val="000C08B2"/>
    <w:rsid w:val="000C0E6A"/>
    <w:rsid w:val="000C2812"/>
    <w:rsid w:val="000C2D7C"/>
    <w:rsid w:val="000C3AB5"/>
    <w:rsid w:val="000C4C10"/>
    <w:rsid w:val="000C61DA"/>
    <w:rsid w:val="000C65CB"/>
    <w:rsid w:val="000C6BD2"/>
    <w:rsid w:val="000D5D72"/>
    <w:rsid w:val="000D647B"/>
    <w:rsid w:val="000D69F1"/>
    <w:rsid w:val="000D7317"/>
    <w:rsid w:val="000E107B"/>
    <w:rsid w:val="000E18AA"/>
    <w:rsid w:val="000E1D9D"/>
    <w:rsid w:val="000E38A5"/>
    <w:rsid w:val="000E487A"/>
    <w:rsid w:val="000E5B15"/>
    <w:rsid w:val="000E6438"/>
    <w:rsid w:val="000E6F12"/>
    <w:rsid w:val="000F0E2D"/>
    <w:rsid w:val="000F1215"/>
    <w:rsid w:val="000F2801"/>
    <w:rsid w:val="000F4C6A"/>
    <w:rsid w:val="000F779D"/>
    <w:rsid w:val="001002E2"/>
    <w:rsid w:val="00100751"/>
    <w:rsid w:val="00100F44"/>
    <w:rsid w:val="001044A2"/>
    <w:rsid w:val="00104F6B"/>
    <w:rsid w:val="00106058"/>
    <w:rsid w:val="00106526"/>
    <w:rsid w:val="00111A8E"/>
    <w:rsid w:val="00111BCC"/>
    <w:rsid w:val="00111CD1"/>
    <w:rsid w:val="001160AD"/>
    <w:rsid w:val="00116A2A"/>
    <w:rsid w:val="00117168"/>
    <w:rsid w:val="00117DDB"/>
    <w:rsid w:val="001235B5"/>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D1E"/>
    <w:rsid w:val="00146F25"/>
    <w:rsid w:val="00147C0A"/>
    <w:rsid w:val="00150A32"/>
    <w:rsid w:val="00150F56"/>
    <w:rsid w:val="00151D2F"/>
    <w:rsid w:val="001520D1"/>
    <w:rsid w:val="00152FA0"/>
    <w:rsid w:val="001533D4"/>
    <w:rsid w:val="00155FF4"/>
    <w:rsid w:val="00156881"/>
    <w:rsid w:val="00160FD6"/>
    <w:rsid w:val="001621D9"/>
    <w:rsid w:val="001631E0"/>
    <w:rsid w:val="00163DE2"/>
    <w:rsid w:val="0016613F"/>
    <w:rsid w:val="0016623D"/>
    <w:rsid w:val="001662AC"/>
    <w:rsid w:val="00166A8A"/>
    <w:rsid w:val="00167480"/>
    <w:rsid w:val="001704D3"/>
    <w:rsid w:val="00170BF2"/>
    <w:rsid w:val="00170BFE"/>
    <w:rsid w:val="00172D1A"/>
    <w:rsid w:val="00173ED1"/>
    <w:rsid w:val="001757F9"/>
    <w:rsid w:val="00176F70"/>
    <w:rsid w:val="00176FD3"/>
    <w:rsid w:val="00180896"/>
    <w:rsid w:val="00184FC1"/>
    <w:rsid w:val="00185FB0"/>
    <w:rsid w:val="00186D10"/>
    <w:rsid w:val="00187734"/>
    <w:rsid w:val="00192448"/>
    <w:rsid w:val="00195CB7"/>
    <w:rsid w:val="001A2366"/>
    <w:rsid w:val="001A2A63"/>
    <w:rsid w:val="001A2B13"/>
    <w:rsid w:val="001A69CA"/>
    <w:rsid w:val="001B04F6"/>
    <w:rsid w:val="001B08A5"/>
    <w:rsid w:val="001B0F2D"/>
    <w:rsid w:val="001B3C85"/>
    <w:rsid w:val="001B3FA8"/>
    <w:rsid w:val="001B586D"/>
    <w:rsid w:val="001C10C4"/>
    <w:rsid w:val="001C3DD5"/>
    <w:rsid w:val="001C618F"/>
    <w:rsid w:val="001C6B4B"/>
    <w:rsid w:val="001C7258"/>
    <w:rsid w:val="001C7A9C"/>
    <w:rsid w:val="001D0283"/>
    <w:rsid w:val="001D1BDC"/>
    <w:rsid w:val="001D2F2B"/>
    <w:rsid w:val="001D3FC1"/>
    <w:rsid w:val="001D67E3"/>
    <w:rsid w:val="001D70CD"/>
    <w:rsid w:val="001E0D28"/>
    <w:rsid w:val="001E2B7D"/>
    <w:rsid w:val="001E2F9D"/>
    <w:rsid w:val="001E5B5A"/>
    <w:rsid w:val="001E6B3F"/>
    <w:rsid w:val="001E70E2"/>
    <w:rsid w:val="001E77FC"/>
    <w:rsid w:val="001F074D"/>
    <w:rsid w:val="001F0E80"/>
    <w:rsid w:val="001F10FC"/>
    <w:rsid w:val="001F40DE"/>
    <w:rsid w:val="001F4496"/>
    <w:rsid w:val="001F6E51"/>
    <w:rsid w:val="001F7B54"/>
    <w:rsid w:val="00200355"/>
    <w:rsid w:val="002032E2"/>
    <w:rsid w:val="002053FF"/>
    <w:rsid w:val="002057D7"/>
    <w:rsid w:val="00210630"/>
    <w:rsid w:val="00210AA6"/>
    <w:rsid w:val="00210EAC"/>
    <w:rsid w:val="002132D2"/>
    <w:rsid w:val="00216E1F"/>
    <w:rsid w:val="002207C3"/>
    <w:rsid w:val="00222A7A"/>
    <w:rsid w:val="00227E50"/>
    <w:rsid w:val="002335CF"/>
    <w:rsid w:val="00233CE4"/>
    <w:rsid w:val="002340A6"/>
    <w:rsid w:val="002342B8"/>
    <w:rsid w:val="0023454D"/>
    <w:rsid w:val="0023521F"/>
    <w:rsid w:val="00235DC5"/>
    <w:rsid w:val="00237F02"/>
    <w:rsid w:val="00243CC1"/>
    <w:rsid w:val="002440CE"/>
    <w:rsid w:val="00244283"/>
    <w:rsid w:val="00246192"/>
    <w:rsid w:val="00253333"/>
    <w:rsid w:val="0025444A"/>
    <w:rsid w:val="002573B2"/>
    <w:rsid w:val="00261762"/>
    <w:rsid w:val="00261A28"/>
    <w:rsid w:val="00262115"/>
    <w:rsid w:val="00263BAE"/>
    <w:rsid w:val="002650D4"/>
    <w:rsid w:val="00267156"/>
    <w:rsid w:val="002712FD"/>
    <w:rsid w:val="002727D1"/>
    <w:rsid w:val="00274756"/>
    <w:rsid w:val="002804CF"/>
    <w:rsid w:val="00280EE3"/>
    <w:rsid w:val="002815A7"/>
    <w:rsid w:val="002832A1"/>
    <w:rsid w:val="0028384F"/>
    <w:rsid w:val="00283A00"/>
    <w:rsid w:val="00284482"/>
    <w:rsid w:val="00284539"/>
    <w:rsid w:val="00285F80"/>
    <w:rsid w:val="00286424"/>
    <w:rsid w:val="002869EB"/>
    <w:rsid w:val="002907B1"/>
    <w:rsid w:val="00291E2F"/>
    <w:rsid w:val="00292581"/>
    <w:rsid w:val="00294972"/>
    <w:rsid w:val="00294FD3"/>
    <w:rsid w:val="00296F9F"/>
    <w:rsid w:val="002A0044"/>
    <w:rsid w:val="002A1F9C"/>
    <w:rsid w:val="002A228F"/>
    <w:rsid w:val="002A22C2"/>
    <w:rsid w:val="002A3A64"/>
    <w:rsid w:val="002A5E66"/>
    <w:rsid w:val="002A5F35"/>
    <w:rsid w:val="002B1ED4"/>
    <w:rsid w:val="002B33DC"/>
    <w:rsid w:val="002B5ECD"/>
    <w:rsid w:val="002B6A2C"/>
    <w:rsid w:val="002C078E"/>
    <w:rsid w:val="002C37DF"/>
    <w:rsid w:val="002C4B1C"/>
    <w:rsid w:val="002C4B32"/>
    <w:rsid w:val="002C53CE"/>
    <w:rsid w:val="002C5DD4"/>
    <w:rsid w:val="002C703C"/>
    <w:rsid w:val="002D13BF"/>
    <w:rsid w:val="002D143A"/>
    <w:rsid w:val="002D5639"/>
    <w:rsid w:val="002E08FA"/>
    <w:rsid w:val="002E318B"/>
    <w:rsid w:val="002E5028"/>
    <w:rsid w:val="002E728A"/>
    <w:rsid w:val="002E7FAC"/>
    <w:rsid w:val="002F02A6"/>
    <w:rsid w:val="002F20F5"/>
    <w:rsid w:val="002F2B9E"/>
    <w:rsid w:val="002F54E1"/>
    <w:rsid w:val="002F739D"/>
    <w:rsid w:val="00301581"/>
    <w:rsid w:val="0030168E"/>
    <w:rsid w:val="0030186B"/>
    <w:rsid w:val="00303C7A"/>
    <w:rsid w:val="00306BB2"/>
    <w:rsid w:val="00307B4E"/>
    <w:rsid w:val="00312508"/>
    <w:rsid w:val="00312ECF"/>
    <w:rsid w:val="00313B15"/>
    <w:rsid w:val="003140E6"/>
    <w:rsid w:val="00315AB5"/>
    <w:rsid w:val="00316F9E"/>
    <w:rsid w:val="00320A0E"/>
    <w:rsid w:val="00322ABA"/>
    <w:rsid w:val="00325710"/>
    <w:rsid w:val="003259DC"/>
    <w:rsid w:val="0032659F"/>
    <w:rsid w:val="00326B3E"/>
    <w:rsid w:val="00327B68"/>
    <w:rsid w:val="00330A6B"/>
    <w:rsid w:val="00332AA8"/>
    <w:rsid w:val="003339A8"/>
    <w:rsid w:val="0033606D"/>
    <w:rsid w:val="003403F4"/>
    <w:rsid w:val="00340604"/>
    <w:rsid w:val="003408F2"/>
    <w:rsid w:val="00340932"/>
    <w:rsid w:val="00340A29"/>
    <w:rsid w:val="003426FF"/>
    <w:rsid w:val="0034280C"/>
    <w:rsid w:val="00343923"/>
    <w:rsid w:val="00344B54"/>
    <w:rsid w:val="00346311"/>
    <w:rsid w:val="00346A86"/>
    <w:rsid w:val="00346CC4"/>
    <w:rsid w:val="00350705"/>
    <w:rsid w:val="00351040"/>
    <w:rsid w:val="003531BA"/>
    <w:rsid w:val="00356606"/>
    <w:rsid w:val="00361F8E"/>
    <w:rsid w:val="00367858"/>
    <w:rsid w:val="003728E8"/>
    <w:rsid w:val="00373CBC"/>
    <w:rsid w:val="00375BFE"/>
    <w:rsid w:val="00376601"/>
    <w:rsid w:val="00377CF2"/>
    <w:rsid w:val="003801E5"/>
    <w:rsid w:val="00381789"/>
    <w:rsid w:val="00382BA8"/>
    <w:rsid w:val="00387787"/>
    <w:rsid w:val="0039555D"/>
    <w:rsid w:val="0039594D"/>
    <w:rsid w:val="00396449"/>
    <w:rsid w:val="0039678B"/>
    <w:rsid w:val="003967C2"/>
    <w:rsid w:val="0039745B"/>
    <w:rsid w:val="003A0944"/>
    <w:rsid w:val="003A1010"/>
    <w:rsid w:val="003A33AE"/>
    <w:rsid w:val="003A6CA1"/>
    <w:rsid w:val="003A75C8"/>
    <w:rsid w:val="003B0E03"/>
    <w:rsid w:val="003B1A3B"/>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642D"/>
    <w:rsid w:val="003D7818"/>
    <w:rsid w:val="003E0DFA"/>
    <w:rsid w:val="003E2227"/>
    <w:rsid w:val="003E2928"/>
    <w:rsid w:val="003E3FB3"/>
    <w:rsid w:val="003E687B"/>
    <w:rsid w:val="003E697A"/>
    <w:rsid w:val="003F104E"/>
    <w:rsid w:val="003F3A1F"/>
    <w:rsid w:val="003F586A"/>
    <w:rsid w:val="003F7994"/>
    <w:rsid w:val="004000C8"/>
    <w:rsid w:val="00400713"/>
    <w:rsid w:val="0040083C"/>
    <w:rsid w:val="0040286F"/>
    <w:rsid w:val="00402BBD"/>
    <w:rsid w:val="0040373D"/>
    <w:rsid w:val="00404B18"/>
    <w:rsid w:val="00406DE9"/>
    <w:rsid w:val="00406F9D"/>
    <w:rsid w:val="00410AD0"/>
    <w:rsid w:val="004117F7"/>
    <w:rsid w:val="004127A8"/>
    <w:rsid w:val="004150DA"/>
    <w:rsid w:val="0041526A"/>
    <w:rsid w:val="004172D7"/>
    <w:rsid w:val="00421D0E"/>
    <w:rsid w:val="0042312C"/>
    <w:rsid w:val="004233C1"/>
    <w:rsid w:val="004241EB"/>
    <w:rsid w:val="004272A4"/>
    <w:rsid w:val="00430B70"/>
    <w:rsid w:val="00432261"/>
    <w:rsid w:val="004338FB"/>
    <w:rsid w:val="0043553C"/>
    <w:rsid w:val="0043679B"/>
    <w:rsid w:val="0043729F"/>
    <w:rsid w:val="00440C36"/>
    <w:rsid w:val="00441CE3"/>
    <w:rsid w:val="00441E29"/>
    <w:rsid w:val="004449EE"/>
    <w:rsid w:val="00445E2A"/>
    <w:rsid w:val="00447005"/>
    <w:rsid w:val="00447076"/>
    <w:rsid w:val="0044709A"/>
    <w:rsid w:val="00450EF9"/>
    <w:rsid w:val="004524B2"/>
    <w:rsid w:val="00452B43"/>
    <w:rsid w:val="004542FE"/>
    <w:rsid w:val="00460BA9"/>
    <w:rsid w:val="00461004"/>
    <w:rsid w:val="00466D6B"/>
    <w:rsid w:val="004671E8"/>
    <w:rsid w:val="0047474E"/>
    <w:rsid w:val="00475F68"/>
    <w:rsid w:val="00476162"/>
    <w:rsid w:val="00477C3F"/>
    <w:rsid w:val="00480A39"/>
    <w:rsid w:val="00482544"/>
    <w:rsid w:val="00482FAD"/>
    <w:rsid w:val="00483E5F"/>
    <w:rsid w:val="004873ED"/>
    <w:rsid w:val="00487F47"/>
    <w:rsid w:val="00491965"/>
    <w:rsid w:val="00491B67"/>
    <w:rsid w:val="00493699"/>
    <w:rsid w:val="00494083"/>
    <w:rsid w:val="00494B66"/>
    <w:rsid w:val="00494FAD"/>
    <w:rsid w:val="00495197"/>
    <w:rsid w:val="0049701D"/>
    <w:rsid w:val="00497179"/>
    <w:rsid w:val="004A37BA"/>
    <w:rsid w:val="004A4711"/>
    <w:rsid w:val="004A55D3"/>
    <w:rsid w:val="004A66F4"/>
    <w:rsid w:val="004A6AB4"/>
    <w:rsid w:val="004A6F2C"/>
    <w:rsid w:val="004A7115"/>
    <w:rsid w:val="004A736F"/>
    <w:rsid w:val="004B22CA"/>
    <w:rsid w:val="004B38FD"/>
    <w:rsid w:val="004B6845"/>
    <w:rsid w:val="004B7014"/>
    <w:rsid w:val="004C03AE"/>
    <w:rsid w:val="004C0416"/>
    <w:rsid w:val="004C2D74"/>
    <w:rsid w:val="004C3145"/>
    <w:rsid w:val="004C4A03"/>
    <w:rsid w:val="004C6ECD"/>
    <w:rsid w:val="004C796E"/>
    <w:rsid w:val="004D20C2"/>
    <w:rsid w:val="004D264D"/>
    <w:rsid w:val="004D318B"/>
    <w:rsid w:val="004D5C00"/>
    <w:rsid w:val="004D76DA"/>
    <w:rsid w:val="004D7EB9"/>
    <w:rsid w:val="004E06AF"/>
    <w:rsid w:val="004E095F"/>
    <w:rsid w:val="004E3C1B"/>
    <w:rsid w:val="004E3C90"/>
    <w:rsid w:val="004E5B44"/>
    <w:rsid w:val="004E6DAA"/>
    <w:rsid w:val="004E7D6C"/>
    <w:rsid w:val="004F37E0"/>
    <w:rsid w:val="004F3C16"/>
    <w:rsid w:val="004F46C9"/>
    <w:rsid w:val="004F653A"/>
    <w:rsid w:val="00500962"/>
    <w:rsid w:val="00501117"/>
    <w:rsid w:val="005011E9"/>
    <w:rsid w:val="005058A4"/>
    <w:rsid w:val="00505F03"/>
    <w:rsid w:val="00505FCF"/>
    <w:rsid w:val="00506791"/>
    <w:rsid w:val="00506ADE"/>
    <w:rsid w:val="00507FCB"/>
    <w:rsid w:val="0051158F"/>
    <w:rsid w:val="00513A84"/>
    <w:rsid w:val="005141D8"/>
    <w:rsid w:val="00520CB3"/>
    <w:rsid w:val="00521548"/>
    <w:rsid w:val="00521937"/>
    <w:rsid w:val="005226D5"/>
    <w:rsid w:val="00524C18"/>
    <w:rsid w:val="00527CC5"/>
    <w:rsid w:val="00527E16"/>
    <w:rsid w:val="005322A5"/>
    <w:rsid w:val="0053533D"/>
    <w:rsid w:val="005358EF"/>
    <w:rsid w:val="00536045"/>
    <w:rsid w:val="00536A95"/>
    <w:rsid w:val="00536F8D"/>
    <w:rsid w:val="00542469"/>
    <w:rsid w:val="0054424B"/>
    <w:rsid w:val="00544344"/>
    <w:rsid w:val="00544CAE"/>
    <w:rsid w:val="00544FDE"/>
    <w:rsid w:val="00545807"/>
    <w:rsid w:val="00545D7B"/>
    <w:rsid w:val="00547581"/>
    <w:rsid w:val="00547AC3"/>
    <w:rsid w:val="00547CA8"/>
    <w:rsid w:val="00550074"/>
    <w:rsid w:val="00550359"/>
    <w:rsid w:val="0055120D"/>
    <w:rsid w:val="005523C8"/>
    <w:rsid w:val="005525E9"/>
    <w:rsid w:val="00552655"/>
    <w:rsid w:val="0055393C"/>
    <w:rsid w:val="00553EF5"/>
    <w:rsid w:val="005540B8"/>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3B3D"/>
    <w:rsid w:val="00573BD0"/>
    <w:rsid w:val="0057414E"/>
    <w:rsid w:val="00575DE5"/>
    <w:rsid w:val="00576307"/>
    <w:rsid w:val="005765F3"/>
    <w:rsid w:val="0057663D"/>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367A"/>
    <w:rsid w:val="005951FB"/>
    <w:rsid w:val="00595FA1"/>
    <w:rsid w:val="0059714B"/>
    <w:rsid w:val="005A0707"/>
    <w:rsid w:val="005A221B"/>
    <w:rsid w:val="005A3433"/>
    <w:rsid w:val="005A3518"/>
    <w:rsid w:val="005A408C"/>
    <w:rsid w:val="005A68B9"/>
    <w:rsid w:val="005B0DA6"/>
    <w:rsid w:val="005B0E2C"/>
    <w:rsid w:val="005B1C14"/>
    <w:rsid w:val="005B2CAA"/>
    <w:rsid w:val="005B5922"/>
    <w:rsid w:val="005B5D26"/>
    <w:rsid w:val="005C10EB"/>
    <w:rsid w:val="005C12D7"/>
    <w:rsid w:val="005C21E7"/>
    <w:rsid w:val="005C31D5"/>
    <w:rsid w:val="005D15F4"/>
    <w:rsid w:val="005D3070"/>
    <w:rsid w:val="005D35D9"/>
    <w:rsid w:val="005D4E0C"/>
    <w:rsid w:val="005D5FA7"/>
    <w:rsid w:val="005D72AA"/>
    <w:rsid w:val="005D72E2"/>
    <w:rsid w:val="005E0090"/>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0744C"/>
    <w:rsid w:val="00610F11"/>
    <w:rsid w:val="0061203C"/>
    <w:rsid w:val="00612E93"/>
    <w:rsid w:val="00614307"/>
    <w:rsid w:val="00614593"/>
    <w:rsid w:val="0061494B"/>
    <w:rsid w:val="00614CB8"/>
    <w:rsid w:val="00615968"/>
    <w:rsid w:val="00615CE8"/>
    <w:rsid w:val="00616CEB"/>
    <w:rsid w:val="00621FCA"/>
    <w:rsid w:val="00625277"/>
    <w:rsid w:val="006273B9"/>
    <w:rsid w:val="00630559"/>
    <w:rsid w:val="0063095F"/>
    <w:rsid w:val="00630C52"/>
    <w:rsid w:val="00631657"/>
    <w:rsid w:val="00631706"/>
    <w:rsid w:val="00633031"/>
    <w:rsid w:val="00633EDB"/>
    <w:rsid w:val="006361C2"/>
    <w:rsid w:val="00640640"/>
    <w:rsid w:val="00640A46"/>
    <w:rsid w:val="00640EB6"/>
    <w:rsid w:val="00645717"/>
    <w:rsid w:val="00645FE7"/>
    <w:rsid w:val="00646C0C"/>
    <w:rsid w:val="00646DFA"/>
    <w:rsid w:val="00653A5B"/>
    <w:rsid w:val="00653FD6"/>
    <w:rsid w:val="00657CCC"/>
    <w:rsid w:val="006606EE"/>
    <w:rsid w:val="00660730"/>
    <w:rsid w:val="00660942"/>
    <w:rsid w:val="00660FC7"/>
    <w:rsid w:val="006636B8"/>
    <w:rsid w:val="00663AE6"/>
    <w:rsid w:val="00663EAF"/>
    <w:rsid w:val="00665D0F"/>
    <w:rsid w:val="006673FC"/>
    <w:rsid w:val="00667BF2"/>
    <w:rsid w:val="00667F56"/>
    <w:rsid w:val="00672ACC"/>
    <w:rsid w:val="00674354"/>
    <w:rsid w:val="006744C9"/>
    <w:rsid w:val="00674581"/>
    <w:rsid w:val="006752F3"/>
    <w:rsid w:val="006806E6"/>
    <w:rsid w:val="006816E7"/>
    <w:rsid w:val="006825F1"/>
    <w:rsid w:val="0068396F"/>
    <w:rsid w:val="006858F6"/>
    <w:rsid w:val="00686D57"/>
    <w:rsid w:val="00686FCC"/>
    <w:rsid w:val="0068761A"/>
    <w:rsid w:val="0068774C"/>
    <w:rsid w:val="006900E2"/>
    <w:rsid w:val="0069346B"/>
    <w:rsid w:val="006936F9"/>
    <w:rsid w:val="006944A7"/>
    <w:rsid w:val="00695434"/>
    <w:rsid w:val="0069648B"/>
    <w:rsid w:val="00696A79"/>
    <w:rsid w:val="006A2C05"/>
    <w:rsid w:val="006A34BE"/>
    <w:rsid w:val="006A5B07"/>
    <w:rsid w:val="006B0E7D"/>
    <w:rsid w:val="006B1A7B"/>
    <w:rsid w:val="006B20AA"/>
    <w:rsid w:val="006B2303"/>
    <w:rsid w:val="006B4812"/>
    <w:rsid w:val="006C0EC9"/>
    <w:rsid w:val="006C3379"/>
    <w:rsid w:val="006C6F2C"/>
    <w:rsid w:val="006D011F"/>
    <w:rsid w:val="006D3839"/>
    <w:rsid w:val="006D3F50"/>
    <w:rsid w:val="006D43C3"/>
    <w:rsid w:val="006D52B1"/>
    <w:rsid w:val="006D65B3"/>
    <w:rsid w:val="006D7EAB"/>
    <w:rsid w:val="006E1465"/>
    <w:rsid w:val="006E147C"/>
    <w:rsid w:val="006E14A0"/>
    <w:rsid w:val="006E45F1"/>
    <w:rsid w:val="006E5029"/>
    <w:rsid w:val="006E528B"/>
    <w:rsid w:val="006E61DF"/>
    <w:rsid w:val="006E76BE"/>
    <w:rsid w:val="006F0100"/>
    <w:rsid w:val="006F07A6"/>
    <w:rsid w:val="006F146C"/>
    <w:rsid w:val="006F42AA"/>
    <w:rsid w:val="006F4915"/>
    <w:rsid w:val="006F5548"/>
    <w:rsid w:val="006F64E1"/>
    <w:rsid w:val="006F64E6"/>
    <w:rsid w:val="00701EE2"/>
    <w:rsid w:val="00703853"/>
    <w:rsid w:val="0070388C"/>
    <w:rsid w:val="00704036"/>
    <w:rsid w:val="0070685A"/>
    <w:rsid w:val="0071007C"/>
    <w:rsid w:val="007102EC"/>
    <w:rsid w:val="00713A17"/>
    <w:rsid w:val="00713DAA"/>
    <w:rsid w:val="00714801"/>
    <w:rsid w:val="00714CFE"/>
    <w:rsid w:val="00722E3D"/>
    <w:rsid w:val="00723BF6"/>
    <w:rsid w:val="00723FDF"/>
    <w:rsid w:val="0072439D"/>
    <w:rsid w:val="00725E8F"/>
    <w:rsid w:val="00726F77"/>
    <w:rsid w:val="007303F8"/>
    <w:rsid w:val="00730D9F"/>
    <w:rsid w:val="00731BEB"/>
    <w:rsid w:val="00732E2B"/>
    <w:rsid w:val="007342F5"/>
    <w:rsid w:val="00736F23"/>
    <w:rsid w:val="007374AE"/>
    <w:rsid w:val="00737816"/>
    <w:rsid w:val="00737894"/>
    <w:rsid w:val="00737CE6"/>
    <w:rsid w:val="00737D0D"/>
    <w:rsid w:val="00740702"/>
    <w:rsid w:val="007414B3"/>
    <w:rsid w:val="007415EE"/>
    <w:rsid w:val="00741F8D"/>
    <w:rsid w:val="00744390"/>
    <w:rsid w:val="00747BB7"/>
    <w:rsid w:val="00747DEB"/>
    <w:rsid w:val="00751114"/>
    <w:rsid w:val="0075184F"/>
    <w:rsid w:val="00754559"/>
    <w:rsid w:val="00754E4F"/>
    <w:rsid w:val="0075609B"/>
    <w:rsid w:val="00757DCB"/>
    <w:rsid w:val="0076010D"/>
    <w:rsid w:val="007603C9"/>
    <w:rsid w:val="00760F5E"/>
    <w:rsid w:val="00760F7D"/>
    <w:rsid w:val="0076295A"/>
    <w:rsid w:val="0076391B"/>
    <w:rsid w:val="00764FA8"/>
    <w:rsid w:val="0076686C"/>
    <w:rsid w:val="007669D0"/>
    <w:rsid w:val="00767F03"/>
    <w:rsid w:val="00770273"/>
    <w:rsid w:val="00770324"/>
    <w:rsid w:val="007710BA"/>
    <w:rsid w:val="00772C41"/>
    <w:rsid w:val="007751E2"/>
    <w:rsid w:val="0077574D"/>
    <w:rsid w:val="00775F40"/>
    <w:rsid w:val="00775F61"/>
    <w:rsid w:val="00776A8E"/>
    <w:rsid w:val="00776B40"/>
    <w:rsid w:val="00783111"/>
    <w:rsid w:val="0078434F"/>
    <w:rsid w:val="00785A75"/>
    <w:rsid w:val="00786167"/>
    <w:rsid w:val="00786996"/>
    <w:rsid w:val="00787639"/>
    <w:rsid w:val="00790E5E"/>
    <w:rsid w:val="00793BB8"/>
    <w:rsid w:val="00795C6B"/>
    <w:rsid w:val="00795D4A"/>
    <w:rsid w:val="007964D2"/>
    <w:rsid w:val="007971CB"/>
    <w:rsid w:val="007A0E22"/>
    <w:rsid w:val="007A15E6"/>
    <w:rsid w:val="007A17E3"/>
    <w:rsid w:val="007A57E4"/>
    <w:rsid w:val="007B199B"/>
    <w:rsid w:val="007B3D5A"/>
    <w:rsid w:val="007B71FE"/>
    <w:rsid w:val="007C1952"/>
    <w:rsid w:val="007C222C"/>
    <w:rsid w:val="007C2D33"/>
    <w:rsid w:val="007C493D"/>
    <w:rsid w:val="007C5026"/>
    <w:rsid w:val="007C5307"/>
    <w:rsid w:val="007C70FB"/>
    <w:rsid w:val="007D0B07"/>
    <w:rsid w:val="007D120D"/>
    <w:rsid w:val="007D222B"/>
    <w:rsid w:val="007D2C44"/>
    <w:rsid w:val="007D5D4C"/>
    <w:rsid w:val="007D7BC1"/>
    <w:rsid w:val="007E04EC"/>
    <w:rsid w:val="007E0DC4"/>
    <w:rsid w:val="007E60D0"/>
    <w:rsid w:val="007E61EF"/>
    <w:rsid w:val="007E68F0"/>
    <w:rsid w:val="007F1A48"/>
    <w:rsid w:val="007F6BE1"/>
    <w:rsid w:val="00801545"/>
    <w:rsid w:val="00801CFC"/>
    <w:rsid w:val="00802500"/>
    <w:rsid w:val="008029B8"/>
    <w:rsid w:val="00802D85"/>
    <w:rsid w:val="00803BA6"/>
    <w:rsid w:val="00803FB3"/>
    <w:rsid w:val="0080518F"/>
    <w:rsid w:val="0080530D"/>
    <w:rsid w:val="00806058"/>
    <w:rsid w:val="00812A5F"/>
    <w:rsid w:val="0081398D"/>
    <w:rsid w:val="008143FE"/>
    <w:rsid w:val="00815552"/>
    <w:rsid w:val="00816623"/>
    <w:rsid w:val="00816DE1"/>
    <w:rsid w:val="008177E6"/>
    <w:rsid w:val="00817F2E"/>
    <w:rsid w:val="00823812"/>
    <w:rsid w:val="0082423F"/>
    <w:rsid w:val="00825D5D"/>
    <w:rsid w:val="00826E06"/>
    <w:rsid w:val="00827A78"/>
    <w:rsid w:val="00827B72"/>
    <w:rsid w:val="00827C34"/>
    <w:rsid w:val="00830A9C"/>
    <w:rsid w:val="008315EC"/>
    <w:rsid w:val="00832609"/>
    <w:rsid w:val="00832956"/>
    <w:rsid w:val="008364EE"/>
    <w:rsid w:val="00836EC2"/>
    <w:rsid w:val="00837BE1"/>
    <w:rsid w:val="008409D7"/>
    <w:rsid w:val="00842392"/>
    <w:rsid w:val="00843B5B"/>
    <w:rsid w:val="00844287"/>
    <w:rsid w:val="00845B0A"/>
    <w:rsid w:val="008473EF"/>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A94"/>
    <w:rsid w:val="00876DE9"/>
    <w:rsid w:val="00877EBE"/>
    <w:rsid w:val="00881BF7"/>
    <w:rsid w:val="008821BC"/>
    <w:rsid w:val="008824CF"/>
    <w:rsid w:val="00882ED1"/>
    <w:rsid w:val="008861A8"/>
    <w:rsid w:val="008861E8"/>
    <w:rsid w:val="00890EEB"/>
    <w:rsid w:val="0089391C"/>
    <w:rsid w:val="008939D5"/>
    <w:rsid w:val="008A003E"/>
    <w:rsid w:val="008A11C7"/>
    <w:rsid w:val="008A1398"/>
    <w:rsid w:val="008A30D2"/>
    <w:rsid w:val="008A3BB7"/>
    <w:rsid w:val="008A4FAC"/>
    <w:rsid w:val="008A6E0D"/>
    <w:rsid w:val="008A7E01"/>
    <w:rsid w:val="008B06F2"/>
    <w:rsid w:val="008B0D35"/>
    <w:rsid w:val="008B14CC"/>
    <w:rsid w:val="008B1F41"/>
    <w:rsid w:val="008B4139"/>
    <w:rsid w:val="008B4C0A"/>
    <w:rsid w:val="008B6993"/>
    <w:rsid w:val="008C0857"/>
    <w:rsid w:val="008C16F2"/>
    <w:rsid w:val="008C23DE"/>
    <w:rsid w:val="008C4432"/>
    <w:rsid w:val="008C4668"/>
    <w:rsid w:val="008C473C"/>
    <w:rsid w:val="008C56D1"/>
    <w:rsid w:val="008C7B0E"/>
    <w:rsid w:val="008D1B6B"/>
    <w:rsid w:val="008D2B11"/>
    <w:rsid w:val="008D333F"/>
    <w:rsid w:val="008D6799"/>
    <w:rsid w:val="008D72C7"/>
    <w:rsid w:val="008D7665"/>
    <w:rsid w:val="008D7E7E"/>
    <w:rsid w:val="008E1AEC"/>
    <w:rsid w:val="008E5022"/>
    <w:rsid w:val="008E5EBF"/>
    <w:rsid w:val="008E730C"/>
    <w:rsid w:val="008F0B2A"/>
    <w:rsid w:val="008F1260"/>
    <w:rsid w:val="008F2028"/>
    <w:rsid w:val="008F36F5"/>
    <w:rsid w:val="008F50F6"/>
    <w:rsid w:val="008F5396"/>
    <w:rsid w:val="008F630C"/>
    <w:rsid w:val="008F6FDB"/>
    <w:rsid w:val="008F712A"/>
    <w:rsid w:val="008F7BC2"/>
    <w:rsid w:val="00906C0A"/>
    <w:rsid w:val="0091201E"/>
    <w:rsid w:val="00912EA5"/>
    <w:rsid w:val="00913F6A"/>
    <w:rsid w:val="00915125"/>
    <w:rsid w:val="0091635C"/>
    <w:rsid w:val="009169F6"/>
    <w:rsid w:val="009172CC"/>
    <w:rsid w:val="009173EE"/>
    <w:rsid w:val="00917D4E"/>
    <w:rsid w:val="0092054F"/>
    <w:rsid w:val="00921118"/>
    <w:rsid w:val="00921D36"/>
    <w:rsid w:val="00924A7C"/>
    <w:rsid w:val="0092512F"/>
    <w:rsid w:val="00925DB3"/>
    <w:rsid w:val="0092630D"/>
    <w:rsid w:val="00926566"/>
    <w:rsid w:val="00930EA0"/>
    <w:rsid w:val="0093206D"/>
    <w:rsid w:val="0093356D"/>
    <w:rsid w:val="00933B41"/>
    <w:rsid w:val="0093544D"/>
    <w:rsid w:val="009356B4"/>
    <w:rsid w:val="009373AE"/>
    <w:rsid w:val="009413E6"/>
    <w:rsid w:val="009431BF"/>
    <w:rsid w:val="00943418"/>
    <w:rsid w:val="0094608F"/>
    <w:rsid w:val="00946262"/>
    <w:rsid w:val="009467F3"/>
    <w:rsid w:val="00947385"/>
    <w:rsid w:val="00952DBE"/>
    <w:rsid w:val="00953DB9"/>
    <w:rsid w:val="00954D9A"/>
    <w:rsid w:val="00955176"/>
    <w:rsid w:val="0095547A"/>
    <w:rsid w:val="00961866"/>
    <w:rsid w:val="00965A02"/>
    <w:rsid w:val="009672A6"/>
    <w:rsid w:val="0097251E"/>
    <w:rsid w:val="00973CF0"/>
    <w:rsid w:val="00975132"/>
    <w:rsid w:val="00975B2D"/>
    <w:rsid w:val="0097794A"/>
    <w:rsid w:val="00977E50"/>
    <w:rsid w:val="00980A97"/>
    <w:rsid w:val="00980B32"/>
    <w:rsid w:val="00981122"/>
    <w:rsid w:val="009815DB"/>
    <w:rsid w:val="00982C3E"/>
    <w:rsid w:val="00985B97"/>
    <w:rsid w:val="009867A4"/>
    <w:rsid w:val="009877B9"/>
    <w:rsid w:val="00987925"/>
    <w:rsid w:val="0099002E"/>
    <w:rsid w:val="00992155"/>
    <w:rsid w:val="0099219B"/>
    <w:rsid w:val="009940E0"/>
    <w:rsid w:val="009940E4"/>
    <w:rsid w:val="00997270"/>
    <w:rsid w:val="009A05B3"/>
    <w:rsid w:val="009A085A"/>
    <w:rsid w:val="009A18C3"/>
    <w:rsid w:val="009A2615"/>
    <w:rsid w:val="009A3E3D"/>
    <w:rsid w:val="009A47F4"/>
    <w:rsid w:val="009A543F"/>
    <w:rsid w:val="009A5BFA"/>
    <w:rsid w:val="009A650C"/>
    <w:rsid w:val="009A6C4C"/>
    <w:rsid w:val="009A794F"/>
    <w:rsid w:val="009B3246"/>
    <w:rsid w:val="009B3F88"/>
    <w:rsid w:val="009B4BEA"/>
    <w:rsid w:val="009B59BE"/>
    <w:rsid w:val="009C12C4"/>
    <w:rsid w:val="009C402D"/>
    <w:rsid w:val="009D15A0"/>
    <w:rsid w:val="009D16DD"/>
    <w:rsid w:val="009D4AB5"/>
    <w:rsid w:val="009E1392"/>
    <w:rsid w:val="009E36E3"/>
    <w:rsid w:val="009E3CFB"/>
    <w:rsid w:val="009E459E"/>
    <w:rsid w:val="009E47DA"/>
    <w:rsid w:val="009E59B1"/>
    <w:rsid w:val="009F275E"/>
    <w:rsid w:val="009F2DD8"/>
    <w:rsid w:val="009F3AAE"/>
    <w:rsid w:val="009F6803"/>
    <w:rsid w:val="00A0101C"/>
    <w:rsid w:val="00A02DF9"/>
    <w:rsid w:val="00A03231"/>
    <w:rsid w:val="00A04665"/>
    <w:rsid w:val="00A0517A"/>
    <w:rsid w:val="00A05FCD"/>
    <w:rsid w:val="00A06A5A"/>
    <w:rsid w:val="00A121CB"/>
    <w:rsid w:val="00A129FC"/>
    <w:rsid w:val="00A1335D"/>
    <w:rsid w:val="00A14E17"/>
    <w:rsid w:val="00A15A6A"/>
    <w:rsid w:val="00A162F3"/>
    <w:rsid w:val="00A217A0"/>
    <w:rsid w:val="00A228F7"/>
    <w:rsid w:val="00A25627"/>
    <w:rsid w:val="00A26548"/>
    <w:rsid w:val="00A27F81"/>
    <w:rsid w:val="00A31ED9"/>
    <w:rsid w:val="00A31F35"/>
    <w:rsid w:val="00A34702"/>
    <w:rsid w:val="00A42BCC"/>
    <w:rsid w:val="00A45068"/>
    <w:rsid w:val="00A45356"/>
    <w:rsid w:val="00A4590E"/>
    <w:rsid w:val="00A4618E"/>
    <w:rsid w:val="00A46534"/>
    <w:rsid w:val="00A47CA1"/>
    <w:rsid w:val="00A528CB"/>
    <w:rsid w:val="00A534E9"/>
    <w:rsid w:val="00A53781"/>
    <w:rsid w:val="00A53AD2"/>
    <w:rsid w:val="00A55396"/>
    <w:rsid w:val="00A5684F"/>
    <w:rsid w:val="00A60C59"/>
    <w:rsid w:val="00A60D82"/>
    <w:rsid w:val="00A60F56"/>
    <w:rsid w:val="00A62FA8"/>
    <w:rsid w:val="00A63B69"/>
    <w:rsid w:val="00A6597D"/>
    <w:rsid w:val="00A674BB"/>
    <w:rsid w:val="00A677E2"/>
    <w:rsid w:val="00A67DA7"/>
    <w:rsid w:val="00A716C2"/>
    <w:rsid w:val="00A7257D"/>
    <w:rsid w:val="00A734AC"/>
    <w:rsid w:val="00A75ADC"/>
    <w:rsid w:val="00A775DA"/>
    <w:rsid w:val="00A80468"/>
    <w:rsid w:val="00A81058"/>
    <w:rsid w:val="00A81421"/>
    <w:rsid w:val="00A83B80"/>
    <w:rsid w:val="00A840EF"/>
    <w:rsid w:val="00A84586"/>
    <w:rsid w:val="00A84809"/>
    <w:rsid w:val="00A84E50"/>
    <w:rsid w:val="00A84FF1"/>
    <w:rsid w:val="00A853D3"/>
    <w:rsid w:val="00A85D64"/>
    <w:rsid w:val="00A861B3"/>
    <w:rsid w:val="00A86D9A"/>
    <w:rsid w:val="00A87E86"/>
    <w:rsid w:val="00A9415D"/>
    <w:rsid w:val="00A96D79"/>
    <w:rsid w:val="00A9799B"/>
    <w:rsid w:val="00AA1129"/>
    <w:rsid w:val="00AA16C5"/>
    <w:rsid w:val="00AA6AD3"/>
    <w:rsid w:val="00AA6E66"/>
    <w:rsid w:val="00AA79CB"/>
    <w:rsid w:val="00AB0D2D"/>
    <w:rsid w:val="00AB1E31"/>
    <w:rsid w:val="00AB3E07"/>
    <w:rsid w:val="00AB3F98"/>
    <w:rsid w:val="00AB487F"/>
    <w:rsid w:val="00AB54CF"/>
    <w:rsid w:val="00AB74ED"/>
    <w:rsid w:val="00AB7F55"/>
    <w:rsid w:val="00AC2448"/>
    <w:rsid w:val="00AC2953"/>
    <w:rsid w:val="00AC29FC"/>
    <w:rsid w:val="00AC430B"/>
    <w:rsid w:val="00AC5D9F"/>
    <w:rsid w:val="00AC63A5"/>
    <w:rsid w:val="00AC798B"/>
    <w:rsid w:val="00AD1B89"/>
    <w:rsid w:val="00AD2211"/>
    <w:rsid w:val="00AD244C"/>
    <w:rsid w:val="00AD44CF"/>
    <w:rsid w:val="00AE23A7"/>
    <w:rsid w:val="00AE3C66"/>
    <w:rsid w:val="00AE3CA5"/>
    <w:rsid w:val="00AE7A78"/>
    <w:rsid w:val="00AE7B2A"/>
    <w:rsid w:val="00AF2898"/>
    <w:rsid w:val="00AF345B"/>
    <w:rsid w:val="00AF3AB1"/>
    <w:rsid w:val="00AF463B"/>
    <w:rsid w:val="00AF49BA"/>
    <w:rsid w:val="00AF4EA2"/>
    <w:rsid w:val="00AF53B4"/>
    <w:rsid w:val="00AF7030"/>
    <w:rsid w:val="00B01F0F"/>
    <w:rsid w:val="00B06CFE"/>
    <w:rsid w:val="00B10189"/>
    <w:rsid w:val="00B11970"/>
    <w:rsid w:val="00B121E6"/>
    <w:rsid w:val="00B139E0"/>
    <w:rsid w:val="00B14A6D"/>
    <w:rsid w:val="00B168E5"/>
    <w:rsid w:val="00B217EE"/>
    <w:rsid w:val="00B22E46"/>
    <w:rsid w:val="00B24530"/>
    <w:rsid w:val="00B245A2"/>
    <w:rsid w:val="00B2590B"/>
    <w:rsid w:val="00B26124"/>
    <w:rsid w:val="00B31B06"/>
    <w:rsid w:val="00B31D6C"/>
    <w:rsid w:val="00B32948"/>
    <w:rsid w:val="00B43374"/>
    <w:rsid w:val="00B5184E"/>
    <w:rsid w:val="00B53A40"/>
    <w:rsid w:val="00B545FC"/>
    <w:rsid w:val="00B54BB0"/>
    <w:rsid w:val="00B554D7"/>
    <w:rsid w:val="00B55B6D"/>
    <w:rsid w:val="00B570D4"/>
    <w:rsid w:val="00B57BFE"/>
    <w:rsid w:val="00B603FA"/>
    <w:rsid w:val="00B60555"/>
    <w:rsid w:val="00B617A6"/>
    <w:rsid w:val="00B63045"/>
    <w:rsid w:val="00B674D3"/>
    <w:rsid w:val="00B73CA7"/>
    <w:rsid w:val="00B73E0C"/>
    <w:rsid w:val="00B74223"/>
    <w:rsid w:val="00B7470A"/>
    <w:rsid w:val="00B75810"/>
    <w:rsid w:val="00B804E1"/>
    <w:rsid w:val="00B81A10"/>
    <w:rsid w:val="00B81CA0"/>
    <w:rsid w:val="00B81E78"/>
    <w:rsid w:val="00B828E6"/>
    <w:rsid w:val="00B83FCC"/>
    <w:rsid w:val="00B84DC8"/>
    <w:rsid w:val="00B854EA"/>
    <w:rsid w:val="00B86393"/>
    <w:rsid w:val="00B875CC"/>
    <w:rsid w:val="00B90EB3"/>
    <w:rsid w:val="00B91094"/>
    <w:rsid w:val="00B917AB"/>
    <w:rsid w:val="00B92B08"/>
    <w:rsid w:val="00B958DB"/>
    <w:rsid w:val="00B95949"/>
    <w:rsid w:val="00BA06FF"/>
    <w:rsid w:val="00BA1EF4"/>
    <w:rsid w:val="00BA3F60"/>
    <w:rsid w:val="00BA449A"/>
    <w:rsid w:val="00BA6A78"/>
    <w:rsid w:val="00BA76B0"/>
    <w:rsid w:val="00BA7B83"/>
    <w:rsid w:val="00BB2FF5"/>
    <w:rsid w:val="00BB443B"/>
    <w:rsid w:val="00BB70F2"/>
    <w:rsid w:val="00BC19B9"/>
    <w:rsid w:val="00BC1B88"/>
    <w:rsid w:val="00BC45BC"/>
    <w:rsid w:val="00BC4742"/>
    <w:rsid w:val="00BC62E3"/>
    <w:rsid w:val="00BC6862"/>
    <w:rsid w:val="00BD0C26"/>
    <w:rsid w:val="00BD485A"/>
    <w:rsid w:val="00BD49EB"/>
    <w:rsid w:val="00BD4F2F"/>
    <w:rsid w:val="00BD55FF"/>
    <w:rsid w:val="00BD6B48"/>
    <w:rsid w:val="00BD7B3D"/>
    <w:rsid w:val="00BE17CC"/>
    <w:rsid w:val="00BE1A7C"/>
    <w:rsid w:val="00BE1A87"/>
    <w:rsid w:val="00BE2EE1"/>
    <w:rsid w:val="00BE486A"/>
    <w:rsid w:val="00BF300D"/>
    <w:rsid w:val="00BF4B7D"/>
    <w:rsid w:val="00BF4B81"/>
    <w:rsid w:val="00BF57B3"/>
    <w:rsid w:val="00C01918"/>
    <w:rsid w:val="00C05680"/>
    <w:rsid w:val="00C05A18"/>
    <w:rsid w:val="00C06994"/>
    <w:rsid w:val="00C06D96"/>
    <w:rsid w:val="00C07366"/>
    <w:rsid w:val="00C10A1F"/>
    <w:rsid w:val="00C16C54"/>
    <w:rsid w:val="00C17136"/>
    <w:rsid w:val="00C17F25"/>
    <w:rsid w:val="00C209BC"/>
    <w:rsid w:val="00C223B7"/>
    <w:rsid w:val="00C2304E"/>
    <w:rsid w:val="00C2455A"/>
    <w:rsid w:val="00C27076"/>
    <w:rsid w:val="00C27CF6"/>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789"/>
    <w:rsid w:val="00C50DB8"/>
    <w:rsid w:val="00C525E8"/>
    <w:rsid w:val="00C558BD"/>
    <w:rsid w:val="00C55AA0"/>
    <w:rsid w:val="00C56D36"/>
    <w:rsid w:val="00C570A2"/>
    <w:rsid w:val="00C605CA"/>
    <w:rsid w:val="00C61BCD"/>
    <w:rsid w:val="00C62D56"/>
    <w:rsid w:val="00C63065"/>
    <w:rsid w:val="00C650C4"/>
    <w:rsid w:val="00C67642"/>
    <w:rsid w:val="00C70B5B"/>
    <w:rsid w:val="00C71A18"/>
    <w:rsid w:val="00C71F3C"/>
    <w:rsid w:val="00C74D5B"/>
    <w:rsid w:val="00C7573D"/>
    <w:rsid w:val="00C75B4A"/>
    <w:rsid w:val="00C76400"/>
    <w:rsid w:val="00C77A64"/>
    <w:rsid w:val="00C77D06"/>
    <w:rsid w:val="00C80A6C"/>
    <w:rsid w:val="00C81492"/>
    <w:rsid w:val="00C82340"/>
    <w:rsid w:val="00C824DE"/>
    <w:rsid w:val="00C82715"/>
    <w:rsid w:val="00C82E38"/>
    <w:rsid w:val="00C83FC7"/>
    <w:rsid w:val="00C84051"/>
    <w:rsid w:val="00C867D7"/>
    <w:rsid w:val="00C86D17"/>
    <w:rsid w:val="00C87A61"/>
    <w:rsid w:val="00C87B34"/>
    <w:rsid w:val="00C87B4E"/>
    <w:rsid w:val="00C90A63"/>
    <w:rsid w:val="00C919A2"/>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4155"/>
    <w:rsid w:val="00CB7436"/>
    <w:rsid w:val="00CB7619"/>
    <w:rsid w:val="00CC13A0"/>
    <w:rsid w:val="00CC4285"/>
    <w:rsid w:val="00CC4980"/>
    <w:rsid w:val="00CC4C82"/>
    <w:rsid w:val="00CC5641"/>
    <w:rsid w:val="00CD1F3D"/>
    <w:rsid w:val="00CD5944"/>
    <w:rsid w:val="00CD753F"/>
    <w:rsid w:val="00CE06CF"/>
    <w:rsid w:val="00CE1B8F"/>
    <w:rsid w:val="00CE3D17"/>
    <w:rsid w:val="00CE3E33"/>
    <w:rsid w:val="00CE4F34"/>
    <w:rsid w:val="00CE6A9D"/>
    <w:rsid w:val="00CE759F"/>
    <w:rsid w:val="00CF48DA"/>
    <w:rsid w:val="00D025C5"/>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2AFB"/>
    <w:rsid w:val="00D23759"/>
    <w:rsid w:val="00D23D3C"/>
    <w:rsid w:val="00D2423A"/>
    <w:rsid w:val="00D244B9"/>
    <w:rsid w:val="00D245AB"/>
    <w:rsid w:val="00D261A5"/>
    <w:rsid w:val="00D279E8"/>
    <w:rsid w:val="00D309A7"/>
    <w:rsid w:val="00D31866"/>
    <w:rsid w:val="00D31A5B"/>
    <w:rsid w:val="00D3271E"/>
    <w:rsid w:val="00D37BA5"/>
    <w:rsid w:val="00D410EC"/>
    <w:rsid w:val="00D41905"/>
    <w:rsid w:val="00D41D2C"/>
    <w:rsid w:val="00D436CA"/>
    <w:rsid w:val="00D43A58"/>
    <w:rsid w:val="00D43AB5"/>
    <w:rsid w:val="00D44CAC"/>
    <w:rsid w:val="00D45389"/>
    <w:rsid w:val="00D46566"/>
    <w:rsid w:val="00D47256"/>
    <w:rsid w:val="00D50B0A"/>
    <w:rsid w:val="00D54D96"/>
    <w:rsid w:val="00D55AD1"/>
    <w:rsid w:val="00D56B4E"/>
    <w:rsid w:val="00D57EC4"/>
    <w:rsid w:val="00D602CC"/>
    <w:rsid w:val="00D609C5"/>
    <w:rsid w:val="00D626D1"/>
    <w:rsid w:val="00D628CC"/>
    <w:rsid w:val="00D65838"/>
    <w:rsid w:val="00D66235"/>
    <w:rsid w:val="00D70B05"/>
    <w:rsid w:val="00D727EE"/>
    <w:rsid w:val="00D7366F"/>
    <w:rsid w:val="00D74536"/>
    <w:rsid w:val="00D75EE5"/>
    <w:rsid w:val="00D762C8"/>
    <w:rsid w:val="00D76C34"/>
    <w:rsid w:val="00D80429"/>
    <w:rsid w:val="00D816A5"/>
    <w:rsid w:val="00D8190A"/>
    <w:rsid w:val="00D86436"/>
    <w:rsid w:val="00D90418"/>
    <w:rsid w:val="00D90C20"/>
    <w:rsid w:val="00D915D7"/>
    <w:rsid w:val="00D926D0"/>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5F2D"/>
    <w:rsid w:val="00DB7A41"/>
    <w:rsid w:val="00DC01F1"/>
    <w:rsid w:val="00DC0EC6"/>
    <w:rsid w:val="00DC2C8F"/>
    <w:rsid w:val="00DC2D07"/>
    <w:rsid w:val="00DC2DB4"/>
    <w:rsid w:val="00DC4622"/>
    <w:rsid w:val="00DC4E8A"/>
    <w:rsid w:val="00DC58B1"/>
    <w:rsid w:val="00DC5FF4"/>
    <w:rsid w:val="00DD01F3"/>
    <w:rsid w:val="00DD2327"/>
    <w:rsid w:val="00DD23DF"/>
    <w:rsid w:val="00DD501A"/>
    <w:rsid w:val="00DD516C"/>
    <w:rsid w:val="00DD5CE3"/>
    <w:rsid w:val="00DD675B"/>
    <w:rsid w:val="00DE087D"/>
    <w:rsid w:val="00DE27BD"/>
    <w:rsid w:val="00DE6482"/>
    <w:rsid w:val="00DE6A25"/>
    <w:rsid w:val="00DF0BCA"/>
    <w:rsid w:val="00DF5F13"/>
    <w:rsid w:val="00DF7123"/>
    <w:rsid w:val="00E0099C"/>
    <w:rsid w:val="00E03E22"/>
    <w:rsid w:val="00E07B52"/>
    <w:rsid w:val="00E10CA2"/>
    <w:rsid w:val="00E122E3"/>
    <w:rsid w:val="00E13B6A"/>
    <w:rsid w:val="00E14A69"/>
    <w:rsid w:val="00E23A69"/>
    <w:rsid w:val="00E24688"/>
    <w:rsid w:val="00E251C3"/>
    <w:rsid w:val="00E25329"/>
    <w:rsid w:val="00E327C8"/>
    <w:rsid w:val="00E33654"/>
    <w:rsid w:val="00E3474D"/>
    <w:rsid w:val="00E430E1"/>
    <w:rsid w:val="00E46F9F"/>
    <w:rsid w:val="00E50FB4"/>
    <w:rsid w:val="00E525AA"/>
    <w:rsid w:val="00E53670"/>
    <w:rsid w:val="00E53930"/>
    <w:rsid w:val="00E55131"/>
    <w:rsid w:val="00E5533D"/>
    <w:rsid w:val="00E5598C"/>
    <w:rsid w:val="00E56BF9"/>
    <w:rsid w:val="00E60D60"/>
    <w:rsid w:val="00E61B35"/>
    <w:rsid w:val="00E61C19"/>
    <w:rsid w:val="00E64463"/>
    <w:rsid w:val="00E66191"/>
    <w:rsid w:val="00E662A1"/>
    <w:rsid w:val="00E66562"/>
    <w:rsid w:val="00E70A86"/>
    <w:rsid w:val="00E7113D"/>
    <w:rsid w:val="00E72870"/>
    <w:rsid w:val="00E72D1C"/>
    <w:rsid w:val="00E72EF8"/>
    <w:rsid w:val="00E73EC1"/>
    <w:rsid w:val="00E75E48"/>
    <w:rsid w:val="00E775DF"/>
    <w:rsid w:val="00E801D8"/>
    <w:rsid w:val="00E821BF"/>
    <w:rsid w:val="00E84C50"/>
    <w:rsid w:val="00E85653"/>
    <w:rsid w:val="00E90CD6"/>
    <w:rsid w:val="00E90E89"/>
    <w:rsid w:val="00E93C20"/>
    <w:rsid w:val="00E94339"/>
    <w:rsid w:val="00E94EB3"/>
    <w:rsid w:val="00E95D91"/>
    <w:rsid w:val="00E95F86"/>
    <w:rsid w:val="00E960CF"/>
    <w:rsid w:val="00E9617F"/>
    <w:rsid w:val="00E964E1"/>
    <w:rsid w:val="00E96D01"/>
    <w:rsid w:val="00EA0E98"/>
    <w:rsid w:val="00EA1ACB"/>
    <w:rsid w:val="00EA1FE1"/>
    <w:rsid w:val="00EA282E"/>
    <w:rsid w:val="00EA2E90"/>
    <w:rsid w:val="00EA3174"/>
    <w:rsid w:val="00EA3B75"/>
    <w:rsid w:val="00EA4847"/>
    <w:rsid w:val="00EA5762"/>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D5D2E"/>
    <w:rsid w:val="00EE2067"/>
    <w:rsid w:val="00EE22B0"/>
    <w:rsid w:val="00EE3CAB"/>
    <w:rsid w:val="00EE5287"/>
    <w:rsid w:val="00EE52C8"/>
    <w:rsid w:val="00EE57B4"/>
    <w:rsid w:val="00EE7FB8"/>
    <w:rsid w:val="00EF0733"/>
    <w:rsid w:val="00EF1424"/>
    <w:rsid w:val="00EF5320"/>
    <w:rsid w:val="00EF5BCA"/>
    <w:rsid w:val="00EF6749"/>
    <w:rsid w:val="00EF693C"/>
    <w:rsid w:val="00EF7621"/>
    <w:rsid w:val="00EF7A67"/>
    <w:rsid w:val="00F00A08"/>
    <w:rsid w:val="00F05812"/>
    <w:rsid w:val="00F107C6"/>
    <w:rsid w:val="00F11F04"/>
    <w:rsid w:val="00F13D41"/>
    <w:rsid w:val="00F13DB7"/>
    <w:rsid w:val="00F13F47"/>
    <w:rsid w:val="00F15C08"/>
    <w:rsid w:val="00F16CE1"/>
    <w:rsid w:val="00F17A82"/>
    <w:rsid w:val="00F22FFD"/>
    <w:rsid w:val="00F25609"/>
    <w:rsid w:val="00F265C9"/>
    <w:rsid w:val="00F26DF3"/>
    <w:rsid w:val="00F27518"/>
    <w:rsid w:val="00F27DEE"/>
    <w:rsid w:val="00F3091E"/>
    <w:rsid w:val="00F31468"/>
    <w:rsid w:val="00F32819"/>
    <w:rsid w:val="00F34ADD"/>
    <w:rsid w:val="00F35090"/>
    <w:rsid w:val="00F358EA"/>
    <w:rsid w:val="00F35B62"/>
    <w:rsid w:val="00F36BFC"/>
    <w:rsid w:val="00F370CF"/>
    <w:rsid w:val="00F37AAF"/>
    <w:rsid w:val="00F44180"/>
    <w:rsid w:val="00F4420F"/>
    <w:rsid w:val="00F44AEE"/>
    <w:rsid w:val="00F456DC"/>
    <w:rsid w:val="00F465DC"/>
    <w:rsid w:val="00F47D20"/>
    <w:rsid w:val="00F50BB0"/>
    <w:rsid w:val="00F51B06"/>
    <w:rsid w:val="00F535AB"/>
    <w:rsid w:val="00F537D1"/>
    <w:rsid w:val="00F53DE1"/>
    <w:rsid w:val="00F54994"/>
    <w:rsid w:val="00F60D75"/>
    <w:rsid w:val="00F61A93"/>
    <w:rsid w:val="00F649DE"/>
    <w:rsid w:val="00F65397"/>
    <w:rsid w:val="00F66B71"/>
    <w:rsid w:val="00F74532"/>
    <w:rsid w:val="00F74BA1"/>
    <w:rsid w:val="00F74E20"/>
    <w:rsid w:val="00F7527A"/>
    <w:rsid w:val="00F7595D"/>
    <w:rsid w:val="00F764DC"/>
    <w:rsid w:val="00F76AC7"/>
    <w:rsid w:val="00F77FE5"/>
    <w:rsid w:val="00F8067A"/>
    <w:rsid w:val="00F838A3"/>
    <w:rsid w:val="00F847AD"/>
    <w:rsid w:val="00F857B5"/>
    <w:rsid w:val="00F8756D"/>
    <w:rsid w:val="00F90026"/>
    <w:rsid w:val="00F904CC"/>
    <w:rsid w:val="00F91721"/>
    <w:rsid w:val="00F924CC"/>
    <w:rsid w:val="00F94A0E"/>
    <w:rsid w:val="00F94BBB"/>
    <w:rsid w:val="00F95B3C"/>
    <w:rsid w:val="00F95C43"/>
    <w:rsid w:val="00F97024"/>
    <w:rsid w:val="00FA0282"/>
    <w:rsid w:val="00FA0343"/>
    <w:rsid w:val="00FA1664"/>
    <w:rsid w:val="00FA3FE2"/>
    <w:rsid w:val="00FA49AE"/>
    <w:rsid w:val="00FB035A"/>
    <w:rsid w:val="00FB0EDB"/>
    <w:rsid w:val="00FB255B"/>
    <w:rsid w:val="00FB26FC"/>
    <w:rsid w:val="00FB33FA"/>
    <w:rsid w:val="00FB49CB"/>
    <w:rsid w:val="00FB56CE"/>
    <w:rsid w:val="00FB5CFF"/>
    <w:rsid w:val="00FB605B"/>
    <w:rsid w:val="00FB6BDC"/>
    <w:rsid w:val="00FB74EC"/>
    <w:rsid w:val="00FC1FCD"/>
    <w:rsid w:val="00FC20ED"/>
    <w:rsid w:val="00FC40CC"/>
    <w:rsid w:val="00FC5D9B"/>
    <w:rsid w:val="00FC747E"/>
    <w:rsid w:val="00FC7DDA"/>
    <w:rsid w:val="00FD1685"/>
    <w:rsid w:val="00FD17F8"/>
    <w:rsid w:val="00FD1B37"/>
    <w:rsid w:val="00FD1E95"/>
    <w:rsid w:val="00FD5A48"/>
    <w:rsid w:val="00FD68C9"/>
    <w:rsid w:val="00FD7C4B"/>
    <w:rsid w:val="00FE099C"/>
    <w:rsid w:val="00FE120E"/>
    <w:rsid w:val="00FE2223"/>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13398B4"/>
  <w15:docId w15:val="{4048670D-C5CB-4A94-8B61-DDD8D8A9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C71A18"/>
    <w:pPr>
      <w:numPr>
        <w:numId w:val="6"/>
      </w:numPr>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631657"/>
    <w:pPr>
      <w:keepNext/>
      <w:widowControl w:val="0"/>
      <w:tabs>
        <w:tab w:val="clear" w:pos="567"/>
      </w:tabs>
      <w:spacing w:before="1200" w:after="480" w:line="300" w:lineRule="exac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06/150671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3629-5D3C-489C-AFAB-ADC5BD2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3974</Words>
  <Characters>21863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25786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80</cp:revision>
  <dcterms:created xsi:type="dcterms:W3CDTF">2017-01-29T23:40:00Z</dcterms:created>
  <dcterms:modified xsi:type="dcterms:W3CDTF">2018-04-20T13:58:00Z</dcterms:modified>
</cp:coreProperties>
</file>