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341" w:rsidRPr="00713D60" w:rsidRDefault="00453393" w:rsidP="007B0D43">
      <w:pPr>
        <w:pStyle w:val="Chapitre"/>
        <w:keepNext w:val="0"/>
        <w:keepLines w:val="0"/>
        <w:contextualSpacing/>
        <w:rPr>
          <w:noProof w:val="0"/>
          <w:spacing w:val="5"/>
          <w:lang w:val="fr-FR"/>
        </w:rPr>
      </w:pPr>
      <w:bookmarkStart w:id="0" w:name="_Toc154220417"/>
      <w:bookmarkStart w:id="1" w:name="_Toc302374671"/>
      <w:bookmarkStart w:id="2" w:name="_Toc241644684"/>
      <w:r w:rsidRPr="00713D60">
        <w:rPr>
          <w:noProof w:val="0"/>
          <w:spacing w:val="5"/>
          <w:lang w:val="fr-FR"/>
        </w:rPr>
        <w:t>unité 17</w:t>
      </w:r>
    </w:p>
    <w:p w:rsidR="003757E3" w:rsidRDefault="00453393" w:rsidP="00713D60">
      <w:pPr>
        <w:pStyle w:val="UPlan"/>
        <w:rPr>
          <w:lang w:val="fr-FR"/>
        </w:rPr>
      </w:pPr>
      <w:r w:rsidRPr="00713D60">
        <w:rPr>
          <w:lang w:val="fr-FR"/>
        </w:rPr>
        <w:t>RATIFICATION DE LA CONVENTION</w:t>
      </w:r>
    </w:p>
    <w:p w:rsidR="00EE2AA6" w:rsidRPr="00325834" w:rsidRDefault="00EE2AA6" w:rsidP="00EE2AA6">
      <w:pPr>
        <w:tabs>
          <w:tab w:val="clear" w:pos="567"/>
        </w:tabs>
        <w:snapToGrid/>
        <w:spacing w:before="480"/>
        <w:jc w:val="left"/>
        <w:rPr>
          <w:rFonts w:eastAsia="Times New Roman"/>
          <w:szCs w:val="22"/>
          <w:lang w:val="fr-FR" w:eastAsia="pt-BR"/>
        </w:rPr>
      </w:pPr>
      <w:r w:rsidRPr="00325834">
        <w:rPr>
          <w:rFonts w:eastAsia="Times New Roman"/>
          <w:szCs w:val="22"/>
          <w:lang w:val="fr-FR" w:eastAsia="pt-BR"/>
        </w:rPr>
        <w:t xml:space="preserve">Publié en </w:t>
      </w:r>
      <w:r w:rsidR="00614FD4">
        <w:rPr>
          <w:rFonts w:eastAsia="Times New Roman"/>
          <w:szCs w:val="22"/>
          <w:lang w:val="fr-FR" w:eastAsia="pt-BR"/>
        </w:rPr>
        <w:t>2016</w:t>
      </w:r>
      <w:r w:rsidRPr="00325834">
        <w:rPr>
          <w:rFonts w:eastAsia="Times New Roman"/>
          <w:szCs w:val="22"/>
          <w:lang w:val="fr-FR" w:eastAsia="pt-BR"/>
        </w:rPr>
        <w:t xml:space="preserve"> par l’Organisation des Nations Unie</w:t>
      </w:r>
      <w:bookmarkStart w:id="3" w:name="_GoBack"/>
      <w:bookmarkEnd w:id="3"/>
      <w:r w:rsidRPr="00325834">
        <w:rPr>
          <w:rFonts w:eastAsia="Times New Roman"/>
          <w:szCs w:val="22"/>
          <w:lang w:val="fr-FR" w:eastAsia="pt-BR"/>
        </w:rPr>
        <w:t xml:space="preserve">s pour l’éducation, la science et la culture </w:t>
      </w:r>
    </w:p>
    <w:p w:rsidR="00EE2AA6" w:rsidRPr="00325834" w:rsidRDefault="00EE2AA6" w:rsidP="00EE2AA6">
      <w:pPr>
        <w:autoSpaceDE w:val="0"/>
        <w:autoSpaceDN w:val="0"/>
        <w:adjustRightInd w:val="0"/>
        <w:rPr>
          <w:szCs w:val="22"/>
          <w:lang w:val="fr-FR"/>
        </w:rPr>
      </w:pPr>
      <w:r w:rsidRPr="00325834">
        <w:rPr>
          <w:szCs w:val="22"/>
          <w:lang w:val="fr-FR"/>
        </w:rPr>
        <w:t>7, place de Fontenoy, 75352 Paris 07 SP, France</w:t>
      </w:r>
    </w:p>
    <w:p w:rsidR="00EE2AA6" w:rsidRPr="00325834" w:rsidRDefault="00EE2AA6" w:rsidP="00EE2AA6">
      <w:pPr>
        <w:autoSpaceDE w:val="0"/>
        <w:autoSpaceDN w:val="0"/>
        <w:adjustRightInd w:val="0"/>
        <w:rPr>
          <w:szCs w:val="22"/>
          <w:lang w:val="fr-FR"/>
        </w:rPr>
      </w:pPr>
    </w:p>
    <w:p w:rsidR="00EE2AA6" w:rsidRPr="0063660E" w:rsidRDefault="00EE2AA6" w:rsidP="00EE2AA6">
      <w:pPr>
        <w:autoSpaceDE w:val="0"/>
        <w:autoSpaceDN w:val="0"/>
        <w:adjustRightInd w:val="0"/>
        <w:rPr>
          <w:szCs w:val="22"/>
          <w:lang w:val="fr-FR"/>
        </w:rPr>
      </w:pPr>
      <w:r w:rsidRPr="0063660E">
        <w:rPr>
          <w:szCs w:val="22"/>
          <w:lang w:val="fr-FR"/>
        </w:rPr>
        <w:t xml:space="preserve">© UNESCO </w:t>
      </w:r>
      <w:r w:rsidR="00614FD4">
        <w:rPr>
          <w:szCs w:val="22"/>
          <w:lang w:val="fr-FR"/>
        </w:rPr>
        <w:t>2016</w:t>
      </w:r>
    </w:p>
    <w:p w:rsidR="00EE2AA6" w:rsidRPr="0063660E" w:rsidRDefault="00EE2AA6" w:rsidP="00EE2AA6">
      <w:pPr>
        <w:autoSpaceDE w:val="0"/>
        <w:autoSpaceDN w:val="0"/>
        <w:adjustRightInd w:val="0"/>
        <w:rPr>
          <w:szCs w:val="22"/>
          <w:lang w:val="fr-FR"/>
        </w:rPr>
      </w:pPr>
      <w:r w:rsidRPr="00CA0F44">
        <w:rPr>
          <w:noProof/>
          <w:szCs w:val="22"/>
          <w:lang w:val="fr-FR" w:eastAsia="zh-TW"/>
        </w:rPr>
        <w:drawing>
          <wp:anchor distT="0" distB="0" distL="114300" distR="114300" simplePos="0" relativeHeight="251666432" behindDoc="0" locked="0" layoutInCell="1" allowOverlap="1" wp14:anchorId="36E667EC" wp14:editId="402DA798">
            <wp:simplePos x="0" y="0"/>
            <wp:positionH relativeFrom="column">
              <wp:posOffset>-3810</wp:posOffset>
            </wp:positionH>
            <wp:positionV relativeFrom="paragraph">
              <wp:posOffset>202565</wp:posOffset>
            </wp:positionV>
            <wp:extent cx="756285" cy="265430"/>
            <wp:effectExtent l="0" t="0" r="5715"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285" cy="265430"/>
                    </a:xfrm>
                    <a:prstGeom prst="rect">
                      <a:avLst/>
                    </a:prstGeom>
                  </pic:spPr>
                </pic:pic>
              </a:graphicData>
            </a:graphic>
            <wp14:sizeRelH relativeFrom="page">
              <wp14:pctWidth>0</wp14:pctWidth>
            </wp14:sizeRelH>
            <wp14:sizeRelV relativeFrom="page">
              <wp14:pctHeight>0</wp14:pctHeight>
            </wp14:sizeRelV>
          </wp:anchor>
        </w:drawing>
      </w:r>
    </w:p>
    <w:p w:rsidR="00EE2AA6" w:rsidRDefault="00EE2AA6" w:rsidP="00EE2AA6">
      <w:pPr>
        <w:autoSpaceDE w:val="0"/>
        <w:autoSpaceDN w:val="0"/>
        <w:adjustRightInd w:val="0"/>
        <w:rPr>
          <w:szCs w:val="22"/>
          <w:lang w:val="fr-FR"/>
        </w:rPr>
      </w:pPr>
    </w:p>
    <w:p w:rsidR="00EE2AA6" w:rsidRPr="00325834" w:rsidRDefault="00EE2AA6" w:rsidP="00EE2AA6">
      <w:pPr>
        <w:autoSpaceDE w:val="0"/>
        <w:autoSpaceDN w:val="0"/>
        <w:adjustRightInd w:val="0"/>
        <w:rPr>
          <w:szCs w:val="22"/>
          <w:lang w:val="fr-FR"/>
        </w:rPr>
      </w:pPr>
      <w:r w:rsidRPr="00325834">
        <w:rPr>
          <w:szCs w:val="22"/>
          <w:lang w:val="fr-FR"/>
        </w:rPr>
        <w:t>Œuvre publiée en libre accès sous la licence Attribution-</w:t>
      </w:r>
      <w:proofErr w:type="spellStart"/>
      <w:r w:rsidRPr="00325834">
        <w:rPr>
          <w:szCs w:val="22"/>
          <w:lang w:val="fr-FR"/>
        </w:rPr>
        <w:t>ShareAlike</w:t>
      </w:r>
      <w:proofErr w:type="spellEnd"/>
      <w:r w:rsidRPr="00325834">
        <w:rPr>
          <w:szCs w:val="22"/>
          <w:lang w:val="fr-FR"/>
        </w:rPr>
        <w:t xml:space="preserve"> 3.0 IGO (CC-BY-SA 3.0 IGO) (</w:t>
      </w:r>
      <w:r w:rsidR="00614FD4">
        <w:fldChar w:fldCharType="begin"/>
      </w:r>
      <w:r w:rsidR="00614FD4" w:rsidRPr="00614FD4">
        <w:rPr>
          <w:lang w:val="fr-FR"/>
        </w:rPr>
        <w:instrText xml:space="preserve"> HYPERLINK "http://creativecommons.org/licenses/by-sa/3.0/igo/" </w:instrText>
      </w:r>
      <w:r w:rsidR="00614FD4">
        <w:fldChar w:fldCharType="separate"/>
      </w:r>
      <w:r w:rsidRPr="00325834">
        <w:rPr>
          <w:szCs w:val="22"/>
          <w:lang w:val="fr-FR"/>
        </w:rPr>
        <w:t>http://creativecommons.org/licenses/by-sa/3.0/igo/</w:t>
      </w:r>
      <w:r w:rsidR="00614FD4">
        <w:rPr>
          <w:szCs w:val="22"/>
          <w:lang w:val="fr-FR"/>
        </w:rPr>
        <w:fldChar w:fldCharType="end"/>
      </w:r>
      <w:r w:rsidRPr="00325834">
        <w:rPr>
          <w:szCs w:val="22"/>
          <w:lang w:val="fr-FR"/>
        </w:rPr>
        <w:t>). Les utilisateurs du contenu de la présente publication acceptent les termes d’utilisation de l’Archive ouverte de libre accès UNESCO (</w:t>
      </w:r>
      <w:r w:rsidR="00614FD4">
        <w:fldChar w:fldCharType="begin"/>
      </w:r>
      <w:r w:rsidR="00614FD4" w:rsidRPr="00614FD4">
        <w:rPr>
          <w:lang w:val="fr-FR"/>
        </w:rPr>
        <w:instrText xml:space="preserve"> HYPERLINK "http://www.unesco.org/open-access/terms-use-ccbysa-fr" </w:instrText>
      </w:r>
      <w:r w:rsidR="00614FD4">
        <w:fldChar w:fldCharType="separate"/>
      </w:r>
      <w:r w:rsidRPr="00325834">
        <w:rPr>
          <w:szCs w:val="22"/>
          <w:lang w:val="fr-FR"/>
        </w:rPr>
        <w:t>www.unesco.org/open-access/terms-use-ccbysa-fr</w:t>
      </w:r>
      <w:r w:rsidR="00614FD4">
        <w:rPr>
          <w:szCs w:val="22"/>
          <w:lang w:val="fr-FR"/>
        </w:rPr>
        <w:fldChar w:fldCharType="end"/>
      </w:r>
      <w:r w:rsidRPr="00325834">
        <w:rPr>
          <w:szCs w:val="22"/>
          <w:lang w:val="fr-FR"/>
        </w:rPr>
        <w:t>).</w:t>
      </w:r>
    </w:p>
    <w:p w:rsidR="00EE2AA6" w:rsidRPr="00325834" w:rsidRDefault="00EE2AA6" w:rsidP="00EE2AA6">
      <w:pPr>
        <w:autoSpaceDE w:val="0"/>
        <w:autoSpaceDN w:val="0"/>
        <w:adjustRightInd w:val="0"/>
        <w:rPr>
          <w:szCs w:val="22"/>
          <w:lang w:val="fr-FR"/>
        </w:rPr>
      </w:pPr>
      <w:r w:rsidRPr="00325834">
        <w:rPr>
          <w:szCs w:val="22"/>
          <w:lang w:val="fr-FR"/>
        </w:rPr>
        <w:t xml:space="preserve">Les images dans cette publication ne sont pas couvertes par la licence CC-BY-SA et ne peuvent en aucune façon être commercialisées ou reproduites sans l’autorisation expresse des détenteurs des droits de reproduction. </w:t>
      </w:r>
    </w:p>
    <w:p w:rsidR="00EE2AA6" w:rsidRPr="00325834" w:rsidRDefault="00EE2AA6" w:rsidP="00EE2AA6">
      <w:pPr>
        <w:autoSpaceDE w:val="0"/>
        <w:autoSpaceDN w:val="0"/>
        <w:adjustRightInd w:val="0"/>
        <w:rPr>
          <w:szCs w:val="22"/>
          <w:lang w:val="fr-FR"/>
        </w:rPr>
      </w:pPr>
    </w:p>
    <w:p w:rsidR="00EE2AA6" w:rsidRPr="00614FD4" w:rsidRDefault="00EE2AA6" w:rsidP="00EE2AA6">
      <w:pPr>
        <w:autoSpaceDE w:val="0"/>
        <w:autoSpaceDN w:val="0"/>
        <w:adjustRightInd w:val="0"/>
        <w:rPr>
          <w:szCs w:val="22"/>
          <w:lang w:val="fr-FR"/>
        </w:rPr>
      </w:pPr>
      <w:r w:rsidRPr="00614FD4">
        <w:rPr>
          <w:szCs w:val="22"/>
          <w:lang w:val="fr-FR"/>
        </w:rPr>
        <w:t>Titre original : Ratifying the convention</w:t>
      </w:r>
    </w:p>
    <w:p w:rsidR="00EE2AA6" w:rsidRPr="00325834" w:rsidRDefault="00EE2AA6" w:rsidP="00EE2AA6">
      <w:pPr>
        <w:autoSpaceDE w:val="0"/>
        <w:autoSpaceDN w:val="0"/>
        <w:adjustRightInd w:val="0"/>
        <w:rPr>
          <w:szCs w:val="22"/>
          <w:lang w:val="fr-FR"/>
        </w:rPr>
      </w:pPr>
      <w:r w:rsidRPr="00325834">
        <w:rPr>
          <w:szCs w:val="22"/>
          <w:lang w:val="fr-FR"/>
        </w:rPr>
        <w:t xml:space="preserve">Publié en </w:t>
      </w:r>
      <w:r w:rsidR="00614FD4">
        <w:rPr>
          <w:szCs w:val="22"/>
          <w:lang w:val="fr-FR"/>
        </w:rPr>
        <w:t>2016</w:t>
      </w:r>
      <w:r w:rsidRPr="00325834">
        <w:rPr>
          <w:szCs w:val="22"/>
          <w:lang w:val="fr-FR"/>
        </w:rPr>
        <w:t xml:space="preserve"> par l’Organisation des Nations Unies pour l’éducation, la science et la culture </w:t>
      </w:r>
    </w:p>
    <w:p w:rsidR="00EE2AA6" w:rsidRPr="00325834" w:rsidRDefault="00EE2AA6" w:rsidP="00EE2AA6">
      <w:pPr>
        <w:autoSpaceDE w:val="0"/>
        <w:autoSpaceDN w:val="0"/>
        <w:adjustRightInd w:val="0"/>
        <w:rPr>
          <w:szCs w:val="22"/>
          <w:lang w:val="fr-FR"/>
        </w:rPr>
      </w:pPr>
    </w:p>
    <w:p w:rsidR="00EE2AA6" w:rsidRPr="00325834" w:rsidRDefault="00EE2AA6" w:rsidP="00EE2AA6">
      <w:pPr>
        <w:autoSpaceDE w:val="0"/>
        <w:autoSpaceDN w:val="0"/>
        <w:adjustRightInd w:val="0"/>
        <w:rPr>
          <w:szCs w:val="22"/>
          <w:lang w:val="fr-FR"/>
        </w:rPr>
      </w:pPr>
      <w:r w:rsidRPr="00325834">
        <w:rPr>
          <w:szCs w:val="22"/>
          <w:lang w:val="fr-FR"/>
        </w:rPr>
        <w:t>Les désignations employées dans cette publication et la présentation des données qui y figurent n’impliquent de la part de l’UNESCO aucune prise de position quant au statut juridique des pays, territoires, villes ou zones, ou de leurs autorités, ni quant au tracé de leurs frontières ou limites.</w:t>
      </w:r>
    </w:p>
    <w:p w:rsidR="00EE2AA6" w:rsidRPr="00325834" w:rsidRDefault="00EE2AA6" w:rsidP="00EE2AA6">
      <w:pPr>
        <w:autoSpaceDE w:val="0"/>
        <w:autoSpaceDN w:val="0"/>
        <w:adjustRightInd w:val="0"/>
        <w:rPr>
          <w:szCs w:val="22"/>
          <w:lang w:val="fr-FR"/>
        </w:rPr>
      </w:pPr>
    </w:p>
    <w:p w:rsidR="00EE2AA6" w:rsidRPr="00EE2AA6" w:rsidRDefault="00EE2AA6" w:rsidP="00EE2AA6">
      <w:pPr>
        <w:autoSpaceDE w:val="0"/>
        <w:autoSpaceDN w:val="0"/>
        <w:adjustRightInd w:val="0"/>
        <w:rPr>
          <w:szCs w:val="22"/>
          <w:lang w:val="fr-FR"/>
        </w:rPr>
      </w:pPr>
      <w:r w:rsidRPr="00325834">
        <w:rPr>
          <w:szCs w:val="22"/>
          <w:lang w:val="fr-FR"/>
        </w:rPr>
        <w:t>Les idées et les opinions exprimées dans cette publication sont celles des auteurs ; elles ne reflètent pas nécessairement les points de vue de l’UNESCO et n’engagent en aucune façon l’Organisation.</w:t>
      </w:r>
      <w:r>
        <w:rPr>
          <w:szCs w:val="22"/>
          <w:lang w:val="fr-FR"/>
        </w:rPr>
        <w:br w:type="page"/>
      </w:r>
    </w:p>
    <w:p w:rsidR="003757E3" w:rsidRPr="00713D60" w:rsidRDefault="00453393" w:rsidP="00713D60">
      <w:pPr>
        <w:pStyle w:val="Titcoul"/>
        <w:rPr>
          <w:lang w:val="fr-FR"/>
        </w:rPr>
      </w:pPr>
      <w:r w:rsidRPr="00713D60">
        <w:rPr>
          <w:lang w:val="fr-FR"/>
        </w:rPr>
        <w:lastRenderedPageBreak/>
        <w:t>plan de cours</w:t>
      </w:r>
    </w:p>
    <w:p w:rsidR="00BE5AB3" w:rsidRPr="002A4594" w:rsidRDefault="00453393" w:rsidP="00BE5AB3">
      <w:pPr>
        <w:pBdr>
          <w:top w:val="single" w:sz="12" w:space="6" w:color="auto"/>
          <w:left w:val="single" w:sz="12" w:space="4" w:color="auto"/>
          <w:bottom w:val="single" w:sz="12" w:space="6" w:color="auto"/>
          <w:right w:val="single" w:sz="12" w:space="4" w:color="auto"/>
        </w:pBdr>
        <w:tabs>
          <w:tab w:val="left" w:pos="6853"/>
        </w:tabs>
        <w:rPr>
          <w:b/>
          <w:sz w:val="20"/>
          <w:szCs w:val="20"/>
          <w:lang w:val="fr-FR"/>
        </w:rPr>
      </w:pPr>
      <w:r w:rsidRPr="00713D60">
        <w:rPr>
          <w:b/>
          <w:sz w:val="20"/>
          <w:szCs w:val="20"/>
          <w:lang w:val="fr-FR"/>
        </w:rPr>
        <w:t>DURÉE :</w:t>
      </w:r>
    </w:p>
    <w:p w:rsidR="00BE5AB3" w:rsidRPr="00713D60" w:rsidRDefault="00453393" w:rsidP="00BE5AB3">
      <w:pPr>
        <w:pBdr>
          <w:top w:val="single" w:sz="12" w:space="6" w:color="auto"/>
          <w:left w:val="single" w:sz="12" w:space="4" w:color="auto"/>
          <w:bottom w:val="single" w:sz="12" w:space="6" w:color="auto"/>
          <w:right w:val="single" w:sz="12" w:space="4" w:color="auto"/>
        </w:pBdr>
        <w:tabs>
          <w:tab w:val="left" w:pos="6853"/>
        </w:tabs>
        <w:rPr>
          <w:sz w:val="20"/>
          <w:szCs w:val="20"/>
          <w:lang w:val="fr-FR"/>
        </w:rPr>
      </w:pPr>
      <w:r w:rsidRPr="00713D60">
        <w:rPr>
          <w:sz w:val="20"/>
          <w:szCs w:val="20"/>
          <w:lang w:val="fr-FR"/>
        </w:rPr>
        <w:t>2 heures 30</w:t>
      </w:r>
    </w:p>
    <w:p w:rsidR="00BE5AB3" w:rsidRPr="002A4594" w:rsidRDefault="003757E3" w:rsidP="00713D60">
      <w:pPr>
        <w:pBdr>
          <w:top w:val="single" w:sz="12" w:space="6" w:color="auto"/>
          <w:left w:val="single" w:sz="12" w:space="4" w:color="auto"/>
          <w:bottom w:val="single" w:sz="12" w:space="6" w:color="auto"/>
          <w:right w:val="single" w:sz="12" w:space="4" w:color="auto"/>
        </w:pBdr>
        <w:tabs>
          <w:tab w:val="left" w:pos="6853"/>
        </w:tabs>
        <w:spacing w:before="360"/>
        <w:rPr>
          <w:b/>
          <w:sz w:val="20"/>
          <w:szCs w:val="20"/>
          <w:lang w:val="fr-FR"/>
        </w:rPr>
      </w:pPr>
      <w:r w:rsidRPr="00713D60">
        <w:rPr>
          <w:i/>
          <w:noProof/>
          <w:snapToGrid/>
          <w:sz w:val="20"/>
          <w:szCs w:val="20"/>
          <w:lang w:val="fr-FR" w:eastAsia="zh-TW"/>
        </w:rPr>
        <w:drawing>
          <wp:anchor distT="0" distB="0" distL="114300" distR="114300" simplePos="0" relativeHeight="251660288" behindDoc="1" locked="1" layoutInCell="1" allowOverlap="0" wp14:anchorId="59D0EB09" wp14:editId="3ED5A058">
            <wp:simplePos x="0" y="0"/>
            <wp:positionH relativeFrom="margin">
              <wp:posOffset>431800</wp:posOffset>
            </wp:positionH>
            <wp:positionV relativeFrom="margin">
              <wp:posOffset>1980565</wp:posOffset>
            </wp:positionV>
            <wp:extent cx="4870450" cy="4498340"/>
            <wp:effectExtent l="0" t="0" r="635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89"/>
                    <pic:cNvPicPr>
                      <a:picLocks noChangeAspect="1" noChangeArrowheads="1"/>
                    </pic:cNvPicPr>
                  </pic:nvPicPr>
                  <pic:blipFill>
                    <a:blip r:embed="rId11">
                      <a:alphaModFix amt="13000"/>
                      <a:extLst>
                        <a:ext uri="{28A0092B-C50C-407E-A947-70E740481C1C}">
                          <a14:useLocalDpi xmlns:a14="http://schemas.microsoft.com/office/drawing/2010/main" val="0"/>
                        </a:ext>
                      </a:extLst>
                    </a:blip>
                    <a:srcRect/>
                    <a:stretch>
                      <a:fillRect/>
                    </a:stretch>
                  </pic:blipFill>
                  <pic:spPr bwMode="auto">
                    <a:xfrm>
                      <a:off x="0" y="0"/>
                      <a:ext cx="4870450" cy="4498340"/>
                    </a:xfrm>
                    <a:prstGeom prst="rect">
                      <a:avLst/>
                    </a:prstGeom>
                    <a:noFill/>
                    <a:ln>
                      <a:noFill/>
                    </a:ln>
                  </pic:spPr>
                </pic:pic>
              </a:graphicData>
            </a:graphic>
          </wp:anchor>
        </w:drawing>
      </w:r>
      <w:r w:rsidR="00453393" w:rsidRPr="00713D60">
        <w:rPr>
          <w:b/>
          <w:sz w:val="20"/>
          <w:szCs w:val="20"/>
          <w:lang w:val="fr-FR"/>
        </w:rPr>
        <w:t>OBJECTIF(S) :</w:t>
      </w:r>
    </w:p>
    <w:p w:rsidR="00BC6FE2" w:rsidRPr="002A4594" w:rsidDel="00BC6FE2" w:rsidRDefault="00453393" w:rsidP="007B0D43">
      <w:pPr>
        <w:pBdr>
          <w:top w:val="single" w:sz="12" w:space="6" w:color="auto"/>
          <w:left w:val="single" w:sz="12" w:space="4" w:color="auto"/>
          <w:bottom w:val="single" w:sz="12" w:space="6" w:color="auto"/>
          <w:right w:val="single" w:sz="12" w:space="4" w:color="auto"/>
        </w:pBdr>
        <w:tabs>
          <w:tab w:val="left" w:pos="6853"/>
        </w:tabs>
        <w:spacing w:before="0" w:after="60" w:line="280" w:lineRule="exact"/>
        <w:rPr>
          <w:sz w:val="20"/>
          <w:szCs w:val="20"/>
          <w:lang w:val="fr-FR"/>
        </w:rPr>
      </w:pPr>
      <w:r w:rsidRPr="00713D60">
        <w:rPr>
          <w:sz w:val="20"/>
          <w:szCs w:val="20"/>
          <w:lang w:val="fr-FR"/>
        </w:rPr>
        <w:t>Mieux comprendre le processus de ratification de la Convention pour la sauvegarde du patrimoine culturel immatériel</w:t>
      </w:r>
      <w:r w:rsidRPr="00713D60">
        <w:rPr>
          <w:rStyle w:val="FootnoteReference"/>
          <w:szCs w:val="20"/>
          <w:lang w:val="fr-FR"/>
        </w:rPr>
        <w:footnoteReference w:customMarkFollows="1" w:id="1"/>
        <w:t>1</w:t>
      </w:r>
      <w:r w:rsidRPr="00713D60">
        <w:rPr>
          <w:sz w:val="20"/>
          <w:szCs w:val="20"/>
          <w:lang w:val="fr-FR"/>
        </w:rPr>
        <w:t>. Examiner les diverses stratégies de ratification adoptées par les États parties à travers les exemples précis de plusieurs pays. À la fin de l’atelier, les participants devraient être en mesure d’identifier les stratégies et les enjeux liés à la ratification de la Convention par leur pays, mais aussi de discuter de la façon de mettre en œuvre ces stratégies et de relever ces défis</w:t>
      </w:r>
      <w:r w:rsidR="006A6895">
        <w:rPr>
          <w:sz w:val="20"/>
          <w:szCs w:val="20"/>
          <w:lang w:val="fr-FR"/>
        </w:rPr>
        <w:t>.</w:t>
      </w:r>
    </w:p>
    <w:p w:rsidR="00BE5AB3" w:rsidRPr="002A4594" w:rsidRDefault="00453393" w:rsidP="00713D60">
      <w:pPr>
        <w:pBdr>
          <w:top w:val="single" w:sz="12" w:space="6" w:color="auto"/>
          <w:left w:val="single" w:sz="12" w:space="4" w:color="auto"/>
          <w:bottom w:val="single" w:sz="12" w:space="6" w:color="auto"/>
          <w:right w:val="single" w:sz="12" w:space="4" w:color="auto"/>
        </w:pBdr>
        <w:tabs>
          <w:tab w:val="left" w:pos="6853"/>
        </w:tabs>
        <w:spacing w:before="480"/>
        <w:rPr>
          <w:b/>
          <w:sz w:val="20"/>
          <w:szCs w:val="20"/>
          <w:lang w:val="fr-FR"/>
        </w:rPr>
      </w:pPr>
      <w:r w:rsidRPr="00713D60">
        <w:rPr>
          <w:b/>
          <w:sz w:val="20"/>
          <w:szCs w:val="20"/>
          <w:lang w:val="fr-FR"/>
        </w:rPr>
        <w:t>DESCRIPTION :</w:t>
      </w:r>
    </w:p>
    <w:p w:rsidR="00BE5AB3" w:rsidRPr="002A4594" w:rsidRDefault="00453393" w:rsidP="007B0D43">
      <w:pPr>
        <w:pBdr>
          <w:top w:val="single" w:sz="12" w:space="6" w:color="auto"/>
          <w:left w:val="single" w:sz="12" w:space="4" w:color="auto"/>
          <w:bottom w:val="single" w:sz="12" w:space="6" w:color="auto"/>
          <w:right w:val="single" w:sz="12" w:space="4" w:color="auto"/>
        </w:pBdr>
        <w:tabs>
          <w:tab w:val="left" w:pos="6853"/>
        </w:tabs>
        <w:spacing w:before="0" w:after="60" w:line="280" w:lineRule="exact"/>
        <w:rPr>
          <w:sz w:val="20"/>
          <w:szCs w:val="20"/>
          <w:lang w:val="fr-FR"/>
        </w:rPr>
      </w:pPr>
      <w:r w:rsidRPr="00713D60">
        <w:rPr>
          <w:sz w:val="20"/>
          <w:szCs w:val="20"/>
          <w:lang w:val="fr-FR"/>
        </w:rPr>
        <w:t xml:space="preserve">La présente unité renseigne sur les aspects juridiques et les chemins possibles vers la ratification de la Convention, </w:t>
      </w:r>
      <w:r w:rsidR="002A4594">
        <w:rPr>
          <w:sz w:val="20"/>
          <w:szCs w:val="20"/>
          <w:lang w:val="fr-FR"/>
        </w:rPr>
        <w:t>et dresse un é</w:t>
      </w:r>
      <w:r w:rsidRPr="00713D60">
        <w:rPr>
          <w:sz w:val="20"/>
          <w:szCs w:val="20"/>
          <w:lang w:val="fr-FR"/>
        </w:rPr>
        <w:t>tat des ratifications à ce jour.</w:t>
      </w:r>
    </w:p>
    <w:p w:rsidR="00BE5AB3" w:rsidRPr="002A4594" w:rsidRDefault="00453393" w:rsidP="00BE5AB3">
      <w:pPr>
        <w:pBdr>
          <w:top w:val="single" w:sz="12" w:space="6" w:color="auto"/>
          <w:left w:val="single" w:sz="12" w:space="4" w:color="auto"/>
          <w:bottom w:val="single" w:sz="12" w:space="6" w:color="auto"/>
          <w:right w:val="single" w:sz="12" w:space="4" w:color="auto"/>
        </w:pBdr>
        <w:tabs>
          <w:tab w:val="left" w:pos="6853"/>
        </w:tabs>
        <w:rPr>
          <w:i/>
          <w:sz w:val="20"/>
          <w:szCs w:val="20"/>
          <w:lang w:val="fr-FR"/>
        </w:rPr>
      </w:pPr>
      <w:r w:rsidRPr="00713D60">
        <w:rPr>
          <w:i/>
          <w:sz w:val="20"/>
          <w:szCs w:val="20"/>
          <w:lang w:val="fr-FR"/>
        </w:rPr>
        <w:t>Séquence proposée :</w:t>
      </w:r>
    </w:p>
    <w:p w:rsidR="003757E3" w:rsidRPr="002A4594" w:rsidRDefault="00453393" w:rsidP="00713D60">
      <w:pPr>
        <w:pStyle w:val="ListParagraph"/>
        <w:numPr>
          <w:ilvl w:val="0"/>
          <w:numId w:val="12"/>
        </w:numPr>
        <w:pBdr>
          <w:top w:val="single" w:sz="12" w:space="6" w:color="auto"/>
          <w:left w:val="single" w:sz="12" w:space="4" w:color="auto"/>
          <w:bottom w:val="single" w:sz="12" w:space="6" w:color="auto"/>
          <w:right w:val="single" w:sz="12" w:space="4" w:color="auto"/>
        </w:pBdr>
        <w:tabs>
          <w:tab w:val="clear" w:pos="567"/>
          <w:tab w:val="left" w:pos="6853"/>
        </w:tabs>
        <w:snapToGrid/>
        <w:spacing w:before="0" w:after="60" w:line="280" w:lineRule="exact"/>
        <w:ind w:left="567" w:hanging="567"/>
        <w:contextualSpacing/>
        <w:rPr>
          <w:sz w:val="20"/>
          <w:szCs w:val="20"/>
          <w:lang w:val="fr-FR"/>
        </w:rPr>
      </w:pPr>
      <w:r w:rsidRPr="00713D60">
        <w:rPr>
          <w:sz w:val="20"/>
          <w:szCs w:val="20"/>
          <w:lang w:val="fr-FR"/>
        </w:rPr>
        <w:t>Processus de ratification</w:t>
      </w:r>
    </w:p>
    <w:p w:rsidR="003757E3" w:rsidRPr="002A4594" w:rsidRDefault="00453393" w:rsidP="00713D60">
      <w:pPr>
        <w:pStyle w:val="ListParagraph"/>
        <w:numPr>
          <w:ilvl w:val="0"/>
          <w:numId w:val="12"/>
        </w:numPr>
        <w:pBdr>
          <w:top w:val="single" w:sz="12" w:space="6" w:color="auto"/>
          <w:left w:val="single" w:sz="12" w:space="4" w:color="auto"/>
          <w:bottom w:val="single" w:sz="12" w:space="6" w:color="auto"/>
          <w:right w:val="single" w:sz="12" w:space="4" w:color="auto"/>
        </w:pBdr>
        <w:tabs>
          <w:tab w:val="clear" w:pos="567"/>
          <w:tab w:val="left" w:pos="6853"/>
        </w:tabs>
        <w:snapToGrid/>
        <w:spacing w:before="0" w:after="60" w:line="280" w:lineRule="exact"/>
        <w:ind w:left="567" w:hanging="567"/>
        <w:contextualSpacing/>
        <w:rPr>
          <w:sz w:val="20"/>
          <w:szCs w:val="20"/>
          <w:lang w:val="fr-FR"/>
        </w:rPr>
      </w:pPr>
      <w:r w:rsidRPr="00713D60">
        <w:rPr>
          <w:sz w:val="20"/>
          <w:szCs w:val="20"/>
          <w:lang w:val="fr-FR"/>
        </w:rPr>
        <w:t>Œuvrer en faveur de la ratification</w:t>
      </w:r>
    </w:p>
    <w:p w:rsidR="003757E3" w:rsidRPr="002A4594" w:rsidRDefault="00453393" w:rsidP="00713D60">
      <w:pPr>
        <w:pStyle w:val="ListParagraph"/>
        <w:numPr>
          <w:ilvl w:val="0"/>
          <w:numId w:val="12"/>
        </w:numPr>
        <w:pBdr>
          <w:top w:val="single" w:sz="12" w:space="6" w:color="auto"/>
          <w:left w:val="single" w:sz="12" w:space="4" w:color="auto"/>
          <w:bottom w:val="single" w:sz="12" w:space="6" w:color="auto"/>
          <w:right w:val="single" w:sz="12" w:space="4" w:color="auto"/>
        </w:pBdr>
        <w:tabs>
          <w:tab w:val="clear" w:pos="567"/>
          <w:tab w:val="left" w:pos="6853"/>
        </w:tabs>
        <w:snapToGrid/>
        <w:spacing w:before="0" w:after="60" w:line="280" w:lineRule="exact"/>
        <w:ind w:left="567" w:hanging="567"/>
        <w:contextualSpacing/>
        <w:rPr>
          <w:sz w:val="20"/>
          <w:szCs w:val="20"/>
          <w:lang w:val="fr-FR"/>
        </w:rPr>
      </w:pPr>
      <w:r w:rsidRPr="00713D60">
        <w:rPr>
          <w:sz w:val="20"/>
          <w:szCs w:val="20"/>
          <w:lang w:val="fr-FR"/>
        </w:rPr>
        <w:t>Modes de ratification</w:t>
      </w:r>
    </w:p>
    <w:p w:rsidR="003757E3" w:rsidRPr="002A4594" w:rsidRDefault="00453393" w:rsidP="00713D60">
      <w:pPr>
        <w:pStyle w:val="ListParagraph"/>
        <w:numPr>
          <w:ilvl w:val="0"/>
          <w:numId w:val="12"/>
        </w:numPr>
        <w:pBdr>
          <w:top w:val="single" w:sz="12" w:space="6" w:color="auto"/>
          <w:left w:val="single" w:sz="12" w:space="4" w:color="auto"/>
          <w:bottom w:val="single" w:sz="12" w:space="6" w:color="auto"/>
          <w:right w:val="single" w:sz="12" w:space="4" w:color="auto"/>
        </w:pBdr>
        <w:tabs>
          <w:tab w:val="clear" w:pos="567"/>
          <w:tab w:val="left" w:pos="6853"/>
        </w:tabs>
        <w:snapToGrid/>
        <w:spacing w:before="0" w:after="60" w:line="280" w:lineRule="exact"/>
        <w:ind w:left="567" w:hanging="567"/>
        <w:contextualSpacing/>
        <w:rPr>
          <w:sz w:val="20"/>
          <w:szCs w:val="20"/>
          <w:lang w:val="fr-FR"/>
        </w:rPr>
      </w:pPr>
      <w:r w:rsidRPr="00713D60">
        <w:rPr>
          <w:sz w:val="20"/>
          <w:szCs w:val="20"/>
          <w:lang w:val="fr-FR"/>
        </w:rPr>
        <w:t>Exemples : Croatie, Brésil, Kenya</w:t>
      </w:r>
    </w:p>
    <w:p w:rsidR="00485841" w:rsidRPr="002A4594" w:rsidRDefault="00453393">
      <w:pPr>
        <w:tabs>
          <w:tab w:val="clear" w:pos="567"/>
        </w:tabs>
        <w:snapToGrid/>
        <w:spacing w:before="0" w:after="0"/>
        <w:jc w:val="left"/>
        <w:rPr>
          <w:sz w:val="20"/>
          <w:szCs w:val="20"/>
          <w:lang w:val="fr-FR"/>
        </w:rPr>
      </w:pPr>
      <w:r w:rsidRPr="00713D60">
        <w:rPr>
          <w:sz w:val="20"/>
          <w:szCs w:val="20"/>
          <w:lang w:val="fr-FR"/>
        </w:rPr>
        <w:br w:type="page"/>
      </w:r>
    </w:p>
    <w:p w:rsidR="00BE5AB3" w:rsidRPr="002A4594" w:rsidRDefault="00453393" w:rsidP="00BE5AB3">
      <w:pPr>
        <w:pBdr>
          <w:top w:val="single" w:sz="12" w:space="6" w:color="auto"/>
          <w:left w:val="single" w:sz="12" w:space="4" w:color="auto"/>
          <w:bottom w:val="single" w:sz="12" w:space="6" w:color="auto"/>
          <w:right w:val="single" w:sz="12" w:space="4" w:color="auto"/>
        </w:pBdr>
        <w:tabs>
          <w:tab w:val="left" w:pos="6853"/>
        </w:tabs>
        <w:rPr>
          <w:b/>
          <w:sz w:val="20"/>
          <w:szCs w:val="20"/>
          <w:lang w:val="fr-FR"/>
        </w:rPr>
      </w:pPr>
      <w:r w:rsidRPr="00713D60">
        <w:rPr>
          <w:b/>
          <w:sz w:val="20"/>
          <w:szCs w:val="20"/>
          <w:lang w:val="fr-FR"/>
        </w:rPr>
        <w:lastRenderedPageBreak/>
        <w:t xml:space="preserve">DOCUMENTS </w:t>
      </w:r>
      <w:r w:rsidRPr="00713D60">
        <w:rPr>
          <w:rFonts w:ascii="Arial Bold" w:hAnsi="Arial Bold"/>
          <w:b/>
          <w:caps/>
          <w:sz w:val="20"/>
          <w:szCs w:val="20"/>
          <w:lang w:val="fr-FR"/>
        </w:rPr>
        <w:t>de référence :</w:t>
      </w:r>
    </w:p>
    <w:p w:rsidR="00ED4BFC" w:rsidRPr="002A4594" w:rsidRDefault="00453393" w:rsidP="007A5F88">
      <w:pPr>
        <w:pStyle w:val="ListParagraph"/>
        <w:numPr>
          <w:ilvl w:val="0"/>
          <w:numId w:val="13"/>
        </w:numPr>
        <w:pBdr>
          <w:top w:val="single" w:sz="12" w:space="6" w:color="auto"/>
          <w:left w:val="single" w:sz="12" w:space="4" w:color="auto"/>
          <w:bottom w:val="single" w:sz="12" w:space="6" w:color="auto"/>
          <w:right w:val="single" w:sz="12" w:space="4" w:color="auto"/>
        </w:pBdr>
        <w:tabs>
          <w:tab w:val="clear" w:pos="567"/>
          <w:tab w:val="left" w:pos="6853"/>
        </w:tabs>
        <w:snapToGrid/>
        <w:spacing w:before="0" w:after="60" w:line="280" w:lineRule="exact"/>
        <w:ind w:left="567" w:hanging="567"/>
        <w:contextualSpacing/>
        <w:rPr>
          <w:sz w:val="20"/>
          <w:szCs w:val="20"/>
          <w:lang w:val="fr-FR"/>
        </w:rPr>
      </w:pPr>
      <w:r w:rsidRPr="00713D60">
        <w:rPr>
          <w:sz w:val="20"/>
          <w:szCs w:val="20"/>
          <w:lang w:val="fr-FR"/>
        </w:rPr>
        <w:t>Notes du facilitateur de</w:t>
      </w:r>
      <w:r w:rsidR="006A6895">
        <w:rPr>
          <w:sz w:val="20"/>
          <w:szCs w:val="20"/>
          <w:lang w:val="fr-FR"/>
        </w:rPr>
        <w:t xml:space="preserve"> l’Unité 17</w:t>
      </w:r>
    </w:p>
    <w:p w:rsidR="003757E3" w:rsidRPr="002A4594" w:rsidRDefault="00453393" w:rsidP="00713D60">
      <w:pPr>
        <w:pStyle w:val="ListParagraph"/>
        <w:numPr>
          <w:ilvl w:val="0"/>
          <w:numId w:val="13"/>
        </w:numPr>
        <w:pBdr>
          <w:top w:val="single" w:sz="12" w:space="6" w:color="auto"/>
          <w:left w:val="single" w:sz="12" w:space="4" w:color="auto"/>
          <w:bottom w:val="single" w:sz="12" w:space="6" w:color="auto"/>
          <w:right w:val="single" w:sz="12" w:space="4" w:color="auto"/>
        </w:pBdr>
        <w:tabs>
          <w:tab w:val="clear" w:pos="567"/>
          <w:tab w:val="left" w:pos="6853"/>
        </w:tabs>
        <w:snapToGrid/>
        <w:spacing w:before="0" w:after="60" w:line="280" w:lineRule="exact"/>
        <w:ind w:left="567" w:hanging="567"/>
        <w:contextualSpacing/>
        <w:rPr>
          <w:sz w:val="20"/>
          <w:szCs w:val="20"/>
          <w:lang w:val="fr-FR"/>
        </w:rPr>
      </w:pPr>
      <w:r w:rsidRPr="00713D60">
        <w:rPr>
          <w:sz w:val="20"/>
          <w:szCs w:val="20"/>
          <w:lang w:val="fr-FR"/>
        </w:rPr>
        <w:t>Présen</w:t>
      </w:r>
      <w:r w:rsidR="006A6895">
        <w:rPr>
          <w:sz w:val="20"/>
          <w:szCs w:val="20"/>
          <w:lang w:val="fr-FR"/>
        </w:rPr>
        <w:t>tation PowerPoint de l’Unité 17</w:t>
      </w:r>
    </w:p>
    <w:p w:rsidR="003757E3" w:rsidRPr="002A4594" w:rsidRDefault="00453393" w:rsidP="00713D60">
      <w:pPr>
        <w:pStyle w:val="ListParagraph"/>
        <w:numPr>
          <w:ilvl w:val="0"/>
          <w:numId w:val="13"/>
        </w:numPr>
        <w:pBdr>
          <w:top w:val="single" w:sz="12" w:space="6" w:color="auto"/>
          <w:left w:val="single" w:sz="12" w:space="4" w:color="auto"/>
          <w:bottom w:val="single" w:sz="12" w:space="6" w:color="auto"/>
          <w:right w:val="single" w:sz="12" w:space="4" w:color="auto"/>
        </w:pBdr>
        <w:tabs>
          <w:tab w:val="clear" w:pos="567"/>
          <w:tab w:val="left" w:pos="6853"/>
        </w:tabs>
        <w:snapToGrid/>
        <w:spacing w:before="0" w:after="60" w:line="280" w:lineRule="exact"/>
        <w:ind w:left="567" w:hanging="567"/>
        <w:contextualSpacing/>
        <w:rPr>
          <w:sz w:val="20"/>
          <w:szCs w:val="20"/>
          <w:lang w:val="fr-FR"/>
        </w:rPr>
      </w:pPr>
      <w:r w:rsidRPr="00713D60">
        <w:rPr>
          <w:sz w:val="20"/>
          <w:szCs w:val="20"/>
          <w:lang w:val="fr-FR"/>
        </w:rPr>
        <w:t>Texte du participant de l’Unité 17</w:t>
      </w:r>
    </w:p>
    <w:p w:rsidR="003757E3" w:rsidRPr="002A4594" w:rsidRDefault="00453393" w:rsidP="00713D60">
      <w:pPr>
        <w:pStyle w:val="ListParagraph"/>
        <w:numPr>
          <w:ilvl w:val="0"/>
          <w:numId w:val="13"/>
        </w:numPr>
        <w:pBdr>
          <w:top w:val="single" w:sz="12" w:space="6" w:color="auto"/>
          <w:left w:val="single" w:sz="12" w:space="4" w:color="auto"/>
          <w:bottom w:val="single" w:sz="12" w:space="6" w:color="auto"/>
          <w:right w:val="single" w:sz="12" w:space="4" w:color="auto"/>
        </w:pBdr>
        <w:tabs>
          <w:tab w:val="clear" w:pos="567"/>
          <w:tab w:val="left" w:pos="6853"/>
        </w:tabs>
        <w:snapToGrid/>
        <w:spacing w:before="0" w:after="60" w:line="280" w:lineRule="exact"/>
        <w:ind w:left="567" w:hanging="567"/>
        <w:contextualSpacing/>
        <w:rPr>
          <w:sz w:val="20"/>
          <w:szCs w:val="20"/>
          <w:lang w:val="fr-FR"/>
        </w:rPr>
      </w:pPr>
      <w:r w:rsidRPr="00713D60">
        <w:rPr>
          <w:sz w:val="20"/>
          <w:szCs w:val="20"/>
          <w:lang w:val="fr-FR"/>
        </w:rPr>
        <w:t>Texte du participant de l’Unité 3 (rubriques pertinentes : « État partie » et «  Ratification »)</w:t>
      </w:r>
    </w:p>
    <w:p w:rsidR="003757E3" w:rsidRPr="002A4594" w:rsidRDefault="00453393" w:rsidP="00713D60">
      <w:pPr>
        <w:pStyle w:val="ListParagraph"/>
        <w:numPr>
          <w:ilvl w:val="0"/>
          <w:numId w:val="13"/>
        </w:numPr>
        <w:pBdr>
          <w:top w:val="single" w:sz="12" w:space="6" w:color="auto"/>
          <w:left w:val="single" w:sz="12" w:space="4" w:color="auto"/>
          <w:bottom w:val="single" w:sz="12" w:space="6" w:color="auto"/>
          <w:right w:val="single" w:sz="12" w:space="4" w:color="auto"/>
        </w:pBdr>
        <w:tabs>
          <w:tab w:val="clear" w:pos="567"/>
          <w:tab w:val="left" w:pos="6853"/>
        </w:tabs>
        <w:snapToGrid/>
        <w:spacing w:before="0" w:after="60" w:line="280" w:lineRule="exact"/>
        <w:ind w:left="567" w:hanging="567"/>
        <w:contextualSpacing/>
        <w:rPr>
          <w:sz w:val="20"/>
          <w:szCs w:val="20"/>
          <w:lang w:val="fr-FR"/>
        </w:rPr>
      </w:pPr>
      <w:r w:rsidRPr="00713D60">
        <w:rPr>
          <w:sz w:val="20"/>
          <w:szCs w:val="20"/>
          <w:lang w:val="fr-FR"/>
        </w:rPr>
        <w:t>Imprimé 1 de l’Unité 17 : Modèle d’instrument de ratification</w:t>
      </w:r>
    </w:p>
    <w:p w:rsidR="00330D06" w:rsidRPr="002A4594" w:rsidRDefault="00453393" w:rsidP="007A5F88">
      <w:pPr>
        <w:pStyle w:val="ListParagraph"/>
        <w:numPr>
          <w:ilvl w:val="0"/>
          <w:numId w:val="13"/>
        </w:numPr>
        <w:pBdr>
          <w:top w:val="single" w:sz="12" w:space="6" w:color="auto"/>
          <w:left w:val="single" w:sz="12" w:space="4" w:color="auto"/>
          <w:bottom w:val="single" w:sz="12" w:space="6" w:color="auto"/>
          <w:right w:val="single" w:sz="12" w:space="4" w:color="auto"/>
        </w:pBdr>
        <w:tabs>
          <w:tab w:val="clear" w:pos="567"/>
          <w:tab w:val="left" w:pos="6853"/>
        </w:tabs>
        <w:snapToGrid/>
        <w:spacing w:before="0" w:after="60" w:line="280" w:lineRule="exact"/>
        <w:ind w:left="567" w:hanging="567"/>
        <w:contextualSpacing/>
        <w:rPr>
          <w:sz w:val="20"/>
          <w:szCs w:val="20"/>
          <w:lang w:val="fr-FR"/>
        </w:rPr>
      </w:pPr>
      <w:r w:rsidRPr="00713D60">
        <w:rPr>
          <w:sz w:val="20"/>
          <w:szCs w:val="20"/>
          <w:lang w:val="fr-FR"/>
        </w:rPr>
        <w:t>Imprimé 2 de l’Unité 17 : Questions à choix multiple sur la ratification</w:t>
      </w:r>
    </w:p>
    <w:p w:rsidR="003757E3" w:rsidRPr="002A4594" w:rsidRDefault="00453393" w:rsidP="00713D60">
      <w:pPr>
        <w:pStyle w:val="ListParagraph"/>
        <w:numPr>
          <w:ilvl w:val="0"/>
          <w:numId w:val="13"/>
        </w:numPr>
        <w:pBdr>
          <w:top w:val="single" w:sz="12" w:space="6" w:color="auto"/>
          <w:left w:val="single" w:sz="12" w:space="4" w:color="auto"/>
          <w:bottom w:val="single" w:sz="12" w:space="6" w:color="auto"/>
          <w:right w:val="single" w:sz="12" w:space="4" w:color="auto"/>
        </w:pBdr>
        <w:tabs>
          <w:tab w:val="clear" w:pos="567"/>
          <w:tab w:val="left" w:pos="6853"/>
        </w:tabs>
        <w:snapToGrid/>
        <w:spacing w:before="0" w:after="60" w:line="280" w:lineRule="exact"/>
        <w:ind w:left="567" w:hanging="567"/>
        <w:contextualSpacing/>
        <w:rPr>
          <w:sz w:val="20"/>
          <w:szCs w:val="20"/>
          <w:lang w:val="fr-FR"/>
        </w:rPr>
      </w:pPr>
      <w:r w:rsidRPr="00713D60">
        <w:rPr>
          <w:i/>
          <w:sz w:val="20"/>
          <w:szCs w:val="20"/>
          <w:lang w:val="fr-FR"/>
        </w:rPr>
        <w:t>Textes fondamentaux de la Convention de 2003 pour la sauvegarde du patrimoine culturel immatériel</w:t>
      </w:r>
      <w:r w:rsidR="00713D60">
        <w:rPr>
          <w:rStyle w:val="FootnoteReference"/>
          <w:i/>
          <w:sz w:val="20"/>
          <w:szCs w:val="20"/>
          <w:lang w:val="fr-FR"/>
        </w:rPr>
        <w:footnoteReference w:id="2"/>
      </w:r>
    </w:p>
    <w:p w:rsidR="004C040A" w:rsidRPr="00713D60" w:rsidRDefault="00453393" w:rsidP="007B0D43">
      <w:pPr>
        <w:pStyle w:val="Soustitre"/>
        <w:keepLines/>
        <w:tabs>
          <w:tab w:val="left" w:pos="567"/>
        </w:tabs>
        <w:snapToGrid w:val="0"/>
        <w:spacing w:before="240"/>
        <w:rPr>
          <w:noProof w:val="0"/>
          <w:snapToGrid w:val="0"/>
          <w:lang w:eastAsia="zh-CN"/>
        </w:rPr>
      </w:pPr>
      <w:r w:rsidRPr="00713D60">
        <w:rPr>
          <w:noProof w:val="0"/>
          <w:snapToGrid w:val="0"/>
          <w:lang w:eastAsia="zh-CN"/>
        </w:rPr>
        <w:t>Remarques et suggestions</w:t>
      </w:r>
    </w:p>
    <w:p w:rsidR="00611907" w:rsidRPr="00713D60" w:rsidRDefault="00453393" w:rsidP="007B0D43">
      <w:pPr>
        <w:pStyle w:val="Texte1"/>
        <w:rPr>
          <w:szCs w:val="20"/>
        </w:rPr>
      </w:pPr>
      <w:r w:rsidRPr="00713D60">
        <w:rPr>
          <w:szCs w:val="20"/>
        </w:rPr>
        <w:t>Cette session se divise en deux parties. La première partie (environ 1 h 30) devrait couvrir les avantages et le processus de la ratification et montrer quelques exemples issus d’autres contextes au moyen de la présentation PowerPoint et des exemples fournis.</w:t>
      </w:r>
    </w:p>
    <w:p w:rsidR="00611907" w:rsidRPr="00713D60" w:rsidRDefault="00453393" w:rsidP="007B0D43">
      <w:pPr>
        <w:pStyle w:val="Texte1"/>
        <w:rPr>
          <w:szCs w:val="20"/>
        </w:rPr>
      </w:pPr>
      <w:r w:rsidRPr="00713D60">
        <w:rPr>
          <w:szCs w:val="20"/>
        </w:rPr>
        <w:t xml:space="preserve">La seconde partie de la session (la dernière heure) devrait se concentrer sur les stratégies et les enjeux de la ratification dans l’(les) État(s) représenté(s) à l’atelier. </w:t>
      </w:r>
      <w:r w:rsidR="003757E3">
        <w:rPr>
          <w:szCs w:val="20"/>
        </w:rPr>
        <w:t>E</w:t>
      </w:r>
      <w:r w:rsidR="003757E3" w:rsidRPr="002A4594">
        <w:rPr>
          <w:szCs w:val="20"/>
        </w:rPr>
        <w:t>n partant de leurs points de vue</w:t>
      </w:r>
      <w:r w:rsidR="003757E3">
        <w:rPr>
          <w:szCs w:val="20"/>
        </w:rPr>
        <w:t>, l</w:t>
      </w:r>
      <w:r w:rsidRPr="00713D60">
        <w:rPr>
          <w:szCs w:val="20"/>
        </w:rPr>
        <w:t>es participants d</w:t>
      </w:r>
      <w:r w:rsidR="003757E3">
        <w:rPr>
          <w:szCs w:val="20"/>
        </w:rPr>
        <w:t>iscuter</w:t>
      </w:r>
      <w:r w:rsidRPr="00713D60">
        <w:rPr>
          <w:szCs w:val="20"/>
        </w:rPr>
        <w:t xml:space="preserve">ont des possibilités offertes, </w:t>
      </w:r>
      <w:r w:rsidR="00BB3377">
        <w:rPr>
          <w:szCs w:val="20"/>
        </w:rPr>
        <w:t>mais aussi</w:t>
      </w:r>
      <w:r w:rsidRPr="00713D60">
        <w:rPr>
          <w:szCs w:val="20"/>
        </w:rPr>
        <w:t xml:space="preserve"> des questions et des problèmes que rencontre leur pays devant la ratification de la Convention. Cette session peut débuter en plénière avec les rapports succincts des participants, suivis d’un débat </w:t>
      </w:r>
      <w:r w:rsidR="00BB3377">
        <w:rPr>
          <w:szCs w:val="20"/>
        </w:rPr>
        <w:t>men</w:t>
      </w:r>
      <w:r w:rsidRPr="00713D60">
        <w:rPr>
          <w:szCs w:val="20"/>
        </w:rPr>
        <w:t xml:space="preserve">é par le facilitateur. S’il y a des participants de plusieurs États, </w:t>
      </w:r>
      <w:r w:rsidR="00BB3377">
        <w:rPr>
          <w:szCs w:val="20"/>
        </w:rPr>
        <w:t xml:space="preserve">il </w:t>
      </w:r>
      <w:r w:rsidR="00BB3377" w:rsidRPr="002A4594">
        <w:rPr>
          <w:szCs w:val="20"/>
        </w:rPr>
        <w:t>ser</w:t>
      </w:r>
      <w:r w:rsidR="00BB3377">
        <w:rPr>
          <w:szCs w:val="20"/>
        </w:rPr>
        <w:t>a</w:t>
      </w:r>
      <w:r w:rsidR="00BB3377" w:rsidRPr="002A4594">
        <w:rPr>
          <w:szCs w:val="20"/>
        </w:rPr>
        <w:t xml:space="preserve"> peut-être préférable</w:t>
      </w:r>
      <w:r w:rsidR="00BB3377">
        <w:rPr>
          <w:szCs w:val="20"/>
        </w:rPr>
        <w:t xml:space="preserve"> de former d</w:t>
      </w:r>
      <w:r w:rsidRPr="00713D60">
        <w:rPr>
          <w:szCs w:val="20"/>
        </w:rPr>
        <w:t xml:space="preserve">es </w:t>
      </w:r>
      <w:r w:rsidR="00BB3377" w:rsidRPr="002A4594">
        <w:rPr>
          <w:szCs w:val="20"/>
        </w:rPr>
        <w:t xml:space="preserve">petits groupes </w:t>
      </w:r>
      <w:r w:rsidR="00BB3377">
        <w:rPr>
          <w:szCs w:val="20"/>
        </w:rPr>
        <w:t xml:space="preserve">de </w:t>
      </w:r>
      <w:r w:rsidRPr="00713D60">
        <w:rPr>
          <w:szCs w:val="20"/>
        </w:rPr>
        <w:t>discussion</w:t>
      </w:r>
      <w:r w:rsidR="006A6895">
        <w:rPr>
          <w:szCs w:val="20"/>
        </w:rPr>
        <w:t>.</w:t>
      </w:r>
    </w:p>
    <w:p w:rsidR="00611907" w:rsidRPr="00713D60" w:rsidRDefault="00453393" w:rsidP="007B0D43">
      <w:pPr>
        <w:pStyle w:val="Texte1"/>
        <w:rPr>
          <w:szCs w:val="20"/>
        </w:rPr>
      </w:pPr>
      <w:r w:rsidRPr="00713D60">
        <w:rPr>
          <w:szCs w:val="20"/>
        </w:rPr>
        <w:t>Les participants devr</w:t>
      </w:r>
      <w:r w:rsidR="00035365">
        <w:rPr>
          <w:szCs w:val="20"/>
        </w:rPr>
        <w:t>aie</w:t>
      </w:r>
      <w:r w:rsidRPr="00713D60">
        <w:rPr>
          <w:szCs w:val="20"/>
        </w:rPr>
        <w:t xml:space="preserve">nt être encouragés à discuter des chemins possibles vers la ratification dans leur pays et à </w:t>
      </w:r>
      <w:r w:rsidR="00035365">
        <w:rPr>
          <w:szCs w:val="20"/>
        </w:rPr>
        <w:t xml:space="preserve">faire </w:t>
      </w:r>
      <w:r w:rsidRPr="00713D60">
        <w:rPr>
          <w:szCs w:val="20"/>
        </w:rPr>
        <w:t>par</w:t>
      </w:r>
      <w:r w:rsidR="00035365">
        <w:rPr>
          <w:szCs w:val="20"/>
        </w:rPr>
        <w:t>t</w:t>
      </w:r>
      <w:r w:rsidRPr="00713D60">
        <w:rPr>
          <w:szCs w:val="20"/>
        </w:rPr>
        <w:t xml:space="preserve"> de leurs expériences et de leurs attentes à cet égard. Même s’ils parviennent à une </w:t>
      </w:r>
      <w:r w:rsidR="00273FA0">
        <w:rPr>
          <w:szCs w:val="20"/>
        </w:rPr>
        <w:t>entente commune sur l</w:t>
      </w:r>
      <w:r w:rsidRPr="00713D60">
        <w:rPr>
          <w:szCs w:val="20"/>
        </w:rPr>
        <w:t xml:space="preserve">es avantages et </w:t>
      </w:r>
      <w:r w:rsidR="00273FA0">
        <w:rPr>
          <w:szCs w:val="20"/>
        </w:rPr>
        <w:t>l</w:t>
      </w:r>
      <w:r w:rsidRPr="00713D60">
        <w:rPr>
          <w:szCs w:val="20"/>
        </w:rPr>
        <w:t xml:space="preserve">es obligations qui accompagnent la ratification de la Convention, ils </w:t>
      </w:r>
      <w:r w:rsidR="00273FA0">
        <w:rPr>
          <w:szCs w:val="20"/>
        </w:rPr>
        <w:t>exprime</w:t>
      </w:r>
      <w:r w:rsidRPr="00713D60">
        <w:rPr>
          <w:szCs w:val="20"/>
        </w:rPr>
        <w:t xml:space="preserve">ront des divergences de vue </w:t>
      </w:r>
      <w:r w:rsidR="00273FA0">
        <w:rPr>
          <w:szCs w:val="20"/>
        </w:rPr>
        <w:t>quant au</w:t>
      </w:r>
      <w:r w:rsidRPr="00713D60">
        <w:rPr>
          <w:szCs w:val="20"/>
        </w:rPr>
        <w:t xml:space="preserve"> processus de ratification selon l</w:t>
      </w:r>
      <w:r w:rsidR="00273FA0">
        <w:rPr>
          <w:szCs w:val="20"/>
        </w:rPr>
        <w:t>a</w:t>
      </w:r>
      <w:r w:rsidRPr="00713D60">
        <w:rPr>
          <w:szCs w:val="20"/>
        </w:rPr>
        <w:t xml:space="preserve"> profession</w:t>
      </w:r>
      <w:r w:rsidR="00273FA0">
        <w:rPr>
          <w:szCs w:val="20"/>
        </w:rPr>
        <w:t xml:space="preserve"> qu’ils exercent</w:t>
      </w:r>
      <w:r w:rsidRPr="00713D60">
        <w:rPr>
          <w:szCs w:val="20"/>
        </w:rPr>
        <w:t xml:space="preserve">, leur expertise et leur compréhension de la situation nationale </w:t>
      </w:r>
      <w:r w:rsidR="001A6275">
        <w:rPr>
          <w:szCs w:val="20"/>
        </w:rPr>
        <w:t>avec</w:t>
      </w:r>
      <w:r w:rsidRPr="00713D60">
        <w:rPr>
          <w:szCs w:val="20"/>
        </w:rPr>
        <w:t xml:space="preserve"> ses diverses sensibilités. Les participants p</w:t>
      </w:r>
      <w:r w:rsidR="00BE0A2D">
        <w:rPr>
          <w:szCs w:val="20"/>
        </w:rPr>
        <w:t>ourro</w:t>
      </w:r>
      <w:r w:rsidRPr="00713D60">
        <w:rPr>
          <w:szCs w:val="20"/>
        </w:rPr>
        <w:t>nt occuper des fonctions ministérielles, travailler dans le secteur des ONG ou être les représentants d’une communauté</w:t>
      </w:r>
      <w:r w:rsidR="00273FA0">
        <w:rPr>
          <w:szCs w:val="20"/>
        </w:rPr>
        <w:t>, mais</w:t>
      </w:r>
      <w:r w:rsidRPr="00713D60">
        <w:rPr>
          <w:szCs w:val="20"/>
        </w:rPr>
        <w:t xml:space="preserve"> aussi venir de milieux professionnels très différents en tant qu’avocats, fonctionnaires, chercheurs ou praticiens du PCI</w:t>
      </w:r>
      <w:r w:rsidR="001A6275">
        <w:rPr>
          <w:szCs w:val="20"/>
        </w:rPr>
        <w:t>,</w:t>
      </w:r>
      <w:r w:rsidR="001A6275" w:rsidRPr="001A6275">
        <w:rPr>
          <w:szCs w:val="20"/>
        </w:rPr>
        <w:t xml:space="preserve"> </w:t>
      </w:r>
      <w:r w:rsidR="001A6275">
        <w:rPr>
          <w:szCs w:val="20"/>
        </w:rPr>
        <w:t>par exemple</w:t>
      </w:r>
      <w:r w:rsidR="006A6895">
        <w:rPr>
          <w:szCs w:val="20"/>
        </w:rPr>
        <w:t>.</w:t>
      </w:r>
    </w:p>
    <w:p w:rsidR="003757E3" w:rsidRPr="00B161E7" w:rsidRDefault="00453393" w:rsidP="00713D60">
      <w:pPr>
        <w:pStyle w:val="Texte1"/>
      </w:pPr>
      <w:r w:rsidRPr="00713D60">
        <w:rPr>
          <w:szCs w:val="20"/>
        </w:rPr>
        <w:t>Le facilitateur ne d</w:t>
      </w:r>
      <w:r w:rsidR="00273FA0">
        <w:rPr>
          <w:szCs w:val="20"/>
        </w:rPr>
        <w:t>evra</w:t>
      </w:r>
      <w:r w:rsidRPr="00713D60">
        <w:rPr>
          <w:szCs w:val="20"/>
        </w:rPr>
        <w:t xml:space="preserve"> pas se montrer trop didactique</w:t>
      </w:r>
      <w:r w:rsidR="001A6275">
        <w:rPr>
          <w:szCs w:val="20"/>
        </w:rPr>
        <w:t>,</w:t>
      </w:r>
      <w:r w:rsidRPr="00713D60">
        <w:rPr>
          <w:szCs w:val="20"/>
        </w:rPr>
        <w:t xml:space="preserve"> ni </w:t>
      </w:r>
      <w:r w:rsidR="001A6275">
        <w:rPr>
          <w:szCs w:val="20"/>
        </w:rPr>
        <w:t>prodigu</w:t>
      </w:r>
      <w:r w:rsidRPr="00713D60">
        <w:rPr>
          <w:szCs w:val="20"/>
        </w:rPr>
        <w:t xml:space="preserve">er trop de conseils </w:t>
      </w:r>
      <w:r w:rsidR="0033031A">
        <w:rPr>
          <w:szCs w:val="20"/>
        </w:rPr>
        <w:t>au cours de</w:t>
      </w:r>
      <w:r w:rsidRPr="00713D60">
        <w:rPr>
          <w:szCs w:val="20"/>
        </w:rPr>
        <w:t xml:space="preserve"> cette discussion, car l’UNESCO n’est pas censée interférer dans les affaires intérieures des États membres qui </w:t>
      </w:r>
      <w:r w:rsidR="00273FA0">
        <w:rPr>
          <w:szCs w:val="20"/>
        </w:rPr>
        <w:t>se dispos</w:t>
      </w:r>
      <w:r w:rsidRPr="00713D60">
        <w:rPr>
          <w:szCs w:val="20"/>
        </w:rPr>
        <w:t>ent</w:t>
      </w:r>
      <w:r w:rsidR="00273FA0">
        <w:rPr>
          <w:szCs w:val="20"/>
        </w:rPr>
        <w:t xml:space="preserve"> à</w:t>
      </w:r>
      <w:r w:rsidRPr="00713D60">
        <w:rPr>
          <w:szCs w:val="20"/>
        </w:rPr>
        <w:t xml:space="preserve"> ratifier ses Conventions. Le Directeur général de l’UNESCO encourage tous les États membres à ratifier toutes les Conventions de l’UNESCO, de sorte que le facilitateur qui dirige un atelier sous les auspices de l’UNESCO peut exprimer l’espoir que tous les États qui n’ont pas encore ratifié la Convention du patrimoine immatériel</w:t>
      </w:r>
      <w:r w:rsidR="001A6275">
        <w:rPr>
          <w:szCs w:val="20"/>
        </w:rPr>
        <w:t xml:space="preserve"> </w:t>
      </w:r>
      <w:r w:rsidRPr="00713D60">
        <w:rPr>
          <w:szCs w:val="20"/>
        </w:rPr>
        <w:t xml:space="preserve">envisagent sérieusement </w:t>
      </w:r>
      <w:r w:rsidR="001A6275">
        <w:rPr>
          <w:szCs w:val="20"/>
        </w:rPr>
        <w:t>de le faire</w:t>
      </w:r>
      <w:r w:rsidR="006A6895">
        <w:rPr>
          <w:szCs w:val="20"/>
        </w:rPr>
        <w:t>.</w:t>
      </w:r>
    </w:p>
    <w:p w:rsidR="00DE5DF9" w:rsidRPr="00713D60" w:rsidRDefault="00453393" w:rsidP="007B0D43">
      <w:pPr>
        <w:pStyle w:val="Heading4"/>
        <w:tabs>
          <w:tab w:val="left" w:pos="567"/>
        </w:tabs>
        <w:snapToGrid w:val="0"/>
        <w:spacing w:before="200" w:after="0" w:line="240" w:lineRule="auto"/>
        <w:jc w:val="both"/>
        <w:rPr>
          <w:rFonts w:eastAsiaTheme="majorEastAsia" w:cs="Arial"/>
          <w:iCs/>
          <w:sz w:val="18"/>
          <w:szCs w:val="18"/>
          <w:lang w:val="fr-FR" w:eastAsia="zh-CN"/>
        </w:rPr>
      </w:pPr>
      <w:r w:rsidRPr="00713D60">
        <w:rPr>
          <w:rFonts w:eastAsiaTheme="majorEastAsia" w:cs="Arial"/>
          <w:iCs/>
          <w:sz w:val="18"/>
          <w:szCs w:val="18"/>
          <w:lang w:val="fr-FR" w:eastAsia="zh-CN"/>
        </w:rPr>
        <w:t>RÉTICENCE À RATIFIer</w:t>
      </w:r>
    </w:p>
    <w:p w:rsidR="00DE5DF9" w:rsidRPr="00713D60" w:rsidRDefault="00453393" w:rsidP="007B0D43">
      <w:pPr>
        <w:pStyle w:val="Texte1"/>
        <w:rPr>
          <w:szCs w:val="20"/>
        </w:rPr>
      </w:pPr>
      <w:r w:rsidRPr="00713D60">
        <w:rPr>
          <w:szCs w:val="20"/>
        </w:rPr>
        <w:t>Le facilitateur d</w:t>
      </w:r>
      <w:r w:rsidR="00273FA0">
        <w:rPr>
          <w:szCs w:val="20"/>
        </w:rPr>
        <w:t>evra</w:t>
      </w:r>
      <w:r w:rsidRPr="00713D60">
        <w:rPr>
          <w:szCs w:val="20"/>
        </w:rPr>
        <w:t xml:space="preserve"> </w:t>
      </w:r>
      <w:r w:rsidR="00755732">
        <w:rPr>
          <w:szCs w:val="20"/>
        </w:rPr>
        <w:t>être</w:t>
      </w:r>
      <w:r w:rsidRPr="00713D60">
        <w:rPr>
          <w:szCs w:val="20"/>
        </w:rPr>
        <w:t xml:space="preserve"> conscien</w:t>
      </w:r>
      <w:r w:rsidR="00755732">
        <w:rPr>
          <w:szCs w:val="20"/>
        </w:rPr>
        <w:t>t</w:t>
      </w:r>
      <w:r w:rsidRPr="00713D60">
        <w:rPr>
          <w:szCs w:val="20"/>
        </w:rPr>
        <w:t xml:space="preserve"> du fait que diverses populations ou institutions des États membres s</w:t>
      </w:r>
      <w:r w:rsidR="00755732">
        <w:rPr>
          <w:szCs w:val="20"/>
        </w:rPr>
        <w:t>e montre</w:t>
      </w:r>
      <w:r w:rsidRPr="00713D60">
        <w:rPr>
          <w:szCs w:val="20"/>
        </w:rPr>
        <w:t xml:space="preserve">nt peut-être réticentes à voir leur pays ratifier la Convention. Certaines ont parfois du mal à </w:t>
      </w:r>
      <w:r w:rsidR="00F07956">
        <w:rPr>
          <w:szCs w:val="20"/>
        </w:rPr>
        <w:t xml:space="preserve">en </w:t>
      </w:r>
      <w:r w:rsidRPr="00713D60">
        <w:rPr>
          <w:szCs w:val="20"/>
        </w:rPr>
        <w:t>admettre les principes sous-</w:t>
      </w:r>
      <w:r w:rsidR="00F07956">
        <w:rPr>
          <w:szCs w:val="20"/>
        </w:rPr>
        <w:t xml:space="preserve">jacents </w:t>
      </w:r>
      <w:r w:rsidRPr="00713D60">
        <w:rPr>
          <w:szCs w:val="20"/>
        </w:rPr>
        <w:t xml:space="preserve">ou s’inquiètent des </w:t>
      </w:r>
      <w:r w:rsidRPr="00713D60">
        <w:rPr>
          <w:szCs w:val="20"/>
        </w:rPr>
        <w:lastRenderedPageBreak/>
        <w:t>éventuelles conséquences politiques ou financières de la ratification de la Convention. Le facilitateur devra essayer d’identifier ces objections et faire en sorte d’en discuter de manière constructive</w:t>
      </w:r>
      <w:r w:rsidR="006A6895">
        <w:rPr>
          <w:szCs w:val="20"/>
        </w:rPr>
        <w:t>.</w:t>
      </w:r>
    </w:p>
    <w:p w:rsidR="00DE5DF9" w:rsidRPr="00713D60" w:rsidRDefault="00453393" w:rsidP="007B0D43">
      <w:pPr>
        <w:pStyle w:val="Texte1"/>
        <w:rPr>
          <w:szCs w:val="20"/>
        </w:rPr>
      </w:pPr>
      <w:r w:rsidRPr="00713D60">
        <w:rPr>
          <w:szCs w:val="20"/>
        </w:rPr>
        <w:t xml:space="preserve">Les objections </w:t>
      </w:r>
      <w:r w:rsidR="00F07956">
        <w:rPr>
          <w:szCs w:val="20"/>
        </w:rPr>
        <w:t>résultent</w:t>
      </w:r>
      <w:r w:rsidRPr="00713D60">
        <w:rPr>
          <w:szCs w:val="20"/>
        </w:rPr>
        <w:t xml:space="preserve"> la plupart du temps </w:t>
      </w:r>
      <w:r w:rsidR="00F07956">
        <w:rPr>
          <w:szCs w:val="20"/>
        </w:rPr>
        <w:t>d’</w:t>
      </w:r>
      <w:r w:rsidRPr="00713D60">
        <w:rPr>
          <w:szCs w:val="20"/>
        </w:rPr>
        <w:t>une mauvaise compréhension et d</w:t>
      </w:r>
      <w:r w:rsidR="00F07956">
        <w:rPr>
          <w:szCs w:val="20"/>
        </w:rPr>
        <w:t>’</w:t>
      </w:r>
      <w:r w:rsidRPr="00713D60">
        <w:rPr>
          <w:szCs w:val="20"/>
        </w:rPr>
        <w:t xml:space="preserve">interprétations erronées. Dans ces cas-là, </w:t>
      </w:r>
      <w:r w:rsidR="009F6319">
        <w:rPr>
          <w:szCs w:val="20"/>
        </w:rPr>
        <w:t>le mieux est</w:t>
      </w:r>
      <w:r w:rsidRPr="00713D60">
        <w:rPr>
          <w:szCs w:val="20"/>
        </w:rPr>
        <w:t xml:space="preserve"> souvent </w:t>
      </w:r>
      <w:r w:rsidR="009F6319">
        <w:rPr>
          <w:szCs w:val="20"/>
        </w:rPr>
        <w:t>d’</w:t>
      </w:r>
      <w:r w:rsidRPr="00713D60">
        <w:rPr>
          <w:szCs w:val="20"/>
        </w:rPr>
        <w:t xml:space="preserve">attirer l’attention des participants concernés sur les aspects pertinents de la Convention et des DO ou sur les décisions et déclarations du Comité. À cet égard, les facilitateurs devraient passer en revue la récente évaluation </w:t>
      </w:r>
      <w:r w:rsidR="009F6319">
        <w:rPr>
          <w:szCs w:val="20"/>
        </w:rPr>
        <w:t>sur</w:t>
      </w:r>
      <w:r w:rsidRPr="00713D60">
        <w:rPr>
          <w:szCs w:val="20"/>
        </w:rPr>
        <w:t xml:space="preserve"> la mise en œuvre de la Convention (http://www.unesco.org/culture</w:t>
      </w:r>
      <w:r w:rsidRPr="00713D60">
        <w:t>/</w:t>
      </w:r>
      <w:r w:rsidRPr="00713D60">
        <w:rPr>
          <w:szCs w:val="20"/>
        </w:rPr>
        <w:t>ich/doc/s</w:t>
      </w:r>
      <w:r w:rsidR="006A6895">
        <w:rPr>
          <w:szCs w:val="20"/>
        </w:rPr>
        <w:t>rc/ITH-13-8.COM-INF.5.c-FR.doc).</w:t>
      </w:r>
    </w:p>
    <w:p w:rsidR="00DE5DF9" w:rsidRPr="00713D60" w:rsidRDefault="009F6319" w:rsidP="007B0D43">
      <w:pPr>
        <w:pStyle w:val="Texte1"/>
        <w:rPr>
          <w:szCs w:val="20"/>
        </w:rPr>
      </w:pPr>
      <w:r>
        <w:rPr>
          <w:szCs w:val="20"/>
        </w:rPr>
        <w:t>Au cours de</w:t>
      </w:r>
      <w:r w:rsidR="00453393" w:rsidRPr="00713D60">
        <w:rPr>
          <w:szCs w:val="20"/>
        </w:rPr>
        <w:t xml:space="preserve"> cette session, le facilitateur </w:t>
      </w:r>
      <w:r w:rsidR="00771568">
        <w:rPr>
          <w:szCs w:val="20"/>
        </w:rPr>
        <w:t>aura la possibilité de</w:t>
      </w:r>
      <w:r w:rsidR="00453393" w:rsidRPr="00713D60">
        <w:rPr>
          <w:szCs w:val="20"/>
        </w:rPr>
        <w:t xml:space="preserve"> clarifier des questions de fait et </w:t>
      </w:r>
      <w:r w:rsidR="00771568">
        <w:rPr>
          <w:szCs w:val="20"/>
        </w:rPr>
        <w:t xml:space="preserve">de </w:t>
      </w:r>
      <w:r w:rsidR="00453393" w:rsidRPr="00713D60">
        <w:rPr>
          <w:szCs w:val="20"/>
        </w:rPr>
        <w:t>fa</w:t>
      </w:r>
      <w:r w:rsidR="00771568">
        <w:rPr>
          <w:szCs w:val="20"/>
        </w:rPr>
        <w:t>voris</w:t>
      </w:r>
      <w:r w:rsidR="00453393" w:rsidRPr="00713D60">
        <w:rPr>
          <w:szCs w:val="20"/>
        </w:rPr>
        <w:t xml:space="preserve">er objectivement la discussion, tout en </w:t>
      </w:r>
      <w:r w:rsidR="00771568">
        <w:rPr>
          <w:szCs w:val="20"/>
        </w:rPr>
        <w:t>exprim</w:t>
      </w:r>
      <w:r w:rsidR="00453393" w:rsidRPr="00713D60">
        <w:rPr>
          <w:szCs w:val="20"/>
        </w:rPr>
        <w:t xml:space="preserve">ant le point de vue de l’UNESCO et du Comité affirmant que tout pays a intérêt à adhérer à la Convention. Le facilitateur pourra également </w:t>
      </w:r>
      <w:r w:rsidR="00771568">
        <w:rPr>
          <w:szCs w:val="20"/>
        </w:rPr>
        <w:t>noter</w:t>
      </w:r>
      <w:r w:rsidR="00453393" w:rsidRPr="00713D60">
        <w:rPr>
          <w:szCs w:val="20"/>
        </w:rPr>
        <w:t xml:space="preserve"> </w:t>
      </w:r>
      <w:r w:rsidR="00771568">
        <w:rPr>
          <w:szCs w:val="20"/>
        </w:rPr>
        <w:t>l</w:t>
      </w:r>
      <w:r w:rsidR="00453393" w:rsidRPr="00713D60">
        <w:rPr>
          <w:szCs w:val="20"/>
        </w:rPr>
        <w:t xml:space="preserve">es possibilités et </w:t>
      </w:r>
      <w:r w:rsidR="00771568">
        <w:rPr>
          <w:szCs w:val="20"/>
        </w:rPr>
        <w:t>l</w:t>
      </w:r>
      <w:r w:rsidR="00453393" w:rsidRPr="00713D60">
        <w:rPr>
          <w:szCs w:val="20"/>
        </w:rPr>
        <w:t xml:space="preserve">es obstacles à la ratification tels que les </w:t>
      </w:r>
      <w:r w:rsidR="00DD764F">
        <w:rPr>
          <w:szCs w:val="20"/>
        </w:rPr>
        <w:t xml:space="preserve">lui </w:t>
      </w:r>
      <w:r w:rsidR="00453393" w:rsidRPr="00713D60">
        <w:rPr>
          <w:szCs w:val="20"/>
        </w:rPr>
        <w:t>ont décrit</w:t>
      </w:r>
      <w:r w:rsidR="00DD764F">
        <w:rPr>
          <w:szCs w:val="20"/>
        </w:rPr>
        <w:t>s</w:t>
      </w:r>
      <w:r w:rsidR="00453393" w:rsidRPr="00713D60">
        <w:rPr>
          <w:szCs w:val="20"/>
        </w:rPr>
        <w:t xml:space="preserve"> les participants. Il devra soumettre ces notes, avec l’a</w:t>
      </w:r>
      <w:r w:rsidR="00DD764F">
        <w:rPr>
          <w:szCs w:val="20"/>
        </w:rPr>
        <w:t>utorisation</w:t>
      </w:r>
      <w:r w:rsidR="00453393" w:rsidRPr="00713D60">
        <w:rPr>
          <w:szCs w:val="20"/>
        </w:rPr>
        <w:t xml:space="preserve"> des participants, à la Section du patrimoine culturel immatériel de l’UNESCO avec son rapport sur l’atelier. Ce</w:t>
      </w:r>
      <w:r w:rsidR="00DD764F">
        <w:rPr>
          <w:szCs w:val="20"/>
        </w:rPr>
        <w:t>s éléments d’</w:t>
      </w:r>
      <w:r w:rsidR="00453393" w:rsidRPr="00713D60">
        <w:rPr>
          <w:szCs w:val="20"/>
        </w:rPr>
        <w:t>information permettr</w:t>
      </w:r>
      <w:r w:rsidR="00DD764F">
        <w:rPr>
          <w:szCs w:val="20"/>
        </w:rPr>
        <w:t>ont</w:t>
      </w:r>
      <w:r w:rsidR="00453393" w:rsidRPr="00713D60">
        <w:rPr>
          <w:szCs w:val="20"/>
        </w:rPr>
        <w:t xml:space="preserve"> à la Section d</w:t>
      </w:r>
      <w:r w:rsidR="00DD764F">
        <w:rPr>
          <w:szCs w:val="20"/>
        </w:rPr>
        <w:t>’appréhender</w:t>
      </w:r>
      <w:r w:rsidR="00453393" w:rsidRPr="00713D60">
        <w:rPr>
          <w:szCs w:val="20"/>
        </w:rPr>
        <w:t xml:space="preserve"> les enjeux éventuels liés à la ratification de la Convention.</w:t>
      </w:r>
    </w:p>
    <w:p w:rsidR="00DE5DF9" w:rsidRPr="00713D60" w:rsidRDefault="00453393" w:rsidP="007B0D43">
      <w:pPr>
        <w:pStyle w:val="Texte1"/>
        <w:rPr>
          <w:szCs w:val="20"/>
        </w:rPr>
      </w:pPr>
      <w:r w:rsidRPr="00713D60">
        <w:rPr>
          <w:szCs w:val="20"/>
        </w:rPr>
        <w:t>Il convient de rappeler aux participants que les États parties et leurs délégations auprès de l’UNESCO qui envisagent la ratification peuvent à tout moment demander conseil et assistance, à titre individuel, auprès de la Section du patrimoine c</w:t>
      </w:r>
      <w:r w:rsidR="006A6895">
        <w:rPr>
          <w:szCs w:val="20"/>
        </w:rPr>
        <w:t>ulturel immatériel de l’UNESCO.</w:t>
      </w:r>
    </w:p>
    <w:p w:rsidR="00DE5DF9" w:rsidRPr="00713D60" w:rsidRDefault="00453393" w:rsidP="007B0D43">
      <w:pPr>
        <w:pStyle w:val="Heading4"/>
        <w:tabs>
          <w:tab w:val="left" w:pos="567"/>
        </w:tabs>
        <w:snapToGrid w:val="0"/>
        <w:spacing w:before="200" w:after="0" w:line="240" w:lineRule="auto"/>
        <w:jc w:val="both"/>
        <w:rPr>
          <w:rFonts w:eastAsiaTheme="majorEastAsia" w:cs="Arial"/>
          <w:iCs/>
          <w:sz w:val="18"/>
          <w:szCs w:val="18"/>
          <w:lang w:val="fr-FR" w:eastAsia="zh-CN"/>
        </w:rPr>
      </w:pPr>
      <w:r w:rsidRPr="00713D60">
        <w:rPr>
          <w:rFonts w:eastAsiaTheme="majorEastAsia" w:cs="Arial"/>
          <w:iCs/>
          <w:sz w:val="18"/>
          <w:szCs w:val="18"/>
          <w:lang w:val="fr-FR" w:eastAsia="zh-CN"/>
        </w:rPr>
        <w:t>LIENS AVEC D’AUTRES CONVENTIONS DE L’UNESCO</w:t>
      </w:r>
    </w:p>
    <w:p w:rsidR="00DE5DF9" w:rsidRPr="00713D60" w:rsidRDefault="00453393" w:rsidP="007B0D43">
      <w:pPr>
        <w:pStyle w:val="Texte1"/>
        <w:rPr>
          <w:szCs w:val="20"/>
        </w:rPr>
      </w:pPr>
      <w:r w:rsidRPr="00713D60">
        <w:rPr>
          <w:szCs w:val="20"/>
        </w:rPr>
        <w:t xml:space="preserve">Les Unités 2 et 13 évoquent les liens et les différences entre trois Conventions de l’UNESCO qui contribuent à promouvoir la diversité culturelle, </w:t>
      </w:r>
      <w:r w:rsidR="004B5AC0">
        <w:rPr>
          <w:szCs w:val="20"/>
        </w:rPr>
        <w:t>en particulier</w:t>
      </w:r>
      <w:r w:rsidRPr="00713D60">
        <w:rPr>
          <w:szCs w:val="20"/>
        </w:rPr>
        <w:t xml:space="preserve"> la Convention du patrimoine immatériel</w:t>
      </w:r>
      <w:r w:rsidR="006A6895">
        <w:rPr>
          <w:szCs w:val="20"/>
        </w:rPr>
        <w:t>.</w:t>
      </w:r>
    </w:p>
    <w:p w:rsidR="00DE5DF9" w:rsidRPr="00713D60" w:rsidRDefault="00453393" w:rsidP="007B0D43">
      <w:pPr>
        <w:pStyle w:val="Heading4"/>
        <w:tabs>
          <w:tab w:val="left" w:pos="567"/>
        </w:tabs>
        <w:snapToGrid w:val="0"/>
        <w:spacing w:before="200" w:after="0" w:line="240" w:lineRule="auto"/>
        <w:jc w:val="both"/>
        <w:rPr>
          <w:rFonts w:eastAsiaTheme="majorEastAsia" w:cs="Arial"/>
          <w:iCs/>
          <w:sz w:val="18"/>
          <w:szCs w:val="18"/>
          <w:lang w:val="fr-FR" w:eastAsia="zh-CN"/>
        </w:rPr>
      </w:pPr>
      <w:r w:rsidRPr="00713D60">
        <w:rPr>
          <w:rFonts w:eastAsiaTheme="majorEastAsia" w:cs="Arial"/>
          <w:iCs/>
          <w:sz w:val="18"/>
          <w:szCs w:val="18"/>
          <w:lang w:val="fr-FR" w:eastAsia="zh-CN"/>
        </w:rPr>
        <w:t>DROITS DE PROPRIÉTÉ INTELLECTUELLE</w:t>
      </w:r>
    </w:p>
    <w:p w:rsidR="00DE5DF9" w:rsidRPr="00713D60" w:rsidRDefault="00453393" w:rsidP="007B0D43">
      <w:pPr>
        <w:pStyle w:val="Texte1"/>
        <w:rPr>
          <w:szCs w:val="20"/>
        </w:rPr>
      </w:pPr>
      <w:r w:rsidRPr="00713D60">
        <w:rPr>
          <w:szCs w:val="20"/>
        </w:rPr>
        <w:t>La Convention ne crée pas de nouveaux droits de propriété intellectuelle et n’affecte en rien les droits existants en termes de PCI (article 3(b)) : il appartient à chaque pays de réglementer ces droits à l’échelle nationale. À cet égard, le travail accompli par l’Organisation mondiale de la propriété intellectuelle (OMPI) constitue une bonne source d’inspiration. Les États membres de l’OMPI (en grande partie les mêmes que les États membres de l’UNESCO) étudient les possibilités de réglementation des droits de propriété intellectuelle relatifs aux savoirs traditionnels et aux expressions culturelles tradition</w:t>
      </w:r>
      <w:r w:rsidR="006A6895">
        <w:rPr>
          <w:szCs w:val="20"/>
        </w:rPr>
        <w:t>nelles au niveau international.</w:t>
      </w:r>
    </w:p>
    <w:p w:rsidR="0042369B" w:rsidRPr="002A4594" w:rsidRDefault="00453393" w:rsidP="00EA632D">
      <w:pPr>
        <w:ind w:left="850"/>
        <w:rPr>
          <w:sz w:val="20"/>
          <w:szCs w:val="20"/>
          <w:lang w:val="fr-FR"/>
        </w:rPr>
      </w:pPr>
      <w:r w:rsidRPr="00713D60">
        <w:rPr>
          <w:sz w:val="20"/>
          <w:szCs w:val="20"/>
          <w:lang w:val="fr-FR"/>
        </w:rPr>
        <w:t>Des informations complémentaires sur les droits de propriété intellectuelle sont données dans l’Unité 3.</w:t>
      </w:r>
    </w:p>
    <w:p w:rsidR="00C110B1" w:rsidRPr="002A4594" w:rsidRDefault="00453393">
      <w:pPr>
        <w:tabs>
          <w:tab w:val="clear" w:pos="567"/>
        </w:tabs>
        <w:snapToGrid/>
        <w:spacing w:before="0" w:after="0"/>
        <w:jc w:val="left"/>
        <w:rPr>
          <w:sz w:val="20"/>
          <w:szCs w:val="20"/>
          <w:lang w:val="fr-FR"/>
        </w:rPr>
      </w:pPr>
      <w:r w:rsidRPr="00713D60">
        <w:rPr>
          <w:sz w:val="20"/>
          <w:szCs w:val="20"/>
          <w:lang w:val="fr-FR"/>
        </w:rPr>
        <w:br w:type="page"/>
      </w:r>
    </w:p>
    <w:p w:rsidR="00DC2267" w:rsidRPr="00713D60" w:rsidRDefault="00453393" w:rsidP="007B0D43">
      <w:pPr>
        <w:pStyle w:val="Chapitre"/>
        <w:keepNext w:val="0"/>
        <w:keepLines w:val="0"/>
        <w:contextualSpacing/>
        <w:rPr>
          <w:noProof w:val="0"/>
          <w:spacing w:val="5"/>
          <w:lang w:val="fr-FR"/>
        </w:rPr>
      </w:pPr>
      <w:r w:rsidRPr="00713D60">
        <w:rPr>
          <w:noProof w:val="0"/>
          <w:spacing w:val="5"/>
          <w:lang w:val="fr-FR"/>
        </w:rPr>
        <w:lastRenderedPageBreak/>
        <w:t>UNITÉ 17</w:t>
      </w:r>
    </w:p>
    <w:p w:rsidR="003757E3" w:rsidRDefault="006A6895" w:rsidP="00713D60">
      <w:pPr>
        <w:pStyle w:val="UPlan"/>
        <w:rPr>
          <w:lang w:val="fr-FR"/>
        </w:rPr>
      </w:pPr>
      <w:bookmarkStart w:id="4" w:name="_Toc241644706"/>
      <w:r w:rsidRPr="006A6895">
        <w:rPr>
          <w:lang w:val="fr-FR"/>
        </w:rPr>
        <w:t>RATIFICATION DE LA CONVENTION</w:t>
      </w:r>
    </w:p>
    <w:p w:rsidR="00623F59" w:rsidRPr="006A6895" w:rsidRDefault="00623F59" w:rsidP="00713D60">
      <w:pPr>
        <w:pStyle w:val="UPlan"/>
        <w:rPr>
          <w:lang w:val="fr-FR"/>
        </w:rPr>
      </w:pPr>
      <w:r w:rsidRPr="00623F59">
        <w:rPr>
          <w:sz w:val="32"/>
          <w:lang w:val="fr-FR"/>
        </w:rPr>
        <w:t>ExposÉ</w:t>
      </w:r>
      <w:r>
        <w:rPr>
          <w:sz w:val="32"/>
          <w:lang w:val="fr-FR"/>
        </w:rPr>
        <w:t xml:space="preserve"> du facilitateur</w:t>
      </w:r>
    </w:p>
    <w:p w:rsidR="002712D0" w:rsidRPr="00713D60" w:rsidRDefault="006A6895" w:rsidP="007B0D43">
      <w:pPr>
        <w:pStyle w:val="Heading6"/>
        <w:rPr>
          <w:lang w:val="fr-FR"/>
        </w:rPr>
      </w:pPr>
      <w:bookmarkStart w:id="5" w:name="_Toc179210105"/>
      <w:bookmarkEnd w:id="4"/>
      <w:r>
        <w:rPr>
          <w:lang w:val="fr-FR"/>
        </w:rPr>
        <w:t>DIAPOSITIVE 1.</w:t>
      </w:r>
    </w:p>
    <w:p w:rsidR="00DC2267" w:rsidRPr="00713D60" w:rsidRDefault="00453393" w:rsidP="007B0D43">
      <w:pPr>
        <w:pStyle w:val="diapo2"/>
        <w:rPr>
          <w:noProof w:val="0"/>
        </w:rPr>
      </w:pPr>
      <w:r w:rsidRPr="00713D60">
        <w:rPr>
          <w:noProof w:val="0"/>
        </w:rPr>
        <w:t>Ratification de la Convention</w:t>
      </w:r>
      <w:bookmarkEnd w:id="5"/>
    </w:p>
    <w:p w:rsidR="002712D0" w:rsidRPr="00713D60" w:rsidRDefault="006A6895" w:rsidP="007B0D43">
      <w:pPr>
        <w:pStyle w:val="Heading6"/>
        <w:rPr>
          <w:lang w:val="fr-FR"/>
        </w:rPr>
      </w:pPr>
      <w:r>
        <w:rPr>
          <w:lang w:val="fr-FR"/>
        </w:rPr>
        <w:t>DIAPOSITIVE 2.</w:t>
      </w:r>
    </w:p>
    <w:p w:rsidR="00DC2267" w:rsidRPr="00713D60" w:rsidRDefault="00453393" w:rsidP="007B0D43">
      <w:pPr>
        <w:pStyle w:val="diapo2"/>
        <w:rPr>
          <w:noProof w:val="0"/>
        </w:rPr>
      </w:pPr>
      <w:r w:rsidRPr="00713D60">
        <w:rPr>
          <w:noProof w:val="0"/>
        </w:rPr>
        <w:t>Dans cette présentation …</w:t>
      </w:r>
    </w:p>
    <w:p w:rsidR="003757E3" w:rsidRPr="00713D60" w:rsidRDefault="006A6895" w:rsidP="00713D60">
      <w:pPr>
        <w:pStyle w:val="Heading6"/>
        <w:spacing w:before="240"/>
        <w:rPr>
          <w:lang w:val="fr-FR"/>
        </w:rPr>
      </w:pPr>
      <w:r>
        <w:rPr>
          <w:lang w:val="fr-FR"/>
        </w:rPr>
        <w:t>DIAPOSITIVE 3.</w:t>
      </w:r>
    </w:p>
    <w:p w:rsidR="00A879FA" w:rsidRPr="002A4594" w:rsidRDefault="00453393" w:rsidP="00A879FA">
      <w:pPr>
        <w:tabs>
          <w:tab w:val="left" w:pos="3560"/>
        </w:tabs>
        <w:spacing w:before="240" w:after="60" w:line="280" w:lineRule="exact"/>
        <w:ind w:left="851" w:hanging="851"/>
        <w:jc w:val="left"/>
        <w:rPr>
          <w:snapToGrid/>
          <w:sz w:val="20"/>
          <w:szCs w:val="20"/>
          <w:lang w:val="fr-FR"/>
        </w:rPr>
      </w:pPr>
      <w:r w:rsidRPr="00713D60">
        <w:rPr>
          <w:b/>
          <w:sz w:val="24"/>
          <w:szCs w:val="22"/>
          <w:lang w:val="fr-FR" w:eastAsia="en-US"/>
        </w:rPr>
        <w:t>Processus</w:t>
      </w:r>
      <w:r w:rsidR="006A6895">
        <w:rPr>
          <w:b/>
          <w:sz w:val="24"/>
          <w:szCs w:val="22"/>
          <w:lang w:val="fr-FR" w:eastAsia="en-US"/>
        </w:rPr>
        <w:t xml:space="preserve"> de ratification</w:t>
      </w:r>
    </w:p>
    <w:p w:rsidR="003757E3" w:rsidRPr="00713D60" w:rsidRDefault="00453393" w:rsidP="00713D60">
      <w:pPr>
        <w:tabs>
          <w:tab w:val="left" w:pos="3560"/>
        </w:tabs>
        <w:spacing w:after="60" w:line="280" w:lineRule="exact"/>
        <w:ind w:left="851" w:hanging="794"/>
        <w:rPr>
          <w:snapToGrid/>
          <w:sz w:val="20"/>
          <w:szCs w:val="20"/>
          <w:lang w:val="fr-FR"/>
        </w:rPr>
      </w:pPr>
      <w:r w:rsidRPr="00713D60">
        <w:rPr>
          <w:snapToGrid/>
          <w:sz w:val="20"/>
          <w:szCs w:val="20"/>
          <w:lang w:val="fr-FR"/>
        </w:rPr>
        <w:tab/>
      </w:r>
      <w:r w:rsidRPr="00713D60">
        <w:rPr>
          <w:snapToGrid/>
          <w:sz w:val="20"/>
          <w:szCs w:val="20"/>
          <w:lang w:val="fr-FR"/>
        </w:rPr>
        <w:tab/>
        <w:t>Le paragraphe 17.1 du Texte du participant explique les aspects juridiques de la ratification pour les États membres de l’UNESCO (comme le montre la diapositive) et les États non membres.</w:t>
      </w:r>
    </w:p>
    <w:p w:rsidR="0042369B" w:rsidRPr="00713D60" w:rsidRDefault="00453393" w:rsidP="007B0D43">
      <w:pPr>
        <w:pStyle w:val="Soustitre"/>
        <w:keepLines/>
        <w:tabs>
          <w:tab w:val="left" w:pos="567"/>
        </w:tabs>
        <w:snapToGrid w:val="0"/>
        <w:spacing w:before="240"/>
        <w:rPr>
          <w:rFonts w:eastAsia="Times New Roman"/>
          <w:noProof w:val="0"/>
          <w:snapToGrid w:val="0"/>
          <w:lang w:eastAsia="zh-CN"/>
        </w:rPr>
      </w:pPr>
      <w:r w:rsidRPr="00713D60">
        <w:rPr>
          <w:rFonts w:eastAsia="Times New Roman"/>
          <w:noProof w:val="0"/>
          <w:snapToGrid w:val="0"/>
          <w:lang w:eastAsia="zh-CN"/>
        </w:rPr>
        <w:t>Remarque sur les réserves/déclarations</w:t>
      </w:r>
    </w:p>
    <w:p w:rsidR="0042369B" w:rsidRPr="00713D60" w:rsidRDefault="00453393" w:rsidP="007B0D43">
      <w:pPr>
        <w:pStyle w:val="Texte1"/>
        <w:rPr>
          <w:szCs w:val="20"/>
        </w:rPr>
      </w:pPr>
      <w:r w:rsidRPr="00713D60">
        <w:rPr>
          <w:szCs w:val="20"/>
        </w:rPr>
        <w:t xml:space="preserve">L’article 26.2 de la Convention du patrimoine immatériel </w:t>
      </w:r>
      <w:r w:rsidR="002B7274">
        <w:rPr>
          <w:szCs w:val="20"/>
        </w:rPr>
        <w:t>indique</w:t>
      </w:r>
      <w:r w:rsidRPr="00713D60">
        <w:rPr>
          <w:szCs w:val="20"/>
        </w:rPr>
        <w:t xml:space="preserve"> explicite</w:t>
      </w:r>
      <w:r w:rsidR="002B7274">
        <w:rPr>
          <w:szCs w:val="20"/>
        </w:rPr>
        <w:t>ment</w:t>
      </w:r>
      <w:r w:rsidRPr="00713D60">
        <w:rPr>
          <w:szCs w:val="20"/>
        </w:rPr>
        <w:t xml:space="preserve"> qu’un État, lors du dépôt de l’instrument de ratification, peut déclarer qu’il n’est pas lié par les dispositions de l’article 26.1 concernant les contributions au Fonds de la Convention. En vertu de ces déclarations, plusieurs États parties ne sont actuellement pas liés par les dispositions de l’article 26.1.</w:t>
      </w:r>
    </w:p>
    <w:p w:rsidR="0042369B" w:rsidRPr="00713D60" w:rsidRDefault="00453393" w:rsidP="007B0D43">
      <w:pPr>
        <w:pStyle w:val="Texte1"/>
        <w:rPr>
          <w:szCs w:val="20"/>
        </w:rPr>
      </w:pPr>
      <w:r w:rsidRPr="00713D60">
        <w:rPr>
          <w:szCs w:val="20"/>
        </w:rPr>
        <w:t xml:space="preserve">L’article 26.3 de la Convention du patrimoine immatériel prie instamment les États parties qui ont </w:t>
      </w:r>
      <w:r w:rsidR="002B7274">
        <w:rPr>
          <w:szCs w:val="20"/>
        </w:rPr>
        <w:t>exprimé</w:t>
      </w:r>
      <w:r w:rsidRPr="00713D60">
        <w:rPr>
          <w:szCs w:val="20"/>
        </w:rPr>
        <w:t xml:space="preserve"> la réserve mentionnée à l’article 26.2 de s’efforcer de la retirer moyennant notification au</w:t>
      </w:r>
      <w:r w:rsidR="006A6895">
        <w:rPr>
          <w:szCs w:val="20"/>
        </w:rPr>
        <w:t xml:space="preserve"> Directeur général de l’UNESCO.</w:t>
      </w:r>
    </w:p>
    <w:p w:rsidR="0042369B" w:rsidRPr="00713D60" w:rsidRDefault="00453393" w:rsidP="007B0D43">
      <w:pPr>
        <w:pStyle w:val="Texte1"/>
        <w:rPr>
          <w:szCs w:val="20"/>
        </w:rPr>
      </w:pPr>
      <w:r w:rsidRPr="00713D60">
        <w:rPr>
          <w:szCs w:val="20"/>
        </w:rPr>
        <w:t>La Convention ne prévoit aucune autre disposition au sujet des réserves ou des déclarations, mais conformément à l’article 19 de la Convention de Vienne sur le droit des traités</w:t>
      </w:r>
      <w:r w:rsidRPr="00713D60">
        <w:rPr>
          <w:sz w:val="16"/>
        </w:rPr>
        <w:footnoteReference w:id="3"/>
      </w:r>
      <w:r w:rsidRPr="00713D60">
        <w:rPr>
          <w:szCs w:val="20"/>
        </w:rPr>
        <w:t xml:space="preserve">, les États peuvent toutefois formuler d’autres réserves lors de la ratification, si tant est qu’elles soient jugées compatibles avec l’objet et le but de la Convention. À ce jour, les déclarations </w:t>
      </w:r>
      <w:r w:rsidR="00C25FF4">
        <w:rPr>
          <w:szCs w:val="20"/>
        </w:rPr>
        <w:t xml:space="preserve">faites </w:t>
      </w:r>
      <w:r w:rsidRPr="00713D60">
        <w:rPr>
          <w:szCs w:val="20"/>
        </w:rPr>
        <w:t xml:space="preserve">en ce sens concernent </w:t>
      </w:r>
      <w:r w:rsidR="00C25FF4">
        <w:rPr>
          <w:szCs w:val="20"/>
        </w:rPr>
        <w:t>essentiell</w:t>
      </w:r>
      <w:r w:rsidRPr="00713D60">
        <w:rPr>
          <w:szCs w:val="20"/>
        </w:rPr>
        <w:t>ement des limitations ou des extensions de l’application</w:t>
      </w:r>
      <w:r w:rsidR="006A6895">
        <w:rPr>
          <w:szCs w:val="20"/>
        </w:rPr>
        <w:t xml:space="preserve"> territoriale de la Convention.</w:t>
      </w:r>
    </w:p>
    <w:p w:rsidR="00F15F4A" w:rsidRPr="002A4594" w:rsidRDefault="00453393" w:rsidP="007B0D43">
      <w:pPr>
        <w:pStyle w:val="Texte1"/>
        <w:rPr>
          <w:szCs w:val="20"/>
        </w:rPr>
      </w:pPr>
      <w:r w:rsidRPr="00713D60">
        <w:rPr>
          <w:szCs w:val="20"/>
        </w:rPr>
        <w:t xml:space="preserve">Le </w:t>
      </w:r>
      <w:r w:rsidR="00C25FF4">
        <w:rPr>
          <w:szCs w:val="20"/>
        </w:rPr>
        <w:t>service</w:t>
      </w:r>
      <w:r w:rsidRPr="00713D60">
        <w:rPr>
          <w:szCs w:val="20"/>
        </w:rPr>
        <w:t xml:space="preserve"> juridique de l’UNESCO présente sur le site Web de l’O</w:t>
      </w:r>
      <w:r w:rsidR="00C25FF4">
        <w:rPr>
          <w:szCs w:val="20"/>
        </w:rPr>
        <w:t>rganisation</w:t>
      </w:r>
      <w:r w:rsidRPr="00713D60">
        <w:rPr>
          <w:szCs w:val="20"/>
        </w:rPr>
        <w:t xml:space="preserve"> les réserves et les déclarations </w:t>
      </w:r>
      <w:r w:rsidR="00C25FF4">
        <w:rPr>
          <w:szCs w:val="20"/>
        </w:rPr>
        <w:t>émises</w:t>
      </w:r>
      <w:r w:rsidRPr="00713D60">
        <w:rPr>
          <w:szCs w:val="20"/>
        </w:rPr>
        <w:t xml:space="preserve"> jusqu’à maintenant par </w:t>
      </w:r>
      <w:r w:rsidR="00C25FF4">
        <w:rPr>
          <w:szCs w:val="20"/>
        </w:rPr>
        <w:t>d</w:t>
      </w:r>
      <w:r w:rsidRPr="00713D60">
        <w:rPr>
          <w:szCs w:val="20"/>
        </w:rPr>
        <w:t>es États ayant ratifié la Convention.</w:t>
      </w:r>
    </w:p>
    <w:p w:rsidR="003757E3" w:rsidRPr="00713D60" w:rsidRDefault="00453393" w:rsidP="00713D60">
      <w:pPr>
        <w:pStyle w:val="Texte1"/>
      </w:pPr>
      <w:r w:rsidRPr="00713D60">
        <w:rPr>
          <w:color w:val="000000" w:themeColor="text1"/>
          <w:szCs w:val="20"/>
        </w:rPr>
        <w:lastRenderedPageBreak/>
        <w:t>Voir</w:t>
      </w:r>
      <w:r w:rsidRPr="00713D60">
        <w:rPr>
          <w:szCs w:val="20"/>
        </w:rPr>
        <w:t> :</w:t>
      </w:r>
      <w:r w:rsidRPr="00713D60">
        <w:rPr>
          <w:szCs w:val="20"/>
        </w:rPr>
        <w:tab/>
        <w:t xml:space="preserve"> </w:t>
      </w:r>
      <w:hyperlink r:id="rId12" w:history="1">
        <w:r w:rsidRPr="00713D60">
          <w:t>http://portal.unesco.org/fr/ev.php-</w:t>
        </w:r>
        <w:r w:rsidR="003757E3" w:rsidRPr="00713D60">
          <w:rPr>
            <w:noProof/>
            <w:lang w:eastAsia="zh-TW"/>
          </w:rPr>
          <w:drawing>
            <wp:anchor distT="0" distB="0" distL="114300" distR="114300" simplePos="0" relativeHeight="251664384" behindDoc="0" locked="1" layoutInCell="1" allowOverlap="0" wp14:anchorId="24753546" wp14:editId="3F898816">
              <wp:simplePos x="0" y="0"/>
              <wp:positionH relativeFrom="margin">
                <wp:posOffset>-635</wp:posOffset>
              </wp:positionH>
              <wp:positionV relativeFrom="paragraph">
                <wp:posOffset>0</wp:posOffset>
              </wp:positionV>
              <wp:extent cx="273050" cy="349250"/>
              <wp:effectExtent l="25400" t="0" r="6350"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3050" cy="349250"/>
                      </a:xfrm>
                      <a:prstGeom prst="rect">
                        <a:avLst/>
                      </a:prstGeom>
                    </pic:spPr>
                  </pic:pic>
                </a:graphicData>
              </a:graphic>
            </wp:anchor>
          </w:drawing>
        </w:r>
        <w:r w:rsidRPr="00713D60">
          <w:t>URL_ID=17716&amp;URL_DO=DO_TOPIC&amp;URL_SECTION=201.html</w:t>
        </w:r>
      </w:hyperlink>
      <w:r w:rsidRPr="00713D60">
        <w:rPr>
          <w:szCs w:val="20"/>
        </w:rPr>
        <w:t>#RESERVES</w:t>
      </w:r>
    </w:p>
    <w:p w:rsidR="0042369B" w:rsidRPr="00713D60" w:rsidRDefault="00453393" w:rsidP="007B0D43">
      <w:pPr>
        <w:pStyle w:val="Soustitre"/>
        <w:keepLines/>
        <w:tabs>
          <w:tab w:val="left" w:pos="567"/>
        </w:tabs>
        <w:snapToGrid w:val="0"/>
        <w:spacing w:before="240"/>
        <w:rPr>
          <w:noProof w:val="0"/>
          <w:snapToGrid w:val="0"/>
          <w:lang w:eastAsia="zh-CN"/>
        </w:rPr>
      </w:pPr>
      <w:r w:rsidRPr="00713D60">
        <w:rPr>
          <w:noProof w:val="0"/>
          <w:snapToGrid w:val="0"/>
          <w:lang w:eastAsia="zh-CN"/>
        </w:rPr>
        <w:t>Déclarations et réserves des États parties lors de la ratification de la Convention </w:t>
      </w:r>
    </w:p>
    <w:p w:rsidR="0042369B" w:rsidRPr="00713D60" w:rsidRDefault="00453393" w:rsidP="007B0D43">
      <w:pPr>
        <w:pStyle w:val="Texte1"/>
        <w:rPr>
          <w:szCs w:val="20"/>
        </w:rPr>
      </w:pPr>
      <w:r w:rsidRPr="00713D60">
        <w:rPr>
          <w:b/>
          <w:szCs w:val="20"/>
        </w:rPr>
        <w:t>Arabie Saoudite </w:t>
      </w:r>
      <w:r w:rsidRPr="00713D60">
        <w:rPr>
          <w:szCs w:val="20"/>
        </w:rPr>
        <w:t xml:space="preserve">: « J’annonce par le présent document sur l’adhésion de l’Arabie saoudite et l’acceptation de la Convention pour la sauvegarde du patrimoine culturel immatériel et son engagement à mettre en œuvre </w:t>
      </w:r>
      <w:r w:rsidR="00054CA0">
        <w:rPr>
          <w:szCs w:val="20"/>
        </w:rPr>
        <w:t>s</w:t>
      </w:r>
      <w:r w:rsidRPr="00713D60">
        <w:rPr>
          <w:szCs w:val="20"/>
        </w:rPr>
        <w:t xml:space="preserve">es </w:t>
      </w:r>
      <w:r w:rsidR="00A22BCE">
        <w:rPr>
          <w:szCs w:val="20"/>
        </w:rPr>
        <w:t xml:space="preserve">éléments </w:t>
      </w:r>
      <w:r w:rsidRPr="00713D60">
        <w:rPr>
          <w:szCs w:val="20"/>
        </w:rPr>
        <w:t xml:space="preserve">sans </w:t>
      </w:r>
      <w:r w:rsidRPr="00713D60">
        <w:rPr>
          <w:color w:val="000000" w:themeColor="text1"/>
          <w:szCs w:val="20"/>
        </w:rPr>
        <w:t xml:space="preserve">être liée par les </w:t>
      </w:r>
      <w:r w:rsidR="00A22BCE" w:rsidRPr="002A4594">
        <w:rPr>
          <w:szCs w:val="20"/>
        </w:rPr>
        <w:t xml:space="preserve">dispositions </w:t>
      </w:r>
      <w:r w:rsidRPr="00713D60">
        <w:rPr>
          <w:color w:val="000000" w:themeColor="text1"/>
          <w:szCs w:val="20"/>
        </w:rPr>
        <w:t>du</w:t>
      </w:r>
      <w:r w:rsidRPr="00713D60">
        <w:rPr>
          <w:szCs w:val="20"/>
        </w:rPr>
        <w:t xml:space="preserve"> paragraphe </w:t>
      </w:r>
      <w:r w:rsidR="00A22BCE">
        <w:rPr>
          <w:szCs w:val="20"/>
        </w:rPr>
        <w:t>(</w:t>
      </w:r>
      <w:r w:rsidRPr="00713D60">
        <w:rPr>
          <w:szCs w:val="20"/>
        </w:rPr>
        <w:t>1</w:t>
      </w:r>
      <w:r w:rsidR="00A22BCE">
        <w:rPr>
          <w:szCs w:val="20"/>
        </w:rPr>
        <w:t>)</w:t>
      </w:r>
      <w:r w:rsidRPr="00713D60">
        <w:rPr>
          <w:szCs w:val="20"/>
        </w:rPr>
        <w:t xml:space="preserve"> de l’article </w:t>
      </w:r>
      <w:r w:rsidR="00A22BCE">
        <w:rPr>
          <w:szCs w:val="20"/>
        </w:rPr>
        <w:t>(</w:t>
      </w:r>
      <w:r w:rsidRPr="00713D60">
        <w:rPr>
          <w:szCs w:val="20"/>
        </w:rPr>
        <w:t>26</w:t>
      </w:r>
      <w:r w:rsidR="00A22BCE">
        <w:rPr>
          <w:szCs w:val="20"/>
        </w:rPr>
        <w:t>)</w:t>
      </w:r>
      <w:r w:rsidRPr="00713D60">
        <w:rPr>
          <w:szCs w:val="20"/>
        </w:rPr>
        <w:t xml:space="preserve"> de la</w:t>
      </w:r>
      <w:r w:rsidR="00A22BCE">
        <w:rPr>
          <w:szCs w:val="20"/>
        </w:rPr>
        <w:t>dite</w:t>
      </w:r>
      <w:r w:rsidRPr="00713D60">
        <w:rPr>
          <w:szCs w:val="20"/>
        </w:rPr>
        <w:t xml:space="preserve"> Convention</w:t>
      </w:r>
      <w:r w:rsidR="00054CA0">
        <w:rPr>
          <w:szCs w:val="20"/>
        </w:rPr>
        <w:t> »</w:t>
      </w:r>
      <w:r w:rsidRPr="00713D60">
        <w:rPr>
          <w:szCs w:val="20"/>
        </w:rPr>
        <w:t>.</w:t>
      </w:r>
    </w:p>
    <w:p w:rsidR="0042369B" w:rsidRPr="00713D60" w:rsidRDefault="00453393" w:rsidP="007B0D43">
      <w:pPr>
        <w:pStyle w:val="Texte1"/>
        <w:rPr>
          <w:szCs w:val="20"/>
        </w:rPr>
      </w:pPr>
      <w:r w:rsidRPr="00713D60">
        <w:rPr>
          <w:b/>
          <w:szCs w:val="20"/>
        </w:rPr>
        <w:t>Argentine</w:t>
      </w:r>
      <w:r w:rsidRPr="00713D60">
        <w:rPr>
          <w:szCs w:val="20"/>
        </w:rPr>
        <w:t> : Déclaration : « La République argentine, conformément au paragraphe 2 de l’article 26 de la Convention, n’est pas liée par les dispositions du paragraphe 1 de cet article. Réserve : La République argentine considère que le paragraphe 2 de l’article 33 de la Convention et la disposition corrélative du paragraphe 5 de l’article 2 ne s’appliquent pas aux territoires faisant l’objet d’un différend de souveraineté entre deux États parties à la Convention reconnu par l’Assemblée générale des Nations Unies</w:t>
      </w:r>
      <w:r w:rsidR="00450E52">
        <w:rPr>
          <w:szCs w:val="20"/>
        </w:rPr>
        <w:t> ».</w:t>
      </w:r>
    </w:p>
    <w:p w:rsidR="0042369B" w:rsidRPr="00713D60" w:rsidRDefault="00453393" w:rsidP="007B0D43">
      <w:pPr>
        <w:pStyle w:val="Texte1"/>
        <w:rPr>
          <w:szCs w:val="20"/>
        </w:rPr>
      </w:pPr>
      <w:r w:rsidRPr="00713D60">
        <w:rPr>
          <w:b/>
          <w:szCs w:val="20"/>
        </w:rPr>
        <w:t>Colombie</w:t>
      </w:r>
      <w:r w:rsidRPr="00713D60">
        <w:rPr>
          <w:szCs w:val="20"/>
        </w:rPr>
        <w:t> : Déclaration : « Les amendements apportés à l’article 5 et ceux qui seront entrés en vigueur au moment où la Colombie deviendra partie à la Convention, auxquels il est fait référence aux alinéas 5 et 6 de l’article 38, n’entreront en vigueur à l’égard de la Colombie qu’une fois que la procédure interne d’approbation et de révision desdits amendements, préalable à leur ratification, aura été menée à son terme, conformément aux dispositions de l’article 150, alinéa 16, et de l’article 241, alinéa 10, de la Constitution politique de la Colombie.</w:t>
      </w:r>
      <w:r w:rsidR="00450E52">
        <w:rPr>
          <w:szCs w:val="20"/>
        </w:rPr>
        <w:t> »</w:t>
      </w:r>
    </w:p>
    <w:p w:rsidR="0042369B" w:rsidRPr="00713D60" w:rsidRDefault="00453393" w:rsidP="007B0D43">
      <w:pPr>
        <w:pStyle w:val="Texte1"/>
        <w:rPr>
          <w:szCs w:val="20"/>
        </w:rPr>
      </w:pPr>
      <w:r w:rsidRPr="00713D60">
        <w:rPr>
          <w:b/>
          <w:szCs w:val="20"/>
        </w:rPr>
        <w:t>Danemark</w:t>
      </w:r>
      <w:r w:rsidRPr="00713D60">
        <w:rPr>
          <w:szCs w:val="20"/>
        </w:rPr>
        <w:t xml:space="preserve"> : Déclaration : « Jusqu’à nouvel ordre, la Convention ne s’applique ni aux </w:t>
      </w:r>
      <w:r w:rsidR="00450E52">
        <w:rPr>
          <w:szCs w:val="20"/>
        </w:rPr>
        <w:t>î</w:t>
      </w:r>
      <w:r w:rsidRPr="00713D60">
        <w:rPr>
          <w:szCs w:val="20"/>
        </w:rPr>
        <w:t>les Féroé ni au Groenland. » Le 17 Décembre 2013, le Danemark informe la Directrice générale que « le Danemark retire sa déclaration en ce qui concerne le Groenland ».</w:t>
      </w:r>
    </w:p>
    <w:p w:rsidR="0042369B" w:rsidRPr="00713D60" w:rsidRDefault="00453393" w:rsidP="007B0D43">
      <w:pPr>
        <w:pStyle w:val="Texte1"/>
        <w:rPr>
          <w:szCs w:val="20"/>
        </w:rPr>
      </w:pPr>
      <w:r w:rsidRPr="00713D60">
        <w:rPr>
          <w:b/>
          <w:szCs w:val="20"/>
        </w:rPr>
        <w:t>Indonésie</w:t>
      </w:r>
      <w:r w:rsidRPr="00713D60">
        <w:rPr>
          <w:szCs w:val="20"/>
        </w:rPr>
        <w:t> : « Le Gouvernement de la République d’Indonésie, en vertu du paragraphe (2) de l'article 26 de la présente Convention, déclare qu’il n’est pas lié par les dispositions du paragraphe (1) de l'article 26. »</w:t>
      </w:r>
    </w:p>
    <w:p w:rsidR="0042369B" w:rsidRPr="00713D60" w:rsidRDefault="00453393" w:rsidP="007B0D43">
      <w:pPr>
        <w:pStyle w:val="Texte1"/>
        <w:rPr>
          <w:szCs w:val="20"/>
        </w:rPr>
      </w:pPr>
      <w:r w:rsidRPr="00713D60">
        <w:rPr>
          <w:b/>
          <w:szCs w:val="20"/>
        </w:rPr>
        <w:t>République arabe syrienne</w:t>
      </w:r>
      <w:r w:rsidRPr="00713D60">
        <w:rPr>
          <w:szCs w:val="20"/>
        </w:rPr>
        <w:t> : « Le fait que la République arabe syrienne ratifie la Convention n'implique en aucune façon la reconnaissance d'Israël ni ne conduit à traiter avec lui pour quoi que ce soit en vertu des dispositions de cette Convention.</w:t>
      </w:r>
      <w:r w:rsidR="00450E52">
        <w:rPr>
          <w:szCs w:val="20"/>
        </w:rPr>
        <w:t> »</w:t>
      </w:r>
    </w:p>
    <w:p w:rsidR="0042369B" w:rsidRPr="00713D60" w:rsidRDefault="00453393" w:rsidP="007B0D43">
      <w:pPr>
        <w:pStyle w:val="Texte1"/>
        <w:rPr>
          <w:szCs w:val="20"/>
        </w:rPr>
      </w:pPr>
      <w:r w:rsidRPr="00713D60">
        <w:rPr>
          <w:b/>
          <w:szCs w:val="20"/>
        </w:rPr>
        <w:t>Seychelles</w:t>
      </w:r>
      <w:r w:rsidRPr="00713D60">
        <w:rPr>
          <w:szCs w:val="20"/>
        </w:rPr>
        <w:t> : « La République des Seychelles, en vertu du présent instrument, ratifie la Convention pour la sauvegarde du patrimoine culturel immatériel adoptée par l'Organisation des Nations Unies pour l'éducation, la science et la culture, et se réserve le droit de ne pas être liée par les dispositions du paragraphe 1 de l'article 26. »</w:t>
      </w:r>
    </w:p>
    <w:p w:rsidR="0042369B" w:rsidRPr="00713D60" w:rsidRDefault="00453393" w:rsidP="007B0D43">
      <w:pPr>
        <w:pStyle w:val="Texte1"/>
        <w:rPr>
          <w:szCs w:val="20"/>
        </w:rPr>
      </w:pPr>
      <w:r w:rsidRPr="00713D60">
        <w:rPr>
          <w:b/>
          <w:szCs w:val="20"/>
        </w:rPr>
        <w:t>Chine</w:t>
      </w:r>
      <w:r w:rsidRPr="00713D60">
        <w:rPr>
          <w:szCs w:val="20"/>
        </w:rPr>
        <w:t> : Application territoriale : Notification (6 janvier 2005) : Extension à : Hong Kong.</w:t>
      </w:r>
    </w:p>
    <w:p w:rsidR="0042369B" w:rsidRPr="00713D60" w:rsidRDefault="00453393" w:rsidP="007B0D43">
      <w:pPr>
        <w:pStyle w:val="Texte1"/>
        <w:rPr>
          <w:szCs w:val="20"/>
        </w:rPr>
      </w:pPr>
      <w:r w:rsidRPr="00713D60">
        <w:rPr>
          <w:b/>
          <w:szCs w:val="20"/>
        </w:rPr>
        <w:t>Pays-Bas</w:t>
      </w:r>
      <w:r w:rsidRPr="00713D60">
        <w:rPr>
          <w:szCs w:val="20"/>
        </w:rPr>
        <w:t xml:space="preserve"> : Application territoriale : Notification (15 mai 2012) : </w:t>
      </w:r>
      <w:r w:rsidR="00A14290">
        <w:rPr>
          <w:szCs w:val="20"/>
        </w:rPr>
        <w:t xml:space="preserve">la </w:t>
      </w:r>
      <w:r w:rsidRPr="00713D60">
        <w:rPr>
          <w:szCs w:val="20"/>
        </w:rPr>
        <w:t>partie européenne des Pays-Bas, la partie caraïbe des Pays-Bas (les îles de Bonaire, Saint Eustache et Saba) et Aruba.</w:t>
      </w:r>
    </w:p>
    <w:p w:rsidR="0042369B" w:rsidRPr="00713D60" w:rsidRDefault="00453393" w:rsidP="007B0D43">
      <w:pPr>
        <w:pStyle w:val="Soustitre"/>
        <w:keepLines/>
        <w:tabs>
          <w:tab w:val="left" w:pos="567"/>
        </w:tabs>
        <w:snapToGrid w:val="0"/>
        <w:spacing w:before="240"/>
        <w:rPr>
          <w:noProof w:val="0"/>
          <w:snapToGrid w:val="0"/>
          <w:lang w:eastAsia="zh-CN"/>
        </w:rPr>
      </w:pPr>
      <w:r w:rsidRPr="00713D60">
        <w:rPr>
          <w:noProof w:val="0"/>
          <w:snapToGrid w:val="0"/>
          <w:lang w:eastAsia="zh-CN"/>
        </w:rPr>
        <w:t xml:space="preserve">Remarque </w:t>
      </w:r>
      <w:r w:rsidR="00A14290">
        <w:rPr>
          <w:noProof w:val="0"/>
          <w:snapToGrid w:val="0"/>
          <w:lang w:eastAsia="zh-CN"/>
        </w:rPr>
        <w:t>à propos de</w:t>
      </w:r>
      <w:r w:rsidRPr="00713D60">
        <w:rPr>
          <w:noProof w:val="0"/>
          <w:snapToGrid w:val="0"/>
          <w:lang w:eastAsia="zh-CN"/>
        </w:rPr>
        <w:t xml:space="preserve"> l’adhés</w:t>
      </w:r>
      <w:r w:rsidR="006A6895">
        <w:rPr>
          <w:noProof w:val="0"/>
          <w:snapToGrid w:val="0"/>
          <w:lang w:eastAsia="zh-CN"/>
        </w:rPr>
        <w:t>ion</w:t>
      </w:r>
    </w:p>
    <w:p w:rsidR="0042369B" w:rsidRPr="002A4594" w:rsidRDefault="00453393" w:rsidP="007B0D43">
      <w:pPr>
        <w:widowControl w:val="0"/>
        <w:autoSpaceDE w:val="0"/>
        <w:autoSpaceDN w:val="0"/>
        <w:adjustRightInd w:val="0"/>
        <w:spacing w:before="0" w:after="60" w:line="280" w:lineRule="exact"/>
        <w:ind w:left="851"/>
        <w:rPr>
          <w:iCs/>
          <w:sz w:val="20"/>
          <w:szCs w:val="20"/>
          <w:lang w:val="fr-FR"/>
        </w:rPr>
      </w:pPr>
      <w:r w:rsidRPr="00713D60">
        <w:rPr>
          <w:b/>
          <w:iCs/>
          <w:sz w:val="20"/>
          <w:szCs w:val="20"/>
          <w:lang w:val="fr-FR"/>
        </w:rPr>
        <w:t>L’article 33 stipule</w:t>
      </w:r>
    </w:p>
    <w:p w:rsidR="003757E3" w:rsidRPr="002A4594" w:rsidRDefault="00A14290" w:rsidP="00713D60">
      <w:pPr>
        <w:pStyle w:val="ListParagraph"/>
        <w:widowControl w:val="0"/>
        <w:numPr>
          <w:ilvl w:val="0"/>
          <w:numId w:val="33"/>
        </w:numPr>
        <w:autoSpaceDE w:val="0"/>
        <w:autoSpaceDN w:val="0"/>
        <w:adjustRightInd w:val="0"/>
        <w:spacing w:before="0" w:after="60" w:line="280" w:lineRule="exact"/>
        <w:rPr>
          <w:iCs/>
          <w:sz w:val="20"/>
          <w:szCs w:val="20"/>
          <w:lang w:val="fr-FR"/>
        </w:rPr>
      </w:pPr>
      <w:r>
        <w:rPr>
          <w:iCs/>
          <w:sz w:val="20"/>
          <w:szCs w:val="20"/>
          <w:lang w:val="fr-FR"/>
        </w:rPr>
        <w:t>Que l</w:t>
      </w:r>
      <w:r w:rsidR="00453393" w:rsidRPr="00713D60">
        <w:rPr>
          <w:iCs/>
          <w:sz w:val="20"/>
          <w:szCs w:val="20"/>
          <w:lang w:val="fr-FR"/>
        </w:rPr>
        <w:t>a présente Convention est ouverte à l'adhésion de tout État non membre de l'UNESCO invité à y adhérer par la Conférence gén</w:t>
      </w:r>
      <w:r w:rsidR="006A6895">
        <w:rPr>
          <w:iCs/>
          <w:sz w:val="20"/>
          <w:szCs w:val="20"/>
          <w:lang w:val="fr-FR"/>
        </w:rPr>
        <w:t>érale de l'Organisation.</w:t>
      </w:r>
    </w:p>
    <w:p w:rsidR="003757E3" w:rsidRPr="002A4594" w:rsidRDefault="00A14290" w:rsidP="00713D60">
      <w:pPr>
        <w:pStyle w:val="ListParagraph"/>
        <w:widowControl w:val="0"/>
        <w:numPr>
          <w:ilvl w:val="0"/>
          <w:numId w:val="33"/>
        </w:numPr>
        <w:autoSpaceDE w:val="0"/>
        <w:autoSpaceDN w:val="0"/>
        <w:adjustRightInd w:val="0"/>
        <w:spacing w:before="0" w:after="60" w:line="280" w:lineRule="exact"/>
        <w:rPr>
          <w:iCs/>
          <w:sz w:val="20"/>
          <w:szCs w:val="20"/>
          <w:lang w:val="fr-FR"/>
        </w:rPr>
      </w:pPr>
      <w:r>
        <w:rPr>
          <w:iCs/>
          <w:sz w:val="20"/>
          <w:szCs w:val="20"/>
          <w:lang w:val="fr-FR"/>
        </w:rPr>
        <w:t>Que l</w:t>
      </w:r>
      <w:r w:rsidR="00453393" w:rsidRPr="00713D60">
        <w:rPr>
          <w:iCs/>
          <w:sz w:val="20"/>
          <w:szCs w:val="20"/>
          <w:lang w:val="fr-FR"/>
        </w:rPr>
        <w:t xml:space="preserve">a présente Convention est également ouverte à l'adhésion des territoires qui jouissent d'une complète autonomie interne, reconnue comme telle par </w:t>
      </w:r>
      <w:r w:rsidR="00453393" w:rsidRPr="00713D60">
        <w:rPr>
          <w:iCs/>
          <w:sz w:val="20"/>
          <w:szCs w:val="20"/>
          <w:lang w:val="fr-FR"/>
        </w:rPr>
        <w:lastRenderedPageBreak/>
        <w:t>l'Organisation des Nations Unies, mais qui n'ont pas accédé à la pleine indépendance conformément à la résolution 1514</w:t>
      </w:r>
      <w:r w:rsidR="004E2AE6">
        <w:rPr>
          <w:iCs/>
          <w:sz w:val="20"/>
          <w:szCs w:val="20"/>
          <w:lang w:val="fr-FR"/>
        </w:rPr>
        <w:t> </w:t>
      </w:r>
      <w:r w:rsidR="00453393" w:rsidRPr="00713D60">
        <w:rPr>
          <w:iCs/>
          <w:sz w:val="20"/>
          <w:szCs w:val="20"/>
          <w:lang w:val="fr-FR"/>
        </w:rPr>
        <w:t>(XV) de l'Assemblée générale et qui ont compétence pour les matières</w:t>
      </w:r>
      <w:r w:rsidR="00453393" w:rsidRPr="00713D60">
        <w:rPr>
          <w:sz w:val="20"/>
          <w:szCs w:val="20"/>
          <w:lang w:val="fr-FR"/>
        </w:rPr>
        <w:t xml:space="preserve"> dont traite la </w:t>
      </w:r>
      <w:r w:rsidR="00453393" w:rsidRPr="00713D60">
        <w:rPr>
          <w:iCs/>
          <w:sz w:val="20"/>
          <w:szCs w:val="20"/>
          <w:lang w:val="fr-FR"/>
        </w:rPr>
        <w:t>présente Convention, y compris la compétence reconnue pour conclur</w:t>
      </w:r>
      <w:r w:rsidR="006A6895">
        <w:rPr>
          <w:iCs/>
          <w:sz w:val="20"/>
          <w:szCs w:val="20"/>
          <w:lang w:val="fr-FR"/>
        </w:rPr>
        <w:t>e des traités sur ces matières.</w:t>
      </w:r>
    </w:p>
    <w:p w:rsidR="003757E3" w:rsidRPr="002A4594" w:rsidRDefault="004E2AE6" w:rsidP="00713D60">
      <w:pPr>
        <w:pStyle w:val="ListParagraph"/>
        <w:widowControl w:val="0"/>
        <w:numPr>
          <w:ilvl w:val="0"/>
          <w:numId w:val="33"/>
        </w:numPr>
        <w:autoSpaceDE w:val="0"/>
        <w:autoSpaceDN w:val="0"/>
        <w:adjustRightInd w:val="0"/>
        <w:spacing w:before="0" w:after="60" w:line="280" w:lineRule="exact"/>
        <w:rPr>
          <w:iCs/>
          <w:sz w:val="20"/>
          <w:szCs w:val="20"/>
          <w:lang w:val="fr-FR"/>
        </w:rPr>
      </w:pPr>
      <w:r>
        <w:rPr>
          <w:iCs/>
          <w:sz w:val="20"/>
          <w:szCs w:val="20"/>
          <w:lang w:val="fr-FR"/>
        </w:rPr>
        <w:t>Que l</w:t>
      </w:r>
      <w:r w:rsidR="00453393" w:rsidRPr="00713D60">
        <w:rPr>
          <w:iCs/>
          <w:sz w:val="20"/>
          <w:szCs w:val="20"/>
          <w:lang w:val="fr-FR"/>
        </w:rPr>
        <w:t>'instrument d'adhésion sera déposé auprès du Directeur général de l'UNESCO (voir aussi l’article 2.5 de la Convention).</w:t>
      </w:r>
    </w:p>
    <w:p w:rsidR="0042369B" w:rsidRPr="002A4594" w:rsidRDefault="00453393" w:rsidP="007B0D43">
      <w:pPr>
        <w:widowControl w:val="0"/>
        <w:autoSpaceDE w:val="0"/>
        <w:autoSpaceDN w:val="0"/>
        <w:adjustRightInd w:val="0"/>
        <w:spacing w:before="0" w:after="60" w:line="280" w:lineRule="exact"/>
        <w:ind w:left="851"/>
        <w:rPr>
          <w:iCs/>
          <w:sz w:val="20"/>
          <w:szCs w:val="20"/>
          <w:lang w:val="fr-FR"/>
        </w:rPr>
      </w:pPr>
      <w:r w:rsidRPr="00713D60">
        <w:rPr>
          <w:iCs/>
          <w:sz w:val="20"/>
          <w:szCs w:val="20"/>
          <w:lang w:val="fr-FR"/>
        </w:rPr>
        <w:t>En vertu de l’article 33.2, la Palestine a pu adhérer à la Convention en 2011.</w:t>
      </w:r>
    </w:p>
    <w:p w:rsidR="002712D0" w:rsidRPr="00713D60" w:rsidRDefault="006A6895" w:rsidP="007B0D43">
      <w:pPr>
        <w:pStyle w:val="Heading6"/>
        <w:rPr>
          <w:lang w:val="fr-FR"/>
        </w:rPr>
      </w:pPr>
      <w:r>
        <w:rPr>
          <w:lang w:val="fr-FR"/>
        </w:rPr>
        <w:t>DIAPOSITIVE 4.</w:t>
      </w:r>
    </w:p>
    <w:p w:rsidR="0042369B" w:rsidRPr="00713D60" w:rsidRDefault="00453393" w:rsidP="007B0D43">
      <w:pPr>
        <w:pStyle w:val="diapo2"/>
        <w:rPr>
          <w:noProof w:val="0"/>
        </w:rPr>
      </w:pPr>
      <w:r w:rsidRPr="00713D60">
        <w:rPr>
          <w:noProof w:val="0"/>
        </w:rPr>
        <w:t>Œuvrer en faveur de la rat</w:t>
      </w:r>
      <w:r w:rsidR="006A6895">
        <w:rPr>
          <w:noProof w:val="0"/>
        </w:rPr>
        <w:t>ification</w:t>
      </w:r>
    </w:p>
    <w:p w:rsidR="0042369B" w:rsidRPr="002A4594" w:rsidRDefault="00453393" w:rsidP="007B0D43">
      <w:pPr>
        <w:widowControl w:val="0"/>
        <w:autoSpaceDE w:val="0"/>
        <w:autoSpaceDN w:val="0"/>
        <w:adjustRightInd w:val="0"/>
        <w:spacing w:before="0" w:after="60" w:line="280" w:lineRule="exact"/>
        <w:ind w:left="851"/>
        <w:rPr>
          <w:iCs/>
          <w:sz w:val="20"/>
          <w:szCs w:val="20"/>
          <w:lang w:val="fr-FR"/>
        </w:rPr>
      </w:pPr>
      <w:r w:rsidRPr="00713D60">
        <w:rPr>
          <w:iCs/>
          <w:sz w:val="20"/>
          <w:szCs w:val="20"/>
          <w:lang w:val="fr-FR"/>
        </w:rPr>
        <w:t>Les paragraphes 17.2 et 17.3 du Texte du participant évoquent les différent</w:t>
      </w:r>
      <w:r w:rsidR="00196B94">
        <w:rPr>
          <w:iCs/>
          <w:sz w:val="20"/>
          <w:szCs w:val="20"/>
          <w:lang w:val="fr-FR"/>
        </w:rPr>
        <w:t>e</w:t>
      </w:r>
      <w:r w:rsidRPr="00713D60">
        <w:rPr>
          <w:iCs/>
          <w:sz w:val="20"/>
          <w:szCs w:val="20"/>
          <w:lang w:val="fr-FR"/>
        </w:rPr>
        <w:t xml:space="preserve">s </w:t>
      </w:r>
      <w:r w:rsidR="00EB0D2C">
        <w:rPr>
          <w:iCs/>
          <w:sz w:val="20"/>
          <w:szCs w:val="20"/>
          <w:lang w:val="fr-FR"/>
        </w:rPr>
        <w:t>voie</w:t>
      </w:r>
      <w:r w:rsidRPr="00713D60">
        <w:rPr>
          <w:iCs/>
          <w:sz w:val="20"/>
          <w:szCs w:val="20"/>
          <w:lang w:val="fr-FR"/>
        </w:rPr>
        <w:t xml:space="preserve">s que peuvent suivre les États </w:t>
      </w:r>
      <w:r w:rsidR="00196B94">
        <w:rPr>
          <w:iCs/>
          <w:sz w:val="20"/>
          <w:szCs w:val="20"/>
          <w:lang w:val="fr-FR"/>
        </w:rPr>
        <w:t>vers</w:t>
      </w:r>
      <w:r w:rsidRPr="00713D60">
        <w:rPr>
          <w:iCs/>
          <w:sz w:val="20"/>
          <w:szCs w:val="20"/>
          <w:lang w:val="fr-FR"/>
        </w:rPr>
        <w:t xml:space="preserve"> la ratification.</w:t>
      </w:r>
    </w:p>
    <w:p w:rsidR="002712D0" w:rsidRPr="00713D60" w:rsidRDefault="006A6895" w:rsidP="007B0D43">
      <w:pPr>
        <w:pStyle w:val="Heading6"/>
        <w:rPr>
          <w:lang w:val="fr-FR"/>
        </w:rPr>
      </w:pPr>
      <w:r>
        <w:rPr>
          <w:lang w:val="fr-FR"/>
        </w:rPr>
        <w:t>DIAPOSITIVE 5.</w:t>
      </w:r>
    </w:p>
    <w:p w:rsidR="0042369B" w:rsidRPr="00713D60" w:rsidRDefault="00453393" w:rsidP="007B0D43">
      <w:pPr>
        <w:pStyle w:val="diapo2"/>
        <w:rPr>
          <w:noProof w:val="0"/>
        </w:rPr>
      </w:pPr>
      <w:r w:rsidRPr="00713D60">
        <w:rPr>
          <w:noProof w:val="0"/>
        </w:rPr>
        <w:t xml:space="preserve">Ratification par année </w:t>
      </w:r>
    </w:p>
    <w:p w:rsidR="0042369B" w:rsidRPr="002A4594" w:rsidRDefault="00453393" w:rsidP="007B0D43">
      <w:pPr>
        <w:widowControl w:val="0"/>
        <w:autoSpaceDE w:val="0"/>
        <w:autoSpaceDN w:val="0"/>
        <w:adjustRightInd w:val="0"/>
        <w:spacing w:before="0" w:after="60" w:line="280" w:lineRule="exact"/>
        <w:ind w:left="851"/>
        <w:rPr>
          <w:iCs/>
          <w:sz w:val="20"/>
          <w:szCs w:val="20"/>
          <w:lang w:val="fr-FR"/>
        </w:rPr>
      </w:pPr>
      <w:r w:rsidRPr="00713D60">
        <w:rPr>
          <w:iCs/>
          <w:sz w:val="20"/>
          <w:szCs w:val="20"/>
          <w:lang w:val="fr-FR"/>
        </w:rPr>
        <w:t xml:space="preserve">Le paragraphe 17.4 du Texte du participant porte sur l’état actuel de la ratification de la Convention. Veuillez noter que les informations mises à jour sur la ratification sont disponibles </w:t>
      </w:r>
      <w:r w:rsidR="00EB0D2C">
        <w:rPr>
          <w:iCs/>
          <w:sz w:val="20"/>
          <w:szCs w:val="20"/>
          <w:lang w:val="fr-FR"/>
        </w:rPr>
        <w:t>sur la page Web des Faits et</w:t>
      </w:r>
      <w:r w:rsidRPr="00713D60">
        <w:rPr>
          <w:iCs/>
          <w:sz w:val="20"/>
          <w:szCs w:val="20"/>
          <w:lang w:val="fr-FR"/>
        </w:rPr>
        <w:t xml:space="preserve"> chiffres.</w:t>
      </w:r>
    </w:p>
    <w:p w:rsidR="002712D0" w:rsidRPr="00713D60" w:rsidRDefault="006A6895" w:rsidP="007B0D43">
      <w:pPr>
        <w:pStyle w:val="Heading6"/>
        <w:rPr>
          <w:lang w:val="fr-FR"/>
        </w:rPr>
      </w:pPr>
      <w:r>
        <w:rPr>
          <w:lang w:val="fr-FR"/>
        </w:rPr>
        <w:t>DIAPOSITIVE 6.</w:t>
      </w:r>
    </w:p>
    <w:p w:rsidR="0042369B" w:rsidRPr="00713D60" w:rsidRDefault="00453393" w:rsidP="007B0D43">
      <w:pPr>
        <w:pStyle w:val="diapo2"/>
        <w:rPr>
          <w:noProof w:val="0"/>
        </w:rPr>
      </w:pPr>
      <w:r w:rsidRPr="00713D60">
        <w:rPr>
          <w:noProof w:val="0"/>
        </w:rPr>
        <w:t>Carte de la ratification</w:t>
      </w:r>
    </w:p>
    <w:p w:rsidR="0042369B" w:rsidRPr="002A4594" w:rsidRDefault="00453393" w:rsidP="007B0D43">
      <w:pPr>
        <w:widowControl w:val="0"/>
        <w:autoSpaceDE w:val="0"/>
        <w:autoSpaceDN w:val="0"/>
        <w:adjustRightInd w:val="0"/>
        <w:spacing w:before="0" w:after="60" w:line="280" w:lineRule="exact"/>
        <w:ind w:left="851"/>
        <w:rPr>
          <w:iCs/>
          <w:sz w:val="20"/>
          <w:szCs w:val="20"/>
          <w:lang w:val="fr-FR"/>
        </w:rPr>
      </w:pPr>
      <w:r w:rsidRPr="00713D60">
        <w:rPr>
          <w:iCs/>
          <w:sz w:val="20"/>
          <w:szCs w:val="20"/>
          <w:lang w:val="fr-FR"/>
        </w:rPr>
        <w:t>La carte</w:t>
      </w:r>
      <w:r w:rsidR="000A1187">
        <w:rPr>
          <w:iCs/>
          <w:sz w:val="20"/>
          <w:szCs w:val="20"/>
          <w:lang w:val="fr-FR"/>
        </w:rPr>
        <w:t xml:space="preserve"> projetée</w:t>
      </w:r>
      <w:r w:rsidRPr="00713D60">
        <w:rPr>
          <w:iCs/>
          <w:sz w:val="20"/>
          <w:szCs w:val="20"/>
          <w:lang w:val="fr-FR"/>
        </w:rPr>
        <w:t xml:space="preserve"> montre en vert les États </w:t>
      </w:r>
      <w:r w:rsidR="000A1187">
        <w:rPr>
          <w:iCs/>
          <w:sz w:val="20"/>
          <w:szCs w:val="20"/>
          <w:lang w:val="fr-FR"/>
        </w:rPr>
        <w:t>aya</w:t>
      </w:r>
      <w:r w:rsidRPr="00713D60">
        <w:rPr>
          <w:iCs/>
          <w:sz w:val="20"/>
          <w:szCs w:val="20"/>
          <w:lang w:val="fr-FR"/>
        </w:rPr>
        <w:t xml:space="preserve">nt ratifié la Convention avant 2013. Pour avoir la carte actuelle de </w:t>
      </w:r>
      <w:r w:rsidR="000A1187">
        <w:rPr>
          <w:iCs/>
          <w:sz w:val="20"/>
          <w:szCs w:val="20"/>
          <w:lang w:val="fr-FR"/>
        </w:rPr>
        <w:t xml:space="preserve">la </w:t>
      </w:r>
      <w:r w:rsidRPr="00713D60">
        <w:rPr>
          <w:iCs/>
          <w:sz w:val="20"/>
          <w:szCs w:val="20"/>
          <w:lang w:val="fr-FR"/>
        </w:rPr>
        <w:t xml:space="preserve">ratification de la Convention </w:t>
      </w:r>
      <w:r w:rsidR="000A1187">
        <w:rPr>
          <w:iCs/>
          <w:sz w:val="20"/>
          <w:szCs w:val="20"/>
          <w:lang w:val="fr-FR"/>
        </w:rPr>
        <w:t>à travers</w:t>
      </w:r>
      <w:r w:rsidRPr="00713D60">
        <w:rPr>
          <w:iCs/>
          <w:sz w:val="20"/>
          <w:szCs w:val="20"/>
          <w:lang w:val="fr-FR"/>
        </w:rPr>
        <w:t xml:space="preserve"> le monde, veu</w:t>
      </w:r>
      <w:r w:rsidR="000A1187">
        <w:rPr>
          <w:iCs/>
          <w:sz w:val="20"/>
          <w:szCs w:val="20"/>
          <w:lang w:val="fr-FR"/>
        </w:rPr>
        <w:t>illez consulter les Faits et</w:t>
      </w:r>
      <w:r w:rsidRPr="00713D60">
        <w:rPr>
          <w:iCs/>
          <w:sz w:val="20"/>
          <w:szCs w:val="20"/>
          <w:lang w:val="fr-FR"/>
        </w:rPr>
        <w:t xml:space="preserve"> chiffres sur la page Web.</w:t>
      </w:r>
    </w:p>
    <w:p w:rsidR="002712D0" w:rsidRPr="00713D60" w:rsidRDefault="00453393" w:rsidP="007B0D43">
      <w:pPr>
        <w:pStyle w:val="Heading6"/>
        <w:rPr>
          <w:lang w:val="fr-FR"/>
        </w:rPr>
      </w:pPr>
      <w:r w:rsidRPr="00713D60">
        <w:rPr>
          <w:lang w:val="fr-FR"/>
        </w:rPr>
        <w:t>DIAPOSITIVE 7</w:t>
      </w:r>
      <w:r w:rsidR="006A6895">
        <w:rPr>
          <w:lang w:val="fr-FR"/>
        </w:rPr>
        <w:t>.</w:t>
      </w:r>
    </w:p>
    <w:p w:rsidR="0042369B" w:rsidRPr="00713D60" w:rsidRDefault="00453393" w:rsidP="007B0D43">
      <w:pPr>
        <w:pStyle w:val="diapo2"/>
        <w:rPr>
          <w:noProof w:val="0"/>
        </w:rPr>
      </w:pPr>
      <w:r w:rsidRPr="00713D60">
        <w:rPr>
          <w:noProof w:val="0"/>
        </w:rPr>
        <w:t xml:space="preserve">Stratégies de ratification : </w:t>
      </w:r>
      <w:r w:rsidR="006A6895">
        <w:rPr>
          <w:noProof w:val="0"/>
        </w:rPr>
        <w:t>Exemples</w:t>
      </w:r>
    </w:p>
    <w:p w:rsidR="003757E3" w:rsidRPr="002A4594" w:rsidRDefault="00752F59" w:rsidP="00713D60">
      <w:pPr>
        <w:widowControl w:val="0"/>
        <w:autoSpaceDE w:val="0"/>
        <w:autoSpaceDN w:val="0"/>
        <w:adjustRightInd w:val="0"/>
        <w:spacing w:before="0" w:after="60" w:line="280" w:lineRule="exact"/>
        <w:ind w:left="851"/>
        <w:rPr>
          <w:sz w:val="20"/>
          <w:szCs w:val="20"/>
          <w:lang w:val="fr-FR"/>
        </w:rPr>
      </w:pPr>
      <w:r>
        <w:rPr>
          <w:iCs/>
          <w:sz w:val="20"/>
          <w:szCs w:val="20"/>
          <w:lang w:val="fr-FR"/>
        </w:rPr>
        <w:t>L</w:t>
      </w:r>
      <w:r w:rsidRPr="002A4594">
        <w:rPr>
          <w:iCs/>
          <w:sz w:val="20"/>
          <w:szCs w:val="20"/>
          <w:lang w:val="fr-FR"/>
        </w:rPr>
        <w:t xml:space="preserve">e facilitateur peut présenter quelques exemples </w:t>
      </w:r>
      <w:r w:rsidR="00087839">
        <w:rPr>
          <w:iCs/>
          <w:sz w:val="20"/>
          <w:szCs w:val="20"/>
          <w:lang w:val="fr-FR"/>
        </w:rPr>
        <w:t>pour</w:t>
      </w:r>
      <w:r>
        <w:rPr>
          <w:iCs/>
          <w:sz w:val="20"/>
          <w:szCs w:val="20"/>
          <w:lang w:val="fr-FR"/>
        </w:rPr>
        <w:t xml:space="preserve"> </w:t>
      </w:r>
      <w:r w:rsidR="00453393" w:rsidRPr="00713D60">
        <w:rPr>
          <w:iCs/>
          <w:sz w:val="20"/>
          <w:szCs w:val="20"/>
          <w:lang w:val="fr-FR"/>
        </w:rPr>
        <w:t>illustre</w:t>
      </w:r>
      <w:r w:rsidR="00087839">
        <w:rPr>
          <w:iCs/>
          <w:sz w:val="20"/>
          <w:szCs w:val="20"/>
          <w:lang w:val="fr-FR"/>
        </w:rPr>
        <w:t>r</w:t>
      </w:r>
      <w:r w:rsidR="00453393" w:rsidRPr="00713D60">
        <w:rPr>
          <w:iCs/>
          <w:sz w:val="20"/>
          <w:szCs w:val="20"/>
          <w:lang w:val="fr-FR"/>
        </w:rPr>
        <w:t xml:space="preserve"> l’utilisation de plusieurs stratégies de ratification</w:t>
      </w:r>
      <w:r w:rsidR="00087839">
        <w:rPr>
          <w:iCs/>
          <w:sz w:val="20"/>
          <w:szCs w:val="20"/>
          <w:lang w:val="fr-FR"/>
        </w:rPr>
        <w:t xml:space="preserve"> et s’appuyer sur</w:t>
      </w:r>
      <w:r w:rsidR="00453393" w:rsidRPr="00713D60">
        <w:rPr>
          <w:iCs/>
          <w:sz w:val="20"/>
          <w:szCs w:val="20"/>
          <w:lang w:val="fr-FR"/>
        </w:rPr>
        <w:t xml:space="preserve"> </w:t>
      </w:r>
      <w:r w:rsidR="000A40D2">
        <w:rPr>
          <w:iCs/>
          <w:sz w:val="20"/>
          <w:szCs w:val="20"/>
          <w:lang w:val="fr-FR"/>
        </w:rPr>
        <w:t xml:space="preserve">les exemples qu’offrent les </w:t>
      </w:r>
      <w:r w:rsidR="00453393" w:rsidRPr="00713D60">
        <w:rPr>
          <w:iCs/>
          <w:sz w:val="20"/>
          <w:szCs w:val="20"/>
          <w:lang w:val="fr-FR"/>
        </w:rPr>
        <w:t>diapositives suivantes.</w:t>
      </w:r>
    </w:p>
    <w:p w:rsidR="002712D0" w:rsidRPr="00713D60" w:rsidRDefault="00453393" w:rsidP="007B0D43">
      <w:pPr>
        <w:pStyle w:val="Heading6"/>
        <w:rPr>
          <w:lang w:val="fr-FR"/>
        </w:rPr>
      </w:pPr>
      <w:r w:rsidRPr="00713D60">
        <w:rPr>
          <w:lang w:val="fr-FR"/>
        </w:rPr>
        <w:t>DIAPOSITIVE 8</w:t>
      </w:r>
      <w:r w:rsidR="006A6895">
        <w:rPr>
          <w:lang w:val="fr-FR"/>
        </w:rPr>
        <w:t>.</w:t>
      </w:r>
    </w:p>
    <w:p w:rsidR="0042369B" w:rsidRPr="00713D60" w:rsidRDefault="00453393" w:rsidP="007B0D43">
      <w:pPr>
        <w:pStyle w:val="diapo2"/>
        <w:rPr>
          <w:noProof w:val="0"/>
        </w:rPr>
      </w:pPr>
      <w:r w:rsidRPr="00713D60">
        <w:rPr>
          <w:noProof w:val="0"/>
        </w:rPr>
        <w:t>Stratégies de ratification : Croatie</w:t>
      </w:r>
      <w:r w:rsidRPr="00713D60">
        <w:rPr>
          <w:noProof w:val="0"/>
          <w:vertAlign w:val="superscript"/>
        </w:rPr>
        <w:footnoteReference w:id="4"/>
      </w:r>
    </w:p>
    <w:p w:rsidR="0042369B" w:rsidRPr="002A4594" w:rsidRDefault="00453393" w:rsidP="007B0D43">
      <w:pPr>
        <w:widowControl w:val="0"/>
        <w:autoSpaceDE w:val="0"/>
        <w:autoSpaceDN w:val="0"/>
        <w:adjustRightInd w:val="0"/>
        <w:spacing w:before="0" w:after="60" w:line="280" w:lineRule="exact"/>
        <w:ind w:left="851"/>
        <w:rPr>
          <w:iCs/>
          <w:sz w:val="20"/>
          <w:szCs w:val="20"/>
          <w:lang w:val="fr-FR"/>
        </w:rPr>
      </w:pPr>
      <w:r w:rsidRPr="00713D60">
        <w:rPr>
          <w:iCs/>
          <w:sz w:val="20"/>
          <w:szCs w:val="20"/>
          <w:lang w:val="fr-FR"/>
        </w:rPr>
        <w:t>La Croatie a pu ratifier la Convention</w:t>
      </w:r>
      <w:r w:rsidR="000A40D2">
        <w:rPr>
          <w:iCs/>
          <w:sz w:val="20"/>
          <w:szCs w:val="20"/>
          <w:lang w:val="fr-FR"/>
        </w:rPr>
        <w:t xml:space="preserve"> </w:t>
      </w:r>
      <w:r w:rsidRPr="00713D60">
        <w:rPr>
          <w:iCs/>
          <w:sz w:val="20"/>
          <w:szCs w:val="20"/>
          <w:lang w:val="fr-FR"/>
        </w:rPr>
        <w:t xml:space="preserve">relativement tôt et commencer </w:t>
      </w:r>
      <w:r w:rsidR="00A972C8" w:rsidRPr="002A4594">
        <w:rPr>
          <w:iCs/>
          <w:sz w:val="20"/>
          <w:szCs w:val="20"/>
          <w:lang w:val="fr-FR"/>
        </w:rPr>
        <w:t xml:space="preserve">immédiatement </w:t>
      </w:r>
      <w:r w:rsidRPr="00713D60">
        <w:rPr>
          <w:iCs/>
          <w:sz w:val="20"/>
          <w:szCs w:val="20"/>
          <w:lang w:val="fr-FR"/>
        </w:rPr>
        <w:t xml:space="preserve">à la mettre en œuvre grâce à un </w:t>
      </w:r>
      <w:r w:rsidR="00990AD7">
        <w:rPr>
          <w:iCs/>
          <w:sz w:val="20"/>
          <w:szCs w:val="20"/>
          <w:lang w:val="fr-FR"/>
        </w:rPr>
        <w:t>degré</w:t>
      </w:r>
      <w:r w:rsidRPr="00713D60">
        <w:rPr>
          <w:iCs/>
          <w:sz w:val="20"/>
          <w:szCs w:val="20"/>
          <w:lang w:val="fr-FR"/>
        </w:rPr>
        <w:t xml:space="preserve"> élevé de sensibilisation au PCI </w:t>
      </w:r>
      <w:r w:rsidR="000A40D2">
        <w:rPr>
          <w:iCs/>
          <w:sz w:val="20"/>
          <w:szCs w:val="20"/>
          <w:lang w:val="fr-FR"/>
        </w:rPr>
        <w:t>parmi l</w:t>
      </w:r>
      <w:r w:rsidRPr="00713D60">
        <w:rPr>
          <w:iCs/>
          <w:sz w:val="20"/>
          <w:szCs w:val="20"/>
          <w:lang w:val="fr-FR"/>
        </w:rPr>
        <w:t xml:space="preserve">es communautés concernées, </w:t>
      </w:r>
      <w:r w:rsidR="000A40D2">
        <w:rPr>
          <w:iCs/>
          <w:sz w:val="20"/>
          <w:szCs w:val="20"/>
          <w:lang w:val="fr-FR"/>
        </w:rPr>
        <w:t>le</w:t>
      </w:r>
      <w:r w:rsidRPr="00713D60">
        <w:rPr>
          <w:iCs/>
          <w:sz w:val="20"/>
          <w:szCs w:val="20"/>
          <w:lang w:val="fr-FR"/>
        </w:rPr>
        <w:t xml:space="preserve"> grand public et l</w:t>
      </w:r>
      <w:r w:rsidR="00A972C8">
        <w:rPr>
          <w:iCs/>
          <w:sz w:val="20"/>
          <w:szCs w:val="20"/>
          <w:lang w:val="fr-FR"/>
        </w:rPr>
        <w:t>es personnels</w:t>
      </w:r>
      <w:r w:rsidRPr="00713D60">
        <w:rPr>
          <w:iCs/>
          <w:sz w:val="20"/>
          <w:szCs w:val="20"/>
          <w:lang w:val="fr-FR"/>
        </w:rPr>
        <w:t xml:space="preserve"> politiques, grâce à la grande expertise du monde universitaire et grâce également aux efforts </w:t>
      </w:r>
      <w:r w:rsidR="00DA0110">
        <w:rPr>
          <w:iCs/>
          <w:sz w:val="20"/>
          <w:szCs w:val="20"/>
          <w:lang w:val="fr-FR"/>
        </w:rPr>
        <w:t xml:space="preserve">antérieurs </w:t>
      </w:r>
      <w:r w:rsidRPr="00713D60">
        <w:rPr>
          <w:iCs/>
          <w:sz w:val="20"/>
          <w:szCs w:val="20"/>
          <w:lang w:val="fr-FR"/>
        </w:rPr>
        <w:t xml:space="preserve">accomplis </w:t>
      </w:r>
      <w:r w:rsidRPr="00713D60">
        <w:rPr>
          <w:iCs/>
          <w:sz w:val="20"/>
          <w:szCs w:val="20"/>
          <w:lang w:val="fr-FR"/>
        </w:rPr>
        <w:lastRenderedPageBreak/>
        <w:t xml:space="preserve">pour intégrer le PCI </w:t>
      </w:r>
      <w:r w:rsidR="00DA0110">
        <w:rPr>
          <w:iCs/>
          <w:sz w:val="20"/>
          <w:szCs w:val="20"/>
          <w:lang w:val="fr-FR"/>
        </w:rPr>
        <w:t>dans les</w:t>
      </w:r>
      <w:r w:rsidRPr="00713D60">
        <w:rPr>
          <w:iCs/>
          <w:sz w:val="20"/>
          <w:szCs w:val="20"/>
          <w:lang w:val="fr-FR"/>
        </w:rPr>
        <w:t xml:space="preserve"> politiques culturelles, en a</w:t>
      </w:r>
      <w:r w:rsidR="00DA0110">
        <w:rPr>
          <w:iCs/>
          <w:sz w:val="20"/>
          <w:szCs w:val="20"/>
          <w:lang w:val="fr-FR"/>
        </w:rPr>
        <w:t>llou</w:t>
      </w:r>
      <w:r w:rsidRPr="00713D60">
        <w:rPr>
          <w:iCs/>
          <w:sz w:val="20"/>
          <w:szCs w:val="20"/>
          <w:lang w:val="fr-FR"/>
        </w:rPr>
        <w:t>ant des budgets pour sa promotion et sa protection.</w:t>
      </w:r>
    </w:p>
    <w:p w:rsidR="003757E3" w:rsidRPr="002A4594" w:rsidRDefault="00453393" w:rsidP="00AD1813">
      <w:pPr>
        <w:pStyle w:val="ListParagraph"/>
        <w:widowControl w:val="0"/>
        <w:numPr>
          <w:ilvl w:val="0"/>
          <w:numId w:val="32"/>
        </w:numPr>
        <w:autoSpaceDE w:val="0"/>
        <w:autoSpaceDN w:val="0"/>
        <w:adjustRightInd w:val="0"/>
        <w:spacing w:before="0" w:after="60" w:line="280" w:lineRule="exact"/>
        <w:ind w:left="1210"/>
        <w:rPr>
          <w:iCs/>
          <w:sz w:val="20"/>
          <w:szCs w:val="20"/>
          <w:lang w:val="fr-FR"/>
        </w:rPr>
      </w:pPr>
      <w:r w:rsidRPr="00713D60">
        <w:rPr>
          <w:iCs/>
          <w:sz w:val="20"/>
          <w:szCs w:val="20"/>
          <w:lang w:val="fr-FR"/>
        </w:rPr>
        <w:t xml:space="preserve">Des recherches anthropologiques et ethnologiques locales menées depuis le XIXe siècle ont favorisé la création d’une </w:t>
      </w:r>
      <w:r w:rsidR="00DA0110" w:rsidRPr="002A4594">
        <w:rPr>
          <w:iCs/>
          <w:sz w:val="20"/>
          <w:szCs w:val="20"/>
          <w:lang w:val="fr-FR"/>
        </w:rPr>
        <w:t xml:space="preserve">solide </w:t>
      </w:r>
      <w:r w:rsidRPr="00713D60">
        <w:rPr>
          <w:iCs/>
          <w:sz w:val="20"/>
          <w:szCs w:val="20"/>
          <w:lang w:val="fr-FR"/>
        </w:rPr>
        <w:t>communauté universitaire qui demeure très active.</w:t>
      </w:r>
    </w:p>
    <w:p w:rsidR="003757E3" w:rsidRPr="002A4594" w:rsidRDefault="00453393" w:rsidP="00AD1813">
      <w:pPr>
        <w:pStyle w:val="ListParagraph"/>
        <w:widowControl w:val="0"/>
        <w:numPr>
          <w:ilvl w:val="0"/>
          <w:numId w:val="32"/>
        </w:numPr>
        <w:autoSpaceDE w:val="0"/>
        <w:autoSpaceDN w:val="0"/>
        <w:adjustRightInd w:val="0"/>
        <w:spacing w:before="0" w:after="60" w:line="280" w:lineRule="exact"/>
        <w:ind w:left="1210"/>
        <w:rPr>
          <w:iCs/>
          <w:sz w:val="20"/>
          <w:szCs w:val="20"/>
          <w:lang w:val="fr-FR"/>
        </w:rPr>
      </w:pPr>
      <w:r w:rsidRPr="00713D60">
        <w:rPr>
          <w:iCs/>
          <w:sz w:val="20"/>
          <w:szCs w:val="20"/>
          <w:lang w:val="fr-FR"/>
        </w:rPr>
        <w:t>La population dans ce qui était alors la Yougoslavie n’a jamais cessé de transmettre son PCI, vivant et dynamique, et a été encouragée à continuer à le faire – bien que contrôlée par les politiques gouvernementales – dans la Yougoslavie socialiste.</w:t>
      </w:r>
    </w:p>
    <w:p w:rsidR="003757E3" w:rsidRPr="002A4594" w:rsidRDefault="00453393" w:rsidP="00AD1813">
      <w:pPr>
        <w:pStyle w:val="ListParagraph"/>
        <w:widowControl w:val="0"/>
        <w:numPr>
          <w:ilvl w:val="0"/>
          <w:numId w:val="32"/>
        </w:numPr>
        <w:autoSpaceDE w:val="0"/>
        <w:autoSpaceDN w:val="0"/>
        <w:adjustRightInd w:val="0"/>
        <w:spacing w:before="0" w:after="60" w:line="280" w:lineRule="exact"/>
        <w:ind w:left="1210"/>
        <w:rPr>
          <w:iCs/>
          <w:sz w:val="20"/>
          <w:szCs w:val="20"/>
          <w:lang w:val="fr-FR"/>
        </w:rPr>
      </w:pPr>
      <w:r w:rsidRPr="00713D60">
        <w:rPr>
          <w:iCs/>
          <w:sz w:val="20"/>
          <w:szCs w:val="20"/>
          <w:lang w:val="fr-FR"/>
        </w:rPr>
        <w:t>L’indépendance de la Croatie a débuté en 1991 et s’est consolidée en 1995, après une période de troubles.</w:t>
      </w:r>
    </w:p>
    <w:p w:rsidR="003757E3" w:rsidRPr="002A4594" w:rsidRDefault="00453393" w:rsidP="00AD1813">
      <w:pPr>
        <w:pStyle w:val="ListParagraph"/>
        <w:widowControl w:val="0"/>
        <w:numPr>
          <w:ilvl w:val="0"/>
          <w:numId w:val="32"/>
        </w:numPr>
        <w:autoSpaceDE w:val="0"/>
        <w:autoSpaceDN w:val="0"/>
        <w:adjustRightInd w:val="0"/>
        <w:spacing w:before="0" w:after="60" w:line="280" w:lineRule="exact"/>
        <w:ind w:left="1210"/>
        <w:rPr>
          <w:iCs/>
          <w:sz w:val="20"/>
          <w:szCs w:val="20"/>
          <w:lang w:val="fr-FR"/>
        </w:rPr>
      </w:pPr>
      <w:r w:rsidRPr="00713D60">
        <w:rPr>
          <w:iCs/>
          <w:sz w:val="20"/>
          <w:szCs w:val="20"/>
          <w:lang w:val="fr-FR"/>
        </w:rPr>
        <w:t>En 1999, le PCI a fait l’objet, pour la première fois, de dispositions législatives dans le cadre d’une procédure de révision juridique après l’indépendance.</w:t>
      </w:r>
    </w:p>
    <w:p w:rsidR="003757E3" w:rsidRPr="002A4594" w:rsidRDefault="00453393" w:rsidP="00AD1813">
      <w:pPr>
        <w:pStyle w:val="ListParagraph"/>
        <w:widowControl w:val="0"/>
        <w:numPr>
          <w:ilvl w:val="0"/>
          <w:numId w:val="32"/>
        </w:numPr>
        <w:autoSpaceDE w:val="0"/>
        <w:autoSpaceDN w:val="0"/>
        <w:adjustRightInd w:val="0"/>
        <w:spacing w:before="0" w:after="60" w:line="280" w:lineRule="exact"/>
        <w:ind w:left="1210"/>
        <w:rPr>
          <w:iCs/>
          <w:sz w:val="20"/>
          <w:szCs w:val="20"/>
          <w:lang w:val="fr-FR"/>
        </w:rPr>
      </w:pPr>
      <w:r w:rsidRPr="00713D60">
        <w:rPr>
          <w:iCs/>
          <w:sz w:val="20"/>
          <w:szCs w:val="20"/>
          <w:lang w:val="fr-FR"/>
        </w:rPr>
        <w:t>En 2000, une grande exposition (« La culture populaire croate au carrefour des mondes et des époques ») a été organisée sous les auspices du Ministère de la Culture à travers une présentation des aspects matériels et immatériels de cette culture. Un volumineux catalogue identifiant les nombreux aspects du PCI présents en Croatie, a été publié et largement diffusé.</w:t>
      </w:r>
    </w:p>
    <w:p w:rsidR="003757E3" w:rsidRPr="002A4594" w:rsidRDefault="00453393" w:rsidP="00AD1813">
      <w:pPr>
        <w:pStyle w:val="ListParagraph"/>
        <w:widowControl w:val="0"/>
        <w:numPr>
          <w:ilvl w:val="0"/>
          <w:numId w:val="32"/>
        </w:numPr>
        <w:autoSpaceDE w:val="0"/>
        <w:autoSpaceDN w:val="0"/>
        <w:adjustRightInd w:val="0"/>
        <w:spacing w:before="0" w:after="60" w:line="280" w:lineRule="exact"/>
        <w:ind w:left="1210"/>
        <w:rPr>
          <w:iCs/>
          <w:sz w:val="20"/>
          <w:szCs w:val="20"/>
          <w:lang w:val="fr-FR"/>
        </w:rPr>
      </w:pPr>
      <w:r w:rsidRPr="00713D60">
        <w:rPr>
          <w:iCs/>
          <w:sz w:val="20"/>
          <w:szCs w:val="20"/>
          <w:lang w:val="fr-FR"/>
        </w:rPr>
        <w:t>À l’UNESCO, la Croatie a activement soutenu l’élaboration de la Convention de 2003.</w:t>
      </w:r>
    </w:p>
    <w:p w:rsidR="003757E3" w:rsidRPr="002A4594" w:rsidRDefault="00453393" w:rsidP="00AD1813">
      <w:pPr>
        <w:pStyle w:val="ListParagraph"/>
        <w:widowControl w:val="0"/>
        <w:numPr>
          <w:ilvl w:val="0"/>
          <w:numId w:val="32"/>
        </w:numPr>
        <w:autoSpaceDE w:val="0"/>
        <w:autoSpaceDN w:val="0"/>
        <w:adjustRightInd w:val="0"/>
        <w:spacing w:before="0" w:after="60" w:line="280" w:lineRule="exact"/>
        <w:ind w:left="1210"/>
        <w:rPr>
          <w:iCs/>
          <w:sz w:val="20"/>
          <w:szCs w:val="20"/>
          <w:lang w:val="fr-FR"/>
        </w:rPr>
      </w:pPr>
      <w:r w:rsidRPr="00713D60">
        <w:rPr>
          <w:iCs/>
          <w:sz w:val="20"/>
          <w:szCs w:val="20"/>
          <w:lang w:val="fr-FR"/>
        </w:rPr>
        <w:t>En 2004, le Ministre de la Culture a désigné le premier Comité national du PCI, composé de 4 membres.</w:t>
      </w:r>
    </w:p>
    <w:p w:rsidR="003757E3" w:rsidRPr="002A4594" w:rsidRDefault="00453393" w:rsidP="00AD1813">
      <w:pPr>
        <w:pStyle w:val="ListParagraph"/>
        <w:widowControl w:val="0"/>
        <w:numPr>
          <w:ilvl w:val="0"/>
          <w:numId w:val="32"/>
        </w:numPr>
        <w:autoSpaceDE w:val="0"/>
        <w:autoSpaceDN w:val="0"/>
        <w:adjustRightInd w:val="0"/>
        <w:spacing w:before="0" w:after="60" w:line="280" w:lineRule="exact"/>
        <w:ind w:left="1210"/>
        <w:rPr>
          <w:iCs/>
          <w:sz w:val="20"/>
          <w:szCs w:val="20"/>
          <w:lang w:val="fr-FR"/>
        </w:rPr>
      </w:pPr>
      <w:r w:rsidRPr="00713D60">
        <w:rPr>
          <w:iCs/>
          <w:sz w:val="20"/>
          <w:szCs w:val="20"/>
          <w:lang w:val="fr-FR"/>
        </w:rPr>
        <w:t xml:space="preserve">La Croatie a soumis des dossiers </w:t>
      </w:r>
      <w:r w:rsidR="00012A55">
        <w:rPr>
          <w:iCs/>
          <w:sz w:val="20"/>
          <w:szCs w:val="20"/>
          <w:lang w:val="fr-FR"/>
        </w:rPr>
        <w:t>au</w:t>
      </w:r>
      <w:r w:rsidRPr="00713D60">
        <w:rPr>
          <w:iCs/>
          <w:sz w:val="20"/>
          <w:szCs w:val="20"/>
          <w:lang w:val="fr-FR"/>
        </w:rPr>
        <w:t xml:space="preserve"> programme des Chefs</w:t>
      </w:r>
      <w:r w:rsidR="00012A55">
        <w:rPr>
          <w:iCs/>
          <w:sz w:val="20"/>
          <w:szCs w:val="20"/>
          <w:lang w:val="fr-FR"/>
        </w:rPr>
        <w:t>-</w:t>
      </w:r>
      <w:r w:rsidRPr="00713D60">
        <w:rPr>
          <w:iCs/>
          <w:sz w:val="20"/>
          <w:szCs w:val="20"/>
          <w:lang w:val="fr-FR"/>
        </w:rPr>
        <w:t xml:space="preserve">d’œuvre en 2003 et 2005 ; les éléments </w:t>
      </w:r>
      <w:r w:rsidR="00012A55">
        <w:rPr>
          <w:iCs/>
          <w:sz w:val="20"/>
          <w:szCs w:val="20"/>
          <w:lang w:val="fr-FR"/>
        </w:rPr>
        <w:t>sélectionn</w:t>
      </w:r>
      <w:r w:rsidRPr="00713D60">
        <w:rPr>
          <w:iCs/>
          <w:sz w:val="20"/>
          <w:szCs w:val="20"/>
          <w:lang w:val="fr-FR"/>
        </w:rPr>
        <w:t>és n’ont pas été proclamés</w:t>
      </w:r>
      <w:r w:rsidR="00012A55">
        <w:rPr>
          <w:iCs/>
          <w:sz w:val="20"/>
          <w:szCs w:val="20"/>
          <w:lang w:val="fr-FR"/>
        </w:rPr>
        <w:t xml:space="preserve"> comme</w:t>
      </w:r>
      <w:r w:rsidRPr="00713D60">
        <w:rPr>
          <w:iCs/>
          <w:sz w:val="20"/>
          <w:szCs w:val="20"/>
          <w:lang w:val="fr-FR"/>
        </w:rPr>
        <w:t xml:space="preserve"> « Chefs</w:t>
      </w:r>
      <w:r w:rsidR="00012A55">
        <w:rPr>
          <w:iCs/>
          <w:sz w:val="20"/>
          <w:szCs w:val="20"/>
          <w:lang w:val="fr-FR"/>
        </w:rPr>
        <w:t>-</w:t>
      </w:r>
      <w:r w:rsidRPr="00713D60">
        <w:rPr>
          <w:iCs/>
          <w:sz w:val="20"/>
          <w:szCs w:val="20"/>
          <w:lang w:val="fr-FR"/>
        </w:rPr>
        <w:t xml:space="preserve">d’œuvre », mais </w:t>
      </w:r>
      <w:r w:rsidR="00012A55">
        <w:rPr>
          <w:iCs/>
          <w:sz w:val="20"/>
          <w:szCs w:val="20"/>
          <w:lang w:val="fr-FR"/>
        </w:rPr>
        <w:t>leur</w:t>
      </w:r>
      <w:r w:rsidRPr="00713D60">
        <w:rPr>
          <w:iCs/>
          <w:sz w:val="20"/>
          <w:szCs w:val="20"/>
          <w:lang w:val="fr-FR"/>
        </w:rPr>
        <w:t xml:space="preserve"> </w:t>
      </w:r>
      <w:r w:rsidR="00012A55">
        <w:rPr>
          <w:iCs/>
          <w:sz w:val="20"/>
          <w:szCs w:val="20"/>
          <w:lang w:val="fr-FR"/>
        </w:rPr>
        <w:t>candidature</w:t>
      </w:r>
      <w:r w:rsidR="00012A55" w:rsidRPr="002A4594">
        <w:rPr>
          <w:iCs/>
          <w:sz w:val="20"/>
          <w:szCs w:val="20"/>
          <w:lang w:val="fr-FR"/>
        </w:rPr>
        <w:t xml:space="preserve"> </w:t>
      </w:r>
      <w:r w:rsidR="00012A55">
        <w:rPr>
          <w:iCs/>
          <w:sz w:val="20"/>
          <w:szCs w:val="20"/>
          <w:lang w:val="fr-FR"/>
        </w:rPr>
        <w:t xml:space="preserve">a </w:t>
      </w:r>
      <w:r w:rsidRPr="00713D60">
        <w:rPr>
          <w:iCs/>
          <w:sz w:val="20"/>
          <w:szCs w:val="20"/>
          <w:lang w:val="fr-FR"/>
        </w:rPr>
        <w:t>été proposé</w:t>
      </w:r>
      <w:r w:rsidR="00012A55">
        <w:rPr>
          <w:iCs/>
          <w:sz w:val="20"/>
          <w:szCs w:val="20"/>
          <w:lang w:val="fr-FR"/>
        </w:rPr>
        <w:t xml:space="preserve">e </w:t>
      </w:r>
      <w:r w:rsidRPr="00713D60">
        <w:rPr>
          <w:iCs/>
          <w:sz w:val="20"/>
          <w:szCs w:val="20"/>
          <w:lang w:val="fr-FR"/>
        </w:rPr>
        <w:t>sur la LR en 2008 et</w:t>
      </w:r>
      <w:r w:rsidR="00012A55">
        <w:rPr>
          <w:iCs/>
          <w:sz w:val="20"/>
          <w:szCs w:val="20"/>
          <w:lang w:val="fr-FR"/>
        </w:rPr>
        <w:t xml:space="preserve"> ils ont été</w:t>
      </w:r>
      <w:r w:rsidRPr="00713D60">
        <w:rPr>
          <w:iCs/>
          <w:sz w:val="20"/>
          <w:szCs w:val="20"/>
          <w:lang w:val="fr-FR"/>
        </w:rPr>
        <w:t xml:space="preserve"> inscrits en 2009.</w:t>
      </w:r>
    </w:p>
    <w:p w:rsidR="003757E3" w:rsidRPr="002A4594" w:rsidRDefault="00453393" w:rsidP="00AD1813">
      <w:pPr>
        <w:pStyle w:val="ListParagraph"/>
        <w:widowControl w:val="0"/>
        <w:numPr>
          <w:ilvl w:val="0"/>
          <w:numId w:val="32"/>
        </w:numPr>
        <w:autoSpaceDE w:val="0"/>
        <w:autoSpaceDN w:val="0"/>
        <w:adjustRightInd w:val="0"/>
        <w:spacing w:before="0" w:after="60" w:line="280" w:lineRule="exact"/>
        <w:ind w:left="1210"/>
        <w:rPr>
          <w:iCs/>
          <w:sz w:val="20"/>
          <w:szCs w:val="20"/>
          <w:lang w:val="fr-FR"/>
        </w:rPr>
      </w:pPr>
      <w:r w:rsidRPr="00713D60">
        <w:rPr>
          <w:iCs/>
          <w:sz w:val="20"/>
          <w:szCs w:val="20"/>
          <w:lang w:val="fr-FR"/>
        </w:rPr>
        <w:t xml:space="preserve">Le Ministre de la Culture s’est </w:t>
      </w:r>
      <w:r w:rsidR="00012A55" w:rsidRPr="002A4594">
        <w:rPr>
          <w:iCs/>
          <w:sz w:val="20"/>
          <w:szCs w:val="20"/>
          <w:lang w:val="fr-FR"/>
        </w:rPr>
        <w:t xml:space="preserve">intéressé </w:t>
      </w:r>
      <w:r w:rsidR="00080D7A">
        <w:rPr>
          <w:iCs/>
          <w:sz w:val="20"/>
          <w:szCs w:val="20"/>
          <w:lang w:val="fr-FR"/>
        </w:rPr>
        <w:t xml:space="preserve">en </w:t>
      </w:r>
      <w:r w:rsidRPr="00713D60">
        <w:rPr>
          <w:iCs/>
          <w:sz w:val="20"/>
          <w:szCs w:val="20"/>
          <w:lang w:val="fr-FR"/>
        </w:rPr>
        <w:t xml:space="preserve">personne à la sauvegarde du PCI dans son pays et </w:t>
      </w:r>
      <w:r w:rsidR="00080D7A">
        <w:rPr>
          <w:iCs/>
          <w:sz w:val="20"/>
          <w:szCs w:val="20"/>
          <w:lang w:val="fr-FR"/>
        </w:rPr>
        <w:t>a manifesté un</w:t>
      </w:r>
      <w:r w:rsidRPr="00713D60">
        <w:rPr>
          <w:iCs/>
          <w:sz w:val="20"/>
          <w:szCs w:val="20"/>
          <w:lang w:val="fr-FR"/>
        </w:rPr>
        <w:t xml:space="preserve"> vif intérêt pour </w:t>
      </w:r>
      <w:r w:rsidR="00080D7A">
        <w:rPr>
          <w:iCs/>
          <w:sz w:val="20"/>
          <w:szCs w:val="20"/>
          <w:lang w:val="fr-FR"/>
        </w:rPr>
        <w:t>la</w:t>
      </w:r>
      <w:r w:rsidRPr="00713D60">
        <w:rPr>
          <w:iCs/>
          <w:sz w:val="20"/>
          <w:szCs w:val="20"/>
          <w:lang w:val="fr-FR"/>
        </w:rPr>
        <w:t xml:space="preserve"> mise en œuvre réussie de la Convention. Il a lui-même supervisé les étapes préparatoires de la ratification et a également renforcé le Comité national du PCI </w:t>
      </w:r>
      <w:r w:rsidR="00012A55">
        <w:rPr>
          <w:iCs/>
          <w:sz w:val="20"/>
          <w:szCs w:val="20"/>
          <w:lang w:val="fr-FR"/>
        </w:rPr>
        <w:t>qu’il a</w:t>
      </w:r>
      <w:r w:rsidRPr="00713D60">
        <w:rPr>
          <w:iCs/>
          <w:sz w:val="20"/>
          <w:szCs w:val="20"/>
          <w:lang w:val="fr-FR"/>
        </w:rPr>
        <w:t xml:space="preserve"> fait passer de 4 à 20 membres.</w:t>
      </w:r>
    </w:p>
    <w:p w:rsidR="003757E3" w:rsidRPr="002A4594" w:rsidRDefault="00453393" w:rsidP="00AD1813">
      <w:pPr>
        <w:pStyle w:val="ListParagraph"/>
        <w:widowControl w:val="0"/>
        <w:numPr>
          <w:ilvl w:val="0"/>
          <w:numId w:val="32"/>
        </w:numPr>
        <w:autoSpaceDE w:val="0"/>
        <w:autoSpaceDN w:val="0"/>
        <w:adjustRightInd w:val="0"/>
        <w:spacing w:before="0" w:after="60" w:line="280" w:lineRule="exact"/>
        <w:ind w:left="1210"/>
        <w:rPr>
          <w:sz w:val="20"/>
          <w:szCs w:val="20"/>
          <w:lang w:val="fr-FR"/>
        </w:rPr>
      </w:pPr>
      <w:r w:rsidRPr="00713D60">
        <w:rPr>
          <w:iCs/>
          <w:sz w:val="20"/>
          <w:szCs w:val="20"/>
          <w:lang w:val="fr-FR"/>
        </w:rPr>
        <w:t>La Croatie a ratifié la Convention</w:t>
      </w:r>
      <w:r w:rsidR="008648C5">
        <w:rPr>
          <w:iCs/>
          <w:sz w:val="20"/>
          <w:szCs w:val="20"/>
          <w:lang w:val="fr-FR"/>
        </w:rPr>
        <w:t xml:space="preserve"> </w:t>
      </w:r>
      <w:r w:rsidRPr="00713D60">
        <w:rPr>
          <w:iCs/>
          <w:sz w:val="20"/>
          <w:szCs w:val="20"/>
          <w:lang w:val="fr-FR"/>
        </w:rPr>
        <w:t xml:space="preserve">en 2005. Au milieu de l’année 2009, 65 éléments avaient déjà été inclus dans l’inventaire du PCI (Registre des biens culturels) de la Croatie. Dans toute l’Europe, elle s’est avérée l’État partie le plus actif en termes de préparation et de soumission de candidatures </w:t>
      </w:r>
      <w:r w:rsidR="008648C5">
        <w:rPr>
          <w:iCs/>
          <w:sz w:val="20"/>
          <w:szCs w:val="20"/>
          <w:lang w:val="fr-FR"/>
        </w:rPr>
        <w:t>aux</w:t>
      </w:r>
      <w:r w:rsidRPr="00713D60">
        <w:rPr>
          <w:iCs/>
          <w:sz w:val="20"/>
          <w:szCs w:val="20"/>
          <w:lang w:val="fr-FR"/>
        </w:rPr>
        <w:t xml:space="preserve"> Listes de la Convention. La Croatie compte un élément inscrit sur la LSU et treize sur la</w:t>
      </w:r>
      <w:r w:rsidRPr="00713D60">
        <w:rPr>
          <w:sz w:val="20"/>
          <w:szCs w:val="20"/>
          <w:lang w:val="fr-FR"/>
        </w:rPr>
        <w:t xml:space="preserve"> LR, dont un dossier multinational (</w:t>
      </w:r>
      <w:r w:rsidR="008648C5">
        <w:rPr>
          <w:sz w:val="20"/>
          <w:szCs w:val="20"/>
          <w:lang w:val="fr-FR"/>
        </w:rPr>
        <w:t>« </w:t>
      </w:r>
      <w:r w:rsidRPr="00713D60">
        <w:rPr>
          <w:sz w:val="20"/>
          <w:szCs w:val="20"/>
          <w:lang w:val="fr-FR"/>
        </w:rPr>
        <w:t>La diète méditerranéenne</w:t>
      </w:r>
      <w:r w:rsidR="008648C5">
        <w:rPr>
          <w:sz w:val="20"/>
          <w:szCs w:val="20"/>
          <w:lang w:val="fr-FR"/>
        </w:rPr>
        <w:t> »</w:t>
      </w:r>
      <w:r w:rsidR="006A6895">
        <w:rPr>
          <w:sz w:val="20"/>
          <w:szCs w:val="20"/>
          <w:lang w:val="fr-FR"/>
        </w:rPr>
        <w:t>).</w:t>
      </w:r>
    </w:p>
    <w:p w:rsidR="002712D0" w:rsidRPr="00713D60" w:rsidRDefault="00453393" w:rsidP="007B0D43">
      <w:pPr>
        <w:pStyle w:val="Heading6"/>
        <w:rPr>
          <w:lang w:val="fr-FR"/>
        </w:rPr>
      </w:pPr>
      <w:r w:rsidRPr="00713D60">
        <w:rPr>
          <w:lang w:val="fr-FR"/>
        </w:rPr>
        <w:t>DIAPOSITIVE 9</w:t>
      </w:r>
      <w:r w:rsidR="006A6895">
        <w:rPr>
          <w:lang w:val="fr-FR"/>
        </w:rPr>
        <w:t>.</w:t>
      </w:r>
    </w:p>
    <w:p w:rsidR="0042369B" w:rsidRPr="00713D60" w:rsidRDefault="00453393" w:rsidP="007B0D43">
      <w:pPr>
        <w:pStyle w:val="diapo2"/>
        <w:rPr>
          <w:rFonts w:ascii="Arial Bold" w:hAnsi="Arial Bold" w:hint="eastAsia"/>
          <w:noProof w:val="0"/>
        </w:rPr>
      </w:pPr>
      <w:r w:rsidRPr="00713D60">
        <w:rPr>
          <w:rFonts w:ascii="Arial Bold" w:hAnsi="Arial Bold"/>
          <w:noProof w:val="0"/>
        </w:rPr>
        <w:t>Stratégies de ratification : Brésil</w:t>
      </w:r>
      <w:r w:rsidRPr="00713D60">
        <w:rPr>
          <w:rFonts w:ascii="Arial Bold" w:hAnsi="Arial Bold"/>
          <w:noProof w:val="0"/>
          <w:vertAlign w:val="superscript"/>
        </w:rPr>
        <w:footnoteReference w:id="5"/>
      </w:r>
    </w:p>
    <w:p w:rsidR="0042369B" w:rsidRPr="002A4594" w:rsidRDefault="00453393" w:rsidP="007B0D43">
      <w:pPr>
        <w:widowControl w:val="0"/>
        <w:autoSpaceDE w:val="0"/>
        <w:autoSpaceDN w:val="0"/>
        <w:adjustRightInd w:val="0"/>
        <w:spacing w:before="0" w:after="60" w:line="280" w:lineRule="exact"/>
        <w:ind w:left="851"/>
        <w:rPr>
          <w:iCs/>
          <w:sz w:val="20"/>
          <w:szCs w:val="20"/>
          <w:lang w:val="fr-FR"/>
        </w:rPr>
      </w:pPr>
      <w:r w:rsidRPr="00713D60">
        <w:rPr>
          <w:iCs/>
          <w:sz w:val="20"/>
          <w:szCs w:val="20"/>
          <w:lang w:val="fr-FR"/>
        </w:rPr>
        <w:t xml:space="preserve">Au moment où le Brésil a ratifié la Convention du patrimoine immatériel en 2006 – Convention à la rédaction de laquelle il a contribué – le pays avait déjà encouragé un certain nombre d’initiatives en matière de recherche et d’inventaire du PCI par des </w:t>
      </w:r>
      <w:r w:rsidRPr="00713D60">
        <w:rPr>
          <w:iCs/>
          <w:sz w:val="20"/>
          <w:szCs w:val="20"/>
          <w:lang w:val="fr-FR"/>
        </w:rPr>
        <w:lastRenderedPageBreak/>
        <w:t xml:space="preserve">institutions compétentes. La loi brésilienne protégeait les droits des peuples autochtones pour ce qui est de la recherche et des droits de propriété intellectuelle ; le PCI était également reconnu sur le plan légal comme un élément du patrimoine culturel </w:t>
      </w:r>
      <w:r w:rsidR="007E034D">
        <w:rPr>
          <w:iCs/>
          <w:sz w:val="20"/>
          <w:szCs w:val="20"/>
          <w:lang w:val="fr-FR"/>
        </w:rPr>
        <w:t>brésilien</w:t>
      </w:r>
      <w:r w:rsidRPr="00713D60">
        <w:rPr>
          <w:iCs/>
          <w:sz w:val="20"/>
          <w:szCs w:val="20"/>
          <w:lang w:val="fr-FR"/>
        </w:rPr>
        <w:t>, de sorte que</w:t>
      </w:r>
      <w:r w:rsidRPr="00713D60">
        <w:rPr>
          <w:iCs/>
          <w:color w:val="000000" w:themeColor="text1"/>
          <w:sz w:val="20"/>
          <w:szCs w:val="20"/>
          <w:lang w:val="fr-FR"/>
        </w:rPr>
        <w:t xml:space="preserve"> la ratification de la Convention a facilement été approuvée par le Parlement et sa mise en œuvre a suivi de peu la</w:t>
      </w:r>
      <w:r w:rsidR="006A6895">
        <w:rPr>
          <w:iCs/>
          <w:color w:val="000000" w:themeColor="text1"/>
          <w:sz w:val="20"/>
          <w:szCs w:val="20"/>
          <w:lang w:val="fr-FR"/>
        </w:rPr>
        <w:t xml:space="preserve"> ratification.</w:t>
      </w:r>
    </w:p>
    <w:p w:rsidR="00A4753D" w:rsidRPr="002A4594" w:rsidRDefault="00453393" w:rsidP="00894AB9">
      <w:pPr>
        <w:pStyle w:val="ListParagraph"/>
        <w:widowControl w:val="0"/>
        <w:numPr>
          <w:ilvl w:val="0"/>
          <w:numId w:val="32"/>
        </w:numPr>
        <w:autoSpaceDE w:val="0"/>
        <w:autoSpaceDN w:val="0"/>
        <w:adjustRightInd w:val="0"/>
        <w:spacing w:before="0" w:after="60" w:line="280" w:lineRule="exact"/>
        <w:ind w:left="1210"/>
        <w:rPr>
          <w:iCs/>
          <w:sz w:val="20"/>
          <w:szCs w:val="20"/>
          <w:lang w:val="fr-FR"/>
        </w:rPr>
      </w:pPr>
      <w:r w:rsidRPr="00713D60">
        <w:rPr>
          <w:iCs/>
          <w:sz w:val="20"/>
          <w:szCs w:val="20"/>
          <w:lang w:val="fr-FR"/>
        </w:rPr>
        <w:t xml:space="preserve">Créée à la fin des années 1940, la Commission nationale du </w:t>
      </w:r>
      <w:r w:rsidR="007E034D">
        <w:rPr>
          <w:iCs/>
          <w:sz w:val="20"/>
          <w:szCs w:val="20"/>
          <w:lang w:val="fr-FR"/>
        </w:rPr>
        <w:t>f</w:t>
      </w:r>
      <w:r w:rsidRPr="00713D60">
        <w:rPr>
          <w:iCs/>
          <w:sz w:val="20"/>
          <w:szCs w:val="20"/>
          <w:lang w:val="fr-FR"/>
        </w:rPr>
        <w:t>olklore a pour fonction d’articuler le réseau des commissions régionales dans chaque État et de promouvoir la recherche et la diffusion d’information</w:t>
      </w:r>
      <w:r w:rsidR="007E034D">
        <w:rPr>
          <w:iCs/>
          <w:sz w:val="20"/>
          <w:szCs w:val="20"/>
          <w:lang w:val="fr-FR"/>
        </w:rPr>
        <w:t>s</w:t>
      </w:r>
      <w:r w:rsidRPr="00713D60">
        <w:rPr>
          <w:iCs/>
          <w:sz w:val="20"/>
          <w:szCs w:val="20"/>
          <w:lang w:val="fr-FR"/>
        </w:rPr>
        <w:t xml:space="preserve"> sur le « folklore ».</w:t>
      </w:r>
    </w:p>
    <w:p w:rsidR="003757E3" w:rsidRPr="002A4594" w:rsidRDefault="00453393" w:rsidP="00894AB9">
      <w:pPr>
        <w:pStyle w:val="ListParagraph"/>
        <w:widowControl w:val="0"/>
        <w:numPr>
          <w:ilvl w:val="0"/>
          <w:numId w:val="32"/>
        </w:numPr>
        <w:autoSpaceDE w:val="0"/>
        <w:autoSpaceDN w:val="0"/>
        <w:adjustRightInd w:val="0"/>
        <w:spacing w:before="0" w:after="60" w:line="280" w:lineRule="exact"/>
        <w:ind w:left="1210"/>
        <w:rPr>
          <w:iCs/>
          <w:sz w:val="20"/>
          <w:szCs w:val="20"/>
          <w:lang w:val="fr-FR"/>
        </w:rPr>
      </w:pPr>
      <w:r w:rsidRPr="00713D60">
        <w:rPr>
          <w:iCs/>
          <w:sz w:val="20"/>
          <w:szCs w:val="20"/>
          <w:lang w:val="fr-FR"/>
        </w:rPr>
        <w:t>En 1958, la Campagne de défense du folklore brésilien a été créée sous la tutelle du Ministère de l’Éducation et de la Culture. La Campagne a été intégrée à la Fondation nationale de l’art en tant qu’Instit</w:t>
      </w:r>
      <w:r w:rsidR="007E034D">
        <w:rPr>
          <w:iCs/>
          <w:sz w:val="20"/>
          <w:szCs w:val="20"/>
          <w:lang w:val="fr-FR"/>
        </w:rPr>
        <w:t>ut national du folklore en 1976</w:t>
      </w:r>
      <w:r w:rsidRPr="00713D60">
        <w:rPr>
          <w:iCs/>
          <w:sz w:val="20"/>
          <w:szCs w:val="20"/>
          <w:lang w:val="fr-FR"/>
        </w:rPr>
        <w:t xml:space="preserve"> et</w:t>
      </w:r>
      <w:r w:rsidR="007E034D">
        <w:rPr>
          <w:iCs/>
          <w:sz w:val="20"/>
          <w:szCs w:val="20"/>
          <w:lang w:val="fr-FR"/>
        </w:rPr>
        <w:t>,</w:t>
      </w:r>
      <w:r w:rsidRPr="00713D60">
        <w:rPr>
          <w:iCs/>
          <w:sz w:val="20"/>
          <w:szCs w:val="20"/>
          <w:lang w:val="fr-FR"/>
        </w:rPr>
        <w:t xml:space="preserve"> en 1997, elle a pris un autre nom pour devenir l’Institut national du patrimoine </w:t>
      </w:r>
      <w:r w:rsidR="00AC77D3">
        <w:rPr>
          <w:iCs/>
          <w:sz w:val="20"/>
          <w:szCs w:val="20"/>
          <w:lang w:val="fr-FR"/>
        </w:rPr>
        <w:t>artistique et historique</w:t>
      </w:r>
      <w:r w:rsidRPr="00713D60">
        <w:rPr>
          <w:iCs/>
          <w:sz w:val="20"/>
          <w:szCs w:val="20"/>
          <w:lang w:val="fr-FR"/>
        </w:rPr>
        <w:t>.</w:t>
      </w:r>
    </w:p>
    <w:p w:rsidR="003757E3" w:rsidRPr="002A4594" w:rsidRDefault="00453393" w:rsidP="00894AB9">
      <w:pPr>
        <w:pStyle w:val="ListParagraph"/>
        <w:widowControl w:val="0"/>
        <w:numPr>
          <w:ilvl w:val="0"/>
          <w:numId w:val="32"/>
        </w:numPr>
        <w:autoSpaceDE w:val="0"/>
        <w:autoSpaceDN w:val="0"/>
        <w:adjustRightInd w:val="0"/>
        <w:spacing w:before="0" w:after="60" w:line="280" w:lineRule="exact"/>
        <w:ind w:left="1210"/>
        <w:rPr>
          <w:iCs/>
          <w:sz w:val="20"/>
          <w:szCs w:val="20"/>
          <w:lang w:val="fr-FR"/>
        </w:rPr>
      </w:pPr>
      <w:r w:rsidRPr="00713D60">
        <w:rPr>
          <w:iCs/>
          <w:sz w:val="20"/>
          <w:szCs w:val="20"/>
          <w:lang w:val="fr-FR"/>
        </w:rPr>
        <w:t xml:space="preserve">Dans les années 1970, des </w:t>
      </w:r>
      <w:r w:rsidR="007E034D">
        <w:rPr>
          <w:iCs/>
          <w:sz w:val="20"/>
          <w:szCs w:val="20"/>
          <w:lang w:val="fr-FR"/>
        </w:rPr>
        <w:t>travaux</w:t>
      </w:r>
      <w:r w:rsidRPr="00713D60">
        <w:rPr>
          <w:iCs/>
          <w:sz w:val="20"/>
          <w:szCs w:val="20"/>
          <w:lang w:val="fr-FR"/>
        </w:rPr>
        <w:t xml:space="preserve"> d’inventaire et de documentation menés par de nombreux experts et organisations de toutes sortes ont mis en évidence des éléments du PCI d’un</w:t>
      </w:r>
      <w:r w:rsidR="007E034D">
        <w:rPr>
          <w:iCs/>
          <w:sz w:val="20"/>
          <w:szCs w:val="20"/>
          <w:lang w:val="fr-FR"/>
        </w:rPr>
        <w:t>e multitude</w:t>
      </w:r>
      <w:r w:rsidRPr="00713D60">
        <w:rPr>
          <w:iCs/>
          <w:sz w:val="20"/>
          <w:szCs w:val="20"/>
          <w:lang w:val="fr-FR"/>
        </w:rPr>
        <w:t xml:space="preserve"> de groupes di</w:t>
      </w:r>
      <w:r w:rsidR="007E034D">
        <w:rPr>
          <w:iCs/>
          <w:sz w:val="20"/>
          <w:szCs w:val="20"/>
          <w:lang w:val="fr-FR"/>
        </w:rPr>
        <w:t>ver</w:t>
      </w:r>
      <w:r w:rsidRPr="00713D60">
        <w:rPr>
          <w:iCs/>
          <w:sz w:val="20"/>
          <w:szCs w:val="20"/>
          <w:lang w:val="fr-FR"/>
        </w:rPr>
        <w:t>s vivant au Brésil.</w:t>
      </w:r>
    </w:p>
    <w:p w:rsidR="003757E3" w:rsidRPr="002A4594" w:rsidRDefault="00453393" w:rsidP="00894AB9">
      <w:pPr>
        <w:pStyle w:val="ListParagraph"/>
        <w:widowControl w:val="0"/>
        <w:numPr>
          <w:ilvl w:val="0"/>
          <w:numId w:val="32"/>
        </w:numPr>
        <w:autoSpaceDE w:val="0"/>
        <w:autoSpaceDN w:val="0"/>
        <w:adjustRightInd w:val="0"/>
        <w:spacing w:before="0" w:after="60" w:line="280" w:lineRule="exact"/>
        <w:ind w:left="1210"/>
        <w:rPr>
          <w:iCs/>
          <w:sz w:val="20"/>
          <w:szCs w:val="20"/>
          <w:lang w:val="fr-FR"/>
        </w:rPr>
      </w:pPr>
      <w:r w:rsidRPr="00713D60">
        <w:rPr>
          <w:iCs/>
          <w:sz w:val="20"/>
          <w:szCs w:val="20"/>
          <w:lang w:val="fr-FR"/>
        </w:rPr>
        <w:t xml:space="preserve">La Constitution de 1988 dispose que le patrimoine culturel brésilien est à la fois un patrimoine matériel et immatériel incluant </w:t>
      </w:r>
      <w:r w:rsidR="00EF5619">
        <w:rPr>
          <w:iCs/>
          <w:sz w:val="20"/>
          <w:szCs w:val="20"/>
          <w:lang w:val="fr-FR"/>
        </w:rPr>
        <w:t>l</w:t>
      </w:r>
      <w:r w:rsidRPr="00713D60">
        <w:rPr>
          <w:iCs/>
          <w:sz w:val="20"/>
          <w:szCs w:val="20"/>
          <w:lang w:val="fr-FR"/>
        </w:rPr>
        <w:t xml:space="preserve">es activités créatives, </w:t>
      </w:r>
      <w:r w:rsidR="00EF5619">
        <w:rPr>
          <w:iCs/>
          <w:sz w:val="20"/>
          <w:szCs w:val="20"/>
          <w:lang w:val="fr-FR"/>
        </w:rPr>
        <w:t>l</w:t>
      </w:r>
      <w:r w:rsidRPr="00713D60">
        <w:rPr>
          <w:iCs/>
          <w:sz w:val="20"/>
          <w:szCs w:val="20"/>
          <w:lang w:val="fr-FR"/>
        </w:rPr>
        <w:t xml:space="preserve">es pratiques et </w:t>
      </w:r>
      <w:r w:rsidR="00EF5619">
        <w:rPr>
          <w:iCs/>
          <w:sz w:val="20"/>
          <w:szCs w:val="20"/>
          <w:lang w:val="fr-FR"/>
        </w:rPr>
        <w:t>l</w:t>
      </w:r>
      <w:r w:rsidRPr="00713D60">
        <w:rPr>
          <w:iCs/>
          <w:sz w:val="20"/>
          <w:szCs w:val="20"/>
          <w:lang w:val="fr-FR"/>
        </w:rPr>
        <w:t>es modes de vie de tous les groupes qui composent la société brésilienne. Il n’y avait pas encore à ce stade</w:t>
      </w:r>
      <w:r w:rsidR="00EF5619">
        <w:rPr>
          <w:iCs/>
          <w:sz w:val="20"/>
          <w:szCs w:val="20"/>
          <w:lang w:val="fr-FR"/>
        </w:rPr>
        <w:t xml:space="preserve"> d</w:t>
      </w:r>
      <w:r w:rsidRPr="00713D60">
        <w:rPr>
          <w:iCs/>
          <w:sz w:val="20"/>
          <w:szCs w:val="20"/>
          <w:lang w:val="fr-FR"/>
        </w:rPr>
        <w:t>e législation spécifique axée sur la sauvegarde du PCI.</w:t>
      </w:r>
    </w:p>
    <w:p w:rsidR="003757E3" w:rsidRPr="002A4594" w:rsidRDefault="00453393" w:rsidP="00894AB9">
      <w:pPr>
        <w:pStyle w:val="ListParagraph"/>
        <w:widowControl w:val="0"/>
        <w:numPr>
          <w:ilvl w:val="0"/>
          <w:numId w:val="32"/>
        </w:numPr>
        <w:autoSpaceDE w:val="0"/>
        <w:autoSpaceDN w:val="0"/>
        <w:adjustRightInd w:val="0"/>
        <w:spacing w:before="0" w:after="60" w:line="280" w:lineRule="exact"/>
        <w:ind w:left="1210"/>
        <w:rPr>
          <w:iCs/>
          <w:sz w:val="20"/>
          <w:szCs w:val="20"/>
          <w:lang w:val="fr-FR"/>
        </w:rPr>
      </w:pPr>
      <w:r w:rsidRPr="00713D60">
        <w:rPr>
          <w:iCs/>
          <w:sz w:val="20"/>
          <w:szCs w:val="20"/>
          <w:lang w:val="fr-FR"/>
        </w:rPr>
        <w:t>Des recherches ethnologiques et anthropologiques ont été de plus en plus fréquemment entreprises selon des protocoles stricts qui ont permis aux communautés concernées d’exercer une certaine mesure de contrôle. Les communautés autochtones ont acquis des droits spécifiques en vertu de la Constitution de 1988 et d’autres législations, ce qui signifie, entre autres, que la documentation de leur PCI - par exemple, le droit de le collecter et d’en gérer l’accès - est non seulement réglementée par la loi sur les droits d’auteur, mais encore par la FUNAI, Fondation nationale de l’Indien.</w:t>
      </w:r>
    </w:p>
    <w:p w:rsidR="003757E3" w:rsidRPr="002A4594" w:rsidRDefault="00453393" w:rsidP="00894AB9">
      <w:pPr>
        <w:pStyle w:val="ListParagraph"/>
        <w:widowControl w:val="0"/>
        <w:numPr>
          <w:ilvl w:val="0"/>
          <w:numId w:val="32"/>
        </w:numPr>
        <w:autoSpaceDE w:val="0"/>
        <w:autoSpaceDN w:val="0"/>
        <w:adjustRightInd w:val="0"/>
        <w:spacing w:before="0" w:after="60" w:line="280" w:lineRule="exact"/>
        <w:ind w:left="1210"/>
        <w:rPr>
          <w:iCs/>
          <w:sz w:val="20"/>
          <w:szCs w:val="20"/>
          <w:lang w:val="fr-FR"/>
        </w:rPr>
      </w:pPr>
      <w:r w:rsidRPr="00713D60">
        <w:rPr>
          <w:iCs/>
          <w:sz w:val="20"/>
          <w:szCs w:val="20"/>
          <w:lang w:val="fr-FR"/>
        </w:rPr>
        <w:t>En 1997, un séminaire international sur « Le patrimoine immatériel : stratégies et formes de protection » recommandait au Brésil d’élaborer une législation en matière de PCI et de dresser un inventaire du PCI au niveau national.</w:t>
      </w:r>
    </w:p>
    <w:p w:rsidR="003757E3" w:rsidRPr="002A4594" w:rsidRDefault="00453393" w:rsidP="00894AB9">
      <w:pPr>
        <w:pStyle w:val="ListParagraph"/>
        <w:widowControl w:val="0"/>
        <w:numPr>
          <w:ilvl w:val="0"/>
          <w:numId w:val="32"/>
        </w:numPr>
        <w:autoSpaceDE w:val="0"/>
        <w:autoSpaceDN w:val="0"/>
        <w:adjustRightInd w:val="0"/>
        <w:spacing w:before="0" w:after="60" w:line="280" w:lineRule="exact"/>
        <w:ind w:left="1210"/>
        <w:rPr>
          <w:iCs/>
          <w:sz w:val="20"/>
          <w:szCs w:val="20"/>
          <w:lang w:val="fr-FR"/>
        </w:rPr>
      </w:pPr>
      <w:r w:rsidRPr="00713D60">
        <w:rPr>
          <w:iCs/>
          <w:sz w:val="20"/>
          <w:szCs w:val="20"/>
          <w:lang w:val="fr-FR"/>
        </w:rPr>
        <w:t>En août 2000, des décrets présidentiels ont créé le Registre des biens culturels immatériels et le Programme national pour le patrimoine immatériel (PNPI). L’IPHAN qui avait déjà inventorié et géré la conservation de lieux et d’objets patrimoniaux, s’est vu confier la supervision et la coordination des activités nationales de sauvegarde du PCI. L’IPHAN a élaboré une méthodologie d’inventaire à utiliser dans la compilation de l’Inventaire national des références culturelles dont l’objectif était la sauvegarde.</w:t>
      </w:r>
    </w:p>
    <w:p w:rsidR="003757E3" w:rsidRPr="002A4594" w:rsidRDefault="00453393" w:rsidP="00894AB9">
      <w:pPr>
        <w:pStyle w:val="ListParagraph"/>
        <w:widowControl w:val="0"/>
        <w:numPr>
          <w:ilvl w:val="0"/>
          <w:numId w:val="32"/>
        </w:numPr>
        <w:autoSpaceDE w:val="0"/>
        <w:autoSpaceDN w:val="0"/>
        <w:adjustRightInd w:val="0"/>
        <w:spacing w:before="0" w:after="60" w:line="280" w:lineRule="exact"/>
        <w:ind w:left="1210"/>
        <w:rPr>
          <w:iCs/>
          <w:sz w:val="20"/>
          <w:szCs w:val="20"/>
          <w:lang w:val="fr-FR"/>
        </w:rPr>
      </w:pPr>
      <w:r w:rsidRPr="00713D60">
        <w:rPr>
          <w:iCs/>
          <w:sz w:val="20"/>
          <w:szCs w:val="20"/>
          <w:lang w:val="fr-FR"/>
        </w:rPr>
        <w:t xml:space="preserve">En janvier 2002, le Brésil et l’UNESCO ont organisé conjointement une rencontre intergouvernementale à Rio sur la classification du PCI afin de préparer une liste de domaines du PCI qui pouvait être incluse dans la future Convention. Le Brésil a aussi participé activement à la réunion intergouvernementale chargée de préparer le projet de texte de la Convention à Paris entre septembre 2002 et juin 2003 (en assumant, par exemple, la responsabilité de rapporteur de </w:t>
      </w:r>
      <w:r w:rsidR="00232E9A">
        <w:rPr>
          <w:iCs/>
          <w:sz w:val="20"/>
          <w:szCs w:val="20"/>
          <w:lang w:val="fr-FR"/>
        </w:rPr>
        <w:t>ladi</w:t>
      </w:r>
      <w:r w:rsidRPr="00713D60">
        <w:rPr>
          <w:iCs/>
          <w:sz w:val="20"/>
          <w:szCs w:val="20"/>
          <w:lang w:val="fr-FR"/>
        </w:rPr>
        <w:t>te réunion).</w:t>
      </w:r>
    </w:p>
    <w:p w:rsidR="003757E3" w:rsidRPr="002A4594" w:rsidRDefault="00453393" w:rsidP="00894AB9">
      <w:pPr>
        <w:pStyle w:val="ListParagraph"/>
        <w:widowControl w:val="0"/>
        <w:numPr>
          <w:ilvl w:val="0"/>
          <w:numId w:val="32"/>
        </w:numPr>
        <w:autoSpaceDE w:val="0"/>
        <w:autoSpaceDN w:val="0"/>
        <w:adjustRightInd w:val="0"/>
        <w:spacing w:before="0" w:after="60" w:line="280" w:lineRule="exact"/>
        <w:ind w:left="1210"/>
        <w:rPr>
          <w:iCs/>
          <w:sz w:val="20"/>
          <w:szCs w:val="20"/>
          <w:lang w:val="fr-FR"/>
        </w:rPr>
      </w:pPr>
      <w:r w:rsidRPr="00713D60">
        <w:rPr>
          <w:iCs/>
          <w:sz w:val="20"/>
          <w:szCs w:val="20"/>
          <w:lang w:val="fr-FR"/>
        </w:rPr>
        <w:t xml:space="preserve">À la fin de l’année 2003, le Centro </w:t>
      </w:r>
      <w:proofErr w:type="spellStart"/>
      <w:r w:rsidRPr="00713D60">
        <w:rPr>
          <w:iCs/>
          <w:sz w:val="20"/>
          <w:szCs w:val="20"/>
          <w:lang w:val="fr-FR"/>
        </w:rPr>
        <w:t>Nacional</w:t>
      </w:r>
      <w:proofErr w:type="spellEnd"/>
      <w:r w:rsidRPr="00713D60">
        <w:rPr>
          <w:iCs/>
          <w:sz w:val="20"/>
          <w:szCs w:val="20"/>
          <w:lang w:val="fr-FR"/>
        </w:rPr>
        <w:t xml:space="preserve"> de </w:t>
      </w:r>
      <w:proofErr w:type="spellStart"/>
      <w:r w:rsidRPr="00713D60">
        <w:rPr>
          <w:iCs/>
          <w:sz w:val="20"/>
          <w:szCs w:val="20"/>
          <w:lang w:val="fr-FR"/>
        </w:rPr>
        <w:t>Folclore</w:t>
      </w:r>
      <w:proofErr w:type="spellEnd"/>
      <w:r w:rsidRPr="00713D60">
        <w:rPr>
          <w:iCs/>
          <w:sz w:val="20"/>
          <w:szCs w:val="20"/>
          <w:lang w:val="fr-FR"/>
        </w:rPr>
        <w:t xml:space="preserve"> e Cultura Populaire ou CFP (anciennement désigné comme l’Institut national du folklore), agence gouvernementale détentrice de grandes collections et d’un gigantesque site Web, a été intégré à l’IPHAN. En 2004, un Département spécial du patrimoine immatériel - </w:t>
      </w:r>
      <w:r w:rsidRPr="00713D60">
        <w:rPr>
          <w:iCs/>
          <w:sz w:val="20"/>
          <w:szCs w:val="20"/>
          <w:lang w:val="fr-FR"/>
        </w:rPr>
        <w:lastRenderedPageBreak/>
        <w:t>DPI - a été créé au sein de l’IPHAN. En mai 2009, le DPI a été scindé en deux unités, l’une pour l’identification et l’enregistrement, l’autre pour la sauvegarde.</w:t>
      </w:r>
    </w:p>
    <w:p w:rsidR="003757E3" w:rsidRPr="002A4594" w:rsidRDefault="00453393" w:rsidP="00894AB9">
      <w:pPr>
        <w:pStyle w:val="ListParagraph"/>
        <w:widowControl w:val="0"/>
        <w:numPr>
          <w:ilvl w:val="0"/>
          <w:numId w:val="32"/>
        </w:numPr>
        <w:autoSpaceDE w:val="0"/>
        <w:autoSpaceDN w:val="0"/>
        <w:adjustRightInd w:val="0"/>
        <w:spacing w:before="0" w:after="60" w:line="280" w:lineRule="exact"/>
        <w:ind w:left="1210"/>
        <w:rPr>
          <w:iCs/>
          <w:sz w:val="20"/>
          <w:szCs w:val="20"/>
          <w:lang w:val="fr-FR"/>
        </w:rPr>
      </w:pPr>
      <w:r w:rsidRPr="00713D60">
        <w:rPr>
          <w:iCs/>
          <w:sz w:val="20"/>
          <w:szCs w:val="20"/>
          <w:lang w:val="fr-FR"/>
        </w:rPr>
        <w:t>Le processus de ratification s’est déroulé sans heurts entre le Ministère de la Culture, le Gouvernement, le Congrès, la Chambre des Députés et le Parlement. Le Brésil a ratifié la Convention en mars 2006.</w:t>
      </w:r>
    </w:p>
    <w:p w:rsidR="002712D0" w:rsidRPr="00713D60" w:rsidRDefault="00453393" w:rsidP="007B0D43">
      <w:pPr>
        <w:pStyle w:val="Heading6"/>
        <w:rPr>
          <w:lang w:val="fr-FR"/>
        </w:rPr>
      </w:pPr>
      <w:r w:rsidRPr="00713D60">
        <w:rPr>
          <w:lang w:val="fr-FR"/>
        </w:rPr>
        <w:t>DIAPOSITIVE 10</w:t>
      </w:r>
      <w:r w:rsidR="006A6895">
        <w:rPr>
          <w:lang w:val="fr-FR"/>
        </w:rPr>
        <w:t>.</w:t>
      </w:r>
    </w:p>
    <w:p w:rsidR="0042369B" w:rsidRPr="00713D60" w:rsidRDefault="00453393" w:rsidP="007B0D43">
      <w:pPr>
        <w:pStyle w:val="diapo2"/>
        <w:rPr>
          <w:rFonts w:ascii="Arial Bold" w:hAnsi="Arial Bold" w:hint="eastAsia"/>
          <w:noProof w:val="0"/>
        </w:rPr>
      </w:pPr>
      <w:r w:rsidRPr="00713D60">
        <w:rPr>
          <w:rFonts w:ascii="Arial Bold" w:hAnsi="Arial Bold"/>
          <w:noProof w:val="0"/>
        </w:rPr>
        <w:t>Stratégies de ratification : Kenya</w:t>
      </w:r>
      <w:r w:rsidRPr="00713D60">
        <w:rPr>
          <w:rFonts w:ascii="Arial Bold" w:hAnsi="Arial Bold"/>
          <w:noProof w:val="0"/>
          <w:vertAlign w:val="superscript"/>
        </w:rPr>
        <w:footnoteReference w:id="6"/>
      </w:r>
    </w:p>
    <w:p w:rsidR="003757E3" w:rsidRPr="002A4594" w:rsidRDefault="00453393" w:rsidP="00894AB9">
      <w:pPr>
        <w:pStyle w:val="ListParagraph"/>
        <w:widowControl w:val="0"/>
        <w:numPr>
          <w:ilvl w:val="0"/>
          <w:numId w:val="32"/>
        </w:numPr>
        <w:autoSpaceDE w:val="0"/>
        <w:autoSpaceDN w:val="0"/>
        <w:adjustRightInd w:val="0"/>
        <w:spacing w:before="0" w:after="60" w:line="280" w:lineRule="exact"/>
        <w:ind w:left="1210"/>
        <w:rPr>
          <w:iCs/>
          <w:sz w:val="20"/>
          <w:szCs w:val="20"/>
          <w:lang w:val="fr-FR"/>
        </w:rPr>
      </w:pPr>
      <w:r w:rsidRPr="00713D60">
        <w:rPr>
          <w:iCs/>
          <w:sz w:val="20"/>
          <w:szCs w:val="20"/>
          <w:lang w:val="fr-FR"/>
        </w:rPr>
        <w:t xml:space="preserve">En août 2003, avant l’adoption de la Convention, le Ministère kenyan de la Culture a mobilisé une équipe d’intervenants, </w:t>
      </w:r>
      <w:r w:rsidR="00C35C9C">
        <w:rPr>
          <w:iCs/>
          <w:sz w:val="20"/>
          <w:szCs w:val="20"/>
          <w:lang w:val="fr-FR"/>
        </w:rPr>
        <w:t>avec</w:t>
      </w:r>
      <w:r w:rsidRPr="00713D60">
        <w:rPr>
          <w:iCs/>
          <w:sz w:val="20"/>
          <w:szCs w:val="20"/>
          <w:lang w:val="fr-FR"/>
        </w:rPr>
        <w:t xml:space="preserve"> des praticiens culturels locaux et des représentants de communautés, afin de définir la position du pays sur le projet de Convention. Au cours de la Conférence générale de l’UNESCO en septembre octobre 2003, le Ministère de la Culture s’est engagé aux côtés de la communauté des États membres de l’UNESCO et a analysé les actions menées par </w:t>
      </w:r>
      <w:r w:rsidR="00C35C9C">
        <w:rPr>
          <w:iCs/>
          <w:sz w:val="20"/>
          <w:szCs w:val="20"/>
          <w:lang w:val="fr-FR"/>
        </w:rPr>
        <w:t>d’</w:t>
      </w:r>
      <w:r w:rsidRPr="00713D60">
        <w:rPr>
          <w:iCs/>
          <w:sz w:val="20"/>
          <w:szCs w:val="20"/>
          <w:lang w:val="fr-FR"/>
        </w:rPr>
        <w:t>autres pays.</w:t>
      </w:r>
    </w:p>
    <w:p w:rsidR="003757E3" w:rsidRPr="002A4594" w:rsidRDefault="00453393" w:rsidP="00894AB9">
      <w:pPr>
        <w:pStyle w:val="ListParagraph"/>
        <w:widowControl w:val="0"/>
        <w:numPr>
          <w:ilvl w:val="0"/>
          <w:numId w:val="32"/>
        </w:numPr>
        <w:autoSpaceDE w:val="0"/>
        <w:autoSpaceDN w:val="0"/>
        <w:adjustRightInd w:val="0"/>
        <w:spacing w:before="0" w:after="60" w:line="280" w:lineRule="exact"/>
        <w:ind w:left="1210"/>
        <w:rPr>
          <w:iCs/>
          <w:sz w:val="20"/>
          <w:szCs w:val="20"/>
          <w:lang w:val="fr-FR"/>
        </w:rPr>
      </w:pPr>
      <w:r w:rsidRPr="00713D60">
        <w:rPr>
          <w:iCs/>
          <w:sz w:val="20"/>
          <w:szCs w:val="20"/>
          <w:lang w:val="fr-FR"/>
        </w:rPr>
        <w:t>En 2004, le Ministère de la Culture a élaboré un plan de ratification identifi</w:t>
      </w:r>
      <w:r w:rsidR="00C35C9C">
        <w:rPr>
          <w:iCs/>
          <w:sz w:val="20"/>
          <w:szCs w:val="20"/>
          <w:lang w:val="fr-FR"/>
        </w:rPr>
        <w:t>ant</w:t>
      </w:r>
      <w:r w:rsidRPr="00713D60">
        <w:rPr>
          <w:iCs/>
          <w:sz w:val="20"/>
          <w:szCs w:val="20"/>
          <w:lang w:val="fr-FR"/>
        </w:rPr>
        <w:t xml:space="preserve"> les activités et les rôles appropriés, ainsi qu’un calendrier. En 2005, le Ministère de la Culture a organisé plusieurs ateliers avec des représentants des communautés et d’autres parties prenantes </w:t>
      </w:r>
      <w:r w:rsidR="00C35C9C">
        <w:rPr>
          <w:iCs/>
          <w:sz w:val="20"/>
          <w:szCs w:val="20"/>
          <w:lang w:val="fr-FR"/>
        </w:rPr>
        <w:t>de manière à</w:t>
      </w:r>
      <w:r w:rsidRPr="00713D60">
        <w:rPr>
          <w:iCs/>
          <w:sz w:val="20"/>
          <w:szCs w:val="20"/>
          <w:lang w:val="fr-FR"/>
        </w:rPr>
        <w:t xml:space="preserve"> les familiariser avec le contenu de la Convention.</w:t>
      </w:r>
    </w:p>
    <w:p w:rsidR="003757E3" w:rsidRPr="002A4594" w:rsidRDefault="00453393" w:rsidP="00894AB9">
      <w:pPr>
        <w:pStyle w:val="ListParagraph"/>
        <w:widowControl w:val="0"/>
        <w:numPr>
          <w:ilvl w:val="0"/>
          <w:numId w:val="32"/>
        </w:numPr>
        <w:autoSpaceDE w:val="0"/>
        <w:autoSpaceDN w:val="0"/>
        <w:adjustRightInd w:val="0"/>
        <w:spacing w:before="0" w:after="60" w:line="280" w:lineRule="exact"/>
        <w:ind w:left="1210"/>
        <w:rPr>
          <w:iCs/>
          <w:sz w:val="20"/>
          <w:szCs w:val="20"/>
          <w:lang w:val="fr-FR"/>
        </w:rPr>
      </w:pPr>
      <w:r w:rsidRPr="00713D60">
        <w:rPr>
          <w:iCs/>
          <w:sz w:val="20"/>
          <w:szCs w:val="20"/>
          <w:lang w:val="fr-FR"/>
        </w:rPr>
        <w:t>Le Ministère de la Culture est intervenu auprès de différents ministères traitant de la culture (</w:t>
      </w:r>
      <w:r w:rsidR="00C35C9C">
        <w:rPr>
          <w:iCs/>
          <w:sz w:val="20"/>
          <w:szCs w:val="20"/>
          <w:lang w:val="fr-FR"/>
        </w:rPr>
        <w:t>comme</w:t>
      </w:r>
      <w:r w:rsidRPr="00713D60">
        <w:rPr>
          <w:iCs/>
          <w:sz w:val="20"/>
          <w:szCs w:val="20"/>
          <w:lang w:val="fr-FR"/>
        </w:rPr>
        <w:t xml:space="preserve"> </w:t>
      </w:r>
      <w:r w:rsidR="00C35C9C">
        <w:rPr>
          <w:iCs/>
          <w:sz w:val="20"/>
          <w:szCs w:val="20"/>
          <w:lang w:val="fr-FR"/>
        </w:rPr>
        <w:t>ceux</w:t>
      </w:r>
      <w:r w:rsidRPr="00713D60">
        <w:rPr>
          <w:iCs/>
          <w:sz w:val="20"/>
          <w:szCs w:val="20"/>
          <w:lang w:val="fr-FR"/>
        </w:rPr>
        <w:t xml:space="preserve"> de l’Environnement, de l’Éducation, du Tourisme, de l’Agriculture, des Relations internationales et de la Sécurité intérieure) et des administrations provinciales pour qu’ils prennent part aux débats sur la ratification.</w:t>
      </w:r>
    </w:p>
    <w:p w:rsidR="003757E3" w:rsidRPr="002A4594" w:rsidRDefault="00453393" w:rsidP="00894AB9">
      <w:pPr>
        <w:pStyle w:val="ListParagraph"/>
        <w:widowControl w:val="0"/>
        <w:numPr>
          <w:ilvl w:val="0"/>
          <w:numId w:val="32"/>
        </w:numPr>
        <w:autoSpaceDE w:val="0"/>
        <w:autoSpaceDN w:val="0"/>
        <w:adjustRightInd w:val="0"/>
        <w:spacing w:before="0" w:after="60" w:line="280" w:lineRule="exact"/>
        <w:ind w:left="1210"/>
        <w:rPr>
          <w:iCs/>
          <w:sz w:val="20"/>
          <w:szCs w:val="20"/>
          <w:lang w:val="fr-FR"/>
        </w:rPr>
      </w:pPr>
      <w:r w:rsidRPr="00713D60">
        <w:rPr>
          <w:iCs/>
          <w:sz w:val="20"/>
          <w:szCs w:val="20"/>
          <w:lang w:val="fr-FR"/>
        </w:rPr>
        <w:t xml:space="preserve">Le Ministère de la Culture a consulté d’autres institutions telles que les Musées nationaux du Kenya, le Conseil kenyan du droit d’auteur, la Société kenyane des droits d’auteur pour la musique, des universités publiques et privées, des organisations non gouvernementales, l’Association kenyane de littérature orale, le Conseil national de développement du livre, en cherchant </w:t>
      </w:r>
      <w:r w:rsidR="00C35C9C">
        <w:rPr>
          <w:iCs/>
          <w:sz w:val="20"/>
          <w:szCs w:val="20"/>
          <w:lang w:val="fr-FR"/>
        </w:rPr>
        <w:t>à</w:t>
      </w:r>
      <w:r w:rsidRPr="00713D60">
        <w:rPr>
          <w:iCs/>
          <w:sz w:val="20"/>
          <w:szCs w:val="20"/>
          <w:lang w:val="fr-FR"/>
        </w:rPr>
        <w:t xml:space="preserve"> « domestiquer » les divers aspects de la Convention.</w:t>
      </w:r>
    </w:p>
    <w:p w:rsidR="003757E3" w:rsidRPr="002A4594" w:rsidRDefault="00453393" w:rsidP="00894AB9">
      <w:pPr>
        <w:pStyle w:val="ListParagraph"/>
        <w:widowControl w:val="0"/>
        <w:numPr>
          <w:ilvl w:val="0"/>
          <w:numId w:val="32"/>
        </w:numPr>
        <w:autoSpaceDE w:val="0"/>
        <w:autoSpaceDN w:val="0"/>
        <w:adjustRightInd w:val="0"/>
        <w:spacing w:before="0" w:after="60" w:line="280" w:lineRule="exact"/>
        <w:ind w:left="1210"/>
        <w:rPr>
          <w:iCs/>
          <w:sz w:val="20"/>
          <w:szCs w:val="20"/>
          <w:lang w:val="fr-FR"/>
        </w:rPr>
      </w:pPr>
      <w:r w:rsidRPr="00713D60">
        <w:rPr>
          <w:iCs/>
          <w:sz w:val="20"/>
          <w:szCs w:val="20"/>
          <w:lang w:val="fr-FR"/>
        </w:rPr>
        <w:t xml:space="preserve">En 2004, l’UNESCO et le Gouvernement kenyan ont organisé une réunion d’information régionale à Nairobi, au Kenya, </w:t>
      </w:r>
      <w:r w:rsidR="000D6FED">
        <w:rPr>
          <w:iCs/>
          <w:sz w:val="20"/>
          <w:szCs w:val="20"/>
          <w:lang w:val="fr-FR"/>
        </w:rPr>
        <w:t>à l’intention des</w:t>
      </w:r>
      <w:r w:rsidRPr="00713D60">
        <w:rPr>
          <w:iCs/>
          <w:sz w:val="20"/>
          <w:szCs w:val="20"/>
          <w:lang w:val="fr-FR"/>
        </w:rPr>
        <w:t xml:space="preserve"> États de l’Afrique orientale et australe. La réunion visait à les informer de la Convention et à les encourager à la ratifier. Le Kenya s’est servi de l’expérience d’autres pays pour élaborer le plan national de ratification et tenir les ministres et les membres du Parlement au courant du processus de lobbying.</w:t>
      </w:r>
    </w:p>
    <w:p w:rsidR="003757E3" w:rsidRPr="002A4594" w:rsidRDefault="00453393" w:rsidP="00894AB9">
      <w:pPr>
        <w:pStyle w:val="ListParagraph"/>
        <w:widowControl w:val="0"/>
        <w:numPr>
          <w:ilvl w:val="0"/>
          <w:numId w:val="32"/>
        </w:numPr>
        <w:autoSpaceDE w:val="0"/>
        <w:autoSpaceDN w:val="0"/>
        <w:adjustRightInd w:val="0"/>
        <w:spacing w:before="0" w:after="60" w:line="280" w:lineRule="exact"/>
        <w:ind w:left="1210"/>
        <w:rPr>
          <w:iCs/>
          <w:sz w:val="20"/>
          <w:szCs w:val="20"/>
          <w:lang w:val="fr-FR"/>
        </w:rPr>
      </w:pPr>
      <w:r w:rsidRPr="00713D60">
        <w:rPr>
          <w:iCs/>
          <w:sz w:val="20"/>
          <w:szCs w:val="20"/>
          <w:lang w:val="fr-FR"/>
        </w:rPr>
        <w:t>Le Kenya a retardé la mise en place d’une politique culturelle nationale de manière à intégrer des aspects de la Convention et a utilisé le processus de consultation des parties prenantes au sujet de la politique culturelle nationale afin d’examiner les thématiques autour de la Convention.</w:t>
      </w:r>
    </w:p>
    <w:p w:rsidR="003757E3" w:rsidRPr="002A4594" w:rsidRDefault="00453393" w:rsidP="00894AB9">
      <w:pPr>
        <w:pStyle w:val="ListParagraph"/>
        <w:widowControl w:val="0"/>
        <w:numPr>
          <w:ilvl w:val="0"/>
          <w:numId w:val="32"/>
        </w:numPr>
        <w:autoSpaceDE w:val="0"/>
        <w:autoSpaceDN w:val="0"/>
        <w:adjustRightInd w:val="0"/>
        <w:spacing w:before="0" w:after="60" w:line="280" w:lineRule="exact"/>
        <w:ind w:left="1210"/>
        <w:rPr>
          <w:iCs/>
          <w:sz w:val="20"/>
          <w:szCs w:val="20"/>
          <w:lang w:val="fr-FR"/>
        </w:rPr>
      </w:pPr>
      <w:r w:rsidRPr="00713D60">
        <w:rPr>
          <w:iCs/>
          <w:sz w:val="20"/>
          <w:szCs w:val="20"/>
          <w:lang w:val="fr-FR"/>
        </w:rPr>
        <w:t xml:space="preserve">Un Comité de la culture a été créé en 2005 dans le cadre du processus de révision de la </w:t>
      </w:r>
      <w:r w:rsidR="00216951">
        <w:rPr>
          <w:iCs/>
          <w:sz w:val="20"/>
          <w:szCs w:val="20"/>
          <w:lang w:val="fr-FR"/>
        </w:rPr>
        <w:t>C</w:t>
      </w:r>
      <w:r w:rsidRPr="00713D60">
        <w:rPr>
          <w:iCs/>
          <w:sz w:val="20"/>
          <w:szCs w:val="20"/>
          <w:lang w:val="fr-FR"/>
        </w:rPr>
        <w:t>onstitution nationale.</w:t>
      </w:r>
    </w:p>
    <w:p w:rsidR="003757E3" w:rsidRPr="002A4594" w:rsidRDefault="00453393" w:rsidP="00894AB9">
      <w:pPr>
        <w:pStyle w:val="ListParagraph"/>
        <w:widowControl w:val="0"/>
        <w:numPr>
          <w:ilvl w:val="0"/>
          <w:numId w:val="32"/>
        </w:numPr>
        <w:autoSpaceDE w:val="0"/>
        <w:autoSpaceDN w:val="0"/>
        <w:adjustRightInd w:val="0"/>
        <w:spacing w:before="0" w:after="60" w:line="280" w:lineRule="exact"/>
        <w:ind w:left="1210"/>
        <w:rPr>
          <w:iCs/>
          <w:sz w:val="20"/>
          <w:szCs w:val="20"/>
          <w:lang w:val="fr-FR"/>
        </w:rPr>
      </w:pPr>
      <w:r w:rsidRPr="00713D60">
        <w:rPr>
          <w:iCs/>
          <w:sz w:val="20"/>
          <w:szCs w:val="20"/>
          <w:lang w:val="fr-FR"/>
        </w:rPr>
        <w:t xml:space="preserve">En 2005, le Comité de la culture a recommandé l’inclusion d’un chapitre culturel dans </w:t>
      </w:r>
      <w:r w:rsidRPr="00713D60">
        <w:rPr>
          <w:iCs/>
          <w:sz w:val="20"/>
          <w:szCs w:val="20"/>
          <w:lang w:val="fr-FR"/>
        </w:rPr>
        <w:lastRenderedPageBreak/>
        <w:t xml:space="preserve">la </w:t>
      </w:r>
      <w:r w:rsidR="00216951">
        <w:rPr>
          <w:iCs/>
          <w:sz w:val="20"/>
          <w:szCs w:val="20"/>
          <w:lang w:val="fr-FR"/>
        </w:rPr>
        <w:t>C</w:t>
      </w:r>
      <w:r w:rsidRPr="00713D60">
        <w:rPr>
          <w:iCs/>
          <w:sz w:val="20"/>
          <w:szCs w:val="20"/>
          <w:lang w:val="fr-FR"/>
        </w:rPr>
        <w:t>onstitution. La Constitution nationale du Kenya (adoptée en 2010) reconnaît l’importance du patrimoine culturel et le rôle des communautés en tant que créatrices et détentrices de ce patrimoine.</w:t>
      </w:r>
    </w:p>
    <w:p w:rsidR="003757E3" w:rsidRPr="002A4594" w:rsidRDefault="00453393" w:rsidP="00894AB9">
      <w:pPr>
        <w:pStyle w:val="ListParagraph"/>
        <w:widowControl w:val="0"/>
        <w:numPr>
          <w:ilvl w:val="0"/>
          <w:numId w:val="32"/>
        </w:numPr>
        <w:autoSpaceDE w:val="0"/>
        <w:autoSpaceDN w:val="0"/>
        <w:adjustRightInd w:val="0"/>
        <w:spacing w:before="0" w:after="60" w:line="280" w:lineRule="exact"/>
        <w:ind w:left="1210"/>
        <w:rPr>
          <w:iCs/>
          <w:sz w:val="20"/>
          <w:szCs w:val="20"/>
          <w:lang w:val="fr-FR"/>
        </w:rPr>
      </w:pPr>
      <w:r w:rsidRPr="00713D60">
        <w:rPr>
          <w:iCs/>
          <w:sz w:val="20"/>
          <w:szCs w:val="20"/>
          <w:lang w:val="fr-FR"/>
        </w:rPr>
        <w:t xml:space="preserve">En 2007, le Comité de la culture a préparé un mémoire au Cabinet lui demandant d’approuver la ratification de la Convention. Cette demande a été acceptée et le Ministère des Affaires étrangères a </w:t>
      </w:r>
      <w:proofErr w:type="spellStart"/>
      <w:r w:rsidRPr="00713D60">
        <w:rPr>
          <w:iCs/>
          <w:sz w:val="20"/>
          <w:szCs w:val="20"/>
          <w:lang w:val="fr-FR"/>
        </w:rPr>
        <w:t>prép</w:t>
      </w:r>
      <w:proofErr w:type="spellEnd"/>
      <w:r w:rsidRPr="00713D60">
        <w:rPr>
          <w:iCs/>
          <w:sz w:val="20"/>
          <w:szCs w:val="20"/>
          <w:lang w:val="fr-FR"/>
        </w:rPr>
        <w:tab/>
      </w:r>
      <w:proofErr w:type="spellStart"/>
      <w:r w:rsidRPr="00713D60">
        <w:rPr>
          <w:iCs/>
          <w:sz w:val="20"/>
          <w:szCs w:val="20"/>
          <w:lang w:val="fr-FR"/>
        </w:rPr>
        <w:t>aré</w:t>
      </w:r>
      <w:proofErr w:type="spellEnd"/>
      <w:r w:rsidRPr="00713D60">
        <w:rPr>
          <w:iCs/>
          <w:sz w:val="20"/>
          <w:szCs w:val="20"/>
          <w:lang w:val="fr-FR"/>
        </w:rPr>
        <w:t xml:space="preserve"> et déposé les instruments de ratification auprès du Directeur général de l’UNESCO. Le Kenya est devenu État partie en octobre 2007.</w:t>
      </w:r>
    </w:p>
    <w:p w:rsidR="003757E3" w:rsidRPr="002A4594" w:rsidRDefault="00453393" w:rsidP="00894AB9">
      <w:pPr>
        <w:pStyle w:val="ListParagraph"/>
        <w:widowControl w:val="0"/>
        <w:numPr>
          <w:ilvl w:val="0"/>
          <w:numId w:val="32"/>
        </w:numPr>
        <w:autoSpaceDE w:val="0"/>
        <w:autoSpaceDN w:val="0"/>
        <w:adjustRightInd w:val="0"/>
        <w:spacing w:before="0" w:after="60" w:line="280" w:lineRule="exact"/>
        <w:ind w:left="1210"/>
        <w:rPr>
          <w:lang w:val="fr-FR"/>
        </w:rPr>
      </w:pPr>
      <w:r w:rsidRPr="00713D60">
        <w:rPr>
          <w:iCs/>
          <w:sz w:val="20"/>
          <w:szCs w:val="20"/>
          <w:lang w:val="fr-FR"/>
        </w:rPr>
        <w:t xml:space="preserve">Peu de temps après la ratification, le Kenya a </w:t>
      </w:r>
      <w:r w:rsidR="00216951">
        <w:rPr>
          <w:iCs/>
          <w:sz w:val="20"/>
          <w:szCs w:val="20"/>
          <w:lang w:val="fr-FR"/>
        </w:rPr>
        <w:t>obt</w:t>
      </w:r>
      <w:r w:rsidRPr="00713D60">
        <w:rPr>
          <w:iCs/>
          <w:sz w:val="20"/>
          <w:szCs w:val="20"/>
          <w:lang w:val="fr-FR"/>
        </w:rPr>
        <w:t>e</w:t>
      </w:r>
      <w:r w:rsidR="00216951">
        <w:rPr>
          <w:iCs/>
          <w:sz w:val="20"/>
          <w:szCs w:val="20"/>
          <w:lang w:val="fr-FR"/>
        </w:rPr>
        <w:t>n</w:t>
      </w:r>
      <w:r w:rsidRPr="00713D60">
        <w:rPr>
          <w:iCs/>
          <w:sz w:val="20"/>
          <w:szCs w:val="20"/>
          <w:lang w:val="fr-FR"/>
        </w:rPr>
        <w:t xml:space="preserve">u </w:t>
      </w:r>
      <w:r w:rsidR="00216951">
        <w:rPr>
          <w:iCs/>
          <w:sz w:val="20"/>
          <w:szCs w:val="20"/>
          <w:lang w:val="fr-FR"/>
        </w:rPr>
        <w:t>l’</w:t>
      </w:r>
      <w:r w:rsidR="00216951" w:rsidRPr="002A4594">
        <w:rPr>
          <w:iCs/>
          <w:sz w:val="20"/>
          <w:szCs w:val="20"/>
          <w:lang w:val="fr-FR"/>
        </w:rPr>
        <w:t>inscri</w:t>
      </w:r>
      <w:r w:rsidR="00216951">
        <w:rPr>
          <w:iCs/>
          <w:sz w:val="20"/>
          <w:szCs w:val="20"/>
          <w:lang w:val="fr-FR"/>
        </w:rPr>
        <w:t>ption d’u</w:t>
      </w:r>
      <w:r w:rsidRPr="00713D60">
        <w:rPr>
          <w:iCs/>
          <w:sz w:val="20"/>
          <w:szCs w:val="20"/>
          <w:lang w:val="fr-FR"/>
        </w:rPr>
        <w:t xml:space="preserve">n élément sur la LSU : les « Traditions et pratiques associées aux </w:t>
      </w:r>
      <w:proofErr w:type="spellStart"/>
      <w:r w:rsidRPr="00713D60">
        <w:rPr>
          <w:iCs/>
          <w:sz w:val="20"/>
          <w:szCs w:val="20"/>
          <w:lang w:val="fr-FR"/>
        </w:rPr>
        <w:t>Kayas</w:t>
      </w:r>
      <w:proofErr w:type="spellEnd"/>
      <w:r w:rsidRPr="00713D60">
        <w:rPr>
          <w:iCs/>
          <w:sz w:val="20"/>
          <w:szCs w:val="20"/>
          <w:lang w:val="fr-FR"/>
        </w:rPr>
        <w:t xml:space="preserve"> dans les forêts sacrées des </w:t>
      </w:r>
      <w:proofErr w:type="spellStart"/>
      <w:r w:rsidRPr="00713D60">
        <w:rPr>
          <w:iCs/>
          <w:sz w:val="20"/>
          <w:szCs w:val="20"/>
          <w:lang w:val="fr-FR"/>
        </w:rPr>
        <w:t>Mijikenda</w:t>
      </w:r>
      <w:proofErr w:type="spellEnd"/>
      <w:r w:rsidRPr="00713D60">
        <w:rPr>
          <w:iCs/>
          <w:sz w:val="20"/>
          <w:szCs w:val="20"/>
          <w:lang w:val="fr-FR"/>
        </w:rPr>
        <w:t> » (2009). En même temps, le Comité a accordé une assistance financière pour couvrir quelques-unes des mesures de sauvegarde proposées pour cet élément.</w:t>
      </w:r>
    </w:p>
    <w:bookmarkEnd w:id="0"/>
    <w:bookmarkEnd w:id="1"/>
    <w:bookmarkEnd w:id="2"/>
    <w:p w:rsidR="00AB7097" w:rsidRPr="002A4594" w:rsidRDefault="00453393">
      <w:pPr>
        <w:tabs>
          <w:tab w:val="clear" w:pos="567"/>
        </w:tabs>
        <w:snapToGrid/>
        <w:spacing w:before="0" w:after="0"/>
        <w:jc w:val="left"/>
        <w:rPr>
          <w:lang w:val="fr-FR"/>
        </w:rPr>
      </w:pPr>
      <w:r w:rsidRPr="00713D60">
        <w:rPr>
          <w:lang w:val="fr-FR"/>
        </w:rPr>
        <w:br w:type="page"/>
      </w:r>
    </w:p>
    <w:p w:rsidR="00AB7097" w:rsidRPr="002A4594" w:rsidRDefault="00453393" w:rsidP="00AB7097">
      <w:pPr>
        <w:pStyle w:val="Chapitre"/>
        <w:pBdr>
          <w:bottom w:val="single" w:sz="4" w:space="13" w:color="3366FF"/>
        </w:pBdr>
        <w:rPr>
          <w:noProof w:val="0"/>
          <w:kern w:val="0"/>
          <w:lang w:val="fr-FR"/>
        </w:rPr>
      </w:pPr>
      <w:bookmarkStart w:id="6" w:name="_Toc302374698"/>
      <w:r w:rsidRPr="00713D60">
        <w:rPr>
          <w:noProof w:val="0"/>
          <w:kern w:val="0"/>
          <w:lang w:val="fr-FR"/>
        </w:rPr>
        <w:lastRenderedPageBreak/>
        <w:t>unité 17</w:t>
      </w:r>
    </w:p>
    <w:bookmarkEnd w:id="6"/>
    <w:p w:rsidR="00AB7097" w:rsidRPr="00D615F3" w:rsidRDefault="00453393" w:rsidP="00363129">
      <w:pPr>
        <w:pStyle w:val="Titcoul"/>
        <w:rPr>
          <w:rFonts w:eastAsia="SimSun"/>
          <w:lang w:val="fr-FR"/>
        </w:rPr>
      </w:pPr>
      <w:r w:rsidRPr="00D615F3">
        <w:rPr>
          <w:lang w:val="fr-FR"/>
        </w:rPr>
        <w:t>questions à choix multiple (exemplaire du facilitateur)</w:t>
      </w:r>
    </w:p>
    <w:p w:rsidR="00AB7097" w:rsidRPr="002A4594" w:rsidRDefault="00453393" w:rsidP="00AB7097">
      <w:pPr>
        <w:pStyle w:val="Texte1"/>
      </w:pPr>
      <w:r w:rsidRPr="00713D60">
        <w:t>Ces questions</w:t>
      </w:r>
      <w:r w:rsidR="000404BA">
        <w:t xml:space="preserve"> </w:t>
      </w:r>
      <w:r w:rsidRPr="00713D60">
        <w:t xml:space="preserve">ont </w:t>
      </w:r>
      <w:r w:rsidR="000404BA">
        <w:t xml:space="preserve">été </w:t>
      </w:r>
      <w:r w:rsidRPr="00713D60">
        <w:t xml:space="preserve">formulées </w:t>
      </w:r>
      <w:r w:rsidR="000404BA">
        <w:t>à partir de</w:t>
      </w:r>
      <w:r w:rsidRPr="00713D60">
        <w:t xml:space="preserve"> celles </w:t>
      </w:r>
      <w:r w:rsidR="000404BA">
        <w:t>qui sont le</w:t>
      </w:r>
      <w:r w:rsidRPr="00713D60">
        <w:t>s plus souvent posées. Elles peuvent être distribuées aux participants et servir de référence dans différentes phases de l’atelier, mais elles nécessiteront un certain temps de discussion en raison de la complexité des thèmes abordé</w:t>
      </w:r>
      <w:r w:rsidR="006A6895">
        <w:t>s.</w:t>
      </w:r>
    </w:p>
    <w:p w:rsidR="00AB7097" w:rsidRPr="002A4594" w:rsidRDefault="00453393" w:rsidP="00AB7097">
      <w:pPr>
        <w:pStyle w:val="Texte1"/>
      </w:pPr>
      <w:r w:rsidRPr="00713D60">
        <w:t>La bonne réponse (avec une explication) figure dans l’encadré qui suit chaque question - parmi les autres réponses, certaines sont partiellement</w:t>
      </w:r>
      <w:r w:rsidR="006A6895">
        <w:t xml:space="preserve"> correctes.</w:t>
      </w:r>
    </w:p>
    <w:p w:rsidR="00AB7097" w:rsidRPr="00713D60" w:rsidRDefault="00453393" w:rsidP="007B0D43">
      <w:pPr>
        <w:pStyle w:val="Heading4"/>
        <w:tabs>
          <w:tab w:val="left" w:pos="567"/>
        </w:tabs>
        <w:snapToGrid w:val="0"/>
        <w:spacing w:before="200" w:after="0" w:line="240" w:lineRule="auto"/>
        <w:jc w:val="both"/>
        <w:rPr>
          <w:rFonts w:eastAsiaTheme="majorEastAsia" w:cs="Arial"/>
          <w:iCs/>
          <w:snapToGrid w:val="0"/>
          <w:szCs w:val="18"/>
          <w:lang w:val="fr-FR" w:eastAsia="zh-CN"/>
        </w:rPr>
      </w:pPr>
      <w:r w:rsidRPr="00713D60">
        <w:rPr>
          <w:rFonts w:eastAsiaTheme="majorEastAsia" w:cs="Arial"/>
          <w:iCs/>
          <w:snapToGrid w:val="0"/>
          <w:szCs w:val="18"/>
          <w:lang w:val="fr-FR" w:eastAsia="zh-CN"/>
        </w:rPr>
        <w:t>à propos de la Convention</w:t>
      </w:r>
    </w:p>
    <w:p w:rsidR="00AB7097" w:rsidRPr="00713D60" w:rsidRDefault="00453393" w:rsidP="007B0D43">
      <w:pPr>
        <w:pStyle w:val="Heading4"/>
        <w:tabs>
          <w:tab w:val="left" w:pos="567"/>
        </w:tabs>
        <w:snapToGrid w:val="0"/>
        <w:spacing w:before="200" w:after="0" w:line="240" w:lineRule="auto"/>
        <w:jc w:val="both"/>
        <w:rPr>
          <w:rFonts w:eastAsia="Times New Roman" w:cs="Arial"/>
          <w:iCs/>
          <w:snapToGrid w:val="0"/>
          <w:sz w:val="18"/>
          <w:szCs w:val="18"/>
          <w:lang w:val="fr-FR" w:eastAsia="zh-CN"/>
        </w:rPr>
      </w:pPr>
      <w:r w:rsidRPr="00713D60">
        <w:rPr>
          <w:rFonts w:eastAsia="Times New Roman" w:cs="Arial"/>
          <w:iCs/>
          <w:snapToGrid w:val="0"/>
          <w:sz w:val="18"/>
          <w:szCs w:val="18"/>
          <w:lang w:val="fr-FR" w:eastAsia="zh-CN"/>
        </w:rPr>
        <w:t>Question 1</w:t>
      </w:r>
    </w:p>
    <w:p w:rsidR="00AB7097" w:rsidRPr="002A4594" w:rsidRDefault="00453393" w:rsidP="00AB7097">
      <w:pPr>
        <w:pStyle w:val="Texte1"/>
      </w:pPr>
      <w:r w:rsidRPr="00713D60">
        <w:t xml:space="preserve">Parmi les actions mentionnées ci-après, y en </w:t>
      </w:r>
      <w:proofErr w:type="spellStart"/>
      <w:r w:rsidRPr="00713D60">
        <w:t>a-t-il</w:t>
      </w:r>
      <w:proofErr w:type="spellEnd"/>
      <w:r w:rsidRPr="00713D60">
        <w:t xml:space="preserve"> éventuellement que les États sont obligés d’entreprendre avant de pouvoir ratifier la Convention </w:t>
      </w:r>
      <w:r w:rsidR="006A6895">
        <w:t>?</w:t>
      </w:r>
    </w:p>
    <w:p w:rsidR="003757E3" w:rsidRPr="002A4594" w:rsidRDefault="00453393" w:rsidP="00713D60">
      <w:pPr>
        <w:pStyle w:val="ListParagraph"/>
        <w:numPr>
          <w:ilvl w:val="0"/>
          <w:numId w:val="31"/>
        </w:numPr>
        <w:tabs>
          <w:tab w:val="clear" w:pos="567"/>
        </w:tabs>
        <w:spacing w:before="0"/>
        <w:ind w:left="1276" w:hanging="425"/>
        <w:contextualSpacing/>
        <w:rPr>
          <w:sz w:val="20"/>
          <w:szCs w:val="20"/>
          <w:lang w:val="fr-FR" w:eastAsia="en-US"/>
        </w:rPr>
      </w:pPr>
      <w:r w:rsidRPr="00713D60">
        <w:rPr>
          <w:sz w:val="20"/>
          <w:szCs w:val="20"/>
          <w:lang w:val="fr-FR" w:eastAsia="en-US"/>
        </w:rPr>
        <w:t>Créer des inventaires du PCI présent sur leur territoire.</w:t>
      </w:r>
    </w:p>
    <w:p w:rsidR="003757E3" w:rsidRPr="002A4594" w:rsidRDefault="00453393" w:rsidP="00713D60">
      <w:pPr>
        <w:pStyle w:val="ListParagraph"/>
        <w:numPr>
          <w:ilvl w:val="0"/>
          <w:numId w:val="31"/>
        </w:numPr>
        <w:tabs>
          <w:tab w:val="clear" w:pos="567"/>
        </w:tabs>
        <w:spacing w:before="0"/>
        <w:ind w:left="1247" w:hanging="397"/>
        <w:contextualSpacing/>
        <w:rPr>
          <w:sz w:val="20"/>
          <w:szCs w:val="20"/>
          <w:lang w:val="fr-FR" w:eastAsia="en-US"/>
        </w:rPr>
      </w:pPr>
      <w:r w:rsidRPr="00713D60">
        <w:rPr>
          <w:sz w:val="20"/>
          <w:szCs w:val="20"/>
          <w:lang w:val="fr-FR" w:eastAsia="en-US"/>
        </w:rPr>
        <w:t>Obtenir le consentement des communautés, groupes et individus qui sont les gardiens du PCI dans le pays, en faveur de la ratification.</w:t>
      </w:r>
    </w:p>
    <w:p w:rsidR="003757E3" w:rsidRPr="002A4594" w:rsidRDefault="00453393" w:rsidP="00713D60">
      <w:pPr>
        <w:pStyle w:val="ListParagraph"/>
        <w:numPr>
          <w:ilvl w:val="0"/>
          <w:numId w:val="31"/>
        </w:numPr>
        <w:tabs>
          <w:tab w:val="clear" w:pos="567"/>
        </w:tabs>
        <w:ind w:left="1276" w:hanging="425"/>
        <w:contextualSpacing/>
        <w:rPr>
          <w:sz w:val="20"/>
          <w:szCs w:val="20"/>
          <w:lang w:val="fr-FR" w:eastAsia="en-US"/>
        </w:rPr>
      </w:pPr>
      <w:r w:rsidRPr="00713D60">
        <w:rPr>
          <w:sz w:val="20"/>
          <w:szCs w:val="20"/>
          <w:lang w:val="fr-FR" w:eastAsia="en-US"/>
        </w:rPr>
        <w:t xml:space="preserve">Adapter la législation nationale – le cas échéant – </w:t>
      </w:r>
      <w:r w:rsidR="00E52C53">
        <w:rPr>
          <w:sz w:val="20"/>
          <w:szCs w:val="20"/>
          <w:lang w:val="fr-FR" w:eastAsia="en-US"/>
        </w:rPr>
        <w:t>afin d’instaurer</w:t>
      </w:r>
      <w:r w:rsidRPr="00713D60">
        <w:rPr>
          <w:sz w:val="20"/>
          <w:szCs w:val="20"/>
          <w:lang w:val="fr-FR" w:eastAsia="en-US"/>
        </w:rPr>
        <w:t xml:space="preserve"> un cadre juridique pour la sauvegarde du PCI.</w:t>
      </w:r>
    </w:p>
    <w:p w:rsidR="003757E3" w:rsidRPr="002A4594" w:rsidRDefault="00E52C53" w:rsidP="00713D60">
      <w:pPr>
        <w:pStyle w:val="ListParagraph"/>
        <w:numPr>
          <w:ilvl w:val="0"/>
          <w:numId w:val="31"/>
        </w:numPr>
        <w:tabs>
          <w:tab w:val="clear" w:pos="567"/>
        </w:tabs>
        <w:ind w:left="1276" w:hanging="425"/>
        <w:contextualSpacing/>
        <w:rPr>
          <w:sz w:val="20"/>
          <w:szCs w:val="20"/>
          <w:lang w:val="fr-FR" w:eastAsia="en-US"/>
        </w:rPr>
      </w:pPr>
      <w:r>
        <w:rPr>
          <w:sz w:val="20"/>
          <w:szCs w:val="20"/>
          <w:lang w:val="fr-FR" w:eastAsia="en-US"/>
        </w:rPr>
        <w:t>Aucune des actions précitées</w:t>
      </w:r>
      <w:r w:rsidR="006A6895">
        <w:rPr>
          <w:sz w:val="20"/>
          <w:szCs w:val="20"/>
          <w:lang w:val="fr-FR" w:eastAsia="en-US"/>
        </w:rPr>
        <w:t>.</w:t>
      </w:r>
    </w:p>
    <w:p w:rsidR="00AB7097" w:rsidRPr="002A4594" w:rsidRDefault="00453393" w:rsidP="00AB7097">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713D60">
        <w:rPr>
          <w:rFonts w:eastAsia="SimSun"/>
          <w:szCs w:val="20"/>
        </w:rPr>
        <w:t xml:space="preserve">L’option (d) est la bonne. Aucune de ces actions n’est requise avant la ratification. L’État est uniquement tenu de suivre la procédure prévue dans sa Constitution pour la ratification d’un traité international (en l’occurrence, multilatéral). Les activités </w:t>
      </w:r>
      <w:r w:rsidR="004E0DB4">
        <w:rPr>
          <w:rFonts w:eastAsia="SimSun"/>
          <w:szCs w:val="20"/>
        </w:rPr>
        <w:t>décri</w:t>
      </w:r>
      <w:r w:rsidRPr="00713D60">
        <w:rPr>
          <w:rFonts w:eastAsia="SimSun"/>
          <w:szCs w:val="20"/>
        </w:rPr>
        <w:t xml:space="preserve">tes dans les options (a) et (c) pourraient grandement faciliter la future mise en œuvre de la Convention. </w:t>
      </w:r>
      <w:r w:rsidR="004E0DB4">
        <w:rPr>
          <w:rFonts w:eastAsia="SimSun"/>
          <w:szCs w:val="20"/>
        </w:rPr>
        <w:t>Quant au</w:t>
      </w:r>
      <w:r w:rsidRPr="00713D60">
        <w:rPr>
          <w:rFonts w:eastAsia="SimSun"/>
          <w:szCs w:val="20"/>
        </w:rPr>
        <w:t xml:space="preserve"> (b), la future participation des communautés, groupes et individus concernés à la mise en œuvre de la Convention pourrait être encouragée si l’État rend publique son intention de ratifier la Convention et les conséquences possibles qu</w:t>
      </w:r>
      <w:r w:rsidR="00C561E0">
        <w:rPr>
          <w:rFonts w:eastAsia="SimSun"/>
          <w:szCs w:val="20"/>
        </w:rPr>
        <w:t>i en découlent</w:t>
      </w:r>
      <w:r w:rsidRPr="00713D60">
        <w:rPr>
          <w:rFonts w:eastAsia="SimSun"/>
          <w:szCs w:val="20"/>
        </w:rPr>
        <w:t xml:space="preserve">. Après l’entrée en vigueur de la Convention pour un État, (b) devient une obligation et (c) </w:t>
      </w:r>
      <w:r w:rsidR="006A6895">
        <w:rPr>
          <w:rFonts w:eastAsia="SimSun"/>
          <w:szCs w:val="20"/>
        </w:rPr>
        <w:t>une recommandation.</w:t>
      </w:r>
    </w:p>
    <w:p w:rsidR="00AB7097" w:rsidRPr="00713D60" w:rsidRDefault="00453393" w:rsidP="007B0D43">
      <w:pPr>
        <w:pStyle w:val="Heading4"/>
        <w:tabs>
          <w:tab w:val="left" w:pos="567"/>
        </w:tabs>
        <w:snapToGrid w:val="0"/>
        <w:spacing w:before="200" w:after="0" w:line="240" w:lineRule="auto"/>
        <w:jc w:val="both"/>
        <w:rPr>
          <w:rFonts w:eastAsia="Times New Roman" w:cs="Arial"/>
          <w:iCs/>
          <w:snapToGrid w:val="0"/>
          <w:sz w:val="18"/>
          <w:szCs w:val="18"/>
          <w:lang w:val="fr-FR" w:eastAsia="zh-CN"/>
        </w:rPr>
      </w:pPr>
      <w:r w:rsidRPr="00713D60">
        <w:rPr>
          <w:rFonts w:eastAsia="Times New Roman" w:cs="Arial"/>
          <w:iCs/>
          <w:snapToGrid w:val="0"/>
          <w:sz w:val="18"/>
          <w:szCs w:val="18"/>
          <w:lang w:val="fr-FR" w:eastAsia="zh-CN"/>
        </w:rPr>
        <w:t>Question 2</w:t>
      </w:r>
    </w:p>
    <w:p w:rsidR="00AB7097" w:rsidRPr="002A4594" w:rsidRDefault="00453393" w:rsidP="00AB7097">
      <w:pPr>
        <w:pStyle w:val="Texte1"/>
      </w:pPr>
      <w:r w:rsidRPr="00713D60">
        <w:t>Si un État membre de l’UNESCO souhaite devenir État partie à la Convention du patrimoine immatériel, doit-il la ratifier, l’accep</w:t>
      </w:r>
      <w:r w:rsidR="006A6895">
        <w:t>ter, l’approuver ou y adhérer ?</w:t>
      </w:r>
    </w:p>
    <w:p w:rsidR="003757E3" w:rsidRPr="002A4594" w:rsidRDefault="00453393" w:rsidP="00713D60">
      <w:pPr>
        <w:numPr>
          <w:ilvl w:val="0"/>
          <w:numId w:val="14"/>
        </w:numPr>
        <w:tabs>
          <w:tab w:val="clear" w:pos="567"/>
        </w:tabs>
        <w:snapToGrid/>
        <w:spacing w:before="0" w:after="200" w:line="276" w:lineRule="auto"/>
        <w:ind w:left="1276" w:hanging="425"/>
        <w:contextualSpacing/>
        <w:rPr>
          <w:sz w:val="20"/>
          <w:szCs w:val="20"/>
          <w:lang w:val="fr-FR"/>
        </w:rPr>
      </w:pPr>
      <w:r w:rsidRPr="00713D60">
        <w:rPr>
          <w:sz w:val="20"/>
          <w:szCs w:val="20"/>
          <w:lang w:val="fr-FR"/>
        </w:rPr>
        <w:t>Un État membre doit</w:t>
      </w:r>
      <w:r w:rsidR="006A6895">
        <w:rPr>
          <w:sz w:val="20"/>
          <w:szCs w:val="20"/>
          <w:lang w:val="fr-FR"/>
        </w:rPr>
        <w:t xml:space="preserve"> adhérer à la Convention.</w:t>
      </w:r>
    </w:p>
    <w:p w:rsidR="003757E3" w:rsidRPr="002A4594" w:rsidRDefault="00453393" w:rsidP="00713D60">
      <w:pPr>
        <w:numPr>
          <w:ilvl w:val="0"/>
          <w:numId w:val="14"/>
        </w:numPr>
        <w:tabs>
          <w:tab w:val="clear" w:pos="567"/>
        </w:tabs>
        <w:snapToGrid/>
        <w:spacing w:before="0" w:after="200" w:line="276" w:lineRule="auto"/>
        <w:ind w:left="1276" w:hanging="425"/>
        <w:contextualSpacing/>
        <w:rPr>
          <w:sz w:val="20"/>
          <w:szCs w:val="20"/>
          <w:lang w:val="fr-FR"/>
        </w:rPr>
      </w:pPr>
      <w:r w:rsidRPr="00713D60">
        <w:rPr>
          <w:sz w:val="20"/>
          <w:szCs w:val="20"/>
          <w:lang w:val="fr-FR"/>
        </w:rPr>
        <w:t>Un État membre ne peut ni accepter, ni approuver la Convention, il doit plutôt la ratifier.</w:t>
      </w:r>
    </w:p>
    <w:p w:rsidR="003757E3" w:rsidRPr="002A4594" w:rsidRDefault="00453393" w:rsidP="00713D60">
      <w:pPr>
        <w:numPr>
          <w:ilvl w:val="0"/>
          <w:numId w:val="14"/>
        </w:numPr>
        <w:tabs>
          <w:tab w:val="clear" w:pos="567"/>
        </w:tabs>
        <w:snapToGrid/>
        <w:spacing w:before="0" w:after="200" w:line="276" w:lineRule="auto"/>
        <w:ind w:left="1276" w:hanging="425"/>
        <w:contextualSpacing/>
        <w:rPr>
          <w:sz w:val="20"/>
          <w:szCs w:val="20"/>
          <w:lang w:val="fr-FR"/>
        </w:rPr>
      </w:pPr>
      <w:r w:rsidRPr="00713D60">
        <w:rPr>
          <w:sz w:val="20"/>
          <w:szCs w:val="20"/>
          <w:lang w:val="fr-FR"/>
        </w:rPr>
        <w:t>Un État membre peut ratifier, approuver ou accepter la Convention, conformément à la procédure prévue dans sa Constitution ; un État non membre peut adhérer à la Convention s’il le souhaite.</w:t>
      </w:r>
    </w:p>
    <w:p w:rsidR="00AB7097" w:rsidRPr="002A4594" w:rsidRDefault="00453393" w:rsidP="00AB7097">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713D60">
        <w:rPr>
          <w:rFonts w:eastAsia="SimSun"/>
          <w:szCs w:val="20"/>
        </w:rPr>
        <w:lastRenderedPageBreak/>
        <w:t xml:space="preserve">L’option (c) est la bonne – les États membres de l’UNESCO peuvent ratifier, approuver ou accepter la Convention ; l’adhésion est uniquement réservée aux États non membres. </w:t>
      </w:r>
      <w:r w:rsidR="00C561E0">
        <w:rPr>
          <w:rFonts w:eastAsia="SimSun"/>
          <w:szCs w:val="20"/>
        </w:rPr>
        <w:t>En</w:t>
      </w:r>
      <w:r w:rsidRPr="00713D60">
        <w:rPr>
          <w:rFonts w:eastAsia="SimSun"/>
          <w:szCs w:val="20"/>
        </w:rPr>
        <w:t xml:space="preserve"> cas de ratification, d’acceptation, d’approbation ou d</w:t>
      </w:r>
      <w:r w:rsidR="00C561E0">
        <w:rPr>
          <w:rFonts w:eastAsia="SimSun"/>
          <w:szCs w:val="20"/>
        </w:rPr>
        <w:t>’</w:t>
      </w:r>
      <w:r w:rsidRPr="00713D60">
        <w:rPr>
          <w:rFonts w:eastAsia="SimSun"/>
          <w:szCs w:val="20"/>
        </w:rPr>
        <w:t xml:space="preserve">adhésion, les obligations des États parties au titre de la Convention restent les mêmes. Pour </w:t>
      </w:r>
      <w:r w:rsidR="00EB7059">
        <w:rPr>
          <w:rFonts w:eastAsia="SimSun"/>
          <w:szCs w:val="20"/>
        </w:rPr>
        <w:t>obteni</w:t>
      </w:r>
      <w:r w:rsidRPr="00713D60">
        <w:rPr>
          <w:rFonts w:eastAsia="SimSun"/>
          <w:szCs w:val="20"/>
        </w:rPr>
        <w:t>r les données actuelles sur les États parties qui ont approuvé la Convention,</w:t>
      </w:r>
      <w:r w:rsidR="00EB7059">
        <w:rPr>
          <w:rFonts w:eastAsia="SimSun"/>
          <w:szCs w:val="20"/>
        </w:rPr>
        <w:t xml:space="preserve"> ceux qui</w:t>
      </w:r>
      <w:r w:rsidRPr="00713D60">
        <w:rPr>
          <w:rFonts w:eastAsia="SimSun"/>
          <w:szCs w:val="20"/>
        </w:rPr>
        <w:t xml:space="preserve"> l’ont acceptée et </w:t>
      </w:r>
      <w:r w:rsidR="00EB7059">
        <w:rPr>
          <w:rFonts w:eastAsia="SimSun"/>
          <w:szCs w:val="20"/>
        </w:rPr>
        <w:t xml:space="preserve">ceux qui </w:t>
      </w:r>
      <w:r w:rsidRPr="00713D60">
        <w:rPr>
          <w:rFonts w:eastAsia="SimSun"/>
          <w:szCs w:val="20"/>
        </w:rPr>
        <w:t>l’ont ratifiée, voir : </w:t>
      </w:r>
    </w:p>
    <w:p w:rsidR="005C3407" w:rsidRPr="00713D60" w:rsidRDefault="00453393" w:rsidP="005C3407">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713D60">
        <w:rPr>
          <w:rFonts w:eastAsia="SimSun"/>
          <w:szCs w:val="20"/>
        </w:rPr>
        <w:t>http://portal.unesco.org/la/convention.asp?KO=17116&amp;language=E&amp;order=alpha</w:t>
      </w:r>
    </w:p>
    <w:p w:rsidR="00AB7097" w:rsidRPr="00713D60" w:rsidRDefault="00453393" w:rsidP="007B0D43">
      <w:pPr>
        <w:pStyle w:val="Heading4"/>
        <w:tabs>
          <w:tab w:val="left" w:pos="567"/>
        </w:tabs>
        <w:snapToGrid w:val="0"/>
        <w:spacing w:before="200" w:after="0" w:line="240" w:lineRule="auto"/>
        <w:jc w:val="both"/>
        <w:rPr>
          <w:rFonts w:eastAsia="Times New Roman" w:cs="Arial"/>
          <w:iCs/>
          <w:snapToGrid w:val="0"/>
          <w:sz w:val="18"/>
          <w:szCs w:val="18"/>
          <w:lang w:val="fr-FR" w:eastAsia="zh-CN"/>
        </w:rPr>
      </w:pPr>
      <w:r w:rsidRPr="00713D60">
        <w:rPr>
          <w:rFonts w:eastAsia="Times New Roman" w:cs="Arial"/>
          <w:iCs/>
          <w:snapToGrid w:val="0"/>
          <w:sz w:val="18"/>
          <w:szCs w:val="18"/>
          <w:lang w:val="fr-FR" w:eastAsia="zh-CN"/>
        </w:rPr>
        <w:t>Question 3</w:t>
      </w:r>
    </w:p>
    <w:p w:rsidR="00AB7097" w:rsidRPr="002A4594" w:rsidRDefault="00453393" w:rsidP="00AB7097">
      <w:pPr>
        <w:pStyle w:val="Texte1"/>
      </w:pPr>
      <w:r w:rsidRPr="00713D60">
        <w:t xml:space="preserve">En ratifiant la Convention, les États </w:t>
      </w:r>
      <w:r w:rsidR="00EB7059">
        <w:t>s’engag</w:t>
      </w:r>
      <w:r w:rsidRPr="00713D60">
        <w:t xml:space="preserve">ent à </w:t>
      </w:r>
      <w:r w:rsidR="00EB7059">
        <w:t>assumer</w:t>
      </w:r>
      <w:r w:rsidRPr="00713D60">
        <w:t xml:space="preserve"> un certain nombre d’obligations. Parmi les règles suivantes, y en </w:t>
      </w:r>
      <w:proofErr w:type="spellStart"/>
      <w:r w:rsidRPr="00713D60">
        <w:t>a-t-il</w:t>
      </w:r>
      <w:proofErr w:type="spellEnd"/>
      <w:r w:rsidRPr="00713D60">
        <w:t xml:space="preserve"> éventuellement qui ne sont pas des obligations des États parties au titre de la Convention ?</w:t>
      </w:r>
    </w:p>
    <w:p w:rsidR="003757E3" w:rsidRPr="002A4594" w:rsidRDefault="00453393" w:rsidP="00713D60">
      <w:pPr>
        <w:numPr>
          <w:ilvl w:val="0"/>
          <w:numId w:val="15"/>
        </w:numPr>
        <w:tabs>
          <w:tab w:val="clear" w:pos="567"/>
        </w:tabs>
        <w:snapToGrid/>
        <w:spacing w:before="0" w:after="200" w:line="276" w:lineRule="auto"/>
        <w:ind w:left="1276" w:hanging="425"/>
        <w:contextualSpacing/>
        <w:rPr>
          <w:rFonts w:eastAsia="Times New Roman"/>
          <w:sz w:val="20"/>
          <w:szCs w:val="20"/>
          <w:lang w:val="fr-FR" w:eastAsia="en-US"/>
        </w:rPr>
      </w:pPr>
      <w:r w:rsidRPr="00713D60">
        <w:rPr>
          <w:rFonts w:eastAsia="Times New Roman"/>
          <w:sz w:val="20"/>
          <w:szCs w:val="20"/>
          <w:lang w:val="fr-FR" w:eastAsia="en-US"/>
        </w:rPr>
        <w:t>Chaque État partie établit un ou plusieurs registres des communautés et groupes présents sur son territoire.</w:t>
      </w:r>
    </w:p>
    <w:p w:rsidR="003757E3" w:rsidRPr="002A4594" w:rsidRDefault="00453393" w:rsidP="00713D60">
      <w:pPr>
        <w:numPr>
          <w:ilvl w:val="0"/>
          <w:numId w:val="15"/>
        </w:numPr>
        <w:tabs>
          <w:tab w:val="clear" w:pos="567"/>
        </w:tabs>
        <w:snapToGrid/>
        <w:spacing w:before="0" w:after="200" w:line="276" w:lineRule="auto"/>
        <w:ind w:left="1276" w:hanging="425"/>
        <w:contextualSpacing/>
        <w:rPr>
          <w:rFonts w:eastAsia="Times New Roman"/>
          <w:sz w:val="20"/>
          <w:szCs w:val="20"/>
          <w:lang w:val="fr-FR" w:eastAsia="en-US"/>
        </w:rPr>
      </w:pPr>
      <w:r w:rsidRPr="00713D60">
        <w:rPr>
          <w:rFonts w:eastAsia="Times New Roman"/>
          <w:sz w:val="20"/>
          <w:szCs w:val="20"/>
          <w:lang w:val="fr-FR" w:eastAsia="en-US"/>
        </w:rPr>
        <w:t xml:space="preserve">Chaque État partie prend les mesures nécessaires </w:t>
      </w:r>
      <w:r w:rsidR="00EB7059">
        <w:rPr>
          <w:rFonts w:eastAsia="Times New Roman"/>
          <w:sz w:val="20"/>
          <w:szCs w:val="20"/>
          <w:lang w:val="fr-FR" w:eastAsia="en-US"/>
        </w:rPr>
        <w:t>afin d’</w:t>
      </w:r>
      <w:r w:rsidRPr="00713D60">
        <w:rPr>
          <w:rFonts w:eastAsia="Times New Roman"/>
          <w:sz w:val="20"/>
          <w:szCs w:val="20"/>
          <w:lang w:val="fr-FR" w:eastAsia="en-US"/>
        </w:rPr>
        <w:t>assurer la viabilité du PCI présent sur son territoire.</w:t>
      </w:r>
    </w:p>
    <w:p w:rsidR="003757E3" w:rsidRPr="002A4594" w:rsidRDefault="00453393" w:rsidP="00713D60">
      <w:pPr>
        <w:numPr>
          <w:ilvl w:val="0"/>
          <w:numId w:val="15"/>
        </w:numPr>
        <w:tabs>
          <w:tab w:val="clear" w:pos="567"/>
        </w:tabs>
        <w:snapToGrid/>
        <w:spacing w:before="0" w:after="200" w:line="276" w:lineRule="auto"/>
        <w:ind w:left="1276" w:hanging="425"/>
        <w:contextualSpacing/>
        <w:rPr>
          <w:rFonts w:eastAsia="Times New Roman"/>
          <w:sz w:val="20"/>
          <w:szCs w:val="20"/>
          <w:lang w:val="fr-FR" w:eastAsia="en-US"/>
        </w:rPr>
      </w:pPr>
      <w:r w:rsidRPr="00713D60">
        <w:rPr>
          <w:rFonts w:eastAsia="Times New Roman"/>
          <w:sz w:val="20"/>
          <w:szCs w:val="20"/>
          <w:lang w:val="fr-FR" w:eastAsia="en-US"/>
        </w:rPr>
        <w:t xml:space="preserve">Chaque État partie </w:t>
      </w:r>
      <w:r w:rsidR="00EB7059">
        <w:rPr>
          <w:rFonts w:eastAsia="Times New Roman"/>
          <w:sz w:val="20"/>
          <w:szCs w:val="20"/>
          <w:lang w:val="fr-FR" w:eastAsia="en-US"/>
        </w:rPr>
        <w:t>soumet</w:t>
      </w:r>
      <w:r w:rsidRPr="00713D60">
        <w:rPr>
          <w:rFonts w:eastAsia="Times New Roman"/>
          <w:sz w:val="20"/>
          <w:szCs w:val="20"/>
          <w:lang w:val="fr-FR" w:eastAsia="en-US"/>
        </w:rPr>
        <w:t xml:space="preserve"> périodiquement </w:t>
      </w:r>
      <w:r w:rsidR="00EB7059">
        <w:rPr>
          <w:rFonts w:eastAsia="Times New Roman"/>
          <w:sz w:val="20"/>
          <w:szCs w:val="20"/>
          <w:lang w:val="fr-FR" w:eastAsia="en-US"/>
        </w:rPr>
        <w:t xml:space="preserve">un rapport </w:t>
      </w:r>
      <w:r w:rsidRPr="00713D60">
        <w:rPr>
          <w:rFonts w:eastAsia="Times New Roman"/>
          <w:sz w:val="20"/>
          <w:szCs w:val="20"/>
          <w:lang w:val="fr-FR" w:eastAsia="en-US"/>
        </w:rPr>
        <w:t xml:space="preserve">au Comité </w:t>
      </w:r>
      <w:r w:rsidR="00EB7059">
        <w:rPr>
          <w:rFonts w:eastAsia="Times New Roman"/>
          <w:sz w:val="20"/>
          <w:szCs w:val="20"/>
          <w:lang w:val="fr-FR" w:eastAsia="en-US"/>
        </w:rPr>
        <w:t>sur l</w:t>
      </w:r>
      <w:r w:rsidRPr="00713D60">
        <w:rPr>
          <w:rFonts w:eastAsia="Times New Roman"/>
          <w:sz w:val="20"/>
          <w:szCs w:val="20"/>
          <w:lang w:val="fr-FR" w:eastAsia="en-US"/>
        </w:rPr>
        <w:t>es mesures prises dans le cadre de la mise en œuvre de la Convention.</w:t>
      </w:r>
    </w:p>
    <w:p w:rsidR="003757E3" w:rsidRPr="002A4594" w:rsidRDefault="00453393" w:rsidP="00713D60">
      <w:pPr>
        <w:numPr>
          <w:ilvl w:val="0"/>
          <w:numId w:val="15"/>
        </w:numPr>
        <w:tabs>
          <w:tab w:val="clear" w:pos="567"/>
        </w:tabs>
        <w:snapToGrid/>
        <w:spacing w:before="0" w:after="200" w:line="276" w:lineRule="auto"/>
        <w:ind w:left="1276" w:hanging="425"/>
        <w:contextualSpacing/>
        <w:rPr>
          <w:rFonts w:eastAsia="Times New Roman"/>
          <w:sz w:val="20"/>
          <w:szCs w:val="20"/>
          <w:lang w:val="fr-FR" w:eastAsia="en-US"/>
        </w:rPr>
      </w:pPr>
      <w:r w:rsidRPr="00713D60">
        <w:rPr>
          <w:rFonts w:eastAsia="Times New Roman"/>
          <w:sz w:val="20"/>
          <w:szCs w:val="20"/>
          <w:lang w:val="fr-FR" w:eastAsia="en-US"/>
        </w:rPr>
        <w:t>Chaque État partie désigne un organisme compétent pour la sauvegarde du PCI au niveau national ou, le cas échéant, crée un tel</w:t>
      </w:r>
      <w:r w:rsidR="006A6895">
        <w:rPr>
          <w:rFonts w:eastAsia="Times New Roman"/>
          <w:sz w:val="20"/>
          <w:szCs w:val="20"/>
          <w:lang w:val="fr-FR" w:eastAsia="en-US"/>
        </w:rPr>
        <w:t xml:space="preserve"> organisme.</w:t>
      </w:r>
    </w:p>
    <w:p w:rsidR="003757E3" w:rsidRPr="002A4594" w:rsidRDefault="00453393" w:rsidP="00713D60">
      <w:pPr>
        <w:numPr>
          <w:ilvl w:val="0"/>
          <w:numId w:val="15"/>
        </w:numPr>
        <w:tabs>
          <w:tab w:val="clear" w:pos="567"/>
        </w:tabs>
        <w:snapToGrid/>
        <w:spacing w:before="0" w:after="200" w:line="276" w:lineRule="auto"/>
        <w:ind w:left="1276" w:hanging="425"/>
        <w:contextualSpacing/>
        <w:rPr>
          <w:rFonts w:eastAsia="Times New Roman"/>
          <w:sz w:val="20"/>
          <w:szCs w:val="20"/>
          <w:lang w:val="fr-FR" w:eastAsia="en-US"/>
        </w:rPr>
      </w:pPr>
      <w:r w:rsidRPr="00713D60">
        <w:rPr>
          <w:rFonts w:eastAsia="Times New Roman"/>
          <w:sz w:val="20"/>
          <w:szCs w:val="20"/>
          <w:lang w:val="fr-FR" w:eastAsia="en-US"/>
        </w:rPr>
        <w:t>Chaque État partie dresse un ou plusieurs inventaires du PCI présent sur son territoire.</w:t>
      </w:r>
    </w:p>
    <w:p w:rsidR="00AB7097" w:rsidRPr="002A4594" w:rsidRDefault="00453393" w:rsidP="00AB7097">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713D60">
        <w:rPr>
          <w:rFonts w:eastAsia="SimSun"/>
          <w:szCs w:val="20"/>
        </w:rPr>
        <w:t xml:space="preserve">Les options (b) (voir article 11(a)), (c) (voir article 29) et (e) (voir article 12.1) sont des obligations au titre de la Convention ; les options (a) et (d) n’en sont pas. Dans l’option (b), le mot « sauvegarde » a été remplacé par une expression qui </w:t>
      </w:r>
      <w:r w:rsidR="0083435A">
        <w:rPr>
          <w:rFonts w:eastAsia="SimSun"/>
          <w:szCs w:val="20"/>
        </w:rPr>
        <w:t xml:space="preserve">a </w:t>
      </w:r>
      <w:r w:rsidRPr="00713D60">
        <w:rPr>
          <w:rFonts w:eastAsia="SimSun"/>
          <w:szCs w:val="20"/>
        </w:rPr>
        <w:t xml:space="preserve">plus ou moins la même </w:t>
      </w:r>
      <w:r w:rsidR="0083435A" w:rsidRPr="002A4594">
        <w:rPr>
          <w:rFonts w:eastAsia="SimSun"/>
          <w:szCs w:val="20"/>
        </w:rPr>
        <w:t>signifi</w:t>
      </w:r>
      <w:r w:rsidR="0083435A">
        <w:rPr>
          <w:rFonts w:eastAsia="SimSun"/>
          <w:szCs w:val="20"/>
        </w:rPr>
        <w:t>cation</w:t>
      </w:r>
      <w:r w:rsidRPr="00713D60">
        <w:rPr>
          <w:rFonts w:eastAsia="SimSun"/>
          <w:szCs w:val="20"/>
        </w:rPr>
        <w:t> : « assurer la viabilité du PCI » (voir article 2.3).</w:t>
      </w:r>
    </w:p>
    <w:p w:rsidR="00AB7097" w:rsidRPr="002A4594" w:rsidRDefault="00453393" w:rsidP="00AB7097">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713D60">
        <w:rPr>
          <w:rFonts w:eastAsia="SimSun"/>
          <w:szCs w:val="20"/>
        </w:rPr>
        <w:t>En discutant des réponses avec les participants, le facilitateur pourrait leur demander d’identifier les articles de la Convention qui correspondent aux obligations mentionnées</w:t>
      </w:r>
      <w:r w:rsidR="006A6895">
        <w:rPr>
          <w:rFonts w:eastAsia="SimSun"/>
          <w:szCs w:val="20"/>
        </w:rPr>
        <w:t>.</w:t>
      </w:r>
    </w:p>
    <w:p w:rsidR="00AB7097" w:rsidRPr="002A4594" w:rsidRDefault="00453393" w:rsidP="00AB7097">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713D60">
        <w:rPr>
          <w:rFonts w:eastAsia="SimSun"/>
          <w:szCs w:val="20"/>
        </w:rPr>
        <w:t xml:space="preserve">Option (a) : la Convention ne définit pas les communautés et/ou les groupes de façon spécifique. La Convention a été conçue </w:t>
      </w:r>
      <w:r w:rsidR="00685AEC">
        <w:rPr>
          <w:rFonts w:eastAsia="SimSun"/>
          <w:szCs w:val="20"/>
        </w:rPr>
        <w:t xml:space="preserve">pour </w:t>
      </w:r>
      <w:r w:rsidRPr="00713D60">
        <w:rPr>
          <w:rFonts w:eastAsia="SimSun"/>
          <w:szCs w:val="20"/>
        </w:rPr>
        <w:t>s’adapter au fait que les communautés (et les groupes) sont des entités fluctuantes</w:t>
      </w:r>
      <w:r w:rsidR="00685AEC">
        <w:rPr>
          <w:rFonts w:eastAsia="SimSun"/>
          <w:szCs w:val="20"/>
        </w:rPr>
        <w:t>,</w:t>
      </w:r>
      <w:r w:rsidRPr="00713D60">
        <w:rPr>
          <w:rFonts w:eastAsia="SimSun"/>
          <w:szCs w:val="20"/>
        </w:rPr>
        <w:t xml:space="preserve"> que </w:t>
      </w:r>
      <w:r w:rsidR="00685AEC">
        <w:rPr>
          <w:rFonts w:eastAsia="SimSun"/>
          <w:szCs w:val="20"/>
        </w:rPr>
        <w:t>d</w:t>
      </w:r>
      <w:r w:rsidRPr="00713D60">
        <w:rPr>
          <w:rFonts w:eastAsia="SimSun"/>
          <w:szCs w:val="20"/>
        </w:rPr>
        <w:t>es gens peuvent appartenir à plusieurs communautés et qu’ils ont la possibilité de rejoindre ou de quitter ces communautés. En outre, il est reconnu que les États ont des politiques démographiques et culturelles très différentes dans lesquelles la position des communautés qui les composent est très variable, de sorte que la Convention ne demande pas à ses États parties d’identifier ou d’enregistrer leurs communautés. Néanmoins, pour diverses raisons, certains États ont identifié un certain nombre de communautés ou de minorités (autochtones, linguistiques, régionales ou répondant à d’autres définitions) qui vivent sur leur territoire, mais cela n’est pas une obligation en vertu de la Convention.</w:t>
      </w:r>
    </w:p>
    <w:p w:rsidR="00AB7097" w:rsidRPr="002A4594" w:rsidRDefault="00453393" w:rsidP="00AB7097">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713D60">
        <w:rPr>
          <w:rFonts w:eastAsia="SimSun"/>
          <w:szCs w:val="20"/>
        </w:rPr>
        <w:t>Option (d) : l’identification ou la création de l’organisme compétent cité en référence n’est pas une obligation, bien que la Convention</w:t>
      </w:r>
      <w:r w:rsidR="00EC6F00">
        <w:rPr>
          <w:rFonts w:eastAsia="SimSun"/>
          <w:szCs w:val="20"/>
        </w:rPr>
        <w:t xml:space="preserve"> </w:t>
      </w:r>
      <w:r w:rsidRPr="00713D60">
        <w:rPr>
          <w:rFonts w:eastAsia="SimSun"/>
          <w:szCs w:val="20"/>
        </w:rPr>
        <w:t xml:space="preserve">encourage fortement les États parties à le faire : </w:t>
      </w:r>
      <w:r w:rsidR="00EC6F00">
        <w:rPr>
          <w:rFonts w:eastAsia="SimSun"/>
          <w:szCs w:val="20"/>
        </w:rPr>
        <w:t>« </w:t>
      </w:r>
      <w:r w:rsidRPr="00713D60">
        <w:rPr>
          <w:rFonts w:eastAsia="SimSun"/>
          <w:szCs w:val="20"/>
        </w:rPr>
        <w:t>… chaque État partie s’efforce … » de désigner ou d’établir une telle institution (voir article 13(b)).</w:t>
      </w:r>
    </w:p>
    <w:p w:rsidR="00AB7097" w:rsidRPr="00713D60" w:rsidRDefault="00453393" w:rsidP="007B0D43">
      <w:pPr>
        <w:pStyle w:val="Heading4"/>
        <w:tabs>
          <w:tab w:val="left" w:pos="567"/>
        </w:tabs>
        <w:snapToGrid w:val="0"/>
        <w:spacing w:before="200" w:after="0" w:line="240" w:lineRule="auto"/>
        <w:jc w:val="both"/>
        <w:rPr>
          <w:rFonts w:eastAsia="Times New Roman" w:cs="Arial"/>
          <w:iCs/>
          <w:snapToGrid w:val="0"/>
          <w:sz w:val="18"/>
          <w:szCs w:val="18"/>
          <w:lang w:val="fr-FR" w:eastAsia="zh-CN"/>
        </w:rPr>
      </w:pPr>
      <w:r w:rsidRPr="00713D60">
        <w:rPr>
          <w:rFonts w:eastAsia="Times New Roman" w:cs="Arial"/>
          <w:iCs/>
          <w:snapToGrid w:val="0"/>
          <w:sz w:val="18"/>
          <w:szCs w:val="18"/>
          <w:lang w:val="fr-FR" w:eastAsia="zh-CN"/>
        </w:rPr>
        <w:t>Question 4</w:t>
      </w:r>
    </w:p>
    <w:p w:rsidR="00AB7097" w:rsidRPr="002A4594" w:rsidRDefault="00453393" w:rsidP="00AB7097">
      <w:pPr>
        <w:pStyle w:val="Texte1"/>
      </w:pPr>
      <w:r w:rsidRPr="00713D60">
        <w:t>Qui choisit les membres du Comité intergouvernemental ?</w:t>
      </w:r>
    </w:p>
    <w:p w:rsidR="003757E3" w:rsidRPr="002A4594" w:rsidRDefault="00453393" w:rsidP="00713D60">
      <w:pPr>
        <w:numPr>
          <w:ilvl w:val="0"/>
          <w:numId w:val="16"/>
        </w:numPr>
        <w:tabs>
          <w:tab w:val="clear" w:pos="567"/>
        </w:tabs>
        <w:snapToGrid/>
        <w:spacing w:before="0" w:after="200" w:line="276" w:lineRule="auto"/>
        <w:ind w:left="1276" w:hanging="425"/>
        <w:contextualSpacing/>
        <w:rPr>
          <w:rFonts w:eastAsia="Times New Roman"/>
          <w:sz w:val="20"/>
          <w:szCs w:val="20"/>
          <w:lang w:val="fr-FR" w:eastAsia="en-US"/>
        </w:rPr>
      </w:pPr>
      <w:r w:rsidRPr="00713D60">
        <w:rPr>
          <w:rFonts w:eastAsia="Times New Roman"/>
          <w:sz w:val="20"/>
          <w:szCs w:val="20"/>
          <w:lang w:val="fr-FR" w:eastAsia="en-US"/>
        </w:rPr>
        <w:t>Le Comité se renouvelle lui-même.</w:t>
      </w:r>
    </w:p>
    <w:p w:rsidR="003757E3" w:rsidRPr="002A4594" w:rsidRDefault="00453393" w:rsidP="00713D60">
      <w:pPr>
        <w:numPr>
          <w:ilvl w:val="0"/>
          <w:numId w:val="16"/>
        </w:numPr>
        <w:tabs>
          <w:tab w:val="clear" w:pos="567"/>
        </w:tabs>
        <w:snapToGrid/>
        <w:spacing w:before="0" w:after="200" w:line="276" w:lineRule="auto"/>
        <w:ind w:left="1276" w:hanging="425"/>
        <w:contextualSpacing/>
        <w:rPr>
          <w:rFonts w:eastAsia="Times New Roman"/>
          <w:sz w:val="20"/>
          <w:szCs w:val="20"/>
          <w:lang w:val="fr-FR" w:eastAsia="en-US"/>
        </w:rPr>
      </w:pPr>
      <w:r w:rsidRPr="00713D60">
        <w:rPr>
          <w:rFonts w:eastAsia="Times New Roman"/>
          <w:sz w:val="20"/>
          <w:szCs w:val="20"/>
          <w:lang w:val="fr-FR" w:eastAsia="en-US"/>
        </w:rPr>
        <w:t>L’Assemblée générale.</w:t>
      </w:r>
    </w:p>
    <w:p w:rsidR="003757E3" w:rsidRPr="002A4594" w:rsidRDefault="00453393" w:rsidP="00713D60">
      <w:pPr>
        <w:numPr>
          <w:ilvl w:val="0"/>
          <w:numId w:val="16"/>
        </w:numPr>
        <w:tabs>
          <w:tab w:val="clear" w:pos="567"/>
        </w:tabs>
        <w:snapToGrid/>
        <w:spacing w:before="0" w:after="200" w:line="276" w:lineRule="auto"/>
        <w:ind w:left="1276" w:hanging="425"/>
        <w:contextualSpacing/>
        <w:rPr>
          <w:rFonts w:eastAsia="Times New Roman"/>
          <w:sz w:val="20"/>
          <w:szCs w:val="20"/>
          <w:lang w:val="fr-FR" w:eastAsia="en-US"/>
        </w:rPr>
      </w:pPr>
      <w:r w:rsidRPr="00713D60">
        <w:rPr>
          <w:rFonts w:eastAsia="Times New Roman"/>
          <w:sz w:val="20"/>
          <w:szCs w:val="20"/>
          <w:lang w:val="fr-FR" w:eastAsia="en-US"/>
        </w:rPr>
        <w:t>Le Directeur général de l’UNESCO.</w:t>
      </w:r>
    </w:p>
    <w:p w:rsidR="00AB7097" w:rsidRPr="002A4594" w:rsidRDefault="00453393" w:rsidP="00AB7097">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713D60">
        <w:rPr>
          <w:rFonts w:eastAsia="SimSun"/>
          <w:szCs w:val="20"/>
        </w:rPr>
        <w:lastRenderedPageBreak/>
        <w:t xml:space="preserve">L’option (b) est la bonne (voir article 5.1 de la Convention). Le Comité est choisi par l’Assemblée générale entre les États parties. Les États sont élus en tant que membres du Comité pour quatre ans ; tous les deux ans, </w:t>
      </w:r>
      <w:r w:rsidR="00A41461">
        <w:rPr>
          <w:rFonts w:eastAsia="SimSun"/>
          <w:szCs w:val="20"/>
        </w:rPr>
        <w:t xml:space="preserve">l’Assemblée procède au renouvellement de </w:t>
      </w:r>
      <w:r w:rsidRPr="00713D60">
        <w:rPr>
          <w:rFonts w:eastAsia="SimSun"/>
          <w:szCs w:val="20"/>
        </w:rPr>
        <w:t xml:space="preserve">la moitié des membres du Comité. </w:t>
      </w:r>
      <w:r w:rsidR="00A41461">
        <w:rPr>
          <w:rFonts w:eastAsia="SimSun"/>
          <w:szCs w:val="20"/>
        </w:rPr>
        <w:t>Un</w:t>
      </w:r>
      <w:r w:rsidRPr="00713D60">
        <w:rPr>
          <w:rFonts w:eastAsia="SimSun"/>
          <w:szCs w:val="20"/>
        </w:rPr>
        <w:t xml:space="preserve"> État</w:t>
      </w:r>
      <w:r w:rsidR="00A41461">
        <w:rPr>
          <w:rFonts w:eastAsia="SimSun"/>
          <w:szCs w:val="20"/>
        </w:rPr>
        <w:t xml:space="preserve"> membre</w:t>
      </w:r>
      <w:r w:rsidRPr="00713D60">
        <w:rPr>
          <w:rFonts w:eastAsia="SimSun"/>
          <w:szCs w:val="20"/>
        </w:rPr>
        <w:t xml:space="preserve"> </w:t>
      </w:r>
      <w:r w:rsidR="00A41461" w:rsidRPr="002A4594">
        <w:rPr>
          <w:rFonts w:eastAsia="SimSun"/>
          <w:szCs w:val="20"/>
        </w:rPr>
        <w:t xml:space="preserve">du Comité </w:t>
      </w:r>
      <w:r w:rsidRPr="00713D60">
        <w:rPr>
          <w:rFonts w:eastAsia="SimSun"/>
          <w:szCs w:val="20"/>
        </w:rPr>
        <w:t xml:space="preserve">ne peut être </w:t>
      </w:r>
      <w:r w:rsidR="00A41461">
        <w:rPr>
          <w:rFonts w:eastAsia="SimSun"/>
          <w:szCs w:val="20"/>
        </w:rPr>
        <w:t>élu pour</w:t>
      </w:r>
      <w:r w:rsidRPr="00713D60">
        <w:rPr>
          <w:rFonts w:eastAsia="SimSun"/>
          <w:szCs w:val="20"/>
        </w:rPr>
        <w:t xml:space="preserve"> deux mandats consécutifs (voir article 6). Les Organes de la Convention sont souverains et le Directeur général de l’UNESCO n’est pas impliqué dans le processus d’élection</w:t>
      </w:r>
      <w:r w:rsidR="006A6895">
        <w:rPr>
          <w:rFonts w:eastAsia="SimSun"/>
          <w:szCs w:val="20"/>
        </w:rPr>
        <w:t>.</w:t>
      </w:r>
    </w:p>
    <w:p w:rsidR="00AB7097" w:rsidRPr="00713D60" w:rsidRDefault="00453393" w:rsidP="007B0D43">
      <w:pPr>
        <w:pStyle w:val="Heading4"/>
        <w:tabs>
          <w:tab w:val="left" w:pos="567"/>
        </w:tabs>
        <w:snapToGrid w:val="0"/>
        <w:spacing w:before="200" w:after="0" w:line="240" w:lineRule="auto"/>
        <w:jc w:val="both"/>
        <w:rPr>
          <w:rFonts w:eastAsia="Times New Roman" w:cs="Arial"/>
          <w:iCs/>
          <w:snapToGrid w:val="0"/>
          <w:sz w:val="18"/>
          <w:szCs w:val="18"/>
          <w:lang w:val="fr-FR" w:eastAsia="zh-CN"/>
        </w:rPr>
      </w:pPr>
      <w:r w:rsidRPr="00713D60">
        <w:rPr>
          <w:rFonts w:eastAsia="Times New Roman" w:cs="Arial"/>
          <w:iCs/>
          <w:snapToGrid w:val="0"/>
          <w:sz w:val="18"/>
          <w:szCs w:val="18"/>
          <w:lang w:val="fr-FR" w:eastAsia="zh-CN"/>
        </w:rPr>
        <w:t>Question 5</w:t>
      </w:r>
    </w:p>
    <w:p w:rsidR="00AB7097" w:rsidRPr="002A4594" w:rsidRDefault="00453393" w:rsidP="00AB7097">
      <w:pPr>
        <w:pStyle w:val="Texte1"/>
      </w:pPr>
      <w:r w:rsidRPr="00713D60">
        <w:t xml:space="preserve">Le gouvernement du Pays A n’est pas satisfait d’une procédure </w:t>
      </w:r>
      <w:r w:rsidR="00F320F6">
        <w:t>prévu</w:t>
      </w:r>
      <w:r w:rsidRPr="00713D60">
        <w:t xml:space="preserve">e dans les DO. Quelle serait l’approche </w:t>
      </w:r>
      <w:r w:rsidR="00F320F6">
        <w:t>qui conviendrait le mieux au</w:t>
      </w:r>
      <w:r w:rsidRPr="00713D60">
        <w:t xml:space="preserve"> Pays A </w:t>
      </w:r>
      <w:r w:rsidR="00F320F6">
        <w:t xml:space="preserve">pour </w:t>
      </w:r>
      <w:r w:rsidRPr="00713D60">
        <w:t>remédie</w:t>
      </w:r>
      <w:r w:rsidR="00F320F6">
        <w:t>r</w:t>
      </w:r>
      <w:r w:rsidRPr="00713D60">
        <w:t xml:space="preserve"> à la situation ?</w:t>
      </w:r>
    </w:p>
    <w:p w:rsidR="003757E3" w:rsidRPr="002A4594" w:rsidRDefault="00453393" w:rsidP="00713D60">
      <w:pPr>
        <w:numPr>
          <w:ilvl w:val="0"/>
          <w:numId w:val="17"/>
        </w:numPr>
        <w:tabs>
          <w:tab w:val="clear" w:pos="567"/>
        </w:tabs>
        <w:snapToGrid/>
        <w:spacing w:before="0" w:after="200" w:line="276" w:lineRule="auto"/>
        <w:ind w:left="1276" w:hanging="425"/>
        <w:contextualSpacing/>
        <w:rPr>
          <w:rFonts w:eastAsia="Times New Roman"/>
          <w:sz w:val="20"/>
          <w:szCs w:val="20"/>
          <w:lang w:val="fr-FR" w:eastAsia="en-US"/>
        </w:rPr>
      </w:pPr>
      <w:r w:rsidRPr="00713D60">
        <w:rPr>
          <w:rFonts w:eastAsia="Times New Roman"/>
          <w:sz w:val="20"/>
          <w:szCs w:val="20"/>
          <w:lang w:val="fr-FR" w:eastAsia="en-US"/>
        </w:rPr>
        <w:t>Demander au Directeur général de l’UNESCO de modifier la procédure et conformément à cela, la DO concernée.</w:t>
      </w:r>
    </w:p>
    <w:p w:rsidR="003757E3" w:rsidRPr="002A4594" w:rsidRDefault="00453393" w:rsidP="00713D60">
      <w:pPr>
        <w:numPr>
          <w:ilvl w:val="0"/>
          <w:numId w:val="17"/>
        </w:numPr>
        <w:tabs>
          <w:tab w:val="clear" w:pos="567"/>
        </w:tabs>
        <w:snapToGrid/>
        <w:spacing w:before="0" w:after="200" w:line="276" w:lineRule="auto"/>
        <w:ind w:left="1276" w:hanging="425"/>
        <w:contextualSpacing/>
        <w:rPr>
          <w:rFonts w:eastAsia="Times New Roman"/>
          <w:sz w:val="20"/>
          <w:szCs w:val="20"/>
          <w:lang w:val="fr-FR" w:eastAsia="en-US"/>
        </w:rPr>
      </w:pPr>
      <w:r w:rsidRPr="00713D60">
        <w:rPr>
          <w:rFonts w:eastAsia="Times New Roman"/>
          <w:sz w:val="20"/>
          <w:szCs w:val="20"/>
          <w:lang w:val="fr-FR" w:eastAsia="en-US"/>
        </w:rPr>
        <w:t xml:space="preserve">Inscrire </w:t>
      </w:r>
      <w:r w:rsidR="00F320F6">
        <w:rPr>
          <w:rFonts w:eastAsia="Times New Roman"/>
          <w:sz w:val="20"/>
          <w:szCs w:val="20"/>
          <w:lang w:val="fr-FR" w:eastAsia="en-US"/>
        </w:rPr>
        <w:t>ce point</w:t>
      </w:r>
      <w:r w:rsidRPr="00713D60">
        <w:rPr>
          <w:rFonts w:eastAsia="Times New Roman"/>
          <w:sz w:val="20"/>
          <w:szCs w:val="20"/>
          <w:lang w:val="fr-FR" w:eastAsia="en-US"/>
        </w:rPr>
        <w:t xml:space="preserve"> à l’ordre du jour de la prochaine session de l’Assemblée générale </w:t>
      </w:r>
      <w:r w:rsidR="00F320F6">
        <w:rPr>
          <w:rFonts w:eastAsia="Times New Roman"/>
          <w:sz w:val="20"/>
          <w:szCs w:val="20"/>
          <w:lang w:val="fr-FR" w:eastAsia="en-US"/>
        </w:rPr>
        <w:t>en vue</w:t>
      </w:r>
      <w:r w:rsidRPr="00713D60">
        <w:rPr>
          <w:rFonts w:eastAsia="Times New Roman"/>
          <w:sz w:val="20"/>
          <w:szCs w:val="20"/>
          <w:lang w:val="fr-FR" w:eastAsia="en-US"/>
        </w:rPr>
        <w:t xml:space="preserve"> de convaincre l’Assemblée de demander au Comité d</w:t>
      </w:r>
      <w:r w:rsidR="00F320F6">
        <w:rPr>
          <w:rFonts w:eastAsia="Times New Roman"/>
          <w:sz w:val="20"/>
          <w:szCs w:val="20"/>
          <w:lang w:val="fr-FR" w:eastAsia="en-US"/>
        </w:rPr>
        <w:t>e</w:t>
      </w:r>
      <w:r w:rsidRPr="00713D60">
        <w:rPr>
          <w:rFonts w:eastAsia="Times New Roman"/>
          <w:sz w:val="20"/>
          <w:szCs w:val="20"/>
          <w:lang w:val="fr-FR" w:eastAsia="en-US"/>
        </w:rPr>
        <w:t xml:space="preserve"> réexaminer </w:t>
      </w:r>
      <w:r w:rsidR="00F320F6">
        <w:rPr>
          <w:rFonts w:eastAsia="Times New Roman"/>
          <w:sz w:val="20"/>
          <w:szCs w:val="20"/>
          <w:lang w:val="fr-FR" w:eastAsia="en-US"/>
        </w:rPr>
        <w:t xml:space="preserve">la question </w:t>
      </w:r>
      <w:r w:rsidRPr="00713D60">
        <w:rPr>
          <w:rFonts w:eastAsia="Times New Roman"/>
          <w:sz w:val="20"/>
          <w:szCs w:val="20"/>
          <w:lang w:val="fr-FR" w:eastAsia="en-US"/>
        </w:rPr>
        <w:t>et de formuler une nouvelle proposition de procédure.</w:t>
      </w:r>
    </w:p>
    <w:p w:rsidR="003757E3" w:rsidRPr="002A4594" w:rsidRDefault="00453393" w:rsidP="00713D60">
      <w:pPr>
        <w:numPr>
          <w:ilvl w:val="0"/>
          <w:numId w:val="17"/>
        </w:numPr>
        <w:tabs>
          <w:tab w:val="clear" w:pos="567"/>
        </w:tabs>
        <w:snapToGrid/>
        <w:spacing w:before="0" w:after="200" w:line="276" w:lineRule="auto"/>
        <w:ind w:left="1276" w:hanging="425"/>
        <w:contextualSpacing/>
        <w:rPr>
          <w:rFonts w:eastAsia="Times New Roman"/>
          <w:sz w:val="20"/>
          <w:szCs w:val="20"/>
          <w:lang w:val="fr-FR" w:eastAsia="en-US"/>
        </w:rPr>
      </w:pPr>
      <w:r w:rsidRPr="00713D60">
        <w:rPr>
          <w:rFonts w:eastAsia="Times New Roman"/>
          <w:sz w:val="20"/>
          <w:szCs w:val="20"/>
          <w:lang w:val="fr-FR" w:eastAsia="en-US"/>
        </w:rPr>
        <w:t xml:space="preserve">Décider de ne jamais avoir recours à </w:t>
      </w:r>
      <w:r w:rsidR="00991376">
        <w:rPr>
          <w:rFonts w:eastAsia="Times New Roman"/>
          <w:sz w:val="20"/>
          <w:szCs w:val="20"/>
          <w:lang w:val="fr-FR" w:eastAsia="en-US"/>
        </w:rPr>
        <w:t>cette</w:t>
      </w:r>
      <w:r w:rsidRPr="00713D60">
        <w:rPr>
          <w:rFonts w:eastAsia="Times New Roman"/>
          <w:sz w:val="20"/>
          <w:szCs w:val="20"/>
          <w:lang w:val="fr-FR" w:eastAsia="en-US"/>
        </w:rPr>
        <w:t xml:space="preserve"> procédure.</w:t>
      </w:r>
    </w:p>
    <w:p w:rsidR="00AB7097" w:rsidRPr="002A4594" w:rsidRDefault="00453393" w:rsidP="00AB7097">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713D60">
        <w:rPr>
          <w:rFonts w:eastAsia="SimSun"/>
          <w:szCs w:val="20"/>
        </w:rPr>
        <w:t xml:space="preserve">L’option (b) est la meilleure solution : les représentants du Pays A pourraient d’abord </w:t>
      </w:r>
      <w:r w:rsidR="00991376">
        <w:rPr>
          <w:rFonts w:eastAsia="SimSun"/>
          <w:szCs w:val="20"/>
        </w:rPr>
        <w:t>s’entreteni</w:t>
      </w:r>
      <w:r w:rsidRPr="00713D60">
        <w:rPr>
          <w:rFonts w:eastAsia="SimSun"/>
          <w:szCs w:val="20"/>
        </w:rPr>
        <w:t xml:space="preserve">r avec les autres États parties pour les sonder sur </w:t>
      </w:r>
      <w:r w:rsidR="00991376">
        <w:rPr>
          <w:rFonts w:eastAsia="SimSun"/>
          <w:szCs w:val="20"/>
        </w:rPr>
        <w:t>ce point</w:t>
      </w:r>
      <w:r w:rsidRPr="00713D60">
        <w:rPr>
          <w:rFonts w:eastAsia="SimSun"/>
          <w:szCs w:val="20"/>
        </w:rPr>
        <w:t xml:space="preserve">, puis soulever la question à l’Assemblée générale et essayer d’amener l’Assemblée à demander que le Comité intergouvernemental étudie le problème – de préférence au cours d’une période où le Pays A est un </w:t>
      </w:r>
      <w:r w:rsidR="00991376">
        <w:rPr>
          <w:rFonts w:eastAsia="SimSun"/>
          <w:szCs w:val="20"/>
        </w:rPr>
        <w:t xml:space="preserve">des </w:t>
      </w:r>
      <w:r w:rsidRPr="00713D60">
        <w:rPr>
          <w:rFonts w:eastAsia="SimSun"/>
          <w:szCs w:val="20"/>
        </w:rPr>
        <w:t>État</w:t>
      </w:r>
      <w:r w:rsidR="00991376">
        <w:rPr>
          <w:rFonts w:eastAsia="SimSun"/>
          <w:szCs w:val="20"/>
        </w:rPr>
        <w:t>s</w:t>
      </w:r>
      <w:r w:rsidRPr="00713D60">
        <w:rPr>
          <w:rFonts w:eastAsia="SimSun"/>
          <w:szCs w:val="20"/>
        </w:rPr>
        <w:t xml:space="preserve"> membre</w:t>
      </w:r>
      <w:r w:rsidR="00991376">
        <w:rPr>
          <w:rFonts w:eastAsia="SimSun"/>
          <w:szCs w:val="20"/>
        </w:rPr>
        <w:t>s</w:t>
      </w:r>
      <w:r w:rsidRPr="00713D60">
        <w:rPr>
          <w:rFonts w:eastAsia="SimSun"/>
          <w:szCs w:val="20"/>
        </w:rPr>
        <w:t xml:space="preserve"> du Comité – et propose, si possible, une nouvelle procédure (voir article 7 (e)). Le Pays A pourrait également demander à tout membre actuel du Comité d’inscrire l</w:t>
      </w:r>
      <w:r w:rsidR="00991376">
        <w:rPr>
          <w:rFonts w:eastAsia="SimSun"/>
          <w:szCs w:val="20"/>
        </w:rPr>
        <w:t>e point</w:t>
      </w:r>
      <w:r w:rsidRPr="00713D60">
        <w:rPr>
          <w:rFonts w:eastAsia="SimSun"/>
          <w:szCs w:val="20"/>
        </w:rPr>
        <w:t xml:space="preserve"> à l’ordre du jour du Comité ou pourrait aussi demander au</w:t>
      </w:r>
      <w:r w:rsidR="006A6895">
        <w:rPr>
          <w:rFonts w:eastAsia="SimSun"/>
          <w:szCs w:val="20"/>
        </w:rPr>
        <w:t xml:space="preserve"> Directeur général de le faire.</w:t>
      </w:r>
    </w:p>
    <w:p w:rsidR="00AB7097" w:rsidRPr="002A4594" w:rsidRDefault="00453393" w:rsidP="00AB7097">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713D60">
        <w:rPr>
          <w:rFonts w:eastAsia="SimSun"/>
          <w:szCs w:val="20"/>
        </w:rPr>
        <w:t xml:space="preserve">Option (a) : les Organes de la Convention sont souverains (articles 4 et 5, </w:t>
      </w:r>
      <w:r w:rsidRPr="00713D60">
        <w:rPr>
          <w:rFonts w:eastAsia="SimSun"/>
          <w:szCs w:val="20"/>
          <w:lang w:eastAsia="en-US"/>
        </w:rPr>
        <w:t>en particulier</w:t>
      </w:r>
      <w:r w:rsidRPr="00713D60">
        <w:rPr>
          <w:rFonts w:eastAsia="SimSun"/>
          <w:szCs w:val="20"/>
        </w:rPr>
        <w:t xml:space="preserve"> le 4.1) : l’UNESCO assure le </w:t>
      </w:r>
      <w:r w:rsidR="00991376">
        <w:rPr>
          <w:rFonts w:eastAsia="SimSun"/>
          <w:szCs w:val="20"/>
        </w:rPr>
        <w:t>s</w:t>
      </w:r>
      <w:r w:rsidRPr="00713D60">
        <w:rPr>
          <w:rFonts w:eastAsia="SimSun"/>
          <w:szCs w:val="20"/>
        </w:rPr>
        <w:t>ecrétariat de la Convention (article 10) et son Directeur général est le dépositaire de la Convention (article 37), mais l’UNESCO n’a pas le pouvoir de modifier quoi que ce soit dans le texte des DO (sans parler de la Convention).</w:t>
      </w:r>
    </w:p>
    <w:p w:rsidR="00AB7097" w:rsidRPr="002A4594" w:rsidRDefault="00453393" w:rsidP="00AB7097">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713D60">
        <w:rPr>
          <w:rFonts w:eastAsia="SimSun"/>
          <w:szCs w:val="20"/>
        </w:rPr>
        <w:t>Option (c) : ce serait une très mauvaise solution : la Convention encourage les États parties à coopérer autant que possible et à mettre en œuvre pleinement la Convention. Une position aussi isolationniste pourrait avoir des conséquences négatives pour les communautés ou les éléments concernés ou pour la coopération internationale telle que la préconise la Convention.</w:t>
      </w:r>
    </w:p>
    <w:p w:rsidR="00AB7097" w:rsidRPr="00713D60" w:rsidRDefault="00453393" w:rsidP="007B0D43">
      <w:pPr>
        <w:pStyle w:val="Heading4"/>
        <w:tabs>
          <w:tab w:val="left" w:pos="567"/>
        </w:tabs>
        <w:snapToGrid w:val="0"/>
        <w:spacing w:before="200" w:after="0" w:line="240" w:lineRule="auto"/>
        <w:jc w:val="both"/>
        <w:rPr>
          <w:rFonts w:eastAsiaTheme="majorEastAsia" w:cs="Arial"/>
          <w:iCs/>
          <w:snapToGrid w:val="0"/>
          <w:szCs w:val="18"/>
          <w:lang w:val="fr-FR" w:eastAsia="zh-CN"/>
        </w:rPr>
      </w:pPr>
      <w:bookmarkStart w:id="7" w:name="_Toc303589725"/>
      <w:bookmarkStart w:id="8" w:name="_Toc320219330"/>
      <w:r w:rsidRPr="00713D60">
        <w:rPr>
          <w:rFonts w:eastAsiaTheme="majorEastAsia" w:cs="Arial"/>
          <w:iCs/>
          <w:snapToGrid w:val="0"/>
          <w:szCs w:val="18"/>
          <w:lang w:val="fr-FR" w:eastAsia="zh-CN"/>
        </w:rPr>
        <w:t>Définitions et concepts</w:t>
      </w:r>
      <w:bookmarkEnd w:id="7"/>
      <w:bookmarkEnd w:id="8"/>
    </w:p>
    <w:p w:rsidR="00AB7097" w:rsidRPr="00713D60" w:rsidRDefault="00453393" w:rsidP="007B0D43">
      <w:pPr>
        <w:pStyle w:val="Heading4"/>
        <w:tabs>
          <w:tab w:val="left" w:pos="567"/>
        </w:tabs>
        <w:snapToGrid w:val="0"/>
        <w:spacing w:before="200" w:after="0" w:line="240" w:lineRule="auto"/>
        <w:jc w:val="both"/>
        <w:rPr>
          <w:rFonts w:eastAsia="Times New Roman" w:cs="Arial"/>
          <w:iCs/>
          <w:snapToGrid w:val="0"/>
          <w:sz w:val="18"/>
          <w:szCs w:val="18"/>
          <w:lang w:val="fr-FR" w:eastAsia="zh-CN"/>
        </w:rPr>
      </w:pPr>
      <w:r w:rsidRPr="00713D60">
        <w:rPr>
          <w:rFonts w:eastAsia="Times New Roman" w:cs="Arial"/>
          <w:iCs/>
          <w:snapToGrid w:val="0"/>
          <w:sz w:val="18"/>
          <w:szCs w:val="18"/>
          <w:lang w:val="fr-FR" w:eastAsia="zh-CN"/>
        </w:rPr>
        <w:t>Question 6</w:t>
      </w:r>
    </w:p>
    <w:p w:rsidR="00AB7097" w:rsidRPr="002A4594" w:rsidRDefault="00453393" w:rsidP="00AB7097">
      <w:pPr>
        <w:pStyle w:val="Texte1"/>
      </w:pPr>
      <w:r w:rsidRPr="00713D60">
        <w:t xml:space="preserve">La différenciation entre les sexes pour des tâches ou des pratiques </w:t>
      </w:r>
      <w:r w:rsidR="00176520">
        <w:t>au sein d’</w:t>
      </w:r>
      <w:r w:rsidRPr="00713D60">
        <w:t xml:space="preserve">éléments du PCI constitue-t-elle </w:t>
      </w:r>
      <w:r w:rsidR="00176520">
        <w:t xml:space="preserve">toujours </w:t>
      </w:r>
      <w:r w:rsidRPr="00713D60">
        <w:t>une vi</w:t>
      </w:r>
      <w:r w:rsidR="006A6895">
        <w:t>olation des droits de l’homme ?</w:t>
      </w:r>
    </w:p>
    <w:p w:rsidR="003757E3" w:rsidRPr="002A4594" w:rsidRDefault="00453393" w:rsidP="00713D60">
      <w:pPr>
        <w:numPr>
          <w:ilvl w:val="0"/>
          <w:numId w:val="18"/>
        </w:numPr>
        <w:tabs>
          <w:tab w:val="clear" w:pos="567"/>
        </w:tabs>
        <w:ind w:left="1276" w:hanging="425"/>
        <w:contextualSpacing/>
        <w:rPr>
          <w:sz w:val="20"/>
          <w:szCs w:val="20"/>
          <w:lang w:val="fr-FR" w:eastAsia="en-US"/>
        </w:rPr>
      </w:pPr>
      <w:r w:rsidRPr="00713D60">
        <w:rPr>
          <w:sz w:val="20"/>
          <w:szCs w:val="20"/>
          <w:lang w:val="fr-FR" w:eastAsia="en-US"/>
        </w:rPr>
        <w:t>Non, la différentiation entre les sexes ne constitue pas une violation des droits de l’homme.</w:t>
      </w:r>
    </w:p>
    <w:p w:rsidR="003757E3" w:rsidRPr="002A4594" w:rsidRDefault="00453393" w:rsidP="00713D60">
      <w:pPr>
        <w:numPr>
          <w:ilvl w:val="0"/>
          <w:numId w:val="18"/>
        </w:numPr>
        <w:tabs>
          <w:tab w:val="clear" w:pos="567"/>
        </w:tabs>
        <w:ind w:left="1276" w:hanging="425"/>
        <w:contextualSpacing/>
        <w:rPr>
          <w:sz w:val="20"/>
          <w:szCs w:val="20"/>
          <w:lang w:val="fr-FR" w:eastAsia="en-US"/>
        </w:rPr>
      </w:pPr>
      <w:r w:rsidRPr="00713D60">
        <w:rPr>
          <w:sz w:val="20"/>
          <w:szCs w:val="20"/>
          <w:lang w:val="fr-FR" w:eastAsia="en-US"/>
        </w:rPr>
        <w:t>La différentiation entre les sexes dans des éléments du PCI ne constitue pas toujours une v</w:t>
      </w:r>
      <w:r w:rsidR="006A6895">
        <w:rPr>
          <w:sz w:val="20"/>
          <w:szCs w:val="20"/>
          <w:lang w:val="fr-FR" w:eastAsia="en-US"/>
        </w:rPr>
        <w:t>iolation des droits de l’homme.</w:t>
      </w:r>
    </w:p>
    <w:p w:rsidR="003757E3" w:rsidRPr="002A4594" w:rsidRDefault="00453393" w:rsidP="00713D60">
      <w:pPr>
        <w:numPr>
          <w:ilvl w:val="0"/>
          <w:numId w:val="18"/>
        </w:numPr>
        <w:tabs>
          <w:tab w:val="clear" w:pos="567"/>
        </w:tabs>
        <w:ind w:left="1276" w:hanging="425"/>
        <w:rPr>
          <w:sz w:val="20"/>
          <w:szCs w:val="20"/>
          <w:lang w:val="fr-FR" w:eastAsia="en-US"/>
        </w:rPr>
      </w:pPr>
      <w:r w:rsidRPr="00713D60">
        <w:rPr>
          <w:sz w:val="20"/>
          <w:szCs w:val="20"/>
          <w:lang w:val="fr-FR" w:eastAsia="en-US"/>
        </w:rPr>
        <w:t>Oui, toute différentiation entre les sexes est une v</w:t>
      </w:r>
      <w:r w:rsidR="006A6895">
        <w:rPr>
          <w:sz w:val="20"/>
          <w:szCs w:val="20"/>
          <w:lang w:val="fr-FR" w:eastAsia="en-US"/>
        </w:rPr>
        <w:t>iolation des droits de l’homme.</w:t>
      </w:r>
    </w:p>
    <w:p w:rsidR="006A6895" w:rsidRDefault="00453393" w:rsidP="006A6895">
      <w:pPr>
        <w:pBdr>
          <w:top w:val="single" w:sz="2" w:space="3" w:color="auto"/>
          <w:left w:val="single" w:sz="2" w:space="3" w:color="auto"/>
          <w:bottom w:val="single" w:sz="2" w:space="3" w:color="auto"/>
          <w:right w:val="single" w:sz="2" w:space="3" w:color="auto"/>
        </w:pBdr>
        <w:shd w:val="clear" w:color="auto" w:fill="F2F2F2"/>
        <w:tabs>
          <w:tab w:val="clear" w:pos="567"/>
        </w:tabs>
        <w:spacing w:after="60" w:line="280" w:lineRule="exact"/>
        <w:ind w:right="113"/>
        <w:rPr>
          <w:sz w:val="20"/>
          <w:szCs w:val="20"/>
          <w:lang w:val="fr-FR"/>
        </w:rPr>
      </w:pPr>
      <w:r w:rsidRPr="00713D60">
        <w:rPr>
          <w:sz w:val="20"/>
          <w:szCs w:val="20"/>
          <w:lang w:val="fr-FR"/>
        </w:rPr>
        <w:t>L’option (b) est correcte – la différenciation entre les sexes dans les tâches ou les fonctions de représentation ou de transmission d’éléments du PCI n</w:t>
      </w:r>
      <w:r w:rsidR="00176520">
        <w:rPr>
          <w:sz w:val="20"/>
          <w:szCs w:val="20"/>
          <w:lang w:val="fr-FR"/>
        </w:rPr>
        <w:t>e doit</w:t>
      </w:r>
      <w:r w:rsidRPr="00713D60">
        <w:rPr>
          <w:sz w:val="20"/>
          <w:szCs w:val="20"/>
          <w:lang w:val="fr-FR"/>
        </w:rPr>
        <w:t xml:space="preserve"> pas </w:t>
      </w:r>
      <w:r w:rsidR="00176520">
        <w:rPr>
          <w:sz w:val="20"/>
          <w:szCs w:val="20"/>
          <w:lang w:val="fr-FR"/>
        </w:rPr>
        <w:t>aller à l’encontre des</w:t>
      </w:r>
      <w:r w:rsidRPr="00713D60">
        <w:rPr>
          <w:sz w:val="20"/>
          <w:szCs w:val="20"/>
          <w:lang w:val="fr-FR"/>
        </w:rPr>
        <w:t xml:space="preserve"> exigences des instrument internationaux relatifs aux droits de l’homme. Par exemple, des femmes peuvent exécuter certains aspects d’une danse ou d’une</w:t>
      </w:r>
      <w:r w:rsidRPr="00713D60">
        <w:rPr>
          <w:szCs w:val="20"/>
          <w:lang w:val="fr-FR"/>
        </w:rPr>
        <w:t xml:space="preserve"> </w:t>
      </w:r>
      <w:r w:rsidRPr="00713D60">
        <w:rPr>
          <w:sz w:val="20"/>
          <w:szCs w:val="20"/>
          <w:lang w:val="fr-FR"/>
        </w:rPr>
        <w:t xml:space="preserve">cérémonie, tandis que les hommes en exécutent </w:t>
      </w:r>
      <w:r w:rsidR="006A6895">
        <w:rPr>
          <w:sz w:val="20"/>
          <w:szCs w:val="20"/>
          <w:lang w:val="fr-FR"/>
        </w:rPr>
        <w:br w:type="page"/>
      </w:r>
    </w:p>
    <w:p w:rsidR="003757E3" w:rsidRPr="00713D60" w:rsidRDefault="00453393">
      <w:pPr>
        <w:pBdr>
          <w:top w:val="single" w:sz="2" w:space="3" w:color="auto"/>
          <w:left w:val="single" w:sz="2" w:space="3" w:color="auto"/>
          <w:bottom w:val="single" w:sz="2" w:space="3" w:color="auto"/>
          <w:right w:val="single" w:sz="2" w:space="3" w:color="auto"/>
        </w:pBdr>
        <w:shd w:val="clear" w:color="auto" w:fill="F2F2F2"/>
        <w:tabs>
          <w:tab w:val="clear" w:pos="567"/>
        </w:tabs>
        <w:ind w:right="113"/>
        <w:rPr>
          <w:sz w:val="20"/>
          <w:szCs w:val="20"/>
          <w:lang w:val="fr-FR"/>
        </w:rPr>
      </w:pPr>
      <w:proofErr w:type="gramStart"/>
      <w:r w:rsidRPr="00713D60">
        <w:rPr>
          <w:sz w:val="20"/>
          <w:szCs w:val="20"/>
          <w:lang w:val="fr-FR"/>
        </w:rPr>
        <w:lastRenderedPageBreak/>
        <w:t>d’autres</w:t>
      </w:r>
      <w:proofErr w:type="gramEnd"/>
      <w:r w:rsidRPr="00713D60">
        <w:rPr>
          <w:sz w:val="20"/>
          <w:szCs w:val="20"/>
          <w:lang w:val="fr-FR"/>
        </w:rPr>
        <w:t>. Ou</w:t>
      </w:r>
      <w:r w:rsidR="00176520">
        <w:rPr>
          <w:sz w:val="20"/>
          <w:szCs w:val="20"/>
          <w:lang w:val="fr-FR"/>
        </w:rPr>
        <w:t xml:space="preserve"> encore,</w:t>
      </w:r>
      <w:r w:rsidRPr="00713D60">
        <w:rPr>
          <w:sz w:val="20"/>
          <w:szCs w:val="20"/>
          <w:lang w:val="fr-FR"/>
        </w:rPr>
        <w:t xml:space="preserve"> dans une seule et même communauté, seuls les hommes peuvent assister à certains rituels tandis que seules les femmes peuvent assister à certains autres. Cependant, si une telle différentiation entre les sexes </w:t>
      </w:r>
      <w:r w:rsidR="00176520">
        <w:rPr>
          <w:sz w:val="20"/>
          <w:szCs w:val="20"/>
          <w:lang w:val="fr-FR"/>
        </w:rPr>
        <w:t>génère</w:t>
      </w:r>
      <w:r w:rsidRPr="00713D60">
        <w:rPr>
          <w:sz w:val="20"/>
          <w:szCs w:val="20"/>
          <w:lang w:val="fr-FR"/>
        </w:rPr>
        <w:t xml:space="preserve"> </w:t>
      </w:r>
      <w:r w:rsidR="00176520">
        <w:rPr>
          <w:sz w:val="20"/>
          <w:szCs w:val="20"/>
          <w:lang w:val="fr-FR"/>
        </w:rPr>
        <w:t>un</w:t>
      </w:r>
      <w:r w:rsidRPr="00713D60">
        <w:rPr>
          <w:sz w:val="20"/>
          <w:szCs w:val="20"/>
          <w:lang w:val="fr-FR"/>
        </w:rPr>
        <w:t xml:space="preserve"> pouvoir d’humiliation d’autrui ou crée les conditions d’un désavantage flagrant pour quelques personnes, elle est alors contraire aux exigences des instruments internationaux </w:t>
      </w:r>
      <w:r w:rsidR="00176520">
        <w:rPr>
          <w:sz w:val="20"/>
          <w:szCs w:val="20"/>
          <w:lang w:val="fr-FR"/>
        </w:rPr>
        <w:t>relatifs aux</w:t>
      </w:r>
      <w:r w:rsidRPr="00713D60">
        <w:rPr>
          <w:sz w:val="20"/>
          <w:szCs w:val="20"/>
          <w:lang w:val="fr-FR"/>
        </w:rPr>
        <w:t xml:space="preserve"> droits de l’homme et l’élément ne peut être considéré comme PCI aux termes de la Convention. Ainsi, tout rituel qui consiste à enlever des femmes de force, à battre des enfants, à sacrifier des êtres humains ou à mutiler un corps, par exemple, ne peut être pris en compte au titre de la Convention (voir article 2.1).</w:t>
      </w:r>
    </w:p>
    <w:p w:rsidR="00AB7097" w:rsidRPr="00713D60" w:rsidRDefault="00453393" w:rsidP="007B0D43">
      <w:pPr>
        <w:pStyle w:val="Heading4"/>
        <w:tabs>
          <w:tab w:val="left" w:pos="567"/>
        </w:tabs>
        <w:snapToGrid w:val="0"/>
        <w:spacing w:before="200" w:after="0" w:line="240" w:lineRule="auto"/>
        <w:jc w:val="both"/>
        <w:rPr>
          <w:rFonts w:eastAsiaTheme="majorEastAsia" w:cs="Arial"/>
          <w:iCs/>
          <w:snapToGrid w:val="0"/>
          <w:szCs w:val="18"/>
          <w:lang w:val="fr-FR" w:eastAsia="zh-CN"/>
        </w:rPr>
      </w:pPr>
      <w:r w:rsidRPr="00713D60">
        <w:rPr>
          <w:rFonts w:eastAsiaTheme="majorEastAsia" w:cs="Arial"/>
          <w:iCs/>
          <w:snapToGrid w:val="0"/>
          <w:szCs w:val="18"/>
          <w:lang w:val="fr-FR" w:eastAsia="zh-CN"/>
        </w:rPr>
        <w:t>inventaires</w:t>
      </w:r>
    </w:p>
    <w:p w:rsidR="00AB7097" w:rsidRPr="00713D60" w:rsidRDefault="00453393" w:rsidP="007B0D43">
      <w:pPr>
        <w:pStyle w:val="Heading4"/>
        <w:tabs>
          <w:tab w:val="left" w:pos="567"/>
        </w:tabs>
        <w:snapToGrid w:val="0"/>
        <w:spacing w:before="200" w:after="0" w:line="240" w:lineRule="auto"/>
        <w:jc w:val="both"/>
        <w:rPr>
          <w:rFonts w:eastAsia="Times New Roman" w:cs="Arial"/>
          <w:iCs/>
          <w:snapToGrid w:val="0"/>
          <w:sz w:val="18"/>
          <w:szCs w:val="18"/>
          <w:lang w:val="fr-FR" w:eastAsia="zh-CN"/>
        </w:rPr>
      </w:pPr>
      <w:r w:rsidRPr="00713D60">
        <w:rPr>
          <w:rFonts w:eastAsia="Times New Roman" w:cs="Arial"/>
          <w:iCs/>
          <w:snapToGrid w:val="0"/>
          <w:sz w:val="18"/>
          <w:szCs w:val="18"/>
          <w:lang w:val="fr-FR" w:eastAsia="zh-CN"/>
        </w:rPr>
        <w:t>Question 7</w:t>
      </w:r>
    </w:p>
    <w:p w:rsidR="00AB7097" w:rsidRPr="002A4594" w:rsidRDefault="00453393" w:rsidP="00AB7097">
      <w:pPr>
        <w:pStyle w:val="Texte1"/>
      </w:pPr>
      <w:r w:rsidRPr="00713D60">
        <w:t xml:space="preserve">Le Pays B envisage de dresser l’inventaire de tout le PCI présent sur son territoire. Le Ministère de la Culture doit choisir un nom pour l’inventaire. Quel nom serait le plus conforme à l’esprit de la Convention ? </w:t>
      </w:r>
    </w:p>
    <w:p w:rsidR="003757E3" w:rsidRPr="002A4594" w:rsidRDefault="00453393" w:rsidP="00713D60">
      <w:pPr>
        <w:numPr>
          <w:ilvl w:val="0"/>
          <w:numId w:val="19"/>
        </w:numPr>
        <w:tabs>
          <w:tab w:val="clear" w:pos="567"/>
        </w:tabs>
        <w:ind w:left="1276" w:hanging="425"/>
        <w:contextualSpacing/>
        <w:jc w:val="left"/>
        <w:rPr>
          <w:sz w:val="20"/>
          <w:szCs w:val="20"/>
          <w:lang w:val="fr-FR" w:eastAsia="en-US"/>
        </w:rPr>
      </w:pPr>
      <w:r w:rsidRPr="00713D60">
        <w:rPr>
          <w:sz w:val="20"/>
          <w:szCs w:val="20"/>
          <w:lang w:val="fr-FR" w:eastAsia="en-US"/>
        </w:rPr>
        <w:t>L’inventaire national du PCI du Pays B.</w:t>
      </w:r>
    </w:p>
    <w:p w:rsidR="003757E3" w:rsidRPr="002A4594" w:rsidRDefault="00453393" w:rsidP="00713D60">
      <w:pPr>
        <w:numPr>
          <w:ilvl w:val="0"/>
          <w:numId w:val="19"/>
        </w:numPr>
        <w:tabs>
          <w:tab w:val="clear" w:pos="567"/>
        </w:tabs>
        <w:ind w:left="1276" w:hanging="425"/>
        <w:contextualSpacing/>
        <w:jc w:val="left"/>
        <w:rPr>
          <w:sz w:val="20"/>
          <w:szCs w:val="20"/>
          <w:lang w:val="fr-FR" w:eastAsia="en-US"/>
        </w:rPr>
      </w:pPr>
      <w:r w:rsidRPr="00713D60">
        <w:rPr>
          <w:sz w:val="20"/>
          <w:szCs w:val="20"/>
          <w:lang w:val="fr-FR" w:eastAsia="en-US"/>
        </w:rPr>
        <w:t>L’inventaire du PCI venant du Pays B.</w:t>
      </w:r>
    </w:p>
    <w:p w:rsidR="003757E3" w:rsidRPr="002A4594" w:rsidRDefault="00453393" w:rsidP="00713D60">
      <w:pPr>
        <w:numPr>
          <w:ilvl w:val="0"/>
          <w:numId w:val="19"/>
        </w:numPr>
        <w:tabs>
          <w:tab w:val="clear" w:pos="567"/>
        </w:tabs>
        <w:ind w:left="1276" w:hanging="425"/>
        <w:contextualSpacing/>
        <w:jc w:val="left"/>
        <w:rPr>
          <w:sz w:val="20"/>
          <w:szCs w:val="20"/>
          <w:lang w:val="fr-FR" w:eastAsia="en-US"/>
        </w:rPr>
      </w:pPr>
      <w:r w:rsidRPr="00713D60">
        <w:rPr>
          <w:sz w:val="20"/>
          <w:szCs w:val="20"/>
          <w:lang w:val="fr-FR" w:eastAsia="en-US"/>
        </w:rPr>
        <w:t>L’inventaire du PCI dans le P</w:t>
      </w:r>
      <w:r w:rsidR="006A6895">
        <w:rPr>
          <w:sz w:val="20"/>
          <w:szCs w:val="20"/>
          <w:lang w:val="fr-FR" w:eastAsia="en-US"/>
        </w:rPr>
        <w:t>ays B.</w:t>
      </w:r>
    </w:p>
    <w:p w:rsidR="00AB7097" w:rsidRPr="002A4594" w:rsidRDefault="00453393" w:rsidP="00AB7097">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713D60">
        <w:rPr>
          <w:rFonts w:eastAsia="SimSun"/>
          <w:szCs w:val="20"/>
        </w:rPr>
        <w:t xml:space="preserve">L’option (c) semble correspondre le mieux à la Convention. Toutefois, la Convention n’impose aucune règle stricte pour les inventaires et l’État partie est libre de choisir </w:t>
      </w:r>
      <w:r w:rsidR="007B5EC3">
        <w:rPr>
          <w:rFonts w:eastAsia="SimSun"/>
          <w:szCs w:val="20"/>
        </w:rPr>
        <w:t>entre l</w:t>
      </w:r>
      <w:r w:rsidRPr="00713D60">
        <w:rPr>
          <w:rFonts w:eastAsia="SimSun"/>
          <w:szCs w:val="20"/>
        </w:rPr>
        <w:t>es trois solutions</w:t>
      </w:r>
      <w:r w:rsidR="006A6895">
        <w:rPr>
          <w:rFonts w:eastAsia="SimSun"/>
          <w:szCs w:val="20"/>
        </w:rPr>
        <w:t>.</w:t>
      </w:r>
    </w:p>
    <w:p w:rsidR="00AB7097" w:rsidRPr="002A4594" w:rsidRDefault="00453393" w:rsidP="00AB7097">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713D60">
        <w:rPr>
          <w:rFonts w:eastAsia="SimSun"/>
          <w:szCs w:val="20"/>
        </w:rPr>
        <w:t>Option (a) : nulle part la Convention ne mentionne des inventaires nationaux ; un inventaire national pourrait exclure des éléments du PCI présents dans le Pays B qui ne correspondent pas à l’idée, actuelle ou future, de qui et de ce qui constitue la nation. La Convention parle « de communautés, de groupes et d’individus » et non de nations. La Convention entend contribuer à la diversité culturelle, y compris à la diversité des expressions et des pratiques du PCI au sein des États parties, non pas à l’homogénéisation qui accompagne souven</w:t>
      </w:r>
      <w:r w:rsidR="006A6895">
        <w:rPr>
          <w:rFonts w:eastAsia="SimSun"/>
          <w:szCs w:val="20"/>
        </w:rPr>
        <w:t>t la construction d’une nation.</w:t>
      </w:r>
    </w:p>
    <w:p w:rsidR="00AB7097" w:rsidRPr="002A4594" w:rsidRDefault="00453393" w:rsidP="00AB7097">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713D60">
        <w:rPr>
          <w:rFonts w:eastAsia="SimSun"/>
          <w:szCs w:val="20"/>
        </w:rPr>
        <w:t>Option (b) : cette option ne qualifie plus l’inventaire de « national » mais elle partage avec l’option (a) l’idée de PCI « de l’État ». Nulle part la Convention n’évoque le PCI d’un État, mais plutôt le PCI des communautés, des groupes et des individus. Les communautés d’immigrant</w:t>
      </w:r>
      <w:r w:rsidR="007B5EC3">
        <w:rPr>
          <w:rFonts w:eastAsia="SimSun"/>
          <w:szCs w:val="20"/>
        </w:rPr>
        <w:t>s</w:t>
      </w:r>
      <w:r w:rsidRPr="00713D60">
        <w:rPr>
          <w:rFonts w:eastAsia="SimSun"/>
          <w:szCs w:val="20"/>
        </w:rPr>
        <w:t xml:space="preserve"> pourraient être exclues (ou se sentir exclues) </w:t>
      </w:r>
      <w:r w:rsidR="007B5EC3">
        <w:rPr>
          <w:rFonts w:eastAsia="SimSun"/>
          <w:szCs w:val="20"/>
        </w:rPr>
        <w:t>à cause</w:t>
      </w:r>
      <w:r w:rsidRPr="00713D60">
        <w:rPr>
          <w:rFonts w:eastAsia="SimSun"/>
          <w:szCs w:val="20"/>
        </w:rPr>
        <w:t xml:space="preserve"> de ce</w:t>
      </w:r>
      <w:r w:rsidR="006A6895">
        <w:rPr>
          <w:rFonts w:eastAsia="SimSun"/>
          <w:szCs w:val="20"/>
        </w:rPr>
        <w:t xml:space="preserve"> nom.</w:t>
      </w:r>
    </w:p>
    <w:p w:rsidR="00AB7097" w:rsidRPr="002A4594" w:rsidRDefault="00453393" w:rsidP="00AB7097">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713D60">
        <w:rPr>
          <w:rFonts w:eastAsia="SimSun"/>
          <w:szCs w:val="20"/>
        </w:rPr>
        <w:t xml:space="preserve">Option (c) : cela pourrait être la meilleure solution, du point de vue de la Convention. Elle n’exclut d’emblée aucun élément du PCI présent sur le territoire de l’État </w:t>
      </w:r>
      <w:r w:rsidR="007B5EC3" w:rsidRPr="002A4594">
        <w:rPr>
          <w:rFonts w:eastAsia="SimSun"/>
          <w:szCs w:val="20"/>
        </w:rPr>
        <w:t xml:space="preserve">d’être inventorié </w:t>
      </w:r>
      <w:r w:rsidRPr="00713D60">
        <w:rPr>
          <w:rFonts w:eastAsia="SimSun"/>
          <w:szCs w:val="20"/>
        </w:rPr>
        <w:t>(comme, par exemple, le PCI des communautés immigrées) et ne revendique ni propriété ni autorité de l’État sur le PCI qui sera</w:t>
      </w:r>
      <w:r w:rsidR="006A6895">
        <w:rPr>
          <w:rFonts w:eastAsia="SimSun"/>
          <w:szCs w:val="20"/>
        </w:rPr>
        <w:t xml:space="preserve"> inventorié.</w:t>
      </w:r>
    </w:p>
    <w:p w:rsidR="00AB7097" w:rsidRPr="00713D60" w:rsidRDefault="00453393" w:rsidP="007B0D43">
      <w:pPr>
        <w:pStyle w:val="Heading4"/>
        <w:tabs>
          <w:tab w:val="left" w:pos="567"/>
        </w:tabs>
        <w:snapToGrid w:val="0"/>
        <w:spacing w:before="200" w:after="0" w:line="240" w:lineRule="auto"/>
        <w:jc w:val="both"/>
        <w:rPr>
          <w:rFonts w:eastAsia="Times New Roman" w:cs="Arial"/>
          <w:iCs/>
          <w:snapToGrid w:val="0"/>
          <w:sz w:val="18"/>
          <w:szCs w:val="18"/>
          <w:lang w:val="fr-FR" w:eastAsia="zh-CN"/>
        </w:rPr>
      </w:pPr>
      <w:r w:rsidRPr="00713D60">
        <w:rPr>
          <w:rFonts w:eastAsia="Times New Roman" w:cs="Arial"/>
          <w:iCs/>
          <w:snapToGrid w:val="0"/>
          <w:sz w:val="18"/>
          <w:szCs w:val="18"/>
          <w:lang w:val="fr-FR" w:eastAsia="zh-CN"/>
        </w:rPr>
        <w:t>Question 8</w:t>
      </w:r>
    </w:p>
    <w:p w:rsidR="00AB7097" w:rsidRPr="002A4594" w:rsidRDefault="00453393" w:rsidP="00AB7097">
      <w:pPr>
        <w:pStyle w:val="Texte1"/>
      </w:pPr>
      <w:r w:rsidRPr="00713D60">
        <w:t xml:space="preserve">Les États parties à la Convention peuvent-ils adopter leurs propres définitions du PCI </w:t>
      </w:r>
      <w:r w:rsidR="007B5EC3">
        <w:t>pour l</w:t>
      </w:r>
      <w:r w:rsidRPr="00713D60">
        <w:t>es inventaires locaux ou nationaux ?</w:t>
      </w:r>
    </w:p>
    <w:p w:rsidR="003757E3" w:rsidRPr="002A4594" w:rsidRDefault="00453393" w:rsidP="00713D60">
      <w:pPr>
        <w:numPr>
          <w:ilvl w:val="0"/>
          <w:numId w:val="20"/>
        </w:numPr>
        <w:tabs>
          <w:tab w:val="clear" w:pos="567"/>
        </w:tabs>
        <w:ind w:left="1276" w:hanging="425"/>
        <w:contextualSpacing/>
        <w:rPr>
          <w:sz w:val="20"/>
          <w:szCs w:val="20"/>
          <w:lang w:val="fr-FR" w:eastAsia="en-US"/>
        </w:rPr>
      </w:pPr>
      <w:r w:rsidRPr="00713D60">
        <w:rPr>
          <w:sz w:val="20"/>
          <w:szCs w:val="20"/>
          <w:lang w:val="fr-FR" w:eastAsia="en-US"/>
        </w:rPr>
        <w:t xml:space="preserve">Oui, car ils sont autorisés à dresser leurs inventaires en fonction de leur </w:t>
      </w:r>
      <w:r w:rsidR="007B5EC3">
        <w:rPr>
          <w:sz w:val="20"/>
          <w:szCs w:val="20"/>
          <w:lang w:val="fr-FR" w:eastAsia="en-US"/>
        </w:rPr>
        <w:t xml:space="preserve">propre </w:t>
      </w:r>
      <w:r w:rsidRPr="00713D60">
        <w:rPr>
          <w:sz w:val="20"/>
          <w:szCs w:val="20"/>
          <w:lang w:val="fr-FR" w:eastAsia="en-US"/>
        </w:rPr>
        <w:t>situation.</w:t>
      </w:r>
    </w:p>
    <w:p w:rsidR="003757E3" w:rsidRPr="002A4594" w:rsidRDefault="00453393" w:rsidP="00713D60">
      <w:pPr>
        <w:numPr>
          <w:ilvl w:val="0"/>
          <w:numId w:val="20"/>
        </w:numPr>
        <w:tabs>
          <w:tab w:val="clear" w:pos="567"/>
        </w:tabs>
        <w:ind w:left="1276" w:hanging="425"/>
        <w:contextualSpacing/>
        <w:rPr>
          <w:sz w:val="20"/>
          <w:szCs w:val="20"/>
          <w:lang w:val="fr-FR" w:eastAsia="en-US"/>
        </w:rPr>
      </w:pPr>
      <w:r w:rsidRPr="00713D60">
        <w:rPr>
          <w:sz w:val="20"/>
          <w:szCs w:val="20"/>
          <w:lang w:val="fr-FR" w:eastAsia="en-US"/>
        </w:rPr>
        <w:t>Non, ils doivent se conformer à la définition du PCI énoncée dans la Convention.</w:t>
      </w:r>
    </w:p>
    <w:p w:rsidR="003757E3" w:rsidRPr="002A4594" w:rsidRDefault="00453393" w:rsidP="00713D60">
      <w:pPr>
        <w:numPr>
          <w:ilvl w:val="0"/>
          <w:numId w:val="20"/>
        </w:numPr>
        <w:tabs>
          <w:tab w:val="clear" w:pos="567"/>
        </w:tabs>
        <w:ind w:left="1276" w:hanging="425"/>
        <w:contextualSpacing/>
        <w:rPr>
          <w:sz w:val="20"/>
          <w:szCs w:val="20"/>
          <w:lang w:val="fr-FR" w:eastAsia="en-US"/>
        </w:rPr>
      </w:pPr>
      <w:r w:rsidRPr="00713D60">
        <w:rPr>
          <w:sz w:val="20"/>
          <w:szCs w:val="20"/>
          <w:lang w:val="fr-FR" w:eastAsia="en-US"/>
        </w:rPr>
        <w:t>Non, ils doivent se conformer à la définition du PCI énoncée dans la Convention</w:t>
      </w:r>
      <w:r w:rsidR="007B5EC3">
        <w:rPr>
          <w:sz w:val="20"/>
          <w:szCs w:val="20"/>
          <w:lang w:val="fr-FR" w:eastAsia="en-US"/>
        </w:rPr>
        <w:t xml:space="preserve">, </w:t>
      </w:r>
      <w:r w:rsidRPr="00713D60">
        <w:rPr>
          <w:sz w:val="20"/>
          <w:szCs w:val="20"/>
          <w:lang w:val="fr-FR" w:eastAsia="en-US"/>
        </w:rPr>
        <w:t>mais une exception peut être faite s’i</w:t>
      </w:r>
      <w:r w:rsidR="006A6895">
        <w:rPr>
          <w:sz w:val="20"/>
          <w:szCs w:val="20"/>
          <w:lang w:val="fr-FR" w:eastAsia="en-US"/>
        </w:rPr>
        <w:t>ls en demandent l’autorisation.</w:t>
      </w:r>
    </w:p>
    <w:p w:rsidR="006A6895" w:rsidRDefault="00453393" w:rsidP="00AB7097">
      <w:pPr>
        <w:pStyle w:val="Encadr"/>
        <w:pBdr>
          <w:top w:val="single" w:sz="2" w:space="3" w:color="auto"/>
          <w:left w:val="single" w:sz="2" w:space="3" w:color="auto"/>
          <w:bottom w:val="single" w:sz="2" w:space="3" w:color="auto"/>
          <w:right w:val="single" w:sz="2" w:space="3" w:color="auto"/>
        </w:pBdr>
        <w:shd w:val="clear" w:color="auto" w:fill="F2F2F2"/>
        <w:spacing w:line="276" w:lineRule="auto"/>
        <w:ind w:left="113" w:right="113"/>
        <w:rPr>
          <w:rFonts w:eastAsia="SimSun"/>
          <w:szCs w:val="20"/>
        </w:rPr>
      </w:pPr>
      <w:r w:rsidRPr="00713D60">
        <w:rPr>
          <w:rFonts w:eastAsia="SimSun"/>
          <w:szCs w:val="20"/>
        </w:rPr>
        <w:t>L’option (a) est la bonne – les États parties ont la liberté de dresser des inventaires nationaux ou locaux en fonction de leur situation et</w:t>
      </w:r>
      <w:r w:rsidR="007B5EC3">
        <w:rPr>
          <w:rFonts w:eastAsia="SimSun"/>
          <w:szCs w:val="20"/>
        </w:rPr>
        <w:t>,</w:t>
      </w:r>
      <w:r w:rsidRPr="00713D60">
        <w:rPr>
          <w:rFonts w:eastAsia="SimSun"/>
          <w:szCs w:val="20"/>
        </w:rPr>
        <w:t xml:space="preserve"> par conséquent, d’utiliser aussi</w:t>
      </w:r>
      <w:r w:rsidR="006A6895">
        <w:rPr>
          <w:rFonts w:eastAsia="SimSun"/>
          <w:szCs w:val="20"/>
        </w:rPr>
        <w:t xml:space="preserve"> leurs propres définitions</w:t>
      </w:r>
    </w:p>
    <w:p w:rsidR="006A6895" w:rsidRDefault="006A6895">
      <w:pPr>
        <w:tabs>
          <w:tab w:val="clear" w:pos="567"/>
        </w:tabs>
        <w:snapToGrid/>
        <w:spacing w:before="0" w:after="0"/>
        <w:jc w:val="left"/>
        <w:rPr>
          <w:snapToGrid/>
          <w:sz w:val="20"/>
          <w:szCs w:val="20"/>
          <w:lang w:val="fr-FR"/>
        </w:rPr>
      </w:pPr>
      <w:r w:rsidRPr="006A6895">
        <w:rPr>
          <w:szCs w:val="20"/>
          <w:lang w:val="fr-FR"/>
        </w:rPr>
        <w:br w:type="page"/>
      </w:r>
    </w:p>
    <w:p w:rsidR="00AB7097" w:rsidRPr="002A4594" w:rsidRDefault="00453393" w:rsidP="00AB7097">
      <w:pPr>
        <w:pStyle w:val="Encadr"/>
        <w:pBdr>
          <w:top w:val="single" w:sz="2" w:space="3" w:color="auto"/>
          <w:left w:val="single" w:sz="2" w:space="3" w:color="auto"/>
          <w:bottom w:val="single" w:sz="2" w:space="3" w:color="auto"/>
          <w:right w:val="single" w:sz="2" w:space="3" w:color="auto"/>
        </w:pBdr>
        <w:shd w:val="clear" w:color="auto" w:fill="F2F2F2"/>
        <w:spacing w:line="276" w:lineRule="auto"/>
        <w:ind w:left="113" w:right="113"/>
        <w:rPr>
          <w:rFonts w:eastAsia="SimSun"/>
          <w:szCs w:val="20"/>
        </w:rPr>
      </w:pPr>
      <w:proofErr w:type="gramStart"/>
      <w:r w:rsidRPr="00713D60">
        <w:rPr>
          <w:rFonts w:eastAsia="SimSun"/>
          <w:szCs w:val="20"/>
        </w:rPr>
        <w:lastRenderedPageBreak/>
        <w:t>du</w:t>
      </w:r>
      <w:proofErr w:type="gramEnd"/>
      <w:r w:rsidRPr="00713D60">
        <w:rPr>
          <w:rFonts w:eastAsia="SimSun"/>
          <w:szCs w:val="20"/>
        </w:rPr>
        <w:t xml:space="preserve"> PCI. Bien entendu, s’ils souhaitent proposer des éléments pour inscription sur les Listes de la Convention, il faut qu</w:t>
      </w:r>
      <w:r w:rsidR="007B5EC3">
        <w:rPr>
          <w:rFonts w:eastAsia="SimSun"/>
          <w:szCs w:val="20"/>
        </w:rPr>
        <w:t>e</w:t>
      </w:r>
      <w:r w:rsidR="00050770">
        <w:rPr>
          <w:rFonts w:eastAsia="SimSun"/>
          <w:szCs w:val="20"/>
        </w:rPr>
        <w:t xml:space="preserve"> ces dernier</w:t>
      </w:r>
      <w:r w:rsidRPr="00713D60">
        <w:rPr>
          <w:rFonts w:eastAsia="SimSun"/>
          <w:szCs w:val="20"/>
        </w:rPr>
        <w:t>s soient conformes aux critères listés dans les DO 1-2. En ce qui concerne la classification d’éléments à l’inventaire, les États parties disposent également d’une entière liberté, d’autant plus que la liste des domaines à l’article 2.2 de la C</w:t>
      </w:r>
      <w:r w:rsidR="006A6895">
        <w:rPr>
          <w:rFonts w:eastAsia="SimSun"/>
          <w:szCs w:val="20"/>
        </w:rPr>
        <w:t>onvention n’est pas exhaustive.</w:t>
      </w:r>
    </w:p>
    <w:p w:rsidR="00AB7097" w:rsidRPr="00713D60" w:rsidRDefault="00453393" w:rsidP="007B0D43">
      <w:pPr>
        <w:pStyle w:val="Heading4"/>
        <w:tabs>
          <w:tab w:val="left" w:pos="567"/>
        </w:tabs>
        <w:snapToGrid w:val="0"/>
        <w:spacing w:before="200" w:after="0" w:line="240" w:lineRule="auto"/>
        <w:jc w:val="both"/>
        <w:rPr>
          <w:rFonts w:eastAsia="Times New Roman" w:cs="Arial"/>
          <w:iCs/>
          <w:snapToGrid w:val="0"/>
          <w:sz w:val="18"/>
          <w:szCs w:val="18"/>
          <w:lang w:val="fr-FR" w:eastAsia="zh-CN"/>
        </w:rPr>
      </w:pPr>
      <w:r w:rsidRPr="00713D60">
        <w:rPr>
          <w:rFonts w:eastAsia="Times New Roman" w:cs="Arial"/>
          <w:iCs/>
          <w:snapToGrid w:val="0"/>
          <w:sz w:val="18"/>
          <w:szCs w:val="18"/>
          <w:lang w:val="fr-FR" w:eastAsia="zh-CN"/>
        </w:rPr>
        <w:t>Question 9</w:t>
      </w:r>
    </w:p>
    <w:p w:rsidR="00AB7097" w:rsidRPr="002A4594" w:rsidRDefault="00453393" w:rsidP="00AB7097">
      <w:pPr>
        <w:pStyle w:val="Texte1"/>
      </w:pPr>
      <w:r w:rsidRPr="00713D60">
        <w:t>Si des éléments in</w:t>
      </w:r>
      <w:r w:rsidR="00050770">
        <w:t>clus dans les</w:t>
      </w:r>
      <w:r w:rsidRPr="00713D60">
        <w:t xml:space="preserve"> inventaires nationaux ou locaux ne sont pas conformes à la définition du PCI </w:t>
      </w:r>
      <w:r w:rsidR="00050770">
        <w:t>selon</w:t>
      </w:r>
      <w:r w:rsidRPr="00713D60">
        <w:t xml:space="preserve"> la Convention, peuvent-ils être inscrits su</w:t>
      </w:r>
      <w:r w:rsidR="006A6895">
        <w:t>r les Listes de la Convention ?</w:t>
      </w:r>
    </w:p>
    <w:p w:rsidR="003757E3" w:rsidRPr="002A4594" w:rsidRDefault="00453393" w:rsidP="00713D60">
      <w:pPr>
        <w:numPr>
          <w:ilvl w:val="0"/>
          <w:numId w:val="21"/>
        </w:numPr>
        <w:tabs>
          <w:tab w:val="clear" w:pos="567"/>
        </w:tabs>
        <w:ind w:left="1276" w:hanging="425"/>
        <w:contextualSpacing/>
        <w:rPr>
          <w:sz w:val="20"/>
          <w:szCs w:val="20"/>
          <w:lang w:val="fr-FR" w:eastAsia="en-US"/>
        </w:rPr>
      </w:pPr>
      <w:r w:rsidRPr="00713D60">
        <w:rPr>
          <w:sz w:val="20"/>
          <w:szCs w:val="20"/>
          <w:lang w:val="fr-FR" w:eastAsia="en-US"/>
        </w:rPr>
        <w:t>Oui, des éléments inclus dans des inventaires nationaux ou locaux peuvent être inscrits sur les Listes de la Convention même s’ils ne sont pas conformes à la définition du PCI dans la Convention.</w:t>
      </w:r>
    </w:p>
    <w:p w:rsidR="003757E3" w:rsidRPr="002A4594" w:rsidRDefault="00453393" w:rsidP="00713D60">
      <w:pPr>
        <w:numPr>
          <w:ilvl w:val="0"/>
          <w:numId w:val="21"/>
        </w:numPr>
        <w:tabs>
          <w:tab w:val="clear" w:pos="567"/>
        </w:tabs>
        <w:ind w:left="1276" w:hanging="425"/>
        <w:contextualSpacing/>
        <w:rPr>
          <w:sz w:val="20"/>
          <w:szCs w:val="20"/>
          <w:lang w:val="fr-FR" w:eastAsia="en-US"/>
        </w:rPr>
      </w:pPr>
      <w:r w:rsidRPr="00713D60">
        <w:rPr>
          <w:sz w:val="20"/>
          <w:szCs w:val="20"/>
          <w:lang w:val="fr-FR" w:eastAsia="en-US"/>
        </w:rPr>
        <w:t xml:space="preserve">Non, des éléments inclus dans des inventaires nationaux ou locaux qui ne sont pas conformes à la définition du PCI dans la Convention ne peuvent </w:t>
      </w:r>
      <w:r w:rsidR="006F7058">
        <w:rPr>
          <w:sz w:val="20"/>
          <w:szCs w:val="20"/>
          <w:lang w:val="fr-FR" w:eastAsia="en-US"/>
        </w:rPr>
        <w:t xml:space="preserve">pas </w:t>
      </w:r>
      <w:r w:rsidRPr="00713D60">
        <w:rPr>
          <w:sz w:val="20"/>
          <w:szCs w:val="20"/>
          <w:lang w:val="fr-FR" w:eastAsia="en-US"/>
        </w:rPr>
        <w:t>être inscrits s</w:t>
      </w:r>
      <w:r w:rsidR="006A6895">
        <w:rPr>
          <w:sz w:val="20"/>
          <w:szCs w:val="20"/>
          <w:lang w:val="fr-FR" w:eastAsia="en-US"/>
        </w:rPr>
        <w:t>ur les Listes de la Convention.</w:t>
      </w:r>
    </w:p>
    <w:p w:rsidR="003757E3" w:rsidRPr="002A4594" w:rsidRDefault="00453393" w:rsidP="00713D60">
      <w:pPr>
        <w:numPr>
          <w:ilvl w:val="0"/>
          <w:numId w:val="21"/>
        </w:numPr>
        <w:tabs>
          <w:tab w:val="clear" w:pos="567"/>
        </w:tabs>
        <w:ind w:left="1276" w:hanging="425"/>
        <w:contextualSpacing/>
        <w:rPr>
          <w:sz w:val="20"/>
          <w:szCs w:val="20"/>
          <w:lang w:val="fr-FR" w:eastAsia="en-US"/>
        </w:rPr>
      </w:pPr>
      <w:r w:rsidRPr="00713D60">
        <w:rPr>
          <w:sz w:val="20"/>
          <w:szCs w:val="20"/>
          <w:lang w:val="fr-FR" w:eastAsia="en-US"/>
        </w:rPr>
        <w:t>Oui, des éléments inclus dans des inventaires nationaux ou locaux qui ne sont pas conformes à la définition du PCI dans la Convention peuvent être inscrits sur les Listes de la Convention</w:t>
      </w:r>
      <w:r w:rsidR="006F7058">
        <w:rPr>
          <w:sz w:val="20"/>
          <w:szCs w:val="20"/>
          <w:lang w:val="fr-FR" w:eastAsia="en-US"/>
        </w:rPr>
        <w:t xml:space="preserve"> à condition d’obtenir </w:t>
      </w:r>
      <w:r w:rsidRPr="00713D60">
        <w:rPr>
          <w:sz w:val="20"/>
          <w:szCs w:val="20"/>
          <w:lang w:val="fr-FR" w:eastAsia="en-US"/>
        </w:rPr>
        <w:t>une autorisation spéciale du Comité intergouvernemental.</w:t>
      </w:r>
    </w:p>
    <w:p w:rsidR="00AB7097" w:rsidRPr="002A4594" w:rsidRDefault="00453393" w:rsidP="00AB7097">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713D60">
        <w:rPr>
          <w:rFonts w:eastAsia="SimSun"/>
          <w:szCs w:val="20"/>
        </w:rPr>
        <w:t xml:space="preserve">L’option (b) est la bonne : les critères pour les candidatures (DO 1 et 2) précisent que les éléments qui sont proposés pour inscription sur les Listes de la Convention doivent être conformes à la définition du PCI </w:t>
      </w:r>
      <w:r w:rsidR="006F7058">
        <w:rPr>
          <w:rFonts w:eastAsia="SimSun"/>
          <w:szCs w:val="20"/>
        </w:rPr>
        <w:t xml:space="preserve">énoncée </w:t>
      </w:r>
      <w:r w:rsidRPr="00713D60">
        <w:rPr>
          <w:rFonts w:eastAsia="SimSun"/>
          <w:szCs w:val="20"/>
        </w:rPr>
        <w:t xml:space="preserve">dans la Convention. Les éléments du PCI qui sont inclus dans un inventaire national et ne sont pas compatibles avec les instruments internationaux relatifs aux droits de l’homme ou les exigences de respect mutuel entre les communautés et de développement durable, ne peuvent pas </w:t>
      </w:r>
      <w:r w:rsidR="006F7058" w:rsidRPr="002A4594">
        <w:rPr>
          <w:rFonts w:eastAsia="SimSun"/>
          <w:szCs w:val="20"/>
        </w:rPr>
        <w:t xml:space="preserve">non plus </w:t>
      </w:r>
      <w:r w:rsidRPr="00713D60">
        <w:rPr>
          <w:rFonts w:eastAsia="SimSun"/>
          <w:szCs w:val="20"/>
        </w:rPr>
        <w:t>être inscrits sur les Listes de la Convention (article 2.1). Le Comité intergouvernemental est obligé de suivre les DO telles qu’elles ont été appr</w:t>
      </w:r>
      <w:r w:rsidR="006A6895">
        <w:rPr>
          <w:rFonts w:eastAsia="SimSun"/>
          <w:szCs w:val="20"/>
        </w:rPr>
        <w:t>ouvées par l’Assemblé générale.</w:t>
      </w:r>
    </w:p>
    <w:p w:rsidR="00AB7097" w:rsidRPr="00713D60" w:rsidRDefault="00453393" w:rsidP="007B0D43">
      <w:pPr>
        <w:pStyle w:val="Heading4"/>
        <w:tabs>
          <w:tab w:val="left" w:pos="567"/>
        </w:tabs>
        <w:snapToGrid w:val="0"/>
        <w:spacing w:before="200" w:after="0" w:line="240" w:lineRule="auto"/>
        <w:jc w:val="both"/>
        <w:rPr>
          <w:rFonts w:eastAsia="Times New Roman" w:cs="Arial"/>
          <w:iCs/>
          <w:snapToGrid w:val="0"/>
          <w:sz w:val="18"/>
          <w:szCs w:val="18"/>
          <w:lang w:val="fr-FR" w:eastAsia="zh-CN"/>
        </w:rPr>
      </w:pPr>
      <w:r w:rsidRPr="00713D60">
        <w:rPr>
          <w:rFonts w:eastAsia="Times New Roman" w:cs="Arial"/>
          <w:iCs/>
          <w:snapToGrid w:val="0"/>
          <w:sz w:val="18"/>
          <w:szCs w:val="18"/>
          <w:lang w:val="fr-FR" w:eastAsia="zh-CN"/>
        </w:rPr>
        <w:t>Question 10</w:t>
      </w:r>
    </w:p>
    <w:p w:rsidR="00AB7097" w:rsidRPr="002A4594" w:rsidRDefault="00453393" w:rsidP="00AB7097">
      <w:pPr>
        <w:pStyle w:val="Texte1"/>
        <w:rPr>
          <w:szCs w:val="20"/>
        </w:rPr>
      </w:pPr>
      <w:r w:rsidRPr="00713D60">
        <w:rPr>
          <w:szCs w:val="20"/>
        </w:rPr>
        <w:t>Quelles sont les affirmations vraies ?</w:t>
      </w:r>
    </w:p>
    <w:p w:rsidR="003757E3" w:rsidRPr="002A4594" w:rsidRDefault="00453393" w:rsidP="00713D60">
      <w:pPr>
        <w:numPr>
          <w:ilvl w:val="0"/>
          <w:numId w:val="22"/>
        </w:numPr>
        <w:tabs>
          <w:tab w:val="clear" w:pos="567"/>
        </w:tabs>
        <w:snapToGrid/>
        <w:spacing w:before="0" w:after="200" w:line="276" w:lineRule="auto"/>
        <w:ind w:left="1276" w:hanging="425"/>
        <w:contextualSpacing/>
        <w:rPr>
          <w:rFonts w:eastAsia="Times New Roman"/>
          <w:sz w:val="20"/>
          <w:szCs w:val="20"/>
          <w:lang w:val="fr-FR" w:eastAsia="en-US"/>
        </w:rPr>
      </w:pPr>
      <w:r w:rsidRPr="00713D60">
        <w:rPr>
          <w:rFonts w:eastAsia="Times New Roman"/>
          <w:sz w:val="20"/>
          <w:szCs w:val="20"/>
          <w:lang w:val="fr-FR" w:eastAsia="en-US"/>
        </w:rPr>
        <w:t>Des mesures de sauvegarde doivent avoir été élaborées pour un élément du PCI avant qu’il puisse être inventorié.</w:t>
      </w:r>
    </w:p>
    <w:p w:rsidR="003757E3" w:rsidRPr="002A4594" w:rsidRDefault="00453393" w:rsidP="00713D60">
      <w:pPr>
        <w:numPr>
          <w:ilvl w:val="0"/>
          <w:numId w:val="22"/>
        </w:numPr>
        <w:tabs>
          <w:tab w:val="clear" w:pos="567"/>
        </w:tabs>
        <w:snapToGrid/>
        <w:spacing w:before="0" w:after="200" w:line="276" w:lineRule="auto"/>
        <w:ind w:left="1276" w:hanging="425"/>
        <w:contextualSpacing/>
        <w:rPr>
          <w:rFonts w:eastAsia="Times New Roman"/>
          <w:sz w:val="20"/>
          <w:szCs w:val="20"/>
          <w:lang w:val="fr-FR" w:eastAsia="en-US"/>
        </w:rPr>
      </w:pPr>
      <w:r w:rsidRPr="00713D60">
        <w:rPr>
          <w:rFonts w:eastAsia="Times New Roman"/>
          <w:sz w:val="20"/>
          <w:szCs w:val="20"/>
          <w:lang w:val="fr-FR" w:eastAsia="en-US"/>
        </w:rPr>
        <w:t>Un élément du PCI doit avoir été inventorié avant que toute activité de sauvegarde ne puisse être mise en œuvre.</w:t>
      </w:r>
    </w:p>
    <w:p w:rsidR="003757E3" w:rsidRPr="002A4594" w:rsidRDefault="00453393" w:rsidP="00713D60">
      <w:pPr>
        <w:numPr>
          <w:ilvl w:val="0"/>
          <w:numId w:val="22"/>
        </w:numPr>
        <w:tabs>
          <w:tab w:val="clear" w:pos="567"/>
        </w:tabs>
        <w:snapToGrid/>
        <w:spacing w:before="0" w:after="200" w:line="276" w:lineRule="auto"/>
        <w:ind w:left="1276" w:hanging="425"/>
        <w:contextualSpacing/>
        <w:rPr>
          <w:rFonts w:eastAsia="Times New Roman"/>
          <w:sz w:val="20"/>
          <w:szCs w:val="20"/>
          <w:lang w:val="fr-FR" w:eastAsia="en-US"/>
        </w:rPr>
      </w:pPr>
      <w:r w:rsidRPr="00713D60">
        <w:rPr>
          <w:rFonts w:eastAsia="Times New Roman"/>
          <w:sz w:val="20"/>
          <w:szCs w:val="20"/>
          <w:lang w:val="fr-FR" w:eastAsia="en-US"/>
        </w:rPr>
        <w:t>Des mesures de sauvegarde d’un élément du PCI doivent avoir été mises en œuvre avant de pouvoir en proposer l’inscription sur l’une des Listes de la Convention.</w:t>
      </w:r>
    </w:p>
    <w:p w:rsidR="003757E3" w:rsidRPr="002A4594" w:rsidRDefault="00453393" w:rsidP="00713D60">
      <w:pPr>
        <w:numPr>
          <w:ilvl w:val="0"/>
          <w:numId w:val="22"/>
        </w:numPr>
        <w:tabs>
          <w:tab w:val="clear" w:pos="567"/>
        </w:tabs>
        <w:snapToGrid/>
        <w:spacing w:before="0" w:after="200" w:line="276" w:lineRule="auto"/>
        <w:ind w:left="1276" w:hanging="425"/>
        <w:contextualSpacing/>
        <w:rPr>
          <w:rFonts w:eastAsia="Times New Roman"/>
          <w:sz w:val="20"/>
          <w:szCs w:val="20"/>
          <w:lang w:val="fr-FR" w:eastAsia="en-US"/>
        </w:rPr>
      </w:pPr>
      <w:r w:rsidRPr="00713D60">
        <w:rPr>
          <w:rFonts w:eastAsia="Times New Roman"/>
          <w:sz w:val="20"/>
          <w:szCs w:val="20"/>
          <w:lang w:val="fr-FR" w:eastAsia="en-US"/>
        </w:rPr>
        <w:t>Un élément du PCI doit avoir été inventorié avant de pouvoir en proposer l’inscription sur l’une de</w:t>
      </w:r>
      <w:r w:rsidR="006A6895">
        <w:rPr>
          <w:rFonts w:eastAsia="Times New Roman"/>
          <w:sz w:val="20"/>
          <w:szCs w:val="20"/>
          <w:lang w:val="fr-FR" w:eastAsia="en-US"/>
        </w:rPr>
        <w:t>s Listes de la Convention.</w:t>
      </w:r>
    </w:p>
    <w:p w:rsidR="00AB7097" w:rsidRPr="002A4594" w:rsidRDefault="00453393" w:rsidP="00AB7097">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713D60">
        <w:rPr>
          <w:rFonts w:eastAsia="SimSun"/>
          <w:szCs w:val="20"/>
        </w:rPr>
        <w:t>Seule l’option (d) est correcte.</w:t>
      </w:r>
    </w:p>
    <w:p w:rsidR="00341927" w:rsidRPr="002A4594" w:rsidRDefault="00453393" w:rsidP="00AB7097">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713D60">
        <w:rPr>
          <w:rFonts w:eastAsia="SimSun"/>
          <w:szCs w:val="20"/>
        </w:rPr>
        <w:t>Les DO 1 et 2 exigent qu’un élément proposé pour inscription sur l’une des Listes soit d’abord inclus dans un inventaire. C’est pourquoi la candidature d’un élément est précédée de son inclusion dans un inventaire et, partant, de</w:t>
      </w:r>
      <w:r w:rsidR="006A6895">
        <w:rPr>
          <w:rFonts w:eastAsia="SimSun"/>
          <w:szCs w:val="20"/>
        </w:rPr>
        <w:t xml:space="preserve"> son identification.</w:t>
      </w:r>
    </w:p>
    <w:p w:rsidR="006A6895" w:rsidRDefault="00453393" w:rsidP="00AB7097">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713D60">
        <w:rPr>
          <w:rFonts w:eastAsia="SimSun"/>
          <w:szCs w:val="20"/>
        </w:rPr>
        <w:t xml:space="preserve">La sauvegarde </w:t>
      </w:r>
      <w:r w:rsidR="004A5073">
        <w:rPr>
          <w:rFonts w:eastAsia="SimSun"/>
          <w:szCs w:val="20"/>
        </w:rPr>
        <w:t>en tant que telle</w:t>
      </w:r>
      <w:r w:rsidRPr="00713D60">
        <w:rPr>
          <w:rFonts w:eastAsia="SimSun"/>
          <w:szCs w:val="20"/>
        </w:rPr>
        <w:t xml:space="preserve"> est parfois antérieure à la candidature, mais ce n’est pas obligatoire : les mesures de sauvegarde doivent être élaborées avant la soumission d’un dossier </w:t>
      </w:r>
    </w:p>
    <w:p w:rsidR="006A6895" w:rsidRDefault="006A6895">
      <w:pPr>
        <w:tabs>
          <w:tab w:val="clear" w:pos="567"/>
        </w:tabs>
        <w:snapToGrid/>
        <w:spacing w:before="0" w:after="0"/>
        <w:jc w:val="left"/>
        <w:rPr>
          <w:snapToGrid/>
          <w:sz w:val="20"/>
          <w:szCs w:val="20"/>
          <w:lang w:val="fr-FR"/>
        </w:rPr>
      </w:pPr>
      <w:r w:rsidRPr="00D615F3">
        <w:rPr>
          <w:szCs w:val="20"/>
          <w:lang w:val="fr-FR"/>
        </w:rPr>
        <w:br w:type="page"/>
      </w:r>
    </w:p>
    <w:p w:rsidR="00AB7097" w:rsidRPr="002A4594" w:rsidRDefault="00453393" w:rsidP="00AB7097">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proofErr w:type="gramStart"/>
      <w:r w:rsidRPr="00713D60">
        <w:rPr>
          <w:rFonts w:eastAsia="SimSun"/>
          <w:szCs w:val="20"/>
        </w:rPr>
        <w:lastRenderedPageBreak/>
        <w:t>de</w:t>
      </w:r>
      <w:proofErr w:type="gramEnd"/>
      <w:r w:rsidRPr="00713D60">
        <w:rPr>
          <w:rFonts w:eastAsia="SimSun"/>
          <w:szCs w:val="20"/>
        </w:rPr>
        <w:t xml:space="preserve"> candidature </w:t>
      </w:r>
      <w:r w:rsidR="004A5073">
        <w:rPr>
          <w:rFonts w:eastAsia="SimSun"/>
          <w:szCs w:val="20"/>
        </w:rPr>
        <w:t>à</w:t>
      </w:r>
      <w:r w:rsidRPr="00713D60">
        <w:rPr>
          <w:rFonts w:eastAsia="SimSun"/>
          <w:szCs w:val="20"/>
        </w:rPr>
        <w:t xml:space="preserve"> l’une des Listes de la Convention, mais elles n’ont pas obligatoirement à être mises en œuvre. Rien dans la Convention ou les DO n’oblige à inventorier un élément avant d’en débuter la</w:t>
      </w:r>
      <w:r w:rsidR="006A6895">
        <w:rPr>
          <w:rFonts w:eastAsia="SimSun"/>
          <w:szCs w:val="20"/>
        </w:rPr>
        <w:t xml:space="preserve"> sauvegarde.</w:t>
      </w:r>
    </w:p>
    <w:p w:rsidR="00AB7097" w:rsidRPr="00713D60" w:rsidRDefault="00453393" w:rsidP="007B0D43">
      <w:pPr>
        <w:pStyle w:val="Heading4"/>
        <w:tabs>
          <w:tab w:val="left" w:pos="567"/>
        </w:tabs>
        <w:snapToGrid w:val="0"/>
        <w:spacing w:before="200" w:after="0" w:line="240" w:lineRule="auto"/>
        <w:jc w:val="both"/>
        <w:rPr>
          <w:rFonts w:eastAsiaTheme="majorEastAsia" w:cs="Arial"/>
          <w:iCs/>
          <w:snapToGrid w:val="0"/>
          <w:szCs w:val="18"/>
          <w:lang w:val="fr-FR" w:eastAsia="zh-CN"/>
        </w:rPr>
      </w:pPr>
      <w:r w:rsidRPr="00713D60">
        <w:rPr>
          <w:rFonts w:eastAsiaTheme="majorEastAsia" w:cs="Arial"/>
          <w:iCs/>
          <w:snapToGrid w:val="0"/>
          <w:szCs w:val="18"/>
          <w:lang w:val="fr-FR" w:eastAsia="zh-CN"/>
        </w:rPr>
        <w:t>sauvegarde</w:t>
      </w:r>
    </w:p>
    <w:p w:rsidR="00AB7097" w:rsidRPr="00713D60" w:rsidRDefault="00453393" w:rsidP="007B0D43">
      <w:pPr>
        <w:pStyle w:val="Heading4"/>
        <w:tabs>
          <w:tab w:val="left" w:pos="567"/>
        </w:tabs>
        <w:snapToGrid w:val="0"/>
        <w:spacing w:before="200" w:after="0" w:line="240" w:lineRule="auto"/>
        <w:jc w:val="both"/>
        <w:rPr>
          <w:rFonts w:eastAsia="Times New Roman" w:cs="Arial"/>
          <w:iCs/>
          <w:snapToGrid w:val="0"/>
          <w:sz w:val="18"/>
          <w:szCs w:val="18"/>
          <w:lang w:val="fr-FR" w:eastAsia="zh-CN"/>
        </w:rPr>
      </w:pPr>
      <w:r w:rsidRPr="00713D60">
        <w:rPr>
          <w:rFonts w:eastAsia="Times New Roman" w:cs="Arial"/>
          <w:iCs/>
          <w:snapToGrid w:val="0"/>
          <w:sz w:val="18"/>
          <w:szCs w:val="18"/>
          <w:lang w:val="fr-FR" w:eastAsia="zh-CN"/>
        </w:rPr>
        <w:t>Question 11</w:t>
      </w:r>
    </w:p>
    <w:p w:rsidR="00AB7097" w:rsidRPr="002A4594" w:rsidRDefault="00453393" w:rsidP="00AB7097">
      <w:pPr>
        <w:pStyle w:val="Texte1"/>
        <w:rPr>
          <w:szCs w:val="20"/>
        </w:rPr>
      </w:pPr>
      <w:r w:rsidRPr="00713D60">
        <w:rPr>
          <w:szCs w:val="20"/>
        </w:rPr>
        <w:t>Un plan de sauvegarde qui proposerait d’inclure dans le répertoire professionnel du Théâtre national d’un État la représentation sur scène de danses communautaires en péril, serait-il conform</w:t>
      </w:r>
      <w:r w:rsidR="006A6895">
        <w:rPr>
          <w:szCs w:val="20"/>
        </w:rPr>
        <w:t>e à l’esprit de la Convention ?</w:t>
      </w:r>
    </w:p>
    <w:p w:rsidR="003757E3" w:rsidRPr="002A4594" w:rsidRDefault="00453393" w:rsidP="00713D60">
      <w:pPr>
        <w:numPr>
          <w:ilvl w:val="0"/>
          <w:numId w:val="23"/>
        </w:numPr>
        <w:tabs>
          <w:tab w:val="clear" w:pos="567"/>
        </w:tabs>
        <w:ind w:left="1276" w:hanging="425"/>
        <w:contextualSpacing/>
        <w:rPr>
          <w:sz w:val="20"/>
          <w:szCs w:val="20"/>
          <w:lang w:val="fr-FR" w:eastAsia="en-US"/>
        </w:rPr>
      </w:pPr>
      <w:r w:rsidRPr="00713D60">
        <w:rPr>
          <w:sz w:val="20"/>
          <w:szCs w:val="20"/>
          <w:lang w:val="fr-FR" w:eastAsia="en-US"/>
        </w:rPr>
        <w:t>Non, la Convention souhaite que les éléments soient sauvegardés uniquement dans leur contexte d’origine.</w:t>
      </w:r>
    </w:p>
    <w:p w:rsidR="003757E3" w:rsidRPr="002A4594" w:rsidRDefault="00453393" w:rsidP="00713D60">
      <w:pPr>
        <w:numPr>
          <w:ilvl w:val="0"/>
          <w:numId w:val="23"/>
        </w:numPr>
        <w:tabs>
          <w:tab w:val="clear" w:pos="567"/>
        </w:tabs>
        <w:ind w:left="1276" w:hanging="425"/>
        <w:contextualSpacing/>
        <w:rPr>
          <w:sz w:val="20"/>
          <w:szCs w:val="20"/>
          <w:lang w:val="fr-FR" w:eastAsia="en-US"/>
        </w:rPr>
      </w:pPr>
      <w:r w:rsidRPr="00713D60">
        <w:rPr>
          <w:sz w:val="20"/>
          <w:szCs w:val="20"/>
          <w:lang w:val="fr-FR" w:eastAsia="en-US"/>
        </w:rPr>
        <w:t xml:space="preserve">Oui, </w:t>
      </w:r>
      <w:r w:rsidR="004A5073">
        <w:rPr>
          <w:sz w:val="20"/>
          <w:szCs w:val="20"/>
          <w:lang w:val="fr-FR" w:eastAsia="en-US"/>
        </w:rPr>
        <w:t>p</w:t>
      </w:r>
      <w:r w:rsidRPr="00713D60">
        <w:rPr>
          <w:sz w:val="20"/>
          <w:szCs w:val="20"/>
          <w:lang w:val="fr-FR" w:eastAsia="en-US"/>
        </w:rPr>
        <w:t>ar</w:t>
      </w:r>
      <w:r w:rsidR="004A5073">
        <w:rPr>
          <w:sz w:val="20"/>
          <w:szCs w:val="20"/>
          <w:lang w:val="fr-FR" w:eastAsia="en-US"/>
        </w:rPr>
        <w:t>ce que</w:t>
      </w:r>
      <w:r w:rsidRPr="00713D60">
        <w:rPr>
          <w:sz w:val="20"/>
          <w:szCs w:val="20"/>
          <w:lang w:val="fr-FR" w:eastAsia="en-US"/>
        </w:rPr>
        <w:t xml:space="preserve"> la sauvegarde d’un élément peut intégrer son adaptation à un contexte en évolution.</w:t>
      </w:r>
    </w:p>
    <w:p w:rsidR="003757E3" w:rsidRPr="002A4594" w:rsidRDefault="00453393" w:rsidP="00713D60">
      <w:pPr>
        <w:numPr>
          <w:ilvl w:val="0"/>
          <w:numId w:val="23"/>
        </w:numPr>
        <w:tabs>
          <w:tab w:val="clear" w:pos="567"/>
        </w:tabs>
        <w:ind w:left="1276" w:hanging="425"/>
        <w:contextualSpacing/>
        <w:rPr>
          <w:sz w:val="20"/>
          <w:szCs w:val="20"/>
          <w:lang w:val="fr-FR" w:eastAsia="en-US"/>
        </w:rPr>
      </w:pPr>
      <w:r w:rsidRPr="00713D60">
        <w:rPr>
          <w:sz w:val="20"/>
          <w:szCs w:val="20"/>
          <w:lang w:val="fr-FR" w:eastAsia="en-US"/>
        </w:rPr>
        <w:t xml:space="preserve">Non, mais un plan de sauvegarde destiné à revitaliser les danses au sein de la communauté tout en les </w:t>
      </w:r>
      <w:r w:rsidR="004A5073">
        <w:rPr>
          <w:sz w:val="20"/>
          <w:szCs w:val="20"/>
          <w:lang w:val="fr-FR" w:eastAsia="en-US"/>
        </w:rPr>
        <w:t>exécut</w:t>
      </w:r>
      <w:r w:rsidRPr="00713D60">
        <w:rPr>
          <w:sz w:val="20"/>
          <w:szCs w:val="20"/>
          <w:lang w:val="fr-FR" w:eastAsia="en-US"/>
        </w:rPr>
        <w:t>ant sur scène, pourrait être appropri</w:t>
      </w:r>
      <w:r w:rsidR="006A6895">
        <w:rPr>
          <w:sz w:val="20"/>
          <w:szCs w:val="20"/>
          <w:lang w:val="fr-FR" w:eastAsia="en-US"/>
        </w:rPr>
        <w:t>é.</w:t>
      </w:r>
    </w:p>
    <w:p w:rsidR="00AB7097" w:rsidRPr="002A4594" w:rsidRDefault="00453393" w:rsidP="00AB7097">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713D60">
        <w:rPr>
          <w:rFonts w:eastAsia="SimSun"/>
          <w:szCs w:val="20"/>
        </w:rPr>
        <w:t>L’option (c) semble la plus correcte : le fait de professionnaliser les danses communautaires et de les délocaliser sur une scène de théâtre peut se révéler utile en tant qu’instrument de sensibilisation si la communauté y consent, mais cela ne remplacera pas la représentation communautaire en tant que PCI. Il arrive parfois qu’un élément ne puisse plus être sauvegardé dans son contexte « d’origine » (même la notion de contexte d’origine donne l’impression qu’il n’existe qu’un seul véritable contexte authentique pour l’élément, mais ce serait contraire à l’esprit de la Convention). Ainsi, la Convention n’exclut pas la possibilité de revitaliser un élément dans des conditions qui sont adaptées aux nouvelles circonstances. Cependant, lorsque des communautés souhaitent poursuivre la pratique d’un élément comme avant, il faut les encourager. Si elles ne veulent pas voir leur élément représenté sur scène, alors il ne faut pas le faire. Les DO stipulent clairement que tout détournement du PCI est à éviter (voir</w:t>
      </w:r>
      <w:r w:rsidR="006A6895">
        <w:rPr>
          <w:rFonts w:eastAsia="SimSun"/>
          <w:szCs w:val="20"/>
        </w:rPr>
        <w:t xml:space="preserve"> DO 117).</w:t>
      </w:r>
    </w:p>
    <w:p w:rsidR="00AB7097" w:rsidRPr="00713D60" w:rsidRDefault="00453393" w:rsidP="007B0D43">
      <w:pPr>
        <w:pStyle w:val="Heading4"/>
        <w:tabs>
          <w:tab w:val="left" w:pos="567"/>
        </w:tabs>
        <w:snapToGrid w:val="0"/>
        <w:spacing w:before="200" w:after="0" w:line="240" w:lineRule="auto"/>
        <w:jc w:val="both"/>
        <w:rPr>
          <w:rFonts w:eastAsiaTheme="majorEastAsia" w:cs="Arial"/>
          <w:iCs/>
          <w:snapToGrid w:val="0"/>
          <w:szCs w:val="18"/>
          <w:lang w:val="fr-FR" w:eastAsia="zh-CN"/>
        </w:rPr>
      </w:pPr>
      <w:r w:rsidRPr="00713D60">
        <w:rPr>
          <w:rFonts w:eastAsiaTheme="majorEastAsia" w:cs="Arial"/>
          <w:iCs/>
          <w:snapToGrid w:val="0"/>
          <w:szCs w:val="18"/>
          <w:lang w:val="fr-FR" w:eastAsia="zh-CN"/>
        </w:rPr>
        <w:t>candidatures</w:t>
      </w:r>
    </w:p>
    <w:p w:rsidR="00AB7097" w:rsidRPr="00713D60" w:rsidRDefault="00453393" w:rsidP="007B0D43">
      <w:pPr>
        <w:pStyle w:val="Heading4"/>
        <w:tabs>
          <w:tab w:val="left" w:pos="567"/>
        </w:tabs>
        <w:snapToGrid w:val="0"/>
        <w:spacing w:before="200" w:after="0" w:line="240" w:lineRule="auto"/>
        <w:jc w:val="both"/>
        <w:rPr>
          <w:rFonts w:eastAsia="Times New Roman" w:cs="Arial"/>
          <w:iCs/>
          <w:snapToGrid w:val="0"/>
          <w:sz w:val="18"/>
          <w:szCs w:val="18"/>
          <w:lang w:val="fr-FR" w:eastAsia="zh-CN"/>
        </w:rPr>
      </w:pPr>
      <w:r w:rsidRPr="00713D60">
        <w:rPr>
          <w:rFonts w:eastAsia="Times New Roman" w:cs="Arial"/>
          <w:iCs/>
          <w:snapToGrid w:val="0"/>
          <w:sz w:val="18"/>
          <w:szCs w:val="18"/>
          <w:lang w:val="fr-FR" w:eastAsia="zh-CN"/>
        </w:rPr>
        <w:t>Question 12</w:t>
      </w:r>
    </w:p>
    <w:p w:rsidR="00AB7097" w:rsidRPr="002A4594" w:rsidRDefault="00453393" w:rsidP="00AB7097">
      <w:pPr>
        <w:pStyle w:val="Texte1"/>
      </w:pPr>
      <w:r w:rsidRPr="00713D60">
        <w:t>Les États parties soumettent des candidatures aux Listes de la Convention. De nombreuses parties prenantes peuvent être impliquées dans la préparation d’une candidature, mais quelle est celle qui peut en prendre l’initiative ?</w:t>
      </w:r>
    </w:p>
    <w:p w:rsidR="003757E3" w:rsidRPr="002A4594" w:rsidRDefault="00453393" w:rsidP="00713D60">
      <w:pPr>
        <w:numPr>
          <w:ilvl w:val="0"/>
          <w:numId w:val="24"/>
        </w:numPr>
        <w:tabs>
          <w:tab w:val="clear" w:pos="567"/>
        </w:tabs>
        <w:snapToGrid/>
        <w:spacing w:before="0" w:after="200" w:line="276" w:lineRule="auto"/>
        <w:ind w:left="1276" w:hanging="425"/>
        <w:contextualSpacing/>
        <w:rPr>
          <w:rFonts w:eastAsia="Times New Roman"/>
          <w:sz w:val="20"/>
          <w:szCs w:val="20"/>
          <w:lang w:val="fr-FR"/>
        </w:rPr>
      </w:pPr>
      <w:r w:rsidRPr="00713D60">
        <w:rPr>
          <w:rFonts w:eastAsia="Times New Roman"/>
          <w:sz w:val="20"/>
          <w:szCs w:val="20"/>
          <w:lang w:val="fr-FR"/>
        </w:rPr>
        <w:t xml:space="preserve">N’importe quel groupe ou agence peut lancer le processus </w:t>
      </w:r>
      <w:r w:rsidR="00766CEB">
        <w:rPr>
          <w:rFonts w:eastAsia="Times New Roman"/>
          <w:sz w:val="20"/>
          <w:szCs w:val="20"/>
          <w:lang w:val="fr-FR"/>
        </w:rPr>
        <w:t>sous réserve de la participation et du consentement de</w:t>
      </w:r>
      <w:r w:rsidRPr="00713D60">
        <w:rPr>
          <w:rFonts w:eastAsia="Times New Roman"/>
          <w:sz w:val="20"/>
          <w:szCs w:val="20"/>
          <w:lang w:val="fr-FR"/>
        </w:rPr>
        <w:t xml:space="preserve">s communautés, </w:t>
      </w:r>
      <w:r w:rsidR="00766CEB">
        <w:rPr>
          <w:rFonts w:eastAsia="Times New Roman"/>
          <w:sz w:val="20"/>
          <w:szCs w:val="20"/>
          <w:lang w:val="fr-FR"/>
        </w:rPr>
        <w:t>des</w:t>
      </w:r>
      <w:r w:rsidRPr="00713D60">
        <w:rPr>
          <w:rFonts w:eastAsia="Times New Roman"/>
          <w:sz w:val="20"/>
          <w:szCs w:val="20"/>
          <w:lang w:val="fr-FR"/>
        </w:rPr>
        <w:t xml:space="preserve"> groupes et </w:t>
      </w:r>
      <w:r w:rsidR="00766CEB">
        <w:rPr>
          <w:rFonts w:eastAsia="Times New Roman"/>
          <w:sz w:val="20"/>
          <w:szCs w:val="20"/>
          <w:lang w:val="fr-FR"/>
        </w:rPr>
        <w:t>d</w:t>
      </w:r>
      <w:r w:rsidRPr="00713D60">
        <w:rPr>
          <w:rFonts w:eastAsia="Times New Roman"/>
          <w:sz w:val="20"/>
          <w:szCs w:val="20"/>
          <w:lang w:val="fr-FR"/>
        </w:rPr>
        <w:t>es individus pertinents.</w:t>
      </w:r>
    </w:p>
    <w:p w:rsidR="003757E3" w:rsidRPr="002A4594" w:rsidRDefault="00453393" w:rsidP="00713D60">
      <w:pPr>
        <w:numPr>
          <w:ilvl w:val="0"/>
          <w:numId w:val="24"/>
        </w:numPr>
        <w:tabs>
          <w:tab w:val="clear" w:pos="567"/>
        </w:tabs>
        <w:snapToGrid/>
        <w:spacing w:before="0" w:after="200" w:line="276" w:lineRule="auto"/>
        <w:ind w:left="1276" w:hanging="425"/>
        <w:contextualSpacing/>
        <w:rPr>
          <w:rFonts w:eastAsia="Times New Roman"/>
          <w:sz w:val="20"/>
          <w:szCs w:val="20"/>
          <w:lang w:val="fr-FR"/>
        </w:rPr>
      </w:pPr>
      <w:r w:rsidRPr="00713D60">
        <w:rPr>
          <w:rFonts w:eastAsia="Times New Roman"/>
          <w:sz w:val="20"/>
          <w:szCs w:val="20"/>
          <w:lang w:val="fr-FR"/>
        </w:rPr>
        <w:t>Les communautés ou leurs représentants doivent lancer le processus car ce sont elles qui doivent donner leur consentement préalable et informé.</w:t>
      </w:r>
    </w:p>
    <w:p w:rsidR="003757E3" w:rsidRPr="002A4594" w:rsidRDefault="00453393" w:rsidP="00713D60">
      <w:pPr>
        <w:numPr>
          <w:ilvl w:val="0"/>
          <w:numId w:val="24"/>
        </w:numPr>
        <w:tabs>
          <w:tab w:val="clear" w:pos="567"/>
        </w:tabs>
        <w:snapToGrid/>
        <w:spacing w:before="0" w:after="200" w:line="276" w:lineRule="auto"/>
        <w:ind w:left="1276" w:hanging="425"/>
        <w:contextualSpacing/>
        <w:rPr>
          <w:rFonts w:eastAsia="Times New Roman"/>
          <w:sz w:val="20"/>
          <w:szCs w:val="20"/>
          <w:lang w:val="fr-FR"/>
        </w:rPr>
      </w:pPr>
      <w:r w:rsidRPr="00713D60">
        <w:rPr>
          <w:rFonts w:eastAsia="Times New Roman"/>
          <w:sz w:val="20"/>
          <w:szCs w:val="20"/>
          <w:lang w:val="fr-FR"/>
        </w:rPr>
        <w:t>Les chercheurs ou les institutions spécialisées doivent lancer le processus car ils sont les mieux informés sur le PCI dont la candidature est proposée</w:t>
      </w:r>
      <w:r w:rsidR="006A6895">
        <w:rPr>
          <w:rFonts w:eastAsia="Times New Roman"/>
          <w:sz w:val="20"/>
          <w:szCs w:val="20"/>
          <w:lang w:val="fr-FR"/>
        </w:rPr>
        <w:t>.</w:t>
      </w:r>
    </w:p>
    <w:p w:rsidR="00AB7097" w:rsidRPr="002A4594" w:rsidRDefault="00453393" w:rsidP="00AB7097">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713D60">
        <w:rPr>
          <w:rFonts w:eastAsia="SimSun"/>
          <w:szCs w:val="20"/>
        </w:rPr>
        <w:t>L’option (a) est la bonne réponse : il n’y a aucune indication dans la Convention, ni dans les DO à propos de qui doit entamer le processus de candidature. Les DO exigent expressément que, quelle que soit l’entité qui dirige le processus, la communauté concernée doit toujours en être informée (DO 1 et 2), être impliquée (DO 24) et avoir donné son consentement (DO 1 et 2). En l’absence du consentement libre, préalable et informé des communautés concernées, le dossier de candidature sera incomplet.</w:t>
      </w:r>
    </w:p>
    <w:p w:rsidR="00AB7097" w:rsidRPr="002A4594" w:rsidRDefault="00453393" w:rsidP="00AB7097">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713D60">
        <w:rPr>
          <w:rFonts w:eastAsia="SimSun"/>
          <w:szCs w:val="20"/>
        </w:rPr>
        <w:lastRenderedPageBreak/>
        <w:t>L’option (b) est mal formulée : les communautés concernées peuvent lancer le processus, mais elles n’ont pas forcément à en prendre l’initiative, dès lors qu’elles sont impliquées, informées et consentantes</w:t>
      </w:r>
      <w:r w:rsidR="006A6895">
        <w:rPr>
          <w:rFonts w:eastAsia="SimSun"/>
          <w:szCs w:val="20"/>
        </w:rPr>
        <w:t>.</w:t>
      </w:r>
    </w:p>
    <w:p w:rsidR="00AB7097" w:rsidRPr="002A4594" w:rsidRDefault="00453393" w:rsidP="00AB7097">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713D60">
        <w:rPr>
          <w:rFonts w:eastAsia="SimSun"/>
          <w:szCs w:val="20"/>
        </w:rPr>
        <w:t>L’option (c) n’est pas formulée dans l’esprit de la Convention qui insiste sur la connaissance et le contrôle du PCI par la communauté. Les chercheurs ou les institutions spécialisées ne sont pas toujours les mieux informés sur le PCI. Ils peuvent, bien sûr, en prendre l’initiative, mais dès le début du processus, ils d</w:t>
      </w:r>
      <w:r w:rsidR="00766CEB">
        <w:rPr>
          <w:rFonts w:eastAsia="SimSun"/>
          <w:szCs w:val="20"/>
        </w:rPr>
        <w:t>oiv</w:t>
      </w:r>
      <w:r w:rsidRPr="00713D60">
        <w:rPr>
          <w:rFonts w:eastAsia="SimSun"/>
          <w:szCs w:val="20"/>
        </w:rPr>
        <w:t>ent informer et impliquer la communauté concernée et ne rien faire</w:t>
      </w:r>
      <w:r w:rsidR="006A6895">
        <w:rPr>
          <w:rFonts w:eastAsia="SimSun"/>
          <w:szCs w:val="20"/>
        </w:rPr>
        <w:t xml:space="preserve"> sans son consentement.</w:t>
      </w:r>
    </w:p>
    <w:p w:rsidR="00AB7097" w:rsidRPr="002A4594" w:rsidRDefault="00453393" w:rsidP="00AB7097">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713D60">
        <w:rPr>
          <w:rFonts w:eastAsia="SimSun"/>
          <w:szCs w:val="20"/>
        </w:rPr>
        <w:t xml:space="preserve">Les dossiers de candidature doivent être soumis par l’(les) État(s) partie(s). Si le processus d’inscription est lancé par une agence non gouvernementale, il serait judicieux d’informer dès que possible les agences gouvernementales </w:t>
      </w:r>
      <w:r w:rsidR="00766CEB">
        <w:rPr>
          <w:rFonts w:eastAsia="SimSun"/>
          <w:szCs w:val="20"/>
        </w:rPr>
        <w:t>compétent</w:t>
      </w:r>
      <w:r w:rsidRPr="00713D60">
        <w:rPr>
          <w:rFonts w:eastAsia="SimSun"/>
          <w:szCs w:val="20"/>
        </w:rPr>
        <w:t xml:space="preserve">es. Une candidature déposée par une communauté, une ONG ou une institution ne sera peut-être pas toujours considérée comme hautement prioritaire aux yeux du gouvernement, ce qui risque d’entraîner des retards dans la soumission du dossier, voire l’échec de la présentation. Quel que soit celui qui en prend l’initiative, il est important que les principaux acteurs en soient informés dès le début (voir la DO 80 qui encourage la création d’un mécanisme de </w:t>
      </w:r>
      <w:r w:rsidRPr="00713D60">
        <w:rPr>
          <w:rFonts w:eastAsia="SimSun"/>
          <w:szCs w:val="20"/>
          <w:lang w:eastAsia="en-US"/>
        </w:rPr>
        <w:t>coordination</w:t>
      </w:r>
      <w:r w:rsidRPr="00713D60">
        <w:rPr>
          <w:rFonts w:eastAsia="SimSun"/>
          <w:szCs w:val="20"/>
        </w:rPr>
        <w:t xml:space="preserve"> dans les États parties afin d’aider à préparer les dossiers). Dans quelques pays assez centralisés, l’État pourrait souhaiter contrôler tout le processus et ne pas être ouvert aux propositions d’autres intervenants ; ces situations sont susceptibles d’évoluer sous l’influence des meilleures pratiques dans d’autres États.</w:t>
      </w:r>
    </w:p>
    <w:p w:rsidR="00AB7097" w:rsidRPr="00713D60" w:rsidRDefault="00453393" w:rsidP="007B0D43">
      <w:pPr>
        <w:pStyle w:val="Heading4"/>
        <w:tabs>
          <w:tab w:val="left" w:pos="567"/>
        </w:tabs>
        <w:snapToGrid w:val="0"/>
        <w:spacing w:before="200" w:after="0" w:line="240" w:lineRule="auto"/>
        <w:jc w:val="both"/>
        <w:rPr>
          <w:rFonts w:eastAsia="Times New Roman" w:cs="Arial"/>
          <w:iCs/>
          <w:snapToGrid w:val="0"/>
          <w:sz w:val="18"/>
          <w:szCs w:val="18"/>
          <w:lang w:val="fr-FR" w:eastAsia="zh-CN"/>
        </w:rPr>
      </w:pPr>
      <w:r w:rsidRPr="00713D60">
        <w:rPr>
          <w:rFonts w:eastAsia="Times New Roman" w:cs="Arial"/>
          <w:iCs/>
          <w:snapToGrid w:val="0"/>
          <w:sz w:val="18"/>
          <w:szCs w:val="18"/>
          <w:lang w:val="fr-FR" w:eastAsia="zh-CN"/>
        </w:rPr>
        <w:t>Question 13</w:t>
      </w:r>
    </w:p>
    <w:p w:rsidR="00AB7097" w:rsidRPr="002A4594" w:rsidRDefault="00453393" w:rsidP="00AB7097">
      <w:pPr>
        <w:pStyle w:val="Texte1"/>
      </w:pPr>
      <w:r w:rsidRPr="00713D60">
        <w:t>Un État qui n’est pas partie à la Convention peut-il proposer un élément pour inscription sur les Listes de la Convention ?</w:t>
      </w:r>
    </w:p>
    <w:p w:rsidR="003757E3" w:rsidRPr="002A4594" w:rsidRDefault="00453393" w:rsidP="00713D60">
      <w:pPr>
        <w:numPr>
          <w:ilvl w:val="0"/>
          <w:numId w:val="25"/>
        </w:numPr>
        <w:tabs>
          <w:tab w:val="clear" w:pos="567"/>
        </w:tabs>
        <w:ind w:left="1276" w:hanging="425"/>
        <w:contextualSpacing/>
        <w:rPr>
          <w:sz w:val="20"/>
          <w:szCs w:val="20"/>
          <w:lang w:val="fr-FR" w:eastAsia="en-US"/>
        </w:rPr>
      </w:pPr>
      <w:r w:rsidRPr="00713D60">
        <w:rPr>
          <w:sz w:val="20"/>
          <w:szCs w:val="20"/>
          <w:lang w:val="fr-FR" w:eastAsia="en-US"/>
        </w:rPr>
        <w:t>Oui, mais uniquement si l’élément nécessite une sauvegarde d’extrême urgence.</w:t>
      </w:r>
    </w:p>
    <w:p w:rsidR="003757E3" w:rsidRPr="002A4594" w:rsidRDefault="00453393" w:rsidP="00713D60">
      <w:pPr>
        <w:numPr>
          <w:ilvl w:val="0"/>
          <w:numId w:val="25"/>
        </w:numPr>
        <w:tabs>
          <w:tab w:val="clear" w:pos="567"/>
        </w:tabs>
        <w:ind w:left="1276" w:hanging="425"/>
        <w:contextualSpacing/>
        <w:rPr>
          <w:sz w:val="20"/>
          <w:szCs w:val="20"/>
          <w:lang w:val="fr-FR" w:eastAsia="en-US"/>
        </w:rPr>
      </w:pPr>
      <w:r w:rsidRPr="00713D60">
        <w:rPr>
          <w:sz w:val="20"/>
          <w:szCs w:val="20"/>
          <w:lang w:val="fr-FR" w:eastAsia="en-US"/>
        </w:rPr>
        <w:t>Non, pas avant qu’il ne soit devenu</w:t>
      </w:r>
      <w:r w:rsidR="00265E77">
        <w:rPr>
          <w:sz w:val="20"/>
          <w:szCs w:val="20"/>
          <w:lang w:val="fr-FR" w:eastAsia="en-US"/>
        </w:rPr>
        <w:t xml:space="preserve"> un</w:t>
      </w:r>
      <w:r w:rsidRPr="00713D60">
        <w:rPr>
          <w:sz w:val="20"/>
          <w:szCs w:val="20"/>
          <w:lang w:val="fr-FR" w:eastAsia="en-US"/>
        </w:rPr>
        <w:t xml:space="preserve"> État partie.</w:t>
      </w:r>
    </w:p>
    <w:p w:rsidR="003757E3" w:rsidRPr="002A4594" w:rsidRDefault="00453393" w:rsidP="00713D60">
      <w:pPr>
        <w:numPr>
          <w:ilvl w:val="0"/>
          <w:numId w:val="25"/>
        </w:numPr>
        <w:tabs>
          <w:tab w:val="clear" w:pos="567"/>
        </w:tabs>
        <w:ind w:left="1276" w:hanging="425"/>
        <w:contextualSpacing/>
        <w:rPr>
          <w:sz w:val="20"/>
          <w:szCs w:val="20"/>
          <w:lang w:val="fr-FR" w:eastAsia="en-US"/>
        </w:rPr>
      </w:pPr>
      <w:r w:rsidRPr="00713D60">
        <w:rPr>
          <w:sz w:val="20"/>
          <w:szCs w:val="20"/>
          <w:lang w:val="fr-FR" w:eastAsia="en-US"/>
        </w:rPr>
        <w:t>Oui, mais uniquement dans le cadre d’une candidature multinationale soumise par un ou plusieurs autres pays qui sont déjà</w:t>
      </w:r>
      <w:r w:rsidR="00265E77">
        <w:rPr>
          <w:sz w:val="20"/>
          <w:szCs w:val="20"/>
          <w:lang w:val="fr-FR" w:eastAsia="en-US"/>
        </w:rPr>
        <w:t xml:space="preserve"> des</w:t>
      </w:r>
      <w:r w:rsidRPr="00713D60">
        <w:rPr>
          <w:sz w:val="20"/>
          <w:szCs w:val="20"/>
          <w:lang w:val="fr-FR" w:eastAsia="en-US"/>
        </w:rPr>
        <w:t xml:space="preserve"> États parties à la Convention.</w:t>
      </w:r>
    </w:p>
    <w:p w:rsidR="00AB7097" w:rsidRPr="002A4594" w:rsidRDefault="00453393" w:rsidP="00AB7097">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713D60">
        <w:rPr>
          <w:rFonts w:eastAsia="SimSun"/>
          <w:szCs w:val="20"/>
        </w:rPr>
        <w:t>L’option (b) est la bonne : seuls les États parties à la Convention</w:t>
      </w:r>
      <w:r w:rsidR="00265E77">
        <w:rPr>
          <w:rFonts w:eastAsia="SimSun"/>
          <w:szCs w:val="20"/>
        </w:rPr>
        <w:t xml:space="preserve"> </w:t>
      </w:r>
      <w:r w:rsidRPr="00713D60">
        <w:rPr>
          <w:rFonts w:eastAsia="SimSun"/>
          <w:szCs w:val="20"/>
        </w:rPr>
        <w:t>peuvent soumettre la candidature d’éléments pour les Listes de la Convention et ne peuvent proposer que l’inscription d’élément</w:t>
      </w:r>
      <w:r w:rsidR="006A6895">
        <w:rPr>
          <w:rFonts w:eastAsia="SimSun"/>
          <w:szCs w:val="20"/>
        </w:rPr>
        <w:t>s présents sur leur territoire.</w:t>
      </w:r>
    </w:p>
    <w:p w:rsidR="00AB7097" w:rsidRPr="00713D60" w:rsidRDefault="00453393" w:rsidP="007B0D43">
      <w:pPr>
        <w:pStyle w:val="Heading4"/>
        <w:tabs>
          <w:tab w:val="left" w:pos="567"/>
        </w:tabs>
        <w:snapToGrid w:val="0"/>
        <w:spacing w:before="200" w:after="0" w:line="240" w:lineRule="auto"/>
        <w:jc w:val="both"/>
        <w:rPr>
          <w:rFonts w:eastAsia="Times New Roman" w:cs="Arial"/>
          <w:iCs/>
          <w:snapToGrid w:val="0"/>
          <w:sz w:val="18"/>
          <w:szCs w:val="18"/>
          <w:lang w:val="fr-FR" w:eastAsia="zh-CN"/>
        </w:rPr>
      </w:pPr>
      <w:r w:rsidRPr="00713D60">
        <w:rPr>
          <w:rFonts w:eastAsia="Times New Roman" w:cs="Arial"/>
          <w:iCs/>
          <w:snapToGrid w:val="0"/>
          <w:sz w:val="18"/>
          <w:szCs w:val="18"/>
          <w:lang w:val="fr-FR" w:eastAsia="zh-CN"/>
        </w:rPr>
        <w:t>Question 14</w:t>
      </w:r>
    </w:p>
    <w:p w:rsidR="00AB7097" w:rsidRPr="002A4594" w:rsidRDefault="002D75C8" w:rsidP="00AB7097">
      <w:pPr>
        <w:pStyle w:val="Texte1"/>
        <w:rPr>
          <w:szCs w:val="20"/>
        </w:rPr>
      </w:pPr>
      <w:r>
        <w:rPr>
          <w:szCs w:val="20"/>
        </w:rPr>
        <w:t>Une</w:t>
      </w:r>
      <w:r w:rsidR="00453393" w:rsidRPr="00713D60">
        <w:rPr>
          <w:szCs w:val="20"/>
        </w:rPr>
        <w:t xml:space="preserve"> langue en tant que telle peut-elle être inscrit</w:t>
      </w:r>
      <w:r w:rsidR="00265E77">
        <w:rPr>
          <w:szCs w:val="20"/>
        </w:rPr>
        <w:t>e</w:t>
      </w:r>
      <w:r w:rsidR="00453393" w:rsidRPr="00713D60">
        <w:rPr>
          <w:szCs w:val="20"/>
        </w:rPr>
        <w:t xml:space="preserve"> sur les Listes de la Convention ?</w:t>
      </w:r>
    </w:p>
    <w:p w:rsidR="003757E3" w:rsidRPr="002A4594" w:rsidRDefault="00453393" w:rsidP="00713D60">
      <w:pPr>
        <w:numPr>
          <w:ilvl w:val="0"/>
          <w:numId w:val="26"/>
        </w:numPr>
        <w:tabs>
          <w:tab w:val="clear" w:pos="567"/>
        </w:tabs>
        <w:ind w:left="1418" w:hanging="567"/>
        <w:contextualSpacing/>
        <w:rPr>
          <w:sz w:val="20"/>
          <w:szCs w:val="20"/>
          <w:lang w:val="fr-FR" w:eastAsia="en-US"/>
        </w:rPr>
      </w:pPr>
      <w:r w:rsidRPr="00713D60">
        <w:rPr>
          <w:sz w:val="20"/>
          <w:szCs w:val="20"/>
          <w:lang w:val="fr-FR" w:eastAsia="en-US"/>
        </w:rPr>
        <w:t xml:space="preserve">Oui, </w:t>
      </w:r>
      <w:r w:rsidR="00D41DFD">
        <w:rPr>
          <w:sz w:val="20"/>
          <w:szCs w:val="20"/>
          <w:lang w:val="fr-FR" w:eastAsia="en-US"/>
        </w:rPr>
        <w:t>la</w:t>
      </w:r>
      <w:r w:rsidRPr="00713D60">
        <w:rPr>
          <w:sz w:val="20"/>
          <w:szCs w:val="20"/>
          <w:lang w:val="fr-FR" w:eastAsia="en-US"/>
        </w:rPr>
        <w:t xml:space="preserve"> langue peut être inscrite sur les Listes parce qu’elle</w:t>
      </w:r>
      <w:r w:rsidR="00265E77">
        <w:rPr>
          <w:sz w:val="20"/>
          <w:szCs w:val="20"/>
          <w:lang w:val="fr-FR" w:eastAsia="en-US"/>
        </w:rPr>
        <w:t xml:space="preserve"> e</w:t>
      </w:r>
      <w:r w:rsidRPr="00713D60">
        <w:rPr>
          <w:sz w:val="20"/>
          <w:szCs w:val="20"/>
          <w:lang w:val="fr-FR" w:eastAsia="en-US"/>
        </w:rPr>
        <w:t>s</w:t>
      </w:r>
      <w:r w:rsidR="00265E77">
        <w:rPr>
          <w:sz w:val="20"/>
          <w:szCs w:val="20"/>
          <w:lang w:val="fr-FR" w:eastAsia="en-US"/>
        </w:rPr>
        <w:t>t</w:t>
      </w:r>
      <w:r w:rsidRPr="00713D60">
        <w:rPr>
          <w:sz w:val="20"/>
          <w:szCs w:val="20"/>
          <w:lang w:val="fr-FR" w:eastAsia="en-US"/>
        </w:rPr>
        <w:t xml:space="preserve"> intrinsèque au PCI</w:t>
      </w:r>
      <w:r w:rsidR="006A6895">
        <w:rPr>
          <w:sz w:val="20"/>
          <w:szCs w:val="20"/>
          <w:lang w:val="fr-FR" w:eastAsia="en-US"/>
        </w:rPr>
        <w:t>.</w:t>
      </w:r>
    </w:p>
    <w:p w:rsidR="003757E3" w:rsidRPr="002A4594" w:rsidRDefault="00453393" w:rsidP="00713D60">
      <w:pPr>
        <w:numPr>
          <w:ilvl w:val="0"/>
          <w:numId w:val="26"/>
        </w:numPr>
        <w:tabs>
          <w:tab w:val="clear" w:pos="567"/>
        </w:tabs>
        <w:ind w:left="1418" w:hanging="567"/>
        <w:contextualSpacing/>
        <w:rPr>
          <w:sz w:val="20"/>
          <w:szCs w:val="20"/>
          <w:lang w:val="fr-FR" w:eastAsia="en-US"/>
        </w:rPr>
      </w:pPr>
      <w:r w:rsidRPr="00713D60">
        <w:rPr>
          <w:sz w:val="20"/>
          <w:szCs w:val="20"/>
          <w:lang w:val="fr-FR" w:eastAsia="en-US"/>
        </w:rPr>
        <w:t xml:space="preserve">Non, </w:t>
      </w:r>
      <w:r w:rsidR="00D41DFD">
        <w:rPr>
          <w:sz w:val="20"/>
          <w:szCs w:val="20"/>
          <w:lang w:val="fr-FR" w:eastAsia="en-US"/>
        </w:rPr>
        <w:t>la</w:t>
      </w:r>
      <w:r w:rsidRPr="00713D60">
        <w:rPr>
          <w:sz w:val="20"/>
          <w:szCs w:val="20"/>
          <w:lang w:val="fr-FR" w:eastAsia="en-US"/>
        </w:rPr>
        <w:t xml:space="preserve"> langue ne peut pas être mentionnée dans </w:t>
      </w:r>
      <w:r w:rsidR="008B45B8">
        <w:rPr>
          <w:sz w:val="20"/>
          <w:szCs w:val="20"/>
          <w:lang w:val="fr-FR" w:eastAsia="en-US"/>
        </w:rPr>
        <w:t>une proposition</w:t>
      </w:r>
      <w:r w:rsidRPr="00713D60">
        <w:rPr>
          <w:sz w:val="20"/>
          <w:szCs w:val="20"/>
          <w:lang w:val="fr-FR" w:eastAsia="en-US"/>
        </w:rPr>
        <w:t xml:space="preserve"> d’inscription sur les Listes parce qu</w:t>
      </w:r>
      <w:r w:rsidR="00D41DFD">
        <w:rPr>
          <w:sz w:val="20"/>
          <w:szCs w:val="20"/>
          <w:lang w:val="fr-FR" w:eastAsia="en-US"/>
        </w:rPr>
        <w:t>’elle</w:t>
      </w:r>
      <w:r w:rsidRPr="00713D60">
        <w:rPr>
          <w:sz w:val="20"/>
          <w:szCs w:val="20"/>
          <w:lang w:val="fr-FR" w:eastAsia="en-US"/>
        </w:rPr>
        <w:t xml:space="preserve"> ne correspond pas à un domaine du PCI.</w:t>
      </w:r>
    </w:p>
    <w:p w:rsidR="003757E3" w:rsidRPr="002A4594" w:rsidRDefault="00453393" w:rsidP="00713D60">
      <w:pPr>
        <w:numPr>
          <w:ilvl w:val="0"/>
          <w:numId w:val="26"/>
        </w:numPr>
        <w:tabs>
          <w:tab w:val="clear" w:pos="567"/>
        </w:tabs>
        <w:ind w:left="1418" w:hanging="567"/>
        <w:contextualSpacing/>
        <w:rPr>
          <w:sz w:val="20"/>
          <w:szCs w:val="20"/>
          <w:lang w:val="fr-FR" w:eastAsia="en-US"/>
        </w:rPr>
      </w:pPr>
      <w:r w:rsidRPr="00713D60">
        <w:rPr>
          <w:sz w:val="20"/>
          <w:szCs w:val="20"/>
          <w:lang w:val="fr-FR" w:eastAsia="en-US"/>
        </w:rPr>
        <w:t>Non, la Convention précise qu</w:t>
      </w:r>
      <w:r w:rsidR="00D41DFD">
        <w:rPr>
          <w:sz w:val="20"/>
          <w:szCs w:val="20"/>
          <w:lang w:val="fr-FR" w:eastAsia="en-US"/>
        </w:rPr>
        <w:t xml:space="preserve">e la </w:t>
      </w:r>
      <w:r w:rsidRPr="00713D60">
        <w:rPr>
          <w:sz w:val="20"/>
          <w:szCs w:val="20"/>
          <w:lang w:val="fr-FR" w:eastAsia="en-US"/>
        </w:rPr>
        <w:t xml:space="preserve">langue </w:t>
      </w:r>
      <w:r w:rsidR="008B45B8">
        <w:rPr>
          <w:sz w:val="20"/>
          <w:szCs w:val="20"/>
          <w:lang w:val="fr-FR" w:eastAsia="en-US"/>
        </w:rPr>
        <w:t>n’</w:t>
      </w:r>
      <w:r w:rsidR="00D41DFD">
        <w:rPr>
          <w:sz w:val="20"/>
          <w:szCs w:val="20"/>
          <w:lang w:val="fr-FR" w:eastAsia="en-US"/>
        </w:rPr>
        <w:t xml:space="preserve">est </w:t>
      </w:r>
      <w:r w:rsidR="008B45B8">
        <w:rPr>
          <w:sz w:val="20"/>
          <w:szCs w:val="20"/>
          <w:lang w:val="fr-FR" w:eastAsia="en-US"/>
        </w:rPr>
        <w:t>qu’</w:t>
      </w:r>
      <w:r w:rsidR="00D41DFD">
        <w:rPr>
          <w:sz w:val="20"/>
          <w:szCs w:val="20"/>
          <w:lang w:val="fr-FR" w:eastAsia="en-US"/>
        </w:rPr>
        <w:t>une des</w:t>
      </w:r>
      <w:r w:rsidRPr="00713D60">
        <w:rPr>
          <w:sz w:val="20"/>
          <w:szCs w:val="20"/>
          <w:lang w:val="fr-FR" w:eastAsia="en-US"/>
        </w:rPr>
        <w:t xml:space="preserve"> composante</w:t>
      </w:r>
      <w:r w:rsidR="00D41DFD">
        <w:rPr>
          <w:sz w:val="20"/>
          <w:szCs w:val="20"/>
          <w:lang w:val="fr-FR" w:eastAsia="en-US"/>
        </w:rPr>
        <w:t>s</w:t>
      </w:r>
      <w:r w:rsidRPr="00713D60">
        <w:rPr>
          <w:sz w:val="20"/>
          <w:szCs w:val="20"/>
          <w:lang w:val="fr-FR" w:eastAsia="en-US"/>
        </w:rPr>
        <w:t xml:space="preserve"> d’une inscription lorsqu’elle est considérée comme vecteur du PCI.</w:t>
      </w:r>
    </w:p>
    <w:p w:rsidR="00AB7097" w:rsidRPr="002A4594" w:rsidRDefault="00453393" w:rsidP="00AB7097">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713D60">
        <w:rPr>
          <w:rFonts w:eastAsia="SimSun"/>
          <w:szCs w:val="20"/>
        </w:rPr>
        <w:t>L’option (b) n’est pas valable : la liste de domaines à l’article 2.2 est explicitement présentée comme non exhaustive.</w:t>
      </w:r>
    </w:p>
    <w:p w:rsidR="00AB7097" w:rsidRPr="002A4594" w:rsidRDefault="00453393" w:rsidP="00AB7097">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713D60">
        <w:rPr>
          <w:rFonts w:eastAsia="SimSun"/>
          <w:szCs w:val="20"/>
        </w:rPr>
        <w:t xml:space="preserve">Options (a) et (c) : le Comité n’a pas encore été confronté à des candidatures concernant des langues et devra examiner la question en temps opportun. </w:t>
      </w:r>
      <w:r w:rsidR="008B45B8">
        <w:rPr>
          <w:rFonts w:eastAsia="SimSun"/>
          <w:szCs w:val="20"/>
        </w:rPr>
        <w:t xml:space="preserve">Pour le moment, </w:t>
      </w:r>
      <w:r w:rsidRPr="00713D60">
        <w:rPr>
          <w:rFonts w:eastAsia="SimSun"/>
          <w:szCs w:val="20"/>
        </w:rPr>
        <w:t xml:space="preserve">aucune indication </w:t>
      </w:r>
      <w:r w:rsidR="008B45B8">
        <w:rPr>
          <w:rFonts w:eastAsia="SimSun"/>
          <w:szCs w:val="20"/>
        </w:rPr>
        <w:t>ne</w:t>
      </w:r>
      <w:r w:rsidRPr="00713D60">
        <w:rPr>
          <w:rFonts w:eastAsia="SimSun"/>
          <w:szCs w:val="20"/>
        </w:rPr>
        <w:t xml:space="preserve"> laisse présager entre ces deux options celle </w:t>
      </w:r>
      <w:r w:rsidR="007F6FA4">
        <w:rPr>
          <w:rFonts w:eastAsia="SimSun"/>
          <w:szCs w:val="20"/>
        </w:rPr>
        <w:t>pour laquelle pench</w:t>
      </w:r>
      <w:r w:rsidRPr="00713D60">
        <w:rPr>
          <w:rFonts w:eastAsia="SimSun"/>
          <w:szCs w:val="20"/>
        </w:rPr>
        <w:t>erait le Comit</w:t>
      </w:r>
      <w:r w:rsidR="006A6895">
        <w:rPr>
          <w:rFonts w:eastAsia="SimSun"/>
          <w:szCs w:val="20"/>
        </w:rPr>
        <w:t>é.</w:t>
      </w:r>
    </w:p>
    <w:p w:rsidR="00AB7097" w:rsidRPr="002A4594" w:rsidRDefault="00453393" w:rsidP="00AB7097">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713D60">
        <w:rPr>
          <w:rFonts w:eastAsia="SimSun"/>
          <w:szCs w:val="20"/>
        </w:rPr>
        <w:lastRenderedPageBreak/>
        <w:t>Lors de la préparation de la Convention, il a été reconnu que la langue est intrinsèque au PCI car elle relève de la pratique et de la transmission d’une grande partie du PCI. L</w:t>
      </w:r>
      <w:r w:rsidR="007F6FA4">
        <w:rPr>
          <w:rFonts w:eastAsia="SimSun"/>
          <w:szCs w:val="20"/>
        </w:rPr>
        <w:t>e</w:t>
      </w:r>
      <w:r w:rsidRPr="00713D60">
        <w:rPr>
          <w:rFonts w:eastAsia="SimSun"/>
          <w:szCs w:val="20"/>
        </w:rPr>
        <w:t xml:space="preserve"> lang</w:t>
      </w:r>
      <w:r w:rsidR="007F6FA4">
        <w:rPr>
          <w:rFonts w:eastAsia="SimSun"/>
          <w:szCs w:val="20"/>
        </w:rPr>
        <w:t>ag</w:t>
      </w:r>
      <w:r w:rsidRPr="00713D60">
        <w:rPr>
          <w:rFonts w:eastAsia="SimSun"/>
          <w:szCs w:val="20"/>
        </w:rPr>
        <w:t>e est un vecteur de valeurs et de connaissances et un outil essentiel de transmission du PCI. Il a cependant été décidé de ne pas inclure la « langue » en tant que telle dans la liste des domaines à l’article 2.2 de la Convention bien que la langue figure effectivement dans le premier domaine mentionné dans cette liste : « les traditions et expressions orales, y compris la langue comme vecteur du patrimoine culturel immatériel ». Cette liste n’est évidemment pas exhaustive. Ce compromis reflète les politiques fort différentes de chaque État concernant sa diversité linguistique intérieure</w:t>
      </w:r>
      <w:r w:rsidR="006A6895">
        <w:rPr>
          <w:rFonts w:eastAsia="SimSun"/>
          <w:szCs w:val="20"/>
        </w:rPr>
        <w:t>.</w:t>
      </w:r>
    </w:p>
    <w:p w:rsidR="00AB7097" w:rsidRPr="00713D60" w:rsidRDefault="00453393" w:rsidP="007B0D43">
      <w:pPr>
        <w:pStyle w:val="Heading4"/>
        <w:tabs>
          <w:tab w:val="left" w:pos="567"/>
        </w:tabs>
        <w:snapToGrid w:val="0"/>
        <w:spacing w:before="200" w:after="0" w:line="240" w:lineRule="auto"/>
        <w:jc w:val="both"/>
        <w:rPr>
          <w:rFonts w:eastAsia="Times New Roman" w:cs="Arial"/>
          <w:iCs/>
          <w:snapToGrid w:val="0"/>
          <w:sz w:val="18"/>
          <w:szCs w:val="18"/>
          <w:lang w:val="fr-FR" w:eastAsia="zh-CN"/>
        </w:rPr>
      </w:pPr>
      <w:r w:rsidRPr="00713D60">
        <w:rPr>
          <w:rFonts w:eastAsia="Times New Roman" w:cs="Arial"/>
          <w:iCs/>
          <w:snapToGrid w:val="0"/>
          <w:sz w:val="18"/>
          <w:szCs w:val="18"/>
          <w:lang w:val="fr-FR" w:eastAsia="zh-CN"/>
        </w:rPr>
        <w:t>Question 15</w:t>
      </w:r>
    </w:p>
    <w:p w:rsidR="00AB7097" w:rsidRPr="002A4594" w:rsidRDefault="00453393" w:rsidP="00AB7097">
      <w:pPr>
        <w:pStyle w:val="Texte1"/>
        <w:rPr>
          <w:szCs w:val="20"/>
        </w:rPr>
      </w:pPr>
      <w:r w:rsidRPr="00713D60">
        <w:rPr>
          <w:szCs w:val="20"/>
        </w:rPr>
        <w:t xml:space="preserve">Plusieurs États parties à la Convention peuvent-ils soumettre ensemble la candidature </w:t>
      </w:r>
      <w:r w:rsidR="007F6FA4">
        <w:rPr>
          <w:szCs w:val="20"/>
        </w:rPr>
        <w:t xml:space="preserve">commune </w:t>
      </w:r>
      <w:r w:rsidRPr="00713D60">
        <w:rPr>
          <w:szCs w:val="20"/>
        </w:rPr>
        <w:t xml:space="preserve">d’un élément qu’ils partagent plutôt </w:t>
      </w:r>
      <w:r w:rsidR="006A6895">
        <w:rPr>
          <w:szCs w:val="20"/>
        </w:rPr>
        <w:t>que des candidatures séparées ?</w:t>
      </w:r>
    </w:p>
    <w:p w:rsidR="003757E3" w:rsidRPr="002A4594" w:rsidRDefault="00453393" w:rsidP="00713D60">
      <w:pPr>
        <w:numPr>
          <w:ilvl w:val="0"/>
          <w:numId w:val="27"/>
        </w:numPr>
        <w:tabs>
          <w:tab w:val="clear" w:pos="567"/>
        </w:tabs>
        <w:ind w:left="1276" w:hanging="425"/>
        <w:contextualSpacing/>
        <w:rPr>
          <w:sz w:val="20"/>
          <w:szCs w:val="20"/>
          <w:lang w:val="fr-FR" w:eastAsia="en-US"/>
        </w:rPr>
      </w:pPr>
      <w:r w:rsidRPr="00713D60">
        <w:rPr>
          <w:sz w:val="20"/>
          <w:szCs w:val="20"/>
          <w:lang w:val="fr-FR" w:eastAsia="en-US"/>
        </w:rPr>
        <w:t>Oui, la Convention et les DO encouragent le</w:t>
      </w:r>
      <w:r w:rsidR="00D76719">
        <w:rPr>
          <w:sz w:val="20"/>
          <w:szCs w:val="20"/>
          <w:lang w:val="fr-FR" w:eastAsia="en-US"/>
        </w:rPr>
        <w:t xml:space="preserve"> recours à une</w:t>
      </w:r>
      <w:r w:rsidRPr="00713D60">
        <w:rPr>
          <w:sz w:val="20"/>
          <w:szCs w:val="20"/>
          <w:lang w:val="fr-FR" w:eastAsia="en-US"/>
        </w:rPr>
        <w:t xml:space="preserve"> candidature multinationale pour un même élément transfrontalier.</w:t>
      </w:r>
    </w:p>
    <w:p w:rsidR="003757E3" w:rsidRPr="002A4594" w:rsidRDefault="00453393" w:rsidP="00713D60">
      <w:pPr>
        <w:numPr>
          <w:ilvl w:val="0"/>
          <w:numId w:val="27"/>
        </w:numPr>
        <w:tabs>
          <w:tab w:val="clear" w:pos="567"/>
        </w:tabs>
        <w:ind w:left="1276" w:hanging="425"/>
        <w:contextualSpacing/>
        <w:rPr>
          <w:sz w:val="20"/>
          <w:szCs w:val="20"/>
          <w:lang w:val="fr-FR" w:eastAsia="en-US"/>
        </w:rPr>
      </w:pPr>
      <w:r w:rsidRPr="00713D60">
        <w:rPr>
          <w:sz w:val="20"/>
          <w:szCs w:val="20"/>
          <w:lang w:val="fr-FR" w:eastAsia="en-US"/>
        </w:rPr>
        <w:t xml:space="preserve">Non, si un élément est présent dans deux États, ceux-ci doivent trouver un moyen de le différencier afin de pouvoir </w:t>
      </w:r>
      <w:r w:rsidR="00D76719">
        <w:rPr>
          <w:sz w:val="20"/>
          <w:szCs w:val="20"/>
          <w:lang w:val="fr-FR" w:eastAsia="en-US"/>
        </w:rPr>
        <w:t>dépos</w:t>
      </w:r>
      <w:r w:rsidRPr="00713D60">
        <w:rPr>
          <w:sz w:val="20"/>
          <w:szCs w:val="20"/>
          <w:lang w:val="fr-FR" w:eastAsia="en-US"/>
        </w:rPr>
        <w:t>er deux candidatures différentes.</w:t>
      </w:r>
    </w:p>
    <w:p w:rsidR="003757E3" w:rsidRPr="002A4594" w:rsidRDefault="00453393" w:rsidP="00713D60">
      <w:pPr>
        <w:numPr>
          <w:ilvl w:val="0"/>
          <w:numId w:val="27"/>
        </w:numPr>
        <w:tabs>
          <w:tab w:val="clear" w:pos="567"/>
        </w:tabs>
        <w:ind w:left="1276" w:hanging="425"/>
        <w:contextualSpacing/>
        <w:rPr>
          <w:sz w:val="20"/>
          <w:szCs w:val="20"/>
          <w:lang w:val="fr-FR" w:eastAsia="en-US"/>
        </w:rPr>
      </w:pPr>
      <w:r w:rsidRPr="00713D60">
        <w:rPr>
          <w:sz w:val="20"/>
          <w:szCs w:val="20"/>
          <w:lang w:val="fr-FR" w:eastAsia="en-US"/>
        </w:rPr>
        <w:t>Non, seul l’État partie où l’élément a la plus longue pratique ininterrompue est autorisé à soumettre un dossier de candidature.</w:t>
      </w:r>
    </w:p>
    <w:p w:rsidR="003757E3" w:rsidRPr="00B161E7" w:rsidRDefault="00453393" w:rsidP="00713D60">
      <w:pPr>
        <w:pStyle w:val="Encadr"/>
        <w:pBdr>
          <w:top w:val="single" w:sz="2" w:space="3" w:color="auto"/>
          <w:left w:val="single" w:sz="2" w:space="3" w:color="auto"/>
          <w:bottom w:val="single" w:sz="2" w:space="3" w:color="auto"/>
          <w:right w:val="single" w:sz="2" w:space="3" w:color="auto"/>
        </w:pBdr>
        <w:shd w:val="clear" w:color="auto" w:fill="F2F2F2"/>
        <w:ind w:left="113" w:right="113"/>
      </w:pPr>
      <w:r w:rsidRPr="00713D60">
        <w:rPr>
          <w:szCs w:val="20"/>
        </w:rPr>
        <w:t>L’option (a) est correcte : dans l’esprit de la Convention, les DO encouragent les candidatures multinationales qui sont possibles à condition que les États où se trouve le patrimoine partagé soient parties à la Convention. Bien que les États parties ne soient pas obligés de proposer l’inscription d’un patrimoine commun au moyen d’une candidature multinationale, ils sont fortement encouragés à le faire car c’est une façon de promouvoir la coopération internationale et d’améliorer les efforts de sauvegarde. Dans ces cas-là, bien sûr, l’opinion de la (des) communauté(s) concernée(s) devra être déterminante.</w:t>
      </w:r>
    </w:p>
    <w:p w:rsidR="00AB7097" w:rsidRPr="00713D60" w:rsidRDefault="00453393" w:rsidP="007B0D43">
      <w:pPr>
        <w:pStyle w:val="Heading4"/>
        <w:tabs>
          <w:tab w:val="left" w:pos="567"/>
        </w:tabs>
        <w:snapToGrid w:val="0"/>
        <w:spacing w:before="200" w:after="0" w:line="240" w:lineRule="auto"/>
        <w:jc w:val="both"/>
        <w:rPr>
          <w:rFonts w:eastAsia="Times New Roman" w:cs="Arial"/>
          <w:iCs/>
          <w:snapToGrid w:val="0"/>
          <w:sz w:val="18"/>
          <w:szCs w:val="18"/>
          <w:lang w:val="fr-FR" w:eastAsia="zh-CN"/>
        </w:rPr>
      </w:pPr>
      <w:r w:rsidRPr="00713D60">
        <w:rPr>
          <w:rFonts w:eastAsia="Times New Roman" w:cs="Arial"/>
          <w:iCs/>
          <w:snapToGrid w:val="0"/>
          <w:sz w:val="18"/>
          <w:szCs w:val="18"/>
          <w:lang w:val="fr-FR" w:eastAsia="zh-CN"/>
        </w:rPr>
        <w:t>Question 16</w:t>
      </w:r>
    </w:p>
    <w:p w:rsidR="00AB7097" w:rsidRPr="002A4594" w:rsidRDefault="00453393" w:rsidP="00AB7097">
      <w:pPr>
        <w:pStyle w:val="Texte1"/>
        <w:rPr>
          <w:szCs w:val="20"/>
        </w:rPr>
      </w:pPr>
      <w:r w:rsidRPr="00713D60">
        <w:rPr>
          <w:szCs w:val="20"/>
        </w:rPr>
        <w:t>Le PCI des communautés immigrées est-il qualifié pour figurer sur</w:t>
      </w:r>
      <w:r w:rsidR="006A6895">
        <w:rPr>
          <w:szCs w:val="20"/>
        </w:rPr>
        <w:t xml:space="preserve"> les Listes de la Convention ?</w:t>
      </w:r>
    </w:p>
    <w:p w:rsidR="003757E3" w:rsidRPr="002A4594" w:rsidRDefault="00453393" w:rsidP="00713D60">
      <w:pPr>
        <w:numPr>
          <w:ilvl w:val="0"/>
          <w:numId w:val="28"/>
        </w:numPr>
        <w:tabs>
          <w:tab w:val="clear" w:pos="567"/>
        </w:tabs>
        <w:ind w:left="1276" w:hanging="425"/>
        <w:contextualSpacing/>
        <w:rPr>
          <w:sz w:val="20"/>
          <w:szCs w:val="20"/>
          <w:lang w:val="fr-FR" w:eastAsia="en-US"/>
        </w:rPr>
      </w:pPr>
      <w:r w:rsidRPr="00713D60">
        <w:rPr>
          <w:sz w:val="20"/>
          <w:szCs w:val="20"/>
          <w:lang w:val="fr-FR" w:eastAsia="en-US"/>
        </w:rPr>
        <w:t xml:space="preserve">Oui, les </w:t>
      </w:r>
      <w:r w:rsidR="00D94DA0">
        <w:rPr>
          <w:sz w:val="20"/>
          <w:szCs w:val="20"/>
          <w:lang w:val="fr-FR" w:eastAsia="en-US"/>
        </w:rPr>
        <w:t>candidatures aux</w:t>
      </w:r>
      <w:r w:rsidRPr="00713D60">
        <w:rPr>
          <w:sz w:val="20"/>
          <w:szCs w:val="20"/>
          <w:lang w:val="fr-FR" w:eastAsia="en-US"/>
        </w:rPr>
        <w:t xml:space="preserve"> Listes de la Convention qui </w:t>
      </w:r>
      <w:r w:rsidR="00D94DA0">
        <w:rPr>
          <w:sz w:val="20"/>
          <w:szCs w:val="20"/>
          <w:lang w:val="fr-FR" w:eastAsia="en-US"/>
        </w:rPr>
        <w:t>comportent</w:t>
      </w:r>
      <w:r w:rsidRPr="00713D60">
        <w:rPr>
          <w:sz w:val="20"/>
          <w:szCs w:val="20"/>
          <w:lang w:val="fr-FR" w:eastAsia="en-US"/>
        </w:rPr>
        <w:t xml:space="preserve"> des éléments du PCI de communautés immigrées installées dans un État particulier peuvent être </w:t>
      </w:r>
      <w:r w:rsidR="00D94DA0">
        <w:rPr>
          <w:sz w:val="20"/>
          <w:szCs w:val="20"/>
          <w:lang w:val="fr-FR" w:eastAsia="en-US"/>
        </w:rPr>
        <w:t>admis</w:t>
      </w:r>
      <w:r w:rsidRPr="00713D60">
        <w:rPr>
          <w:sz w:val="20"/>
          <w:szCs w:val="20"/>
          <w:lang w:val="fr-FR" w:eastAsia="en-US"/>
        </w:rPr>
        <w:t>es si ces éléments satisfont au</w:t>
      </w:r>
      <w:r w:rsidR="006A6895">
        <w:rPr>
          <w:sz w:val="20"/>
          <w:szCs w:val="20"/>
          <w:lang w:val="fr-FR" w:eastAsia="en-US"/>
        </w:rPr>
        <w:t>x critères définis dans les DO.</w:t>
      </w:r>
    </w:p>
    <w:p w:rsidR="003757E3" w:rsidRPr="002A4594" w:rsidRDefault="00453393" w:rsidP="00713D60">
      <w:pPr>
        <w:numPr>
          <w:ilvl w:val="0"/>
          <w:numId w:val="28"/>
        </w:numPr>
        <w:tabs>
          <w:tab w:val="clear" w:pos="567"/>
        </w:tabs>
        <w:ind w:left="1276" w:hanging="425"/>
        <w:contextualSpacing/>
        <w:rPr>
          <w:sz w:val="20"/>
          <w:szCs w:val="20"/>
          <w:lang w:val="fr-FR" w:eastAsia="en-US"/>
        </w:rPr>
      </w:pPr>
      <w:r w:rsidRPr="00713D60">
        <w:rPr>
          <w:sz w:val="20"/>
          <w:szCs w:val="20"/>
          <w:lang w:val="fr-FR" w:eastAsia="en-US"/>
        </w:rPr>
        <w:t xml:space="preserve">Oui, les éléments </w:t>
      </w:r>
      <w:r w:rsidR="00D94DA0">
        <w:rPr>
          <w:sz w:val="20"/>
          <w:szCs w:val="20"/>
          <w:lang w:val="fr-FR" w:eastAsia="en-US"/>
        </w:rPr>
        <w:t>proposés sur les L</w:t>
      </w:r>
      <w:r w:rsidRPr="00713D60">
        <w:rPr>
          <w:sz w:val="20"/>
          <w:szCs w:val="20"/>
          <w:lang w:val="fr-FR" w:eastAsia="en-US"/>
        </w:rPr>
        <w:t xml:space="preserve">istes de la Convention </w:t>
      </w:r>
      <w:r w:rsidR="00D94DA0">
        <w:rPr>
          <w:sz w:val="20"/>
          <w:szCs w:val="20"/>
          <w:lang w:val="fr-FR" w:eastAsia="en-US"/>
        </w:rPr>
        <w:t xml:space="preserve">et </w:t>
      </w:r>
      <w:r w:rsidRPr="00713D60">
        <w:rPr>
          <w:sz w:val="20"/>
          <w:szCs w:val="20"/>
          <w:lang w:val="fr-FR" w:eastAsia="en-US"/>
        </w:rPr>
        <w:t>qui incluent le PCI de communautés immigr</w:t>
      </w:r>
      <w:r w:rsidR="00D94DA0">
        <w:rPr>
          <w:sz w:val="20"/>
          <w:szCs w:val="20"/>
          <w:lang w:val="fr-FR" w:eastAsia="en-US"/>
        </w:rPr>
        <w:t>ée</w:t>
      </w:r>
      <w:r w:rsidRPr="00713D60">
        <w:rPr>
          <w:sz w:val="20"/>
          <w:szCs w:val="20"/>
          <w:lang w:val="fr-FR" w:eastAsia="en-US"/>
        </w:rPr>
        <w:t>s peuvent être inscrits, mais uniquement si une autorisation spéciale est sollicitée auprès du pays d’origine des immigrants concernés.</w:t>
      </w:r>
    </w:p>
    <w:p w:rsidR="003757E3" w:rsidRPr="002A4594" w:rsidRDefault="00453393" w:rsidP="00713D60">
      <w:pPr>
        <w:numPr>
          <w:ilvl w:val="0"/>
          <w:numId w:val="28"/>
        </w:numPr>
        <w:tabs>
          <w:tab w:val="clear" w:pos="567"/>
        </w:tabs>
        <w:ind w:left="1276" w:hanging="425"/>
        <w:contextualSpacing/>
        <w:rPr>
          <w:sz w:val="20"/>
          <w:szCs w:val="20"/>
          <w:lang w:val="fr-FR" w:eastAsia="en-US"/>
        </w:rPr>
      </w:pPr>
      <w:r w:rsidRPr="00713D60">
        <w:rPr>
          <w:sz w:val="20"/>
          <w:szCs w:val="20"/>
          <w:lang w:val="fr-FR" w:eastAsia="en-US"/>
        </w:rPr>
        <w:t xml:space="preserve">Non, seuls les éléments qui appartiennent aux États parties soumissionnaires et qui ont une pertinence pour leur identité nationale ou celle des groupes majoritaires présents </w:t>
      </w:r>
      <w:r w:rsidR="00D94DA0">
        <w:rPr>
          <w:sz w:val="20"/>
          <w:szCs w:val="20"/>
          <w:lang w:val="fr-FR" w:eastAsia="en-US"/>
        </w:rPr>
        <w:t>sur leur territoire</w:t>
      </w:r>
      <w:r w:rsidRPr="00713D60">
        <w:rPr>
          <w:sz w:val="20"/>
          <w:szCs w:val="20"/>
          <w:lang w:val="fr-FR" w:eastAsia="en-US"/>
        </w:rPr>
        <w:t>, peuvent être inclus dans</w:t>
      </w:r>
      <w:r w:rsidR="006A6895">
        <w:rPr>
          <w:sz w:val="20"/>
          <w:szCs w:val="20"/>
          <w:lang w:val="fr-FR" w:eastAsia="en-US"/>
        </w:rPr>
        <w:t xml:space="preserve"> les Listes de la Convention.</w:t>
      </w:r>
    </w:p>
    <w:p w:rsidR="00AB7097" w:rsidRPr="002A4594" w:rsidRDefault="00453393" w:rsidP="00AB7097">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713D60">
        <w:rPr>
          <w:rFonts w:eastAsia="SimSun"/>
          <w:szCs w:val="20"/>
        </w:rPr>
        <w:t>L’option (a) est la bonne : il incombe à chaque État partie à la Convention de décider quels éléments proposer pour inscription sur les Listes de la Convention à condition que ces éléments et les communautés concernées soient situés sur son territoire. Rien ne justifie le fait de ne pas inscrire le PCI d’immigrés sur les Listes dans la mesure où l’élément satisfait aux critères et où le dossier est jugé convaincant et complet. En fait, Il peut y avoir de très bonnes raisons de le faire.</w:t>
      </w:r>
    </w:p>
    <w:p w:rsidR="006A6895" w:rsidRDefault="00453393" w:rsidP="00AB7097">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713D60">
        <w:rPr>
          <w:rFonts w:eastAsia="SimSun"/>
          <w:szCs w:val="20"/>
        </w:rPr>
        <w:t>Option (b) : tout État partie est libre de proposer l’inscription d’éléments du PCI présents sur son territoire. Si un élément est également pratiqué par des groupes dans le p</w:t>
      </w:r>
      <w:r w:rsidR="006A6895">
        <w:rPr>
          <w:rFonts w:eastAsia="SimSun"/>
          <w:szCs w:val="20"/>
        </w:rPr>
        <w:t>ays d’origine des</w:t>
      </w:r>
    </w:p>
    <w:p w:rsidR="006A6895" w:rsidRDefault="006A6895">
      <w:pPr>
        <w:tabs>
          <w:tab w:val="clear" w:pos="567"/>
        </w:tabs>
        <w:snapToGrid/>
        <w:spacing w:before="0" w:after="0"/>
        <w:jc w:val="left"/>
        <w:rPr>
          <w:snapToGrid/>
          <w:sz w:val="20"/>
          <w:szCs w:val="20"/>
          <w:lang w:val="fr-FR"/>
        </w:rPr>
      </w:pPr>
      <w:r w:rsidRPr="006A6895">
        <w:rPr>
          <w:szCs w:val="20"/>
          <w:lang w:val="fr-FR"/>
        </w:rPr>
        <w:br w:type="page"/>
      </w:r>
    </w:p>
    <w:p w:rsidR="00AB7097" w:rsidRPr="002A4594" w:rsidRDefault="00453393" w:rsidP="00AB7097">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proofErr w:type="gramStart"/>
      <w:r w:rsidRPr="00713D60">
        <w:rPr>
          <w:rFonts w:eastAsia="SimSun"/>
          <w:szCs w:val="20"/>
        </w:rPr>
        <w:lastRenderedPageBreak/>
        <w:t>immigrants</w:t>
      </w:r>
      <w:proofErr w:type="gramEnd"/>
      <w:r w:rsidRPr="00713D60">
        <w:rPr>
          <w:rFonts w:eastAsia="SimSun"/>
          <w:szCs w:val="20"/>
        </w:rPr>
        <w:t xml:space="preserve"> concernés et si ce pays est un État partie à la Convention, les États parties sont encouragés à mettre en œuvre une coopération internationale afin de soumettre une candidature multinationale (DO 13). Cette recommandation ne sa</w:t>
      </w:r>
      <w:r w:rsidR="006A6895">
        <w:rPr>
          <w:rFonts w:eastAsia="SimSun"/>
          <w:szCs w:val="20"/>
        </w:rPr>
        <w:t>urait, toutefois, être imposée.</w:t>
      </w:r>
    </w:p>
    <w:p w:rsidR="00AB7097" w:rsidRPr="002A4594" w:rsidRDefault="00453393" w:rsidP="00AB7097">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713D60">
        <w:rPr>
          <w:rFonts w:eastAsia="SimSun"/>
          <w:szCs w:val="20"/>
        </w:rPr>
        <w:t xml:space="preserve">Option (c) : l’idée d’un PCI « autochtone » dont les éléments seraient les seuls habilités à être proposés pour inscription pose problème. La Convention qui entend promouvoir et célébrer la diversité culturelle n’est pas destinée à exclure de la sauvegarde au niveau national ou de la candidature à l’inscription sur les Listes de la Convention le PCI de groupes ou de communautés présents sur le territoire des États parties à la Convention. La Convention ne mentionne pas l’identité nationale ; beaucoup d’États – </w:t>
      </w:r>
      <w:r w:rsidRPr="00713D60">
        <w:rPr>
          <w:rFonts w:eastAsia="SimSun"/>
          <w:szCs w:val="20"/>
          <w:lang w:eastAsia="en-US"/>
        </w:rPr>
        <w:t>en particulier</w:t>
      </w:r>
      <w:r w:rsidRPr="00713D60">
        <w:rPr>
          <w:rFonts w:eastAsia="SimSun"/>
          <w:szCs w:val="20"/>
        </w:rPr>
        <w:t xml:space="preserve"> les États fédéraux – ne revendiquent pas une identité nationale. Qui plus est, l’esprit de la Convention ne saurait permettre d’établir des distinctions entre le PCI de groupes majoritaires et </w:t>
      </w:r>
      <w:r w:rsidR="006A6895">
        <w:rPr>
          <w:rFonts w:eastAsia="SimSun"/>
          <w:szCs w:val="20"/>
        </w:rPr>
        <w:t>minoritaires.</w:t>
      </w:r>
    </w:p>
    <w:p w:rsidR="00AB7097" w:rsidRPr="00713D60" w:rsidRDefault="00453393" w:rsidP="007B0D43">
      <w:pPr>
        <w:pStyle w:val="Heading4"/>
        <w:tabs>
          <w:tab w:val="left" w:pos="567"/>
        </w:tabs>
        <w:snapToGrid w:val="0"/>
        <w:spacing w:before="200" w:after="0" w:line="240" w:lineRule="auto"/>
        <w:jc w:val="both"/>
        <w:rPr>
          <w:rFonts w:eastAsia="Times New Roman" w:cs="Arial"/>
          <w:iCs/>
          <w:snapToGrid w:val="0"/>
          <w:sz w:val="18"/>
          <w:szCs w:val="18"/>
          <w:lang w:val="fr-FR" w:eastAsia="zh-CN"/>
        </w:rPr>
      </w:pPr>
      <w:r w:rsidRPr="00713D60">
        <w:rPr>
          <w:rFonts w:eastAsia="Times New Roman" w:cs="Arial"/>
          <w:iCs/>
          <w:snapToGrid w:val="0"/>
          <w:sz w:val="18"/>
          <w:szCs w:val="18"/>
          <w:lang w:val="fr-FR" w:eastAsia="zh-CN"/>
        </w:rPr>
        <w:t>Question 17</w:t>
      </w:r>
    </w:p>
    <w:p w:rsidR="00AB7097" w:rsidRPr="002A4594" w:rsidRDefault="00453393" w:rsidP="00AB7097">
      <w:pPr>
        <w:pStyle w:val="Texte1"/>
        <w:rPr>
          <w:szCs w:val="20"/>
        </w:rPr>
      </w:pPr>
      <w:r w:rsidRPr="00713D60">
        <w:rPr>
          <w:szCs w:val="20"/>
        </w:rPr>
        <w:t xml:space="preserve">L’inscription d’un élément sur les Listes de la Convention peut-elle </w:t>
      </w:r>
      <w:r w:rsidR="007401FB">
        <w:rPr>
          <w:szCs w:val="20"/>
        </w:rPr>
        <w:t>constituer un moyen</w:t>
      </w:r>
      <w:r w:rsidRPr="00713D60">
        <w:rPr>
          <w:szCs w:val="20"/>
        </w:rPr>
        <w:t xml:space="preserve"> </w:t>
      </w:r>
      <w:r w:rsidR="007401FB">
        <w:rPr>
          <w:szCs w:val="20"/>
        </w:rPr>
        <w:t>d’</w:t>
      </w:r>
      <w:r w:rsidRPr="00713D60">
        <w:rPr>
          <w:szCs w:val="20"/>
        </w:rPr>
        <w:t xml:space="preserve">établir les droits de propriété intellectuelle d’une communauté </w:t>
      </w:r>
      <w:r w:rsidR="006A6895">
        <w:rPr>
          <w:szCs w:val="20"/>
        </w:rPr>
        <w:t>ou d’un groupe sur un élément ?</w:t>
      </w:r>
    </w:p>
    <w:p w:rsidR="003757E3" w:rsidRPr="002A4594" w:rsidRDefault="00453393" w:rsidP="00713D60">
      <w:pPr>
        <w:numPr>
          <w:ilvl w:val="0"/>
          <w:numId w:val="29"/>
        </w:numPr>
        <w:tabs>
          <w:tab w:val="clear" w:pos="567"/>
        </w:tabs>
        <w:ind w:left="1276" w:hanging="425"/>
        <w:contextualSpacing/>
        <w:rPr>
          <w:sz w:val="20"/>
          <w:szCs w:val="20"/>
          <w:lang w:val="fr-FR" w:eastAsia="en-US"/>
        </w:rPr>
      </w:pPr>
      <w:r w:rsidRPr="00713D60">
        <w:rPr>
          <w:sz w:val="20"/>
          <w:szCs w:val="20"/>
          <w:lang w:val="fr-FR" w:eastAsia="en-US"/>
        </w:rPr>
        <w:t xml:space="preserve">Non, la Convention ne peut pas établir de droits de propriété intellectuelle sur un élément du PCI </w:t>
      </w:r>
      <w:r w:rsidR="007401FB">
        <w:rPr>
          <w:sz w:val="20"/>
          <w:szCs w:val="20"/>
          <w:lang w:val="fr-FR" w:eastAsia="en-US"/>
        </w:rPr>
        <w:t>au moyen de</w:t>
      </w:r>
      <w:r w:rsidR="006A6895">
        <w:rPr>
          <w:sz w:val="20"/>
          <w:szCs w:val="20"/>
          <w:lang w:val="fr-FR" w:eastAsia="en-US"/>
        </w:rPr>
        <w:t xml:space="preserve"> l’inscription sur ses Listes.</w:t>
      </w:r>
    </w:p>
    <w:p w:rsidR="003757E3" w:rsidRPr="002A4594" w:rsidRDefault="00453393" w:rsidP="00713D60">
      <w:pPr>
        <w:numPr>
          <w:ilvl w:val="0"/>
          <w:numId w:val="29"/>
        </w:numPr>
        <w:tabs>
          <w:tab w:val="clear" w:pos="567"/>
        </w:tabs>
        <w:ind w:left="1276" w:hanging="425"/>
        <w:contextualSpacing/>
        <w:rPr>
          <w:sz w:val="20"/>
          <w:szCs w:val="20"/>
          <w:lang w:val="fr-FR" w:eastAsia="en-US"/>
        </w:rPr>
      </w:pPr>
      <w:r w:rsidRPr="00713D60">
        <w:rPr>
          <w:sz w:val="20"/>
          <w:szCs w:val="20"/>
          <w:lang w:val="fr-FR" w:eastAsia="en-US"/>
        </w:rPr>
        <w:t>Oui, l’inscription sur une des Listes de la Convention donne aux communautés et aux groupes le droit automatique de demander réparation si toute autre personn</w:t>
      </w:r>
      <w:r w:rsidR="006A6895">
        <w:rPr>
          <w:sz w:val="20"/>
          <w:szCs w:val="20"/>
          <w:lang w:val="fr-FR" w:eastAsia="en-US"/>
        </w:rPr>
        <w:t>e pratique leur élément du PCI.</w:t>
      </w:r>
    </w:p>
    <w:p w:rsidR="003757E3" w:rsidRPr="002A4594" w:rsidRDefault="00453393" w:rsidP="00713D60">
      <w:pPr>
        <w:numPr>
          <w:ilvl w:val="0"/>
          <w:numId w:val="29"/>
        </w:numPr>
        <w:tabs>
          <w:tab w:val="clear" w:pos="567"/>
        </w:tabs>
        <w:ind w:left="1276" w:hanging="425"/>
        <w:contextualSpacing/>
        <w:rPr>
          <w:sz w:val="20"/>
          <w:szCs w:val="20"/>
          <w:lang w:val="fr-FR" w:eastAsia="en-US"/>
        </w:rPr>
      </w:pPr>
      <w:r w:rsidRPr="00713D60">
        <w:rPr>
          <w:sz w:val="20"/>
          <w:szCs w:val="20"/>
          <w:lang w:val="fr-FR" w:eastAsia="en-US"/>
        </w:rPr>
        <w:t>Oui, l’inscription sur une des Listes de la Convention donne aux communautés et aux groupes concernés des droits de propriété intellectuelle</w:t>
      </w:r>
      <w:r w:rsidR="006A6895">
        <w:rPr>
          <w:sz w:val="20"/>
          <w:szCs w:val="20"/>
          <w:lang w:val="fr-FR" w:eastAsia="en-US"/>
        </w:rPr>
        <w:t xml:space="preserve"> sur leur patrimoine.</w:t>
      </w:r>
    </w:p>
    <w:p w:rsidR="00AB7097" w:rsidRPr="002A4594" w:rsidRDefault="00453393" w:rsidP="00AB7097">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713D60">
        <w:rPr>
          <w:rFonts w:eastAsia="SimSun"/>
          <w:szCs w:val="20"/>
        </w:rPr>
        <w:t>L’option (a) est correcte : la Convention est axée sur la sauvegarde du patrimoine culturel immatériel, c’est-à-dire qu’elle s’efforce d’assurer sa recréation permanente plutôt que la protection juridique de ses manifestations spécifiques au moyen des droits de propriété intellectuelle, ce qui, au niveau international, relève de la compétence de l’Organisation mondiale de la propriété intellectuelle (OMPI). L’OMPI étudie actuellement la possibilité de créer un instrument normatif pour la protection des DPI en matière d’expressions culturelles traditionnelles, de savoirs traditionnels et d’expressions du folklore. L’OMPI aide aussi ses États membres à élaborer des lois et des réglementations nationales à cet effet.</w:t>
      </w:r>
    </w:p>
    <w:p w:rsidR="00AB7097" w:rsidRPr="002A4594" w:rsidRDefault="00453393" w:rsidP="00AB7097">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713D60">
        <w:rPr>
          <w:rFonts w:eastAsia="SimSun"/>
          <w:szCs w:val="20"/>
        </w:rPr>
        <w:t>La Convention stipule à l’article 3 que ses dispositions ne peuvent être interprétées comme affectant les droits et obligations des États parties découlant de tout instrument international relatif aux droits de la propriété intellectuelle. Ces droits sont établis, en premier lieu, par la législation au niveau national et les éléments du PCI jouissent de ces</w:t>
      </w:r>
      <w:r w:rsidR="006A6895">
        <w:rPr>
          <w:rFonts w:eastAsia="SimSun"/>
          <w:szCs w:val="20"/>
        </w:rPr>
        <w:t xml:space="preserve"> droits dans plusieurs États.</w:t>
      </w:r>
    </w:p>
    <w:p w:rsidR="00AB7097" w:rsidRPr="00713D60" w:rsidRDefault="00453393" w:rsidP="007B0D43">
      <w:pPr>
        <w:pStyle w:val="Heading4"/>
        <w:tabs>
          <w:tab w:val="left" w:pos="567"/>
        </w:tabs>
        <w:snapToGrid w:val="0"/>
        <w:spacing w:before="200" w:after="0" w:line="240" w:lineRule="auto"/>
        <w:jc w:val="both"/>
        <w:rPr>
          <w:rFonts w:eastAsia="Times New Roman" w:cs="Arial"/>
          <w:iCs/>
          <w:snapToGrid w:val="0"/>
          <w:sz w:val="18"/>
          <w:szCs w:val="18"/>
          <w:lang w:val="fr-FR" w:eastAsia="zh-CN"/>
        </w:rPr>
      </w:pPr>
      <w:r w:rsidRPr="00713D60">
        <w:rPr>
          <w:rFonts w:eastAsia="Times New Roman" w:cs="Arial"/>
          <w:iCs/>
          <w:snapToGrid w:val="0"/>
          <w:sz w:val="18"/>
          <w:szCs w:val="18"/>
          <w:lang w:val="fr-FR" w:eastAsia="zh-CN"/>
        </w:rPr>
        <w:t>Question 18</w:t>
      </w:r>
    </w:p>
    <w:p w:rsidR="00AB7097" w:rsidRPr="002A4594" w:rsidRDefault="00453393" w:rsidP="00AB7097">
      <w:pPr>
        <w:pStyle w:val="Texte1"/>
        <w:rPr>
          <w:szCs w:val="20"/>
        </w:rPr>
      </w:pPr>
      <w:r w:rsidRPr="00713D60">
        <w:rPr>
          <w:szCs w:val="20"/>
        </w:rPr>
        <w:t>L’UNESCO a proclamé quatre</w:t>
      </w:r>
      <w:proofErr w:type="spellStart"/>
      <w:r w:rsidRPr="00713D60">
        <w:rPr>
          <w:szCs w:val="20"/>
        </w:rPr>
        <w:t>-vingt dix</w:t>
      </w:r>
      <w:proofErr w:type="spellEnd"/>
      <w:r w:rsidRPr="00713D60">
        <w:rPr>
          <w:szCs w:val="20"/>
        </w:rPr>
        <w:t xml:space="preserve"> éléments du PCI en tant que « Chefs-d’œuvre du patrimoine oral et immatériel de l’humanité ». Qu’est-il arrivé à ces éléments après l’entré</w:t>
      </w:r>
      <w:r w:rsidR="006A6895">
        <w:rPr>
          <w:szCs w:val="20"/>
        </w:rPr>
        <w:t>e en vigueur de la Convention ?</w:t>
      </w:r>
    </w:p>
    <w:p w:rsidR="003757E3" w:rsidRPr="002A4594" w:rsidRDefault="00453393" w:rsidP="00713D60">
      <w:pPr>
        <w:numPr>
          <w:ilvl w:val="0"/>
          <w:numId w:val="30"/>
        </w:numPr>
        <w:tabs>
          <w:tab w:val="clear" w:pos="567"/>
        </w:tabs>
        <w:snapToGrid/>
        <w:spacing w:before="0" w:after="200" w:line="276" w:lineRule="auto"/>
        <w:ind w:left="1276" w:hanging="425"/>
        <w:contextualSpacing/>
        <w:rPr>
          <w:rFonts w:eastAsia="Times New Roman"/>
          <w:sz w:val="20"/>
          <w:szCs w:val="20"/>
          <w:lang w:val="fr-FR" w:eastAsia="en-US"/>
        </w:rPr>
      </w:pPr>
      <w:r w:rsidRPr="00713D60">
        <w:rPr>
          <w:rFonts w:eastAsia="Times New Roman"/>
          <w:sz w:val="20"/>
          <w:szCs w:val="20"/>
          <w:lang w:val="fr-FR" w:eastAsia="en-US"/>
        </w:rPr>
        <w:t>La liste des Chefs-d’œuvre n’a pas été affectée par l’entrée en vigueur de la Convention et continue d’être promue par l’UNESCO.</w:t>
      </w:r>
    </w:p>
    <w:p w:rsidR="003757E3" w:rsidRPr="002A4594" w:rsidRDefault="00453393" w:rsidP="00713D60">
      <w:pPr>
        <w:numPr>
          <w:ilvl w:val="0"/>
          <w:numId w:val="30"/>
        </w:numPr>
        <w:tabs>
          <w:tab w:val="clear" w:pos="567"/>
        </w:tabs>
        <w:snapToGrid/>
        <w:spacing w:before="0" w:after="200" w:line="276" w:lineRule="auto"/>
        <w:ind w:left="1276" w:hanging="425"/>
        <w:contextualSpacing/>
        <w:rPr>
          <w:rFonts w:eastAsia="Times New Roman"/>
          <w:sz w:val="20"/>
          <w:szCs w:val="20"/>
          <w:lang w:val="fr-FR" w:eastAsia="en-US"/>
        </w:rPr>
      </w:pPr>
      <w:r w:rsidRPr="00713D60">
        <w:rPr>
          <w:rFonts w:eastAsia="Times New Roman"/>
          <w:sz w:val="20"/>
          <w:szCs w:val="20"/>
          <w:lang w:val="fr-FR" w:eastAsia="en-US"/>
        </w:rPr>
        <w:t>Les Chefs-d’œuvre ont été inscrits sur une liste séparée de la Convention en 2008 et sont encore qualifiés de Chefs-</w:t>
      </w:r>
      <w:r w:rsidR="006A6895">
        <w:rPr>
          <w:rFonts w:eastAsia="Times New Roman"/>
          <w:sz w:val="20"/>
          <w:szCs w:val="20"/>
          <w:lang w:val="fr-FR" w:eastAsia="en-US"/>
        </w:rPr>
        <w:t>d’œuvre.</w:t>
      </w:r>
    </w:p>
    <w:p w:rsidR="003757E3" w:rsidRPr="002A4594" w:rsidRDefault="00453393" w:rsidP="00713D60">
      <w:pPr>
        <w:numPr>
          <w:ilvl w:val="0"/>
          <w:numId w:val="30"/>
        </w:numPr>
        <w:tabs>
          <w:tab w:val="clear" w:pos="567"/>
        </w:tabs>
        <w:snapToGrid/>
        <w:spacing w:before="0" w:after="200" w:line="276" w:lineRule="auto"/>
        <w:ind w:left="1276" w:hanging="425"/>
        <w:contextualSpacing/>
        <w:rPr>
          <w:rFonts w:eastAsia="Times New Roman"/>
          <w:sz w:val="20"/>
          <w:szCs w:val="20"/>
          <w:lang w:val="fr-FR" w:eastAsia="en-US"/>
        </w:rPr>
      </w:pPr>
      <w:r w:rsidRPr="00713D60">
        <w:rPr>
          <w:rFonts w:eastAsia="Times New Roman"/>
          <w:sz w:val="20"/>
          <w:szCs w:val="20"/>
          <w:lang w:val="fr-FR" w:eastAsia="en-US"/>
        </w:rPr>
        <w:t xml:space="preserve">Les éléments proclamés </w:t>
      </w:r>
      <w:r w:rsidR="0067375F">
        <w:rPr>
          <w:rFonts w:eastAsia="Times New Roman"/>
          <w:sz w:val="20"/>
          <w:szCs w:val="20"/>
          <w:lang w:val="fr-FR" w:eastAsia="en-US"/>
        </w:rPr>
        <w:t>en tant que</w:t>
      </w:r>
      <w:r w:rsidRPr="00713D60">
        <w:rPr>
          <w:rFonts w:eastAsia="Times New Roman"/>
          <w:sz w:val="20"/>
          <w:szCs w:val="20"/>
          <w:lang w:val="fr-FR" w:eastAsia="en-US"/>
        </w:rPr>
        <w:t xml:space="preserve"> Chefs-d’œuvre ont été intégrés dans l’une des Listes de la Convention en 2008 et ne sont plus dénommés </w:t>
      </w:r>
      <w:r w:rsidR="00CF282B">
        <w:rPr>
          <w:rFonts w:eastAsia="Times New Roman"/>
          <w:sz w:val="20"/>
          <w:szCs w:val="20"/>
          <w:lang w:val="fr-FR" w:eastAsia="en-US"/>
        </w:rPr>
        <w:t xml:space="preserve">comme </w:t>
      </w:r>
      <w:r w:rsidRPr="00713D60">
        <w:rPr>
          <w:rFonts w:eastAsia="Times New Roman"/>
          <w:sz w:val="20"/>
          <w:szCs w:val="20"/>
          <w:lang w:val="fr-FR" w:eastAsia="en-US"/>
        </w:rPr>
        <w:t>Chefs-d’œuvre.</w:t>
      </w:r>
    </w:p>
    <w:p w:rsidR="00AB7097" w:rsidRPr="002A4594" w:rsidRDefault="00453393" w:rsidP="00AB7097">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713D60">
        <w:rPr>
          <w:rFonts w:eastAsia="SimSun"/>
          <w:szCs w:val="20"/>
        </w:rPr>
        <w:lastRenderedPageBreak/>
        <w:t xml:space="preserve">L’option (c) est correcte : conformément à l’article 31 de la Convention et aux DO 57-65, les éléments qui avaient été proclamés </w:t>
      </w:r>
      <w:r w:rsidR="00CF282B">
        <w:rPr>
          <w:rFonts w:eastAsia="SimSun"/>
          <w:szCs w:val="20"/>
        </w:rPr>
        <w:t xml:space="preserve">comme </w:t>
      </w:r>
      <w:r w:rsidRPr="00713D60">
        <w:rPr>
          <w:rFonts w:eastAsia="SimSun"/>
          <w:szCs w:val="20"/>
        </w:rPr>
        <w:t>Chefs-d’œuvre ont été intégrés dans la LR de la Convention à la troisième session du Comité en 2008. Depuis lors, ils ne sont plus dénommés « Chefs-d’œuvre » et sont traités de la même façon que les autres éléments inscrits sur cette Liste.</w:t>
      </w:r>
    </w:p>
    <w:p w:rsidR="00AB7097" w:rsidRPr="002A4594" w:rsidRDefault="00453393" w:rsidP="00AB7097">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713D60">
        <w:rPr>
          <w:rFonts w:eastAsia="SimSun"/>
          <w:szCs w:val="20"/>
        </w:rPr>
        <w:t xml:space="preserve">Le programme des Chefs-d’œuvre avait été fortement influencé par le mode de pensée du patrimoine mondial, tant en termes de critères d’inscription/de proclamation que dans la terminologie utilisée. Les experts gouvernementaux qui ont préparé le texte de la Convention ont ouvertement rejeté l’idée d’établir une hiérarchie entre deux éléments du PCI. Par exemple, les éléments qui sont listés ou – en l’occurrence -  inventoriés, ne sont pas considérés plus précieux, importants ou exceptionnels que ceux qui ne le sont pas. De même, les éléments pratiqués par des millions de personnes n’ont pas plus de valeur, d’importance ou de caractère exceptionnel que </w:t>
      </w:r>
      <w:r w:rsidR="00CF282B">
        <w:rPr>
          <w:rFonts w:eastAsia="SimSun"/>
          <w:szCs w:val="20"/>
        </w:rPr>
        <w:t xml:space="preserve">ceux </w:t>
      </w:r>
      <w:r w:rsidRPr="00713D60">
        <w:rPr>
          <w:rFonts w:eastAsia="SimSun"/>
          <w:szCs w:val="20"/>
        </w:rPr>
        <w:t xml:space="preserve">pratiqués par des groupes plus restreints. Fidèles à cet esprit, les rédacteurs de la Convention n’ont pas voulu que les éléments du PCI figurant sur les Listes de la Convention soient </w:t>
      </w:r>
      <w:r w:rsidR="00CF282B">
        <w:rPr>
          <w:rFonts w:eastAsia="SimSun"/>
          <w:szCs w:val="20"/>
        </w:rPr>
        <w:t xml:space="preserve">qualifiés de </w:t>
      </w:r>
      <w:r w:rsidRPr="00713D60">
        <w:rPr>
          <w:rFonts w:eastAsia="SimSun"/>
          <w:szCs w:val="20"/>
        </w:rPr>
        <w:t>Chefs-</w:t>
      </w:r>
      <w:r w:rsidR="006A6895">
        <w:rPr>
          <w:rFonts w:eastAsia="SimSun"/>
          <w:szCs w:val="20"/>
        </w:rPr>
        <w:t>d’œuvre.</w:t>
      </w:r>
    </w:p>
    <w:sectPr w:rsidR="00AB7097" w:rsidRPr="002A4594" w:rsidSect="009744C7">
      <w:headerReference w:type="even" r:id="rId14"/>
      <w:headerReference w:type="default" r:id="rId15"/>
      <w:footerReference w:type="even" r:id="rId16"/>
      <w:footerReference w:type="default" r:id="rId17"/>
      <w:headerReference w:type="first" r:id="rId18"/>
      <w:footerReference w:type="first" r:id="rId19"/>
      <w:footnotePr>
        <w:numStart w:val="2"/>
      </w:footnotePr>
      <w:type w:val="oddPage"/>
      <w:pgSz w:w="11900" w:h="16840"/>
      <w:pgMar w:top="1701" w:right="1531" w:bottom="1701" w:left="1531" w:header="720" w:footer="72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895" w:rsidRDefault="006A6895" w:rsidP="000A699C">
      <w:pPr>
        <w:spacing w:before="0" w:after="0"/>
      </w:pPr>
      <w:r>
        <w:separator/>
      </w:r>
    </w:p>
  </w:endnote>
  <w:endnote w:type="continuationSeparator" w:id="0">
    <w:p w:rsidR="006A6895" w:rsidRDefault="006A6895"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895" w:rsidRPr="00816DE4" w:rsidRDefault="00EE2AA6" w:rsidP="00816DE4">
    <w:pPr>
      <w:pStyle w:val="Footer"/>
      <w:jc w:val="right"/>
      <w:rPr>
        <w:rFonts w:cs="Arial"/>
        <w:szCs w:val="16"/>
        <w:lang w:val="fr-FR"/>
      </w:rPr>
    </w:pPr>
    <w:r w:rsidRPr="006021AD">
      <w:rPr>
        <w:rFonts w:cs="Arial"/>
        <w:noProof/>
        <w:sz w:val="22"/>
        <w:lang w:val="fr-FR" w:eastAsia="zh-TW"/>
      </w:rPr>
      <w:drawing>
        <wp:anchor distT="0" distB="0" distL="114300" distR="114300" simplePos="0" relativeHeight="251823104" behindDoc="0" locked="0" layoutInCell="1" allowOverlap="1" wp14:anchorId="1E06F369" wp14:editId="0BB4CF33">
          <wp:simplePos x="0" y="0"/>
          <wp:positionH relativeFrom="column">
            <wp:posOffset>2190115</wp:posOffset>
          </wp:positionH>
          <wp:positionV relativeFrom="paragraph">
            <wp:posOffset>20320</wp:posOffset>
          </wp:positionV>
          <wp:extent cx="542925" cy="190500"/>
          <wp:effectExtent l="0" t="0" r="9525" b="0"/>
          <wp:wrapThrough wrapText="bothSides">
            <wp:wrapPolygon edited="0">
              <wp:start x="0" y="0"/>
              <wp:lineTo x="0" y="19440"/>
              <wp:lineTo x="21221" y="19440"/>
              <wp:lineTo x="2122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816DE4">
      <w:rPr>
        <w:rFonts w:cs="Arial"/>
        <w:szCs w:val="16"/>
        <w:lang w:val="fr-FR"/>
      </w:rPr>
      <w:tab/>
    </w:r>
    <w:r w:rsidR="00816DE4">
      <w:rPr>
        <w:rFonts w:cs="Arial"/>
        <w:szCs w:val="16"/>
        <w:lang w:val="fr-FR"/>
      </w:rPr>
      <w:tab/>
    </w:r>
    <w:r w:rsidR="006A6895">
      <w:rPr>
        <w:rFonts w:cs="Arial"/>
        <w:szCs w:val="16"/>
        <w:lang w:val="fr-FR"/>
      </w:rPr>
      <w:t>U017-v1.1</w:t>
    </w:r>
    <w:r w:rsidR="003F2F94">
      <w:rPr>
        <w:rFonts w:cs="Arial"/>
        <w:szCs w:val="16"/>
        <w:lang w:val="fr-FR"/>
      </w:rPr>
      <w:t>-FN-FR</w:t>
    </w:r>
    <w:r w:rsidR="006A6895">
      <w:rPr>
        <w:noProof/>
        <w:lang w:val="fr-FR" w:eastAsia="zh-TW"/>
      </w:rPr>
      <w:drawing>
        <wp:anchor distT="0" distB="0" distL="114300" distR="114300" simplePos="0" relativeHeight="251810816" behindDoc="1" locked="1" layoutInCell="1" allowOverlap="0" wp14:anchorId="23BD48FD" wp14:editId="2FA5D220">
          <wp:simplePos x="0" y="0"/>
          <wp:positionH relativeFrom="margin">
            <wp:posOffset>22225</wp:posOffset>
          </wp:positionH>
          <wp:positionV relativeFrom="margin">
            <wp:posOffset>8679815</wp:posOffset>
          </wp:positionV>
          <wp:extent cx="806450" cy="535940"/>
          <wp:effectExtent l="0" t="0" r="0" b="0"/>
          <wp:wrapThrough wrapText="bothSides">
            <wp:wrapPolygon edited="0">
              <wp:start x="0" y="0"/>
              <wp:lineTo x="0" y="20730"/>
              <wp:lineTo x="20920" y="20730"/>
              <wp:lineTo x="20920" y="0"/>
              <wp:lineTo x="0" y="0"/>
            </wp:wrapPolygon>
          </wp:wrapThrough>
          <wp:docPr id="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6450" cy="535940"/>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895" w:rsidRPr="00816DE4" w:rsidRDefault="00EE2AA6">
    <w:pPr>
      <w:pStyle w:val="Footer"/>
      <w:rPr>
        <w:lang w:val="fr-FR"/>
      </w:rPr>
    </w:pPr>
    <w:r w:rsidRPr="006021AD">
      <w:rPr>
        <w:rFonts w:cs="Arial"/>
        <w:noProof/>
        <w:sz w:val="22"/>
        <w:lang w:val="fr-FR" w:eastAsia="zh-TW"/>
      </w:rPr>
      <w:drawing>
        <wp:anchor distT="0" distB="0" distL="114300" distR="114300" simplePos="0" relativeHeight="251825152" behindDoc="0" locked="0" layoutInCell="1" allowOverlap="1" wp14:anchorId="1E06F369" wp14:editId="0BB4CF33">
          <wp:simplePos x="0" y="0"/>
          <wp:positionH relativeFrom="column">
            <wp:posOffset>2590165</wp:posOffset>
          </wp:positionH>
          <wp:positionV relativeFrom="paragraph">
            <wp:posOffset>-17780</wp:posOffset>
          </wp:positionV>
          <wp:extent cx="542925" cy="190500"/>
          <wp:effectExtent l="0" t="0" r="9525" b="0"/>
          <wp:wrapThrough wrapText="bothSides">
            <wp:wrapPolygon edited="0">
              <wp:start x="0" y="0"/>
              <wp:lineTo x="0" y="19440"/>
              <wp:lineTo x="21221" y="19440"/>
              <wp:lineTo x="2122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6A6895" w:rsidRPr="001508EF">
      <w:rPr>
        <w:lang w:val="fr-FR"/>
      </w:rPr>
      <w:t>U</w:t>
    </w:r>
    <w:r w:rsidR="006A6895">
      <w:rPr>
        <w:lang w:val="fr-FR"/>
      </w:rPr>
      <w:t>017-v1.1</w:t>
    </w:r>
    <w:r w:rsidR="006A6895" w:rsidRPr="001508EF">
      <w:rPr>
        <w:lang w:val="fr-FR"/>
      </w:rPr>
      <w:t>-FN-FR</w:t>
    </w:r>
    <w:r w:rsidR="003F2F94">
      <w:rPr>
        <w:lang w:val="fr-FR"/>
      </w:rPr>
      <w:tab/>
    </w:r>
    <w:r w:rsidR="006A6895" w:rsidRPr="001508EF">
      <w:rPr>
        <w:lang w:val="fr-FR"/>
      </w:rPr>
      <w:tab/>
    </w:r>
    <w:r w:rsidR="006A6895">
      <w:rPr>
        <w:noProof/>
        <w:lang w:val="fr-FR" w:eastAsia="zh-TW"/>
      </w:rPr>
      <w:drawing>
        <wp:anchor distT="0" distB="0" distL="114300" distR="114300" simplePos="0" relativeHeight="251812864" behindDoc="1" locked="1" layoutInCell="1" allowOverlap="0" wp14:anchorId="4BE66454" wp14:editId="60A3BE95">
          <wp:simplePos x="0" y="0"/>
          <wp:positionH relativeFrom="margin">
            <wp:posOffset>4835525</wp:posOffset>
          </wp:positionH>
          <wp:positionV relativeFrom="margin">
            <wp:posOffset>8705215</wp:posOffset>
          </wp:positionV>
          <wp:extent cx="806450" cy="535940"/>
          <wp:effectExtent l="0" t="0" r="0" b="0"/>
          <wp:wrapThrough wrapText="bothSides">
            <wp:wrapPolygon edited="0">
              <wp:start x="0" y="0"/>
              <wp:lineTo x="0" y="20730"/>
              <wp:lineTo x="20920" y="20730"/>
              <wp:lineTo x="20920" y="0"/>
              <wp:lineTo x="0" y="0"/>
            </wp:wrapPolygon>
          </wp:wrapThrough>
          <wp:docPr id="4"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6450" cy="535940"/>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895" w:rsidRPr="00816DE4" w:rsidRDefault="00EE2AA6" w:rsidP="00DE5DF9">
    <w:pPr>
      <w:pStyle w:val="Footer"/>
      <w:rPr>
        <w:rFonts w:cs="Arial"/>
        <w:szCs w:val="16"/>
        <w:lang w:val="fr-FR"/>
      </w:rPr>
    </w:pPr>
    <w:r w:rsidRPr="006021AD">
      <w:rPr>
        <w:rFonts w:cs="Arial"/>
        <w:noProof/>
        <w:sz w:val="22"/>
        <w:lang w:val="fr-FR" w:eastAsia="zh-TW"/>
      </w:rPr>
      <w:drawing>
        <wp:anchor distT="0" distB="0" distL="114300" distR="114300" simplePos="0" relativeHeight="251821056" behindDoc="0" locked="0" layoutInCell="1" allowOverlap="1" wp14:anchorId="1E06F369" wp14:editId="0BB4CF33">
          <wp:simplePos x="0" y="0"/>
          <wp:positionH relativeFrom="column">
            <wp:posOffset>2561590</wp:posOffset>
          </wp:positionH>
          <wp:positionV relativeFrom="paragraph">
            <wp:posOffset>1270</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6A6895">
      <w:rPr>
        <w:rFonts w:cs="Arial"/>
        <w:szCs w:val="16"/>
        <w:lang w:val="fr-FR"/>
      </w:rPr>
      <w:t>U017-v1.1</w:t>
    </w:r>
    <w:r w:rsidR="006A6895" w:rsidRPr="00DE5DF9">
      <w:rPr>
        <w:rFonts w:cs="Arial"/>
        <w:szCs w:val="16"/>
        <w:lang w:val="fr-FR"/>
      </w:rPr>
      <w:t>-FN-FR</w:t>
    </w:r>
    <w:r w:rsidR="006A6895" w:rsidRPr="00DE5DF9">
      <w:rPr>
        <w:rFonts w:cs="Arial"/>
        <w:szCs w:val="16"/>
        <w:lang w:val="fr-FR"/>
      </w:rPr>
      <w:tab/>
    </w:r>
    <w:r w:rsidR="006A6895" w:rsidRPr="00DE5DF9">
      <w:rPr>
        <w:rFonts w:cs="Arial"/>
        <w:szCs w:val="16"/>
        <w:lang w:val="fr-FR"/>
      </w:rPr>
      <w:tab/>
    </w:r>
    <w:r w:rsidR="006A6895">
      <w:rPr>
        <w:noProof/>
        <w:lang w:val="fr-FR" w:eastAsia="zh-TW"/>
      </w:rPr>
      <w:drawing>
        <wp:anchor distT="0" distB="0" distL="114300" distR="114300" simplePos="0" relativeHeight="251808768" behindDoc="1" locked="1" layoutInCell="1" allowOverlap="0" wp14:anchorId="20D45DC9" wp14:editId="0E1E9D39">
          <wp:simplePos x="0" y="0"/>
          <wp:positionH relativeFrom="margin">
            <wp:posOffset>4822825</wp:posOffset>
          </wp:positionH>
          <wp:positionV relativeFrom="margin">
            <wp:posOffset>8667115</wp:posOffset>
          </wp:positionV>
          <wp:extent cx="806450" cy="535940"/>
          <wp:effectExtent l="0" t="0" r="0" b="0"/>
          <wp:wrapThrough wrapText="bothSides">
            <wp:wrapPolygon edited="0">
              <wp:start x="0" y="0"/>
              <wp:lineTo x="0" y="20730"/>
              <wp:lineTo x="20920" y="20730"/>
              <wp:lineTo x="20920" y="0"/>
              <wp:lineTo x="0" y="0"/>
            </wp:wrapPolygon>
          </wp:wrapThrough>
          <wp:docPr id="67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6450" cy="53594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895" w:rsidRDefault="006A6895" w:rsidP="000A699C">
      <w:pPr>
        <w:spacing w:before="0" w:after="0"/>
      </w:pPr>
      <w:r>
        <w:separator/>
      </w:r>
    </w:p>
  </w:footnote>
  <w:footnote w:type="continuationSeparator" w:id="0">
    <w:p w:rsidR="006A6895" w:rsidRDefault="006A6895" w:rsidP="000A699C">
      <w:pPr>
        <w:spacing w:before="0" w:after="0"/>
      </w:pPr>
      <w:r>
        <w:continuationSeparator/>
      </w:r>
    </w:p>
  </w:footnote>
  <w:footnote w:id="1">
    <w:p w:rsidR="006A6895" w:rsidRPr="00D615F3" w:rsidRDefault="006A6895" w:rsidP="00D615F3">
      <w:pPr>
        <w:pStyle w:val="FootnoteText"/>
        <w:rPr>
          <w:lang w:val="fr-FR"/>
        </w:rPr>
      </w:pPr>
      <w:r w:rsidRPr="00713D60">
        <w:rPr>
          <w:rStyle w:val="FootnoteReference"/>
          <w:vertAlign w:val="baseline"/>
          <w:lang w:val="fr-FR"/>
        </w:rPr>
        <w:t>1</w:t>
      </w:r>
      <w:r w:rsidRPr="00713D60">
        <w:rPr>
          <w:lang w:val="fr-FR"/>
        </w:rPr>
        <w:t>.</w:t>
      </w:r>
      <w:r w:rsidRPr="00713D60">
        <w:rPr>
          <w:lang w:val="fr-FR"/>
        </w:rPr>
        <w:tab/>
        <w:t>Fréquemment appelée « Convention du patrimoine immatériel », « Convention de 2003 », et aux fins de la présente unité, dite simplement « la Convention ».</w:t>
      </w:r>
    </w:p>
  </w:footnote>
  <w:footnote w:id="2">
    <w:p w:rsidR="006A6895" w:rsidRPr="00713D60" w:rsidRDefault="006A6895" w:rsidP="00713D60">
      <w:pPr>
        <w:pStyle w:val="FootnoteText"/>
        <w:rPr>
          <w:rStyle w:val="FootnoteReference"/>
          <w:vertAlign w:val="baseline"/>
        </w:rPr>
      </w:pPr>
      <w:r w:rsidRPr="00713D60">
        <w:rPr>
          <w:rStyle w:val="FootnoteReference"/>
          <w:vertAlign w:val="baseline"/>
        </w:rPr>
        <w:footnoteRef/>
      </w:r>
      <w:r>
        <w:rPr>
          <w:rStyle w:val="FootnoteReference"/>
          <w:vertAlign w:val="baseline"/>
        </w:rPr>
        <w:t>.</w:t>
      </w:r>
      <w:r>
        <w:rPr>
          <w:rStyle w:val="FootnoteReference"/>
          <w:vertAlign w:val="baseline"/>
        </w:rPr>
        <w:tab/>
      </w:r>
      <w:r w:rsidRPr="00713D60">
        <w:rPr>
          <w:rStyle w:val="FootnoteReference"/>
          <w:vertAlign w:val="baseline"/>
        </w:rPr>
        <w:t xml:space="preserve">UNESCO. </w:t>
      </w:r>
      <w:proofErr w:type="spellStart"/>
      <w:r w:rsidRPr="00713D60">
        <w:rPr>
          <w:rStyle w:val="FootnoteReference"/>
          <w:vertAlign w:val="baseline"/>
        </w:rPr>
        <w:t>Textes</w:t>
      </w:r>
      <w:proofErr w:type="spellEnd"/>
      <w:r w:rsidRPr="00713D60">
        <w:rPr>
          <w:rStyle w:val="FootnoteReference"/>
          <w:vertAlign w:val="baseline"/>
        </w:rPr>
        <w:t xml:space="preserve"> </w:t>
      </w:r>
      <w:proofErr w:type="spellStart"/>
      <w:r w:rsidRPr="00713D60">
        <w:rPr>
          <w:rStyle w:val="FootnoteReference"/>
          <w:vertAlign w:val="baseline"/>
        </w:rPr>
        <w:t>fondamentaux</w:t>
      </w:r>
      <w:proofErr w:type="spellEnd"/>
      <w:r w:rsidRPr="00713D60">
        <w:rPr>
          <w:rStyle w:val="FootnoteReference"/>
          <w:vertAlign w:val="baseline"/>
        </w:rPr>
        <w:t xml:space="preserve"> de la Convention de 2003 pour la </w:t>
      </w:r>
      <w:proofErr w:type="spellStart"/>
      <w:r w:rsidRPr="00713D60">
        <w:rPr>
          <w:rStyle w:val="FootnoteReference"/>
          <w:vertAlign w:val="baseline"/>
        </w:rPr>
        <w:t>sauvegarde</w:t>
      </w:r>
      <w:proofErr w:type="spellEnd"/>
      <w:r w:rsidRPr="00713D60">
        <w:rPr>
          <w:rStyle w:val="FootnoteReference"/>
          <w:vertAlign w:val="baseline"/>
        </w:rPr>
        <w:t xml:space="preserve"> du </w:t>
      </w:r>
      <w:proofErr w:type="spellStart"/>
      <w:r w:rsidRPr="00713D60">
        <w:rPr>
          <w:rStyle w:val="FootnoteReference"/>
          <w:vertAlign w:val="baseline"/>
        </w:rPr>
        <w:t>patrimoine</w:t>
      </w:r>
      <w:proofErr w:type="spellEnd"/>
      <w:r w:rsidRPr="00713D60">
        <w:rPr>
          <w:rStyle w:val="FootnoteReference"/>
          <w:vertAlign w:val="baseline"/>
        </w:rPr>
        <w:t xml:space="preserve"> </w:t>
      </w:r>
      <w:proofErr w:type="spellStart"/>
      <w:r w:rsidRPr="00713D60">
        <w:rPr>
          <w:rStyle w:val="FootnoteReference"/>
          <w:vertAlign w:val="baseline"/>
        </w:rPr>
        <w:t>culturel</w:t>
      </w:r>
      <w:proofErr w:type="spellEnd"/>
      <w:r w:rsidRPr="00713D60">
        <w:rPr>
          <w:rStyle w:val="FootnoteReference"/>
          <w:vertAlign w:val="baseline"/>
        </w:rPr>
        <w:t xml:space="preserve"> </w:t>
      </w:r>
      <w:proofErr w:type="spellStart"/>
      <w:r w:rsidRPr="00713D60">
        <w:rPr>
          <w:rStyle w:val="FootnoteReference"/>
          <w:vertAlign w:val="baseline"/>
        </w:rPr>
        <w:t>immatériel</w:t>
      </w:r>
      <w:proofErr w:type="spellEnd"/>
      <w:r w:rsidRPr="00713D60">
        <w:rPr>
          <w:rStyle w:val="FootnoteReference"/>
          <w:vertAlign w:val="baseline"/>
        </w:rPr>
        <w:t xml:space="preserve"> (</w:t>
      </w:r>
      <w:proofErr w:type="spellStart"/>
      <w:r w:rsidRPr="00713D60">
        <w:rPr>
          <w:rStyle w:val="FootnoteReference"/>
          <w:vertAlign w:val="baseline"/>
        </w:rPr>
        <w:t>dénommé</w:t>
      </w:r>
      <w:proofErr w:type="spellEnd"/>
      <w:r w:rsidRPr="00713D60">
        <w:rPr>
          <w:rStyle w:val="FootnoteReference"/>
          <w:vertAlign w:val="baseline"/>
        </w:rPr>
        <w:t xml:space="preserve"> ci-après ‘</w:t>
      </w:r>
      <w:proofErr w:type="spellStart"/>
      <w:r w:rsidRPr="00713D60">
        <w:rPr>
          <w:rStyle w:val="FootnoteReference"/>
          <w:vertAlign w:val="baseline"/>
        </w:rPr>
        <w:t>Textes</w:t>
      </w:r>
      <w:proofErr w:type="spellEnd"/>
      <w:r w:rsidRPr="00713D60">
        <w:rPr>
          <w:rStyle w:val="FootnoteReference"/>
          <w:vertAlign w:val="baseline"/>
        </w:rPr>
        <w:t xml:space="preserve"> </w:t>
      </w:r>
      <w:proofErr w:type="spellStart"/>
      <w:r w:rsidRPr="00713D60">
        <w:rPr>
          <w:rStyle w:val="FootnoteReference"/>
          <w:vertAlign w:val="baseline"/>
        </w:rPr>
        <w:t>fondamentaux</w:t>
      </w:r>
      <w:proofErr w:type="spellEnd"/>
      <w:r w:rsidRPr="00713D60">
        <w:rPr>
          <w:rStyle w:val="FootnoteReference"/>
          <w:vertAlign w:val="baseline"/>
        </w:rPr>
        <w:t xml:space="preserve">’). Paris, UNESCO. </w:t>
      </w:r>
      <w:proofErr w:type="spellStart"/>
      <w:r w:rsidRPr="00713D60">
        <w:rPr>
          <w:rStyle w:val="FootnoteReference"/>
          <w:vertAlign w:val="baseline"/>
        </w:rPr>
        <w:t>Disponible</w:t>
      </w:r>
      <w:proofErr w:type="spellEnd"/>
      <w:r w:rsidRPr="00713D60">
        <w:rPr>
          <w:rStyle w:val="FootnoteReference"/>
          <w:vertAlign w:val="baseline"/>
        </w:rPr>
        <w:t xml:space="preserve"> à </w:t>
      </w:r>
      <w:proofErr w:type="spellStart"/>
      <w:r w:rsidRPr="00713D60">
        <w:rPr>
          <w:rStyle w:val="FootnoteReference"/>
          <w:vertAlign w:val="baseline"/>
        </w:rPr>
        <w:t>l’adresse</w:t>
      </w:r>
      <w:proofErr w:type="spellEnd"/>
      <w:r w:rsidRPr="00713D60">
        <w:rPr>
          <w:rStyle w:val="FootnoteReference"/>
          <w:vertAlign w:val="baseline"/>
        </w:rPr>
        <w:t xml:space="preserve"> </w:t>
      </w:r>
      <w:hyperlink r:id="rId1" w:history="1">
        <w:r w:rsidRPr="00713D60">
          <w:rPr>
            <w:rStyle w:val="FootnoteReference"/>
            <w:vertAlign w:val="baseline"/>
          </w:rPr>
          <w:t>http://www.unesco.org/culture/ich/index.php?lg=fr&amp;pg=00503</w:t>
        </w:r>
      </w:hyperlink>
    </w:p>
  </w:footnote>
  <w:footnote w:id="3">
    <w:p w:rsidR="006A6895" w:rsidRPr="00D615F3" w:rsidRDefault="006A6895" w:rsidP="00713D60">
      <w:pPr>
        <w:pStyle w:val="FootnoteText"/>
      </w:pPr>
      <w:r w:rsidRPr="00713D60">
        <w:rPr>
          <w:rStyle w:val="FootnoteReference"/>
          <w:vertAlign w:val="baseline"/>
        </w:rPr>
        <w:footnoteRef/>
      </w:r>
      <w:r w:rsidRPr="00D615F3">
        <w:t>.</w:t>
      </w:r>
      <w:r w:rsidRPr="00D615F3">
        <w:tab/>
        <w:t xml:space="preserve">cf. https://treaties.un.org/doc/Publication/UNTS/Volume%201155/volume-1155-I-18232-French.pdf </w:t>
      </w:r>
    </w:p>
  </w:footnote>
  <w:footnote w:id="4">
    <w:p w:rsidR="006A6895" w:rsidRPr="00D615F3" w:rsidRDefault="006A6895" w:rsidP="004B4621">
      <w:pPr>
        <w:pStyle w:val="FootnoteText"/>
        <w:rPr>
          <w:lang w:val="fr-FR"/>
        </w:rPr>
      </w:pPr>
      <w:r w:rsidRPr="004B4621">
        <w:rPr>
          <w:rStyle w:val="FootnoteReference"/>
          <w:vertAlign w:val="baseline"/>
        </w:rPr>
        <w:footnoteRef/>
      </w:r>
      <w:r w:rsidRPr="00D615F3">
        <w:rPr>
          <w:lang w:val="fr-FR"/>
        </w:rPr>
        <w:t>.</w:t>
      </w:r>
      <w:r w:rsidRPr="00D615F3">
        <w:rPr>
          <w:lang w:val="fr-FR"/>
        </w:rPr>
        <w:tab/>
        <w:t xml:space="preserve">Parmi les sources figure l’entretien avec </w:t>
      </w:r>
      <w:proofErr w:type="spellStart"/>
      <w:r w:rsidRPr="00D615F3">
        <w:rPr>
          <w:lang w:val="fr-FR"/>
        </w:rPr>
        <w:t>Tvrtko</w:t>
      </w:r>
      <w:proofErr w:type="spellEnd"/>
      <w:r w:rsidRPr="00D615F3">
        <w:rPr>
          <w:lang w:val="fr-FR"/>
        </w:rPr>
        <w:t xml:space="preserve"> </w:t>
      </w:r>
      <w:proofErr w:type="spellStart"/>
      <w:r w:rsidRPr="00D615F3">
        <w:rPr>
          <w:lang w:val="fr-FR"/>
        </w:rPr>
        <w:t>Zebek</w:t>
      </w:r>
      <w:proofErr w:type="spellEnd"/>
      <w:r w:rsidRPr="00D615F3">
        <w:rPr>
          <w:lang w:val="fr-FR"/>
        </w:rPr>
        <w:t>, UNESCO, 16 février 2010.</w:t>
      </w:r>
    </w:p>
  </w:footnote>
  <w:footnote w:id="5">
    <w:p w:rsidR="006A6895" w:rsidRPr="00AD1813" w:rsidRDefault="006A6895" w:rsidP="00AD1813">
      <w:pPr>
        <w:pStyle w:val="FootnoteText"/>
      </w:pPr>
      <w:r w:rsidRPr="00AD1813">
        <w:rPr>
          <w:rStyle w:val="FootnoteReference"/>
          <w:vertAlign w:val="baseline"/>
        </w:rPr>
        <w:footnoteRef/>
      </w:r>
      <w:r w:rsidRPr="00D615F3">
        <w:rPr>
          <w:lang w:val="fr-FR"/>
        </w:rPr>
        <w:t>.</w:t>
      </w:r>
      <w:r w:rsidRPr="00D615F3">
        <w:rPr>
          <w:lang w:val="fr-FR"/>
        </w:rPr>
        <w:tab/>
        <w:t xml:space="preserve">Parmi les sources, on citera : L. </w:t>
      </w:r>
      <w:proofErr w:type="spellStart"/>
      <w:r w:rsidRPr="00D615F3">
        <w:rPr>
          <w:lang w:val="fr-FR"/>
        </w:rPr>
        <w:t>Lowthorp</w:t>
      </w:r>
      <w:proofErr w:type="spellEnd"/>
      <w:r w:rsidRPr="00D615F3">
        <w:rPr>
          <w:lang w:val="fr-FR"/>
        </w:rPr>
        <w:t xml:space="preserve">, ‘National Intangible Cultural </w:t>
      </w:r>
      <w:proofErr w:type="spellStart"/>
      <w:r w:rsidRPr="00D615F3">
        <w:rPr>
          <w:lang w:val="fr-FR"/>
        </w:rPr>
        <w:t>Heritage</w:t>
      </w:r>
      <w:proofErr w:type="spellEnd"/>
      <w:r w:rsidRPr="00D615F3">
        <w:rPr>
          <w:lang w:val="fr-FR"/>
        </w:rPr>
        <w:t xml:space="preserve"> (ICH) </w:t>
      </w:r>
      <w:proofErr w:type="spellStart"/>
      <w:r w:rsidRPr="00D615F3">
        <w:rPr>
          <w:lang w:val="fr-FR"/>
        </w:rPr>
        <w:t>Legislation</w:t>
      </w:r>
      <w:proofErr w:type="spellEnd"/>
      <w:r w:rsidRPr="00D615F3">
        <w:rPr>
          <w:lang w:val="fr-FR"/>
        </w:rPr>
        <w:t xml:space="preserve"> and Initiatives’, UNESCO-New Delhi Field Office, 2010; Entretien avec Londres Fonseca, UNESCO, 16 février 2010; A. </w:t>
      </w:r>
      <w:proofErr w:type="spellStart"/>
      <w:r w:rsidRPr="00D615F3">
        <w:rPr>
          <w:lang w:val="fr-FR"/>
        </w:rPr>
        <w:t>Arantes</w:t>
      </w:r>
      <w:proofErr w:type="spellEnd"/>
      <w:r w:rsidRPr="00D615F3">
        <w:rPr>
          <w:lang w:val="fr-FR"/>
        </w:rPr>
        <w:t xml:space="preserve">, </w:t>
      </w:r>
      <w:proofErr w:type="spellStart"/>
      <w:r w:rsidRPr="00D615F3">
        <w:rPr>
          <w:lang w:val="fr-FR"/>
        </w:rPr>
        <w:t>Documenting</w:t>
      </w:r>
      <w:proofErr w:type="spellEnd"/>
      <w:r w:rsidRPr="00D615F3">
        <w:rPr>
          <w:lang w:val="fr-FR"/>
        </w:rPr>
        <w:t xml:space="preserve"> and </w:t>
      </w:r>
      <w:proofErr w:type="spellStart"/>
      <w:r w:rsidRPr="00D615F3">
        <w:rPr>
          <w:lang w:val="fr-FR"/>
        </w:rPr>
        <w:t>Disseminating</w:t>
      </w:r>
      <w:proofErr w:type="spellEnd"/>
      <w:r w:rsidRPr="00D615F3">
        <w:rPr>
          <w:lang w:val="fr-FR"/>
        </w:rPr>
        <w:t xml:space="preserve"> </w:t>
      </w:r>
      <w:proofErr w:type="spellStart"/>
      <w:r w:rsidRPr="00D615F3">
        <w:rPr>
          <w:lang w:val="fr-FR"/>
        </w:rPr>
        <w:t>Traditional</w:t>
      </w:r>
      <w:proofErr w:type="spellEnd"/>
      <w:r w:rsidRPr="00D615F3">
        <w:rPr>
          <w:lang w:val="fr-FR"/>
        </w:rPr>
        <w:t xml:space="preserve"> </w:t>
      </w:r>
      <w:proofErr w:type="spellStart"/>
      <w:r w:rsidRPr="00D615F3">
        <w:rPr>
          <w:lang w:val="fr-FR"/>
        </w:rPr>
        <w:t>Knowledge</w:t>
      </w:r>
      <w:proofErr w:type="spellEnd"/>
      <w:r w:rsidRPr="00D615F3">
        <w:rPr>
          <w:lang w:val="fr-FR"/>
        </w:rPr>
        <w:t xml:space="preserve"> and Cultural Expressions in </w:t>
      </w:r>
      <w:proofErr w:type="spellStart"/>
      <w:r w:rsidRPr="00D615F3">
        <w:rPr>
          <w:lang w:val="fr-FR"/>
        </w:rPr>
        <w:t>Brazil</w:t>
      </w:r>
      <w:proofErr w:type="spellEnd"/>
      <w:r w:rsidRPr="00D615F3">
        <w:rPr>
          <w:lang w:val="fr-FR"/>
        </w:rPr>
        <w:t xml:space="preserve">, vol. </w:t>
      </w:r>
      <w:r w:rsidRPr="00AD1813">
        <w:t xml:space="preserve">II Brazil Intellectual Property and Heritage Legislation, Institutional Guidelines and Instruments, Prepared for the World Intellectual Property Organization (WIPO): </w:t>
      </w:r>
      <w:hyperlink r:id="rId2" w:history="1">
        <w:r w:rsidRPr="00AD1813">
          <w:rPr>
            <w:rStyle w:val="Hyperlink"/>
            <w:color w:val="auto"/>
            <w:u w:val="none"/>
          </w:rPr>
          <w:t>http://www.wipo.int/export/sites/www/tk/en/culturalheritage/casestudies/arantes_report_vol2.pdf</w:t>
        </w:r>
      </w:hyperlink>
      <w:r w:rsidRPr="00AD1813">
        <w:t xml:space="preserve"> (</w:t>
      </w:r>
      <w:proofErr w:type="spellStart"/>
      <w:r w:rsidRPr="00AD1813">
        <w:t>en</w:t>
      </w:r>
      <w:proofErr w:type="spellEnd"/>
      <w:r w:rsidRPr="00AD1813">
        <w:t xml:space="preserve"> </w:t>
      </w:r>
      <w:proofErr w:type="spellStart"/>
      <w:r w:rsidRPr="00AD1813">
        <w:t>anglais</w:t>
      </w:r>
      <w:proofErr w:type="spellEnd"/>
      <w:r w:rsidRPr="00AD1813">
        <w:t>)</w:t>
      </w:r>
    </w:p>
  </w:footnote>
  <w:footnote w:id="6">
    <w:p w:rsidR="006A6895" w:rsidRPr="00D615F3" w:rsidRDefault="006A6895" w:rsidP="00D615F3">
      <w:pPr>
        <w:pStyle w:val="FootnoteText"/>
        <w:rPr>
          <w:lang w:val="fr-FR"/>
        </w:rPr>
      </w:pPr>
      <w:r w:rsidRPr="00894AB9">
        <w:rPr>
          <w:rStyle w:val="FootnoteReference"/>
          <w:vertAlign w:val="baseline"/>
        </w:rPr>
        <w:footnoteRef/>
      </w:r>
      <w:r w:rsidRPr="00B347CB">
        <w:rPr>
          <w:lang w:val="fr-FR"/>
        </w:rPr>
        <w:t>.</w:t>
      </w:r>
      <w:r w:rsidRPr="00B347CB">
        <w:rPr>
          <w:lang w:val="fr-FR"/>
        </w:rPr>
        <w:tab/>
        <w:t xml:space="preserve">Entretien avec </w:t>
      </w:r>
      <w:proofErr w:type="spellStart"/>
      <w:r w:rsidRPr="00B347CB">
        <w:rPr>
          <w:lang w:val="fr-FR"/>
        </w:rPr>
        <w:t>Silverse</w:t>
      </w:r>
      <w:proofErr w:type="spellEnd"/>
      <w:r w:rsidRPr="00B347CB">
        <w:rPr>
          <w:lang w:val="fr-FR"/>
        </w:rPr>
        <w:t xml:space="preserve"> </w:t>
      </w:r>
      <w:proofErr w:type="spellStart"/>
      <w:r w:rsidRPr="00B347CB">
        <w:rPr>
          <w:lang w:val="fr-FR"/>
        </w:rPr>
        <w:t>Anami</w:t>
      </w:r>
      <w:proofErr w:type="spellEnd"/>
      <w:r w:rsidRPr="00B347CB">
        <w:rPr>
          <w:lang w:val="fr-FR"/>
        </w:rPr>
        <w:t>, UNESCO, 16 février 2010.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895" w:rsidRDefault="006A6895" w:rsidP="003F5D6E">
    <w:pPr>
      <w:pStyle w:val="Header"/>
      <w:framePr w:wrap="around" w:vAnchor="text" w:hAnchor="margin" w:xAlign="outside" w:y="1"/>
      <w:rPr>
        <w:rStyle w:val="PageNumber"/>
        <w:rFonts w:eastAsia="SimSun" w:cs="Arial"/>
        <w:snapToGrid w:val="0"/>
        <w:sz w:val="22"/>
        <w:szCs w:val="24"/>
        <w:lang w:val="en-US" w:eastAsia="zh-CN"/>
      </w:rPr>
    </w:pPr>
    <w:r>
      <w:rPr>
        <w:rStyle w:val="PageNumber"/>
      </w:rPr>
      <w:fldChar w:fldCharType="begin"/>
    </w:r>
    <w:r>
      <w:rPr>
        <w:rStyle w:val="PageNumber"/>
      </w:rPr>
      <w:instrText xml:space="preserve"> PAGE </w:instrText>
    </w:r>
    <w:r>
      <w:rPr>
        <w:rStyle w:val="PageNumber"/>
      </w:rPr>
      <w:fldChar w:fldCharType="separate"/>
    </w:r>
    <w:r w:rsidR="00614FD4">
      <w:rPr>
        <w:rStyle w:val="PageNumber"/>
        <w:noProof/>
      </w:rPr>
      <w:t>20</w:t>
    </w:r>
    <w:r>
      <w:rPr>
        <w:rStyle w:val="PageNumber"/>
      </w:rPr>
      <w:fldChar w:fldCharType="end"/>
    </w:r>
  </w:p>
  <w:p w:rsidR="006A6895" w:rsidRPr="00816DE4" w:rsidRDefault="00816DE4" w:rsidP="00816DE4">
    <w:pPr>
      <w:pStyle w:val="Header"/>
      <w:ind w:right="360" w:firstLine="360"/>
      <w:rPr>
        <w:rFonts w:cs="Arial"/>
        <w:szCs w:val="16"/>
        <w:lang w:val="fr-FR"/>
      </w:rPr>
    </w:pPr>
    <w:r>
      <w:rPr>
        <w:rFonts w:cs="Arial"/>
        <w:szCs w:val="16"/>
        <w:lang w:val="fr-FR"/>
      </w:rPr>
      <w:tab/>
    </w:r>
    <w:r w:rsidR="006A6895" w:rsidRPr="00DE5DF9">
      <w:rPr>
        <w:rFonts w:cs="Arial"/>
        <w:szCs w:val="16"/>
        <w:lang w:val="fr-FR"/>
      </w:rPr>
      <w:t>Unité 17 : Ratification de la Convention</w:t>
    </w:r>
    <w:r w:rsidR="006A6895">
      <w:rPr>
        <w:rFonts w:cs="Arial"/>
        <w:szCs w:val="16"/>
        <w:lang w:val="fr-FR"/>
      </w:rPr>
      <w:tab/>
      <w:t xml:space="preserve">Notes du </w:t>
    </w:r>
    <w:r w:rsidR="006A6895" w:rsidRPr="003F5D6E">
      <w:rPr>
        <w:rFonts w:cs="Arial"/>
        <w:szCs w:val="16"/>
        <w:lang w:val="fr-FR"/>
      </w:rPr>
      <w:t>facilitateur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895" w:rsidRPr="00504540" w:rsidRDefault="006A6895" w:rsidP="003F5D6E">
    <w:pPr>
      <w:pStyle w:val="Header"/>
      <w:framePr w:wrap="around" w:vAnchor="text" w:hAnchor="margin" w:xAlign="outside" w:y="1"/>
      <w:rPr>
        <w:rStyle w:val="PageNumber"/>
        <w:rFonts w:eastAsia="SimSun" w:cs="Arial"/>
        <w:snapToGrid w:val="0"/>
        <w:sz w:val="22"/>
        <w:szCs w:val="24"/>
        <w:lang w:val="fr-FR" w:eastAsia="zh-CN"/>
      </w:rPr>
    </w:pPr>
    <w:r>
      <w:rPr>
        <w:rStyle w:val="PageNumber"/>
      </w:rPr>
      <w:fldChar w:fldCharType="begin"/>
    </w:r>
    <w:r>
      <w:rPr>
        <w:rStyle w:val="PageNumber"/>
      </w:rPr>
      <w:instrText xml:space="preserve">PAGE  </w:instrText>
    </w:r>
    <w:r>
      <w:rPr>
        <w:rStyle w:val="PageNumber"/>
      </w:rPr>
      <w:fldChar w:fldCharType="separate"/>
    </w:r>
    <w:r w:rsidR="00614FD4">
      <w:rPr>
        <w:rStyle w:val="PageNumber"/>
        <w:noProof/>
      </w:rPr>
      <w:t>21</w:t>
    </w:r>
    <w:r>
      <w:rPr>
        <w:rStyle w:val="PageNumber"/>
      </w:rPr>
      <w:fldChar w:fldCharType="end"/>
    </w:r>
  </w:p>
  <w:p w:rsidR="006A6895" w:rsidRPr="00AF6145" w:rsidRDefault="006A6895" w:rsidP="00816DE4">
    <w:pPr>
      <w:pStyle w:val="Header"/>
      <w:ind w:right="360"/>
      <w:jc w:val="both"/>
      <w:rPr>
        <w:rFonts w:cs="Arial"/>
        <w:szCs w:val="16"/>
        <w:lang w:val="fr-FR"/>
      </w:rPr>
    </w:pPr>
    <w:r>
      <w:rPr>
        <w:rFonts w:cs="Arial"/>
        <w:szCs w:val="16"/>
        <w:lang w:val="fr-FR"/>
      </w:rPr>
      <w:t xml:space="preserve"> Notes du </w:t>
    </w:r>
    <w:r w:rsidRPr="003F5D6E">
      <w:rPr>
        <w:rFonts w:cs="Arial"/>
        <w:szCs w:val="16"/>
        <w:lang w:val="fr-FR"/>
      </w:rPr>
      <w:t>facilitateur</w:t>
    </w:r>
    <w:r w:rsidR="00816DE4">
      <w:rPr>
        <w:rFonts w:cs="Arial"/>
        <w:szCs w:val="16"/>
        <w:lang w:val="fr-FR"/>
      </w:rPr>
      <w:tab/>
    </w:r>
    <w:r w:rsidRPr="00DE5DF9">
      <w:rPr>
        <w:rFonts w:cs="Arial"/>
        <w:szCs w:val="16"/>
        <w:lang w:val="fr-FR"/>
      </w:rPr>
      <w:t>Unité 17 : Ratification de la Convention</w:t>
    </w:r>
    <w:r w:rsidR="00816DE4">
      <w:rPr>
        <w:rFonts w:cs="Arial"/>
        <w:szCs w:val="16"/>
        <w:lang w:val="fr-FR"/>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895" w:rsidRPr="00DE5DF9" w:rsidRDefault="006A6895" w:rsidP="00DE5DF9">
    <w:pPr>
      <w:pStyle w:val="Header"/>
      <w:jc w:val="center"/>
      <w:rPr>
        <w:lang w:val="fr-FR"/>
      </w:rPr>
    </w:pPr>
    <w:r w:rsidRPr="00DE5DF9">
      <w:rPr>
        <w:lang w:val="fr-FR"/>
      </w:rPr>
      <w:t>Notes du facilitateur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7CAB0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865D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3665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644D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E24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941D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9E02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BCFD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9" w15:restartNumberingAfterBreak="0">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0588587D"/>
    <w:multiLevelType w:val="hybridMultilevel"/>
    <w:tmpl w:val="DF58DEA8"/>
    <w:lvl w:ilvl="0" w:tplc="F4AC2EF0">
      <w:start w:val="1"/>
      <w:numFmt w:val="lowerLetter"/>
      <w:lvlText w:val="(%1)"/>
      <w:lvlJc w:val="left"/>
      <w:pPr>
        <w:tabs>
          <w:tab w:val="num" w:pos="-360"/>
        </w:tabs>
        <w:ind w:left="720" w:hanging="360"/>
      </w:pPr>
      <w:rPr>
        <w:rFonts w:cs="Times New Roman" w:hint="default"/>
      </w:rPr>
    </w:lvl>
    <w:lvl w:ilvl="1" w:tplc="08090019" w:tentative="1">
      <w:start w:val="1"/>
      <w:numFmt w:val="lowerLetter"/>
      <w:lvlText w:val="%2."/>
      <w:lvlJc w:val="left"/>
      <w:pPr>
        <w:tabs>
          <w:tab w:val="num" w:pos="1233"/>
        </w:tabs>
        <w:ind w:left="1233" w:hanging="360"/>
      </w:pPr>
      <w:rPr>
        <w:rFonts w:cs="Times New Roman"/>
      </w:rPr>
    </w:lvl>
    <w:lvl w:ilvl="2" w:tplc="0809001B" w:tentative="1">
      <w:start w:val="1"/>
      <w:numFmt w:val="lowerRoman"/>
      <w:lvlText w:val="%3."/>
      <w:lvlJc w:val="right"/>
      <w:pPr>
        <w:tabs>
          <w:tab w:val="num" w:pos="1953"/>
        </w:tabs>
        <w:ind w:left="1953" w:hanging="180"/>
      </w:pPr>
      <w:rPr>
        <w:rFonts w:cs="Times New Roman"/>
      </w:rPr>
    </w:lvl>
    <w:lvl w:ilvl="3" w:tplc="0809000F" w:tentative="1">
      <w:start w:val="1"/>
      <w:numFmt w:val="decimal"/>
      <w:lvlText w:val="%4."/>
      <w:lvlJc w:val="left"/>
      <w:pPr>
        <w:tabs>
          <w:tab w:val="num" w:pos="2673"/>
        </w:tabs>
        <w:ind w:left="2673" w:hanging="360"/>
      </w:pPr>
      <w:rPr>
        <w:rFonts w:cs="Times New Roman"/>
      </w:rPr>
    </w:lvl>
    <w:lvl w:ilvl="4" w:tplc="08090019" w:tentative="1">
      <w:start w:val="1"/>
      <w:numFmt w:val="lowerLetter"/>
      <w:lvlText w:val="%5."/>
      <w:lvlJc w:val="left"/>
      <w:pPr>
        <w:tabs>
          <w:tab w:val="num" w:pos="3393"/>
        </w:tabs>
        <w:ind w:left="3393" w:hanging="360"/>
      </w:pPr>
      <w:rPr>
        <w:rFonts w:cs="Times New Roman"/>
      </w:rPr>
    </w:lvl>
    <w:lvl w:ilvl="5" w:tplc="0809001B" w:tentative="1">
      <w:start w:val="1"/>
      <w:numFmt w:val="lowerRoman"/>
      <w:lvlText w:val="%6."/>
      <w:lvlJc w:val="right"/>
      <w:pPr>
        <w:tabs>
          <w:tab w:val="num" w:pos="4113"/>
        </w:tabs>
        <w:ind w:left="4113" w:hanging="180"/>
      </w:pPr>
      <w:rPr>
        <w:rFonts w:cs="Times New Roman"/>
      </w:rPr>
    </w:lvl>
    <w:lvl w:ilvl="6" w:tplc="0809000F" w:tentative="1">
      <w:start w:val="1"/>
      <w:numFmt w:val="decimal"/>
      <w:lvlText w:val="%7."/>
      <w:lvlJc w:val="left"/>
      <w:pPr>
        <w:tabs>
          <w:tab w:val="num" w:pos="4833"/>
        </w:tabs>
        <w:ind w:left="4833" w:hanging="360"/>
      </w:pPr>
      <w:rPr>
        <w:rFonts w:cs="Times New Roman"/>
      </w:rPr>
    </w:lvl>
    <w:lvl w:ilvl="7" w:tplc="08090019" w:tentative="1">
      <w:start w:val="1"/>
      <w:numFmt w:val="lowerLetter"/>
      <w:lvlText w:val="%8."/>
      <w:lvlJc w:val="left"/>
      <w:pPr>
        <w:tabs>
          <w:tab w:val="num" w:pos="5553"/>
        </w:tabs>
        <w:ind w:left="5553" w:hanging="360"/>
      </w:pPr>
      <w:rPr>
        <w:rFonts w:cs="Times New Roman"/>
      </w:rPr>
    </w:lvl>
    <w:lvl w:ilvl="8" w:tplc="0809001B" w:tentative="1">
      <w:start w:val="1"/>
      <w:numFmt w:val="lowerRoman"/>
      <w:lvlText w:val="%9."/>
      <w:lvlJc w:val="right"/>
      <w:pPr>
        <w:tabs>
          <w:tab w:val="num" w:pos="6273"/>
        </w:tabs>
        <w:ind w:left="6273" w:hanging="180"/>
      </w:pPr>
      <w:rPr>
        <w:rFonts w:cs="Times New Roman"/>
      </w:rPr>
    </w:lvl>
  </w:abstractNum>
  <w:abstractNum w:abstractNumId="11" w15:restartNumberingAfterBreak="0">
    <w:nsid w:val="08567E0E"/>
    <w:multiLevelType w:val="hybridMultilevel"/>
    <w:tmpl w:val="71761D7A"/>
    <w:lvl w:ilvl="0" w:tplc="F4AC2EF0">
      <w:start w:val="1"/>
      <w:numFmt w:val="lowerLetter"/>
      <w:lvlText w:val="(%1)"/>
      <w:lvlJc w:val="left"/>
      <w:pPr>
        <w:tabs>
          <w:tab w:val="num" w:pos="-360"/>
        </w:tabs>
        <w:ind w:left="720" w:hanging="360"/>
      </w:pPr>
      <w:rPr>
        <w:rFonts w:cs="Times New Roman" w:hint="default"/>
      </w:rPr>
    </w:lvl>
    <w:lvl w:ilvl="1" w:tplc="08090019" w:tentative="1">
      <w:start w:val="1"/>
      <w:numFmt w:val="lowerLetter"/>
      <w:lvlText w:val="%2."/>
      <w:lvlJc w:val="left"/>
      <w:pPr>
        <w:tabs>
          <w:tab w:val="num" w:pos="1233"/>
        </w:tabs>
        <w:ind w:left="1233" w:hanging="360"/>
      </w:pPr>
      <w:rPr>
        <w:rFonts w:cs="Times New Roman"/>
      </w:rPr>
    </w:lvl>
    <w:lvl w:ilvl="2" w:tplc="0809001B" w:tentative="1">
      <w:start w:val="1"/>
      <w:numFmt w:val="lowerRoman"/>
      <w:lvlText w:val="%3."/>
      <w:lvlJc w:val="right"/>
      <w:pPr>
        <w:tabs>
          <w:tab w:val="num" w:pos="1953"/>
        </w:tabs>
        <w:ind w:left="1953" w:hanging="180"/>
      </w:pPr>
      <w:rPr>
        <w:rFonts w:cs="Times New Roman"/>
      </w:rPr>
    </w:lvl>
    <w:lvl w:ilvl="3" w:tplc="0809000F" w:tentative="1">
      <w:start w:val="1"/>
      <w:numFmt w:val="decimal"/>
      <w:lvlText w:val="%4."/>
      <w:lvlJc w:val="left"/>
      <w:pPr>
        <w:tabs>
          <w:tab w:val="num" w:pos="2673"/>
        </w:tabs>
        <w:ind w:left="2673" w:hanging="360"/>
      </w:pPr>
      <w:rPr>
        <w:rFonts w:cs="Times New Roman"/>
      </w:rPr>
    </w:lvl>
    <w:lvl w:ilvl="4" w:tplc="08090019" w:tentative="1">
      <w:start w:val="1"/>
      <w:numFmt w:val="lowerLetter"/>
      <w:lvlText w:val="%5."/>
      <w:lvlJc w:val="left"/>
      <w:pPr>
        <w:tabs>
          <w:tab w:val="num" w:pos="3393"/>
        </w:tabs>
        <w:ind w:left="3393" w:hanging="360"/>
      </w:pPr>
      <w:rPr>
        <w:rFonts w:cs="Times New Roman"/>
      </w:rPr>
    </w:lvl>
    <w:lvl w:ilvl="5" w:tplc="0809001B" w:tentative="1">
      <w:start w:val="1"/>
      <w:numFmt w:val="lowerRoman"/>
      <w:lvlText w:val="%6."/>
      <w:lvlJc w:val="right"/>
      <w:pPr>
        <w:tabs>
          <w:tab w:val="num" w:pos="4113"/>
        </w:tabs>
        <w:ind w:left="4113" w:hanging="180"/>
      </w:pPr>
      <w:rPr>
        <w:rFonts w:cs="Times New Roman"/>
      </w:rPr>
    </w:lvl>
    <w:lvl w:ilvl="6" w:tplc="0809000F" w:tentative="1">
      <w:start w:val="1"/>
      <w:numFmt w:val="decimal"/>
      <w:lvlText w:val="%7."/>
      <w:lvlJc w:val="left"/>
      <w:pPr>
        <w:tabs>
          <w:tab w:val="num" w:pos="4833"/>
        </w:tabs>
        <w:ind w:left="4833" w:hanging="360"/>
      </w:pPr>
      <w:rPr>
        <w:rFonts w:cs="Times New Roman"/>
      </w:rPr>
    </w:lvl>
    <w:lvl w:ilvl="7" w:tplc="08090019" w:tentative="1">
      <w:start w:val="1"/>
      <w:numFmt w:val="lowerLetter"/>
      <w:lvlText w:val="%8."/>
      <w:lvlJc w:val="left"/>
      <w:pPr>
        <w:tabs>
          <w:tab w:val="num" w:pos="5553"/>
        </w:tabs>
        <w:ind w:left="5553" w:hanging="360"/>
      </w:pPr>
      <w:rPr>
        <w:rFonts w:cs="Times New Roman"/>
      </w:rPr>
    </w:lvl>
    <w:lvl w:ilvl="8" w:tplc="0809001B" w:tentative="1">
      <w:start w:val="1"/>
      <w:numFmt w:val="lowerRoman"/>
      <w:lvlText w:val="%9."/>
      <w:lvlJc w:val="right"/>
      <w:pPr>
        <w:tabs>
          <w:tab w:val="num" w:pos="6273"/>
        </w:tabs>
        <w:ind w:left="6273" w:hanging="180"/>
      </w:pPr>
      <w:rPr>
        <w:rFonts w:cs="Times New Roman"/>
      </w:rPr>
    </w:lvl>
  </w:abstractNum>
  <w:abstractNum w:abstractNumId="12" w15:restartNumberingAfterBreak="0">
    <w:nsid w:val="09CE5975"/>
    <w:multiLevelType w:val="hybridMultilevel"/>
    <w:tmpl w:val="3ACAB2B4"/>
    <w:lvl w:ilvl="0" w:tplc="F4AC2EF0">
      <w:start w:val="1"/>
      <w:numFmt w:val="lowerLetter"/>
      <w:lvlText w:val="(%1)"/>
      <w:lvlJc w:val="left"/>
      <w:pPr>
        <w:tabs>
          <w:tab w:val="num" w:pos="-360"/>
        </w:tabs>
        <w:ind w:left="720" w:hanging="360"/>
      </w:pPr>
      <w:rPr>
        <w:rFonts w:cs="Times New Roman" w:hint="default"/>
      </w:rPr>
    </w:lvl>
    <w:lvl w:ilvl="1" w:tplc="08090019" w:tentative="1">
      <w:start w:val="1"/>
      <w:numFmt w:val="lowerLetter"/>
      <w:lvlText w:val="%2."/>
      <w:lvlJc w:val="left"/>
      <w:pPr>
        <w:tabs>
          <w:tab w:val="num" w:pos="1233"/>
        </w:tabs>
        <w:ind w:left="1233" w:hanging="360"/>
      </w:pPr>
      <w:rPr>
        <w:rFonts w:cs="Times New Roman"/>
      </w:rPr>
    </w:lvl>
    <w:lvl w:ilvl="2" w:tplc="0809001B" w:tentative="1">
      <w:start w:val="1"/>
      <w:numFmt w:val="lowerRoman"/>
      <w:lvlText w:val="%3."/>
      <w:lvlJc w:val="right"/>
      <w:pPr>
        <w:tabs>
          <w:tab w:val="num" w:pos="1953"/>
        </w:tabs>
        <w:ind w:left="1953" w:hanging="180"/>
      </w:pPr>
      <w:rPr>
        <w:rFonts w:cs="Times New Roman"/>
      </w:rPr>
    </w:lvl>
    <w:lvl w:ilvl="3" w:tplc="0809000F" w:tentative="1">
      <w:start w:val="1"/>
      <w:numFmt w:val="decimal"/>
      <w:lvlText w:val="%4."/>
      <w:lvlJc w:val="left"/>
      <w:pPr>
        <w:tabs>
          <w:tab w:val="num" w:pos="2673"/>
        </w:tabs>
        <w:ind w:left="2673" w:hanging="360"/>
      </w:pPr>
      <w:rPr>
        <w:rFonts w:cs="Times New Roman"/>
      </w:rPr>
    </w:lvl>
    <w:lvl w:ilvl="4" w:tplc="08090019" w:tentative="1">
      <w:start w:val="1"/>
      <w:numFmt w:val="lowerLetter"/>
      <w:lvlText w:val="%5."/>
      <w:lvlJc w:val="left"/>
      <w:pPr>
        <w:tabs>
          <w:tab w:val="num" w:pos="3393"/>
        </w:tabs>
        <w:ind w:left="3393" w:hanging="360"/>
      </w:pPr>
      <w:rPr>
        <w:rFonts w:cs="Times New Roman"/>
      </w:rPr>
    </w:lvl>
    <w:lvl w:ilvl="5" w:tplc="0809001B" w:tentative="1">
      <w:start w:val="1"/>
      <w:numFmt w:val="lowerRoman"/>
      <w:lvlText w:val="%6."/>
      <w:lvlJc w:val="right"/>
      <w:pPr>
        <w:tabs>
          <w:tab w:val="num" w:pos="4113"/>
        </w:tabs>
        <w:ind w:left="4113" w:hanging="180"/>
      </w:pPr>
      <w:rPr>
        <w:rFonts w:cs="Times New Roman"/>
      </w:rPr>
    </w:lvl>
    <w:lvl w:ilvl="6" w:tplc="0809000F" w:tentative="1">
      <w:start w:val="1"/>
      <w:numFmt w:val="decimal"/>
      <w:lvlText w:val="%7."/>
      <w:lvlJc w:val="left"/>
      <w:pPr>
        <w:tabs>
          <w:tab w:val="num" w:pos="4833"/>
        </w:tabs>
        <w:ind w:left="4833" w:hanging="360"/>
      </w:pPr>
      <w:rPr>
        <w:rFonts w:cs="Times New Roman"/>
      </w:rPr>
    </w:lvl>
    <w:lvl w:ilvl="7" w:tplc="08090019" w:tentative="1">
      <w:start w:val="1"/>
      <w:numFmt w:val="lowerLetter"/>
      <w:lvlText w:val="%8."/>
      <w:lvlJc w:val="left"/>
      <w:pPr>
        <w:tabs>
          <w:tab w:val="num" w:pos="5553"/>
        </w:tabs>
        <w:ind w:left="5553" w:hanging="360"/>
      </w:pPr>
      <w:rPr>
        <w:rFonts w:cs="Times New Roman"/>
      </w:rPr>
    </w:lvl>
    <w:lvl w:ilvl="8" w:tplc="0809001B" w:tentative="1">
      <w:start w:val="1"/>
      <w:numFmt w:val="lowerRoman"/>
      <w:lvlText w:val="%9."/>
      <w:lvlJc w:val="right"/>
      <w:pPr>
        <w:tabs>
          <w:tab w:val="num" w:pos="6273"/>
        </w:tabs>
        <w:ind w:left="6273" w:hanging="180"/>
      </w:pPr>
      <w:rPr>
        <w:rFonts w:cs="Times New Roman"/>
      </w:rPr>
    </w:lvl>
  </w:abstractNum>
  <w:abstractNum w:abstractNumId="13" w15:restartNumberingAfterBreak="0">
    <w:nsid w:val="0E115BBC"/>
    <w:multiLevelType w:val="hybridMultilevel"/>
    <w:tmpl w:val="29CCE288"/>
    <w:lvl w:ilvl="0" w:tplc="F4AC2EF0">
      <w:start w:val="1"/>
      <w:numFmt w:val="lowerLetter"/>
      <w:lvlText w:val="(%1)"/>
      <w:lvlJc w:val="left"/>
      <w:pPr>
        <w:tabs>
          <w:tab w:val="num" w:pos="-360"/>
        </w:tabs>
        <w:ind w:left="720" w:hanging="360"/>
      </w:pPr>
      <w:rPr>
        <w:rFonts w:cs="Times New Roman" w:hint="default"/>
      </w:rPr>
    </w:lvl>
    <w:lvl w:ilvl="1" w:tplc="08090019">
      <w:start w:val="1"/>
      <w:numFmt w:val="lowerLetter"/>
      <w:lvlText w:val="%2."/>
      <w:lvlJc w:val="left"/>
      <w:pPr>
        <w:tabs>
          <w:tab w:val="num" w:pos="1233"/>
        </w:tabs>
        <w:ind w:left="1233" w:hanging="360"/>
      </w:pPr>
      <w:rPr>
        <w:rFonts w:cs="Times New Roman"/>
      </w:rPr>
    </w:lvl>
    <w:lvl w:ilvl="2" w:tplc="0809001B" w:tentative="1">
      <w:start w:val="1"/>
      <w:numFmt w:val="lowerRoman"/>
      <w:lvlText w:val="%3."/>
      <w:lvlJc w:val="right"/>
      <w:pPr>
        <w:tabs>
          <w:tab w:val="num" w:pos="1953"/>
        </w:tabs>
        <w:ind w:left="1953" w:hanging="180"/>
      </w:pPr>
      <w:rPr>
        <w:rFonts w:cs="Times New Roman"/>
      </w:rPr>
    </w:lvl>
    <w:lvl w:ilvl="3" w:tplc="0809000F" w:tentative="1">
      <w:start w:val="1"/>
      <w:numFmt w:val="decimal"/>
      <w:lvlText w:val="%4."/>
      <w:lvlJc w:val="left"/>
      <w:pPr>
        <w:tabs>
          <w:tab w:val="num" w:pos="2673"/>
        </w:tabs>
        <w:ind w:left="2673" w:hanging="360"/>
      </w:pPr>
      <w:rPr>
        <w:rFonts w:cs="Times New Roman"/>
      </w:rPr>
    </w:lvl>
    <w:lvl w:ilvl="4" w:tplc="08090019" w:tentative="1">
      <w:start w:val="1"/>
      <w:numFmt w:val="lowerLetter"/>
      <w:lvlText w:val="%5."/>
      <w:lvlJc w:val="left"/>
      <w:pPr>
        <w:tabs>
          <w:tab w:val="num" w:pos="3393"/>
        </w:tabs>
        <w:ind w:left="3393" w:hanging="360"/>
      </w:pPr>
      <w:rPr>
        <w:rFonts w:cs="Times New Roman"/>
      </w:rPr>
    </w:lvl>
    <w:lvl w:ilvl="5" w:tplc="0809001B" w:tentative="1">
      <w:start w:val="1"/>
      <w:numFmt w:val="lowerRoman"/>
      <w:lvlText w:val="%6."/>
      <w:lvlJc w:val="right"/>
      <w:pPr>
        <w:tabs>
          <w:tab w:val="num" w:pos="4113"/>
        </w:tabs>
        <w:ind w:left="4113" w:hanging="180"/>
      </w:pPr>
      <w:rPr>
        <w:rFonts w:cs="Times New Roman"/>
      </w:rPr>
    </w:lvl>
    <w:lvl w:ilvl="6" w:tplc="0809000F" w:tentative="1">
      <w:start w:val="1"/>
      <w:numFmt w:val="decimal"/>
      <w:lvlText w:val="%7."/>
      <w:lvlJc w:val="left"/>
      <w:pPr>
        <w:tabs>
          <w:tab w:val="num" w:pos="4833"/>
        </w:tabs>
        <w:ind w:left="4833" w:hanging="360"/>
      </w:pPr>
      <w:rPr>
        <w:rFonts w:cs="Times New Roman"/>
      </w:rPr>
    </w:lvl>
    <w:lvl w:ilvl="7" w:tplc="08090019" w:tentative="1">
      <w:start w:val="1"/>
      <w:numFmt w:val="lowerLetter"/>
      <w:lvlText w:val="%8."/>
      <w:lvlJc w:val="left"/>
      <w:pPr>
        <w:tabs>
          <w:tab w:val="num" w:pos="5553"/>
        </w:tabs>
        <w:ind w:left="5553" w:hanging="360"/>
      </w:pPr>
      <w:rPr>
        <w:rFonts w:cs="Times New Roman"/>
      </w:rPr>
    </w:lvl>
    <w:lvl w:ilvl="8" w:tplc="0809001B" w:tentative="1">
      <w:start w:val="1"/>
      <w:numFmt w:val="lowerRoman"/>
      <w:lvlText w:val="%9."/>
      <w:lvlJc w:val="right"/>
      <w:pPr>
        <w:tabs>
          <w:tab w:val="num" w:pos="6273"/>
        </w:tabs>
        <w:ind w:left="6273" w:hanging="180"/>
      </w:pPr>
      <w:rPr>
        <w:rFonts w:cs="Times New Roman"/>
      </w:rPr>
    </w:lvl>
  </w:abstractNum>
  <w:abstractNum w:abstractNumId="14"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13BE1408"/>
    <w:multiLevelType w:val="hybridMultilevel"/>
    <w:tmpl w:val="3FFAEDB2"/>
    <w:lvl w:ilvl="0" w:tplc="F4AC2EF0">
      <w:start w:val="1"/>
      <w:numFmt w:val="lowerLetter"/>
      <w:lvlText w:val="(%1)"/>
      <w:lvlJc w:val="left"/>
      <w:pPr>
        <w:tabs>
          <w:tab w:val="num" w:pos="-360"/>
        </w:tabs>
        <w:ind w:left="720" w:hanging="360"/>
      </w:pPr>
      <w:rPr>
        <w:rFonts w:cs="Times New Roman" w:hint="default"/>
      </w:rPr>
    </w:lvl>
    <w:lvl w:ilvl="1" w:tplc="08090019" w:tentative="1">
      <w:start w:val="1"/>
      <w:numFmt w:val="lowerLetter"/>
      <w:lvlText w:val="%2."/>
      <w:lvlJc w:val="left"/>
      <w:pPr>
        <w:tabs>
          <w:tab w:val="num" w:pos="1233"/>
        </w:tabs>
        <w:ind w:left="1233" w:hanging="360"/>
      </w:pPr>
      <w:rPr>
        <w:rFonts w:cs="Times New Roman"/>
      </w:rPr>
    </w:lvl>
    <w:lvl w:ilvl="2" w:tplc="0809001B" w:tentative="1">
      <w:start w:val="1"/>
      <w:numFmt w:val="lowerRoman"/>
      <w:lvlText w:val="%3."/>
      <w:lvlJc w:val="right"/>
      <w:pPr>
        <w:tabs>
          <w:tab w:val="num" w:pos="1953"/>
        </w:tabs>
        <w:ind w:left="1953" w:hanging="180"/>
      </w:pPr>
      <w:rPr>
        <w:rFonts w:cs="Times New Roman"/>
      </w:rPr>
    </w:lvl>
    <w:lvl w:ilvl="3" w:tplc="0809000F" w:tentative="1">
      <w:start w:val="1"/>
      <w:numFmt w:val="decimal"/>
      <w:lvlText w:val="%4."/>
      <w:lvlJc w:val="left"/>
      <w:pPr>
        <w:tabs>
          <w:tab w:val="num" w:pos="2673"/>
        </w:tabs>
        <w:ind w:left="2673" w:hanging="360"/>
      </w:pPr>
      <w:rPr>
        <w:rFonts w:cs="Times New Roman"/>
      </w:rPr>
    </w:lvl>
    <w:lvl w:ilvl="4" w:tplc="08090019" w:tentative="1">
      <w:start w:val="1"/>
      <w:numFmt w:val="lowerLetter"/>
      <w:lvlText w:val="%5."/>
      <w:lvlJc w:val="left"/>
      <w:pPr>
        <w:tabs>
          <w:tab w:val="num" w:pos="3393"/>
        </w:tabs>
        <w:ind w:left="3393" w:hanging="360"/>
      </w:pPr>
      <w:rPr>
        <w:rFonts w:cs="Times New Roman"/>
      </w:rPr>
    </w:lvl>
    <w:lvl w:ilvl="5" w:tplc="0809001B" w:tentative="1">
      <w:start w:val="1"/>
      <w:numFmt w:val="lowerRoman"/>
      <w:lvlText w:val="%6."/>
      <w:lvlJc w:val="right"/>
      <w:pPr>
        <w:tabs>
          <w:tab w:val="num" w:pos="4113"/>
        </w:tabs>
        <w:ind w:left="4113" w:hanging="180"/>
      </w:pPr>
      <w:rPr>
        <w:rFonts w:cs="Times New Roman"/>
      </w:rPr>
    </w:lvl>
    <w:lvl w:ilvl="6" w:tplc="0809000F" w:tentative="1">
      <w:start w:val="1"/>
      <w:numFmt w:val="decimal"/>
      <w:lvlText w:val="%7."/>
      <w:lvlJc w:val="left"/>
      <w:pPr>
        <w:tabs>
          <w:tab w:val="num" w:pos="4833"/>
        </w:tabs>
        <w:ind w:left="4833" w:hanging="360"/>
      </w:pPr>
      <w:rPr>
        <w:rFonts w:cs="Times New Roman"/>
      </w:rPr>
    </w:lvl>
    <w:lvl w:ilvl="7" w:tplc="08090019" w:tentative="1">
      <w:start w:val="1"/>
      <w:numFmt w:val="lowerLetter"/>
      <w:lvlText w:val="%8."/>
      <w:lvlJc w:val="left"/>
      <w:pPr>
        <w:tabs>
          <w:tab w:val="num" w:pos="5553"/>
        </w:tabs>
        <w:ind w:left="5553" w:hanging="360"/>
      </w:pPr>
      <w:rPr>
        <w:rFonts w:cs="Times New Roman"/>
      </w:rPr>
    </w:lvl>
    <w:lvl w:ilvl="8" w:tplc="0809001B" w:tentative="1">
      <w:start w:val="1"/>
      <w:numFmt w:val="lowerRoman"/>
      <w:lvlText w:val="%9."/>
      <w:lvlJc w:val="right"/>
      <w:pPr>
        <w:tabs>
          <w:tab w:val="num" w:pos="6273"/>
        </w:tabs>
        <w:ind w:left="6273" w:hanging="180"/>
      </w:pPr>
      <w:rPr>
        <w:rFonts w:cs="Times New Roman"/>
      </w:rPr>
    </w:lvl>
  </w:abstractNum>
  <w:abstractNum w:abstractNumId="16" w15:restartNumberingAfterBreak="0">
    <w:nsid w:val="22013B20"/>
    <w:multiLevelType w:val="hybridMultilevel"/>
    <w:tmpl w:val="F4DE7B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3C730FC"/>
    <w:multiLevelType w:val="hybridMultilevel"/>
    <w:tmpl w:val="D6729014"/>
    <w:lvl w:ilvl="0" w:tplc="F4AC2EF0">
      <w:start w:val="1"/>
      <w:numFmt w:val="lowerLetter"/>
      <w:lvlText w:val="(%1)"/>
      <w:lvlJc w:val="left"/>
      <w:pPr>
        <w:tabs>
          <w:tab w:val="num" w:pos="-360"/>
        </w:tabs>
        <w:ind w:left="720" w:hanging="360"/>
      </w:pPr>
      <w:rPr>
        <w:rFonts w:cs="Times New Roman" w:hint="default"/>
      </w:rPr>
    </w:lvl>
    <w:lvl w:ilvl="1" w:tplc="08090019" w:tentative="1">
      <w:start w:val="1"/>
      <w:numFmt w:val="lowerLetter"/>
      <w:lvlText w:val="%2."/>
      <w:lvlJc w:val="left"/>
      <w:pPr>
        <w:tabs>
          <w:tab w:val="num" w:pos="1233"/>
        </w:tabs>
        <w:ind w:left="1233" w:hanging="360"/>
      </w:pPr>
      <w:rPr>
        <w:rFonts w:cs="Times New Roman"/>
      </w:rPr>
    </w:lvl>
    <w:lvl w:ilvl="2" w:tplc="0809001B" w:tentative="1">
      <w:start w:val="1"/>
      <w:numFmt w:val="lowerRoman"/>
      <w:lvlText w:val="%3."/>
      <w:lvlJc w:val="right"/>
      <w:pPr>
        <w:tabs>
          <w:tab w:val="num" w:pos="1953"/>
        </w:tabs>
        <w:ind w:left="1953" w:hanging="180"/>
      </w:pPr>
      <w:rPr>
        <w:rFonts w:cs="Times New Roman"/>
      </w:rPr>
    </w:lvl>
    <w:lvl w:ilvl="3" w:tplc="0809000F" w:tentative="1">
      <w:start w:val="1"/>
      <w:numFmt w:val="decimal"/>
      <w:lvlText w:val="%4."/>
      <w:lvlJc w:val="left"/>
      <w:pPr>
        <w:tabs>
          <w:tab w:val="num" w:pos="2673"/>
        </w:tabs>
        <w:ind w:left="2673" w:hanging="360"/>
      </w:pPr>
      <w:rPr>
        <w:rFonts w:cs="Times New Roman"/>
      </w:rPr>
    </w:lvl>
    <w:lvl w:ilvl="4" w:tplc="08090019" w:tentative="1">
      <w:start w:val="1"/>
      <w:numFmt w:val="lowerLetter"/>
      <w:lvlText w:val="%5."/>
      <w:lvlJc w:val="left"/>
      <w:pPr>
        <w:tabs>
          <w:tab w:val="num" w:pos="3393"/>
        </w:tabs>
        <w:ind w:left="3393" w:hanging="360"/>
      </w:pPr>
      <w:rPr>
        <w:rFonts w:cs="Times New Roman"/>
      </w:rPr>
    </w:lvl>
    <w:lvl w:ilvl="5" w:tplc="0809001B" w:tentative="1">
      <w:start w:val="1"/>
      <w:numFmt w:val="lowerRoman"/>
      <w:lvlText w:val="%6."/>
      <w:lvlJc w:val="right"/>
      <w:pPr>
        <w:tabs>
          <w:tab w:val="num" w:pos="4113"/>
        </w:tabs>
        <w:ind w:left="4113" w:hanging="180"/>
      </w:pPr>
      <w:rPr>
        <w:rFonts w:cs="Times New Roman"/>
      </w:rPr>
    </w:lvl>
    <w:lvl w:ilvl="6" w:tplc="0809000F" w:tentative="1">
      <w:start w:val="1"/>
      <w:numFmt w:val="decimal"/>
      <w:lvlText w:val="%7."/>
      <w:lvlJc w:val="left"/>
      <w:pPr>
        <w:tabs>
          <w:tab w:val="num" w:pos="4833"/>
        </w:tabs>
        <w:ind w:left="4833" w:hanging="360"/>
      </w:pPr>
      <w:rPr>
        <w:rFonts w:cs="Times New Roman"/>
      </w:rPr>
    </w:lvl>
    <w:lvl w:ilvl="7" w:tplc="08090019" w:tentative="1">
      <w:start w:val="1"/>
      <w:numFmt w:val="lowerLetter"/>
      <w:lvlText w:val="%8."/>
      <w:lvlJc w:val="left"/>
      <w:pPr>
        <w:tabs>
          <w:tab w:val="num" w:pos="5553"/>
        </w:tabs>
        <w:ind w:left="5553" w:hanging="360"/>
      </w:pPr>
      <w:rPr>
        <w:rFonts w:cs="Times New Roman"/>
      </w:rPr>
    </w:lvl>
    <w:lvl w:ilvl="8" w:tplc="0809001B" w:tentative="1">
      <w:start w:val="1"/>
      <w:numFmt w:val="lowerRoman"/>
      <w:lvlText w:val="%9."/>
      <w:lvlJc w:val="right"/>
      <w:pPr>
        <w:tabs>
          <w:tab w:val="num" w:pos="6273"/>
        </w:tabs>
        <w:ind w:left="6273" w:hanging="180"/>
      </w:pPr>
      <w:rPr>
        <w:rFonts w:cs="Times New Roman"/>
      </w:rPr>
    </w:lvl>
  </w:abstractNum>
  <w:abstractNum w:abstractNumId="18" w15:restartNumberingAfterBreak="0">
    <w:nsid w:val="2EC15AC8"/>
    <w:multiLevelType w:val="hybridMultilevel"/>
    <w:tmpl w:val="019E8058"/>
    <w:lvl w:ilvl="0" w:tplc="F4AC2EF0">
      <w:start w:val="1"/>
      <w:numFmt w:val="lowerLetter"/>
      <w:lvlText w:val="(%1)"/>
      <w:lvlJc w:val="left"/>
      <w:pPr>
        <w:tabs>
          <w:tab w:val="num" w:pos="-360"/>
        </w:tabs>
        <w:ind w:left="720" w:hanging="360"/>
      </w:pPr>
      <w:rPr>
        <w:rFonts w:cs="Times New Roman" w:hint="default"/>
      </w:rPr>
    </w:lvl>
    <w:lvl w:ilvl="1" w:tplc="08090019" w:tentative="1">
      <w:start w:val="1"/>
      <w:numFmt w:val="lowerLetter"/>
      <w:lvlText w:val="%2."/>
      <w:lvlJc w:val="left"/>
      <w:pPr>
        <w:tabs>
          <w:tab w:val="num" w:pos="1233"/>
        </w:tabs>
        <w:ind w:left="1233" w:hanging="360"/>
      </w:pPr>
      <w:rPr>
        <w:rFonts w:cs="Times New Roman"/>
      </w:rPr>
    </w:lvl>
    <w:lvl w:ilvl="2" w:tplc="0809001B" w:tentative="1">
      <w:start w:val="1"/>
      <w:numFmt w:val="lowerRoman"/>
      <w:lvlText w:val="%3."/>
      <w:lvlJc w:val="right"/>
      <w:pPr>
        <w:tabs>
          <w:tab w:val="num" w:pos="1953"/>
        </w:tabs>
        <w:ind w:left="1953" w:hanging="180"/>
      </w:pPr>
      <w:rPr>
        <w:rFonts w:cs="Times New Roman"/>
      </w:rPr>
    </w:lvl>
    <w:lvl w:ilvl="3" w:tplc="0809000F" w:tentative="1">
      <w:start w:val="1"/>
      <w:numFmt w:val="decimal"/>
      <w:lvlText w:val="%4."/>
      <w:lvlJc w:val="left"/>
      <w:pPr>
        <w:tabs>
          <w:tab w:val="num" w:pos="2673"/>
        </w:tabs>
        <w:ind w:left="2673" w:hanging="360"/>
      </w:pPr>
      <w:rPr>
        <w:rFonts w:cs="Times New Roman"/>
      </w:rPr>
    </w:lvl>
    <w:lvl w:ilvl="4" w:tplc="08090019" w:tentative="1">
      <w:start w:val="1"/>
      <w:numFmt w:val="lowerLetter"/>
      <w:lvlText w:val="%5."/>
      <w:lvlJc w:val="left"/>
      <w:pPr>
        <w:tabs>
          <w:tab w:val="num" w:pos="3393"/>
        </w:tabs>
        <w:ind w:left="3393" w:hanging="360"/>
      </w:pPr>
      <w:rPr>
        <w:rFonts w:cs="Times New Roman"/>
      </w:rPr>
    </w:lvl>
    <w:lvl w:ilvl="5" w:tplc="0809001B" w:tentative="1">
      <w:start w:val="1"/>
      <w:numFmt w:val="lowerRoman"/>
      <w:lvlText w:val="%6."/>
      <w:lvlJc w:val="right"/>
      <w:pPr>
        <w:tabs>
          <w:tab w:val="num" w:pos="4113"/>
        </w:tabs>
        <w:ind w:left="4113" w:hanging="180"/>
      </w:pPr>
      <w:rPr>
        <w:rFonts w:cs="Times New Roman"/>
      </w:rPr>
    </w:lvl>
    <w:lvl w:ilvl="6" w:tplc="0809000F" w:tentative="1">
      <w:start w:val="1"/>
      <w:numFmt w:val="decimal"/>
      <w:lvlText w:val="%7."/>
      <w:lvlJc w:val="left"/>
      <w:pPr>
        <w:tabs>
          <w:tab w:val="num" w:pos="4833"/>
        </w:tabs>
        <w:ind w:left="4833" w:hanging="360"/>
      </w:pPr>
      <w:rPr>
        <w:rFonts w:cs="Times New Roman"/>
      </w:rPr>
    </w:lvl>
    <w:lvl w:ilvl="7" w:tplc="08090019" w:tentative="1">
      <w:start w:val="1"/>
      <w:numFmt w:val="lowerLetter"/>
      <w:lvlText w:val="%8."/>
      <w:lvlJc w:val="left"/>
      <w:pPr>
        <w:tabs>
          <w:tab w:val="num" w:pos="5553"/>
        </w:tabs>
        <w:ind w:left="5553" w:hanging="360"/>
      </w:pPr>
      <w:rPr>
        <w:rFonts w:cs="Times New Roman"/>
      </w:rPr>
    </w:lvl>
    <w:lvl w:ilvl="8" w:tplc="0809001B" w:tentative="1">
      <w:start w:val="1"/>
      <w:numFmt w:val="lowerRoman"/>
      <w:lvlText w:val="%9."/>
      <w:lvlJc w:val="right"/>
      <w:pPr>
        <w:tabs>
          <w:tab w:val="num" w:pos="6273"/>
        </w:tabs>
        <w:ind w:left="6273" w:hanging="180"/>
      </w:pPr>
      <w:rPr>
        <w:rFonts w:cs="Times New Roman"/>
      </w:rPr>
    </w:lvl>
  </w:abstractNum>
  <w:abstractNum w:abstractNumId="19" w15:restartNumberingAfterBreak="0">
    <w:nsid w:val="2FC72E67"/>
    <w:multiLevelType w:val="hybridMultilevel"/>
    <w:tmpl w:val="E0EEA97A"/>
    <w:lvl w:ilvl="0" w:tplc="F4AC2EF0">
      <w:start w:val="1"/>
      <w:numFmt w:val="lowerLetter"/>
      <w:lvlText w:val="(%1)"/>
      <w:lvlJc w:val="left"/>
      <w:pPr>
        <w:tabs>
          <w:tab w:val="num" w:pos="-360"/>
        </w:tabs>
        <w:ind w:left="720" w:hanging="360"/>
      </w:pPr>
      <w:rPr>
        <w:rFonts w:cs="Times New Roman" w:hint="default"/>
      </w:rPr>
    </w:lvl>
    <w:lvl w:ilvl="1" w:tplc="08090019" w:tentative="1">
      <w:start w:val="1"/>
      <w:numFmt w:val="lowerLetter"/>
      <w:lvlText w:val="%2."/>
      <w:lvlJc w:val="left"/>
      <w:pPr>
        <w:tabs>
          <w:tab w:val="num" w:pos="1233"/>
        </w:tabs>
        <w:ind w:left="1233" w:hanging="360"/>
      </w:pPr>
      <w:rPr>
        <w:rFonts w:cs="Times New Roman"/>
      </w:rPr>
    </w:lvl>
    <w:lvl w:ilvl="2" w:tplc="0809001B" w:tentative="1">
      <w:start w:val="1"/>
      <w:numFmt w:val="lowerRoman"/>
      <w:lvlText w:val="%3."/>
      <w:lvlJc w:val="right"/>
      <w:pPr>
        <w:tabs>
          <w:tab w:val="num" w:pos="1953"/>
        </w:tabs>
        <w:ind w:left="1953" w:hanging="180"/>
      </w:pPr>
      <w:rPr>
        <w:rFonts w:cs="Times New Roman"/>
      </w:rPr>
    </w:lvl>
    <w:lvl w:ilvl="3" w:tplc="0809000F" w:tentative="1">
      <w:start w:val="1"/>
      <w:numFmt w:val="decimal"/>
      <w:lvlText w:val="%4."/>
      <w:lvlJc w:val="left"/>
      <w:pPr>
        <w:tabs>
          <w:tab w:val="num" w:pos="2673"/>
        </w:tabs>
        <w:ind w:left="2673" w:hanging="360"/>
      </w:pPr>
      <w:rPr>
        <w:rFonts w:cs="Times New Roman"/>
      </w:rPr>
    </w:lvl>
    <w:lvl w:ilvl="4" w:tplc="08090019" w:tentative="1">
      <w:start w:val="1"/>
      <w:numFmt w:val="lowerLetter"/>
      <w:lvlText w:val="%5."/>
      <w:lvlJc w:val="left"/>
      <w:pPr>
        <w:tabs>
          <w:tab w:val="num" w:pos="3393"/>
        </w:tabs>
        <w:ind w:left="3393" w:hanging="360"/>
      </w:pPr>
      <w:rPr>
        <w:rFonts w:cs="Times New Roman"/>
      </w:rPr>
    </w:lvl>
    <w:lvl w:ilvl="5" w:tplc="0809001B" w:tentative="1">
      <w:start w:val="1"/>
      <w:numFmt w:val="lowerRoman"/>
      <w:lvlText w:val="%6."/>
      <w:lvlJc w:val="right"/>
      <w:pPr>
        <w:tabs>
          <w:tab w:val="num" w:pos="4113"/>
        </w:tabs>
        <w:ind w:left="4113" w:hanging="180"/>
      </w:pPr>
      <w:rPr>
        <w:rFonts w:cs="Times New Roman"/>
      </w:rPr>
    </w:lvl>
    <w:lvl w:ilvl="6" w:tplc="0809000F" w:tentative="1">
      <w:start w:val="1"/>
      <w:numFmt w:val="decimal"/>
      <w:lvlText w:val="%7."/>
      <w:lvlJc w:val="left"/>
      <w:pPr>
        <w:tabs>
          <w:tab w:val="num" w:pos="4833"/>
        </w:tabs>
        <w:ind w:left="4833" w:hanging="360"/>
      </w:pPr>
      <w:rPr>
        <w:rFonts w:cs="Times New Roman"/>
      </w:rPr>
    </w:lvl>
    <w:lvl w:ilvl="7" w:tplc="08090019" w:tentative="1">
      <w:start w:val="1"/>
      <w:numFmt w:val="lowerLetter"/>
      <w:lvlText w:val="%8."/>
      <w:lvlJc w:val="left"/>
      <w:pPr>
        <w:tabs>
          <w:tab w:val="num" w:pos="5553"/>
        </w:tabs>
        <w:ind w:left="5553" w:hanging="360"/>
      </w:pPr>
      <w:rPr>
        <w:rFonts w:cs="Times New Roman"/>
      </w:rPr>
    </w:lvl>
    <w:lvl w:ilvl="8" w:tplc="0809001B" w:tentative="1">
      <w:start w:val="1"/>
      <w:numFmt w:val="lowerRoman"/>
      <w:lvlText w:val="%9."/>
      <w:lvlJc w:val="right"/>
      <w:pPr>
        <w:tabs>
          <w:tab w:val="num" w:pos="6273"/>
        </w:tabs>
        <w:ind w:left="6273" w:hanging="180"/>
      </w:pPr>
      <w:rPr>
        <w:rFonts w:cs="Times New Roman"/>
      </w:rPr>
    </w:lvl>
  </w:abstractNum>
  <w:abstractNum w:abstractNumId="20" w15:restartNumberingAfterBreak="0">
    <w:nsid w:val="33272905"/>
    <w:multiLevelType w:val="hybridMultilevel"/>
    <w:tmpl w:val="6528271C"/>
    <w:lvl w:ilvl="0" w:tplc="0809000F">
      <w:start w:val="1"/>
      <w:numFmt w:val="decimal"/>
      <w:pStyle w:val="Pucesance"/>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4D04922"/>
    <w:multiLevelType w:val="hybridMultilevel"/>
    <w:tmpl w:val="E2AEAE16"/>
    <w:lvl w:ilvl="0" w:tplc="F4AC2EF0">
      <w:start w:val="1"/>
      <w:numFmt w:val="lowerLetter"/>
      <w:lvlText w:val="(%1)"/>
      <w:lvlJc w:val="left"/>
      <w:pPr>
        <w:tabs>
          <w:tab w:val="num" w:pos="-360"/>
        </w:tabs>
        <w:ind w:left="720" w:hanging="360"/>
      </w:pPr>
      <w:rPr>
        <w:rFonts w:cs="Times New Roman" w:hint="default"/>
      </w:rPr>
    </w:lvl>
    <w:lvl w:ilvl="1" w:tplc="08090019" w:tentative="1">
      <w:start w:val="1"/>
      <w:numFmt w:val="lowerLetter"/>
      <w:lvlText w:val="%2."/>
      <w:lvlJc w:val="left"/>
      <w:pPr>
        <w:tabs>
          <w:tab w:val="num" w:pos="1233"/>
        </w:tabs>
        <w:ind w:left="1233" w:hanging="360"/>
      </w:pPr>
      <w:rPr>
        <w:rFonts w:cs="Times New Roman"/>
      </w:rPr>
    </w:lvl>
    <w:lvl w:ilvl="2" w:tplc="0809001B" w:tentative="1">
      <w:start w:val="1"/>
      <w:numFmt w:val="lowerRoman"/>
      <w:lvlText w:val="%3."/>
      <w:lvlJc w:val="right"/>
      <w:pPr>
        <w:tabs>
          <w:tab w:val="num" w:pos="1953"/>
        </w:tabs>
        <w:ind w:left="1953" w:hanging="180"/>
      </w:pPr>
      <w:rPr>
        <w:rFonts w:cs="Times New Roman"/>
      </w:rPr>
    </w:lvl>
    <w:lvl w:ilvl="3" w:tplc="0809000F" w:tentative="1">
      <w:start w:val="1"/>
      <w:numFmt w:val="decimal"/>
      <w:lvlText w:val="%4."/>
      <w:lvlJc w:val="left"/>
      <w:pPr>
        <w:tabs>
          <w:tab w:val="num" w:pos="2673"/>
        </w:tabs>
        <w:ind w:left="2673" w:hanging="360"/>
      </w:pPr>
      <w:rPr>
        <w:rFonts w:cs="Times New Roman"/>
      </w:rPr>
    </w:lvl>
    <w:lvl w:ilvl="4" w:tplc="08090019" w:tentative="1">
      <w:start w:val="1"/>
      <w:numFmt w:val="lowerLetter"/>
      <w:lvlText w:val="%5."/>
      <w:lvlJc w:val="left"/>
      <w:pPr>
        <w:tabs>
          <w:tab w:val="num" w:pos="3393"/>
        </w:tabs>
        <w:ind w:left="3393" w:hanging="360"/>
      </w:pPr>
      <w:rPr>
        <w:rFonts w:cs="Times New Roman"/>
      </w:rPr>
    </w:lvl>
    <w:lvl w:ilvl="5" w:tplc="0809001B" w:tentative="1">
      <w:start w:val="1"/>
      <w:numFmt w:val="lowerRoman"/>
      <w:lvlText w:val="%6."/>
      <w:lvlJc w:val="right"/>
      <w:pPr>
        <w:tabs>
          <w:tab w:val="num" w:pos="4113"/>
        </w:tabs>
        <w:ind w:left="4113" w:hanging="180"/>
      </w:pPr>
      <w:rPr>
        <w:rFonts w:cs="Times New Roman"/>
      </w:rPr>
    </w:lvl>
    <w:lvl w:ilvl="6" w:tplc="0809000F" w:tentative="1">
      <w:start w:val="1"/>
      <w:numFmt w:val="decimal"/>
      <w:lvlText w:val="%7."/>
      <w:lvlJc w:val="left"/>
      <w:pPr>
        <w:tabs>
          <w:tab w:val="num" w:pos="4833"/>
        </w:tabs>
        <w:ind w:left="4833" w:hanging="360"/>
      </w:pPr>
      <w:rPr>
        <w:rFonts w:cs="Times New Roman"/>
      </w:rPr>
    </w:lvl>
    <w:lvl w:ilvl="7" w:tplc="08090019" w:tentative="1">
      <w:start w:val="1"/>
      <w:numFmt w:val="lowerLetter"/>
      <w:lvlText w:val="%8."/>
      <w:lvlJc w:val="left"/>
      <w:pPr>
        <w:tabs>
          <w:tab w:val="num" w:pos="5553"/>
        </w:tabs>
        <w:ind w:left="5553" w:hanging="360"/>
      </w:pPr>
      <w:rPr>
        <w:rFonts w:cs="Times New Roman"/>
      </w:rPr>
    </w:lvl>
    <w:lvl w:ilvl="8" w:tplc="0809001B" w:tentative="1">
      <w:start w:val="1"/>
      <w:numFmt w:val="lowerRoman"/>
      <w:lvlText w:val="%9."/>
      <w:lvlJc w:val="right"/>
      <w:pPr>
        <w:tabs>
          <w:tab w:val="num" w:pos="6273"/>
        </w:tabs>
        <w:ind w:left="6273" w:hanging="180"/>
      </w:pPr>
      <w:rPr>
        <w:rFonts w:cs="Times New Roman"/>
      </w:rPr>
    </w:lvl>
  </w:abstractNum>
  <w:abstractNum w:abstractNumId="22" w15:restartNumberingAfterBreak="0">
    <w:nsid w:val="38E14412"/>
    <w:multiLevelType w:val="hybridMultilevel"/>
    <w:tmpl w:val="32346778"/>
    <w:lvl w:ilvl="0" w:tplc="F4AC2EF0">
      <w:start w:val="1"/>
      <w:numFmt w:val="lowerLetter"/>
      <w:lvlText w:val="(%1)"/>
      <w:lvlJc w:val="left"/>
      <w:pPr>
        <w:tabs>
          <w:tab w:val="num" w:pos="-360"/>
        </w:tabs>
        <w:ind w:left="720" w:hanging="360"/>
      </w:pPr>
      <w:rPr>
        <w:rFonts w:cs="Times New Roman" w:hint="default"/>
      </w:rPr>
    </w:lvl>
    <w:lvl w:ilvl="1" w:tplc="08090019" w:tentative="1">
      <w:start w:val="1"/>
      <w:numFmt w:val="lowerLetter"/>
      <w:lvlText w:val="%2."/>
      <w:lvlJc w:val="left"/>
      <w:pPr>
        <w:tabs>
          <w:tab w:val="num" w:pos="1233"/>
        </w:tabs>
        <w:ind w:left="1233" w:hanging="360"/>
      </w:pPr>
      <w:rPr>
        <w:rFonts w:cs="Times New Roman"/>
      </w:rPr>
    </w:lvl>
    <w:lvl w:ilvl="2" w:tplc="0809001B" w:tentative="1">
      <w:start w:val="1"/>
      <w:numFmt w:val="lowerRoman"/>
      <w:lvlText w:val="%3."/>
      <w:lvlJc w:val="right"/>
      <w:pPr>
        <w:tabs>
          <w:tab w:val="num" w:pos="1953"/>
        </w:tabs>
        <w:ind w:left="1953" w:hanging="180"/>
      </w:pPr>
      <w:rPr>
        <w:rFonts w:cs="Times New Roman"/>
      </w:rPr>
    </w:lvl>
    <w:lvl w:ilvl="3" w:tplc="0809000F" w:tentative="1">
      <w:start w:val="1"/>
      <w:numFmt w:val="decimal"/>
      <w:lvlText w:val="%4."/>
      <w:lvlJc w:val="left"/>
      <w:pPr>
        <w:tabs>
          <w:tab w:val="num" w:pos="2673"/>
        </w:tabs>
        <w:ind w:left="2673" w:hanging="360"/>
      </w:pPr>
      <w:rPr>
        <w:rFonts w:cs="Times New Roman"/>
      </w:rPr>
    </w:lvl>
    <w:lvl w:ilvl="4" w:tplc="08090019" w:tentative="1">
      <w:start w:val="1"/>
      <w:numFmt w:val="lowerLetter"/>
      <w:lvlText w:val="%5."/>
      <w:lvlJc w:val="left"/>
      <w:pPr>
        <w:tabs>
          <w:tab w:val="num" w:pos="3393"/>
        </w:tabs>
        <w:ind w:left="3393" w:hanging="360"/>
      </w:pPr>
      <w:rPr>
        <w:rFonts w:cs="Times New Roman"/>
      </w:rPr>
    </w:lvl>
    <w:lvl w:ilvl="5" w:tplc="0809001B" w:tentative="1">
      <w:start w:val="1"/>
      <w:numFmt w:val="lowerRoman"/>
      <w:lvlText w:val="%6."/>
      <w:lvlJc w:val="right"/>
      <w:pPr>
        <w:tabs>
          <w:tab w:val="num" w:pos="4113"/>
        </w:tabs>
        <w:ind w:left="4113" w:hanging="180"/>
      </w:pPr>
      <w:rPr>
        <w:rFonts w:cs="Times New Roman"/>
      </w:rPr>
    </w:lvl>
    <w:lvl w:ilvl="6" w:tplc="0809000F" w:tentative="1">
      <w:start w:val="1"/>
      <w:numFmt w:val="decimal"/>
      <w:lvlText w:val="%7."/>
      <w:lvlJc w:val="left"/>
      <w:pPr>
        <w:tabs>
          <w:tab w:val="num" w:pos="4833"/>
        </w:tabs>
        <w:ind w:left="4833" w:hanging="360"/>
      </w:pPr>
      <w:rPr>
        <w:rFonts w:cs="Times New Roman"/>
      </w:rPr>
    </w:lvl>
    <w:lvl w:ilvl="7" w:tplc="08090019" w:tentative="1">
      <w:start w:val="1"/>
      <w:numFmt w:val="lowerLetter"/>
      <w:lvlText w:val="%8."/>
      <w:lvlJc w:val="left"/>
      <w:pPr>
        <w:tabs>
          <w:tab w:val="num" w:pos="5553"/>
        </w:tabs>
        <w:ind w:left="5553" w:hanging="360"/>
      </w:pPr>
      <w:rPr>
        <w:rFonts w:cs="Times New Roman"/>
      </w:rPr>
    </w:lvl>
    <w:lvl w:ilvl="8" w:tplc="0809001B" w:tentative="1">
      <w:start w:val="1"/>
      <w:numFmt w:val="lowerRoman"/>
      <w:lvlText w:val="%9."/>
      <w:lvlJc w:val="right"/>
      <w:pPr>
        <w:tabs>
          <w:tab w:val="num" w:pos="6273"/>
        </w:tabs>
        <w:ind w:left="6273" w:hanging="180"/>
      </w:pPr>
      <w:rPr>
        <w:rFonts w:cs="Times New Roman"/>
      </w:rPr>
    </w:lvl>
  </w:abstractNum>
  <w:abstractNum w:abstractNumId="23" w15:restartNumberingAfterBreak="0">
    <w:nsid w:val="3A7C6C4E"/>
    <w:multiLevelType w:val="hybridMultilevel"/>
    <w:tmpl w:val="882A4976"/>
    <w:lvl w:ilvl="0" w:tplc="F4AC2EF0">
      <w:start w:val="1"/>
      <w:numFmt w:val="lowerLetter"/>
      <w:lvlText w:val="(%1)"/>
      <w:lvlJc w:val="left"/>
      <w:pPr>
        <w:tabs>
          <w:tab w:val="num" w:pos="-360"/>
        </w:tabs>
        <w:ind w:left="720" w:hanging="360"/>
      </w:pPr>
      <w:rPr>
        <w:rFonts w:cs="Times New Roman" w:hint="default"/>
      </w:rPr>
    </w:lvl>
    <w:lvl w:ilvl="1" w:tplc="08090019" w:tentative="1">
      <w:start w:val="1"/>
      <w:numFmt w:val="lowerLetter"/>
      <w:lvlText w:val="%2."/>
      <w:lvlJc w:val="left"/>
      <w:pPr>
        <w:tabs>
          <w:tab w:val="num" w:pos="1233"/>
        </w:tabs>
        <w:ind w:left="1233" w:hanging="360"/>
      </w:pPr>
      <w:rPr>
        <w:rFonts w:cs="Times New Roman"/>
      </w:rPr>
    </w:lvl>
    <w:lvl w:ilvl="2" w:tplc="0809001B" w:tentative="1">
      <w:start w:val="1"/>
      <w:numFmt w:val="lowerRoman"/>
      <w:lvlText w:val="%3."/>
      <w:lvlJc w:val="right"/>
      <w:pPr>
        <w:tabs>
          <w:tab w:val="num" w:pos="1953"/>
        </w:tabs>
        <w:ind w:left="1953" w:hanging="180"/>
      </w:pPr>
      <w:rPr>
        <w:rFonts w:cs="Times New Roman"/>
      </w:rPr>
    </w:lvl>
    <w:lvl w:ilvl="3" w:tplc="0809000F" w:tentative="1">
      <w:start w:val="1"/>
      <w:numFmt w:val="decimal"/>
      <w:lvlText w:val="%4."/>
      <w:lvlJc w:val="left"/>
      <w:pPr>
        <w:tabs>
          <w:tab w:val="num" w:pos="2673"/>
        </w:tabs>
        <w:ind w:left="2673" w:hanging="360"/>
      </w:pPr>
      <w:rPr>
        <w:rFonts w:cs="Times New Roman"/>
      </w:rPr>
    </w:lvl>
    <w:lvl w:ilvl="4" w:tplc="08090019" w:tentative="1">
      <w:start w:val="1"/>
      <w:numFmt w:val="lowerLetter"/>
      <w:lvlText w:val="%5."/>
      <w:lvlJc w:val="left"/>
      <w:pPr>
        <w:tabs>
          <w:tab w:val="num" w:pos="3393"/>
        </w:tabs>
        <w:ind w:left="3393" w:hanging="360"/>
      </w:pPr>
      <w:rPr>
        <w:rFonts w:cs="Times New Roman"/>
      </w:rPr>
    </w:lvl>
    <w:lvl w:ilvl="5" w:tplc="0809001B" w:tentative="1">
      <w:start w:val="1"/>
      <w:numFmt w:val="lowerRoman"/>
      <w:lvlText w:val="%6."/>
      <w:lvlJc w:val="right"/>
      <w:pPr>
        <w:tabs>
          <w:tab w:val="num" w:pos="4113"/>
        </w:tabs>
        <w:ind w:left="4113" w:hanging="180"/>
      </w:pPr>
      <w:rPr>
        <w:rFonts w:cs="Times New Roman"/>
      </w:rPr>
    </w:lvl>
    <w:lvl w:ilvl="6" w:tplc="0809000F" w:tentative="1">
      <w:start w:val="1"/>
      <w:numFmt w:val="decimal"/>
      <w:lvlText w:val="%7."/>
      <w:lvlJc w:val="left"/>
      <w:pPr>
        <w:tabs>
          <w:tab w:val="num" w:pos="4833"/>
        </w:tabs>
        <w:ind w:left="4833" w:hanging="360"/>
      </w:pPr>
      <w:rPr>
        <w:rFonts w:cs="Times New Roman"/>
      </w:rPr>
    </w:lvl>
    <w:lvl w:ilvl="7" w:tplc="08090019" w:tentative="1">
      <w:start w:val="1"/>
      <w:numFmt w:val="lowerLetter"/>
      <w:lvlText w:val="%8."/>
      <w:lvlJc w:val="left"/>
      <w:pPr>
        <w:tabs>
          <w:tab w:val="num" w:pos="5553"/>
        </w:tabs>
        <w:ind w:left="5553" w:hanging="360"/>
      </w:pPr>
      <w:rPr>
        <w:rFonts w:cs="Times New Roman"/>
      </w:rPr>
    </w:lvl>
    <w:lvl w:ilvl="8" w:tplc="0809001B" w:tentative="1">
      <w:start w:val="1"/>
      <w:numFmt w:val="lowerRoman"/>
      <w:lvlText w:val="%9."/>
      <w:lvlJc w:val="right"/>
      <w:pPr>
        <w:tabs>
          <w:tab w:val="num" w:pos="6273"/>
        </w:tabs>
        <w:ind w:left="6273" w:hanging="180"/>
      </w:pPr>
      <w:rPr>
        <w:rFonts w:cs="Times New Roman"/>
      </w:rPr>
    </w:lvl>
  </w:abstractNum>
  <w:abstractNum w:abstractNumId="24" w15:restartNumberingAfterBreak="0">
    <w:nsid w:val="3E9A6657"/>
    <w:multiLevelType w:val="hybridMultilevel"/>
    <w:tmpl w:val="AB4E5356"/>
    <w:lvl w:ilvl="0" w:tplc="F4AC2EF0">
      <w:start w:val="1"/>
      <w:numFmt w:val="lowerLetter"/>
      <w:lvlText w:val="(%1)"/>
      <w:lvlJc w:val="left"/>
      <w:pPr>
        <w:tabs>
          <w:tab w:val="num" w:pos="-360"/>
        </w:tabs>
        <w:ind w:left="720" w:hanging="360"/>
      </w:pPr>
      <w:rPr>
        <w:rFonts w:cs="Times New Roman" w:hint="default"/>
      </w:rPr>
    </w:lvl>
    <w:lvl w:ilvl="1" w:tplc="08090019" w:tentative="1">
      <w:start w:val="1"/>
      <w:numFmt w:val="lowerLetter"/>
      <w:lvlText w:val="%2."/>
      <w:lvlJc w:val="left"/>
      <w:pPr>
        <w:tabs>
          <w:tab w:val="num" w:pos="1233"/>
        </w:tabs>
        <w:ind w:left="1233" w:hanging="360"/>
      </w:pPr>
      <w:rPr>
        <w:rFonts w:cs="Times New Roman"/>
      </w:rPr>
    </w:lvl>
    <w:lvl w:ilvl="2" w:tplc="0809001B" w:tentative="1">
      <w:start w:val="1"/>
      <w:numFmt w:val="lowerRoman"/>
      <w:lvlText w:val="%3."/>
      <w:lvlJc w:val="right"/>
      <w:pPr>
        <w:tabs>
          <w:tab w:val="num" w:pos="1953"/>
        </w:tabs>
        <w:ind w:left="1953" w:hanging="180"/>
      </w:pPr>
      <w:rPr>
        <w:rFonts w:cs="Times New Roman"/>
      </w:rPr>
    </w:lvl>
    <w:lvl w:ilvl="3" w:tplc="0809000F" w:tentative="1">
      <w:start w:val="1"/>
      <w:numFmt w:val="decimal"/>
      <w:lvlText w:val="%4."/>
      <w:lvlJc w:val="left"/>
      <w:pPr>
        <w:tabs>
          <w:tab w:val="num" w:pos="2673"/>
        </w:tabs>
        <w:ind w:left="2673" w:hanging="360"/>
      </w:pPr>
      <w:rPr>
        <w:rFonts w:cs="Times New Roman"/>
      </w:rPr>
    </w:lvl>
    <w:lvl w:ilvl="4" w:tplc="08090019" w:tentative="1">
      <w:start w:val="1"/>
      <w:numFmt w:val="lowerLetter"/>
      <w:lvlText w:val="%5."/>
      <w:lvlJc w:val="left"/>
      <w:pPr>
        <w:tabs>
          <w:tab w:val="num" w:pos="3393"/>
        </w:tabs>
        <w:ind w:left="3393" w:hanging="360"/>
      </w:pPr>
      <w:rPr>
        <w:rFonts w:cs="Times New Roman"/>
      </w:rPr>
    </w:lvl>
    <w:lvl w:ilvl="5" w:tplc="0809001B" w:tentative="1">
      <w:start w:val="1"/>
      <w:numFmt w:val="lowerRoman"/>
      <w:lvlText w:val="%6."/>
      <w:lvlJc w:val="right"/>
      <w:pPr>
        <w:tabs>
          <w:tab w:val="num" w:pos="4113"/>
        </w:tabs>
        <w:ind w:left="4113" w:hanging="180"/>
      </w:pPr>
      <w:rPr>
        <w:rFonts w:cs="Times New Roman"/>
      </w:rPr>
    </w:lvl>
    <w:lvl w:ilvl="6" w:tplc="0809000F" w:tentative="1">
      <w:start w:val="1"/>
      <w:numFmt w:val="decimal"/>
      <w:lvlText w:val="%7."/>
      <w:lvlJc w:val="left"/>
      <w:pPr>
        <w:tabs>
          <w:tab w:val="num" w:pos="4833"/>
        </w:tabs>
        <w:ind w:left="4833" w:hanging="360"/>
      </w:pPr>
      <w:rPr>
        <w:rFonts w:cs="Times New Roman"/>
      </w:rPr>
    </w:lvl>
    <w:lvl w:ilvl="7" w:tplc="08090019" w:tentative="1">
      <w:start w:val="1"/>
      <w:numFmt w:val="lowerLetter"/>
      <w:lvlText w:val="%8."/>
      <w:lvlJc w:val="left"/>
      <w:pPr>
        <w:tabs>
          <w:tab w:val="num" w:pos="5553"/>
        </w:tabs>
        <w:ind w:left="5553" w:hanging="360"/>
      </w:pPr>
      <w:rPr>
        <w:rFonts w:cs="Times New Roman"/>
      </w:rPr>
    </w:lvl>
    <w:lvl w:ilvl="8" w:tplc="0809001B" w:tentative="1">
      <w:start w:val="1"/>
      <w:numFmt w:val="lowerRoman"/>
      <w:lvlText w:val="%9."/>
      <w:lvlJc w:val="right"/>
      <w:pPr>
        <w:tabs>
          <w:tab w:val="num" w:pos="6273"/>
        </w:tabs>
        <w:ind w:left="6273" w:hanging="180"/>
      </w:pPr>
      <w:rPr>
        <w:rFonts w:cs="Times New Roman"/>
      </w:rPr>
    </w:lvl>
  </w:abstractNum>
  <w:abstractNum w:abstractNumId="25" w15:restartNumberingAfterBreak="0">
    <w:nsid w:val="41826997"/>
    <w:multiLevelType w:val="hybridMultilevel"/>
    <w:tmpl w:val="41D86AA2"/>
    <w:lvl w:ilvl="0" w:tplc="F4AC2EF0">
      <w:start w:val="1"/>
      <w:numFmt w:val="lowerLetter"/>
      <w:lvlText w:val="(%1)"/>
      <w:lvlJc w:val="left"/>
      <w:pPr>
        <w:tabs>
          <w:tab w:val="num" w:pos="-360"/>
        </w:tabs>
        <w:ind w:left="720" w:hanging="360"/>
      </w:pPr>
      <w:rPr>
        <w:rFonts w:cs="Times New Roman" w:hint="default"/>
      </w:rPr>
    </w:lvl>
    <w:lvl w:ilvl="1" w:tplc="08090019" w:tentative="1">
      <w:start w:val="1"/>
      <w:numFmt w:val="lowerLetter"/>
      <w:lvlText w:val="%2."/>
      <w:lvlJc w:val="left"/>
      <w:pPr>
        <w:tabs>
          <w:tab w:val="num" w:pos="1233"/>
        </w:tabs>
        <w:ind w:left="1233" w:hanging="360"/>
      </w:pPr>
      <w:rPr>
        <w:rFonts w:cs="Times New Roman"/>
      </w:rPr>
    </w:lvl>
    <w:lvl w:ilvl="2" w:tplc="0809001B" w:tentative="1">
      <w:start w:val="1"/>
      <w:numFmt w:val="lowerRoman"/>
      <w:lvlText w:val="%3."/>
      <w:lvlJc w:val="right"/>
      <w:pPr>
        <w:tabs>
          <w:tab w:val="num" w:pos="1953"/>
        </w:tabs>
        <w:ind w:left="1953" w:hanging="180"/>
      </w:pPr>
      <w:rPr>
        <w:rFonts w:cs="Times New Roman"/>
      </w:rPr>
    </w:lvl>
    <w:lvl w:ilvl="3" w:tplc="0809000F" w:tentative="1">
      <w:start w:val="1"/>
      <w:numFmt w:val="decimal"/>
      <w:lvlText w:val="%4."/>
      <w:lvlJc w:val="left"/>
      <w:pPr>
        <w:tabs>
          <w:tab w:val="num" w:pos="2673"/>
        </w:tabs>
        <w:ind w:left="2673" w:hanging="360"/>
      </w:pPr>
      <w:rPr>
        <w:rFonts w:cs="Times New Roman"/>
      </w:rPr>
    </w:lvl>
    <w:lvl w:ilvl="4" w:tplc="08090019" w:tentative="1">
      <w:start w:val="1"/>
      <w:numFmt w:val="lowerLetter"/>
      <w:lvlText w:val="%5."/>
      <w:lvlJc w:val="left"/>
      <w:pPr>
        <w:tabs>
          <w:tab w:val="num" w:pos="3393"/>
        </w:tabs>
        <w:ind w:left="3393" w:hanging="360"/>
      </w:pPr>
      <w:rPr>
        <w:rFonts w:cs="Times New Roman"/>
      </w:rPr>
    </w:lvl>
    <w:lvl w:ilvl="5" w:tplc="0809001B" w:tentative="1">
      <w:start w:val="1"/>
      <w:numFmt w:val="lowerRoman"/>
      <w:lvlText w:val="%6."/>
      <w:lvlJc w:val="right"/>
      <w:pPr>
        <w:tabs>
          <w:tab w:val="num" w:pos="4113"/>
        </w:tabs>
        <w:ind w:left="4113" w:hanging="180"/>
      </w:pPr>
      <w:rPr>
        <w:rFonts w:cs="Times New Roman"/>
      </w:rPr>
    </w:lvl>
    <w:lvl w:ilvl="6" w:tplc="0809000F" w:tentative="1">
      <w:start w:val="1"/>
      <w:numFmt w:val="decimal"/>
      <w:lvlText w:val="%7."/>
      <w:lvlJc w:val="left"/>
      <w:pPr>
        <w:tabs>
          <w:tab w:val="num" w:pos="4833"/>
        </w:tabs>
        <w:ind w:left="4833" w:hanging="360"/>
      </w:pPr>
      <w:rPr>
        <w:rFonts w:cs="Times New Roman"/>
      </w:rPr>
    </w:lvl>
    <w:lvl w:ilvl="7" w:tplc="08090019" w:tentative="1">
      <w:start w:val="1"/>
      <w:numFmt w:val="lowerLetter"/>
      <w:lvlText w:val="%8."/>
      <w:lvlJc w:val="left"/>
      <w:pPr>
        <w:tabs>
          <w:tab w:val="num" w:pos="5553"/>
        </w:tabs>
        <w:ind w:left="5553" w:hanging="360"/>
      </w:pPr>
      <w:rPr>
        <w:rFonts w:cs="Times New Roman"/>
      </w:rPr>
    </w:lvl>
    <w:lvl w:ilvl="8" w:tplc="0809001B" w:tentative="1">
      <w:start w:val="1"/>
      <w:numFmt w:val="lowerRoman"/>
      <w:lvlText w:val="%9."/>
      <w:lvlJc w:val="right"/>
      <w:pPr>
        <w:tabs>
          <w:tab w:val="num" w:pos="6273"/>
        </w:tabs>
        <w:ind w:left="6273" w:hanging="180"/>
      </w:pPr>
      <w:rPr>
        <w:rFonts w:cs="Times New Roman"/>
      </w:rPr>
    </w:lvl>
  </w:abstractNum>
  <w:abstractNum w:abstractNumId="26"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5AB7403"/>
    <w:multiLevelType w:val="hybridMultilevel"/>
    <w:tmpl w:val="D9CE4D1E"/>
    <w:lvl w:ilvl="0" w:tplc="F4AC2EF0">
      <w:start w:val="1"/>
      <w:numFmt w:val="lowerLetter"/>
      <w:lvlText w:val="(%1)"/>
      <w:lvlJc w:val="left"/>
      <w:pPr>
        <w:tabs>
          <w:tab w:val="num" w:pos="-360"/>
        </w:tabs>
        <w:ind w:left="720" w:hanging="360"/>
      </w:pPr>
      <w:rPr>
        <w:rFonts w:cs="Times New Roman" w:hint="default"/>
      </w:rPr>
    </w:lvl>
    <w:lvl w:ilvl="1" w:tplc="08090019">
      <w:start w:val="1"/>
      <w:numFmt w:val="lowerLetter"/>
      <w:lvlText w:val="%2."/>
      <w:lvlJc w:val="left"/>
      <w:pPr>
        <w:tabs>
          <w:tab w:val="num" w:pos="1233"/>
        </w:tabs>
        <w:ind w:left="1233" w:hanging="360"/>
      </w:pPr>
      <w:rPr>
        <w:rFonts w:cs="Times New Roman"/>
      </w:rPr>
    </w:lvl>
    <w:lvl w:ilvl="2" w:tplc="0809001B" w:tentative="1">
      <w:start w:val="1"/>
      <w:numFmt w:val="lowerRoman"/>
      <w:lvlText w:val="%3."/>
      <w:lvlJc w:val="right"/>
      <w:pPr>
        <w:tabs>
          <w:tab w:val="num" w:pos="1953"/>
        </w:tabs>
        <w:ind w:left="1953" w:hanging="180"/>
      </w:pPr>
      <w:rPr>
        <w:rFonts w:cs="Times New Roman"/>
      </w:rPr>
    </w:lvl>
    <w:lvl w:ilvl="3" w:tplc="0809000F" w:tentative="1">
      <w:start w:val="1"/>
      <w:numFmt w:val="decimal"/>
      <w:lvlText w:val="%4."/>
      <w:lvlJc w:val="left"/>
      <w:pPr>
        <w:tabs>
          <w:tab w:val="num" w:pos="2673"/>
        </w:tabs>
        <w:ind w:left="2673" w:hanging="360"/>
      </w:pPr>
      <w:rPr>
        <w:rFonts w:cs="Times New Roman"/>
      </w:rPr>
    </w:lvl>
    <w:lvl w:ilvl="4" w:tplc="08090019" w:tentative="1">
      <w:start w:val="1"/>
      <w:numFmt w:val="lowerLetter"/>
      <w:lvlText w:val="%5."/>
      <w:lvlJc w:val="left"/>
      <w:pPr>
        <w:tabs>
          <w:tab w:val="num" w:pos="3393"/>
        </w:tabs>
        <w:ind w:left="3393" w:hanging="360"/>
      </w:pPr>
      <w:rPr>
        <w:rFonts w:cs="Times New Roman"/>
      </w:rPr>
    </w:lvl>
    <w:lvl w:ilvl="5" w:tplc="0809001B" w:tentative="1">
      <w:start w:val="1"/>
      <w:numFmt w:val="lowerRoman"/>
      <w:lvlText w:val="%6."/>
      <w:lvlJc w:val="right"/>
      <w:pPr>
        <w:tabs>
          <w:tab w:val="num" w:pos="4113"/>
        </w:tabs>
        <w:ind w:left="4113" w:hanging="180"/>
      </w:pPr>
      <w:rPr>
        <w:rFonts w:cs="Times New Roman"/>
      </w:rPr>
    </w:lvl>
    <w:lvl w:ilvl="6" w:tplc="0809000F" w:tentative="1">
      <w:start w:val="1"/>
      <w:numFmt w:val="decimal"/>
      <w:lvlText w:val="%7."/>
      <w:lvlJc w:val="left"/>
      <w:pPr>
        <w:tabs>
          <w:tab w:val="num" w:pos="4833"/>
        </w:tabs>
        <w:ind w:left="4833" w:hanging="360"/>
      </w:pPr>
      <w:rPr>
        <w:rFonts w:cs="Times New Roman"/>
      </w:rPr>
    </w:lvl>
    <w:lvl w:ilvl="7" w:tplc="08090019" w:tentative="1">
      <w:start w:val="1"/>
      <w:numFmt w:val="lowerLetter"/>
      <w:lvlText w:val="%8."/>
      <w:lvlJc w:val="left"/>
      <w:pPr>
        <w:tabs>
          <w:tab w:val="num" w:pos="5553"/>
        </w:tabs>
        <w:ind w:left="5553" w:hanging="360"/>
      </w:pPr>
      <w:rPr>
        <w:rFonts w:cs="Times New Roman"/>
      </w:rPr>
    </w:lvl>
    <w:lvl w:ilvl="8" w:tplc="0809001B" w:tentative="1">
      <w:start w:val="1"/>
      <w:numFmt w:val="lowerRoman"/>
      <w:lvlText w:val="%9."/>
      <w:lvlJc w:val="right"/>
      <w:pPr>
        <w:tabs>
          <w:tab w:val="num" w:pos="6273"/>
        </w:tabs>
        <w:ind w:left="6273" w:hanging="180"/>
      </w:pPr>
      <w:rPr>
        <w:rFonts w:cs="Times New Roman"/>
      </w:rPr>
    </w:lvl>
  </w:abstractNum>
  <w:abstractNum w:abstractNumId="28" w15:restartNumberingAfterBreak="0">
    <w:nsid w:val="46904956"/>
    <w:multiLevelType w:val="hybridMultilevel"/>
    <w:tmpl w:val="FF6A3370"/>
    <w:lvl w:ilvl="0" w:tplc="83945260">
      <w:start w:val="1"/>
      <w:numFmt w:val="decimal"/>
      <w:lvlText w:val="%1."/>
      <w:lvlJc w:val="left"/>
      <w:pPr>
        <w:ind w:left="1351" w:hanging="50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9" w15:restartNumberingAfterBreak="0">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4F391026"/>
    <w:multiLevelType w:val="multilevel"/>
    <w:tmpl w:val="88800D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528A482F"/>
    <w:multiLevelType w:val="hybridMultilevel"/>
    <w:tmpl w:val="D5420352"/>
    <w:lvl w:ilvl="0" w:tplc="F4AC2EF0">
      <w:start w:val="1"/>
      <w:numFmt w:val="lowerLetter"/>
      <w:lvlText w:val="(%1)"/>
      <w:lvlJc w:val="left"/>
      <w:pPr>
        <w:tabs>
          <w:tab w:val="num" w:pos="-360"/>
        </w:tabs>
        <w:ind w:left="720" w:hanging="360"/>
      </w:pPr>
      <w:rPr>
        <w:rFonts w:cs="Times New Roman" w:hint="default"/>
      </w:rPr>
    </w:lvl>
    <w:lvl w:ilvl="1" w:tplc="08090019" w:tentative="1">
      <w:start w:val="1"/>
      <w:numFmt w:val="lowerLetter"/>
      <w:lvlText w:val="%2."/>
      <w:lvlJc w:val="left"/>
      <w:pPr>
        <w:tabs>
          <w:tab w:val="num" w:pos="1233"/>
        </w:tabs>
        <w:ind w:left="1233" w:hanging="360"/>
      </w:pPr>
      <w:rPr>
        <w:rFonts w:cs="Times New Roman"/>
      </w:rPr>
    </w:lvl>
    <w:lvl w:ilvl="2" w:tplc="0809001B" w:tentative="1">
      <w:start w:val="1"/>
      <w:numFmt w:val="lowerRoman"/>
      <w:lvlText w:val="%3."/>
      <w:lvlJc w:val="right"/>
      <w:pPr>
        <w:tabs>
          <w:tab w:val="num" w:pos="1953"/>
        </w:tabs>
        <w:ind w:left="1953" w:hanging="180"/>
      </w:pPr>
      <w:rPr>
        <w:rFonts w:cs="Times New Roman"/>
      </w:rPr>
    </w:lvl>
    <w:lvl w:ilvl="3" w:tplc="0809000F" w:tentative="1">
      <w:start w:val="1"/>
      <w:numFmt w:val="decimal"/>
      <w:lvlText w:val="%4."/>
      <w:lvlJc w:val="left"/>
      <w:pPr>
        <w:tabs>
          <w:tab w:val="num" w:pos="2673"/>
        </w:tabs>
        <w:ind w:left="2673" w:hanging="360"/>
      </w:pPr>
      <w:rPr>
        <w:rFonts w:cs="Times New Roman"/>
      </w:rPr>
    </w:lvl>
    <w:lvl w:ilvl="4" w:tplc="08090019" w:tentative="1">
      <w:start w:val="1"/>
      <w:numFmt w:val="lowerLetter"/>
      <w:lvlText w:val="%5."/>
      <w:lvlJc w:val="left"/>
      <w:pPr>
        <w:tabs>
          <w:tab w:val="num" w:pos="3393"/>
        </w:tabs>
        <w:ind w:left="3393" w:hanging="360"/>
      </w:pPr>
      <w:rPr>
        <w:rFonts w:cs="Times New Roman"/>
      </w:rPr>
    </w:lvl>
    <w:lvl w:ilvl="5" w:tplc="0809001B" w:tentative="1">
      <w:start w:val="1"/>
      <w:numFmt w:val="lowerRoman"/>
      <w:lvlText w:val="%6."/>
      <w:lvlJc w:val="right"/>
      <w:pPr>
        <w:tabs>
          <w:tab w:val="num" w:pos="4113"/>
        </w:tabs>
        <w:ind w:left="4113" w:hanging="180"/>
      </w:pPr>
      <w:rPr>
        <w:rFonts w:cs="Times New Roman"/>
      </w:rPr>
    </w:lvl>
    <w:lvl w:ilvl="6" w:tplc="0809000F" w:tentative="1">
      <w:start w:val="1"/>
      <w:numFmt w:val="decimal"/>
      <w:lvlText w:val="%7."/>
      <w:lvlJc w:val="left"/>
      <w:pPr>
        <w:tabs>
          <w:tab w:val="num" w:pos="4833"/>
        </w:tabs>
        <w:ind w:left="4833" w:hanging="360"/>
      </w:pPr>
      <w:rPr>
        <w:rFonts w:cs="Times New Roman"/>
      </w:rPr>
    </w:lvl>
    <w:lvl w:ilvl="7" w:tplc="08090019" w:tentative="1">
      <w:start w:val="1"/>
      <w:numFmt w:val="lowerLetter"/>
      <w:lvlText w:val="%8."/>
      <w:lvlJc w:val="left"/>
      <w:pPr>
        <w:tabs>
          <w:tab w:val="num" w:pos="5553"/>
        </w:tabs>
        <w:ind w:left="5553" w:hanging="360"/>
      </w:pPr>
      <w:rPr>
        <w:rFonts w:cs="Times New Roman"/>
      </w:rPr>
    </w:lvl>
    <w:lvl w:ilvl="8" w:tplc="0809001B" w:tentative="1">
      <w:start w:val="1"/>
      <w:numFmt w:val="lowerRoman"/>
      <w:lvlText w:val="%9."/>
      <w:lvlJc w:val="right"/>
      <w:pPr>
        <w:tabs>
          <w:tab w:val="num" w:pos="6273"/>
        </w:tabs>
        <w:ind w:left="6273" w:hanging="180"/>
      </w:pPr>
      <w:rPr>
        <w:rFonts w:cs="Times New Roman"/>
      </w:rPr>
    </w:lvl>
  </w:abstractNum>
  <w:abstractNum w:abstractNumId="33" w15:restartNumberingAfterBreak="0">
    <w:nsid w:val="5B07660E"/>
    <w:multiLevelType w:val="hybridMultilevel"/>
    <w:tmpl w:val="EB5A6DEC"/>
    <w:lvl w:ilvl="0" w:tplc="851C24EE">
      <w:start w:val="1"/>
      <w:numFmt w:val="lowerLetter"/>
      <w:lvlText w:val="(%1)"/>
      <w:lvlJc w:val="left"/>
      <w:pPr>
        <w:ind w:left="2356" w:hanging="360"/>
      </w:pPr>
      <w:rPr>
        <w:rFonts w:hint="default"/>
      </w:rPr>
    </w:lvl>
    <w:lvl w:ilvl="1" w:tplc="040C0019" w:tentative="1">
      <w:start w:val="1"/>
      <w:numFmt w:val="lowerLetter"/>
      <w:lvlText w:val="%2."/>
      <w:lvlJc w:val="left"/>
      <w:pPr>
        <w:ind w:left="3076" w:hanging="360"/>
      </w:pPr>
    </w:lvl>
    <w:lvl w:ilvl="2" w:tplc="040C001B" w:tentative="1">
      <w:start w:val="1"/>
      <w:numFmt w:val="lowerRoman"/>
      <w:lvlText w:val="%3."/>
      <w:lvlJc w:val="right"/>
      <w:pPr>
        <w:ind w:left="3796" w:hanging="180"/>
      </w:pPr>
    </w:lvl>
    <w:lvl w:ilvl="3" w:tplc="040C000F" w:tentative="1">
      <w:start w:val="1"/>
      <w:numFmt w:val="decimal"/>
      <w:lvlText w:val="%4."/>
      <w:lvlJc w:val="left"/>
      <w:pPr>
        <w:ind w:left="4516" w:hanging="360"/>
      </w:pPr>
    </w:lvl>
    <w:lvl w:ilvl="4" w:tplc="040C0019" w:tentative="1">
      <w:start w:val="1"/>
      <w:numFmt w:val="lowerLetter"/>
      <w:lvlText w:val="%5."/>
      <w:lvlJc w:val="left"/>
      <w:pPr>
        <w:ind w:left="5236" w:hanging="360"/>
      </w:pPr>
    </w:lvl>
    <w:lvl w:ilvl="5" w:tplc="040C001B" w:tentative="1">
      <w:start w:val="1"/>
      <w:numFmt w:val="lowerRoman"/>
      <w:lvlText w:val="%6."/>
      <w:lvlJc w:val="right"/>
      <w:pPr>
        <w:ind w:left="5956" w:hanging="180"/>
      </w:pPr>
    </w:lvl>
    <w:lvl w:ilvl="6" w:tplc="040C000F" w:tentative="1">
      <w:start w:val="1"/>
      <w:numFmt w:val="decimal"/>
      <w:lvlText w:val="%7."/>
      <w:lvlJc w:val="left"/>
      <w:pPr>
        <w:ind w:left="6676" w:hanging="360"/>
      </w:pPr>
    </w:lvl>
    <w:lvl w:ilvl="7" w:tplc="040C0019" w:tentative="1">
      <w:start w:val="1"/>
      <w:numFmt w:val="lowerLetter"/>
      <w:lvlText w:val="%8."/>
      <w:lvlJc w:val="left"/>
      <w:pPr>
        <w:ind w:left="7396" w:hanging="360"/>
      </w:pPr>
    </w:lvl>
    <w:lvl w:ilvl="8" w:tplc="040C001B" w:tentative="1">
      <w:start w:val="1"/>
      <w:numFmt w:val="lowerRoman"/>
      <w:lvlText w:val="%9."/>
      <w:lvlJc w:val="right"/>
      <w:pPr>
        <w:ind w:left="8116" w:hanging="180"/>
      </w:pPr>
    </w:lvl>
  </w:abstractNum>
  <w:abstractNum w:abstractNumId="34" w15:restartNumberingAfterBreak="0">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35" w15:restartNumberingAfterBreak="0">
    <w:nsid w:val="64E276A5"/>
    <w:multiLevelType w:val="hybridMultilevel"/>
    <w:tmpl w:val="BF6AEB2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Symbol"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Symbol"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Symbol" w:hint="default"/>
      </w:rPr>
    </w:lvl>
    <w:lvl w:ilvl="8" w:tplc="040C0005" w:tentative="1">
      <w:start w:val="1"/>
      <w:numFmt w:val="bullet"/>
      <w:lvlText w:val=""/>
      <w:lvlJc w:val="left"/>
      <w:pPr>
        <w:ind w:left="7331" w:hanging="360"/>
      </w:pPr>
      <w:rPr>
        <w:rFonts w:ascii="Wingdings" w:hAnsi="Wingdings" w:hint="default"/>
      </w:rPr>
    </w:lvl>
  </w:abstractNum>
  <w:abstractNum w:abstractNumId="36" w15:restartNumberingAfterBreak="0">
    <w:nsid w:val="6B1F521F"/>
    <w:multiLevelType w:val="hybridMultilevel"/>
    <w:tmpl w:val="75B8A2C4"/>
    <w:lvl w:ilvl="0" w:tplc="F4AC2EF0">
      <w:start w:val="1"/>
      <w:numFmt w:val="lowerLetter"/>
      <w:lvlText w:val="(%1)"/>
      <w:lvlJc w:val="left"/>
      <w:pPr>
        <w:tabs>
          <w:tab w:val="num" w:pos="-360"/>
        </w:tabs>
        <w:ind w:left="720" w:hanging="360"/>
      </w:pPr>
      <w:rPr>
        <w:rFonts w:cs="Times New Roman" w:hint="default"/>
      </w:rPr>
    </w:lvl>
    <w:lvl w:ilvl="1" w:tplc="08090019" w:tentative="1">
      <w:start w:val="1"/>
      <w:numFmt w:val="lowerLetter"/>
      <w:lvlText w:val="%2."/>
      <w:lvlJc w:val="left"/>
      <w:pPr>
        <w:tabs>
          <w:tab w:val="num" w:pos="1233"/>
        </w:tabs>
        <w:ind w:left="1233" w:hanging="360"/>
      </w:pPr>
      <w:rPr>
        <w:rFonts w:cs="Times New Roman"/>
      </w:rPr>
    </w:lvl>
    <w:lvl w:ilvl="2" w:tplc="0809001B" w:tentative="1">
      <w:start w:val="1"/>
      <w:numFmt w:val="lowerRoman"/>
      <w:lvlText w:val="%3."/>
      <w:lvlJc w:val="right"/>
      <w:pPr>
        <w:tabs>
          <w:tab w:val="num" w:pos="1953"/>
        </w:tabs>
        <w:ind w:left="1953" w:hanging="180"/>
      </w:pPr>
      <w:rPr>
        <w:rFonts w:cs="Times New Roman"/>
      </w:rPr>
    </w:lvl>
    <w:lvl w:ilvl="3" w:tplc="0809000F" w:tentative="1">
      <w:start w:val="1"/>
      <w:numFmt w:val="decimal"/>
      <w:lvlText w:val="%4."/>
      <w:lvlJc w:val="left"/>
      <w:pPr>
        <w:tabs>
          <w:tab w:val="num" w:pos="2673"/>
        </w:tabs>
        <w:ind w:left="2673" w:hanging="360"/>
      </w:pPr>
      <w:rPr>
        <w:rFonts w:cs="Times New Roman"/>
      </w:rPr>
    </w:lvl>
    <w:lvl w:ilvl="4" w:tplc="08090019" w:tentative="1">
      <w:start w:val="1"/>
      <w:numFmt w:val="lowerLetter"/>
      <w:lvlText w:val="%5."/>
      <w:lvlJc w:val="left"/>
      <w:pPr>
        <w:tabs>
          <w:tab w:val="num" w:pos="3393"/>
        </w:tabs>
        <w:ind w:left="3393" w:hanging="360"/>
      </w:pPr>
      <w:rPr>
        <w:rFonts w:cs="Times New Roman"/>
      </w:rPr>
    </w:lvl>
    <w:lvl w:ilvl="5" w:tplc="0809001B" w:tentative="1">
      <w:start w:val="1"/>
      <w:numFmt w:val="lowerRoman"/>
      <w:lvlText w:val="%6."/>
      <w:lvlJc w:val="right"/>
      <w:pPr>
        <w:tabs>
          <w:tab w:val="num" w:pos="4113"/>
        </w:tabs>
        <w:ind w:left="4113" w:hanging="180"/>
      </w:pPr>
      <w:rPr>
        <w:rFonts w:cs="Times New Roman"/>
      </w:rPr>
    </w:lvl>
    <w:lvl w:ilvl="6" w:tplc="0809000F" w:tentative="1">
      <w:start w:val="1"/>
      <w:numFmt w:val="decimal"/>
      <w:lvlText w:val="%7."/>
      <w:lvlJc w:val="left"/>
      <w:pPr>
        <w:tabs>
          <w:tab w:val="num" w:pos="4833"/>
        </w:tabs>
        <w:ind w:left="4833" w:hanging="360"/>
      </w:pPr>
      <w:rPr>
        <w:rFonts w:cs="Times New Roman"/>
      </w:rPr>
    </w:lvl>
    <w:lvl w:ilvl="7" w:tplc="08090019" w:tentative="1">
      <w:start w:val="1"/>
      <w:numFmt w:val="lowerLetter"/>
      <w:lvlText w:val="%8."/>
      <w:lvlJc w:val="left"/>
      <w:pPr>
        <w:tabs>
          <w:tab w:val="num" w:pos="5553"/>
        </w:tabs>
        <w:ind w:left="5553" w:hanging="360"/>
      </w:pPr>
      <w:rPr>
        <w:rFonts w:cs="Times New Roman"/>
      </w:rPr>
    </w:lvl>
    <w:lvl w:ilvl="8" w:tplc="0809001B" w:tentative="1">
      <w:start w:val="1"/>
      <w:numFmt w:val="lowerRoman"/>
      <w:lvlText w:val="%9."/>
      <w:lvlJc w:val="right"/>
      <w:pPr>
        <w:tabs>
          <w:tab w:val="num" w:pos="6273"/>
        </w:tabs>
        <w:ind w:left="6273" w:hanging="180"/>
      </w:pPr>
      <w:rPr>
        <w:rFonts w:cs="Times New Roman"/>
      </w:rPr>
    </w:lvl>
  </w:abstractNum>
  <w:abstractNum w:abstractNumId="37" w15:restartNumberingAfterBreak="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8E23977"/>
    <w:multiLevelType w:val="hybridMultilevel"/>
    <w:tmpl w:val="76EE1F78"/>
    <w:lvl w:ilvl="0" w:tplc="F4AC2EF0">
      <w:start w:val="1"/>
      <w:numFmt w:val="lowerLetter"/>
      <w:lvlText w:val="(%1)"/>
      <w:lvlJc w:val="left"/>
      <w:pPr>
        <w:tabs>
          <w:tab w:val="num" w:pos="-360"/>
        </w:tabs>
        <w:ind w:left="720" w:hanging="360"/>
      </w:pPr>
      <w:rPr>
        <w:rFonts w:cs="Times New Roman" w:hint="default"/>
      </w:rPr>
    </w:lvl>
    <w:lvl w:ilvl="1" w:tplc="08090019">
      <w:start w:val="1"/>
      <w:numFmt w:val="lowerLetter"/>
      <w:lvlText w:val="%2."/>
      <w:lvlJc w:val="left"/>
      <w:pPr>
        <w:tabs>
          <w:tab w:val="num" w:pos="1233"/>
        </w:tabs>
        <w:ind w:left="1233" w:hanging="360"/>
      </w:pPr>
      <w:rPr>
        <w:rFonts w:cs="Times New Roman"/>
      </w:rPr>
    </w:lvl>
    <w:lvl w:ilvl="2" w:tplc="0809001B" w:tentative="1">
      <w:start w:val="1"/>
      <w:numFmt w:val="lowerRoman"/>
      <w:lvlText w:val="%3."/>
      <w:lvlJc w:val="right"/>
      <w:pPr>
        <w:tabs>
          <w:tab w:val="num" w:pos="1953"/>
        </w:tabs>
        <w:ind w:left="1953" w:hanging="180"/>
      </w:pPr>
      <w:rPr>
        <w:rFonts w:cs="Times New Roman"/>
      </w:rPr>
    </w:lvl>
    <w:lvl w:ilvl="3" w:tplc="0809000F" w:tentative="1">
      <w:start w:val="1"/>
      <w:numFmt w:val="decimal"/>
      <w:lvlText w:val="%4."/>
      <w:lvlJc w:val="left"/>
      <w:pPr>
        <w:tabs>
          <w:tab w:val="num" w:pos="2673"/>
        </w:tabs>
        <w:ind w:left="2673" w:hanging="360"/>
      </w:pPr>
      <w:rPr>
        <w:rFonts w:cs="Times New Roman"/>
      </w:rPr>
    </w:lvl>
    <w:lvl w:ilvl="4" w:tplc="08090019" w:tentative="1">
      <w:start w:val="1"/>
      <w:numFmt w:val="lowerLetter"/>
      <w:lvlText w:val="%5."/>
      <w:lvlJc w:val="left"/>
      <w:pPr>
        <w:tabs>
          <w:tab w:val="num" w:pos="3393"/>
        </w:tabs>
        <w:ind w:left="3393" w:hanging="360"/>
      </w:pPr>
      <w:rPr>
        <w:rFonts w:cs="Times New Roman"/>
      </w:rPr>
    </w:lvl>
    <w:lvl w:ilvl="5" w:tplc="0809001B" w:tentative="1">
      <w:start w:val="1"/>
      <w:numFmt w:val="lowerRoman"/>
      <w:lvlText w:val="%6."/>
      <w:lvlJc w:val="right"/>
      <w:pPr>
        <w:tabs>
          <w:tab w:val="num" w:pos="4113"/>
        </w:tabs>
        <w:ind w:left="4113" w:hanging="180"/>
      </w:pPr>
      <w:rPr>
        <w:rFonts w:cs="Times New Roman"/>
      </w:rPr>
    </w:lvl>
    <w:lvl w:ilvl="6" w:tplc="0809000F" w:tentative="1">
      <w:start w:val="1"/>
      <w:numFmt w:val="decimal"/>
      <w:lvlText w:val="%7."/>
      <w:lvlJc w:val="left"/>
      <w:pPr>
        <w:tabs>
          <w:tab w:val="num" w:pos="4833"/>
        </w:tabs>
        <w:ind w:left="4833" w:hanging="360"/>
      </w:pPr>
      <w:rPr>
        <w:rFonts w:cs="Times New Roman"/>
      </w:rPr>
    </w:lvl>
    <w:lvl w:ilvl="7" w:tplc="08090019" w:tentative="1">
      <w:start w:val="1"/>
      <w:numFmt w:val="lowerLetter"/>
      <w:lvlText w:val="%8."/>
      <w:lvlJc w:val="left"/>
      <w:pPr>
        <w:tabs>
          <w:tab w:val="num" w:pos="5553"/>
        </w:tabs>
        <w:ind w:left="5553" w:hanging="360"/>
      </w:pPr>
      <w:rPr>
        <w:rFonts w:cs="Times New Roman"/>
      </w:rPr>
    </w:lvl>
    <w:lvl w:ilvl="8" w:tplc="0809001B" w:tentative="1">
      <w:start w:val="1"/>
      <w:numFmt w:val="lowerRoman"/>
      <w:lvlText w:val="%9."/>
      <w:lvlJc w:val="right"/>
      <w:pPr>
        <w:tabs>
          <w:tab w:val="num" w:pos="6273"/>
        </w:tabs>
        <w:ind w:left="6273" w:hanging="180"/>
      </w:pPr>
      <w:rPr>
        <w:rFonts w:cs="Times New Roman"/>
      </w:rPr>
    </w:lvl>
  </w:abstractNum>
  <w:abstractNum w:abstractNumId="41" w15:restartNumberingAfterBreak="0">
    <w:nsid w:val="7C674A51"/>
    <w:multiLevelType w:val="hybridMultilevel"/>
    <w:tmpl w:val="B18610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num w:numId="1">
    <w:abstractNumId w:val="30"/>
  </w:num>
  <w:num w:numId="2">
    <w:abstractNumId w:val="42"/>
  </w:num>
  <w:num w:numId="3">
    <w:abstractNumId w:val="14"/>
  </w:num>
  <w:num w:numId="4">
    <w:abstractNumId w:val="34"/>
  </w:num>
  <w:num w:numId="5">
    <w:abstractNumId w:val="26"/>
  </w:num>
  <w:num w:numId="6">
    <w:abstractNumId w:val="38"/>
  </w:num>
  <w:num w:numId="7">
    <w:abstractNumId w:val="29"/>
  </w:num>
  <w:num w:numId="8">
    <w:abstractNumId w:val="39"/>
  </w:num>
  <w:num w:numId="9">
    <w:abstractNumId w:val="37"/>
  </w:num>
  <w:num w:numId="10">
    <w:abstractNumId w:val="20"/>
  </w:num>
  <w:num w:numId="11">
    <w:abstractNumId w:val="8"/>
  </w:num>
  <w:num w:numId="12">
    <w:abstractNumId w:val="41"/>
  </w:num>
  <w:num w:numId="13">
    <w:abstractNumId w:val="16"/>
  </w:num>
  <w:num w:numId="14">
    <w:abstractNumId w:val="40"/>
  </w:num>
  <w:num w:numId="15">
    <w:abstractNumId w:val="24"/>
  </w:num>
  <w:num w:numId="16">
    <w:abstractNumId w:val="13"/>
  </w:num>
  <w:num w:numId="17">
    <w:abstractNumId w:val="12"/>
  </w:num>
  <w:num w:numId="18">
    <w:abstractNumId w:val="19"/>
  </w:num>
  <w:num w:numId="19">
    <w:abstractNumId w:val="23"/>
  </w:num>
  <w:num w:numId="20">
    <w:abstractNumId w:val="27"/>
  </w:num>
  <w:num w:numId="21">
    <w:abstractNumId w:val="32"/>
  </w:num>
  <w:num w:numId="22">
    <w:abstractNumId w:val="17"/>
  </w:num>
  <w:num w:numId="23">
    <w:abstractNumId w:val="21"/>
  </w:num>
  <w:num w:numId="24">
    <w:abstractNumId w:val="25"/>
  </w:num>
  <w:num w:numId="25">
    <w:abstractNumId w:val="36"/>
  </w:num>
  <w:num w:numId="26">
    <w:abstractNumId w:val="18"/>
  </w:num>
  <w:num w:numId="27">
    <w:abstractNumId w:val="11"/>
  </w:num>
  <w:num w:numId="28">
    <w:abstractNumId w:val="22"/>
  </w:num>
  <w:num w:numId="29">
    <w:abstractNumId w:val="15"/>
  </w:num>
  <w:num w:numId="30">
    <w:abstractNumId w:val="10"/>
  </w:num>
  <w:num w:numId="31">
    <w:abstractNumId w:val="33"/>
  </w:num>
  <w:num w:numId="32">
    <w:abstractNumId w:val="35"/>
  </w:num>
  <w:num w:numId="33">
    <w:abstractNumId w:val="28"/>
  </w:num>
  <w:num w:numId="34">
    <w:abstractNumId w:val="31"/>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num>
  <w:num w:numId="56">
    <w:abstractNumId w:val="6"/>
  </w:num>
  <w:num w:numId="57">
    <w:abstractNumId w:val="5"/>
  </w:num>
  <w:num w:numId="58">
    <w:abstractNumId w:val="4"/>
  </w:num>
  <w:num w:numId="59">
    <w:abstractNumId w:val="3"/>
  </w:num>
  <w:num w:numId="60">
    <w:abstractNumId w:val="2"/>
  </w:num>
  <w:num w:numId="61">
    <w:abstractNumId w:val="1"/>
  </w:num>
  <w:num w:numId="62">
    <w:abstractNumId w:val="0"/>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hideGrammaticalErrors/>
  <w:proofState w:spelling="clean" w:grammar="clean"/>
  <w:defaultTabStop w:val="340"/>
  <w:hyphenationZone w:val="425"/>
  <w:evenAndOddHeaders/>
  <w:drawingGridHorizontalSpacing w:val="110"/>
  <w:displayHorizontalDrawingGridEvery w:val="2"/>
  <w:characterSpacingControl w:val="doNotCompress"/>
  <w:hdrShapeDefaults>
    <o:shapedefaults v:ext="edit" spidmax="22529"/>
  </w:hdrShapeDefault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1B"/>
    <w:rsid w:val="00002E5C"/>
    <w:rsid w:val="00002FD0"/>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383"/>
    <w:rsid w:val="000066B1"/>
    <w:rsid w:val="00006B1C"/>
    <w:rsid w:val="00006D1F"/>
    <w:rsid w:val="00006F08"/>
    <w:rsid w:val="0000714E"/>
    <w:rsid w:val="000076EF"/>
    <w:rsid w:val="00007E24"/>
    <w:rsid w:val="00010462"/>
    <w:rsid w:val="00010501"/>
    <w:rsid w:val="00010E39"/>
    <w:rsid w:val="0001133B"/>
    <w:rsid w:val="000114DB"/>
    <w:rsid w:val="00011672"/>
    <w:rsid w:val="000116B2"/>
    <w:rsid w:val="00011A8D"/>
    <w:rsid w:val="00012794"/>
    <w:rsid w:val="00012909"/>
    <w:rsid w:val="00012A55"/>
    <w:rsid w:val="00012CC2"/>
    <w:rsid w:val="00012FD8"/>
    <w:rsid w:val="000133E1"/>
    <w:rsid w:val="00013675"/>
    <w:rsid w:val="000137D1"/>
    <w:rsid w:val="00013991"/>
    <w:rsid w:val="00013B45"/>
    <w:rsid w:val="00013BCC"/>
    <w:rsid w:val="00013D04"/>
    <w:rsid w:val="00013DCB"/>
    <w:rsid w:val="000140B7"/>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675"/>
    <w:rsid w:val="00017CAE"/>
    <w:rsid w:val="000200F7"/>
    <w:rsid w:val="00020331"/>
    <w:rsid w:val="00020398"/>
    <w:rsid w:val="000206DE"/>
    <w:rsid w:val="00020747"/>
    <w:rsid w:val="000208B5"/>
    <w:rsid w:val="000209E7"/>
    <w:rsid w:val="00020D60"/>
    <w:rsid w:val="00021916"/>
    <w:rsid w:val="00021B59"/>
    <w:rsid w:val="00021D2C"/>
    <w:rsid w:val="00022351"/>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6E"/>
    <w:rsid w:val="000259E2"/>
    <w:rsid w:val="00025C92"/>
    <w:rsid w:val="00025CCC"/>
    <w:rsid w:val="00025E16"/>
    <w:rsid w:val="00025FD9"/>
    <w:rsid w:val="0002625A"/>
    <w:rsid w:val="00027268"/>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6C6"/>
    <w:rsid w:val="00032A4D"/>
    <w:rsid w:val="00032CD4"/>
    <w:rsid w:val="000331D1"/>
    <w:rsid w:val="00033278"/>
    <w:rsid w:val="0003329D"/>
    <w:rsid w:val="00033A48"/>
    <w:rsid w:val="00033B94"/>
    <w:rsid w:val="00033FCB"/>
    <w:rsid w:val="00034C13"/>
    <w:rsid w:val="00035164"/>
    <w:rsid w:val="000352F7"/>
    <w:rsid w:val="0003534E"/>
    <w:rsid w:val="00035365"/>
    <w:rsid w:val="000354BB"/>
    <w:rsid w:val="00035658"/>
    <w:rsid w:val="00035741"/>
    <w:rsid w:val="00035DE2"/>
    <w:rsid w:val="00036C84"/>
    <w:rsid w:val="00037026"/>
    <w:rsid w:val="000377D5"/>
    <w:rsid w:val="00037B42"/>
    <w:rsid w:val="00037E2C"/>
    <w:rsid w:val="00037FEC"/>
    <w:rsid w:val="000404BA"/>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770"/>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CA0"/>
    <w:rsid w:val="00054EC6"/>
    <w:rsid w:val="00054F00"/>
    <w:rsid w:val="000551F1"/>
    <w:rsid w:val="0005558B"/>
    <w:rsid w:val="000555DB"/>
    <w:rsid w:val="000556B6"/>
    <w:rsid w:val="00055D40"/>
    <w:rsid w:val="00055F4F"/>
    <w:rsid w:val="00056A07"/>
    <w:rsid w:val="00056BFC"/>
    <w:rsid w:val="00056D7F"/>
    <w:rsid w:val="00056E5C"/>
    <w:rsid w:val="0005735D"/>
    <w:rsid w:val="00057D10"/>
    <w:rsid w:val="00057D7A"/>
    <w:rsid w:val="00057E39"/>
    <w:rsid w:val="0006016F"/>
    <w:rsid w:val="00060251"/>
    <w:rsid w:val="00060281"/>
    <w:rsid w:val="00060309"/>
    <w:rsid w:val="000604E3"/>
    <w:rsid w:val="000622A0"/>
    <w:rsid w:val="000624E8"/>
    <w:rsid w:val="0006318A"/>
    <w:rsid w:val="00063492"/>
    <w:rsid w:val="0006415E"/>
    <w:rsid w:val="000642CF"/>
    <w:rsid w:val="000644FC"/>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67EA2"/>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20"/>
    <w:rsid w:val="00074F89"/>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D7A"/>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839"/>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389"/>
    <w:rsid w:val="00094785"/>
    <w:rsid w:val="00094A93"/>
    <w:rsid w:val="00094C75"/>
    <w:rsid w:val="00094E7C"/>
    <w:rsid w:val="00095608"/>
    <w:rsid w:val="000956B4"/>
    <w:rsid w:val="00095E20"/>
    <w:rsid w:val="00096948"/>
    <w:rsid w:val="000969E9"/>
    <w:rsid w:val="00096CC6"/>
    <w:rsid w:val="00096F21"/>
    <w:rsid w:val="00096F29"/>
    <w:rsid w:val="0009721D"/>
    <w:rsid w:val="00097455"/>
    <w:rsid w:val="00097936"/>
    <w:rsid w:val="00097B8B"/>
    <w:rsid w:val="00097C47"/>
    <w:rsid w:val="000A009A"/>
    <w:rsid w:val="000A062A"/>
    <w:rsid w:val="000A0A1D"/>
    <w:rsid w:val="000A0AD8"/>
    <w:rsid w:val="000A1187"/>
    <w:rsid w:val="000A1213"/>
    <w:rsid w:val="000A17A1"/>
    <w:rsid w:val="000A1AC1"/>
    <w:rsid w:val="000A1DF1"/>
    <w:rsid w:val="000A26E8"/>
    <w:rsid w:val="000A2B2D"/>
    <w:rsid w:val="000A2E23"/>
    <w:rsid w:val="000A2F06"/>
    <w:rsid w:val="000A3013"/>
    <w:rsid w:val="000A36AA"/>
    <w:rsid w:val="000A3A99"/>
    <w:rsid w:val="000A3B80"/>
    <w:rsid w:val="000A3E74"/>
    <w:rsid w:val="000A40D2"/>
    <w:rsid w:val="000A5092"/>
    <w:rsid w:val="000A5341"/>
    <w:rsid w:val="000A5925"/>
    <w:rsid w:val="000A667F"/>
    <w:rsid w:val="000A699C"/>
    <w:rsid w:val="000A742E"/>
    <w:rsid w:val="000A7B1E"/>
    <w:rsid w:val="000B014C"/>
    <w:rsid w:val="000B0600"/>
    <w:rsid w:val="000B09A1"/>
    <w:rsid w:val="000B0EE0"/>
    <w:rsid w:val="000B0FBF"/>
    <w:rsid w:val="000B1972"/>
    <w:rsid w:val="000B1D92"/>
    <w:rsid w:val="000B1EB5"/>
    <w:rsid w:val="000B21A0"/>
    <w:rsid w:val="000B2604"/>
    <w:rsid w:val="000B2A31"/>
    <w:rsid w:val="000B31CB"/>
    <w:rsid w:val="000B33A8"/>
    <w:rsid w:val="000B33F4"/>
    <w:rsid w:val="000B36F3"/>
    <w:rsid w:val="000B3B2B"/>
    <w:rsid w:val="000B4167"/>
    <w:rsid w:val="000B41F8"/>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8B9"/>
    <w:rsid w:val="000C098E"/>
    <w:rsid w:val="000C0CB5"/>
    <w:rsid w:val="000C1F5B"/>
    <w:rsid w:val="000C2837"/>
    <w:rsid w:val="000C2BB2"/>
    <w:rsid w:val="000C2F8E"/>
    <w:rsid w:val="000C31D7"/>
    <w:rsid w:val="000C3646"/>
    <w:rsid w:val="000C4148"/>
    <w:rsid w:val="000C4609"/>
    <w:rsid w:val="000C4648"/>
    <w:rsid w:val="000C47AA"/>
    <w:rsid w:val="000C47B0"/>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6A8"/>
    <w:rsid w:val="000D1A7F"/>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59C1"/>
    <w:rsid w:val="000D5F22"/>
    <w:rsid w:val="000D6248"/>
    <w:rsid w:val="000D691E"/>
    <w:rsid w:val="000D6FED"/>
    <w:rsid w:val="000D72D2"/>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1F9B"/>
    <w:rsid w:val="000F2BA8"/>
    <w:rsid w:val="000F2BC3"/>
    <w:rsid w:val="000F2DEC"/>
    <w:rsid w:val="000F3230"/>
    <w:rsid w:val="000F3322"/>
    <w:rsid w:val="000F338B"/>
    <w:rsid w:val="000F33CD"/>
    <w:rsid w:val="000F3932"/>
    <w:rsid w:val="000F3A99"/>
    <w:rsid w:val="000F453D"/>
    <w:rsid w:val="000F4732"/>
    <w:rsid w:val="000F4CAD"/>
    <w:rsid w:val="000F5AA5"/>
    <w:rsid w:val="000F5B71"/>
    <w:rsid w:val="000F5DFB"/>
    <w:rsid w:val="000F62E8"/>
    <w:rsid w:val="000F63CC"/>
    <w:rsid w:val="000F69B0"/>
    <w:rsid w:val="000F6E0E"/>
    <w:rsid w:val="000F6EA4"/>
    <w:rsid w:val="000F7698"/>
    <w:rsid w:val="000F7CAC"/>
    <w:rsid w:val="000F7D14"/>
    <w:rsid w:val="00100368"/>
    <w:rsid w:val="00100691"/>
    <w:rsid w:val="001009BB"/>
    <w:rsid w:val="00101072"/>
    <w:rsid w:val="001012B7"/>
    <w:rsid w:val="001012BF"/>
    <w:rsid w:val="0010171F"/>
    <w:rsid w:val="0010184A"/>
    <w:rsid w:val="001018A6"/>
    <w:rsid w:val="0010192B"/>
    <w:rsid w:val="0010209F"/>
    <w:rsid w:val="001022A7"/>
    <w:rsid w:val="0010273B"/>
    <w:rsid w:val="0010380D"/>
    <w:rsid w:val="00103C85"/>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622"/>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CE8"/>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F29"/>
    <w:rsid w:val="001302C0"/>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860"/>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61B"/>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BCA"/>
    <w:rsid w:val="00146DFA"/>
    <w:rsid w:val="00147006"/>
    <w:rsid w:val="00147657"/>
    <w:rsid w:val="00147860"/>
    <w:rsid w:val="00147918"/>
    <w:rsid w:val="00147D64"/>
    <w:rsid w:val="00147FBC"/>
    <w:rsid w:val="00150806"/>
    <w:rsid w:val="001508EF"/>
    <w:rsid w:val="00150A6A"/>
    <w:rsid w:val="00150CAD"/>
    <w:rsid w:val="0015111E"/>
    <w:rsid w:val="00151A1D"/>
    <w:rsid w:val="001520E1"/>
    <w:rsid w:val="001526CA"/>
    <w:rsid w:val="0015276A"/>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758"/>
    <w:rsid w:val="001608FB"/>
    <w:rsid w:val="00160FB1"/>
    <w:rsid w:val="00161726"/>
    <w:rsid w:val="00161876"/>
    <w:rsid w:val="00161C90"/>
    <w:rsid w:val="00161E8B"/>
    <w:rsid w:val="0016208F"/>
    <w:rsid w:val="001621CB"/>
    <w:rsid w:val="00162205"/>
    <w:rsid w:val="0016251C"/>
    <w:rsid w:val="00162B5E"/>
    <w:rsid w:val="0016324D"/>
    <w:rsid w:val="00163361"/>
    <w:rsid w:val="001635E7"/>
    <w:rsid w:val="001638F0"/>
    <w:rsid w:val="001639B4"/>
    <w:rsid w:val="00164461"/>
    <w:rsid w:val="001645DF"/>
    <w:rsid w:val="001650D7"/>
    <w:rsid w:val="0016527A"/>
    <w:rsid w:val="001652F0"/>
    <w:rsid w:val="001657F0"/>
    <w:rsid w:val="00165CF1"/>
    <w:rsid w:val="00165E67"/>
    <w:rsid w:val="00166855"/>
    <w:rsid w:val="00167590"/>
    <w:rsid w:val="001675E4"/>
    <w:rsid w:val="00167677"/>
    <w:rsid w:val="00167AE6"/>
    <w:rsid w:val="00167EFE"/>
    <w:rsid w:val="00170110"/>
    <w:rsid w:val="00170190"/>
    <w:rsid w:val="00170440"/>
    <w:rsid w:val="001704E5"/>
    <w:rsid w:val="00170699"/>
    <w:rsid w:val="00170A07"/>
    <w:rsid w:val="00170E9D"/>
    <w:rsid w:val="00170F48"/>
    <w:rsid w:val="00170F5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520"/>
    <w:rsid w:val="00176F60"/>
    <w:rsid w:val="0017704A"/>
    <w:rsid w:val="00177433"/>
    <w:rsid w:val="00177AB9"/>
    <w:rsid w:val="00177F68"/>
    <w:rsid w:val="00180709"/>
    <w:rsid w:val="001808F7"/>
    <w:rsid w:val="00180B9B"/>
    <w:rsid w:val="00180C00"/>
    <w:rsid w:val="001815DD"/>
    <w:rsid w:val="001817B8"/>
    <w:rsid w:val="00181C92"/>
    <w:rsid w:val="001823E6"/>
    <w:rsid w:val="001827F0"/>
    <w:rsid w:val="00182A77"/>
    <w:rsid w:val="00182AA1"/>
    <w:rsid w:val="001832A4"/>
    <w:rsid w:val="00183492"/>
    <w:rsid w:val="00183E70"/>
    <w:rsid w:val="001842A4"/>
    <w:rsid w:val="00184352"/>
    <w:rsid w:val="001848E8"/>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3C"/>
    <w:rsid w:val="001922CB"/>
    <w:rsid w:val="00192579"/>
    <w:rsid w:val="00192710"/>
    <w:rsid w:val="00192828"/>
    <w:rsid w:val="00192F06"/>
    <w:rsid w:val="001934B9"/>
    <w:rsid w:val="001935DF"/>
    <w:rsid w:val="0019370F"/>
    <w:rsid w:val="00193C5B"/>
    <w:rsid w:val="00193E1B"/>
    <w:rsid w:val="00193ED8"/>
    <w:rsid w:val="0019453A"/>
    <w:rsid w:val="0019471E"/>
    <w:rsid w:val="00194EA1"/>
    <w:rsid w:val="00194F9A"/>
    <w:rsid w:val="00196271"/>
    <w:rsid w:val="0019638A"/>
    <w:rsid w:val="00196956"/>
    <w:rsid w:val="00196A67"/>
    <w:rsid w:val="00196B0F"/>
    <w:rsid w:val="00196B94"/>
    <w:rsid w:val="00196D53"/>
    <w:rsid w:val="00196E33"/>
    <w:rsid w:val="00197787"/>
    <w:rsid w:val="00197E78"/>
    <w:rsid w:val="001A00FC"/>
    <w:rsid w:val="001A0338"/>
    <w:rsid w:val="001A0BA8"/>
    <w:rsid w:val="001A0F56"/>
    <w:rsid w:val="001A1C9B"/>
    <w:rsid w:val="001A1E80"/>
    <w:rsid w:val="001A202F"/>
    <w:rsid w:val="001A2351"/>
    <w:rsid w:val="001A2980"/>
    <w:rsid w:val="001A29F3"/>
    <w:rsid w:val="001A2ABF"/>
    <w:rsid w:val="001A2CE2"/>
    <w:rsid w:val="001A3013"/>
    <w:rsid w:val="001A3395"/>
    <w:rsid w:val="001A342B"/>
    <w:rsid w:val="001A360E"/>
    <w:rsid w:val="001A38FC"/>
    <w:rsid w:val="001A3D15"/>
    <w:rsid w:val="001A4063"/>
    <w:rsid w:val="001A42AB"/>
    <w:rsid w:val="001A4448"/>
    <w:rsid w:val="001A44EB"/>
    <w:rsid w:val="001A479A"/>
    <w:rsid w:val="001A4FBC"/>
    <w:rsid w:val="001A4FF0"/>
    <w:rsid w:val="001A531B"/>
    <w:rsid w:val="001A6275"/>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2FB"/>
    <w:rsid w:val="001B4408"/>
    <w:rsid w:val="001B4573"/>
    <w:rsid w:val="001B4891"/>
    <w:rsid w:val="001B48E6"/>
    <w:rsid w:val="001B5522"/>
    <w:rsid w:val="001B55E6"/>
    <w:rsid w:val="001B5A8E"/>
    <w:rsid w:val="001B5DED"/>
    <w:rsid w:val="001B6186"/>
    <w:rsid w:val="001B6376"/>
    <w:rsid w:val="001B6E86"/>
    <w:rsid w:val="001B73C2"/>
    <w:rsid w:val="001B767D"/>
    <w:rsid w:val="001B7939"/>
    <w:rsid w:val="001C013E"/>
    <w:rsid w:val="001C0970"/>
    <w:rsid w:val="001C0CF8"/>
    <w:rsid w:val="001C0EDB"/>
    <w:rsid w:val="001C0F8F"/>
    <w:rsid w:val="001C1F5B"/>
    <w:rsid w:val="001C2098"/>
    <w:rsid w:val="001C2751"/>
    <w:rsid w:val="001C27DF"/>
    <w:rsid w:val="001C2D22"/>
    <w:rsid w:val="001C37E4"/>
    <w:rsid w:val="001C4638"/>
    <w:rsid w:val="001C4C17"/>
    <w:rsid w:val="001C4D13"/>
    <w:rsid w:val="001C5009"/>
    <w:rsid w:val="001C5493"/>
    <w:rsid w:val="001C54C1"/>
    <w:rsid w:val="001C5766"/>
    <w:rsid w:val="001C6336"/>
    <w:rsid w:val="001C63EC"/>
    <w:rsid w:val="001C64F4"/>
    <w:rsid w:val="001C6759"/>
    <w:rsid w:val="001C6DE7"/>
    <w:rsid w:val="001C6E95"/>
    <w:rsid w:val="001C6F3D"/>
    <w:rsid w:val="001C7013"/>
    <w:rsid w:val="001C7370"/>
    <w:rsid w:val="001C73CE"/>
    <w:rsid w:val="001C740B"/>
    <w:rsid w:val="001C7BB7"/>
    <w:rsid w:val="001C7C0E"/>
    <w:rsid w:val="001C7F25"/>
    <w:rsid w:val="001D0A63"/>
    <w:rsid w:val="001D0BF8"/>
    <w:rsid w:val="001D0E12"/>
    <w:rsid w:val="001D1433"/>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6EB"/>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871"/>
    <w:rsid w:val="001F3CB5"/>
    <w:rsid w:val="001F4057"/>
    <w:rsid w:val="001F44E2"/>
    <w:rsid w:val="001F4A2A"/>
    <w:rsid w:val="001F4B06"/>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57A"/>
    <w:rsid w:val="00202AB4"/>
    <w:rsid w:val="00202CF3"/>
    <w:rsid w:val="00203179"/>
    <w:rsid w:val="002031B4"/>
    <w:rsid w:val="002033D5"/>
    <w:rsid w:val="00203513"/>
    <w:rsid w:val="00203535"/>
    <w:rsid w:val="00203801"/>
    <w:rsid w:val="00204BD6"/>
    <w:rsid w:val="002062B9"/>
    <w:rsid w:val="00207A9D"/>
    <w:rsid w:val="00207B26"/>
    <w:rsid w:val="00207C0E"/>
    <w:rsid w:val="00207C80"/>
    <w:rsid w:val="00207F47"/>
    <w:rsid w:val="002106E3"/>
    <w:rsid w:val="0021091C"/>
    <w:rsid w:val="00210F4A"/>
    <w:rsid w:val="00211166"/>
    <w:rsid w:val="0021155A"/>
    <w:rsid w:val="00211569"/>
    <w:rsid w:val="00211760"/>
    <w:rsid w:val="00211810"/>
    <w:rsid w:val="00211979"/>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495"/>
    <w:rsid w:val="0021673B"/>
    <w:rsid w:val="002167F5"/>
    <w:rsid w:val="00216951"/>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28E"/>
    <w:rsid w:val="002215E7"/>
    <w:rsid w:val="0022164D"/>
    <w:rsid w:val="00221654"/>
    <w:rsid w:val="00221B1C"/>
    <w:rsid w:val="00221CC0"/>
    <w:rsid w:val="00222064"/>
    <w:rsid w:val="002222BA"/>
    <w:rsid w:val="0022250A"/>
    <w:rsid w:val="00222B46"/>
    <w:rsid w:val="00222C4C"/>
    <w:rsid w:val="00222DEC"/>
    <w:rsid w:val="002232AC"/>
    <w:rsid w:val="00223D6D"/>
    <w:rsid w:val="0022488B"/>
    <w:rsid w:val="00224A38"/>
    <w:rsid w:val="00224F1E"/>
    <w:rsid w:val="00225A09"/>
    <w:rsid w:val="002262B5"/>
    <w:rsid w:val="0022649B"/>
    <w:rsid w:val="0022693E"/>
    <w:rsid w:val="00226996"/>
    <w:rsid w:val="00226D27"/>
    <w:rsid w:val="00226D95"/>
    <w:rsid w:val="00226ECC"/>
    <w:rsid w:val="00226F0B"/>
    <w:rsid w:val="002270E9"/>
    <w:rsid w:val="002279DC"/>
    <w:rsid w:val="00227A73"/>
    <w:rsid w:val="00227BCE"/>
    <w:rsid w:val="00227E30"/>
    <w:rsid w:val="00227E5C"/>
    <w:rsid w:val="0023024C"/>
    <w:rsid w:val="0023089A"/>
    <w:rsid w:val="002308A8"/>
    <w:rsid w:val="002310EE"/>
    <w:rsid w:val="002318F9"/>
    <w:rsid w:val="00231A21"/>
    <w:rsid w:val="00231CFE"/>
    <w:rsid w:val="0023223A"/>
    <w:rsid w:val="00232835"/>
    <w:rsid w:val="00232981"/>
    <w:rsid w:val="00232B82"/>
    <w:rsid w:val="00232D5E"/>
    <w:rsid w:val="00232DE6"/>
    <w:rsid w:val="00232E9A"/>
    <w:rsid w:val="00232F05"/>
    <w:rsid w:val="00233CB6"/>
    <w:rsid w:val="00234E85"/>
    <w:rsid w:val="00235437"/>
    <w:rsid w:val="002355FD"/>
    <w:rsid w:val="00235B0C"/>
    <w:rsid w:val="00235BAB"/>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67"/>
    <w:rsid w:val="002553A4"/>
    <w:rsid w:val="00256078"/>
    <w:rsid w:val="002565EB"/>
    <w:rsid w:val="00256CCA"/>
    <w:rsid w:val="002571F5"/>
    <w:rsid w:val="00260207"/>
    <w:rsid w:val="00260439"/>
    <w:rsid w:val="00260722"/>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E77"/>
    <w:rsid w:val="00265F25"/>
    <w:rsid w:val="00265FE9"/>
    <w:rsid w:val="002664E8"/>
    <w:rsid w:val="0026662C"/>
    <w:rsid w:val="00266639"/>
    <w:rsid w:val="00267D49"/>
    <w:rsid w:val="002701E9"/>
    <w:rsid w:val="00270551"/>
    <w:rsid w:val="00270590"/>
    <w:rsid w:val="00270E55"/>
    <w:rsid w:val="00271151"/>
    <w:rsid w:val="002712D0"/>
    <w:rsid w:val="0027137F"/>
    <w:rsid w:val="0027138A"/>
    <w:rsid w:val="002713F6"/>
    <w:rsid w:val="00271905"/>
    <w:rsid w:val="00271A8D"/>
    <w:rsid w:val="00271BE9"/>
    <w:rsid w:val="00272408"/>
    <w:rsid w:val="00272416"/>
    <w:rsid w:val="00272460"/>
    <w:rsid w:val="00272C97"/>
    <w:rsid w:val="00272D67"/>
    <w:rsid w:val="00272E11"/>
    <w:rsid w:val="00273440"/>
    <w:rsid w:val="002735A5"/>
    <w:rsid w:val="0027383F"/>
    <w:rsid w:val="00273E7D"/>
    <w:rsid w:val="00273FA0"/>
    <w:rsid w:val="00274271"/>
    <w:rsid w:val="0027472C"/>
    <w:rsid w:val="00275AFC"/>
    <w:rsid w:val="00275D3C"/>
    <w:rsid w:val="00276368"/>
    <w:rsid w:val="0027684A"/>
    <w:rsid w:val="00276CEB"/>
    <w:rsid w:val="00277107"/>
    <w:rsid w:val="00277730"/>
    <w:rsid w:val="00277BC7"/>
    <w:rsid w:val="00277CD9"/>
    <w:rsid w:val="00277E5E"/>
    <w:rsid w:val="00280045"/>
    <w:rsid w:val="002800CA"/>
    <w:rsid w:val="002801BC"/>
    <w:rsid w:val="00280789"/>
    <w:rsid w:val="00280790"/>
    <w:rsid w:val="00280868"/>
    <w:rsid w:val="00280A25"/>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36B"/>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0D"/>
    <w:rsid w:val="002919C5"/>
    <w:rsid w:val="00291E1F"/>
    <w:rsid w:val="00291ED3"/>
    <w:rsid w:val="00291F1D"/>
    <w:rsid w:val="00292296"/>
    <w:rsid w:val="002928BF"/>
    <w:rsid w:val="00292EAA"/>
    <w:rsid w:val="00293206"/>
    <w:rsid w:val="00293475"/>
    <w:rsid w:val="002934B0"/>
    <w:rsid w:val="00293C20"/>
    <w:rsid w:val="00293D81"/>
    <w:rsid w:val="00293DC5"/>
    <w:rsid w:val="00293EE4"/>
    <w:rsid w:val="00294266"/>
    <w:rsid w:val="0029489F"/>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594"/>
    <w:rsid w:val="002A4695"/>
    <w:rsid w:val="002A4A19"/>
    <w:rsid w:val="002A4A70"/>
    <w:rsid w:val="002A4B17"/>
    <w:rsid w:val="002A4BA3"/>
    <w:rsid w:val="002A53BE"/>
    <w:rsid w:val="002A557D"/>
    <w:rsid w:val="002A59BD"/>
    <w:rsid w:val="002A5CAB"/>
    <w:rsid w:val="002A5FE7"/>
    <w:rsid w:val="002A60BD"/>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2CAD"/>
    <w:rsid w:val="002B3167"/>
    <w:rsid w:val="002B31C6"/>
    <w:rsid w:val="002B31F4"/>
    <w:rsid w:val="002B3D1E"/>
    <w:rsid w:val="002B3D5C"/>
    <w:rsid w:val="002B40C3"/>
    <w:rsid w:val="002B4129"/>
    <w:rsid w:val="002B41A6"/>
    <w:rsid w:val="002B43F0"/>
    <w:rsid w:val="002B4DC9"/>
    <w:rsid w:val="002B5239"/>
    <w:rsid w:val="002B5A8B"/>
    <w:rsid w:val="002B613A"/>
    <w:rsid w:val="002B6AC7"/>
    <w:rsid w:val="002B7169"/>
    <w:rsid w:val="002B7274"/>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404F"/>
    <w:rsid w:val="002C4316"/>
    <w:rsid w:val="002C442A"/>
    <w:rsid w:val="002C4A1A"/>
    <w:rsid w:val="002C4C57"/>
    <w:rsid w:val="002C4D33"/>
    <w:rsid w:val="002C4FA5"/>
    <w:rsid w:val="002C5082"/>
    <w:rsid w:val="002C519A"/>
    <w:rsid w:val="002C5358"/>
    <w:rsid w:val="002C5365"/>
    <w:rsid w:val="002C5768"/>
    <w:rsid w:val="002C59D2"/>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31B1"/>
    <w:rsid w:val="002D3779"/>
    <w:rsid w:val="002D39EF"/>
    <w:rsid w:val="002D3AEB"/>
    <w:rsid w:val="002D3C34"/>
    <w:rsid w:val="002D3EBF"/>
    <w:rsid w:val="002D45B7"/>
    <w:rsid w:val="002D4B72"/>
    <w:rsid w:val="002D533C"/>
    <w:rsid w:val="002D5596"/>
    <w:rsid w:val="002D5615"/>
    <w:rsid w:val="002D6241"/>
    <w:rsid w:val="002D7077"/>
    <w:rsid w:val="002D75C8"/>
    <w:rsid w:val="002D75D4"/>
    <w:rsid w:val="002D7661"/>
    <w:rsid w:val="002D7A10"/>
    <w:rsid w:val="002E037B"/>
    <w:rsid w:val="002E0875"/>
    <w:rsid w:val="002E0F50"/>
    <w:rsid w:val="002E13D8"/>
    <w:rsid w:val="002E1961"/>
    <w:rsid w:val="002E19C7"/>
    <w:rsid w:val="002E215F"/>
    <w:rsid w:val="002E244C"/>
    <w:rsid w:val="002E24B7"/>
    <w:rsid w:val="002E24D5"/>
    <w:rsid w:val="002E2DEA"/>
    <w:rsid w:val="002E2E3F"/>
    <w:rsid w:val="002E361D"/>
    <w:rsid w:val="002E3BF7"/>
    <w:rsid w:val="002E419A"/>
    <w:rsid w:val="002E5173"/>
    <w:rsid w:val="002E54C2"/>
    <w:rsid w:val="002E588E"/>
    <w:rsid w:val="002E5985"/>
    <w:rsid w:val="002E5E3B"/>
    <w:rsid w:val="002E5FF7"/>
    <w:rsid w:val="002E63E4"/>
    <w:rsid w:val="002E6587"/>
    <w:rsid w:val="002E6767"/>
    <w:rsid w:val="002E68BD"/>
    <w:rsid w:val="002E69AD"/>
    <w:rsid w:val="002E70C2"/>
    <w:rsid w:val="002E7415"/>
    <w:rsid w:val="002E753C"/>
    <w:rsid w:val="002E79F0"/>
    <w:rsid w:val="002F0374"/>
    <w:rsid w:val="002F03C2"/>
    <w:rsid w:val="002F03C8"/>
    <w:rsid w:val="002F05EC"/>
    <w:rsid w:val="002F0666"/>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3CFE"/>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3F7"/>
    <w:rsid w:val="00300406"/>
    <w:rsid w:val="003004FA"/>
    <w:rsid w:val="00300B26"/>
    <w:rsid w:val="00300D0F"/>
    <w:rsid w:val="00300E94"/>
    <w:rsid w:val="00301180"/>
    <w:rsid w:val="00301CAD"/>
    <w:rsid w:val="00301DAB"/>
    <w:rsid w:val="003024A9"/>
    <w:rsid w:val="00302A94"/>
    <w:rsid w:val="00302DCD"/>
    <w:rsid w:val="00302F05"/>
    <w:rsid w:val="0030357A"/>
    <w:rsid w:val="0030416A"/>
    <w:rsid w:val="00304447"/>
    <w:rsid w:val="0030444A"/>
    <w:rsid w:val="00304A60"/>
    <w:rsid w:val="00304DF6"/>
    <w:rsid w:val="003052F1"/>
    <w:rsid w:val="00305B4E"/>
    <w:rsid w:val="00305BCE"/>
    <w:rsid w:val="00305BDA"/>
    <w:rsid w:val="00305DEF"/>
    <w:rsid w:val="00305E98"/>
    <w:rsid w:val="00306134"/>
    <w:rsid w:val="003061FB"/>
    <w:rsid w:val="003068F5"/>
    <w:rsid w:val="00306DDD"/>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2291"/>
    <w:rsid w:val="0031281D"/>
    <w:rsid w:val="00313182"/>
    <w:rsid w:val="003134F6"/>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0D7"/>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31A"/>
    <w:rsid w:val="0033097C"/>
    <w:rsid w:val="00330D06"/>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1EA"/>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743"/>
    <w:rsid w:val="003409FE"/>
    <w:rsid w:val="00340A44"/>
    <w:rsid w:val="003414C7"/>
    <w:rsid w:val="00341727"/>
    <w:rsid w:val="00341927"/>
    <w:rsid w:val="003419E7"/>
    <w:rsid w:val="003419FE"/>
    <w:rsid w:val="00341CC2"/>
    <w:rsid w:val="003422AB"/>
    <w:rsid w:val="003422FA"/>
    <w:rsid w:val="00342B95"/>
    <w:rsid w:val="00342BA0"/>
    <w:rsid w:val="0034364A"/>
    <w:rsid w:val="003438B2"/>
    <w:rsid w:val="0034395A"/>
    <w:rsid w:val="00343CCA"/>
    <w:rsid w:val="00343DAF"/>
    <w:rsid w:val="00344234"/>
    <w:rsid w:val="0034437D"/>
    <w:rsid w:val="003445A7"/>
    <w:rsid w:val="00344F53"/>
    <w:rsid w:val="0034537E"/>
    <w:rsid w:val="0034573C"/>
    <w:rsid w:val="00345CFE"/>
    <w:rsid w:val="0034652D"/>
    <w:rsid w:val="00346702"/>
    <w:rsid w:val="00346BD9"/>
    <w:rsid w:val="00346DBD"/>
    <w:rsid w:val="0034707C"/>
    <w:rsid w:val="003470E9"/>
    <w:rsid w:val="00347185"/>
    <w:rsid w:val="00347229"/>
    <w:rsid w:val="00347B96"/>
    <w:rsid w:val="00347CEE"/>
    <w:rsid w:val="003503D1"/>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4914"/>
    <w:rsid w:val="00355179"/>
    <w:rsid w:val="00355282"/>
    <w:rsid w:val="00355534"/>
    <w:rsid w:val="0035605B"/>
    <w:rsid w:val="00356592"/>
    <w:rsid w:val="00356624"/>
    <w:rsid w:val="00356825"/>
    <w:rsid w:val="003569C3"/>
    <w:rsid w:val="00356C3E"/>
    <w:rsid w:val="00356C67"/>
    <w:rsid w:val="00356DE2"/>
    <w:rsid w:val="0035794D"/>
    <w:rsid w:val="003579E0"/>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E8D"/>
    <w:rsid w:val="00363129"/>
    <w:rsid w:val="003631BF"/>
    <w:rsid w:val="003636D6"/>
    <w:rsid w:val="00363B6A"/>
    <w:rsid w:val="00364379"/>
    <w:rsid w:val="003644CE"/>
    <w:rsid w:val="0036454E"/>
    <w:rsid w:val="00364A57"/>
    <w:rsid w:val="00365195"/>
    <w:rsid w:val="003652EA"/>
    <w:rsid w:val="00365695"/>
    <w:rsid w:val="0036574D"/>
    <w:rsid w:val="0036588E"/>
    <w:rsid w:val="00365AA7"/>
    <w:rsid w:val="003660C0"/>
    <w:rsid w:val="00366589"/>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7E3"/>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879D2"/>
    <w:rsid w:val="003904B0"/>
    <w:rsid w:val="0039097E"/>
    <w:rsid w:val="00391185"/>
    <w:rsid w:val="00391368"/>
    <w:rsid w:val="0039159A"/>
    <w:rsid w:val="0039162F"/>
    <w:rsid w:val="00391850"/>
    <w:rsid w:val="00391976"/>
    <w:rsid w:val="00391ECB"/>
    <w:rsid w:val="00392B39"/>
    <w:rsid w:val="0039392A"/>
    <w:rsid w:val="00393BE4"/>
    <w:rsid w:val="00393C02"/>
    <w:rsid w:val="00393D0D"/>
    <w:rsid w:val="00393D21"/>
    <w:rsid w:val="003944E9"/>
    <w:rsid w:val="00394841"/>
    <w:rsid w:val="00394E99"/>
    <w:rsid w:val="003955E7"/>
    <w:rsid w:val="00395A10"/>
    <w:rsid w:val="00395B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29C"/>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181"/>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A32"/>
    <w:rsid w:val="003D4B10"/>
    <w:rsid w:val="003D4BE5"/>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D7C9F"/>
    <w:rsid w:val="003E05C9"/>
    <w:rsid w:val="003E07EC"/>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DA8"/>
    <w:rsid w:val="003E3EC7"/>
    <w:rsid w:val="003E43A4"/>
    <w:rsid w:val="003E44B9"/>
    <w:rsid w:val="003E4694"/>
    <w:rsid w:val="003E4706"/>
    <w:rsid w:val="003E4953"/>
    <w:rsid w:val="003E4B3C"/>
    <w:rsid w:val="003E5276"/>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9FC"/>
    <w:rsid w:val="003F1A99"/>
    <w:rsid w:val="003F1DCD"/>
    <w:rsid w:val="003F2E1D"/>
    <w:rsid w:val="003F2E49"/>
    <w:rsid w:val="003F2F94"/>
    <w:rsid w:val="003F3260"/>
    <w:rsid w:val="003F354D"/>
    <w:rsid w:val="003F3CD6"/>
    <w:rsid w:val="003F42DE"/>
    <w:rsid w:val="003F47F5"/>
    <w:rsid w:val="003F482F"/>
    <w:rsid w:val="003F4A02"/>
    <w:rsid w:val="003F4C68"/>
    <w:rsid w:val="003F4D25"/>
    <w:rsid w:val="003F4EDA"/>
    <w:rsid w:val="003F4FF1"/>
    <w:rsid w:val="003F5327"/>
    <w:rsid w:val="003F542C"/>
    <w:rsid w:val="003F54AE"/>
    <w:rsid w:val="003F54E4"/>
    <w:rsid w:val="003F58CC"/>
    <w:rsid w:val="003F5943"/>
    <w:rsid w:val="003F5D5F"/>
    <w:rsid w:val="003F5D6E"/>
    <w:rsid w:val="003F630B"/>
    <w:rsid w:val="003F6FFB"/>
    <w:rsid w:val="003F7863"/>
    <w:rsid w:val="003F791E"/>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AC7"/>
    <w:rsid w:val="00403DB5"/>
    <w:rsid w:val="00403EF3"/>
    <w:rsid w:val="00404283"/>
    <w:rsid w:val="004042CC"/>
    <w:rsid w:val="00404925"/>
    <w:rsid w:val="00404E76"/>
    <w:rsid w:val="00404F7A"/>
    <w:rsid w:val="004053DA"/>
    <w:rsid w:val="00406293"/>
    <w:rsid w:val="00406DF1"/>
    <w:rsid w:val="00406F6E"/>
    <w:rsid w:val="00407354"/>
    <w:rsid w:val="004073A9"/>
    <w:rsid w:val="00407F47"/>
    <w:rsid w:val="00410B61"/>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14A"/>
    <w:rsid w:val="004174FF"/>
    <w:rsid w:val="004176C0"/>
    <w:rsid w:val="004202F8"/>
    <w:rsid w:val="0042080F"/>
    <w:rsid w:val="0042092C"/>
    <w:rsid w:val="00421425"/>
    <w:rsid w:val="00421521"/>
    <w:rsid w:val="004217CF"/>
    <w:rsid w:val="004217F7"/>
    <w:rsid w:val="0042184F"/>
    <w:rsid w:val="004222F0"/>
    <w:rsid w:val="00422303"/>
    <w:rsid w:val="0042245B"/>
    <w:rsid w:val="00422A1F"/>
    <w:rsid w:val="00422A8A"/>
    <w:rsid w:val="004230EB"/>
    <w:rsid w:val="00423299"/>
    <w:rsid w:val="0042369B"/>
    <w:rsid w:val="00423F1B"/>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0E52"/>
    <w:rsid w:val="00450FE7"/>
    <w:rsid w:val="00451232"/>
    <w:rsid w:val="004517AB"/>
    <w:rsid w:val="00451A1C"/>
    <w:rsid w:val="00451C3A"/>
    <w:rsid w:val="00451F0F"/>
    <w:rsid w:val="004521DD"/>
    <w:rsid w:val="004523E9"/>
    <w:rsid w:val="0045284B"/>
    <w:rsid w:val="004528F4"/>
    <w:rsid w:val="00453192"/>
    <w:rsid w:val="00453393"/>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67658"/>
    <w:rsid w:val="004702E8"/>
    <w:rsid w:val="004706DC"/>
    <w:rsid w:val="00470A10"/>
    <w:rsid w:val="00470C3D"/>
    <w:rsid w:val="00470D43"/>
    <w:rsid w:val="00470EBA"/>
    <w:rsid w:val="004711C0"/>
    <w:rsid w:val="0047130E"/>
    <w:rsid w:val="0047135D"/>
    <w:rsid w:val="004713D1"/>
    <w:rsid w:val="0047153E"/>
    <w:rsid w:val="00471608"/>
    <w:rsid w:val="00471615"/>
    <w:rsid w:val="00471711"/>
    <w:rsid w:val="00471925"/>
    <w:rsid w:val="00471AF7"/>
    <w:rsid w:val="0047260A"/>
    <w:rsid w:val="004727F4"/>
    <w:rsid w:val="0047281C"/>
    <w:rsid w:val="00472F5A"/>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1B40"/>
    <w:rsid w:val="004824EE"/>
    <w:rsid w:val="00482F83"/>
    <w:rsid w:val="00483542"/>
    <w:rsid w:val="0048373B"/>
    <w:rsid w:val="00483762"/>
    <w:rsid w:val="004838E0"/>
    <w:rsid w:val="00483924"/>
    <w:rsid w:val="00483EB1"/>
    <w:rsid w:val="00484121"/>
    <w:rsid w:val="00484BC3"/>
    <w:rsid w:val="00484F0D"/>
    <w:rsid w:val="00485110"/>
    <w:rsid w:val="00485841"/>
    <w:rsid w:val="00485948"/>
    <w:rsid w:val="004859D0"/>
    <w:rsid w:val="004859E0"/>
    <w:rsid w:val="00485CDD"/>
    <w:rsid w:val="0048628C"/>
    <w:rsid w:val="004871BA"/>
    <w:rsid w:val="004875B7"/>
    <w:rsid w:val="00487BCD"/>
    <w:rsid w:val="00490863"/>
    <w:rsid w:val="00490A82"/>
    <w:rsid w:val="00491366"/>
    <w:rsid w:val="00491462"/>
    <w:rsid w:val="004916A5"/>
    <w:rsid w:val="00491B8B"/>
    <w:rsid w:val="004926BE"/>
    <w:rsid w:val="00492DB8"/>
    <w:rsid w:val="004935C2"/>
    <w:rsid w:val="004936EF"/>
    <w:rsid w:val="004937B2"/>
    <w:rsid w:val="00493C8B"/>
    <w:rsid w:val="00493E03"/>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2A7B"/>
    <w:rsid w:val="004A30F8"/>
    <w:rsid w:val="004A323F"/>
    <w:rsid w:val="004A34C6"/>
    <w:rsid w:val="004A36A1"/>
    <w:rsid w:val="004A39C8"/>
    <w:rsid w:val="004A3B6C"/>
    <w:rsid w:val="004A3DEE"/>
    <w:rsid w:val="004A463A"/>
    <w:rsid w:val="004A4886"/>
    <w:rsid w:val="004A4AD6"/>
    <w:rsid w:val="004A5073"/>
    <w:rsid w:val="004A5214"/>
    <w:rsid w:val="004A5834"/>
    <w:rsid w:val="004A589D"/>
    <w:rsid w:val="004A590C"/>
    <w:rsid w:val="004A5CBA"/>
    <w:rsid w:val="004A5D28"/>
    <w:rsid w:val="004A65B5"/>
    <w:rsid w:val="004A6775"/>
    <w:rsid w:val="004A71DA"/>
    <w:rsid w:val="004A7454"/>
    <w:rsid w:val="004A7727"/>
    <w:rsid w:val="004A777D"/>
    <w:rsid w:val="004A7B66"/>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621"/>
    <w:rsid w:val="004B4708"/>
    <w:rsid w:val="004B4764"/>
    <w:rsid w:val="004B51E4"/>
    <w:rsid w:val="004B543F"/>
    <w:rsid w:val="004B5475"/>
    <w:rsid w:val="004B5529"/>
    <w:rsid w:val="004B5625"/>
    <w:rsid w:val="004B58AE"/>
    <w:rsid w:val="004B58B4"/>
    <w:rsid w:val="004B58C2"/>
    <w:rsid w:val="004B5AC0"/>
    <w:rsid w:val="004B5F07"/>
    <w:rsid w:val="004B6ACB"/>
    <w:rsid w:val="004B73B6"/>
    <w:rsid w:val="004B7998"/>
    <w:rsid w:val="004C0037"/>
    <w:rsid w:val="004C040A"/>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700"/>
    <w:rsid w:val="004C7898"/>
    <w:rsid w:val="004D0164"/>
    <w:rsid w:val="004D059D"/>
    <w:rsid w:val="004D0658"/>
    <w:rsid w:val="004D07FE"/>
    <w:rsid w:val="004D081A"/>
    <w:rsid w:val="004D0CDB"/>
    <w:rsid w:val="004D0DCB"/>
    <w:rsid w:val="004D1009"/>
    <w:rsid w:val="004D13C0"/>
    <w:rsid w:val="004D15FF"/>
    <w:rsid w:val="004D1635"/>
    <w:rsid w:val="004D18E8"/>
    <w:rsid w:val="004D1BF0"/>
    <w:rsid w:val="004D1BF1"/>
    <w:rsid w:val="004D21AB"/>
    <w:rsid w:val="004D2A0C"/>
    <w:rsid w:val="004D2CB7"/>
    <w:rsid w:val="004D2FD3"/>
    <w:rsid w:val="004D34EC"/>
    <w:rsid w:val="004D3614"/>
    <w:rsid w:val="004D371E"/>
    <w:rsid w:val="004D3759"/>
    <w:rsid w:val="004D45CF"/>
    <w:rsid w:val="004D45F1"/>
    <w:rsid w:val="004D4C6F"/>
    <w:rsid w:val="004D5404"/>
    <w:rsid w:val="004D5C1A"/>
    <w:rsid w:val="004D5D8C"/>
    <w:rsid w:val="004D5FCE"/>
    <w:rsid w:val="004D6305"/>
    <w:rsid w:val="004D6464"/>
    <w:rsid w:val="004D6D12"/>
    <w:rsid w:val="004D6D58"/>
    <w:rsid w:val="004D6E01"/>
    <w:rsid w:val="004D6F97"/>
    <w:rsid w:val="004D6FC9"/>
    <w:rsid w:val="004D707B"/>
    <w:rsid w:val="004D71C5"/>
    <w:rsid w:val="004D720A"/>
    <w:rsid w:val="004D7697"/>
    <w:rsid w:val="004D788B"/>
    <w:rsid w:val="004D7D76"/>
    <w:rsid w:val="004E0055"/>
    <w:rsid w:val="004E0DB4"/>
    <w:rsid w:val="004E0DD2"/>
    <w:rsid w:val="004E0FD3"/>
    <w:rsid w:val="004E102D"/>
    <w:rsid w:val="004E19F2"/>
    <w:rsid w:val="004E1C1E"/>
    <w:rsid w:val="004E219B"/>
    <w:rsid w:val="004E2AE6"/>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C39"/>
    <w:rsid w:val="004F3EB7"/>
    <w:rsid w:val="004F4542"/>
    <w:rsid w:val="004F4943"/>
    <w:rsid w:val="004F4A48"/>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4F7DD8"/>
    <w:rsid w:val="005003D8"/>
    <w:rsid w:val="0050074B"/>
    <w:rsid w:val="00500CED"/>
    <w:rsid w:val="00500F6D"/>
    <w:rsid w:val="005015B1"/>
    <w:rsid w:val="00501B76"/>
    <w:rsid w:val="005023B7"/>
    <w:rsid w:val="00502658"/>
    <w:rsid w:val="005027AC"/>
    <w:rsid w:val="00502B21"/>
    <w:rsid w:val="00502B4B"/>
    <w:rsid w:val="00502CE5"/>
    <w:rsid w:val="00503160"/>
    <w:rsid w:val="00503B0A"/>
    <w:rsid w:val="00504540"/>
    <w:rsid w:val="005046AD"/>
    <w:rsid w:val="00504969"/>
    <w:rsid w:val="00504EB6"/>
    <w:rsid w:val="0050537F"/>
    <w:rsid w:val="005055FB"/>
    <w:rsid w:val="00506105"/>
    <w:rsid w:val="00506C97"/>
    <w:rsid w:val="00507271"/>
    <w:rsid w:val="00507755"/>
    <w:rsid w:val="00507945"/>
    <w:rsid w:val="00507A50"/>
    <w:rsid w:val="00507A7B"/>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7C4"/>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40B1"/>
    <w:rsid w:val="0053598A"/>
    <w:rsid w:val="0053624E"/>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0AD"/>
    <w:rsid w:val="005441C1"/>
    <w:rsid w:val="00544FB7"/>
    <w:rsid w:val="005457A1"/>
    <w:rsid w:val="005462A4"/>
    <w:rsid w:val="00546AE0"/>
    <w:rsid w:val="00546C0A"/>
    <w:rsid w:val="00546D84"/>
    <w:rsid w:val="00547038"/>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57F"/>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51E"/>
    <w:rsid w:val="005717CA"/>
    <w:rsid w:val="00571CE1"/>
    <w:rsid w:val="00571E21"/>
    <w:rsid w:val="005722F9"/>
    <w:rsid w:val="00572521"/>
    <w:rsid w:val="00572A67"/>
    <w:rsid w:val="005730E1"/>
    <w:rsid w:val="005735B5"/>
    <w:rsid w:val="005739FB"/>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221"/>
    <w:rsid w:val="00580650"/>
    <w:rsid w:val="005806C4"/>
    <w:rsid w:val="00580A5A"/>
    <w:rsid w:val="00580B4C"/>
    <w:rsid w:val="00580C04"/>
    <w:rsid w:val="00580CF9"/>
    <w:rsid w:val="00580D46"/>
    <w:rsid w:val="00580FB9"/>
    <w:rsid w:val="00580FF0"/>
    <w:rsid w:val="00581219"/>
    <w:rsid w:val="00581726"/>
    <w:rsid w:val="00581870"/>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552"/>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2EF"/>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7D"/>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434"/>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1FCC"/>
    <w:rsid w:val="005B2372"/>
    <w:rsid w:val="005B23EA"/>
    <w:rsid w:val="005B24F5"/>
    <w:rsid w:val="005B328A"/>
    <w:rsid w:val="005B35ED"/>
    <w:rsid w:val="005B3685"/>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E92"/>
    <w:rsid w:val="005B6F2C"/>
    <w:rsid w:val="005B72A7"/>
    <w:rsid w:val="005B76AF"/>
    <w:rsid w:val="005B78FA"/>
    <w:rsid w:val="005B7ADB"/>
    <w:rsid w:val="005B7AFC"/>
    <w:rsid w:val="005B7D5B"/>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407"/>
    <w:rsid w:val="005C3770"/>
    <w:rsid w:val="005C37BA"/>
    <w:rsid w:val="005C3C2F"/>
    <w:rsid w:val="005C3FB4"/>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CCC"/>
    <w:rsid w:val="005D5D44"/>
    <w:rsid w:val="005D5DB1"/>
    <w:rsid w:val="005D5DDA"/>
    <w:rsid w:val="005D5E47"/>
    <w:rsid w:val="005D6131"/>
    <w:rsid w:val="005D63F9"/>
    <w:rsid w:val="005D65C6"/>
    <w:rsid w:val="005D663E"/>
    <w:rsid w:val="005D6876"/>
    <w:rsid w:val="005D6B63"/>
    <w:rsid w:val="005D701E"/>
    <w:rsid w:val="005D7271"/>
    <w:rsid w:val="005E00C6"/>
    <w:rsid w:val="005E0629"/>
    <w:rsid w:val="005E0849"/>
    <w:rsid w:val="005E086E"/>
    <w:rsid w:val="005E0B3B"/>
    <w:rsid w:val="005E0B6A"/>
    <w:rsid w:val="005E0CBB"/>
    <w:rsid w:val="005E0D87"/>
    <w:rsid w:val="005E114E"/>
    <w:rsid w:val="005E18FB"/>
    <w:rsid w:val="005E1B1F"/>
    <w:rsid w:val="005E1CD4"/>
    <w:rsid w:val="005E1DA6"/>
    <w:rsid w:val="005E1E8D"/>
    <w:rsid w:val="005E2089"/>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A8F"/>
    <w:rsid w:val="005F1C94"/>
    <w:rsid w:val="005F1E71"/>
    <w:rsid w:val="005F2743"/>
    <w:rsid w:val="005F2772"/>
    <w:rsid w:val="005F2C5C"/>
    <w:rsid w:val="005F336E"/>
    <w:rsid w:val="005F3B3A"/>
    <w:rsid w:val="005F3C6E"/>
    <w:rsid w:val="005F4132"/>
    <w:rsid w:val="005F4184"/>
    <w:rsid w:val="005F446D"/>
    <w:rsid w:val="005F4A90"/>
    <w:rsid w:val="005F5193"/>
    <w:rsid w:val="005F59D4"/>
    <w:rsid w:val="005F5DA8"/>
    <w:rsid w:val="005F5F57"/>
    <w:rsid w:val="005F60BB"/>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4"/>
    <w:rsid w:val="00602AD6"/>
    <w:rsid w:val="00602AFC"/>
    <w:rsid w:val="006033C7"/>
    <w:rsid w:val="0060340C"/>
    <w:rsid w:val="006039F5"/>
    <w:rsid w:val="00604675"/>
    <w:rsid w:val="0060491B"/>
    <w:rsid w:val="00604E4F"/>
    <w:rsid w:val="00604E6F"/>
    <w:rsid w:val="006059E8"/>
    <w:rsid w:val="00606356"/>
    <w:rsid w:val="006075BC"/>
    <w:rsid w:val="0061007C"/>
    <w:rsid w:val="0061040A"/>
    <w:rsid w:val="00610421"/>
    <w:rsid w:val="006107FF"/>
    <w:rsid w:val="00610888"/>
    <w:rsid w:val="00610A90"/>
    <w:rsid w:val="00610AA5"/>
    <w:rsid w:val="00610B5E"/>
    <w:rsid w:val="00610EFF"/>
    <w:rsid w:val="006115C8"/>
    <w:rsid w:val="00611907"/>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D4"/>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969"/>
    <w:rsid w:val="00617B8A"/>
    <w:rsid w:val="00620284"/>
    <w:rsid w:val="006205D0"/>
    <w:rsid w:val="0062066C"/>
    <w:rsid w:val="0062070B"/>
    <w:rsid w:val="0062085D"/>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3F59"/>
    <w:rsid w:val="00624627"/>
    <w:rsid w:val="00624909"/>
    <w:rsid w:val="00624A22"/>
    <w:rsid w:val="006250A0"/>
    <w:rsid w:val="0062568B"/>
    <w:rsid w:val="0062571E"/>
    <w:rsid w:val="006257BF"/>
    <w:rsid w:val="00625BC1"/>
    <w:rsid w:val="00625CDD"/>
    <w:rsid w:val="00625F22"/>
    <w:rsid w:val="00626589"/>
    <w:rsid w:val="0062666C"/>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3CF3"/>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573"/>
    <w:rsid w:val="006407B2"/>
    <w:rsid w:val="00640873"/>
    <w:rsid w:val="00640AAA"/>
    <w:rsid w:val="00640C6C"/>
    <w:rsid w:val="00641077"/>
    <w:rsid w:val="0064109C"/>
    <w:rsid w:val="006410F0"/>
    <w:rsid w:val="00641538"/>
    <w:rsid w:val="00641AE2"/>
    <w:rsid w:val="006429A5"/>
    <w:rsid w:val="00642C1E"/>
    <w:rsid w:val="00642D4B"/>
    <w:rsid w:val="00642EC9"/>
    <w:rsid w:val="006430CE"/>
    <w:rsid w:val="0064316F"/>
    <w:rsid w:val="006431AD"/>
    <w:rsid w:val="0064357D"/>
    <w:rsid w:val="00643637"/>
    <w:rsid w:val="00643988"/>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6E"/>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D0E"/>
    <w:rsid w:val="006553E4"/>
    <w:rsid w:val="006558EF"/>
    <w:rsid w:val="00655C5A"/>
    <w:rsid w:val="00656063"/>
    <w:rsid w:val="0065615C"/>
    <w:rsid w:val="00656AAC"/>
    <w:rsid w:val="00656B34"/>
    <w:rsid w:val="00656ECB"/>
    <w:rsid w:val="0065776E"/>
    <w:rsid w:val="00660F3F"/>
    <w:rsid w:val="0066141A"/>
    <w:rsid w:val="00661D7C"/>
    <w:rsid w:val="0066218D"/>
    <w:rsid w:val="00662362"/>
    <w:rsid w:val="0066244F"/>
    <w:rsid w:val="0066279F"/>
    <w:rsid w:val="00662A7E"/>
    <w:rsid w:val="00662B0A"/>
    <w:rsid w:val="00662CE2"/>
    <w:rsid w:val="00662EBB"/>
    <w:rsid w:val="00662EE4"/>
    <w:rsid w:val="006631EF"/>
    <w:rsid w:val="0066357C"/>
    <w:rsid w:val="006639E2"/>
    <w:rsid w:val="00663DDE"/>
    <w:rsid w:val="0066411A"/>
    <w:rsid w:val="0066415D"/>
    <w:rsid w:val="00664A13"/>
    <w:rsid w:val="00665220"/>
    <w:rsid w:val="00666152"/>
    <w:rsid w:val="006661D0"/>
    <w:rsid w:val="00666885"/>
    <w:rsid w:val="006669BF"/>
    <w:rsid w:val="00666B26"/>
    <w:rsid w:val="00666E91"/>
    <w:rsid w:val="00667092"/>
    <w:rsid w:val="00670673"/>
    <w:rsid w:val="006710F9"/>
    <w:rsid w:val="00671217"/>
    <w:rsid w:val="00671358"/>
    <w:rsid w:val="006713B2"/>
    <w:rsid w:val="006719AC"/>
    <w:rsid w:val="006722DD"/>
    <w:rsid w:val="0067284E"/>
    <w:rsid w:val="00672ABB"/>
    <w:rsid w:val="00672ABE"/>
    <w:rsid w:val="00673526"/>
    <w:rsid w:val="0067375F"/>
    <w:rsid w:val="0067387C"/>
    <w:rsid w:val="00673B3E"/>
    <w:rsid w:val="00673D08"/>
    <w:rsid w:val="006741F4"/>
    <w:rsid w:val="006741FA"/>
    <w:rsid w:val="00674332"/>
    <w:rsid w:val="00674354"/>
    <w:rsid w:val="006744ED"/>
    <w:rsid w:val="006744F7"/>
    <w:rsid w:val="006747B7"/>
    <w:rsid w:val="00674D1C"/>
    <w:rsid w:val="00674EB7"/>
    <w:rsid w:val="00675042"/>
    <w:rsid w:val="0067568A"/>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0D80"/>
    <w:rsid w:val="0068100B"/>
    <w:rsid w:val="0068123D"/>
    <w:rsid w:val="006819A7"/>
    <w:rsid w:val="00681A8E"/>
    <w:rsid w:val="00681BAF"/>
    <w:rsid w:val="00681BDA"/>
    <w:rsid w:val="00682645"/>
    <w:rsid w:val="00682735"/>
    <w:rsid w:val="0068287A"/>
    <w:rsid w:val="00682E0E"/>
    <w:rsid w:val="00683063"/>
    <w:rsid w:val="006831F2"/>
    <w:rsid w:val="0068320C"/>
    <w:rsid w:val="00683536"/>
    <w:rsid w:val="00683897"/>
    <w:rsid w:val="00683E26"/>
    <w:rsid w:val="0068474B"/>
    <w:rsid w:val="00685543"/>
    <w:rsid w:val="0068558A"/>
    <w:rsid w:val="0068562D"/>
    <w:rsid w:val="00685653"/>
    <w:rsid w:val="0068568B"/>
    <w:rsid w:val="006857DA"/>
    <w:rsid w:val="006857F6"/>
    <w:rsid w:val="006858FF"/>
    <w:rsid w:val="00685A16"/>
    <w:rsid w:val="00685AEC"/>
    <w:rsid w:val="00685C18"/>
    <w:rsid w:val="00685F43"/>
    <w:rsid w:val="00685F78"/>
    <w:rsid w:val="00686369"/>
    <w:rsid w:val="006863F8"/>
    <w:rsid w:val="006865B6"/>
    <w:rsid w:val="00686640"/>
    <w:rsid w:val="006867C2"/>
    <w:rsid w:val="00687575"/>
    <w:rsid w:val="006877D3"/>
    <w:rsid w:val="00687A8A"/>
    <w:rsid w:val="00687B30"/>
    <w:rsid w:val="00687D8A"/>
    <w:rsid w:val="0069006A"/>
    <w:rsid w:val="00690272"/>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1A25"/>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6895"/>
    <w:rsid w:val="006A748B"/>
    <w:rsid w:val="006A74C9"/>
    <w:rsid w:val="006A759A"/>
    <w:rsid w:val="006A770B"/>
    <w:rsid w:val="006A7E80"/>
    <w:rsid w:val="006B0059"/>
    <w:rsid w:val="006B00D4"/>
    <w:rsid w:val="006B05F0"/>
    <w:rsid w:val="006B0B01"/>
    <w:rsid w:val="006B0FE5"/>
    <w:rsid w:val="006B10A5"/>
    <w:rsid w:val="006B11C1"/>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46"/>
    <w:rsid w:val="006C1E7B"/>
    <w:rsid w:val="006C216B"/>
    <w:rsid w:val="006C23E1"/>
    <w:rsid w:val="006C2F3A"/>
    <w:rsid w:val="006C3110"/>
    <w:rsid w:val="006C3132"/>
    <w:rsid w:val="006C324B"/>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A93"/>
    <w:rsid w:val="006C7B79"/>
    <w:rsid w:val="006C7DDA"/>
    <w:rsid w:val="006D0121"/>
    <w:rsid w:val="006D0A03"/>
    <w:rsid w:val="006D0BAF"/>
    <w:rsid w:val="006D0CEC"/>
    <w:rsid w:val="006D0E60"/>
    <w:rsid w:val="006D1BE3"/>
    <w:rsid w:val="006D1FB9"/>
    <w:rsid w:val="006D2D10"/>
    <w:rsid w:val="006D35B7"/>
    <w:rsid w:val="006D395E"/>
    <w:rsid w:val="006D39D4"/>
    <w:rsid w:val="006D3A70"/>
    <w:rsid w:val="006D3D6B"/>
    <w:rsid w:val="006D4477"/>
    <w:rsid w:val="006D44BE"/>
    <w:rsid w:val="006D4727"/>
    <w:rsid w:val="006D4B9E"/>
    <w:rsid w:val="006D4CDC"/>
    <w:rsid w:val="006D4F4F"/>
    <w:rsid w:val="006D520F"/>
    <w:rsid w:val="006D536C"/>
    <w:rsid w:val="006D573D"/>
    <w:rsid w:val="006D5940"/>
    <w:rsid w:val="006D5B4F"/>
    <w:rsid w:val="006D5C25"/>
    <w:rsid w:val="006D5D2A"/>
    <w:rsid w:val="006D5E50"/>
    <w:rsid w:val="006D5EE8"/>
    <w:rsid w:val="006D65EC"/>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BDE"/>
    <w:rsid w:val="006E5C13"/>
    <w:rsid w:val="006E5F85"/>
    <w:rsid w:val="006E5F86"/>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09A"/>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058"/>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C67"/>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6B3"/>
    <w:rsid w:val="0071198C"/>
    <w:rsid w:val="00711E59"/>
    <w:rsid w:val="00711E71"/>
    <w:rsid w:val="00712861"/>
    <w:rsid w:val="00713992"/>
    <w:rsid w:val="00713B1E"/>
    <w:rsid w:val="00713D07"/>
    <w:rsid w:val="00713D60"/>
    <w:rsid w:val="00713E3B"/>
    <w:rsid w:val="00713E92"/>
    <w:rsid w:val="00713EC6"/>
    <w:rsid w:val="0071410B"/>
    <w:rsid w:val="007141C4"/>
    <w:rsid w:val="0071437E"/>
    <w:rsid w:val="00714687"/>
    <w:rsid w:val="00714B13"/>
    <w:rsid w:val="00714B38"/>
    <w:rsid w:val="00714D73"/>
    <w:rsid w:val="00714E96"/>
    <w:rsid w:val="00715046"/>
    <w:rsid w:val="00715400"/>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1F7D"/>
    <w:rsid w:val="0072272C"/>
    <w:rsid w:val="0072303E"/>
    <w:rsid w:val="0072326D"/>
    <w:rsid w:val="007236F2"/>
    <w:rsid w:val="007239B0"/>
    <w:rsid w:val="00723BCA"/>
    <w:rsid w:val="007240D8"/>
    <w:rsid w:val="00724160"/>
    <w:rsid w:val="0072431B"/>
    <w:rsid w:val="00724344"/>
    <w:rsid w:val="00724DBD"/>
    <w:rsid w:val="00724DE3"/>
    <w:rsid w:val="007251EF"/>
    <w:rsid w:val="007252A4"/>
    <w:rsid w:val="007262CD"/>
    <w:rsid w:val="007265F2"/>
    <w:rsid w:val="00726684"/>
    <w:rsid w:val="0072668B"/>
    <w:rsid w:val="0072680A"/>
    <w:rsid w:val="00726C83"/>
    <w:rsid w:val="00726D09"/>
    <w:rsid w:val="0072739C"/>
    <w:rsid w:val="00727E50"/>
    <w:rsid w:val="00727E77"/>
    <w:rsid w:val="00730401"/>
    <w:rsid w:val="0073057E"/>
    <w:rsid w:val="007308A0"/>
    <w:rsid w:val="00730EFF"/>
    <w:rsid w:val="007310F8"/>
    <w:rsid w:val="00731886"/>
    <w:rsid w:val="007319B7"/>
    <w:rsid w:val="00731C07"/>
    <w:rsid w:val="00732391"/>
    <w:rsid w:val="00732B83"/>
    <w:rsid w:val="00732DCA"/>
    <w:rsid w:val="00732F9C"/>
    <w:rsid w:val="007332F3"/>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1FB"/>
    <w:rsid w:val="007403ED"/>
    <w:rsid w:val="00740856"/>
    <w:rsid w:val="00741051"/>
    <w:rsid w:val="00741518"/>
    <w:rsid w:val="00741571"/>
    <w:rsid w:val="007415EA"/>
    <w:rsid w:val="00741601"/>
    <w:rsid w:val="007424B2"/>
    <w:rsid w:val="00742595"/>
    <w:rsid w:val="007427BD"/>
    <w:rsid w:val="007427C3"/>
    <w:rsid w:val="00742D5A"/>
    <w:rsid w:val="00742F48"/>
    <w:rsid w:val="007430E2"/>
    <w:rsid w:val="00743327"/>
    <w:rsid w:val="0074344C"/>
    <w:rsid w:val="007436A9"/>
    <w:rsid w:val="00743E7A"/>
    <w:rsid w:val="00743F74"/>
    <w:rsid w:val="00744351"/>
    <w:rsid w:val="00744C75"/>
    <w:rsid w:val="00744D97"/>
    <w:rsid w:val="00744F2C"/>
    <w:rsid w:val="007450D7"/>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9A9"/>
    <w:rsid w:val="00752F59"/>
    <w:rsid w:val="00752FA9"/>
    <w:rsid w:val="0075308D"/>
    <w:rsid w:val="00753224"/>
    <w:rsid w:val="0075324D"/>
    <w:rsid w:val="00753B5E"/>
    <w:rsid w:val="00754667"/>
    <w:rsid w:val="00755198"/>
    <w:rsid w:val="00755732"/>
    <w:rsid w:val="007558BB"/>
    <w:rsid w:val="0075593D"/>
    <w:rsid w:val="00755AC5"/>
    <w:rsid w:val="00755D33"/>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56AD"/>
    <w:rsid w:val="007660FB"/>
    <w:rsid w:val="0076677E"/>
    <w:rsid w:val="0076678D"/>
    <w:rsid w:val="00766A99"/>
    <w:rsid w:val="00766B6A"/>
    <w:rsid w:val="00766C14"/>
    <w:rsid w:val="00766CB9"/>
    <w:rsid w:val="00766CEB"/>
    <w:rsid w:val="007673A2"/>
    <w:rsid w:val="007677FC"/>
    <w:rsid w:val="00767CDC"/>
    <w:rsid w:val="00767E13"/>
    <w:rsid w:val="00767F7C"/>
    <w:rsid w:val="0077068E"/>
    <w:rsid w:val="0077069D"/>
    <w:rsid w:val="007706D9"/>
    <w:rsid w:val="00770DCF"/>
    <w:rsid w:val="00770FC7"/>
    <w:rsid w:val="00771287"/>
    <w:rsid w:val="007712FE"/>
    <w:rsid w:val="00771568"/>
    <w:rsid w:val="00771D26"/>
    <w:rsid w:val="00771EBB"/>
    <w:rsid w:val="00772981"/>
    <w:rsid w:val="00772AF1"/>
    <w:rsid w:val="00772BD6"/>
    <w:rsid w:val="007734F3"/>
    <w:rsid w:val="007735A8"/>
    <w:rsid w:val="007738B8"/>
    <w:rsid w:val="00773975"/>
    <w:rsid w:val="00773A95"/>
    <w:rsid w:val="00773CCC"/>
    <w:rsid w:val="00774150"/>
    <w:rsid w:val="007741C5"/>
    <w:rsid w:val="00774BA7"/>
    <w:rsid w:val="00775522"/>
    <w:rsid w:val="00775B0D"/>
    <w:rsid w:val="00775D36"/>
    <w:rsid w:val="00775E5E"/>
    <w:rsid w:val="007765F6"/>
    <w:rsid w:val="007768C7"/>
    <w:rsid w:val="00776972"/>
    <w:rsid w:val="00776FAF"/>
    <w:rsid w:val="00777249"/>
    <w:rsid w:val="007776B8"/>
    <w:rsid w:val="0078028F"/>
    <w:rsid w:val="007802E3"/>
    <w:rsid w:val="007805A2"/>
    <w:rsid w:val="00780875"/>
    <w:rsid w:val="007808B7"/>
    <w:rsid w:val="00780EDA"/>
    <w:rsid w:val="00781A8B"/>
    <w:rsid w:val="00781D5E"/>
    <w:rsid w:val="007820D6"/>
    <w:rsid w:val="00782460"/>
    <w:rsid w:val="007827B3"/>
    <w:rsid w:val="00782B50"/>
    <w:rsid w:val="00782E3B"/>
    <w:rsid w:val="00783207"/>
    <w:rsid w:val="007853E1"/>
    <w:rsid w:val="00785E54"/>
    <w:rsid w:val="00786327"/>
    <w:rsid w:val="007863A9"/>
    <w:rsid w:val="00786513"/>
    <w:rsid w:val="00786F8A"/>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E20"/>
    <w:rsid w:val="00797017"/>
    <w:rsid w:val="00797551"/>
    <w:rsid w:val="00797A4A"/>
    <w:rsid w:val="00797E24"/>
    <w:rsid w:val="00797E97"/>
    <w:rsid w:val="007A005C"/>
    <w:rsid w:val="007A04B6"/>
    <w:rsid w:val="007A0BBB"/>
    <w:rsid w:val="007A0EE9"/>
    <w:rsid w:val="007A119F"/>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5F88"/>
    <w:rsid w:val="007A6175"/>
    <w:rsid w:val="007A619C"/>
    <w:rsid w:val="007A69E1"/>
    <w:rsid w:val="007A6A55"/>
    <w:rsid w:val="007A6B2C"/>
    <w:rsid w:val="007A6C08"/>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0D43"/>
    <w:rsid w:val="007B14E2"/>
    <w:rsid w:val="007B1643"/>
    <w:rsid w:val="007B1A09"/>
    <w:rsid w:val="007B1B97"/>
    <w:rsid w:val="007B1EA9"/>
    <w:rsid w:val="007B1F8E"/>
    <w:rsid w:val="007B2527"/>
    <w:rsid w:val="007B2649"/>
    <w:rsid w:val="007B30AE"/>
    <w:rsid w:val="007B3266"/>
    <w:rsid w:val="007B3291"/>
    <w:rsid w:val="007B35F9"/>
    <w:rsid w:val="007B37AD"/>
    <w:rsid w:val="007B3902"/>
    <w:rsid w:val="007B3DDD"/>
    <w:rsid w:val="007B4084"/>
    <w:rsid w:val="007B431C"/>
    <w:rsid w:val="007B470A"/>
    <w:rsid w:val="007B494F"/>
    <w:rsid w:val="007B4A05"/>
    <w:rsid w:val="007B5191"/>
    <w:rsid w:val="007B5609"/>
    <w:rsid w:val="007B5CF5"/>
    <w:rsid w:val="007B5EC3"/>
    <w:rsid w:val="007B627D"/>
    <w:rsid w:val="007B6893"/>
    <w:rsid w:val="007B68C0"/>
    <w:rsid w:val="007B6B5B"/>
    <w:rsid w:val="007B6F5F"/>
    <w:rsid w:val="007B7328"/>
    <w:rsid w:val="007B77FA"/>
    <w:rsid w:val="007B7977"/>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71E"/>
    <w:rsid w:val="007C4BDF"/>
    <w:rsid w:val="007C4BE4"/>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71E9"/>
    <w:rsid w:val="007D7566"/>
    <w:rsid w:val="007D7A40"/>
    <w:rsid w:val="007D7A77"/>
    <w:rsid w:val="007D7F0C"/>
    <w:rsid w:val="007E00AA"/>
    <w:rsid w:val="007E034D"/>
    <w:rsid w:val="007E0BBE"/>
    <w:rsid w:val="007E0C78"/>
    <w:rsid w:val="007E0ECF"/>
    <w:rsid w:val="007E11AF"/>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6F"/>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243"/>
    <w:rsid w:val="007F35AB"/>
    <w:rsid w:val="007F368B"/>
    <w:rsid w:val="007F3A46"/>
    <w:rsid w:val="007F3AB9"/>
    <w:rsid w:val="007F42A1"/>
    <w:rsid w:val="007F4999"/>
    <w:rsid w:val="007F4A3B"/>
    <w:rsid w:val="007F4D95"/>
    <w:rsid w:val="007F5169"/>
    <w:rsid w:val="007F5894"/>
    <w:rsid w:val="007F5AEC"/>
    <w:rsid w:val="007F5CAF"/>
    <w:rsid w:val="007F6286"/>
    <w:rsid w:val="007F6426"/>
    <w:rsid w:val="007F6530"/>
    <w:rsid w:val="007F68A9"/>
    <w:rsid w:val="007F6FA4"/>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2A2"/>
    <w:rsid w:val="00804454"/>
    <w:rsid w:val="0080480C"/>
    <w:rsid w:val="0080489B"/>
    <w:rsid w:val="00804B4F"/>
    <w:rsid w:val="00804B93"/>
    <w:rsid w:val="00804C6B"/>
    <w:rsid w:val="00804D5D"/>
    <w:rsid w:val="008052B3"/>
    <w:rsid w:val="00805730"/>
    <w:rsid w:val="00805787"/>
    <w:rsid w:val="008058AF"/>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810"/>
    <w:rsid w:val="00812D3F"/>
    <w:rsid w:val="00812D8A"/>
    <w:rsid w:val="0081310B"/>
    <w:rsid w:val="008135E9"/>
    <w:rsid w:val="00813D34"/>
    <w:rsid w:val="00813DF3"/>
    <w:rsid w:val="00814344"/>
    <w:rsid w:val="008152DD"/>
    <w:rsid w:val="008152F7"/>
    <w:rsid w:val="008152F9"/>
    <w:rsid w:val="00815836"/>
    <w:rsid w:val="00815B0C"/>
    <w:rsid w:val="00815BD8"/>
    <w:rsid w:val="00815E02"/>
    <w:rsid w:val="00816321"/>
    <w:rsid w:val="008169AF"/>
    <w:rsid w:val="00816A5C"/>
    <w:rsid w:val="00816DE4"/>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A8A"/>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105"/>
    <w:rsid w:val="00830DA8"/>
    <w:rsid w:val="008310FC"/>
    <w:rsid w:val="00831FBB"/>
    <w:rsid w:val="008324A3"/>
    <w:rsid w:val="00832A86"/>
    <w:rsid w:val="00832C37"/>
    <w:rsid w:val="00832C7C"/>
    <w:rsid w:val="00832FDF"/>
    <w:rsid w:val="008331A7"/>
    <w:rsid w:val="008338C0"/>
    <w:rsid w:val="008340CF"/>
    <w:rsid w:val="0083422E"/>
    <w:rsid w:val="0083435A"/>
    <w:rsid w:val="0083487C"/>
    <w:rsid w:val="00835842"/>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2E36"/>
    <w:rsid w:val="00843421"/>
    <w:rsid w:val="00843571"/>
    <w:rsid w:val="00843625"/>
    <w:rsid w:val="008439AD"/>
    <w:rsid w:val="00843F19"/>
    <w:rsid w:val="00844490"/>
    <w:rsid w:val="00844A6A"/>
    <w:rsid w:val="00844CE5"/>
    <w:rsid w:val="00844FA7"/>
    <w:rsid w:val="0084524D"/>
    <w:rsid w:val="008455DF"/>
    <w:rsid w:val="008455E4"/>
    <w:rsid w:val="00845780"/>
    <w:rsid w:val="00845901"/>
    <w:rsid w:val="00845946"/>
    <w:rsid w:val="00845D41"/>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7E"/>
    <w:rsid w:val="00851CA9"/>
    <w:rsid w:val="00851CD6"/>
    <w:rsid w:val="00851FFC"/>
    <w:rsid w:val="00852415"/>
    <w:rsid w:val="00852623"/>
    <w:rsid w:val="0085286C"/>
    <w:rsid w:val="00852921"/>
    <w:rsid w:val="00852A2E"/>
    <w:rsid w:val="00852F40"/>
    <w:rsid w:val="0085320E"/>
    <w:rsid w:val="008533D3"/>
    <w:rsid w:val="00853876"/>
    <w:rsid w:val="008538FC"/>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48C5"/>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DAF"/>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46F7"/>
    <w:rsid w:val="008850AF"/>
    <w:rsid w:val="0088527B"/>
    <w:rsid w:val="0088557E"/>
    <w:rsid w:val="00885846"/>
    <w:rsid w:val="0088604D"/>
    <w:rsid w:val="0088610C"/>
    <w:rsid w:val="0088623E"/>
    <w:rsid w:val="00886A15"/>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4AB9"/>
    <w:rsid w:val="008951E8"/>
    <w:rsid w:val="008952DD"/>
    <w:rsid w:val="0089542A"/>
    <w:rsid w:val="00895751"/>
    <w:rsid w:val="00895DEC"/>
    <w:rsid w:val="008961C1"/>
    <w:rsid w:val="0089638F"/>
    <w:rsid w:val="008965C6"/>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B12"/>
    <w:rsid w:val="008A7B8C"/>
    <w:rsid w:val="008B000F"/>
    <w:rsid w:val="008B0E6B"/>
    <w:rsid w:val="008B1627"/>
    <w:rsid w:val="008B21D7"/>
    <w:rsid w:val="008B2D7C"/>
    <w:rsid w:val="008B3605"/>
    <w:rsid w:val="008B3E94"/>
    <w:rsid w:val="008B4191"/>
    <w:rsid w:val="008B4502"/>
    <w:rsid w:val="008B45B8"/>
    <w:rsid w:val="008B49A4"/>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0A"/>
    <w:rsid w:val="008C28B7"/>
    <w:rsid w:val="008C29C8"/>
    <w:rsid w:val="008C2AAD"/>
    <w:rsid w:val="008C3057"/>
    <w:rsid w:val="008C31AA"/>
    <w:rsid w:val="008C3276"/>
    <w:rsid w:val="008C3424"/>
    <w:rsid w:val="008C39E6"/>
    <w:rsid w:val="008C3A4E"/>
    <w:rsid w:val="008C3BBC"/>
    <w:rsid w:val="008C4537"/>
    <w:rsid w:val="008C4739"/>
    <w:rsid w:val="008C4BC4"/>
    <w:rsid w:val="008C4DF2"/>
    <w:rsid w:val="008C4F88"/>
    <w:rsid w:val="008C5235"/>
    <w:rsid w:val="008C5865"/>
    <w:rsid w:val="008C595C"/>
    <w:rsid w:val="008C5BAD"/>
    <w:rsid w:val="008C63CD"/>
    <w:rsid w:val="008C65A8"/>
    <w:rsid w:val="008C6892"/>
    <w:rsid w:val="008C6CFE"/>
    <w:rsid w:val="008C6F60"/>
    <w:rsid w:val="008C73FD"/>
    <w:rsid w:val="008C768D"/>
    <w:rsid w:val="008C768E"/>
    <w:rsid w:val="008C7821"/>
    <w:rsid w:val="008C7BAE"/>
    <w:rsid w:val="008C7BF9"/>
    <w:rsid w:val="008C7C8E"/>
    <w:rsid w:val="008C7E92"/>
    <w:rsid w:val="008D08BD"/>
    <w:rsid w:val="008D0999"/>
    <w:rsid w:val="008D0CDB"/>
    <w:rsid w:val="008D16C4"/>
    <w:rsid w:val="008D16E4"/>
    <w:rsid w:val="008D1A63"/>
    <w:rsid w:val="008D1B9C"/>
    <w:rsid w:val="008D1BCA"/>
    <w:rsid w:val="008D1E39"/>
    <w:rsid w:val="008D2115"/>
    <w:rsid w:val="008D2564"/>
    <w:rsid w:val="008D2846"/>
    <w:rsid w:val="008D2C3F"/>
    <w:rsid w:val="008D2EF4"/>
    <w:rsid w:val="008D380F"/>
    <w:rsid w:val="008D38AF"/>
    <w:rsid w:val="008D3C5A"/>
    <w:rsid w:val="008D3D13"/>
    <w:rsid w:val="008D3DD8"/>
    <w:rsid w:val="008D3EC1"/>
    <w:rsid w:val="008D4F2B"/>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5969"/>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97F"/>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09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A9B"/>
    <w:rsid w:val="00913AE9"/>
    <w:rsid w:val="00913BA9"/>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2BA7"/>
    <w:rsid w:val="009234AE"/>
    <w:rsid w:val="00923C26"/>
    <w:rsid w:val="00923D9A"/>
    <w:rsid w:val="00923E53"/>
    <w:rsid w:val="00924B6E"/>
    <w:rsid w:val="00924DD4"/>
    <w:rsid w:val="00924F85"/>
    <w:rsid w:val="00925202"/>
    <w:rsid w:val="009253E1"/>
    <w:rsid w:val="009258CA"/>
    <w:rsid w:val="00925C30"/>
    <w:rsid w:val="00925CD0"/>
    <w:rsid w:val="00925DAF"/>
    <w:rsid w:val="00925F9D"/>
    <w:rsid w:val="00926481"/>
    <w:rsid w:val="0092683A"/>
    <w:rsid w:val="00926AB8"/>
    <w:rsid w:val="00926ACD"/>
    <w:rsid w:val="00927B4D"/>
    <w:rsid w:val="00927E7C"/>
    <w:rsid w:val="0093007F"/>
    <w:rsid w:val="0093017F"/>
    <w:rsid w:val="0093040C"/>
    <w:rsid w:val="00930440"/>
    <w:rsid w:val="00930637"/>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17"/>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4198"/>
    <w:rsid w:val="009442C9"/>
    <w:rsid w:val="00944473"/>
    <w:rsid w:val="0094485E"/>
    <w:rsid w:val="00944EA0"/>
    <w:rsid w:val="00945001"/>
    <w:rsid w:val="0094504F"/>
    <w:rsid w:val="009450A4"/>
    <w:rsid w:val="00945155"/>
    <w:rsid w:val="00945227"/>
    <w:rsid w:val="00945279"/>
    <w:rsid w:val="00945328"/>
    <w:rsid w:val="00945975"/>
    <w:rsid w:val="00945D65"/>
    <w:rsid w:val="00946401"/>
    <w:rsid w:val="009465CD"/>
    <w:rsid w:val="00946994"/>
    <w:rsid w:val="009469E7"/>
    <w:rsid w:val="00947197"/>
    <w:rsid w:val="009473D5"/>
    <w:rsid w:val="0094756B"/>
    <w:rsid w:val="00950A87"/>
    <w:rsid w:val="00950D53"/>
    <w:rsid w:val="00951445"/>
    <w:rsid w:val="0095156E"/>
    <w:rsid w:val="009515E5"/>
    <w:rsid w:val="00951C33"/>
    <w:rsid w:val="00951E8E"/>
    <w:rsid w:val="009522B1"/>
    <w:rsid w:val="00952590"/>
    <w:rsid w:val="00952E51"/>
    <w:rsid w:val="00952F3F"/>
    <w:rsid w:val="00953054"/>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5FB"/>
    <w:rsid w:val="009609F9"/>
    <w:rsid w:val="00961276"/>
    <w:rsid w:val="00961562"/>
    <w:rsid w:val="00961C99"/>
    <w:rsid w:val="00962203"/>
    <w:rsid w:val="00962206"/>
    <w:rsid w:val="00963121"/>
    <w:rsid w:val="0096335C"/>
    <w:rsid w:val="0096377C"/>
    <w:rsid w:val="009640BE"/>
    <w:rsid w:val="00964489"/>
    <w:rsid w:val="009644B9"/>
    <w:rsid w:val="009648A3"/>
    <w:rsid w:val="00964F76"/>
    <w:rsid w:val="00964F85"/>
    <w:rsid w:val="00965143"/>
    <w:rsid w:val="009651F3"/>
    <w:rsid w:val="00965B8E"/>
    <w:rsid w:val="0096605A"/>
    <w:rsid w:val="00966163"/>
    <w:rsid w:val="0096648B"/>
    <w:rsid w:val="00966551"/>
    <w:rsid w:val="0096656C"/>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44C7"/>
    <w:rsid w:val="009753CB"/>
    <w:rsid w:val="00975545"/>
    <w:rsid w:val="00975AFA"/>
    <w:rsid w:val="00975CED"/>
    <w:rsid w:val="00975D63"/>
    <w:rsid w:val="0097679C"/>
    <w:rsid w:val="009767B4"/>
    <w:rsid w:val="00976D91"/>
    <w:rsid w:val="00976F8C"/>
    <w:rsid w:val="00976FD5"/>
    <w:rsid w:val="00977265"/>
    <w:rsid w:val="009772E2"/>
    <w:rsid w:val="009774D5"/>
    <w:rsid w:val="00977590"/>
    <w:rsid w:val="00980533"/>
    <w:rsid w:val="00980F4C"/>
    <w:rsid w:val="009810B1"/>
    <w:rsid w:val="00981DBA"/>
    <w:rsid w:val="00981E8F"/>
    <w:rsid w:val="009824C4"/>
    <w:rsid w:val="00982ECF"/>
    <w:rsid w:val="00982F4F"/>
    <w:rsid w:val="0098328D"/>
    <w:rsid w:val="0098425D"/>
    <w:rsid w:val="009842D7"/>
    <w:rsid w:val="009850D0"/>
    <w:rsid w:val="00985172"/>
    <w:rsid w:val="009856B4"/>
    <w:rsid w:val="00985730"/>
    <w:rsid w:val="009862F4"/>
    <w:rsid w:val="009867BA"/>
    <w:rsid w:val="00986D10"/>
    <w:rsid w:val="00986D42"/>
    <w:rsid w:val="0098726F"/>
    <w:rsid w:val="0098764C"/>
    <w:rsid w:val="00987BA6"/>
    <w:rsid w:val="00990088"/>
    <w:rsid w:val="00990176"/>
    <w:rsid w:val="009908A4"/>
    <w:rsid w:val="009908C4"/>
    <w:rsid w:val="009909DD"/>
    <w:rsid w:val="00990AD7"/>
    <w:rsid w:val="00990BB7"/>
    <w:rsid w:val="00990DB6"/>
    <w:rsid w:val="0099109C"/>
    <w:rsid w:val="00991370"/>
    <w:rsid w:val="00991376"/>
    <w:rsid w:val="009915F4"/>
    <w:rsid w:val="009926B3"/>
    <w:rsid w:val="009926BC"/>
    <w:rsid w:val="00992AA2"/>
    <w:rsid w:val="00992DCE"/>
    <w:rsid w:val="00993193"/>
    <w:rsid w:val="00993CA1"/>
    <w:rsid w:val="0099461E"/>
    <w:rsid w:val="00994E04"/>
    <w:rsid w:val="00994E08"/>
    <w:rsid w:val="00995074"/>
    <w:rsid w:val="0099536B"/>
    <w:rsid w:val="0099591B"/>
    <w:rsid w:val="00995D13"/>
    <w:rsid w:val="00995E18"/>
    <w:rsid w:val="00995F0F"/>
    <w:rsid w:val="00996C4F"/>
    <w:rsid w:val="00996D87"/>
    <w:rsid w:val="009970A5"/>
    <w:rsid w:val="00997838"/>
    <w:rsid w:val="009A09F1"/>
    <w:rsid w:val="009A0A21"/>
    <w:rsid w:val="009A0C33"/>
    <w:rsid w:val="009A117D"/>
    <w:rsid w:val="009A1A96"/>
    <w:rsid w:val="009A215A"/>
    <w:rsid w:val="009A23A0"/>
    <w:rsid w:val="009A2C19"/>
    <w:rsid w:val="009A33BB"/>
    <w:rsid w:val="009A3BBA"/>
    <w:rsid w:val="009A3FDD"/>
    <w:rsid w:val="009A41BA"/>
    <w:rsid w:val="009A420E"/>
    <w:rsid w:val="009A4339"/>
    <w:rsid w:val="009A46B3"/>
    <w:rsid w:val="009A49FB"/>
    <w:rsid w:val="009A4AAE"/>
    <w:rsid w:val="009A5123"/>
    <w:rsid w:val="009A53BC"/>
    <w:rsid w:val="009A5792"/>
    <w:rsid w:val="009A5809"/>
    <w:rsid w:val="009A58BF"/>
    <w:rsid w:val="009A58FE"/>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428"/>
    <w:rsid w:val="009B5568"/>
    <w:rsid w:val="009B556B"/>
    <w:rsid w:val="009B5B56"/>
    <w:rsid w:val="009B5D92"/>
    <w:rsid w:val="009B68BF"/>
    <w:rsid w:val="009B6943"/>
    <w:rsid w:val="009B6F03"/>
    <w:rsid w:val="009B7725"/>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EDD"/>
    <w:rsid w:val="009C2FCD"/>
    <w:rsid w:val="009C3683"/>
    <w:rsid w:val="009C378A"/>
    <w:rsid w:val="009C3B38"/>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19"/>
    <w:rsid w:val="009F6340"/>
    <w:rsid w:val="009F64C7"/>
    <w:rsid w:val="009F6B60"/>
    <w:rsid w:val="009F6D19"/>
    <w:rsid w:val="009F7031"/>
    <w:rsid w:val="009F7CD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3F56"/>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4290"/>
    <w:rsid w:val="00A1569F"/>
    <w:rsid w:val="00A15889"/>
    <w:rsid w:val="00A15B3E"/>
    <w:rsid w:val="00A160E5"/>
    <w:rsid w:val="00A162F8"/>
    <w:rsid w:val="00A1637B"/>
    <w:rsid w:val="00A164F8"/>
    <w:rsid w:val="00A16789"/>
    <w:rsid w:val="00A16B47"/>
    <w:rsid w:val="00A173A9"/>
    <w:rsid w:val="00A2002F"/>
    <w:rsid w:val="00A201D1"/>
    <w:rsid w:val="00A201F1"/>
    <w:rsid w:val="00A2061B"/>
    <w:rsid w:val="00A20752"/>
    <w:rsid w:val="00A215BE"/>
    <w:rsid w:val="00A21C7F"/>
    <w:rsid w:val="00A21EDD"/>
    <w:rsid w:val="00A227A9"/>
    <w:rsid w:val="00A22BCE"/>
    <w:rsid w:val="00A231E4"/>
    <w:rsid w:val="00A23560"/>
    <w:rsid w:val="00A23600"/>
    <w:rsid w:val="00A239BE"/>
    <w:rsid w:val="00A23B7C"/>
    <w:rsid w:val="00A23BB3"/>
    <w:rsid w:val="00A23EE2"/>
    <w:rsid w:val="00A24067"/>
    <w:rsid w:val="00A24088"/>
    <w:rsid w:val="00A241F1"/>
    <w:rsid w:val="00A2440B"/>
    <w:rsid w:val="00A246E1"/>
    <w:rsid w:val="00A247E8"/>
    <w:rsid w:val="00A247FB"/>
    <w:rsid w:val="00A24D76"/>
    <w:rsid w:val="00A25300"/>
    <w:rsid w:val="00A25434"/>
    <w:rsid w:val="00A25633"/>
    <w:rsid w:val="00A25757"/>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199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461"/>
    <w:rsid w:val="00A41862"/>
    <w:rsid w:val="00A4205F"/>
    <w:rsid w:val="00A4239C"/>
    <w:rsid w:val="00A42476"/>
    <w:rsid w:val="00A428CD"/>
    <w:rsid w:val="00A430FE"/>
    <w:rsid w:val="00A43368"/>
    <w:rsid w:val="00A43DBA"/>
    <w:rsid w:val="00A444B8"/>
    <w:rsid w:val="00A45995"/>
    <w:rsid w:val="00A465F0"/>
    <w:rsid w:val="00A46744"/>
    <w:rsid w:val="00A46B2A"/>
    <w:rsid w:val="00A46F70"/>
    <w:rsid w:val="00A47049"/>
    <w:rsid w:val="00A4753D"/>
    <w:rsid w:val="00A47C6E"/>
    <w:rsid w:val="00A47CFF"/>
    <w:rsid w:val="00A502FA"/>
    <w:rsid w:val="00A5040C"/>
    <w:rsid w:val="00A5069A"/>
    <w:rsid w:val="00A50B27"/>
    <w:rsid w:val="00A50CD0"/>
    <w:rsid w:val="00A50FE3"/>
    <w:rsid w:val="00A50FFC"/>
    <w:rsid w:val="00A51264"/>
    <w:rsid w:val="00A516DA"/>
    <w:rsid w:val="00A517B2"/>
    <w:rsid w:val="00A517FB"/>
    <w:rsid w:val="00A519B5"/>
    <w:rsid w:val="00A51B03"/>
    <w:rsid w:val="00A51CC2"/>
    <w:rsid w:val="00A51F3F"/>
    <w:rsid w:val="00A52013"/>
    <w:rsid w:val="00A52478"/>
    <w:rsid w:val="00A528AE"/>
    <w:rsid w:val="00A53433"/>
    <w:rsid w:val="00A53547"/>
    <w:rsid w:val="00A53D00"/>
    <w:rsid w:val="00A5446D"/>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4F8F"/>
    <w:rsid w:val="00A653F7"/>
    <w:rsid w:val="00A655D6"/>
    <w:rsid w:val="00A656AB"/>
    <w:rsid w:val="00A65755"/>
    <w:rsid w:val="00A657BB"/>
    <w:rsid w:val="00A65811"/>
    <w:rsid w:val="00A65886"/>
    <w:rsid w:val="00A658DE"/>
    <w:rsid w:val="00A66443"/>
    <w:rsid w:val="00A66719"/>
    <w:rsid w:val="00A66BC9"/>
    <w:rsid w:val="00A66C5D"/>
    <w:rsid w:val="00A66E50"/>
    <w:rsid w:val="00A6744D"/>
    <w:rsid w:val="00A674E7"/>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58AE"/>
    <w:rsid w:val="00A767F3"/>
    <w:rsid w:val="00A7744C"/>
    <w:rsid w:val="00A809B5"/>
    <w:rsid w:val="00A80DB3"/>
    <w:rsid w:val="00A817F5"/>
    <w:rsid w:val="00A81B4A"/>
    <w:rsid w:val="00A81C95"/>
    <w:rsid w:val="00A81F63"/>
    <w:rsid w:val="00A825B8"/>
    <w:rsid w:val="00A82AE3"/>
    <w:rsid w:val="00A83695"/>
    <w:rsid w:val="00A83833"/>
    <w:rsid w:val="00A84D28"/>
    <w:rsid w:val="00A85135"/>
    <w:rsid w:val="00A857F2"/>
    <w:rsid w:val="00A86E95"/>
    <w:rsid w:val="00A86F2C"/>
    <w:rsid w:val="00A86FB2"/>
    <w:rsid w:val="00A87037"/>
    <w:rsid w:val="00A872FD"/>
    <w:rsid w:val="00A879FA"/>
    <w:rsid w:val="00A87AAA"/>
    <w:rsid w:val="00A87E73"/>
    <w:rsid w:val="00A902D9"/>
    <w:rsid w:val="00A90416"/>
    <w:rsid w:val="00A90636"/>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2C8"/>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1F9"/>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335"/>
    <w:rsid w:val="00AB2619"/>
    <w:rsid w:val="00AB3247"/>
    <w:rsid w:val="00AB3C97"/>
    <w:rsid w:val="00AB413D"/>
    <w:rsid w:val="00AB4162"/>
    <w:rsid w:val="00AB46D0"/>
    <w:rsid w:val="00AB4845"/>
    <w:rsid w:val="00AB4879"/>
    <w:rsid w:val="00AB51D8"/>
    <w:rsid w:val="00AB5AD5"/>
    <w:rsid w:val="00AB5B2C"/>
    <w:rsid w:val="00AB5DBD"/>
    <w:rsid w:val="00AB5E1C"/>
    <w:rsid w:val="00AB65F3"/>
    <w:rsid w:val="00AB675E"/>
    <w:rsid w:val="00AB69DA"/>
    <w:rsid w:val="00AB6E28"/>
    <w:rsid w:val="00AB7097"/>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A6D"/>
    <w:rsid w:val="00AC4B3D"/>
    <w:rsid w:val="00AC4F3B"/>
    <w:rsid w:val="00AC507B"/>
    <w:rsid w:val="00AC56EB"/>
    <w:rsid w:val="00AC5BF0"/>
    <w:rsid w:val="00AC5FB7"/>
    <w:rsid w:val="00AC636E"/>
    <w:rsid w:val="00AC66B4"/>
    <w:rsid w:val="00AC66D7"/>
    <w:rsid w:val="00AC6757"/>
    <w:rsid w:val="00AC6916"/>
    <w:rsid w:val="00AC7166"/>
    <w:rsid w:val="00AC77D3"/>
    <w:rsid w:val="00AC7AA7"/>
    <w:rsid w:val="00AC7C57"/>
    <w:rsid w:val="00AC7D9E"/>
    <w:rsid w:val="00AD018D"/>
    <w:rsid w:val="00AD0470"/>
    <w:rsid w:val="00AD07C7"/>
    <w:rsid w:val="00AD0A35"/>
    <w:rsid w:val="00AD1092"/>
    <w:rsid w:val="00AD140D"/>
    <w:rsid w:val="00AD176D"/>
    <w:rsid w:val="00AD178B"/>
    <w:rsid w:val="00AD1813"/>
    <w:rsid w:val="00AD1819"/>
    <w:rsid w:val="00AD1CCA"/>
    <w:rsid w:val="00AD20D4"/>
    <w:rsid w:val="00AD26F7"/>
    <w:rsid w:val="00AD2C99"/>
    <w:rsid w:val="00AD3281"/>
    <w:rsid w:val="00AD4013"/>
    <w:rsid w:val="00AD4076"/>
    <w:rsid w:val="00AD41C2"/>
    <w:rsid w:val="00AD441F"/>
    <w:rsid w:val="00AD460C"/>
    <w:rsid w:val="00AD4703"/>
    <w:rsid w:val="00AD4885"/>
    <w:rsid w:val="00AD4EBA"/>
    <w:rsid w:val="00AD4F7B"/>
    <w:rsid w:val="00AD5785"/>
    <w:rsid w:val="00AD5D6D"/>
    <w:rsid w:val="00AD5E9C"/>
    <w:rsid w:val="00AD6025"/>
    <w:rsid w:val="00AD615D"/>
    <w:rsid w:val="00AD6760"/>
    <w:rsid w:val="00AD6F88"/>
    <w:rsid w:val="00AD70E6"/>
    <w:rsid w:val="00AD7E6E"/>
    <w:rsid w:val="00AE0178"/>
    <w:rsid w:val="00AE0384"/>
    <w:rsid w:val="00AE0502"/>
    <w:rsid w:val="00AE0794"/>
    <w:rsid w:val="00AE08FE"/>
    <w:rsid w:val="00AE0F1D"/>
    <w:rsid w:val="00AE0FB4"/>
    <w:rsid w:val="00AE12E0"/>
    <w:rsid w:val="00AE14D3"/>
    <w:rsid w:val="00AE16B4"/>
    <w:rsid w:val="00AE182E"/>
    <w:rsid w:val="00AE232B"/>
    <w:rsid w:val="00AE2BA0"/>
    <w:rsid w:val="00AE31CE"/>
    <w:rsid w:val="00AE3438"/>
    <w:rsid w:val="00AE36DA"/>
    <w:rsid w:val="00AE3842"/>
    <w:rsid w:val="00AE4331"/>
    <w:rsid w:val="00AE438A"/>
    <w:rsid w:val="00AE47D7"/>
    <w:rsid w:val="00AE58FB"/>
    <w:rsid w:val="00AE5F3F"/>
    <w:rsid w:val="00AE5FD8"/>
    <w:rsid w:val="00AE5FF7"/>
    <w:rsid w:val="00AE671E"/>
    <w:rsid w:val="00AE6729"/>
    <w:rsid w:val="00AE690D"/>
    <w:rsid w:val="00AE6BC8"/>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75D"/>
    <w:rsid w:val="00AF5EDF"/>
    <w:rsid w:val="00AF6145"/>
    <w:rsid w:val="00AF685C"/>
    <w:rsid w:val="00AF6E23"/>
    <w:rsid w:val="00AF6F6D"/>
    <w:rsid w:val="00AF7034"/>
    <w:rsid w:val="00AF7431"/>
    <w:rsid w:val="00AF767A"/>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7A8"/>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1E7"/>
    <w:rsid w:val="00B165FA"/>
    <w:rsid w:val="00B167B9"/>
    <w:rsid w:val="00B16F8A"/>
    <w:rsid w:val="00B17019"/>
    <w:rsid w:val="00B1753C"/>
    <w:rsid w:val="00B17F48"/>
    <w:rsid w:val="00B2035F"/>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E17"/>
    <w:rsid w:val="00B31EDA"/>
    <w:rsid w:val="00B31F96"/>
    <w:rsid w:val="00B31FEF"/>
    <w:rsid w:val="00B329D2"/>
    <w:rsid w:val="00B32AD6"/>
    <w:rsid w:val="00B33A47"/>
    <w:rsid w:val="00B33BF2"/>
    <w:rsid w:val="00B34169"/>
    <w:rsid w:val="00B344E0"/>
    <w:rsid w:val="00B3469A"/>
    <w:rsid w:val="00B347CB"/>
    <w:rsid w:val="00B34899"/>
    <w:rsid w:val="00B34F7A"/>
    <w:rsid w:val="00B3549D"/>
    <w:rsid w:val="00B35683"/>
    <w:rsid w:val="00B3578C"/>
    <w:rsid w:val="00B361AB"/>
    <w:rsid w:val="00B36D86"/>
    <w:rsid w:val="00B36E89"/>
    <w:rsid w:val="00B37387"/>
    <w:rsid w:val="00B37868"/>
    <w:rsid w:val="00B37885"/>
    <w:rsid w:val="00B37958"/>
    <w:rsid w:val="00B379BB"/>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610"/>
    <w:rsid w:val="00B459F1"/>
    <w:rsid w:val="00B45EEF"/>
    <w:rsid w:val="00B4640E"/>
    <w:rsid w:val="00B46977"/>
    <w:rsid w:val="00B46C0B"/>
    <w:rsid w:val="00B46C6B"/>
    <w:rsid w:val="00B46D0B"/>
    <w:rsid w:val="00B46DF0"/>
    <w:rsid w:val="00B47109"/>
    <w:rsid w:val="00B4715F"/>
    <w:rsid w:val="00B475C0"/>
    <w:rsid w:val="00B47BAC"/>
    <w:rsid w:val="00B47E04"/>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7E7"/>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10B9"/>
    <w:rsid w:val="00B61126"/>
    <w:rsid w:val="00B61434"/>
    <w:rsid w:val="00B61BD3"/>
    <w:rsid w:val="00B62249"/>
    <w:rsid w:val="00B62975"/>
    <w:rsid w:val="00B62DC1"/>
    <w:rsid w:val="00B62F3B"/>
    <w:rsid w:val="00B63902"/>
    <w:rsid w:val="00B63C48"/>
    <w:rsid w:val="00B63EAD"/>
    <w:rsid w:val="00B64312"/>
    <w:rsid w:val="00B64E2A"/>
    <w:rsid w:val="00B65385"/>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1CB"/>
    <w:rsid w:val="00B74292"/>
    <w:rsid w:val="00B744AB"/>
    <w:rsid w:val="00B745F1"/>
    <w:rsid w:val="00B74742"/>
    <w:rsid w:val="00B74819"/>
    <w:rsid w:val="00B74A48"/>
    <w:rsid w:val="00B74AA0"/>
    <w:rsid w:val="00B74C0C"/>
    <w:rsid w:val="00B74C71"/>
    <w:rsid w:val="00B7533F"/>
    <w:rsid w:val="00B754E1"/>
    <w:rsid w:val="00B75AB3"/>
    <w:rsid w:val="00B75D66"/>
    <w:rsid w:val="00B75F69"/>
    <w:rsid w:val="00B75F93"/>
    <w:rsid w:val="00B76024"/>
    <w:rsid w:val="00B76238"/>
    <w:rsid w:val="00B7639A"/>
    <w:rsid w:val="00B76680"/>
    <w:rsid w:val="00B768F2"/>
    <w:rsid w:val="00B76C46"/>
    <w:rsid w:val="00B77689"/>
    <w:rsid w:val="00B77706"/>
    <w:rsid w:val="00B77DEF"/>
    <w:rsid w:val="00B801E4"/>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3D32"/>
    <w:rsid w:val="00B8403B"/>
    <w:rsid w:val="00B840CE"/>
    <w:rsid w:val="00B843CA"/>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3C6"/>
    <w:rsid w:val="00BA18A4"/>
    <w:rsid w:val="00BA1E4F"/>
    <w:rsid w:val="00BA2359"/>
    <w:rsid w:val="00BA2CED"/>
    <w:rsid w:val="00BA2E29"/>
    <w:rsid w:val="00BA306B"/>
    <w:rsid w:val="00BA30F1"/>
    <w:rsid w:val="00BA32A1"/>
    <w:rsid w:val="00BA368C"/>
    <w:rsid w:val="00BA37AD"/>
    <w:rsid w:val="00BA3807"/>
    <w:rsid w:val="00BA3E99"/>
    <w:rsid w:val="00BA3FE1"/>
    <w:rsid w:val="00BA45BA"/>
    <w:rsid w:val="00BA48C6"/>
    <w:rsid w:val="00BA54A6"/>
    <w:rsid w:val="00BA55F0"/>
    <w:rsid w:val="00BA576F"/>
    <w:rsid w:val="00BA5770"/>
    <w:rsid w:val="00BA5869"/>
    <w:rsid w:val="00BA58A6"/>
    <w:rsid w:val="00BA5AF2"/>
    <w:rsid w:val="00BA5E6D"/>
    <w:rsid w:val="00BA6661"/>
    <w:rsid w:val="00BA6B1E"/>
    <w:rsid w:val="00BA73F4"/>
    <w:rsid w:val="00BA7689"/>
    <w:rsid w:val="00BA775C"/>
    <w:rsid w:val="00BA7C35"/>
    <w:rsid w:val="00BA7F1E"/>
    <w:rsid w:val="00BB00A0"/>
    <w:rsid w:val="00BB0287"/>
    <w:rsid w:val="00BB0430"/>
    <w:rsid w:val="00BB0441"/>
    <w:rsid w:val="00BB056B"/>
    <w:rsid w:val="00BB05F1"/>
    <w:rsid w:val="00BB06DD"/>
    <w:rsid w:val="00BB0814"/>
    <w:rsid w:val="00BB0830"/>
    <w:rsid w:val="00BB0DC7"/>
    <w:rsid w:val="00BB0E68"/>
    <w:rsid w:val="00BB1504"/>
    <w:rsid w:val="00BB1BAA"/>
    <w:rsid w:val="00BB2DDF"/>
    <w:rsid w:val="00BB3377"/>
    <w:rsid w:val="00BB3420"/>
    <w:rsid w:val="00BB34E2"/>
    <w:rsid w:val="00BB3E98"/>
    <w:rsid w:val="00BB405E"/>
    <w:rsid w:val="00BB45B7"/>
    <w:rsid w:val="00BB4A09"/>
    <w:rsid w:val="00BB4B0A"/>
    <w:rsid w:val="00BB4D23"/>
    <w:rsid w:val="00BB4DD3"/>
    <w:rsid w:val="00BB4F20"/>
    <w:rsid w:val="00BB53D9"/>
    <w:rsid w:val="00BB59C2"/>
    <w:rsid w:val="00BB61B7"/>
    <w:rsid w:val="00BB6DB6"/>
    <w:rsid w:val="00BB76BE"/>
    <w:rsid w:val="00BB7E4E"/>
    <w:rsid w:val="00BC0057"/>
    <w:rsid w:val="00BC0483"/>
    <w:rsid w:val="00BC0E80"/>
    <w:rsid w:val="00BC112E"/>
    <w:rsid w:val="00BC1BD5"/>
    <w:rsid w:val="00BC1D97"/>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6FE2"/>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E039F"/>
    <w:rsid w:val="00BE0A2D"/>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83A"/>
    <w:rsid w:val="00BE4C17"/>
    <w:rsid w:val="00BE4E8D"/>
    <w:rsid w:val="00BE4FB5"/>
    <w:rsid w:val="00BE50C6"/>
    <w:rsid w:val="00BE51AA"/>
    <w:rsid w:val="00BE58AA"/>
    <w:rsid w:val="00BE5AB3"/>
    <w:rsid w:val="00BE63DA"/>
    <w:rsid w:val="00BE676A"/>
    <w:rsid w:val="00BE6D2D"/>
    <w:rsid w:val="00BE7960"/>
    <w:rsid w:val="00BE7A40"/>
    <w:rsid w:val="00BE7E90"/>
    <w:rsid w:val="00BF0A28"/>
    <w:rsid w:val="00BF146C"/>
    <w:rsid w:val="00BF1470"/>
    <w:rsid w:val="00BF19C1"/>
    <w:rsid w:val="00BF2569"/>
    <w:rsid w:val="00BF275A"/>
    <w:rsid w:val="00BF31B7"/>
    <w:rsid w:val="00BF39C2"/>
    <w:rsid w:val="00BF3A71"/>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BF7F7F"/>
    <w:rsid w:val="00C00473"/>
    <w:rsid w:val="00C0087C"/>
    <w:rsid w:val="00C00D51"/>
    <w:rsid w:val="00C01935"/>
    <w:rsid w:val="00C01998"/>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820"/>
    <w:rsid w:val="00C10993"/>
    <w:rsid w:val="00C10FBC"/>
    <w:rsid w:val="00C110B1"/>
    <w:rsid w:val="00C110FB"/>
    <w:rsid w:val="00C11212"/>
    <w:rsid w:val="00C112A5"/>
    <w:rsid w:val="00C112F6"/>
    <w:rsid w:val="00C113F4"/>
    <w:rsid w:val="00C116AF"/>
    <w:rsid w:val="00C1181C"/>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4EEC"/>
    <w:rsid w:val="00C250BC"/>
    <w:rsid w:val="00C2525B"/>
    <w:rsid w:val="00C2529E"/>
    <w:rsid w:val="00C252FF"/>
    <w:rsid w:val="00C25EE7"/>
    <w:rsid w:val="00C25FF4"/>
    <w:rsid w:val="00C26006"/>
    <w:rsid w:val="00C262B0"/>
    <w:rsid w:val="00C263AA"/>
    <w:rsid w:val="00C266CF"/>
    <w:rsid w:val="00C269D1"/>
    <w:rsid w:val="00C26A06"/>
    <w:rsid w:val="00C26AEA"/>
    <w:rsid w:val="00C26AFC"/>
    <w:rsid w:val="00C26F78"/>
    <w:rsid w:val="00C27528"/>
    <w:rsid w:val="00C27569"/>
    <w:rsid w:val="00C27666"/>
    <w:rsid w:val="00C277E0"/>
    <w:rsid w:val="00C27C1B"/>
    <w:rsid w:val="00C30207"/>
    <w:rsid w:val="00C30461"/>
    <w:rsid w:val="00C30499"/>
    <w:rsid w:val="00C3080F"/>
    <w:rsid w:val="00C3095A"/>
    <w:rsid w:val="00C30F87"/>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C9C"/>
    <w:rsid w:val="00C35F56"/>
    <w:rsid w:val="00C36296"/>
    <w:rsid w:val="00C363DB"/>
    <w:rsid w:val="00C36531"/>
    <w:rsid w:val="00C36706"/>
    <w:rsid w:val="00C368A0"/>
    <w:rsid w:val="00C37370"/>
    <w:rsid w:val="00C37816"/>
    <w:rsid w:val="00C37CB0"/>
    <w:rsid w:val="00C4003B"/>
    <w:rsid w:val="00C404FD"/>
    <w:rsid w:val="00C40D8F"/>
    <w:rsid w:val="00C4142C"/>
    <w:rsid w:val="00C41AC4"/>
    <w:rsid w:val="00C41C63"/>
    <w:rsid w:val="00C41D76"/>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CCD"/>
    <w:rsid w:val="00C47FF0"/>
    <w:rsid w:val="00C50102"/>
    <w:rsid w:val="00C502EF"/>
    <w:rsid w:val="00C50448"/>
    <w:rsid w:val="00C504B7"/>
    <w:rsid w:val="00C508C1"/>
    <w:rsid w:val="00C5091C"/>
    <w:rsid w:val="00C509F1"/>
    <w:rsid w:val="00C50C3D"/>
    <w:rsid w:val="00C50D05"/>
    <w:rsid w:val="00C5132D"/>
    <w:rsid w:val="00C5174C"/>
    <w:rsid w:val="00C52124"/>
    <w:rsid w:val="00C52783"/>
    <w:rsid w:val="00C52F2A"/>
    <w:rsid w:val="00C533D9"/>
    <w:rsid w:val="00C53840"/>
    <w:rsid w:val="00C549BB"/>
    <w:rsid w:val="00C5561D"/>
    <w:rsid w:val="00C55DDE"/>
    <w:rsid w:val="00C55F6C"/>
    <w:rsid w:val="00C561E0"/>
    <w:rsid w:val="00C568B4"/>
    <w:rsid w:val="00C575BF"/>
    <w:rsid w:val="00C57696"/>
    <w:rsid w:val="00C57730"/>
    <w:rsid w:val="00C5792F"/>
    <w:rsid w:val="00C60241"/>
    <w:rsid w:val="00C60655"/>
    <w:rsid w:val="00C60829"/>
    <w:rsid w:val="00C60C94"/>
    <w:rsid w:val="00C61038"/>
    <w:rsid w:val="00C61058"/>
    <w:rsid w:val="00C613FE"/>
    <w:rsid w:val="00C62140"/>
    <w:rsid w:val="00C627A8"/>
    <w:rsid w:val="00C62BF7"/>
    <w:rsid w:val="00C62DC8"/>
    <w:rsid w:val="00C62DD6"/>
    <w:rsid w:val="00C62FF0"/>
    <w:rsid w:val="00C635B5"/>
    <w:rsid w:val="00C63960"/>
    <w:rsid w:val="00C64238"/>
    <w:rsid w:val="00C64735"/>
    <w:rsid w:val="00C64937"/>
    <w:rsid w:val="00C649A5"/>
    <w:rsid w:val="00C649C4"/>
    <w:rsid w:val="00C64D49"/>
    <w:rsid w:val="00C64F2A"/>
    <w:rsid w:val="00C64FD2"/>
    <w:rsid w:val="00C64FFF"/>
    <w:rsid w:val="00C6522C"/>
    <w:rsid w:val="00C65538"/>
    <w:rsid w:val="00C6589A"/>
    <w:rsid w:val="00C65A17"/>
    <w:rsid w:val="00C65A2D"/>
    <w:rsid w:val="00C65AE6"/>
    <w:rsid w:val="00C65B75"/>
    <w:rsid w:val="00C662CC"/>
    <w:rsid w:val="00C6635B"/>
    <w:rsid w:val="00C66643"/>
    <w:rsid w:val="00C668BA"/>
    <w:rsid w:val="00C668C3"/>
    <w:rsid w:val="00C66A42"/>
    <w:rsid w:val="00C66E17"/>
    <w:rsid w:val="00C6743F"/>
    <w:rsid w:val="00C67630"/>
    <w:rsid w:val="00C706D1"/>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2E62"/>
    <w:rsid w:val="00C73192"/>
    <w:rsid w:val="00C732AD"/>
    <w:rsid w:val="00C73470"/>
    <w:rsid w:val="00C73DF7"/>
    <w:rsid w:val="00C7402E"/>
    <w:rsid w:val="00C7413B"/>
    <w:rsid w:val="00C7421C"/>
    <w:rsid w:val="00C74278"/>
    <w:rsid w:val="00C742EB"/>
    <w:rsid w:val="00C74679"/>
    <w:rsid w:val="00C74EBD"/>
    <w:rsid w:val="00C75194"/>
    <w:rsid w:val="00C756DD"/>
    <w:rsid w:val="00C75A6D"/>
    <w:rsid w:val="00C75AE2"/>
    <w:rsid w:val="00C760AB"/>
    <w:rsid w:val="00C76159"/>
    <w:rsid w:val="00C76638"/>
    <w:rsid w:val="00C766A9"/>
    <w:rsid w:val="00C76AB2"/>
    <w:rsid w:val="00C76D6F"/>
    <w:rsid w:val="00C76F0C"/>
    <w:rsid w:val="00C76FE2"/>
    <w:rsid w:val="00C77B01"/>
    <w:rsid w:val="00C77F67"/>
    <w:rsid w:val="00C800C0"/>
    <w:rsid w:val="00C804FC"/>
    <w:rsid w:val="00C80646"/>
    <w:rsid w:val="00C80846"/>
    <w:rsid w:val="00C80CBE"/>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6B4"/>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3F2C"/>
    <w:rsid w:val="00CA43FC"/>
    <w:rsid w:val="00CA44B2"/>
    <w:rsid w:val="00CA5447"/>
    <w:rsid w:val="00CA57B3"/>
    <w:rsid w:val="00CA5817"/>
    <w:rsid w:val="00CA5850"/>
    <w:rsid w:val="00CA59DF"/>
    <w:rsid w:val="00CA5A0E"/>
    <w:rsid w:val="00CA5C6E"/>
    <w:rsid w:val="00CA6B54"/>
    <w:rsid w:val="00CA6E5C"/>
    <w:rsid w:val="00CA7064"/>
    <w:rsid w:val="00CA7162"/>
    <w:rsid w:val="00CA7A45"/>
    <w:rsid w:val="00CA7F1B"/>
    <w:rsid w:val="00CA7F4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B1F"/>
    <w:rsid w:val="00CB5DBE"/>
    <w:rsid w:val="00CB5E30"/>
    <w:rsid w:val="00CB623C"/>
    <w:rsid w:val="00CB62C9"/>
    <w:rsid w:val="00CB6480"/>
    <w:rsid w:val="00CB65F5"/>
    <w:rsid w:val="00CB6B59"/>
    <w:rsid w:val="00CB6F31"/>
    <w:rsid w:val="00CB7300"/>
    <w:rsid w:val="00CB769D"/>
    <w:rsid w:val="00CB77E7"/>
    <w:rsid w:val="00CB7C43"/>
    <w:rsid w:val="00CC0040"/>
    <w:rsid w:val="00CC0AFD"/>
    <w:rsid w:val="00CC101C"/>
    <w:rsid w:val="00CC105A"/>
    <w:rsid w:val="00CC105D"/>
    <w:rsid w:val="00CC19BE"/>
    <w:rsid w:val="00CC22E7"/>
    <w:rsid w:val="00CC25C7"/>
    <w:rsid w:val="00CC25EB"/>
    <w:rsid w:val="00CC264F"/>
    <w:rsid w:val="00CC286D"/>
    <w:rsid w:val="00CC2BE5"/>
    <w:rsid w:val="00CC3174"/>
    <w:rsid w:val="00CC39FA"/>
    <w:rsid w:val="00CC3B84"/>
    <w:rsid w:val="00CC4200"/>
    <w:rsid w:val="00CC48DF"/>
    <w:rsid w:val="00CC5735"/>
    <w:rsid w:val="00CC5DEC"/>
    <w:rsid w:val="00CC5E92"/>
    <w:rsid w:val="00CC653F"/>
    <w:rsid w:val="00CC6611"/>
    <w:rsid w:val="00CC69BE"/>
    <w:rsid w:val="00CC6BE4"/>
    <w:rsid w:val="00CC6C63"/>
    <w:rsid w:val="00CC6DDE"/>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6F"/>
    <w:rsid w:val="00CD3FF1"/>
    <w:rsid w:val="00CD473F"/>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5BF"/>
    <w:rsid w:val="00CF0786"/>
    <w:rsid w:val="00CF0B6A"/>
    <w:rsid w:val="00CF0D52"/>
    <w:rsid w:val="00CF0E85"/>
    <w:rsid w:val="00CF11FF"/>
    <w:rsid w:val="00CF1D3B"/>
    <w:rsid w:val="00CF2116"/>
    <w:rsid w:val="00CF2311"/>
    <w:rsid w:val="00CF24B3"/>
    <w:rsid w:val="00CF251C"/>
    <w:rsid w:val="00CF282B"/>
    <w:rsid w:val="00CF29B4"/>
    <w:rsid w:val="00CF30E9"/>
    <w:rsid w:val="00CF3CC2"/>
    <w:rsid w:val="00CF3F55"/>
    <w:rsid w:val="00CF417B"/>
    <w:rsid w:val="00CF425C"/>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3F"/>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6070"/>
    <w:rsid w:val="00D0608D"/>
    <w:rsid w:val="00D06BD8"/>
    <w:rsid w:val="00D06E4E"/>
    <w:rsid w:val="00D076D8"/>
    <w:rsid w:val="00D07952"/>
    <w:rsid w:val="00D107A1"/>
    <w:rsid w:val="00D11113"/>
    <w:rsid w:val="00D1161B"/>
    <w:rsid w:val="00D11BB1"/>
    <w:rsid w:val="00D11DC5"/>
    <w:rsid w:val="00D11DEC"/>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131"/>
    <w:rsid w:val="00D1648C"/>
    <w:rsid w:val="00D16490"/>
    <w:rsid w:val="00D171F2"/>
    <w:rsid w:val="00D173EA"/>
    <w:rsid w:val="00D17741"/>
    <w:rsid w:val="00D17BCC"/>
    <w:rsid w:val="00D17CE2"/>
    <w:rsid w:val="00D20466"/>
    <w:rsid w:val="00D2047B"/>
    <w:rsid w:val="00D20715"/>
    <w:rsid w:val="00D20752"/>
    <w:rsid w:val="00D20AC1"/>
    <w:rsid w:val="00D20B94"/>
    <w:rsid w:val="00D20E21"/>
    <w:rsid w:val="00D2107A"/>
    <w:rsid w:val="00D21236"/>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27FE7"/>
    <w:rsid w:val="00D30506"/>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331"/>
    <w:rsid w:val="00D35564"/>
    <w:rsid w:val="00D359B7"/>
    <w:rsid w:val="00D370A8"/>
    <w:rsid w:val="00D37418"/>
    <w:rsid w:val="00D3757F"/>
    <w:rsid w:val="00D37B0C"/>
    <w:rsid w:val="00D408C4"/>
    <w:rsid w:val="00D409AF"/>
    <w:rsid w:val="00D4111B"/>
    <w:rsid w:val="00D4157D"/>
    <w:rsid w:val="00D41641"/>
    <w:rsid w:val="00D418D7"/>
    <w:rsid w:val="00D41DFD"/>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B0"/>
    <w:rsid w:val="00D5553F"/>
    <w:rsid w:val="00D555D0"/>
    <w:rsid w:val="00D55A8C"/>
    <w:rsid w:val="00D55EAC"/>
    <w:rsid w:val="00D560A0"/>
    <w:rsid w:val="00D56213"/>
    <w:rsid w:val="00D5648C"/>
    <w:rsid w:val="00D56940"/>
    <w:rsid w:val="00D56D2C"/>
    <w:rsid w:val="00D57058"/>
    <w:rsid w:val="00D572B3"/>
    <w:rsid w:val="00D5737F"/>
    <w:rsid w:val="00D575AB"/>
    <w:rsid w:val="00D576C6"/>
    <w:rsid w:val="00D578B1"/>
    <w:rsid w:val="00D57B5B"/>
    <w:rsid w:val="00D57DF3"/>
    <w:rsid w:val="00D57EFB"/>
    <w:rsid w:val="00D60781"/>
    <w:rsid w:val="00D60FB5"/>
    <w:rsid w:val="00D610E0"/>
    <w:rsid w:val="00D6115A"/>
    <w:rsid w:val="00D61349"/>
    <w:rsid w:val="00D61372"/>
    <w:rsid w:val="00D6155F"/>
    <w:rsid w:val="00D615F3"/>
    <w:rsid w:val="00D61821"/>
    <w:rsid w:val="00D6193C"/>
    <w:rsid w:val="00D61FA5"/>
    <w:rsid w:val="00D6255E"/>
    <w:rsid w:val="00D626BE"/>
    <w:rsid w:val="00D63015"/>
    <w:rsid w:val="00D636B9"/>
    <w:rsid w:val="00D646B0"/>
    <w:rsid w:val="00D64B2C"/>
    <w:rsid w:val="00D64C3E"/>
    <w:rsid w:val="00D64D0B"/>
    <w:rsid w:val="00D65686"/>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0B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4D84"/>
    <w:rsid w:val="00D7505F"/>
    <w:rsid w:val="00D7566C"/>
    <w:rsid w:val="00D759AC"/>
    <w:rsid w:val="00D75FDC"/>
    <w:rsid w:val="00D761F4"/>
    <w:rsid w:val="00D76719"/>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2105"/>
    <w:rsid w:val="00D922D3"/>
    <w:rsid w:val="00D93065"/>
    <w:rsid w:val="00D93537"/>
    <w:rsid w:val="00D9356B"/>
    <w:rsid w:val="00D93755"/>
    <w:rsid w:val="00D94128"/>
    <w:rsid w:val="00D941FD"/>
    <w:rsid w:val="00D946BF"/>
    <w:rsid w:val="00D94775"/>
    <w:rsid w:val="00D94920"/>
    <w:rsid w:val="00D94B13"/>
    <w:rsid w:val="00D94B82"/>
    <w:rsid w:val="00D94C0A"/>
    <w:rsid w:val="00D94C57"/>
    <w:rsid w:val="00D94DA0"/>
    <w:rsid w:val="00D9518B"/>
    <w:rsid w:val="00D9525A"/>
    <w:rsid w:val="00D9529F"/>
    <w:rsid w:val="00D95D1A"/>
    <w:rsid w:val="00D95DBB"/>
    <w:rsid w:val="00D96EE8"/>
    <w:rsid w:val="00D96F6B"/>
    <w:rsid w:val="00D97FE4"/>
    <w:rsid w:val="00DA0110"/>
    <w:rsid w:val="00DA0145"/>
    <w:rsid w:val="00DA0A59"/>
    <w:rsid w:val="00DA0D1E"/>
    <w:rsid w:val="00DA0D24"/>
    <w:rsid w:val="00DA1208"/>
    <w:rsid w:val="00DA1452"/>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4E"/>
    <w:rsid w:val="00DA4EDC"/>
    <w:rsid w:val="00DA53BD"/>
    <w:rsid w:val="00DA563C"/>
    <w:rsid w:val="00DA584C"/>
    <w:rsid w:val="00DA5C84"/>
    <w:rsid w:val="00DA5FBB"/>
    <w:rsid w:val="00DA658C"/>
    <w:rsid w:val="00DA700E"/>
    <w:rsid w:val="00DA7131"/>
    <w:rsid w:val="00DA74A9"/>
    <w:rsid w:val="00DA798A"/>
    <w:rsid w:val="00DA7A3F"/>
    <w:rsid w:val="00DA7A5F"/>
    <w:rsid w:val="00DA7B81"/>
    <w:rsid w:val="00DA7BE6"/>
    <w:rsid w:val="00DB09D4"/>
    <w:rsid w:val="00DB0AAC"/>
    <w:rsid w:val="00DB0CE7"/>
    <w:rsid w:val="00DB1695"/>
    <w:rsid w:val="00DB212F"/>
    <w:rsid w:val="00DB24E0"/>
    <w:rsid w:val="00DB277D"/>
    <w:rsid w:val="00DB27BC"/>
    <w:rsid w:val="00DB2BC0"/>
    <w:rsid w:val="00DB2CD6"/>
    <w:rsid w:val="00DB34AD"/>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8"/>
    <w:rsid w:val="00DC0CEE"/>
    <w:rsid w:val="00DC0DDF"/>
    <w:rsid w:val="00DC0E2B"/>
    <w:rsid w:val="00DC0E43"/>
    <w:rsid w:val="00DC1098"/>
    <w:rsid w:val="00DC1434"/>
    <w:rsid w:val="00DC1489"/>
    <w:rsid w:val="00DC1643"/>
    <w:rsid w:val="00DC16D2"/>
    <w:rsid w:val="00DC1712"/>
    <w:rsid w:val="00DC1889"/>
    <w:rsid w:val="00DC1EA0"/>
    <w:rsid w:val="00DC2267"/>
    <w:rsid w:val="00DC26EC"/>
    <w:rsid w:val="00DC2BA0"/>
    <w:rsid w:val="00DC2DA8"/>
    <w:rsid w:val="00DC2E19"/>
    <w:rsid w:val="00DC2FC4"/>
    <w:rsid w:val="00DC314B"/>
    <w:rsid w:val="00DC31CD"/>
    <w:rsid w:val="00DC37EE"/>
    <w:rsid w:val="00DC38E1"/>
    <w:rsid w:val="00DC3C23"/>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733"/>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671C"/>
    <w:rsid w:val="00DD6865"/>
    <w:rsid w:val="00DD6DB5"/>
    <w:rsid w:val="00DD6EFF"/>
    <w:rsid w:val="00DD7323"/>
    <w:rsid w:val="00DD7549"/>
    <w:rsid w:val="00DD764F"/>
    <w:rsid w:val="00DD7864"/>
    <w:rsid w:val="00DD7CA4"/>
    <w:rsid w:val="00DD7F30"/>
    <w:rsid w:val="00DE022F"/>
    <w:rsid w:val="00DE09E9"/>
    <w:rsid w:val="00DE11A2"/>
    <w:rsid w:val="00DE1294"/>
    <w:rsid w:val="00DE137B"/>
    <w:rsid w:val="00DE1452"/>
    <w:rsid w:val="00DE1A79"/>
    <w:rsid w:val="00DE1F64"/>
    <w:rsid w:val="00DE1F95"/>
    <w:rsid w:val="00DE2B19"/>
    <w:rsid w:val="00DE3576"/>
    <w:rsid w:val="00DE3849"/>
    <w:rsid w:val="00DE546B"/>
    <w:rsid w:val="00DE553B"/>
    <w:rsid w:val="00DE56F5"/>
    <w:rsid w:val="00DE59A3"/>
    <w:rsid w:val="00DE59E7"/>
    <w:rsid w:val="00DE5AEC"/>
    <w:rsid w:val="00DE5DF9"/>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6B8"/>
    <w:rsid w:val="00DF2C23"/>
    <w:rsid w:val="00DF2D5C"/>
    <w:rsid w:val="00DF35A2"/>
    <w:rsid w:val="00DF39EB"/>
    <w:rsid w:val="00DF3A62"/>
    <w:rsid w:val="00DF3A8C"/>
    <w:rsid w:val="00DF3B88"/>
    <w:rsid w:val="00DF3C52"/>
    <w:rsid w:val="00DF4753"/>
    <w:rsid w:val="00DF4E22"/>
    <w:rsid w:val="00DF4ED8"/>
    <w:rsid w:val="00DF54ED"/>
    <w:rsid w:val="00DF590F"/>
    <w:rsid w:val="00DF6A37"/>
    <w:rsid w:val="00DF77A6"/>
    <w:rsid w:val="00DF7827"/>
    <w:rsid w:val="00DF7D25"/>
    <w:rsid w:val="00E005F8"/>
    <w:rsid w:val="00E007EB"/>
    <w:rsid w:val="00E00A61"/>
    <w:rsid w:val="00E01074"/>
    <w:rsid w:val="00E01171"/>
    <w:rsid w:val="00E01489"/>
    <w:rsid w:val="00E018B7"/>
    <w:rsid w:val="00E02372"/>
    <w:rsid w:val="00E02548"/>
    <w:rsid w:val="00E0299F"/>
    <w:rsid w:val="00E02D04"/>
    <w:rsid w:val="00E02F74"/>
    <w:rsid w:val="00E03165"/>
    <w:rsid w:val="00E03C3E"/>
    <w:rsid w:val="00E03DDE"/>
    <w:rsid w:val="00E04473"/>
    <w:rsid w:val="00E044A9"/>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282"/>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34A"/>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09EF"/>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2C53"/>
    <w:rsid w:val="00E53030"/>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272"/>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0F"/>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098"/>
    <w:rsid w:val="00E736F8"/>
    <w:rsid w:val="00E7373E"/>
    <w:rsid w:val="00E73F8A"/>
    <w:rsid w:val="00E7412D"/>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6C9"/>
    <w:rsid w:val="00E7794B"/>
    <w:rsid w:val="00E77F4F"/>
    <w:rsid w:val="00E8036D"/>
    <w:rsid w:val="00E808E5"/>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5D3"/>
    <w:rsid w:val="00E8493A"/>
    <w:rsid w:val="00E84CC7"/>
    <w:rsid w:val="00E84E3D"/>
    <w:rsid w:val="00E84F2A"/>
    <w:rsid w:val="00E84F59"/>
    <w:rsid w:val="00E85504"/>
    <w:rsid w:val="00E859B6"/>
    <w:rsid w:val="00E85AAC"/>
    <w:rsid w:val="00E85C53"/>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21"/>
    <w:rsid w:val="00E95162"/>
    <w:rsid w:val="00E9526C"/>
    <w:rsid w:val="00E95280"/>
    <w:rsid w:val="00E9551B"/>
    <w:rsid w:val="00E9613D"/>
    <w:rsid w:val="00E963E3"/>
    <w:rsid w:val="00E966A7"/>
    <w:rsid w:val="00E968AF"/>
    <w:rsid w:val="00E96F2D"/>
    <w:rsid w:val="00E97282"/>
    <w:rsid w:val="00E9750C"/>
    <w:rsid w:val="00E977B5"/>
    <w:rsid w:val="00E97816"/>
    <w:rsid w:val="00E979FE"/>
    <w:rsid w:val="00E97D12"/>
    <w:rsid w:val="00EA0525"/>
    <w:rsid w:val="00EA05BA"/>
    <w:rsid w:val="00EA0C41"/>
    <w:rsid w:val="00EA12F8"/>
    <w:rsid w:val="00EA16C7"/>
    <w:rsid w:val="00EA1EFB"/>
    <w:rsid w:val="00EA22A7"/>
    <w:rsid w:val="00EA23A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32D"/>
    <w:rsid w:val="00EA661D"/>
    <w:rsid w:val="00EA67D1"/>
    <w:rsid w:val="00EA69A6"/>
    <w:rsid w:val="00EA6D71"/>
    <w:rsid w:val="00EA73A8"/>
    <w:rsid w:val="00EB0265"/>
    <w:rsid w:val="00EB0634"/>
    <w:rsid w:val="00EB0667"/>
    <w:rsid w:val="00EB08DC"/>
    <w:rsid w:val="00EB0CA5"/>
    <w:rsid w:val="00EB0D2C"/>
    <w:rsid w:val="00EB1648"/>
    <w:rsid w:val="00EB1683"/>
    <w:rsid w:val="00EB16B6"/>
    <w:rsid w:val="00EB1BFE"/>
    <w:rsid w:val="00EB1FCC"/>
    <w:rsid w:val="00EB2722"/>
    <w:rsid w:val="00EB31E1"/>
    <w:rsid w:val="00EB399B"/>
    <w:rsid w:val="00EB3A36"/>
    <w:rsid w:val="00EB3E28"/>
    <w:rsid w:val="00EB3F85"/>
    <w:rsid w:val="00EB424C"/>
    <w:rsid w:val="00EB4924"/>
    <w:rsid w:val="00EB4A9F"/>
    <w:rsid w:val="00EB5261"/>
    <w:rsid w:val="00EB535D"/>
    <w:rsid w:val="00EB565A"/>
    <w:rsid w:val="00EB5B69"/>
    <w:rsid w:val="00EB5ECE"/>
    <w:rsid w:val="00EB615E"/>
    <w:rsid w:val="00EB6245"/>
    <w:rsid w:val="00EB6B70"/>
    <w:rsid w:val="00EB7059"/>
    <w:rsid w:val="00EB7FF6"/>
    <w:rsid w:val="00EC032B"/>
    <w:rsid w:val="00EC094A"/>
    <w:rsid w:val="00EC0A05"/>
    <w:rsid w:val="00EC0B8A"/>
    <w:rsid w:val="00EC0EEF"/>
    <w:rsid w:val="00EC12A0"/>
    <w:rsid w:val="00EC1BE3"/>
    <w:rsid w:val="00EC2438"/>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E6E"/>
    <w:rsid w:val="00EC6493"/>
    <w:rsid w:val="00EC66F3"/>
    <w:rsid w:val="00EC6F00"/>
    <w:rsid w:val="00EC70A6"/>
    <w:rsid w:val="00EC74B2"/>
    <w:rsid w:val="00EC7C3E"/>
    <w:rsid w:val="00ED0107"/>
    <w:rsid w:val="00ED1109"/>
    <w:rsid w:val="00ED15C0"/>
    <w:rsid w:val="00ED1E47"/>
    <w:rsid w:val="00ED2381"/>
    <w:rsid w:val="00ED23E0"/>
    <w:rsid w:val="00ED2441"/>
    <w:rsid w:val="00ED32E4"/>
    <w:rsid w:val="00ED3BB8"/>
    <w:rsid w:val="00ED3EDE"/>
    <w:rsid w:val="00ED4075"/>
    <w:rsid w:val="00ED427B"/>
    <w:rsid w:val="00ED4A67"/>
    <w:rsid w:val="00ED4BFC"/>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4E0"/>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2AA5"/>
    <w:rsid w:val="00EE2AA6"/>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D4A"/>
    <w:rsid w:val="00EF3EED"/>
    <w:rsid w:val="00EF4648"/>
    <w:rsid w:val="00EF4959"/>
    <w:rsid w:val="00EF4D7B"/>
    <w:rsid w:val="00EF4E3B"/>
    <w:rsid w:val="00EF5270"/>
    <w:rsid w:val="00EF5619"/>
    <w:rsid w:val="00EF5929"/>
    <w:rsid w:val="00EF593A"/>
    <w:rsid w:val="00EF5D1E"/>
    <w:rsid w:val="00EF5E0E"/>
    <w:rsid w:val="00EF63A7"/>
    <w:rsid w:val="00EF6918"/>
    <w:rsid w:val="00EF6A1A"/>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020"/>
    <w:rsid w:val="00F024F2"/>
    <w:rsid w:val="00F02576"/>
    <w:rsid w:val="00F02974"/>
    <w:rsid w:val="00F02D08"/>
    <w:rsid w:val="00F03525"/>
    <w:rsid w:val="00F0367B"/>
    <w:rsid w:val="00F03D1B"/>
    <w:rsid w:val="00F03DA3"/>
    <w:rsid w:val="00F03E75"/>
    <w:rsid w:val="00F042BB"/>
    <w:rsid w:val="00F04371"/>
    <w:rsid w:val="00F0437A"/>
    <w:rsid w:val="00F04A44"/>
    <w:rsid w:val="00F05032"/>
    <w:rsid w:val="00F063E5"/>
    <w:rsid w:val="00F06521"/>
    <w:rsid w:val="00F066DC"/>
    <w:rsid w:val="00F06A63"/>
    <w:rsid w:val="00F06C58"/>
    <w:rsid w:val="00F06CB7"/>
    <w:rsid w:val="00F06EA4"/>
    <w:rsid w:val="00F06FF0"/>
    <w:rsid w:val="00F0720C"/>
    <w:rsid w:val="00F075A8"/>
    <w:rsid w:val="00F075F0"/>
    <w:rsid w:val="00F0770F"/>
    <w:rsid w:val="00F07788"/>
    <w:rsid w:val="00F07956"/>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49A6"/>
    <w:rsid w:val="00F15348"/>
    <w:rsid w:val="00F15B30"/>
    <w:rsid w:val="00F15D63"/>
    <w:rsid w:val="00F15E7C"/>
    <w:rsid w:val="00F15F4A"/>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0EE"/>
    <w:rsid w:val="00F254F3"/>
    <w:rsid w:val="00F258D4"/>
    <w:rsid w:val="00F25A63"/>
    <w:rsid w:val="00F25EFC"/>
    <w:rsid w:val="00F2614D"/>
    <w:rsid w:val="00F26170"/>
    <w:rsid w:val="00F2647F"/>
    <w:rsid w:val="00F271AE"/>
    <w:rsid w:val="00F2732C"/>
    <w:rsid w:val="00F27382"/>
    <w:rsid w:val="00F276FD"/>
    <w:rsid w:val="00F2771D"/>
    <w:rsid w:val="00F279EC"/>
    <w:rsid w:val="00F27D20"/>
    <w:rsid w:val="00F27F1C"/>
    <w:rsid w:val="00F303CA"/>
    <w:rsid w:val="00F30464"/>
    <w:rsid w:val="00F30732"/>
    <w:rsid w:val="00F30D29"/>
    <w:rsid w:val="00F30EA3"/>
    <w:rsid w:val="00F3122E"/>
    <w:rsid w:val="00F312A0"/>
    <w:rsid w:val="00F320F6"/>
    <w:rsid w:val="00F32346"/>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6111"/>
    <w:rsid w:val="00F36CE9"/>
    <w:rsid w:val="00F36F5D"/>
    <w:rsid w:val="00F36FBD"/>
    <w:rsid w:val="00F375CA"/>
    <w:rsid w:val="00F37B47"/>
    <w:rsid w:val="00F37EC6"/>
    <w:rsid w:val="00F40542"/>
    <w:rsid w:val="00F4090F"/>
    <w:rsid w:val="00F41825"/>
    <w:rsid w:val="00F41A91"/>
    <w:rsid w:val="00F41B2E"/>
    <w:rsid w:val="00F420A3"/>
    <w:rsid w:val="00F42187"/>
    <w:rsid w:val="00F4233B"/>
    <w:rsid w:val="00F42865"/>
    <w:rsid w:val="00F42A28"/>
    <w:rsid w:val="00F42DA8"/>
    <w:rsid w:val="00F4305C"/>
    <w:rsid w:val="00F431E2"/>
    <w:rsid w:val="00F438D8"/>
    <w:rsid w:val="00F43919"/>
    <w:rsid w:val="00F43E15"/>
    <w:rsid w:val="00F44218"/>
    <w:rsid w:val="00F44A6F"/>
    <w:rsid w:val="00F452BB"/>
    <w:rsid w:val="00F45318"/>
    <w:rsid w:val="00F456F8"/>
    <w:rsid w:val="00F4679D"/>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574"/>
    <w:rsid w:val="00F56C99"/>
    <w:rsid w:val="00F5741D"/>
    <w:rsid w:val="00F5765F"/>
    <w:rsid w:val="00F578F4"/>
    <w:rsid w:val="00F57C99"/>
    <w:rsid w:val="00F60B00"/>
    <w:rsid w:val="00F60C18"/>
    <w:rsid w:val="00F60CC5"/>
    <w:rsid w:val="00F61405"/>
    <w:rsid w:val="00F61417"/>
    <w:rsid w:val="00F614F6"/>
    <w:rsid w:val="00F61F06"/>
    <w:rsid w:val="00F61FA3"/>
    <w:rsid w:val="00F626DC"/>
    <w:rsid w:val="00F62C91"/>
    <w:rsid w:val="00F62C9B"/>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275"/>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CE9"/>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D62"/>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5327"/>
    <w:rsid w:val="00F96450"/>
    <w:rsid w:val="00F964B6"/>
    <w:rsid w:val="00F96548"/>
    <w:rsid w:val="00F9686A"/>
    <w:rsid w:val="00F96DD1"/>
    <w:rsid w:val="00F9705B"/>
    <w:rsid w:val="00F971D6"/>
    <w:rsid w:val="00F973C8"/>
    <w:rsid w:val="00F97549"/>
    <w:rsid w:val="00F97BB0"/>
    <w:rsid w:val="00F97FF1"/>
    <w:rsid w:val="00FA0202"/>
    <w:rsid w:val="00FA028E"/>
    <w:rsid w:val="00FA0574"/>
    <w:rsid w:val="00FA07C3"/>
    <w:rsid w:val="00FA0A59"/>
    <w:rsid w:val="00FA0A75"/>
    <w:rsid w:val="00FA0DA8"/>
    <w:rsid w:val="00FA131D"/>
    <w:rsid w:val="00FA15B7"/>
    <w:rsid w:val="00FA16D5"/>
    <w:rsid w:val="00FA19D7"/>
    <w:rsid w:val="00FA1BAD"/>
    <w:rsid w:val="00FA28AC"/>
    <w:rsid w:val="00FA28BB"/>
    <w:rsid w:val="00FA2943"/>
    <w:rsid w:val="00FA2C37"/>
    <w:rsid w:val="00FA2DB8"/>
    <w:rsid w:val="00FA2F99"/>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1BB"/>
    <w:rsid w:val="00FA73AB"/>
    <w:rsid w:val="00FA76A0"/>
    <w:rsid w:val="00FA78BC"/>
    <w:rsid w:val="00FA7B3E"/>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4C4"/>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0DE"/>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D7236"/>
    <w:rsid w:val="00FE030A"/>
    <w:rsid w:val="00FE058A"/>
    <w:rsid w:val="00FE0BC7"/>
    <w:rsid w:val="00FE1081"/>
    <w:rsid w:val="00FE1708"/>
    <w:rsid w:val="00FE2123"/>
    <w:rsid w:val="00FE217D"/>
    <w:rsid w:val="00FE2621"/>
    <w:rsid w:val="00FE2751"/>
    <w:rsid w:val="00FE2903"/>
    <w:rsid w:val="00FE346A"/>
    <w:rsid w:val="00FE3ADB"/>
    <w:rsid w:val="00FE4234"/>
    <w:rsid w:val="00FE4339"/>
    <w:rsid w:val="00FE462B"/>
    <w:rsid w:val="00FE4938"/>
    <w:rsid w:val="00FE4989"/>
    <w:rsid w:val="00FE4E52"/>
    <w:rsid w:val="00FE5DA5"/>
    <w:rsid w:val="00FE5F5B"/>
    <w:rsid w:val="00FE60DD"/>
    <w:rsid w:val="00FE6130"/>
    <w:rsid w:val="00FE681B"/>
    <w:rsid w:val="00FE691B"/>
    <w:rsid w:val="00FE6D68"/>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A23"/>
    <w:rsid w:val="00FF3B9E"/>
    <w:rsid w:val="00FF3BCD"/>
    <w:rsid w:val="00FF46F0"/>
    <w:rsid w:val="00FF473A"/>
    <w:rsid w:val="00FF4E3F"/>
    <w:rsid w:val="00FF57D9"/>
    <w:rsid w:val="00FF5BB0"/>
    <w:rsid w:val="00FF5C3F"/>
    <w:rsid w:val="00FF66DB"/>
    <w:rsid w:val="00FF6717"/>
    <w:rsid w:val="00FF686C"/>
    <w:rsid w:val="00FF69B4"/>
    <w:rsid w:val="00FF728A"/>
    <w:rsid w:val="00FF7738"/>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FA97F1D3-3000-462D-88C6-89818926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uiPriority w:val="9"/>
    <w:qFormat/>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paragraph" w:styleId="Heading7">
    <w:name w:val="heading 7"/>
    <w:basedOn w:val="Normal"/>
    <w:next w:val="Normal"/>
    <w:link w:val="Heading7Char"/>
    <w:uiPriority w:val="9"/>
    <w:unhideWhenUsed/>
    <w:qFormat/>
    <w:rsid w:val="00AF6145"/>
    <w:pPr>
      <w:keepNext/>
      <w:keepLines/>
      <w:tabs>
        <w:tab w:val="clear" w:pos="567"/>
      </w:tabs>
      <w:snapToGrid/>
      <w:spacing w:before="200" w:after="0"/>
      <w:jc w:val="left"/>
      <w:outlineLvl w:val="6"/>
    </w:pPr>
    <w:rPr>
      <w:rFonts w:asciiTheme="majorHAnsi" w:eastAsiaTheme="majorEastAsia" w:hAnsiTheme="majorHAnsi" w:cstheme="majorBidi"/>
      <w:i/>
      <w:iCs/>
      <w:snapToGrid/>
      <w:color w:val="404040" w:themeColor="text1" w:themeTint="BF"/>
      <w:sz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basedOn w:val="DefaultParagraphFont"/>
    <w:uiPriority w:val="99"/>
    <w:semiHidden/>
    <w:rsid w:val="00BF597C"/>
    <w:rPr>
      <w:rFonts w:ascii="Lucida Grande" w:hAnsi="Lucida Grande"/>
      <w:sz w:val="18"/>
      <w:szCs w:val="18"/>
    </w:rPr>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uiPriority w:val="9"/>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3"/>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1"/>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2"/>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uiPriority w:val="99"/>
    <w:rsid w:val="006A23D9"/>
    <w:rPr>
      <w:rFonts w:ascii="Arial" w:eastAsia="SimSun" w:hAnsi="Arial" w:cs="Arial"/>
      <w:snapToGrid w:val="0"/>
      <w:sz w:val="16"/>
      <w:lang w:val="en-US" w:eastAsia="zh-CN"/>
    </w:rPr>
  </w:style>
  <w:style w:type="character" w:styleId="FootnoteReference">
    <w:name w:val="footnote reference"/>
    <w:uiPriority w:val="99"/>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character" w:customStyle="1" w:styleId="BalloonTextChar1">
    <w:name w:val="Balloon Text Char1"/>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uiPriority w:val="99"/>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4"/>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5"/>
      </w:numPr>
    </w:pPr>
  </w:style>
  <w:style w:type="character" w:customStyle="1" w:styleId="nutiretCar">
    <w:name w:val="Énutiret Car"/>
    <w:link w:val="nutiret"/>
    <w:rsid w:val="00265FE9"/>
    <w:rPr>
      <w:rFonts w:ascii="Arial" w:eastAsia="SimSun" w:hAnsi="Arial" w:cs="Arial"/>
      <w:sz w:val="20"/>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qFormat/>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ind w:left="0"/>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uiPriority w:val="99"/>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10"/>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7"/>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6"/>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8"/>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sz w:val="20"/>
      <w:szCs w:val="2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7F6426"/>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lang w:val="en-GB"/>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ind w:left="0"/>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1"/>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paragraph" w:styleId="ListParagraph">
    <w:name w:val="List Paragraph"/>
    <w:basedOn w:val="Normal"/>
    <w:uiPriority w:val="34"/>
    <w:qFormat/>
    <w:rsid w:val="00BC0057"/>
    <w:pPr>
      <w:ind w:left="720"/>
    </w:pPr>
  </w:style>
  <w:style w:type="paragraph" w:customStyle="1" w:styleId="Txtjourne0">
    <w:name w:val="Txt journée"/>
    <w:basedOn w:val="Tabltetiere"/>
    <w:rsid w:val="00035164"/>
    <w:pPr>
      <w:spacing w:line="280" w:lineRule="exact"/>
      <w:ind w:left="113"/>
      <w:jc w:val="left"/>
    </w:pPr>
    <w:rPr>
      <w:b w:val="0"/>
      <w:sz w:val="20"/>
    </w:rPr>
  </w:style>
  <w:style w:type="paragraph" w:styleId="EndnoteText">
    <w:name w:val="endnote text"/>
    <w:basedOn w:val="Normal"/>
    <w:link w:val="EndnoteTextChar"/>
    <w:semiHidden/>
    <w:unhideWhenUsed/>
    <w:rsid w:val="006033C7"/>
    <w:pPr>
      <w:spacing w:before="0" w:after="0"/>
    </w:pPr>
    <w:rPr>
      <w:sz w:val="20"/>
      <w:szCs w:val="20"/>
    </w:rPr>
  </w:style>
  <w:style w:type="character" w:customStyle="1" w:styleId="EndnoteTextChar">
    <w:name w:val="Endnote Text Char"/>
    <w:basedOn w:val="DefaultParagraphFont"/>
    <w:link w:val="EndnoteText"/>
    <w:semiHidden/>
    <w:rsid w:val="006033C7"/>
    <w:rPr>
      <w:rFonts w:ascii="Arial" w:eastAsia="SimSun" w:hAnsi="Arial" w:cs="Arial"/>
      <w:snapToGrid w:val="0"/>
      <w:sz w:val="20"/>
      <w:szCs w:val="20"/>
      <w:lang w:val="en-US" w:eastAsia="zh-CN"/>
    </w:rPr>
  </w:style>
  <w:style w:type="character" w:styleId="EndnoteReference">
    <w:name w:val="endnote reference"/>
    <w:basedOn w:val="DefaultParagraphFont"/>
    <w:semiHidden/>
    <w:unhideWhenUsed/>
    <w:rsid w:val="006033C7"/>
    <w:rPr>
      <w:vertAlign w:val="superscript"/>
    </w:rPr>
  </w:style>
  <w:style w:type="character" w:customStyle="1" w:styleId="Heading7Char">
    <w:name w:val="Heading 7 Char"/>
    <w:basedOn w:val="DefaultParagraphFont"/>
    <w:link w:val="Heading7"/>
    <w:uiPriority w:val="9"/>
    <w:rsid w:val="00AF6145"/>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475394">
      <w:bodyDiv w:val="1"/>
      <w:marLeft w:val="0"/>
      <w:marRight w:val="0"/>
      <w:marTop w:val="0"/>
      <w:marBottom w:val="0"/>
      <w:divBdr>
        <w:top w:val="none" w:sz="0" w:space="0" w:color="auto"/>
        <w:left w:val="none" w:sz="0" w:space="0" w:color="auto"/>
        <w:bottom w:val="none" w:sz="0" w:space="0" w:color="auto"/>
        <w:right w:val="none" w:sz="0" w:space="0" w:color="auto"/>
      </w:divBdr>
      <w:divsChild>
        <w:div w:id="524566075">
          <w:marLeft w:val="720"/>
          <w:marRight w:val="0"/>
          <w:marTop w:val="215"/>
          <w:marBottom w:val="0"/>
          <w:divBdr>
            <w:top w:val="none" w:sz="0" w:space="0" w:color="auto"/>
            <w:left w:val="none" w:sz="0" w:space="0" w:color="auto"/>
            <w:bottom w:val="none" w:sz="0" w:space="0" w:color="auto"/>
            <w:right w:val="none" w:sz="0" w:space="0" w:color="auto"/>
          </w:divBdr>
        </w:div>
        <w:div w:id="1583415367">
          <w:marLeft w:val="720"/>
          <w:marRight w:val="0"/>
          <w:marTop w:val="215"/>
          <w:marBottom w:val="0"/>
          <w:divBdr>
            <w:top w:val="none" w:sz="0" w:space="0" w:color="auto"/>
            <w:left w:val="none" w:sz="0" w:space="0" w:color="auto"/>
            <w:bottom w:val="none" w:sz="0" w:space="0" w:color="auto"/>
            <w:right w:val="none" w:sz="0" w:space="0" w:color="auto"/>
          </w:divBdr>
        </w:div>
        <w:div w:id="1677686997">
          <w:marLeft w:val="720"/>
          <w:marRight w:val="0"/>
          <w:marTop w:val="215"/>
          <w:marBottom w:val="0"/>
          <w:divBdr>
            <w:top w:val="none" w:sz="0" w:space="0" w:color="auto"/>
            <w:left w:val="none" w:sz="0" w:space="0" w:color="auto"/>
            <w:bottom w:val="none" w:sz="0" w:space="0" w:color="auto"/>
            <w:right w:val="none" w:sz="0" w:space="0" w:color="auto"/>
          </w:divBdr>
        </w:div>
        <w:div w:id="57746618">
          <w:marLeft w:val="720"/>
          <w:marRight w:val="0"/>
          <w:marTop w:val="215"/>
          <w:marBottom w:val="0"/>
          <w:divBdr>
            <w:top w:val="none" w:sz="0" w:space="0" w:color="auto"/>
            <w:left w:val="none" w:sz="0" w:space="0" w:color="auto"/>
            <w:bottom w:val="none" w:sz="0" w:space="0" w:color="auto"/>
            <w:right w:val="none" w:sz="0" w:space="0" w:color="auto"/>
          </w:divBdr>
        </w:div>
      </w:divsChild>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976376103">
      <w:bodyDiv w:val="1"/>
      <w:marLeft w:val="0"/>
      <w:marRight w:val="0"/>
      <w:marTop w:val="0"/>
      <w:marBottom w:val="0"/>
      <w:divBdr>
        <w:top w:val="none" w:sz="0" w:space="0" w:color="auto"/>
        <w:left w:val="none" w:sz="0" w:space="0" w:color="auto"/>
        <w:bottom w:val="none" w:sz="0" w:space="0" w:color="auto"/>
        <w:right w:val="none" w:sz="0" w:space="0" w:color="auto"/>
      </w:divBdr>
    </w:div>
    <w:div w:id="1070731681">
      <w:bodyDiv w:val="1"/>
      <w:marLeft w:val="0"/>
      <w:marRight w:val="0"/>
      <w:marTop w:val="0"/>
      <w:marBottom w:val="0"/>
      <w:divBdr>
        <w:top w:val="none" w:sz="0" w:space="0" w:color="auto"/>
        <w:left w:val="none" w:sz="0" w:space="0" w:color="auto"/>
        <w:bottom w:val="none" w:sz="0" w:space="0" w:color="auto"/>
        <w:right w:val="none" w:sz="0" w:space="0" w:color="auto"/>
      </w:divBdr>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2413639">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85868236">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portal.unesco.org/fr/ev.php-URL_ID=17716&amp;URL_DO=DO_TOPIC&amp;URL_SECTION=201.html"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wipo.int/export/sites/www/tk/en/culturalheritageresources/pdf/casestudies/arantes_report_vol2.pdf" TargetMode="External"/><Relationship Id="rId1" Type="http://schemas.openxmlformats.org/officeDocument/2006/relationships/hyperlink" Target="http://www.unesco.org/culture/ich/index.php?lg=fr&amp;pg=00503"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74B98-F882-4E29-AA36-2C08D78900D3}">
  <ds:schemaRefs>
    <ds:schemaRef ds:uri="http://schemas.openxmlformats.org/officeDocument/2006/bibliography"/>
  </ds:schemaRefs>
</ds:datastoreItem>
</file>

<file path=customXml/itemProps2.xml><?xml version="1.0" encoding="utf-8"?>
<ds:datastoreItem xmlns:ds="http://schemas.openxmlformats.org/officeDocument/2006/customXml" ds:itemID="{4CECB445-5F09-4403-A182-6B2BD2126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21</Pages>
  <Words>8430</Words>
  <Characters>46367</Characters>
  <Application>Microsoft Office Word</Application>
  <DocSecurity>0</DocSecurity>
  <Lines>386</Lines>
  <Paragraphs>109</Paragraphs>
  <ScaleCrop>false</ScaleCrop>
  <HeadingPairs>
    <vt:vector size="2" baseType="variant">
      <vt:variant>
        <vt:lpstr>Title</vt:lpstr>
      </vt:variant>
      <vt:variant>
        <vt:i4>1</vt:i4>
      </vt:variant>
    </vt:vector>
  </HeadingPairs>
  <TitlesOfParts>
    <vt:vector size="1" baseType="lpstr">
      <vt:lpstr>U017-v1.1-FN-FRA.docx</vt:lpstr>
    </vt:vector>
  </TitlesOfParts>
  <Company>Hewlett-Packard Company</Company>
  <LinksUpToDate>false</LinksUpToDate>
  <CharactersWithSpaces>54688</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U017-v1.1-FN-FRA.docx</dc:title>
  <dc:creator>Harriet</dc:creator>
  <cp:lastModifiedBy>Kim, Dain</cp:lastModifiedBy>
  <cp:revision>21</cp:revision>
  <cp:lastPrinted>2014-12-02T16:11:00Z</cp:lastPrinted>
  <dcterms:created xsi:type="dcterms:W3CDTF">2015-09-25T12:11:00Z</dcterms:created>
  <dcterms:modified xsi:type="dcterms:W3CDTF">2018-04-20T14:55:00Z</dcterms:modified>
</cp:coreProperties>
</file>