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36" w:rsidRPr="002402C9" w:rsidRDefault="00655736" w:rsidP="00655736">
      <w:pPr>
        <w:spacing w:before="144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2402C9">
        <w:rPr>
          <w:rFonts w:ascii="Arial" w:hAnsi="Arial" w:cs="Arial"/>
          <w:b/>
          <w:sz w:val="22"/>
          <w:szCs w:val="22"/>
          <w:lang w:val="ru-RU"/>
        </w:rPr>
        <w:t xml:space="preserve">КОНВЕНЦИЯ ОБ ОХРАНЕ </w:t>
      </w:r>
      <w:r w:rsidRPr="002402C9">
        <w:rPr>
          <w:lang w:val="ru-RU"/>
        </w:rPr>
        <w:br/>
      </w:r>
      <w:r w:rsidRPr="002402C9">
        <w:rPr>
          <w:rFonts w:ascii="Arial" w:hAnsi="Arial" w:cs="Arial"/>
          <w:b/>
          <w:sz w:val="22"/>
          <w:szCs w:val="22"/>
          <w:lang w:val="ru-RU"/>
        </w:rPr>
        <w:t>НЕМАТЕРИАЛЬНОГО КУЛЬТУРНОГО НАСЛЕДИЯ</w:t>
      </w:r>
    </w:p>
    <w:p w:rsidR="00655736" w:rsidRPr="002402C9" w:rsidRDefault="00D95C4C" w:rsidP="00655736">
      <w:pPr>
        <w:spacing w:before="120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2402C9">
        <w:rPr>
          <w:rFonts w:ascii="Arial" w:hAnsi="Arial" w:cs="Arial"/>
          <w:b/>
          <w:sz w:val="22"/>
          <w:szCs w:val="22"/>
          <w:lang w:val="ru-RU"/>
        </w:rPr>
        <w:t>ГЕНЕРАЛЬНАЯ АССАМБЛЕЯ ГОСУДАРСТВ – УЧАСТНИКОВ КОНВЕНЦИИ</w:t>
      </w:r>
    </w:p>
    <w:p w:rsidR="00D95C4C" w:rsidRPr="00EE1592" w:rsidRDefault="00317566" w:rsidP="00D95C4C">
      <w:pPr>
        <w:spacing w:before="84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EE1592">
        <w:rPr>
          <w:rFonts w:ascii="Arial" w:hAnsi="Arial" w:cs="Arial"/>
          <w:b/>
          <w:sz w:val="22"/>
          <w:szCs w:val="22"/>
          <w:lang w:val="ru-RU"/>
        </w:rPr>
        <w:t xml:space="preserve">Шестая </w:t>
      </w:r>
      <w:r w:rsidR="000765F7" w:rsidRPr="00EE1592">
        <w:rPr>
          <w:rFonts w:ascii="Arial" w:hAnsi="Arial" w:cs="Arial"/>
          <w:b/>
          <w:sz w:val="22"/>
          <w:szCs w:val="22"/>
          <w:lang w:val="ru-RU"/>
        </w:rPr>
        <w:t>сессия</w:t>
      </w:r>
    </w:p>
    <w:p w:rsidR="00D95C4C" w:rsidRPr="00EE1592" w:rsidRDefault="00D95C4C" w:rsidP="00D95C4C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EE1592">
        <w:rPr>
          <w:rFonts w:ascii="Arial" w:hAnsi="Arial" w:cs="Arial"/>
          <w:b/>
          <w:sz w:val="22"/>
          <w:szCs w:val="22"/>
          <w:lang w:val="ru-RU"/>
        </w:rPr>
        <w:t>Штаб-квартира ЮНЕСКО, зал II</w:t>
      </w:r>
    </w:p>
    <w:p w:rsidR="00655736" w:rsidRPr="002402C9" w:rsidRDefault="00317566" w:rsidP="00D95C4C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EE1592">
        <w:rPr>
          <w:rFonts w:ascii="Arial" w:hAnsi="Arial" w:cs="Arial"/>
          <w:b/>
          <w:sz w:val="22"/>
          <w:szCs w:val="22"/>
          <w:lang w:val="ru-RU"/>
        </w:rPr>
        <w:t xml:space="preserve">30 мая </w:t>
      </w:r>
      <w:r w:rsidR="004A34A0" w:rsidRPr="00EE1592">
        <w:rPr>
          <w:rFonts w:ascii="Arial" w:hAnsi="Arial" w:cs="Arial"/>
          <w:b/>
          <w:sz w:val="22"/>
          <w:szCs w:val="22"/>
          <w:lang w:val="ru-RU"/>
        </w:rPr>
        <w:t xml:space="preserve">– </w:t>
      </w:r>
      <w:r w:rsidRPr="00EE1592">
        <w:rPr>
          <w:rFonts w:ascii="Arial" w:hAnsi="Arial" w:cs="Arial"/>
          <w:b/>
          <w:sz w:val="22"/>
          <w:szCs w:val="22"/>
          <w:lang w:val="ru-RU"/>
        </w:rPr>
        <w:t>1</w:t>
      </w:r>
      <w:r w:rsidR="004A34A0" w:rsidRPr="00EE1592">
        <w:rPr>
          <w:rFonts w:ascii="Arial" w:hAnsi="Arial" w:cs="Arial"/>
          <w:b/>
          <w:sz w:val="22"/>
          <w:szCs w:val="22"/>
          <w:lang w:val="ru-RU"/>
        </w:rPr>
        <w:t xml:space="preserve"> июня 201</w:t>
      </w:r>
      <w:r w:rsidR="002F7512" w:rsidRPr="00EE1592">
        <w:rPr>
          <w:rFonts w:ascii="Arial" w:hAnsi="Arial" w:cs="Arial"/>
          <w:b/>
          <w:sz w:val="22"/>
          <w:szCs w:val="22"/>
          <w:lang w:val="ru-RU"/>
        </w:rPr>
        <w:t>6</w:t>
      </w:r>
      <w:r w:rsidR="004A34A0" w:rsidRPr="00161718">
        <w:rPr>
          <w:rFonts w:ascii="Arial" w:hAnsi="Arial" w:cs="Arial"/>
          <w:b/>
          <w:sz w:val="22"/>
          <w:szCs w:val="22"/>
          <w:lang w:val="ru-RU"/>
        </w:rPr>
        <w:t xml:space="preserve"> г.</w:t>
      </w:r>
    </w:p>
    <w:p w:rsidR="00655736" w:rsidRPr="002402C9" w:rsidRDefault="00655736" w:rsidP="00655736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2402C9">
        <w:rPr>
          <w:rFonts w:ascii="Arial" w:hAnsi="Arial" w:cs="Arial"/>
          <w:b/>
          <w:sz w:val="22"/>
          <w:szCs w:val="22"/>
          <w:u w:val="single"/>
          <w:lang w:val="ru-RU"/>
        </w:rPr>
        <w:t>Пункт</w:t>
      </w:r>
      <w:r w:rsidR="00757936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5 </w:t>
      </w:r>
      <w:r w:rsidRPr="002402C9">
        <w:rPr>
          <w:rFonts w:ascii="Arial" w:hAnsi="Arial" w:cs="Arial"/>
          <w:b/>
          <w:sz w:val="22"/>
          <w:szCs w:val="22"/>
          <w:u w:val="single"/>
          <w:lang w:val="ru-RU"/>
        </w:rPr>
        <w:t>предварительной повестки дня:</w:t>
      </w:r>
    </w:p>
    <w:p w:rsidR="00655736" w:rsidRPr="002402C9" w:rsidRDefault="00757936" w:rsidP="00655736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EE1592">
        <w:rPr>
          <w:rFonts w:ascii="Arial" w:hAnsi="Arial" w:cs="Arial"/>
          <w:b/>
          <w:sz w:val="22"/>
          <w:szCs w:val="22"/>
          <w:lang w:val="ru-RU"/>
        </w:rPr>
        <w:t>Доклад Комитета Генеральной Ассамблее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655736" w:rsidRPr="00BD5F0E">
        <w:trPr>
          <w:jc w:val="center"/>
        </w:trPr>
        <w:tc>
          <w:tcPr>
            <w:tcW w:w="7825" w:type="dxa"/>
            <w:vAlign w:val="center"/>
          </w:tcPr>
          <w:p w:rsidR="0057439C" w:rsidRPr="002402C9" w:rsidRDefault="0057439C" w:rsidP="005B7A35">
            <w:pPr>
              <w:pStyle w:val="Sansinterligne1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402C9">
              <w:rPr>
                <w:rFonts w:ascii="Arial" w:hAnsi="Arial" w:cs="Arial"/>
                <w:b/>
                <w:sz w:val="22"/>
                <w:szCs w:val="22"/>
                <w:lang w:val="ru-RU"/>
              </w:rPr>
              <w:t>Содержание</w:t>
            </w:r>
          </w:p>
          <w:p w:rsidR="0057439C" w:rsidRPr="002402C9" w:rsidRDefault="005B3D05" w:rsidP="005B7A35">
            <w:pPr>
              <w:pStyle w:val="Sansinterligne1"/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В соответствии со статьёй 30.1 Конвенции об охране нематериального культурного наследия «Комитет представляет ка</w:t>
            </w:r>
            <w:r w:rsidR="00602E41">
              <w:rPr>
                <w:rFonts w:ascii="Arial" w:hAnsi="Arial" w:cs="Arial"/>
                <w:bCs/>
                <w:sz w:val="22"/>
                <w:szCs w:val="22"/>
                <w:lang w:val="ru-RU"/>
              </w:rPr>
              <w:t>ждой сессии Генеральной ассамблеи доклад, подготавливаемый на основе его деятельности и докладов государств-участников…»</w:t>
            </w:r>
            <w:r w:rsidR="008B6EC7">
              <w:rPr>
                <w:rFonts w:ascii="Arial" w:hAnsi="Arial" w:cs="Arial"/>
                <w:bCs/>
                <w:sz w:val="22"/>
                <w:szCs w:val="22"/>
                <w:lang w:val="ru-RU"/>
              </w:rPr>
              <w:t>. Настоящий документ содержит доклад Комитета</w:t>
            </w:r>
            <w:r w:rsidR="00E254D3">
              <w:rPr>
                <w:rFonts w:ascii="Arial" w:hAnsi="Arial" w:cs="Arial"/>
                <w:bCs/>
                <w:sz w:val="22"/>
                <w:szCs w:val="22"/>
                <w:lang w:val="ru-RU"/>
              </w:rPr>
              <w:t>, основанный на е</w:t>
            </w:r>
            <w:r w:rsidR="008B6EC7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го деятельности в период </w:t>
            </w:r>
            <w:r w:rsidR="00065350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с июня 2014 г. по июнь 2016 г. и докладах </w:t>
            </w:r>
            <w:r w:rsidR="00E254D3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государств-участников, </w:t>
            </w:r>
            <w:r w:rsidR="008207BC">
              <w:rPr>
                <w:rFonts w:ascii="Arial" w:hAnsi="Arial" w:cs="Arial"/>
                <w:bCs/>
                <w:sz w:val="22"/>
                <w:szCs w:val="22"/>
                <w:lang w:val="ru-RU"/>
              </w:rPr>
              <w:t>принятых на его девятой и десятой сессиях.</w:t>
            </w:r>
          </w:p>
          <w:p w:rsidR="00655736" w:rsidRPr="002402C9" w:rsidRDefault="0057439C" w:rsidP="005B3D05">
            <w:pPr>
              <w:pStyle w:val="Sansinterligne2"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402C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Требуемое решение: </w:t>
            </w:r>
            <w:r w:rsidRPr="002402C9">
              <w:rPr>
                <w:rFonts w:ascii="Arial" w:hAnsi="Arial" w:cs="Arial"/>
                <w:bCs/>
                <w:sz w:val="22"/>
                <w:szCs w:val="22"/>
                <w:lang w:val="ru-RU"/>
              </w:rPr>
              <w:t>пункт</w:t>
            </w:r>
            <w:r w:rsidR="005B3D05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3.</w:t>
            </w:r>
          </w:p>
        </w:tc>
      </w:tr>
    </w:tbl>
    <w:p w:rsidR="0057439C" w:rsidRPr="002402C9" w:rsidRDefault="00655736" w:rsidP="00EE1592">
      <w:pPr>
        <w:pStyle w:val="GAPara"/>
        <w:jc w:val="both"/>
        <w:rPr>
          <w:lang w:val="ru-RU"/>
        </w:rPr>
      </w:pPr>
      <w:r w:rsidRPr="002402C9">
        <w:rPr>
          <w:lang w:val="ru-RU"/>
        </w:rPr>
        <w:br w:type="page"/>
      </w:r>
      <w:r w:rsidR="00013FF7">
        <w:rPr>
          <w:lang w:val="ru-RU"/>
        </w:rPr>
        <w:lastRenderedPageBreak/>
        <w:t>Согласно статье 30.1 Конвенции об охране нематериального культурного наследия 2003</w:t>
      </w:r>
      <w:r w:rsidR="007700A3">
        <w:rPr>
          <w:lang w:val="ru-RU"/>
        </w:rPr>
        <w:t> </w:t>
      </w:r>
      <w:r w:rsidR="00013FF7">
        <w:rPr>
          <w:lang w:val="ru-RU"/>
        </w:rPr>
        <w:t>г. «Комитет представляет каждой сессии Генеральной ассамблеи доклад, подготавливаемый на основе его деятельности и докладов государств-участников…»</w:t>
      </w:r>
      <w:r w:rsidR="007700A3">
        <w:rPr>
          <w:lang w:val="ru-RU"/>
        </w:rPr>
        <w:t xml:space="preserve">, а в статье 30.2 отмечается, что «этот доклад доводится до сведения Генеральной конференции ЮНЕСКО». </w:t>
      </w:r>
      <w:r w:rsidR="00537075">
        <w:rPr>
          <w:lang w:val="ru-RU"/>
        </w:rPr>
        <w:t>Настоящий документ в приложении к проекту резолюции содержит</w:t>
      </w:r>
      <w:r w:rsidR="007700A3">
        <w:rPr>
          <w:lang w:val="ru-RU"/>
        </w:rPr>
        <w:t xml:space="preserve"> доклад Комитета, основанный на его деятельности в период с июня 2014 г. по июнь 2016 г.</w:t>
      </w:r>
      <w:r w:rsidR="00537075" w:rsidRPr="00537075">
        <w:rPr>
          <w:rFonts w:eastAsia="Arial"/>
          <w:lang w:val="ru-RU"/>
        </w:rPr>
        <w:t xml:space="preserve"> </w:t>
      </w:r>
      <w:r w:rsidR="00537075">
        <w:rPr>
          <w:rFonts w:eastAsia="Arial"/>
          <w:lang w:val="ru-RU"/>
        </w:rPr>
        <w:t>и докладах государств-участников, принятых на его девятой и десятой сессиях.</w:t>
      </w:r>
    </w:p>
    <w:p w:rsidR="0057439C" w:rsidRPr="002402C9" w:rsidRDefault="0066473B" w:rsidP="00EE1592">
      <w:pPr>
        <w:pStyle w:val="GAPara"/>
        <w:jc w:val="both"/>
        <w:rPr>
          <w:lang w:val="ru-RU"/>
        </w:rPr>
      </w:pPr>
      <w:r>
        <w:rPr>
          <w:lang w:val="ru-RU"/>
        </w:rPr>
        <w:t xml:space="preserve">Данный доклад следует рассматривать совместно с докладом Секретариата о </w:t>
      </w:r>
      <w:r w:rsidR="00013CA0">
        <w:rPr>
          <w:lang w:val="ru-RU"/>
        </w:rPr>
        <w:t>своей</w:t>
      </w:r>
      <w:r>
        <w:rPr>
          <w:lang w:val="ru-RU"/>
        </w:rPr>
        <w:t xml:space="preserve"> деятельности</w:t>
      </w:r>
      <w:r w:rsidR="007469BC">
        <w:rPr>
          <w:lang w:val="ru-RU"/>
        </w:rPr>
        <w:t xml:space="preserve"> и приложениями к нему, касающимися </w:t>
      </w:r>
      <w:r w:rsidR="001D148E">
        <w:rPr>
          <w:lang w:val="ru-RU"/>
        </w:rPr>
        <w:t xml:space="preserve">проведения </w:t>
      </w:r>
      <w:r w:rsidR="00161718">
        <w:rPr>
          <w:lang w:val="ru-RU"/>
        </w:rPr>
        <w:t xml:space="preserve">аудита и </w:t>
      </w:r>
      <w:r w:rsidR="001D148E">
        <w:rPr>
          <w:lang w:val="ru-RU"/>
        </w:rPr>
        <w:t>оцен</w:t>
      </w:r>
      <w:r w:rsidR="00161718">
        <w:rPr>
          <w:lang w:val="ru-RU"/>
        </w:rPr>
        <w:t xml:space="preserve">ки деятельности </w:t>
      </w:r>
      <w:r w:rsidR="002B393A">
        <w:rPr>
          <w:lang w:val="ru-RU"/>
        </w:rPr>
        <w:t>(документ </w:t>
      </w:r>
      <w:r w:rsidR="002B393A">
        <w:rPr>
          <w:rFonts w:eastAsia="Arial"/>
        </w:rPr>
        <w:t>ITH</w:t>
      </w:r>
      <w:r w:rsidR="002B393A" w:rsidRPr="002B393A">
        <w:rPr>
          <w:rFonts w:eastAsia="Arial"/>
          <w:lang w:val="ru-RU"/>
        </w:rPr>
        <w:t>/16/6.</w:t>
      </w:r>
      <w:r w:rsidR="002B393A">
        <w:rPr>
          <w:rFonts w:eastAsia="Arial"/>
        </w:rPr>
        <w:t>GA</w:t>
      </w:r>
      <w:r w:rsidR="002B393A" w:rsidRPr="002B393A">
        <w:rPr>
          <w:rFonts w:eastAsia="Arial"/>
          <w:lang w:val="ru-RU"/>
        </w:rPr>
        <w:t>/6)</w:t>
      </w:r>
      <w:r w:rsidR="002B393A">
        <w:rPr>
          <w:rFonts w:eastAsia="Arial"/>
          <w:lang w:val="ru-RU"/>
        </w:rPr>
        <w:t xml:space="preserve">, а также </w:t>
      </w:r>
      <w:r w:rsidR="00013CA0">
        <w:rPr>
          <w:rFonts w:eastAsia="Arial"/>
          <w:lang w:val="ru-RU"/>
        </w:rPr>
        <w:t xml:space="preserve">финансовым отчётом Фонда </w:t>
      </w:r>
      <w:r w:rsidR="001B5E56">
        <w:rPr>
          <w:rFonts w:eastAsia="Arial"/>
          <w:lang w:val="ru-RU"/>
        </w:rPr>
        <w:t xml:space="preserve">нематериального культурного наследия </w:t>
      </w:r>
      <w:r w:rsidR="0050756B" w:rsidRPr="0050756B">
        <w:rPr>
          <w:rFonts w:eastAsia="Arial"/>
          <w:lang w:val="ru-RU"/>
        </w:rPr>
        <w:t>(</w:t>
      </w:r>
      <w:r w:rsidR="0050756B">
        <w:rPr>
          <w:rFonts w:eastAsia="Arial"/>
          <w:lang w:val="ru-RU"/>
        </w:rPr>
        <w:t>документ</w:t>
      </w:r>
      <w:r w:rsidR="0050756B">
        <w:rPr>
          <w:rFonts w:eastAsia="Arial"/>
        </w:rPr>
        <w:t> </w:t>
      </w:r>
      <w:r w:rsidR="0050756B" w:rsidRPr="00CC4A67">
        <w:rPr>
          <w:rFonts w:eastAsia="Arial"/>
        </w:rPr>
        <w:t>ITH</w:t>
      </w:r>
      <w:r w:rsidR="0050756B" w:rsidRPr="0050756B">
        <w:rPr>
          <w:rFonts w:eastAsia="Arial"/>
          <w:lang w:val="ru-RU"/>
        </w:rPr>
        <w:t>/16/6.</w:t>
      </w:r>
      <w:r w:rsidR="0050756B" w:rsidRPr="00CC4A67">
        <w:rPr>
          <w:rFonts w:eastAsia="Arial"/>
        </w:rPr>
        <w:t>GA</w:t>
      </w:r>
      <w:r w:rsidR="0050756B" w:rsidRPr="0050756B">
        <w:rPr>
          <w:rFonts w:eastAsia="Arial"/>
          <w:lang w:val="ru-RU"/>
        </w:rPr>
        <w:t>/</w:t>
      </w:r>
      <w:r w:rsidR="0050756B" w:rsidRPr="00CC4A67">
        <w:rPr>
          <w:rFonts w:eastAsia="Arial"/>
        </w:rPr>
        <w:t>INF</w:t>
      </w:r>
      <w:r w:rsidR="0050756B" w:rsidRPr="0050756B">
        <w:rPr>
          <w:rFonts w:eastAsia="Arial"/>
          <w:lang w:val="ru-RU"/>
        </w:rPr>
        <w:t>.9.1).</w:t>
      </w:r>
    </w:p>
    <w:p w:rsidR="00783782" w:rsidRPr="0066473B" w:rsidRDefault="0066473B" w:rsidP="00041A66">
      <w:pPr>
        <w:pStyle w:val="GAPara"/>
        <w:rPr>
          <w:lang w:val="ru-RU"/>
        </w:rPr>
      </w:pPr>
      <w:r w:rsidRPr="0066473B">
        <w:rPr>
          <w:lang w:val="ru-RU"/>
        </w:rPr>
        <w:t>Генеральной ассамблее предлагается принять следующую резолюцию</w:t>
      </w:r>
      <w:r>
        <w:rPr>
          <w:lang w:val="ru-RU"/>
        </w:rPr>
        <w:t>:</w:t>
      </w:r>
    </w:p>
    <w:p w:rsidR="00D95C4C" w:rsidRPr="002402C9" w:rsidRDefault="004A34A0" w:rsidP="00041A66">
      <w:pPr>
        <w:pStyle w:val="GATitleResolution"/>
        <w:rPr>
          <w:rFonts w:eastAsia="SimSun"/>
          <w:lang w:val="ru-RU"/>
        </w:rPr>
      </w:pPr>
      <w:r w:rsidRPr="002402C9">
        <w:rPr>
          <w:lang w:val="ru-RU"/>
        </w:rPr>
        <w:t xml:space="preserve">ПРОЕКТ </w:t>
      </w:r>
      <w:r w:rsidR="00AB0A78">
        <w:rPr>
          <w:lang w:val="ru-RU"/>
        </w:rPr>
        <w:t>РЕЗОЛЮЦИИ</w:t>
      </w:r>
      <w:r w:rsidR="00AB0A78" w:rsidRPr="002402C9">
        <w:rPr>
          <w:lang w:val="ru-RU"/>
        </w:rPr>
        <w:t xml:space="preserve"> </w:t>
      </w:r>
      <w:r w:rsidR="002F7512" w:rsidRPr="00C43C73">
        <w:rPr>
          <w:lang w:val="ru-RU"/>
        </w:rPr>
        <w:t>6</w:t>
      </w:r>
      <w:r w:rsidRPr="002402C9">
        <w:rPr>
          <w:lang w:val="ru-RU"/>
        </w:rPr>
        <w:t>.GA</w:t>
      </w:r>
      <w:r w:rsidR="0066473B">
        <w:rPr>
          <w:lang w:val="ru-RU"/>
        </w:rPr>
        <w:t xml:space="preserve"> 5</w:t>
      </w:r>
    </w:p>
    <w:p w:rsidR="00D95C4C" w:rsidRPr="002402C9" w:rsidRDefault="00D95C4C" w:rsidP="00041A66">
      <w:pPr>
        <w:pStyle w:val="GAPreambulaResolution"/>
        <w:rPr>
          <w:rFonts w:eastAsia="SimSun"/>
          <w:lang w:val="ru-RU"/>
        </w:rPr>
      </w:pPr>
      <w:r w:rsidRPr="002402C9">
        <w:rPr>
          <w:lang w:val="ru-RU"/>
        </w:rPr>
        <w:t xml:space="preserve">Генеральная </w:t>
      </w:r>
      <w:r w:rsidR="004653D1">
        <w:rPr>
          <w:lang w:val="ru-RU"/>
        </w:rPr>
        <w:t>а</w:t>
      </w:r>
      <w:r w:rsidRPr="002402C9">
        <w:rPr>
          <w:lang w:val="ru-RU"/>
        </w:rPr>
        <w:t>ссамблея,</w:t>
      </w:r>
    </w:p>
    <w:p w:rsidR="0057439C" w:rsidRPr="00D85D0B" w:rsidRDefault="00D95C4C" w:rsidP="00345CB4">
      <w:pPr>
        <w:pStyle w:val="GAParaResolution"/>
        <w:rPr>
          <w:lang w:val="ru-RU"/>
        </w:rPr>
      </w:pPr>
      <w:r w:rsidRPr="00D85D0B">
        <w:rPr>
          <w:lang w:val="ru-RU"/>
        </w:rPr>
        <w:t>Рассмотрев</w:t>
      </w:r>
      <w:r w:rsidR="002F64C9" w:rsidRPr="00D85D0B">
        <w:rPr>
          <w:u w:val="none"/>
          <w:lang w:val="ru-RU"/>
        </w:rPr>
        <w:t xml:space="preserve"> </w:t>
      </w:r>
      <w:r w:rsidRPr="00D85D0B">
        <w:rPr>
          <w:u w:val="none"/>
          <w:lang w:val="ru-RU"/>
        </w:rPr>
        <w:t xml:space="preserve">документ </w:t>
      </w:r>
      <w:r w:rsidR="007B7276" w:rsidRPr="00D85D0B">
        <w:rPr>
          <w:u w:val="none"/>
        </w:rPr>
        <w:t>ITH/16/6.GA/5</w:t>
      </w:r>
      <w:r w:rsidRPr="00D85D0B">
        <w:rPr>
          <w:u w:val="none"/>
          <w:lang w:val="ru-RU"/>
        </w:rPr>
        <w:t>,</w:t>
      </w:r>
    </w:p>
    <w:p w:rsidR="0057439C" w:rsidRPr="00D85D0B" w:rsidRDefault="00AB0A78" w:rsidP="00345CB4">
      <w:pPr>
        <w:pStyle w:val="GAParaResolution"/>
        <w:rPr>
          <w:lang w:val="ru-RU"/>
        </w:rPr>
      </w:pPr>
      <w:r w:rsidRPr="00D85D0B">
        <w:rPr>
          <w:lang w:val="ru-RU"/>
        </w:rPr>
        <w:t>Ссылаясь</w:t>
      </w:r>
      <w:r w:rsidRPr="00D85D0B">
        <w:rPr>
          <w:u w:val="none"/>
          <w:lang w:val="ru-RU"/>
        </w:rPr>
        <w:t xml:space="preserve"> </w:t>
      </w:r>
      <w:r w:rsidR="004653D1" w:rsidRPr="00D85D0B">
        <w:rPr>
          <w:u w:val="none"/>
          <w:lang w:val="ru-RU"/>
        </w:rPr>
        <w:t>на статью 30 Конвенции</w:t>
      </w:r>
      <w:r w:rsidR="0057439C" w:rsidRPr="00D85D0B">
        <w:rPr>
          <w:u w:val="none"/>
          <w:lang w:val="ru-RU"/>
        </w:rPr>
        <w:t>,</w:t>
      </w:r>
    </w:p>
    <w:p w:rsidR="00D95C4C" w:rsidRPr="00D85D0B" w:rsidRDefault="002F64C9" w:rsidP="00345CB4">
      <w:pPr>
        <w:pStyle w:val="GAParaResolution"/>
        <w:rPr>
          <w:lang w:val="ru-RU"/>
        </w:rPr>
      </w:pPr>
      <w:r w:rsidRPr="00D85D0B">
        <w:rPr>
          <w:lang w:val="ru-RU"/>
        </w:rPr>
        <w:t>Приветствует</w:t>
      </w:r>
      <w:r w:rsidRPr="00D85D0B">
        <w:rPr>
          <w:u w:val="none"/>
          <w:lang w:val="ru-RU"/>
        </w:rPr>
        <w:t xml:space="preserve"> </w:t>
      </w:r>
      <w:r w:rsidR="00161718" w:rsidRPr="00D85D0B">
        <w:rPr>
          <w:u w:val="none"/>
          <w:lang w:val="ru-RU"/>
        </w:rPr>
        <w:t xml:space="preserve">шесть </w:t>
      </w:r>
      <w:r w:rsidRPr="00D85D0B">
        <w:rPr>
          <w:u w:val="none"/>
          <w:lang w:val="ru-RU"/>
        </w:rPr>
        <w:t xml:space="preserve">государств – </w:t>
      </w:r>
      <w:r w:rsidR="00303A74" w:rsidRPr="00D85D0B">
        <w:rPr>
          <w:u w:val="none"/>
          <w:lang w:val="ru-RU"/>
        </w:rPr>
        <w:t xml:space="preserve">Гану, </w:t>
      </w:r>
      <w:r w:rsidR="00161718" w:rsidRPr="00D85D0B">
        <w:rPr>
          <w:u w:val="none"/>
          <w:lang w:val="ru-RU"/>
        </w:rPr>
        <w:t xml:space="preserve">Гвинею-Бисау, </w:t>
      </w:r>
      <w:r w:rsidR="00303A74" w:rsidRPr="00D85D0B">
        <w:rPr>
          <w:u w:val="none"/>
          <w:lang w:val="ru-RU"/>
        </w:rPr>
        <w:t xml:space="preserve">Ирландию, </w:t>
      </w:r>
      <w:r w:rsidRPr="00D85D0B">
        <w:rPr>
          <w:u w:val="none"/>
          <w:lang w:val="ru-RU"/>
        </w:rPr>
        <w:t>Кабо-Верде, Кувейт</w:t>
      </w:r>
      <w:r w:rsidR="00562D5C" w:rsidRPr="00D85D0B">
        <w:rPr>
          <w:u w:val="none"/>
          <w:lang w:val="ru-RU"/>
        </w:rPr>
        <w:t xml:space="preserve"> и Маршалловы острова</w:t>
      </w:r>
      <w:r w:rsidR="0056248D" w:rsidRPr="00D85D0B">
        <w:rPr>
          <w:u w:val="none"/>
          <w:lang w:val="ru-RU"/>
        </w:rPr>
        <w:t xml:space="preserve"> – которые ратифицировали Конвенцию после пятой сессии Генеральной ассамблеи, и выражает удовлетворение сохранением стабильного темпа ратификации</w:t>
      </w:r>
      <w:r w:rsidR="00925EC5" w:rsidRPr="00D85D0B">
        <w:rPr>
          <w:u w:val="none"/>
          <w:lang w:val="ru-RU"/>
        </w:rPr>
        <w:t>;</w:t>
      </w:r>
    </w:p>
    <w:p w:rsidR="00D95C4C" w:rsidRPr="002402C9" w:rsidRDefault="00925EC5" w:rsidP="00345CB4">
      <w:pPr>
        <w:pStyle w:val="GAParaResolution"/>
        <w:rPr>
          <w:lang w:val="ru-RU"/>
        </w:rPr>
      </w:pPr>
      <w:r w:rsidRPr="00D85D0B">
        <w:rPr>
          <w:lang w:val="ru-RU"/>
        </w:rPr>
        <w:t>Принимает к сведению</w:t>
      </w:r>
      <w:r w:rsidRPr="00D85D0B">
        <w:rPr>
          <w:u w:val="none"/>
          <w:lang w:val="ru-RU"/>
        </w:rPr>
        <w:t xml:space="preserve"> доклад Комитета Генеральной</w:t>
      </w:r>
      <w:r>
        <w:rPr>
          <w:u w:val="none"/>
          <w:lang w:val="ru-RU"/>
        </w:rPr>
        <w:t xml:space="preserve"> ассамблее о своей деятельности в период с июня 2014 г. по июнь 2016 г.</w:t>
      </w:r>
      <w:r w:rsidR="007E08C4">
        <w:rPr>
          <w:u w:val="none"/>
          <w:lang w:val="ru-RU"/>
        </w:rPr>
        <w:t xml:space="preserve"> и </w:t>
      </w:r>
      <w:r w:rsidR="007E08C4" w:rsidRPr="007E08C4">
        <w:rPr>
          <w:lang w:val="ru-RU"/>
        </w:rPr>
        <w:t>благодарит</w:t>
      </w:r>
      <w:r w:rsidR="007E08C4">
        <w:rPr>
          <w:u w:val="none"/>
          <w:lang w:val="ru-RU"/>
        </w:rPr>
        <w:t xml:space="preserve"> Комитет за его эффективную работу</w:t>
      </w:r>
      <w:r w:rsidR="0046708E">
        <w:rPr>
          <w:u w:val="none"/>
          <w:lang w:val="ru-RU"/>
        </w:rPr>
        <w:t>;</w:t>
      </w:r>
    </w:p>
    <w:p w:rsidR="00D95C4C" w:rsidRPr="002402C9" w:rsidRDefault="00EB3EF7" w:rsidP="00345CB4">
      <w:pPr>
        <w:pStyle w:val="GAParaResolution"/>
        <w:rPr>
          <w:lang w:val="ru-RU"/>
        </w:rPr>
      </w:pPr>
      <w:r>
        <w:rPr>
          <w:lang w:val="ru-RU"/>
        </w:rPr>
        <w:t>Вы</w:t>
      </w:r>
      <w:r w:rsidR="0046708E">
        <w:rPr>
          <w:lang w:val="ru-RU"/>
        </w:rPr>
        <w:t>ражает признательность</w:t>
      </w:r>
      <w:r w:rsidR="0046708E" w:rsidRPr="0046708E">
        <w:rPr>
          <w:u w:val="none"/>
          <w:lang w:val="ru-RU"/>
        </w:rPr>
        <w:t xml:space="preserve"> </w:t>
      </w:r>
      <w:r w:rsidR="0046708E">
        <w:rPr>
          <w:u w:val="none"/>
          <w:lang w:val="ru-RU"/>
        </w:rPr>
        <w:t xml:space="preserve">Комитету </w:t>
      </w:r>
      <w:r w:rsidR="0046708E" w:rsidRPr="0046708E">
        <w:rPr>
          <w:u w:val="none"/>
          <w:lang w:val="ru-RU"/>
        </w:rPr>
        <w:t xml:space="preserve">за </w:t>
      </w:r>
      <w:r w:rsidR="00DC4F86">
        <w:rPr>
          <w:u w:val="none"/>
          <w:lang w:val="ru-RU"/>
        </w:rPr>
        <w:t>прогресс,</w:t>
      </w:r>
      <w:r w:rsidR="00161718">
        <w:rPr>
          <w:u w:val="none"/>
          <w:lang w:val="ru-RU"/>
        </w:rPr>
        <w:t xml:space="preserve"> </w:t>
      </w:r>
      <w:r w:rsidR="00DC4F86">
        <w:rPr>
          <w:u w:val="none"/>
          <w:lang w:val="ru-RU"/>
        </w:rPr>
        <w:t xml:space="preserve">который </w:t>
      </w:r>
      <w:proofErr w:type="gramStart"/>
      <w:r w:rsidR="00DC4F86">
        <w:rPr>
          <w:u w:val="none"/>
          <w:lang w:val="ru-RU"/>
        </w:rPr>
        <w:t>был</w:t>
      </w:r>
      <w:proofErr w:type="gramEnd"/>
      <w:r w:rsidR="00DC4F86">
        <w:rPr>
          <w:u w:val="none"/>
          <w:lang w:val="ru-RU"/>
        </w:rPr>
        <w:t xml:space="preserve"> достигнут </w:t>
      </w:r>
      <w:r w:rsidR="00161718">
        <w:rPr>
          <w:u w:val="none"/>
          <w:lang w:val="ru-RU"/>
        </w:rPr>
        <w:t xml:space="preserve">в различных </w:t>
      </w:r>
      <w:r w:rsidR="00DC4F86">
        <w:rPr>
          <w:u w:val="none"/>
          <w:lang w:val="ru-RU"/>
        </w:rPr>
        <w:t>нормативных аспектах выполнения Конвенции, а также</w:t>
      </w:r>
      <w:r w:rsidR="00161718">
        <w:rPr>
          <w:u w:val="none"/>
          <w:lang w:val="ru-RU"/>
        </w:rPr>
        <w:t xml:space="preserve"> за </w:t>
      </w:r>
      <w:r w:rsidR="00903B4B">
        <w:rPr>
          <w:u w:val="none"/>
          <w:lang w:val="ru-RU"/>
        </w:rPr>
        <w:t xml:space="preserve">обращение </w:t>
      </w:r>
      <w:r w:rsidR="0046708E" w:rsidRPr="0046708E">
        <w:rPr>
          <w:u w:val="none"/>
          <w:lang w:val="ru-RU"/>
        </w:rPr>
        <w:t>приоритетно</w:t>
      </w:r>
      <w:r w:rsidR="00903B4B">
        <w:rPr>
          <w:u w:val="none"/>
          <w:lang w:val="ru-RU"/>
        </w:rPr>
        <w:t>го</w:t>
      </w:r>
      <w:r w:rsidR="0046708E" w:rsidRPr="0046708E">
        <w:rPr>
          <w:u w:val="none"/>
          <w:lang w:val="ru-RU"/>
        </w:rPr>
        <w:t xml:space="preserve"> внимани</w:t>
      </w:r>
      <w:r w:rsidR="00903B4B">
        <w:rPr>
          <w:u w:val="none"/>
          <w:lang w:val="ru-RU"/>
        </w:rPr>
        <w:t>я</w:t>
      </w:r>
      <w:r w:rsidR="0046708E" w:rsidRPr="0046708E">
        <w:rPr>
          <w:u w:val="none"/>
          <w:lang w:val="ru-RU"/>
        </w:rPr>
        <w:t xml:space="preserve"> вопросу укрепления потенциала при </w:t>
      </w:r>
      <w:r w:rsidR="009952B6">
        <w:rPr>
          <w:u w:val="none"/>
          <w:lang w:val="ru-RU"/>
        </w:rPr>
        <w:t>выполнении</w:t>
      </w:r>
      <w:r w:rsidR="0046708E" w:rsidRPr="0046708E">
        <w:rPr>
          <w:u w:val="none"/>
          <w:lang w:val="ru-RU"/>
        </w:rPr>
        <w:t xml:space="preserve"> Конвенции на национальном уровне</w:t>
      </w:r>
      <w:r w:rsidR="00DC4F86">
        <w:rPr>
          <w:u w:val="none"/>
          <w:lang w:val="ru-RU"/>
        </w:rPr>
        <w:t>;</w:t>
      </w:r>
    </w:p>
    <w:p w:rsidR="00D95C4C" w:rsidRPr="002402C9" w:rsidRDefault="00EF3E8A" w:rsidP="00F71A02">
      <w:pPr>
        <w:pStyle w:val="GAParaResolution"/>
        <w:rPr>
          <w:lang w:val="ru-RU"/>
        </w:rPr>
      </w:pPr>
      <w:r>
        <w:rPr>
          <w:lang w:val="ru-RU"/>
        </w:rPr>
        <w:t>Отмечает</w:t>
      </w:r>
      <w:r w:rsidRPr="00EF3E8A">
        <w:rPr>
          <w:u w:val="none"/>
          <w:lang w:val="ru-RU"/>
        </w:rPr>
        <w:t xml:space="preserve"> с удовлетворением</w:t>
      </w:r>
      <w:r>
        <w:rPr>
          <w:u w:val="none"/>
          <w:lang w:val="ru-RU"/>
        </w:rPr>
        <w:t xml:space="preserve"> постоянный интерес со стороны государств-участников к механизмам международного сотрудничества в рамках Конвенции и </w:t>
      </w:r>
      <w:r w:rsidRPr="00EF3E8A">
        <w:rPr>
          <w:lang w:val="ru-RU"/>
        </w:rPr>
        <w:t>призывает</w:t>
      </w:r>
      <w:r>
        <w:rPr>
          <w:u w:val="none"/>
          <w:lang w:val="ru-RU"/>
        </w:rPr>
        <w:t xml:space="preserve"> Комитет продолжать </w:t>
      </w:r>
      <w:r w:rsidR="00DC4F86">
        <w:rPr>
          <w:u w:val="none"/>
          <w:lang w:val="ru-RU"/>
        </w:rPr>
        <w:t xml:space="preserve">мероприятия по </w:t>
      </w:r>
      <w:r>
        <w:rPr>
          <w:u w:val="none"/>
          <w:lang w:val="ru-RU"/>
        </w:rPr>
        <w:t>повыш</w:t>
      </w:r>
      <w:r w:rsidR="00DC4F86">
        <w:rPr>
          <w:u w:val="none"/>
          <w:lang w:val="ru-RU"/>
        </w:rPr>
        <w:t>ению осведомленности</w:t>
      </w:r>
      <w:r>
        <w:rPr>
          <w:u w:val="none"/>
          <w:lang w:val="ru-RU"/>
        </w:rPr>
        <w:t xml:space="preserve"> о важности нематериального культурного наследия и распространять передовые практики по охране;</w:t>
      </w:r>
    </w:p>
    <w:p w:rsidR="0057439C" w:rsidRPr="00AB5B1E" w:rsidRDefault="0057439C" w:rsidP="00345CB4">
      <w:pPr>
        <w:pStyle w:val="GAParaResolution"/>
        <w:rPr>
          <w:u w:val="none"/>
          <w:lang w:val="ru-RU"/>
        </w:rPr>
      </w:pPr>
      <w:r w:rsidRPr="002402C9">
        <w:rPr>
          <w:lang w:val="ru-RU"/>
        </w:rPr>
        <w:t>Просит</w:t>
      </w:r>
      <w:r w:rsidRPr="00AB5B1E">
        <w:rPr>
          <w:u w:val="none"/>
          <w:lang w:val="ru-RU"/>
        </w:rPr>
        <w:t xml:space="preserve"> </w:t>
      </w:r>
      <w:r w:rsidR="00AB5B1E" w:rsidRPr="00AB5B1E">
        <w:rPr>
          <w:u w:val="none"/>
          <w:lang w:val="ru-RU"/>
        </w:rPr>
        <w:t>Генерального директора довести данный доклад до сведения Генеральной конференции ЮНЕСКО в соответствии со статьёй 30.2 Конвенции</w:t>
      </w:r>
      <w:r w:rsidRPr="00AB5B1E">
        <w:rPr>
          <w:u w:val="none"/>
          <w:lang w:val="ru-RU"/>
        </w:rPr>
        <w:t>;</w:t>
      </w:r>
    </w:p>
    <w:p w:rsidR="00EA71AC" w:rsidRDefault="005B7785" w:rsidP="00345CB4">
      <w:pPr>
        <w:pStyle w:val="GAParaResolution"/>
        <w:rPr>
          <w:u w:val="none"/>
          <w:lang w:val="ru-RU"/>
        </w:rPr>
      </w:pPr>
      <w:r>
        <w:rPr>
          <w:lang w:val="ru-RU"/>
        </w:rPr>
        <w:t xml:space="preserve">Просит </w:t>
      </w:r>
      <w:r w:rsidR="00DC4F86">
        <w:rPr>
          <w:lang w:val="ru-RU"/>
        </w:rPr>
        <w:t>также</w:t>
      </w:r>
      <w:r w:rsidR="00DC4F86" w:rsidRPr="005B7785">
        <w:rPr>
          <w:u w:val="none"/>
          <w:lang w:val="ru-RU"/>
        </w:rPr>
        <w:t xml:space="preserve"> </w:t>
      </w:r>
      <w:r w:rsidRPr="005B7785">
        <w:rPr>
          <w:u w:val="none"/>
          <w:lang w:val="ru-RU"/>
        </w:rPr>
        <w:t xml:space="preserve">Комитет </w:t>
      </w:r>
      <w:r w:rsidR="00565B92">
        <w:rPr>
          <w:u w:val="none"/>
          <w:lang w:val="ru-RU"/>
        </w:rPr>
        <w:t xml:space="preserve">представить доклад о своей деятельности за период с января 2016 г. по декабрь </w:t>
      </w:r>
      <w:r w:rsidR="00DC4F86">
        <w:rPr>
          <w:u w:val="none"/>
          <w:lang w:val="ru-RU"/>
        </w:rPr>
        <w:t>2017 </w:t>
      </w:r>
      <w:r w:rsidR="00565B92">
        <w:rPr>
          <w:u w:val="none"/>
          <w:lang w:val="ru-RU"/>
        </w:rPr>
        <w:t>г. на рассмотрение Генеральной ассамбле</w:t>
      </w:r>
      <w:r w:rsidR="00596D56">
        <w:rPr>
          <w:u w:val="none"/>
          <w:lang w:val="ru-RU"/>
        </w:rPr>
        <w:t>и</w:t>
      </w:r>
      <w:r w:rsidR="00565B92">
        <w:rPr>
          <w:u w:val="none"/>
          <w:lang w:val="ru-RU"/>
        </w:rPr>
        <w:t xml:space="preserve"> на её седьмой сессии и </w:t>
      </w:r>
      <w:r w:rsidR="003A2768">
        <w:rPr>
          <w:u w:val="none"/>
          <w:lang w:val="ru-RU"/>
        </w:rPr>
        <w:t xml:space="preserve">затем </w:t>
      </w:r>
      <w:r w:rsidR="00D53BC6">
        <w:rPr>
          <w:u w:val="none"/>
          <w:lang w:val="ru-RU"/>
        </w:rPr>
        <w:t xml:space="preserve">представлять </w:t>
      </w:r>
      <w:r w:rsidR="003A2768">
        <w:rPr>
          <w:u w:val="none"/>
          <w:lang w:val="ru-RU"/>
        </w:rPr>
        <w:t xml:space="preserve">будущие </w:t>
      </w:r>
      <w:r w:rsidR="00D53BC6">
        <w:rPr>
          <w:u w:val="none"/>
          <w:lang w:val="ru-RU"/>
        </w:rPr>
        <w:t xml:space="preserve">доклады, используя </w:t>
      </w:r>
      <w:r w:rsidR="00565B92">
        <w:rPr>
          <w:u w:val="none"/>
          <w:lang w:val="ru-RU"/>
        </w:rPr>
        <w:t xml:space="preserve">двухлетний </w:t>
      </w:r>
      <w:r w:rsidR="00176D7A">
        <w:rPr>
          <w:u w:val="none"/>
          <w:lang w:val="ru-RU"/>
        </w:rPr>
        <w:t xml:space="preserve">календарный </w:t>
      </w:r>
      <w:r w:rsidR="00565B92">
        <w:rPr>
          <w:u w:val="none"/>
          <w:lang w:val="ru-RU"/>
        </w:rPr>
        <w:t>период</w:t>
      </w:r>
      <w:r w:rsidR="00EA71AC">
        <w:rPr>
          <w:u w:val="none"/>
          <w:lang w:val="ru-RU"/>
        </w:rPr>
        <w:t>.</w:t>
      </w:r>
    </w:p>
    <w:p w:rsidR="00EA71AC" w:rsidRDefault="00EA71AC">
      <w:pPr>
        <w:rPr>
          <w:rFonts w:ascii="Arial" w:eastAsia="SimSun" w:hAnsi="Arial" w:cs="Arial"/>
          <w:sz w:val="22"/>
          <w:szCs w:val="22"/>
          <w:lang w:val="ru-RU"/>
        </w:rPr>
      </w:pPr>
      <w:r>
        <w:rPr>
          <w:lang w:val="ru-RU"/>
        </w:rPr>
        <w:br w:type="page"/>
      </w:r>
    </w:p>
    <w:p w:rsidR="00EA71AC" w:rsidRPr="00EA71AC" w:rsidRDefault="00EA71AC" w:rsidP="00EA71AC">
      <w:pPr>
        <w:pageBreakBefore/>
        <w:jc w:val="center"/>
        <w:rPr>
          <w:lang w:val="ru-RU"/>
        </w:rPr>
      </w:pPr>
      <w:r>
        <w:rPr>
          <w:rFonts w:ascii="Arial" w:eastAsia="Arial" w:hAnsi="Arial" w:cs="Arial"/>
          <w:b/>
          <w:bCs/>
          <w:sz w:val="22"/>
          <w:szCs w:val="22"/>
          <w:u w:val="single"/>
          <w:lang w:val="ru-RU"/>
        </w:rPr>
        <w:lastRenderedPageBreak/>
        <w:t>ПРИЛОЖЕНИЕ</w:t>
      </w:r>
    </w:p>
    <w:p w:rsidR="00EA71AC" w:rsidRPr="00EA71AC" w:rsidRDefault="00DC4F86" w:rsidP="00EA71AC">
      <w:pPr>
        <w:spacing w:after="360"/>
        <w:jc w:val="center"/>
        <w:rPr>
          <w:lang w:val="ru-RU"/>
        </w:rPr>
      </w:pPr>
      <w:r w:rsidRPr="00D85D0B">
        <w:rPr>
          <w:rFonts w:ascii="Arial" w:eastAsia="Arial" w:hAnsi="Arial" w:cs="Arial"/>
          <w:b/>
          <w:bCs/>
          <w:sz w:val="22"/>
          <w:szCs w:val="22"/>
          <w:lang w:val="ru-RU"/>
        </w:rPr>
        <w:t>Д</w:t>
      </w:r>
      <w:r w:rsidR="00EA71AC" w:rsidRPr="00D85D0B">
        <w:rPr>
          <w:rFonts w:ascii="Arial" w:eastAsia="Arial" w:hAnsi="Arial" w:cs="Arial"/>
          <w:b/>
          <w:bCs/>
          <w:sz w:val="22"/>
          <w:szCs w:val="22"/>
          <w:lang w:val="ru-RU"/>
        </w:rPr>
        <w:t>оклад</w:t>
      </w:r>
      <w:r w:rsidR="00EA71AC">
        <w:rPr>
          <w:rFonts w:ascii="Arial" w:eastAsia="Arial" w:hAnsi="Arial" w:cs="Arial"/>
          <w:b/>
          <w:bCs/>
          <w:sz w:val="22"/>
          <w:szCs w:val="22"/>
          <w:lang w:val="ru-RU"/>
        </w:rPr>
        <w:t xml:space="preserve"> Комитета Генеральной ассамблее о своей деятельности</w:t>
      </w:r>
    </w:p>
    <w:p w:rsidR="00EA71AC" w:rsidRPr="001255EE" w:rsidRDefault="001255EE" w:rsidP="00EA71AC">
      <w:pPr>
        <w:pStyle w:val="Marge"/>
        <w:numPr>
          <w:ilvl w:val="0"/>
          <w:numId w:val="13"/>
        </w:numPr>
        <w:tabs>
          <w:tab w:val="clear" w:pos="720"/>
        </w:tabs>
        <w:spacing w:after="120"/>
        <w:ind w:left="567" w:hanging="567"/>
        <w:rPr>
          <w:lang w:val="ru-RU"/>
        </w:rPr>
      </w:pPr>
      <w:r>
        <w:rPr>
          <w:rFonts w:eastAsia="Arial" w:cs="Arial"/>
          <w:szCs w:val="22"/>
          <w:lang w:val="ru-RU"/>
        </w:rPr>
        <w:t>Функции</w:t>
      </w:r>
      <w:r w:rsidRPr="001255EE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Комитета</w:t>
      </w:r>
      <w:r w:rsidRPr="001255EE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изложены</w:t>
      </w:r>
      <w:r w:rsidRPr="001255EE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в</w:t>
      </w:r>
      <w:r w:rsidRPr="001255EE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Конвенции</w:t>
      </w:r>
      <w:r w:rsidRPr="001255EE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об</w:t>
      </w:r>
      <w:r w:rsidRPr="001255EE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охране</w:t>
      </w:r>
      <w:r w:rsidRPr="001255EE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нематериального</w:t>
      </w:r>
      <w:r w:rsidRPr="001255EE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культурного</w:t>
      </w:r>
      <w:r w:rsidRPr="001255EE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наследия</w:t>
      </w:r>
      <w:r w:rsidRPr="001255EE">
        <w:rPr>
          <w:rFonts w:eastAsia="Arial" w:cs="Arial"/>
          <w:szCs w:val="22"/>
          <w:lang w:val="ru-RU"/>
        </w:rPr>
        <w:t xml:space="preserve"> 2003</w:t>
      </w:r>
      <w:r w:rsidRPr="001255EE">
        <w:rPr>
          <w:rFonts w:eastAsia="Arial" w:cs="Arial"/>
          <w:szCs w:val="22"/>
          <w:lang w:val="en-US"/>
        </w:rPr>
        <w:t> </w:t>
      </w:r>
      <w:r>
        <w:rPr>
          <w:rFonts w:eastAsia="Arial" w:cs="Arial"/>
          <w:szCs w:val="22"/>
          <w:lang w:val="ru-RU"/>
        </w:rPr>
        <w:t>г</w:t>
      </w:r>
      <w:r w:rsidRPr="001255EE">
        <w:rPr>
          <w:rFonts w:eastAsia="Arial" w:cs="Arial"/>
          <w:szCs w:val="22"/>
          <w:lang w:val="ru-RU"/>
        </w:rPr>
        <w:t>.,</w:t>
      </w:r>
      <w:r>
        <w:rPr>
          <w:rFonts w:eastAsia="Arial" w:cs="Arial"/>
          <w:szCs w:val="22"/>
          <w:lang w:val="ru-RU"/>
        </w:rPr>
        <w:t xml:space="preserve"> в частности в статье 7. Настоящий</w:t>
      </w:r>
      <w:r w:rsidRPr="001255EE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доклад</w:t>
      </w:r>
      <w:r w:rsidRPr="001255EE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составлен</w:t>
      </w:r>
      <w:r w:rsidRPr="001255EE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в</w:t>
      </w:r>
      <w:r w:rsidRPr="001255EE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соответствии</w:t>
      </w:r>
      <w:r w:rsidRPr="001255EE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с</w:t>
      </w:r>
      <w:r w:rsidRPr="001255EE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порядком</w:t>
      </w:r>
      <w:r w:rsidRPr="001255EE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изложения</w:t>
      </w:r>
      <w:r w:rsidRPr="001255EE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функций в статье 7 Конвенции.</w:t>
      </w:r>
    </w:p>
    <w:p w:rsidR="00EA71AC" w:rsidRPr="00BA6FD5" w:rsidRDefault="001255EE" w:rsidP="00EA71AC">
      <w:pPr>
        <w:pStyle w:val="Marge"/>
        <w:numPr>
          <w:ilvl w:val="0"/>
          <w:numId w:val="13"/>
        </w:numPr>
        <w:tabs>
          <w:tab w:val="clear" w:pos="720"/>
        </w:tabs>
        <w:spacing w:after="120"/>
        <w:ind w:left="567" w:hanging="567"/>
        <w:rPr>
          <w:lang w:val="ru-RU"/>
        </w:rPr>
      </w:pPr>
      <w:r>
        <w:rPr>
          <w:lang w:val="ru-RU"/>
        </w:rPr>
        <w:t>В</w:t>
      </w:r>
      <w:r w:rsidRPr="001255EE">
        <w:rPr>
          <w:lang w:val="ru-RU"/>
        </w:rPr>
        <w:t xml:space="preserve"> 2014</w:t>
      </w:r>
      <w:r w:rsidRPr="001255EE">
        <w:rPr>
          <w:lang w:val="en-US"/>
        </w:rPr>
        <w:t> </w:t>
      </w:r>
      <w:r>
        <w:rPr>
          <w:lang w:val="ru-RU"/>
        </w:rPr>
        <w:t>г</w:t>
      </w:r>
      <w:r w:rsidRPr="001255EE">
        <w:rPr>
          <w:lang w:val="ru-RU"/>
        </w:rPr>
        <w:t xml:space="preserve">. </w:t>
      </w:r>
      <w:r>
        <w:rPr>
          <w:lang w:val="ru-RU"/>
        </w:rPr>
        <w:t>Генеральная</w:t>
      </w:r>
      <w:r w:rsidRPr="001255EE">
        <w:rPr>
          <w:lang w:val="ru-RU"/>
        </w:rPr>
        <w:t xml:space="preserve"> </w:t>
      </w:r>
      <w:r>
        <w:rPr>
          <w:lang w:val="ru-RU"/>
        </w:rPr>
        <w:t>ассамблея</w:t>
      </w:r>
      <w:r w:rsidRPr="001255EE">
        <w:rPr>
          <w:lang w:val="ru-RU"/>
        </w:rPr>
        <w:t xml:space="preserve"> </w:t>
      </w:r>
      <w:r>
        <w:rPr>
          <w:lang w:val="ru-RU"/>
        </w:rPr>
        <w:t>обновила</w:t>
      </w:r>
      <w:r w:rsidRPr="001255EE">
        <w:rPr>
          <w:lang w:val="ru-RU"/>
        </w:rPr>
        <w:t xml:space="preserve"> </w:t>
      </w:r>
      <w:r>
        <w:rPr>
          <w:lang w:val="ru-RU"/>
        </w:rPr>
        <w:t>половину</w:t>
      </w:r>
      <w:r w:rsidRPr="001255EE">
        <w:rPr>
          <w:lang w:val="ru-RU"/>
        </w:rPr>
        <w:t xml:space="preserve"> </w:t>
      </w:r>
      <w:r>
        <w:rPr>
          <w:lang w:val="ru-RU"/>
        </w:rPr>
        <w:t>из</w:t>
      </w:r>
      <w:r w:rsidRPr="001255EE">
        <w:rPr>
          <w:lang w:val="ru-RU"/>
        </w:rPr>
        <w:t xml:space="preserve"> 24 </w:t>
      </w:r>
      <w:r>
        <w:rPr>
          <w:lang w:val="ru-RU"/>
        </w:rPr>
        <w:t>членов</w:t>
      </w:r>
      <w:r w:rsidRPr="001255EE">
        <w:rPr>
          <w:lang w:val="ru-RU"/>
        </w:rPr>
        <w:t xml:space="preserve"> </w:t>
      </w:r>
      <w:r>
        <w:rPr>
          <w:lang w:val="ru-RU"/>
        </w:rPr>
        <w:t>Комитета</w:t>
      </w:r>
      <w:r w:rsidRPr="001255EE">
        <w:rPr>
          <w:lang w:val="ru-RU"/>
        </w:rPr>
        <w:t xml:space="preserve">, </w:t>
      </w:r>
      <w:r>
        <w:rPr>
          <w:lang w:val="ru-RU"/>
        </w:rPr>
        <w:t>избрав</w:t>
      </w:r>
      <w:r w:rsidRPr="001255EE">
        <w:rPr>
          <w:lang w:val="ru-RU"/>
        </w:rPr>
        <w:t xml:space="preserve"> </w:t>
      </w:r>
      <w:r>
        <w:rPr>
          <w:lang w:val="ru-RU"/>
        </w:rPr>
        <w:t>в</w:t>
      </w:r>
      <w:r w:rsidRPr="001255EE">
        <w:rPr>
          <w:lang w:val="ru-RU"/>
        </w:rPr>
        <w:t xml:space="preserve"> </w:t>
      </w:r>
      <w:r>
        <w:rPr>
          <w:lang w:val="ru-RU"/>
        </w:rPr>
        <w:t>него</w:t>
      </w:r>
      <w:r w:rsidRPr="001255EE">
        <w:rPr>
          <w:lang w:val="ru-RU"/>
        </w:rPr>
        <w:t xml:space="preserve"> 12 </w:t>
      </w:r>
      <w:r>
        <w:rPr>
          <w:lang w:val="ru-RU"/>
        </w:rPr>
        <w:t>государств</w:t>
      </w:r>
      <w:r w:rsidRPr="001255EE">
        <w:rPr>
          <w:lang w:val="ru-RU"/>
        </w:rPr>
        <w:t>-</w:t>
      </w:r>
      <w:r>
        <w:rPr>
          <w:lang w:val="ru-RU"/>
        </w:rPr>
        <w:t>участников</w:t>
      </w:r>
      <w:r w:rsidRPr="001255EE">
        <w:rPr>
          <w:lang w:val="ru-RU"/>
        </w:rPr>
        <w:t xml:space="preserve"> </w:t>
      </w:r>
      <w:r>
        <w:rPr>
          <w:lang w:val="ru-RU"/>
        </w:rPr>
        <w:t>на четырёхлетний срок. В</w:t>
      </w:r>
      <w:r w:rsidRPr="00F74C43">
        <w:rPr>
          <w:lang w:val="ru-RU"/>
        </w:rPr>
        <w:t xml:space="preserve"> </w:t>
      </w:r>
      <w:r>
        <w:rPr>
          <w:lang w:val="ru-RU"/>
        </w:rPr>
        <w:t>период</w:t>
      </w:r>
      <w:r w:rsidRPr="00F74C43">
        <w:rPr>
          <w:lang w:val="ru-RU"/>
        </w:rPr>
        <w:t xml:space="preserve"> </w:t>
      </w:r>
      <w:r>
        <w:rPr>
          <w:lang w:val="ru-RU"/>
        </w:rPr>
        <w:t>с</w:t>
      </w:r>
      <w:r w:rsidRPr="00F74C43">
        <w:rPr>
          <w:lang w:val="ru-RU"/>
        </w:rPr>
        <w:t xml:space="preserve"> </w:t>
      </w:r>
      <w:r>
        <w:rPr>
          <w:lang w:val="ru-RU"/>
        </w:rPr>
        <w:t>июня</w:t>
      </w:r>
      <w:r w:rsidRPr="00F74C43">
        <w:rPr>
          <w:lang w:val="ru-RU"/>
        </w:rPr>
        <w:t xml:space="preserve"> 2014</w:t>
      </w:r>
      <w:r w:rsidRPr="001255EE">
        <w:rPr>
          <w:lang w:val="en-US"/>
        </w:rPr>
        <w:t> </w:t>
      </w:r>
      <w:r>
        <w:rPr>
          <w:lang w:val="ru-RU"/>
        </w:rPr>
        <w:t>г</w:t>
      </w:r>
      <w:r w:rsidRPr="00F74C43">
        <w:rPr>
          <w:lang w:val="ru-RU"/>
        </w:rPr>
        <w:t xml:space="preserve">. </w:t>
      </w:r>
      <w:r>
        <w:rPr>
          <w:lang w:val="ru-RU"/>
        </w:rPr>
        <w:t>по</w:t>
      </w:r>
      <w:r w:rsidRPr="00F74C43">
        <w:rPr>
          <w:lang w:val="ru-RU"/>
        </w:rPr>
        <w:t xml:space="preserve"> </w:t>
      </w:r>
      <w:r>
        <w:rPr>
          <w:lang w:val="ru-RU"/>
        </w:rPr>
        <w:t>июнь</w:t>
      </w:r>
      <w:r w:rsidRPr="00F74C43">
        <w:rPr>
          <w:lang w:val="ru-RU"/>
        </w:rPr>
        <w:t xml:space="preserve"> 201</w:t>
      </w:r>
      <w:r w:rsidR="00B6257D">
        <w:rPr>
          <w:lang w:val="ru-RU"/>
        </w:rPr>
        <w:t>6</w:t>
      </w:r>
      <w:r w:rsidRPr="001255EE">
        <w:rPr>
          <w:lang w:val="en-US"/>
        </w:rPr>
        <w:t> </w:t>
      </w:r>
      <w:r>
        <w:rPr>
          <w:lang w:val="ru-RU"/>
        </w:rPr>
        <w:t>г</w:t>
      </w:r>
      <w:r w:rsidRPr="00F74C43">
        <w:rPr>
          <w:lang w:val="ru-RU"/>
        </w:rPr>
        <w:t xml:space="preserve">. </w:t>
      </w:r>
      <w:r>
        <w:rPr>
          <w:lang w:val="ru-RU"/>
        </w:rPr>
        <w:t>в</w:t>
      </w:r>
      <w:r w:rsidRPr="00F74C43">
        <w:rPr>
          <w:lang w:val="ru-RU"/>
        </w:rPr>
        <w:t xml:space="preserve"> </w:t>
      </w:r>
      <w:r>
        <w:rPr>
          <w:lang w:val="ru-RU"/>
        </w:rPr>
        <w:t>Комитет</w:t>
      </w:r>
      <w:r w:rsidRPr="00F74C43">
        <w:rPr>
          <w:lang w:val="ru-RU"/>
        </w:rPr>
        <w:t xml:space="preserve"> </w:t>
      </w:r>
      <w:r w:rsidR="00F74C43">
        <w:rPr>
          <w:lang w:val="ru-RU"/>
        </w:rPr>
        <w:t>входили</w:t>
      </w:r>
      <w:r w:rsidR="00F74C43" w:rsidRPr="00F74C43">
        <w:rPr>
          <w:lang w:val="ru-RU"/>
        </w:rPr>
        <w:t xml:space="preserve"> </w:t>
      </w:r>
      <w:proofErr w:type="gramStart"/>
      <w:r w:rsidR="00F74C43">
        <w:rPr>
          <w:lang w:val="ru-RU"/>
        </w:rPr>
        <w:t>следующие</w:t>
      </w:r>
      <w:proofErr w:type="gramEnd"/>
      <w:r w:rsidR="00F74C43" w:rsidRPr="00F74C43">
        <w:rPr>
          <w:lang w:val="ru-RU"/>
        </w:rPr>
        <w:t xml:space="preserve"> 24 </w:t>
      </w:r>
      <w:r w:rsidR="00F74C43">
        <w:rPr>
          <w:lang w:val="ru-RU"/>
        </w:rPr>
        <w:t>члена</w:t>
      </w:r>
      <w:r w:rsidR="00F74C43" w:rsidRPr="00F74C43">
        <w:rPr>
          <w:lang w:val="ru-RU"/>
        </w:rPr>
        <w:t>:</w:t>
      </w:r>
      <w:r w:rsidR="00F74C43">
        <w:rPr>
          <w:lang w:val="ru-RU"/>
        </w:rPr>
        <w:t xml:space="preserve"> </w:t>
      </w:r>
      <w:proofErr w:type="gramStart"/>
      <w:r w:rsidR="00F74C43">
        <w:rPr>
          <w:lang w:val="ru-RU"/>
        </w:rPr>
        <w:t>Алжир,</w:t>
      </w:r>
      <w:r w:rsidR="00F74C43" w:rsidRPr="00F74C43">
        <w:rPr>
          <w:lang w:val="ru-RU"/>
        </w:rPr>
        <w:t xml:space="preserve"> </w:t>
      </w:r>
      <w:r w:rsidR="00F74C43">
        <w:rPr>
          <w:lang w:val="ru-RU"/>
        </w:rPr>
        <w:t>Афганистан</w:t>
      </w:r>
      <w:r w:rsidR="00F74C43" w:rsidRPr="00F74C43">
        <w:rPr>
          <w:lang w:val="ru-RU"/>
        </w:rPr>
        <w:t xml:space="preserve">, </w:t>
      </w:r>
      <w:r w:rsidR="00F74C43">
        <w:rPr>
          <w:lang w:val="ru-RU"/>
        </w:rPr>
        <w:t>Бельгия, Болгария, Бразилия, Венгрия, Греция, Египет, Индия, Конго, Кот-д</w:t>
      </w:r>
      <w:r w:rsidR="00F74C43">
        <w:rPr>
          <w:lang w:val="be-BY"/>
        </w:rPr>
        <w:t xml:space="preserve">’Ивуар, Кыргызстан, Латвия, Монголия, Намибия, Нигерия, Перу, Республика Корея, </w:t>
      </w:r>
      <w:r w:rsidR="00BA6FD5">
        <w:rPr>
          <w:lang w:val="be-BY"/>
        </w:rPr>
        <w:t>Сент-Люсия, Тунис, Турция, Уганда, Уругвай и Эфиопия.</w:t>
      </w:r>
      <w:proofErr w:type="gramEnd"/>
    </w:p>
    <w:p w:rsidR="00EA71AC" w:rsidRPr="002350E2" w:rsidRDefault="00C768CF" w:rsidP="00EA71AC">
      <w:pPr>
        <w:pStyle w:val="Marge"/>
        <w:numPr>
          <w:ilvl w:val="0"/>
          <w:numId w:val="13"/>
        </w:numPr>
        <w:tabs>
          <w:tab w:val="clear" w:pos="720"/>
        </w:tabs>
        <w:spacing w:after="120"/>
        <w:ind w:left="567" w:hanging="567"/>
        <w:rPr>
          <w:lang w:val="ru-RU"/>
        </w:rPr>
      </w:pPr>
      <w:r>
        <w:rPr>
          <w:lang w:val="ru-RU"/>
        </w:rPr>
        <w:t>С</w:t>
      </w:r>
      <w:r w:rsidRPr="002350E2">
        <w:rPr>
          <w:lang w:val="ru-RU"/>
        </w:rPr>
        <w:t xml:space="preserve"> </w:t>
      </w:r>
      <w:r>
        <w:rPr>
          <w:lang w:val="ru-RU"/>
        </w:rPr>
        <w:t>момента</w:t>
      </w:r>
      <w:r w:rsidRPr="002350E2">
        <w:rPr>
          <w:lang w:val="ru-RU"/>
        </w:rPr>
        <w:t xml:space="preserve"> </w:t>
      </w:r>
      <w:r>
        <w:rPr>
          <w:lang w:val="ru-RU"/>
        </w:rPr>
        <w:t>своего</w:t>
      </w:r>
      <w:r w:rsidRPr="002350E2">
        <w:rPr>
          <w:lang w:val="ru-RU"/>
        </w:rPr>
        <w:t xml:space="preserve"> </w:t>
      </w:r>
      <w:r>
        <w:rPr>
          <w:lang w:val="ru-RU"/>
        </w:rPr>
        <w:t>избрания</w:t>
      </w:r>
      <w:r w:rsidRPr="002350E2">
        <w:rPr>
          <w:lang w:val="ru-RU"/>
        </w:rPr>
        <w:t xml:space="preserve"> </w:t>
      </w:r>
      <w:r>
        <w:rPr>
          <w:lang w:val="ru-RU"/>
        </w:rPr>
        <w:t>Генеральной</w:t>
      </w:r>
      <w:r w:rsidRPr="002350E2">
        <w:rPr>
          <w:lang w:val="ru-RU"/>
        </w:rPr>
        <w:t xml:space="preserve"> </w:t>
      </w:r>
      <w:r>
        <w:rPr>
          <w:lang w:val="ru-RU"/>
        </w:rPr>
        <w:t>ассамблеей</w:t>
      </w:r>
      <w:r w:rsidRPr="002350E2">
        <w:rPr>
          <w:lang w:val="ru-RU"/>
        </w:rPr>
        <w:t xml:space="preserve"> </w:t>
      </w:r>
      <w:r>
        <w:rPr>
          <w:lang w:val="ru-RU"/>
        </w:rPr>
        <w:t>в</w:t>
      </w:r>
      <w:r w:rsidRPr="002350E2">
        <w:rPr>
          <w:lang w:val="ru-RU"/>
        </w:rPr>
        <w:t xml:space="preserve"> </w:t>
      </w:r>
      <w:r>
        <w:rPr>
          <w:lang w:val="ru-RU"/>
        </w:rPr>
        <w:t>июне</w:t>
      </w:r>
      <w:r w:rsidRPr="002350E2">
        <w:rPr>
          <w:lang w:val="ru-RU"/>
        </w:rPr>
        <w:t xml:space="preserve"> 2014</w:t>
      </w:r>
      <w:r w:rsidRPr="00C768CF">
        <w:rPr>
          <w:lang w:val="en-US"/>
        </w:rPr>
        <w:t> </w:t>
      </w:r>
      <w:r>
        <w:rPr>
          <w:lang w:val="ru-RU"/>
        </w:rPr>
        <w:t>г</w:t>
      </w:r>
      <w:r w:rsidRPr="002350E2">
        <w:rPr>
          <w:lang w:val="ru-RU"/>
        </w:rPr>
        <w:t xml:space="preserve">. </w:t>
      </w:r>
      <w:r>
        <w:rPr>
          <w:lang w:val="ru-RU"/>
        </w:rPr>
        <w:t>Комитет</w:t>
      </w:r>
      <w:r w:rsidRPr="002350E2">
        <w:rPr>
          <w:lang w:val="ru-RU"/>
        </w:rPr>
        <w:t xml:space="preserve"> </w:t>
      </w:r>
      <w:r>
        <w:rPr>
          <w:lang w:val="ru-RU"/>
        </w:rPr>
        <w:t>собирался</w:t>
      </w:r>
      <w:r w:rsidRPr="002350E2">
        <w:rPr>
          <w:lang w:val="ru-RU"/>
        </w:rPr>
        <w:t xml:space="preserve"> </w:t>
      </w:r>
      <w:r>
        <w:rPr>
          <w:lang w:val="ru-RU"/>
        </w:rPr>
        <w:t>дважды</w:t>
      </w:r>
      <w:r w:rsidRPr="002350E2">
        <w:rPr>
          <w:lang w:val="ru-RU"/>
        </w:rPr>
        <w:t xml:space="preserve">: </w:t>
      </w:r>
      <w:r>
        <w:rPr>
          <w:lang w:val="ru-RU"/>
        </w:rPr>
        <w:t>на</w:t>
      </w:r>
      <w:r w:rsidRPr="002350E2">
        <w:rPr>
          <w:lang w:val="ru-RU"/>
        </w:rPr>
        <w:t xml:space="preserve"> </w:t>
      </w:r>
      <w:r>
        <w:rPr>
          <w:lang w:val="ru-RU"/>
        </w:rPr>
        <w:t>своей</w:t>
      </w:r>
      <w:r w:rsidRPr="002350E2">
        <w:rPr>
          <w:lang w:val="ru-RU"/>
        </w:rPr>
        <w:t xml:space="preserve"> </w:t>
      </w:r>
      <w:r>
        <w:rPr>
          <w:lang w:val="ru-RU"/>
        </w:rPr>
        <w:t>девятой</w:t>
      </w:r>
      <w:r w:rsidRPr="002350E2">
        <w:rPr>
          <w:lang w:val="ru-RU"/>
        </w:rPr>
        <w:t xml:space="preserve"> </w:t>
      </w:r>
      <w:r>
        <w:rPr>
          <w:lang w:val="ru-RU"/>
        </w:rPr>
        <w:t>сессии</w:t>
      </w:r>
      <w:r w:rsidRPr="002350E2">
        <w:rPr>
          <w:lang w:val="ru-RU"/>
        </w:rPr>
        <w:t xml:space="preserve"> </w:t>
      </w:r>
      <w:r>
        <w:rPr>
          <w:lang w:val="ru-RU"/>
        </w:rPr>
        <w:t>в</w:t>
      </w:r>
      <w:r w:rsidRPr="002350E2">
        <w:rPr>
          <w:lang w:val="ru-RU"/>
        </w:rPr>
        <w:t xml:space="preserve"> </w:t>
      </w:r>
      <w:r>
        <w:rPr>
          <w:lang w:val="ru-RU"/>
        </w:rPr>
        <w:t>штаб</w:t>
      </w:r>
      <w:r w:rsidRPr="002350E2">
        <w:rPr>
          <w:lang w:val="ru-RU"/>
        </w:rPr>
        <w:t>-</w:t>
      </w:r>
      <w:r>
        <w:rPr>
          <w:lang w:val="ru-RU"/>
        </w:rPr>
        <w:t>квартире</w:t>
      </w:r>
      <w:r w:rsidRPr="002350E2">
        <w:rPr>
          <w:lang w:val="ru-RU"/>
        </w:rPr>
        <w:t xml:space="preserve"> </w:t>
      </w:r>
      <w:r>
        <w:rPr>
          <w:lang w:val="ru-RU"/>
        </w:rPr>
        <w:t>ЮНЕСКО</w:t>
      </w:r>
      <w:r w:rsidRPr="002350E2">
        <w:rPr>
          <w:lang w:val="ru-RU"/>
        </w:rPr>
        <w:t xml:space="preserve"> </w:t>
      </w:r>
      <w:r>
        <w:rPr>
          <w:lang w:val="ru-RU"/>
        </w:rPr>
        <w:t>в</w:t>
      </w:r>
      <w:r w:rsidRPr="002350E2">
        <w:rPr>
          <w:lang w:val="ru-RU"/>
        </w:rPr>
        <w:t xml:space="preserve"> </w:t>
      </w:r>
      <w:r>
        <w:rPr>
          <w:lang w:val="ru-RU"/>
        </w:rPr>
        <w:t>Париже</w:t>
      </w:r>
      <w:r w:rsidRPr="002350E2">
        <w:rPr>
          <w:lang w:val="ru-RU"/>
        </w:rPr>
        <w:t xml:space="preserve"> 24-28 </w:t>
      </w:r>
      <w:r>
        <w:rPr>
          <w:lang w:val="ru-RU"/>
        </w:rPr>
        <w:t>ноября</w:t>
      </w:r>
      <w:r w:rsidRPr="002350E2">
        <w:rPr>
          <w:lang w:val="ru-RU"/>
        </w:rPr>
        <w:t xml:space="preserve"> 2014</w:t>
      </w:r>
      <w:r w:rsidRPr="00C768CF">
        <w:rPr>
          <w:lang w:val="en-US"/>
        </w:rPr>
        <w:t> </w:t>
      </w:r>
      <w:r>
        <w:rPr>
          <w:lang w:val="ru-RU"/>
        </w:rPr>
        <w:t>г</w:t>
      </w:r>
      <w:r w:rsidRPr="002350E2">
        <w:rPr>
          <w:lang w:val="ru-RU"/>
        </w:rPr>
        <w:t xml:space="preserve">. </w:t>
      </w:r>
      <w:r w:rsidR="002350E2" w:rsidRPr="002350E2">
        <w:rPr>
          <w:lang w:val="ru-RU"/>
        </w:rPr>
        <w:t>(9.</w:t>
      </w:r>
      <w:r w:rsidR="002350E2" w:rsidRPr="00AE18A1">
        <w:rPr>
          <w:lang w:val="en-GB"/>
        </w:rPr>
        <w:t>COM</w:t>
      </w:r>
      <w:r w:rsidR="002350E2" w:rsidRPr="002350E2">
        <w:rPr>
          <w:lang w:val="ru-RU"/>
        </w:rPr>
        <w:t xml:space="preserve">) </w:t>
      </w:r>
      <w:r>
        <w:rPr>
          <w:lang w:val="ru-RU"/>
        </w:rPr>
        <w:t>и</w:t>
      </w:r>
      <w:r w:rsidRPr="002350E2">
        <w:rPr>
          <w:lang w:val="ru-RU"/>
        </w:rPr>
        <w:t xml:space="preserve"> </w:t>
      </w:r>
      <w:r w:rsidR="002350E2">
        <w:rPr>
          <w:lang w:val="ru-RU"/>
        </w:rPr>
        <w:t>с</w:t>
      </w:r>
      <w:r w:rsidR="002350E2" w:rsidRPr="002350E2">
        <w:rPr>
          <w:lang w:val="ru-RU"/>
        </w:rPr>
        <w:t xml:space="preserve"> 30 </w:t>
      </w:r>
      <w:r w:rsidR="002350E2">
        <w:rPr>
          <w:lang w:val="ru-RU"/>
        </w:rPr>
        <w:t>ноября</w:t>
      </w:r>
      <w:r w:rsidR="002350E2" w:rsidRPr="002350E2">
        <w:rPr>
          <w:lang w:val="ru-RU"/>
        </w:rPr>
        <w:t xml:space="preserve"> </w:t>
      </w:r>
      <w:r w:rsidR="002350E2">
        <w:rPr>
          <w:lang w:val="ru-RU"/>
        </w:rPr>
        <w:t>по</w:t>
      </w:r>
      <w:r w:rsidR="002350E2" w:rsidRPr="002350E2">
        <w:rPr>
          <w:lang w:val="ru-RU"/>
        </w:rPr>
        <w:t xml:space="preserve"> 4 </w:t>
      </w:r>
      <w:r w:rsidR="002350E2">
        <w:rPr>
          <w:lang w:val="ru-RU"/>
        </w:rPr>
        <w:t>декабря</w:t>
      </w:r>
      <w:r w:rsidR="002350E2" w:rsidRPr="002350E2">
        <w:rPr>
          <w:lang w:val="ru-RU"/>
        </w:rPr>
        <w:t xml:space="preserve"> 2015</w:t>
      </w:r>
      <w:r w:rsidR="002350E2" w:rsidRPr="002350E2">
        <w:rPr>
          <w:lang w:val="en-US"/>
        </w:rPr>
        <w:t> </w:t>
      </w:r>
      <w:r w:rsidR="002350E2">
        <w:rPr>
          <w:lang w:val="ru-RU"/>
        </w:rPr>
        <w:t>г</w:t>
      </w:r>
      <w:r w:rsidR="002350E2" w:rsidRPr="002350E2">
        <w:rPr>
          <w:lang w:val="ru-RU"/>
        </w:rPr>
        <w:t xml:space="preserve">. </w:t>
      </w:r>
      <w:r>
        <w:rPr>
          <w:lang w:val="ru-RU"/>
        </w:rPr>
        <w:t>в</w:t>
      </w:r>
      <w:r w:rsidRPr="002350E2">
        <w:rPr>
          <w:lang w:val="ru-RU"/>
        </w:rPr>
        <w:t xml:space="preserve"> </w:t>
      </w:r>
      <w:r>
        <w:rPr>
          <w:lang w:val="ru-RU"/>
        </w:rPr>
        <w:t>Виндхук</w:t>
      </w:r>
      <w:r w:rsidR="008E7132">
        <w:rPr>
          <w:lang w:val="ru-RU"/>
        </w:rPr>
        <w:t>е</w:t>
      </w:r>
      <w:r w:rsidRPr="002350E2">
        <w:rPr>
          <w:lang w:val="ru-RU"/>
        </w:rPr>
        <w:t xml:space="preserve"> (</w:t>
      </w:r>
      <w:r>
        <w:rPr>
          <w:lang w:val="ru-RU"/>
        </w:rPr>
        <w:t>Намибия</w:t>
      </w:r>
      <w:r w:rsidRPr="002350E2">
        <w:rPr>
          <w:lang w:val="ru-RU"/>
        </w:rPr>
        <w:t xml:space="preserve">) </w:t>
      </w:r>
      <w:r w:rsidR="002350E2">
        <w:rPr>
          <w:lang w:val="ru-RU"/>
        </w:rPr>
        <w:t xml:space="preserve">на своей десятой сессии </w:t>
      </w:r>
      <w:r w:rsidR="002350E2" w:rsidRPr="002350E2">
        <w:rPr>
          <w:lang w:val="ru-RU"/>
        </w:rPr>
        <w:t>(10.</w:t>
      </w:r>
      <w:r w:rsidR="002350E2" w:rsidRPr="00AE18A1">
        <w:rPr>
          <w:lang w:val="en-GB"/>
        </w:rPr>
        <w:t>COM</w:t>
      </w:r>
      <w:r w:rsidR="002350E2" w:rsidRPr="002350E2">
        <w:rPr>
          <w:lang w:val="ru-RU"/>
        </w:rPr>
        <w:t>)</w:t>
      </w:r>
      <w:r w:rsidR="002350E2">
        <w:rPr>
          <w:lang w:val="ru-RU"/>
        </w:rPr>
        <w:t>.</w:t>
      </w:r>
    </w:p>
    <w:p w:rsidR="00EA71AC" w:rsidRPr="00AF3A85" w:rsidRDefault="008E7132" w:rsidP="00EA71AC">
      <w:pPr>
        <w:pStyle w:val="Marge"/>
        <w:numPr>
          <w:ilvl w:val="0"/>
          <w:numId w:val="13"/>
        </w:numPr>
        <w:tabs>
          <w:tab w:val="clear" w:pos="720"/>
        </w:tabs>
        <w:spacing w:after="120"/>
        <w:ind w:left="567" w:hanging="567"/>
        <w:rPr>
          <w:lang w:val="ru-RU"/>
        </w:rPr>
      </w:pPr>
      <w:r>
        <w:rPr>
          <w:lang w:val="ru-RU"/>
        </w:rPr>
        <w:t>Президиум</w:t>
      </w:r>
      <w:r w:rsidRPr="008E7132">
        <w:rPr>
          <w:lang w:val="ru-RU"/>
        </w:rPr>
        <w:t xml:space="preserve"> </w:t>
      </w:r>
      <w:r>
        <w:rPr>
          <w:lang w:val="ru-RU"/>
        </w:rPr>
        <w:t>девятой</w:t>
      </w:r>
      <w:r w:rsidRPr="008E7132">
        <w:rPr>
          <w:lang w:val="ru-RU"/>
        </w:rPr>
        <w:t xml:space="preserve"> </w:t>
      </w:r>
      <w:r>
        <w:rPr>
          <w:lang w:val="ru-RU"/>
        </w:rPr>
        <w:t>сессии</w:t>
      </w:r>
      <w:r w:rsidRPr="008E7132">
        <w:rPr>
          <w:lang w:val="ru-RU"/>
        </w:rPr>
        <w:t xml:space="preserve"> </w:t>
      </w:r>
      <w:r>
        <w:rPr>
          <w:lang w:val="ru-RU"/>
        </w:rPr>
        <w:t>был</w:t>
      </w:r>
      <w:r w:rsidRPr="008E7132">
        <w:rPr>
          <w:lang w:val="ru-RU"/>
        </w:rPr>
        <w:t xml:space="preserve"> </w:t>
      </w:r>
      <w:r>
        <w:rPr>
          <w:lang w:val="ru-RU"/>
        </w:rPr>
        <w:t>избран</w:t>
      </w:r>
      <w:r w:rsidRPr="008E7132">
        <w:rPr>
          <w:lang w:val="ru-RU"/>
        </w:rPr>
        <w:t xml:space="preserve"> </w:t>
      </w:r>
      <w:r>
        <w:rPr>
          <w:lang w:val="ru-RU"/>
        </w:rPr>
        <w:t>на</w:t>
      </w:r>
      <w:r w:rsidRPr="008E7132">
        <w:rPr>
          <w:lang w:val="ru-RU"/>
        </w:rPr>
        <w:t xml:space="preserve"> </w:t>
      </w:r>
      <w:r>
        <w:rPr>
          <w:lang w:val="ru-RU"/>
        </w:rPr>
        <w:t>восьмой</w:t>
      </w:r>
      <w:r w:rsidRPr="008E7132">
        <w:rPr>
          <w:lang w:val="ru-RU"/>
        </w:rPr>
        <w:t xml:space="preserve"> </w:t>
      </w:r>
      <w:r>
        <w:rPr>
          <w:lang w:val="ru-RU"/>
        </w:rPr>
        <w:t>сессии</w:t>
      </w:r>
      <w:r w:rsidRPr="008E7132">
        <w:rPr>
          <w:lang w:val="ru-RU"/>
        </w:rPr>
        <w:t xml:space="preserve"> </w:t>
      </w:r>
      <w:r>
        <w:rPr>
          <w:lang w:val="ru-RU"/>
        </w:rPr>
        <w:t>в</w:t>
      </w:r>
      <w:r w:rsidRPr="008E7132">
        <w:rPr>
          <w:lang w:val="ru-RU"/>
        </w:rPr>
        <w:t xml:space="preserve"> </w:t>
      </w:r>
      <w:r>
        <w:rPr>
          <w:lang w:val="ru-RU"/>
        </w:rPr>
        <w:t>декабре</w:t>
      </w:r>
      <w:r w:rsidRPr="008E7132">
        <w:rPr>
          <w:lang w:val="ru-RU"/>
        </w:rPr>
        <w:t xml:space="preserve"> 2013</w:t>
      </w:r>
      <w:r w:rsidRPr="008E7132">
        <w:rPr>
          <w:lang w:val="en-US"/>
        </w:rPr>
        <w:t> </w:t>
      </w:r>
      <w:r>
        <w:rPr>
          <w:lang w:val="ru-RU"/>
        </w:rPr>
        <w:t>г</w:t>
      </w:r>
      <w:r w:rsidRPr="008E7132">
        <w:rPr>
          <w:lang w:val="ru-RU"/>
        </w:rPr>
        <w:t xml:space="preserve">. </w:t>
      </w:r>
      <w:r>
        <w:rPr>
          <w:lang w:val="ru-RU"/>
        </w:rPr>
        <w:t>в</w:t>
      </w:r>
      <w:r w:rsidRPr="008E7132">
        <w:rPr>
          <w:lang w:val="ru-RU"/>
        </w:rPr>
        <w:t xml:space="preserve"> </w:t>
      </w:r>
      <w:r>
        <w:rPr>
          <w:lang w:val="ru-RU"/>
        </w:rPr>
        <w:t>Баку</w:t>
      </w:r>
      <w:r w:rsidRPr="008E7132">
        <w:rPr>
          <w:lang w:val="ru-RU"/>
        </w:rPr>
        <w:t xml:space="preserve"> (</w:t>
      </w:r>
      <w:r>
        <w:rPr>
          <w:lang w:val="ru-RU"/>
        </w:rPr>
        <w:t>Азербайджан</w:t>
      </w:r>
      <w:r w:rsidRPr="008E7132">
        <w:rPr>
          <w:lang w:val="ru-RU"/>
        </w:rPr>
        <w:t xml:space="preserve">) </w:t>
      </w:r>
      <w:r>
        <w:rPr>
          <w:lang w:val="ru-RU"/>
        </w:rPr>
        <w:t>и</w:t>
      </w:r>
      <w:r w:rsidRPr="008E7132">
        <w:rPr>
          <w:lang w:val="ru-RU"/>
        </w:rPr>
        <w:t xml:space="preserve"> </w:t>
      </w:r>
      <w:r>
        <w:rPr>
          <w:lang w:val="ru-RU"/>
        </w:rPr>
        <w:t>состоял</w:t>
      </w:r>
      <w:r w:rsidRPr="008E7132">
        <w:rPr>
          <w:lang w:val="ru-RU"/>
        </w:rPr>
        <w:t xml:space="preserve"> </w:t>
      </w:r>
      <w:r>
        <w:rPr>
          <w:lang w:val="ru-RU"/>
        </w:rPr>
        <w:t>из</w:t>
      </w:r>
      <w:r w:rsidRPr="008E7132">
        <w:rPr>
          <w:lang w:val="ru-RU"/>
        </w:rPr>
        <w:t xml:space="preserve"> </w:t>
      </w:r>
      <w:r>
        <w:rPr>
          <w:lang w:val="ru-RU"/>
        </w:rPr>
        <w:t xml:space="preserve">Его Превосходительства г-на Хосе Мануэла Родригеса </w:t>
      </w:r>
      <w:proofErr w:type="spellStart"/>
      <w:r>
        <w:rPr>
          <w:lang w:val="ru-RU"/>
        </w:rPr>
        <w:t>Куадроса</w:t>
      </w:r>
      <w:proofErr w:type="spellEnd"/>
      <w:r>
        <w:rPr>
          <w:lang w:val="ru-RU"/>
        </w:rPr>
        <w:t xml:space="preserve"> (Перу)</w:t>
      </w:r>
      <w:r w:rsidR="00B64512">
        <w:rPr>
          <w:lang w:val="ru-RU"/>
        </w:rPr>
        <w:t>,</w:t>
      </w:r>
      <w:r>
        <w:rPr>
          <w:lang w:val="ru-RU"/>
        </w:rPr>
        <w:t xml:space="preserve"> председателя; Бельгии, Латвии, Кыргызстана, Намибии и Египта</w:t>
      </w:r>
      <w:r w:rsidR="00B64512">
        <w:rPr>
          <w:lang w:val="ru-RU"/>
        </w:rPr>
        <w:t>,</w:t>
      </w:r>
      <w:r>
        <w:rPr>
          <w:lang w:val="ru-RU"/>
        </w:rPr>
        <w:t xml:space="preserve"> заместителей председателя</w:t>
      </w:r>
      <w:r w:rsidR="00AC4D6C">
        <w:rPr>
          <w:lang w:val="ru-RU"/>
        </w:rPr>
        <w:t>,</w:t>
      </w:r>
      <w:r>
        <w:rPr>
          <w:lang w:val="ru-RU"/>
        </w:rPr>
        <w:t xml:space="preserve"> и г-жи Аниты </w:t>
      </w:r>
      <w:proofErr w:type="spellStart"/>
      <w:r>
        <w:rPr>
          <w:lang w:val="ru-RU"/>
        </w:rPr>
        <w:t>Вайваде</w:t>
      </w:r>
      <w:proofErr w:type="spellEnd"/>
      <w:r w:rsidR="00AF3A85">
        <w:rPr>
          <w:lang w:val="ru-RU"/>
        </w:rPr>
        <w:t xml:space="preserve"> (Латвия)</w:t>
      </w:r>
      <w:r w:rsidR="00B64512">
        <w:rPr>
          <w:lang w:val="ru-RU"/>
        </w:rPr>
        <w:t>,</w:t>
      </w:r>
      <w:r w:rsidR="00AF3A85">
        <w:rPr>
          <w:lang w:val="ru-RU"/>
        </w:rPr>
        <w:t xml:space="preserve"> докладчика.</w:t>
      </w:r>
    </w:p>
    <w:p w:rsidR="00EA71AC" w:rsidRPr="00AF3A85" w:rsidRDefault="00AF3A85" w:rsidP="00EA71AC">
      <w:pPr>
        <w:pStyle w:val="Marge"/>
        <w:numPr>
          <w:ilvl w:val="0"/>
          <w:numId w:val="13"/>
        </w:numPr>
        <w:tabs>
          <w:tab w:val="clear" w:pos="720"/>
        </w:tabs>
        <w:spacing w:after="120"/>
        <w:ind w:left="567" w:hanging="567"/>
        <w:rPr>
          <w:lang w:val="ru-RU"/>
        </w:rPr>
      </w:pPr>
      <w:r>
        <w:rPr>
          <w:lang w:val="ru-RU"/>
        </w:rPr>
        <w:t>Президиум</w:t>
      </w:r>
      <w:r w:rsidRPr="00AF3A85">
        <w:rPr>
          <w:lang w:val="ru-RU"/>
        </w:rPr>
        <w:t xml:space="preserve"> </w:t>
      </w:r>
      <w:r>
        <w:rPr>
          <w:lang w:val="ru-RU"/>
        </w:rPr>
        <w:t>десятой</w:t>
      </w:r>
      <w:r w:rsidRPr="00AF3A85">
        <w:rPr>
          <w:lang w:val="ru-RU"/>
        </w:rPr>
        <w:t xml:space="preserve"> </w:t>
      </w:r>
      <w:r>
        <w:rPr>
          <w:lang w:val="ru-RU"/>
        </w:rPr>
        <w:t>сессии</w:t>
      </w:r>
      <w:r w:rsidRPr="00AF3A85">
        <w:rPr>
          <w:lang w:val="ru-RU"/>
        </w:rPr>
        <w:t xml:space="preserve"> </w:t>
      </w:r>
      <w:r>
        <w:rPr>
          <w:lang w:val="ru-RU"/>
        </w:rPr>
        <w:t>был</w:t>
      </w:r>
      <w:r w:rsidRPr="00AF3A85">
        <w:rPr>
          <w:lang w:val="ru-RU"/>
        </w:rPr>
        <w:t xml:space="preserve"> </w:t>
      </w:r>
      <w:r>
        <w:rPr>
          <w:lang w:val="ru-RU"/>
        </w:rPr>
        <w:t>избран</w:t>
      </w:r>
      <w:r w:rsidRPr="00AF3A85">
        <w:rPr>
          <w:lang w:val="ru-RU"/>
        </w:rPr>
        <w:t xml:space="preserve"> </w:t>
      </w:r>
      <w:r>
        <w:rPr>
          <w:lang w:val="ru-RU"/>
        </w:rPr>
        <w:t>на</w:t>
      </w:r>
      <w:r w:rsidRPr="00AF3A85">
        <w:rPr>
          <w:lang w:val="ru-RU"/>
        </w:rPr>
        <w:t xml:space="preserve"> </w:t>
      </w:r>
      <w:r>
        <w:rPr>
          <w:lang w:val="ru-RU"/>
        </w:rPr>
        <w:t>девятой</w:t>
      </w:r>
      <w:r w:rsidRPr="00AF3A85">
        <w:rPr>
          <w:lang w:val="ru-RU"/>
        </w:rPr>
        <w:t xml:space="preserve"> </w:t>
      </w:r>
      <w:r>
        <w:rPr>
          <w:lang w:val="ru-RU"/>
        </w:rPr>
        <w:t>сессии</w:t>
      </w:r>
      <w:r w:rsidRPr="00AF3A85">
        <w:rPr>
          <w:lang w:val="ru-RU"/>
        </w:rPr>
        <w:t xml:space="preserve"> </w:t>
      </w:r>
      <w:r>
        <w:rPr>
          <w:lang w:val="ru-RU"/>
        </w:rPr>
        <w:t>в</w:t>
      </w:r>
      <w:r w:rsidRPr="00AF3A85">
        <w:rPr>
          <w:lang w:val="ru-RU"/>
        </w:rPr>
        <w:t xml:space="preserve"> </w:t>
      </w:r>
      <w:r>
        <w:rPr>
          <w:lang w:val="ru-RU"/>
        </w:rPr>
        <w:t>ноябре</w:t>
      </w:r>
      <w:r w:rsidRPr="00AF3A85">
        <w:rPr>
          <w:lang w:val="ru-RU"/>
        </w:rPr>
        <w:t xml:space="preserve"> 2014</w:t>
      </w:r>
      <w:r w:rsidRPr="00AF3A85">
        <w:rPr>
          <w:lang w:val="en-US"/>
        </w:rPr>
        <w:t> </w:t>
      </w:r>
      <w:r>
        <w:rPr>
          <w:lang w:val="ru-RU"/>
        </w:rPr>
        <w:t>г</w:t>
      </w:r>
      <w:r w:rsidRPr="00AF3A85">
        <w:rPr>
          <w:lang w:val="ru-RU"/>
        </w:rPr>
        <w:t xml:space="preserve">. </w:t>
      </w:r>
      <w:r w:rsidR="00B64512">
        <w:rPr>
          <w:lang w:val="ru-RU"/>
        </w:rPr>
        <w:t>в</w:t>
      </w:r>
      <w:r w:rsidRPr="00AF3A85">
        <w:rPr>
          <w:lang w:val="ru-RU"/>
        </w:rPr>
        <w:t xml:space="preserve"> </w:t>
      </w:r>
      <w:r>
        <w:rPr>
          <w:lang w:val="ru-RU"/>
        </w:rPr>
        <w:t>штаб</w:t>
      </w:r>
      <w:r w:rsidRPr="00AF3A85">
        <w:rPr>
          <w:lang w:val="ru-RU"/>
        </w:rPr>
        <w:t>-</w:t>
      </w:r>
      <w:r>
        <w:rPr>
          <w:lang w:val="ru-RU"/>
        </w:rPr>
        <w:t>квартире</w:t>
      </w:r>
      <w:r w:rsidRPr="00AF3A85">
        <w:rPr>
          <w:lang w:val="ru-RU"/>
        </w:rPr>
        <w:t xml:space="preserve"> </w:t>
      </w:r>
      <w:r>
        <w:rPr>
          <w:lang w:val="ru-RU"/>
        </w:rPr>
        <w:t>ЮНЕСКО</w:t>
      </w:r>
      <w:r w:rsidRPr="00AF3A85">
        <w:rPr>
          <w:lang w:val="ru-RU"/>
        </w:rPr>
        <w:t xml:space="preserve"> </w:t>
      </w:r>
      <w:r>
        <w:rPr>
          <w:lang w:val="ru-RU"/>
        </w:rPr>
        <w:t>и</w:t>
      </w:r>
      <w:r w:rsidRPr="00AF3A85">
        <w:rPr>
          <w:lang w:val="ru-RU"/>
        </w:rPr>
        <w:t xml:space="preserve"> </w:t>
      </w:r>
      <w:r>
        <w:rPr>
          <w:lang w:val="ru-RU"/>
        </w:rPr>
        <w:t>состоял</w:t>
      </w:r>
      <w:r w:rsidRPr="00AF3A85">
        <w:rPr>
          <w:lang w:val="ru-RU"/>
        </w:rPr>
        <w:t xml:space="preserve"> </w:t>
      </w:r>
      <w:r>
        <w:rPr>
          <w:lang w:val="ru-RU"/>
        </w:rPr>
        <w:t>из</w:t>
      </w:r>
      <w:r w:rsidRPr="00AF3A85">
        <w:rPr>
          <w:lang w:val="ru-RU"/>
        </w:rPr>
        <w:t xml:space="preserve"> </w:t>
      </w:r>
      <w:r>
        <w:rPr>
          <w:lang w:val="ru-RU"/>
        </w:rPr>
        <w:t>Её</w:t>
      </w:r>
      <w:r w:rsidRPr="00AF3A85">
        <w:rPr>
          <w:lang w:val="ru-RU"/>
        </w:rPr>
        <w:t xml:space="preserve"> </w:t>
      </w:r>
      <w:r>
        <w:rPr>
          <w:lang w:val="ru-RU"/>
        </w:rPr>
        <w:t>Превосходительства</w:t>
      </w:r>
      <w:r w:rsidRPr="00AF3A85">
        <w:rPr>
          <w:lang w:val="ru-RU"/>
        </w:rPr>
        <w:t xml:space="preserve"> </w:t>
      </w:r>
      <w:r>
        <w:rPr>
          <w:lang w:val="ru-RU"/>
        </w:rPr>
        <w:t>г</w:t>
      </w:r>
      <w:r w:rsidRPr="00AF3A85">
        <w:rPr>
          <w:lang w:val="ru-RU"/>
        </w:rPr>
        <w:t>-</w:t>
      </w:r>
      <w:r>
        <w:rPr>
          <w:lang w:val="ru-RU"/>
        </w:rPr>
        <w:t>жи</w:t>
      </w:r>
      <w:proofErr w:type="gramStart"/>
      <w:r w:rsidRPr="00AF3A85">
        <w:rPr>
          <w:lang w:val="ru-RU"/>
        </w:rPr>
        <w:t xml:space="preserve"> </w:t>
      </w:r>
      <w:r>
        <w:rPr>
          <w:lang w:val="ru-RU"/>
        </w:rPr>
        <w:t>Т</w:t>
      </w:r>
      <w:proofErr w:type="gramEnd"/>
      <w:r>
        <w:rPr>
          <w:lang w:val="ru-RU"/>
        </w:rPr>
        <w:t xml:space="preserve">руди </w:t>
      </w:r>
      <w:proofErr w:type="spellStart"/>
      <w:r>
        <w:rPr>
          <w:lang w:val="ru-RU"/>
        </w:rPr>
        <w:t>Амулунгу</w:t>
      </w:r>
      <w:proofErr w:type="spellEnd"/>
      <w:r>
        <w:rPr>
          <w:lang w:val="ru-RU"/>
        </w:rPr>
        <w:t xml:space="preserve"> (Намибия)</w:t>
      </w:r>
      <w:r w:rsidR="00B64512">
        <w:rPr>
          <w:lang w:val="ru-RU"/>
        </w:rPr>
        <w:t>,</w:t>
      </w:r>
      <w:r>
        <w:rPr>
          <w:lang w:val="ru-RU"/>
        </w:rPr>
        <w:t xml:space="preserve"> председателя; Бельгии, Венгрии, Бразилии, Индии и Туниса</w:t>
      </w:r>
      <w:r w:rsidR="00B64512">
        <w:rPr>
          <w:lang w:val="ru-RU"/>
        </w:rPr>
        <w:t>,</w:t>
      </w:r>
      <w:r>
        <w:rPr>
          <w:lang w:val="ru-RU"/>
        </w:rPr>
        <w:t xml:space="preserve"> заместителей председателя</w:t>
      </w:r>
      <w:r w:rsidR="00AC4D6C">
        <w:rPr>
          <w:lang w:val="ru-RU"/>
        </w:rPr>
        <w:t>,</w:t>
      </w:r>
      <w:r>
        <w:rPr>
          <w:lang w:val="ru-RU"/>
        </w:rPr>
        <w:t xml:space="preserve"> и г-на Ахмеда Али </w:t>
      </w:r>
      <w:proofErr w:type="spellStart"/>
      <w:r>
        <w:rPr>
          <w:lang w:val="ru-RU"/>
        </w:rPr>
        <w:t>Морси</w:t>
      </w:r>
      <w:proofErr w:type="spellEnd"/>
      <w:r>
        <w:rPr>
          <w:lang w:val="ru-RU"/>
        </w:rPr>
        <w:t xml:space="preserve"> (Египет)</w:t>
      </w:r>
      <w:r w:rsidR="00B64512">
        <w:rPr>
          <w:lang w:val="ru-RU"/>
        </w:rPr>
        <w:t>,</w:t>
      </w:r>
      <w:r>
        <w:rPr>
          <w:lang w:val="ru-RU"/>
        </w:rPr>
        <w:t xml:space="preserve"> докладчика.</w:t>
      </w:r>
    </w:p>
    <w:p w:rsidR="00EA71AC" w:rsidRPr="00AC4D6C" w:rsidRDefault="00AC4D6C" w:rsidP="00EA71AC">
      <w:pPr>
        <w:pStyle w:val="Marge"/>
        <w:numPr>
          <w:ilvl w:val="0"/>
          <w:numId w:val="13"/>
        </w:numPr>
        <w:tabs>
          <w:tab w:val="clear" w:pos="720"/>
        </w:tabs>
        <w:spacing w:after="120"/>
        <w:ind w:left="567" w:hanging="567"/>
        <w:rPr>
          <w:lang w:val="ru-RU"/>
        </w:rPr>
      </w:pPr>
      <w:r>
        <w:rPr>
          <w:lang w:val="ru-RU"/>
        </w:rPr>
        <w:t>Президиум</w:t>
      </w:r>
      <w:r w:rsidRPr="00AC4D6C">
        <w:rPr>
          <w:lang w:val="ru-RU"/>
        </w:rPr>
        <w:t xml:space="preserve"> </w:t>
      </w:r>
      <w:r>
        <w:rPr>
          <w:lang w:val="ru-RU"/>
        </w:rPr>
        <w:t>одиннадцатой</w:t>
      </w:r>
      <w:r w:rsidRPr="00AC4D6C">
        <w:rPr>
          <w:lang w:val="ru-RU"/>
        </w:rPr>
        <w:t xml:space="preserve"> </w:t>
      </w:r>
      <w:r>
        <w:rPr>
          <w:lang w:val="ru-RU"/>
        </w:rPr>
        <w:t>сессии</w:t>
      </w:r>
      <w:r w:rsidRPr="00AC4D6C">
        <w:rPr>
          <w:lang w:val="ru-RU"/>
        </w:rPr>
        <w:t xml:space="preserve"> </w:t>
      </w:r>
      <w:r>
        <w:rPr>
          <w:lang w:val="ru-RU"/>
        </w:rPr>
        <w:t>Комитета</w:t>
      </w:r>
      <w:r w:rsidRPr="00AC4D6C">
        <w:rPr>
          <w:lang w:val="ru-RU"/>
        </w:rPr>
        <w:t xml:space="preserve"> </w:t>
      </w:r>
      <w:r>
        <w:rPr>
          <w:lang w:val="ru-RU"/>
        </w:rPr>
        <w:t>был</w:t>
      </w:r>
      <w:r w:rsidRPr="00AC4D6C">
        <w:rPr>
          <w:lang w:val="ru-RU"/>
        </w:rPr>
        <w:t xml:space="preserve"> </w:t>
      </w:r>
      <w:r>
        <w:rPr>
          <w:lang w:val="ru-RU"/>
        </w:rPr>
        <w:t>избран</w:t>
      </w:r>
      <w:r w:rsidRPr="00AC4D6C">
        <w:rPr>
          <w:lang w:val="ru-RU"/>
        </w:rPr>
        <w:t xml:space="preserve"> </w:t>
      </w:r>
      <w:r>
        <w:rPr>
          <w:lang w:val="ru-RU"/>
        </w:rPr>
        <w:t>в</w:t>
      </w:r>
      <w:r w:rsidRPr="00AC4D6C">
        <w:rPr>
          <w:lang w:val="ru-RU"/>
        </w:rPr>
        <w:t xml:space="preserve"> </w:t>
      </w:r>
      <w:r>
        <w:rPr>
          <w:lang w:val="ru-RU"/>
        </w:rPr>
        <w:t>конце</w:t>
      </w:r>
      <w:r w:rsidRPr="00AC4D6C">
        <w:rPr>
          <w:lang w:val="ru-RU"/>
        </w:rPr>
        <w:t xml:space="preserve"> </w:t>
      </w:r>
      <w:r>
        <w:rPr>
          <w:lang w:val="ru-RU"/>
        </w:rPr>
        <w:t>десятой</w:t>
      </w:r>
      <w:r w:rsidRPr="00AC4D6C">
        <w:rPr>
          <w:lang w:val="ru-RU"/>
        </w:rPr>
        <w:t xml:space="preserve"> </w:t>
      </w:r>
      <w:r>
        <w:rPr>
          <w:lang w:val="ru-RU"/>
        </w:rPr>
        <w:t>сессии</w:t>
      </w:r>
      <w:r w:rsidRPr="00AC4D6C">
        <w:rPr>
          <w:lang w:val="ru-RU"/>
        </w:rPr>
        <w:t xml:space="preserve"> </w:t>
      </w:r>
      <w:r>
        <w:rPr>
          <w:lang w:val="ru-RU"/>
        </w:rPr>
        <w:t>в</w:t>
      </w:r>
      <w:r w:rsidRPr="00AC4D6C">
        <w:rPr>
          <w:lang w:val="ru-RU"/>
        </w:rPr>
        <w:t xml:space="preserve"> </w:t>
      </w:r>
      <w:r>
        <w:rPr>
          <w:lang w:val="ru-RU"/>
        </w:rPr>
        <w:t>декабре</w:t>
      </w:r>
      <w:r w:rsidRPr="00AC4D6C">
        <w:rPr>
          <w:lang w:val="ru-RU"/>
        </w:rPr>
        <w:t xml:space="preserve"> 2015</w:t>
      </w:r>
      <w:r w:rsidRPr="00AC4D6C">
        <w:rPr>
          <w:lang w:val="en-US"/>
        </w:rPr>
        <w:t> </w:t>
      </w:r>
      <w:r>
        <w:rPr>
          <w:lang w:val="ru-RU"/>
        </w:rPr>
        <w:t>г</w:t>
      </w:r>
      <w:r w:rsidRPr="00AC4D6C">
        <w:rPr>
          <w:lang w:val="ru-RU"/>
        </w:rPr>
        <w:t xml:space="preserve">. </w:t>
      </w:r>
      <w:r>
        <w:rPr>
          <w:lang w:val="ru-RU"/>
        </w:rPr>
        <w:t>в</w:t>
      </w:r>
      <w:r w:rsidRPr="00AC4D6C">
        <w:rPr>
          <w:lang w:val="ru-RU"/>
        </w:rPr>
        <w:t xml:space="preserve"> </w:t>
      </w:r>
      <w:r>
        <w:rPr>
          <w:lang w:val="ru-RU"/>
        </w:rPr>
        <w:t>Виндхуке</w:t>
      </w:r>
      <w:r w:rsidRPr="00AC4D6C">
        <w:rPr>
          <w:lang w:val="ru-RU"/>
        </w:rPr>
        <w:t xml:space="preserve"> (</w:t>
      </w:r>
      <w:r>
        <w:rPr>
          <w:lang w:val="ru-RU"/>
        </w:rPr>
        <w:t>Намибия</w:t>
      </w:r>
      <w:r w:rsidRPr="00AC4D6C">
        <w:rPr>
          <w:lang w:val="ru-RU"/>
        </w:rPr>
        <w:t xml:space="preserve">) </w:t>
      </w:r>
      <w:r w:rsidRPr="00EE1592">
        <w:rPr>
          <w:lang w:val="ru-RU"/>
        </w:rPr>
        <w:t xml:space="preserve">и состоит из г-на Йонаса </w:t>
      </w:r>
      <w:proofErr w:type="spellStart"/>
      <w:r w:rsidRPr="00EE1592">
        <w:rPr>
          <w:lang w:val="ru-RU"/>
        </w:rPr>
        <w:t>Десты</w:t>
      </w:r>
      <w:proofErr w:type="spellEnd"/>
      <w:r w:rsidRPr="00EE1592">
        <w:rPr>
          <w:lang w:val="ru-RU"/>
        </w:rPr>
        <w:t xml:space="preserve"> </w:t>
      </w:r>
      <w:proofErr w:type="spellStart"/>
      <w:r w:rsidRPr="00EE1592">
        <w:rPr>
          <w:lang w:val="ru-RU"/>
        </w:rPr>
        <w:t>Цегайе</w:t>
      </w:r>
      <w:proofErr w:type="spellEnd"/>
      <w:r w:rsidRPr="00EE1592">
        <w:rPr>
          <w:lang w:val="ru-RU"/>
        </w:rPr>
        <w:t xml:space="preserve"> (Эфиопия), председателя; Турции, Болгарии, Сент-Люсии, Республики Корея и Алжира, заместителей председателя, и г-на Мурата </w:t>
      </w:r>
      <w:proofErr w:type="spellStart"/>
      <w:r w:rsidR="00DC4F86" w:rsidRPr="00EE1592">
        <w:rPr>
          <w:lang w:val="ru-RU"/>
        </w:rPr>
        <w:t>Согангёза</w:t>
      </w:r>
      <w:proofErr w:type="spellEnd"/>
      <w:r w:rsidR="00DC4F86" w:rsidRPr="00EE1592">
        <w:rPr>
          <w:lang w:val="ru-RU"/>
        </w:rPr>
        <w:t xml:space="preserve"> </w:t>
      </w:r>
      <w:r w:rsidRPr="00EE1592">
        <w:rPr>
          <w:lang w:val="ru-RU"/>
        </w:rPr>
        <w:t>(Турция)</w:t>
      </w:r>
      <w:r w:rsidR="00B6257D" w:rsidRPr="00EE1592">
        <w:rPr>
          <w:lang w:val="ru-RU"/>
        </w:rPr>
        <w:t>, докладчика</w:t>
      </w:r>
      <w:r w:rsidRPr="00EE1592">
        <w:rPr>
          <w:lang w:val="ru-RU"/>
        </w:rPr>
        <w:t>.</w:t>
      </w:r>
    </w:p>
    <w:p w:rsidR="00EA71AC" w:rsidRPr="00EE1592" w:rsidRDefault="00492631" w:rsidP="00EA71AC">
      <w:pPr>
        <w:pStyle w:val="Marge"/>
        <w:numPr>
          <w:ilvl w:val="0"/>
          <w:numId w:val="13"/>
        </w:numPr>
        <w:tabs>
          <w:tab w:val="clear" w:pos="720"/>
        </w:tabs>
        <w:spacing w:after="120"/>
        <w:ind w:left="567" w:hanging="567"/>
        <w:rPr>
          <w:lang w:val="ru-RU"/>
        </w:rPr>
      </w:pPr>
      <w:r w:rsidRPr="00D85D0B">
        <w:rPr>
          <w:rFonts w:eastAsia="Arial" w:cs="Arial"/>
          <w:szCs w:val="22"/>
          <w:lang w:val="ru-RU"/>
        </w:rPr>
        <w:t xml:space="preserve">Во время сессий Комитета Президиум </w:t>
      </w:r>
      <w:r w:rsidR="00D65575" w:rsidRPr="00D85D0B">
        <w:rPr>
          <w:rFonts w:eastAsia="Arial" w:cs="Arial"/>
          <w:szCs w:val="22"/>
          <w:lang w:val="ru-RU"/>
        </w:rPr>
        <w:t>проводил</w:t>
      </w:r>
      <w:r w:rsidRPr="00D85D0B">
        <w:rPr>
          <w:rFonts w:eastAsia="Arial" w:cs="Arial"/>
          <w:szCs w:val="22"/>
          <w:lang w:val="ru-RU"/>
        </w:rPr>
        <w:t xml:space="preserve"> ежедневн</w:t>
      </w:r>
      <w:r w:rsidR="00D65575" w:rsidRPr="00D85D0B">
        <w:rPr>
          <w:rFonts w:eastAsia="Arial" w:cs="Arial"/>
          <w:szCs w:val="22"/>
          <w:lang w:val="ru-RU"/>
        </w:rPr>
        <w:t>ые совещания</w:t>
      </w:r>
      <w:r w:rsidRPr="00D85D0B">
        <w:rPr>
          <w:rFonts w:eastAsia="Arial" w:cs="Arial"/>
          <w:szCs w:val="22"/>
          <w:lang w:val="ru-RU"/>
        </w:rPr>
        <w:t xml:space="preserve"> для корректировки расписания сессии по мере её </w:t>
      </w:r>
      <w:r w:rsidR="00D65575" w:rsidRPr="00D85D0B">
        <w:rPr>
          <w:rFonts w:eastAsia="Arial" w:cs="Arial"/>
          <w:szCs w:val="22"/>
          <w:lang w:val="ru-RU"/>
        </w:rPr>
        <w:t xml:space="preserve">работы. Президиум </w:t>
      </w:r>
      <w:r w:rsidR="00A17921" w:rsidRPr="00D85D0B">
        <w:rPr>
          <w:rFonts w:eastAsia="Arial" w:cs="Arial"/>
          <w:szCs w:val="22"/>
          <w:lang w:val="ru-RU"/>
        </w:rPr>
        <w:t xml:space="preserve">также </w:t>
      </w:r>
      <w:r w:rsidR="00D65575" w:rsidRPr="00D85D0B">
        <w:rPr>
          <w:rFonts w:eastAsia="Arial" w:cs="Arial"/>
          <w:szCs w:val="22"/>
          <w:lang w:val="ru-RU"/>
        </w:rPr>
        <w:t xml:space="preserve">трижды проводил совещания после пятой сессии Генеральной ассамблеи – дважды в штаб-квартире ЮНЕСКО: 13 октября 2014 г. </w:t>
      </w:r>
      <w:r w:rsidR="00EA71AC" w:rsidRPr="00D85D0B">
        <w:rPr>
          <w:rFonts w:eastAsia="Arial" w:cs="Arial"/>
          <w:szCs w:val="22"/>
          <w:lang w:val="ru-RU"/>
        </w:rPr>
        <w:t>(9.</w:t>
      </w:r>
      <w:r w:rsidR="00EA71AC" w:rsidRPr="00D85D0B">
        <w:rPr>
          <w:rFonts w:eastAsia="Arial" w:cs="Arial"/>
          <w:szCs w:val="22"/>
          <w:lang w:val="en-GB"/>
        </w:rPr>
        <w:t>COM </w:t>
      </w:r>
      <w:r w:rsidR="00EA71AC" w:rsidRPr="00D85D0B">
        <w:rPr>
          <w:rFonts w:eastAsia="Arial" w:cs="Arial"/>
          <w:szCs w:val="22"/>
          <w:lang w:val="ru-RU"/>
        </w:rPr>
        <w:t>3.</w:t>
      </w:r>
      <w:r w:rsidR="00EA71AC" w:rsidRPr="00D85D0B">
        <w:rPr>
          <w:rFonts w:eastAsia="Arial" w:cs="Arial"/>
          <w:szCs w:val="22"/>
          <w:lang w:val="en-GB"/>
        </w:rPr>
        <w:t>BUR</w:t>
      </w:r>
      <w:r w:rsidR="00EA71AC" w:rsidRPr="00D85D0B">
        <w:rPr>
          <w:rFonts w:eastAsia="Arial" w:cs="Arial"/>
          <w:szCs w:val="22"/>
          <w:lang w:val="ru-RU"/>
        </w:rPr>
        <w:t xml:space="preserve">) </w:t>
      </w:r>
      <w:r w:rsidR="00D65575" w:rsidRPr="00D85D0B">
        <w:rPr>
          <w:rFonts w:eastAsia="Arial" w:cs="Arial"/>
          <w:szCs w:val="22"/>
          <w:lang w:val="ru-RU"/>
        </w:rPr>
        <w:t xml:space="preserve">и 6 октября 2015 г. </w:t>
      </w:r>
      <w:r w:rsidR="00EA71AC" w:rsidRPr="00D85D0B">
        <w:rPr>
          <w:rFonts w:eastAsia="Arial" w:cs="Arial"/>
          <w:szCs w:val="22"/>
          <w:lang w:val="ru-RU"/>
        </w:rPr>
        <w:t>(10.</w:t>
      </w:r>
      <w:r w:rsidR="00EA71AC" w:rsidRPr="00D85D0B">
        <w:rPr>
          <w:rFonts w:eastAsia="Arial" w:cs="Arial"/>
          <w:szCs w:val="22"/>
          <w:lang w:val="en-GB"/>
        </w:rPr>
        <w:t>COM </w:t>
      </w:r>
      <w:r w:rsidR="00EA71AC" w:rsidRPr="00D85D0B">
        <w:rPr>
          <w:rFonts w:eastAsia="Arial" w:cs="Arial"/>
          <w:szCs w:val="22"/>
          <w:lang w:val="ru-RU"/>
        </w:rPr>
        <w:t>2.</w:t>
      </w:r>
      <w:r w:rsidR="00EA71AC" w:rsidRPr="00D85D0B">
        <w:rPr>
          <w:rFonts w:eastAsia="Arial" w:cs="Arial"/>
          <w:szCs w:val="22"/>
          <w:lang w:val="en-GB"/>
        </w:rPr>
        <w:t>BUR</w:t>
      </w:r>
      <w:r w:rsidR="00EA71AC" w:rsidRPr="00D85D0B">
        <w:rPr>
          <w:rFonts w:eastAsia="Arial" w:cs="Arial"/>
          <w:szCs w:val="22"/>
          <w:lang w:val="ru-RU"/>
        </w:rPr>
        <w:t>)</w:t>
      </w:r>
      <w:r w:rsidR="00D65575" w:rsidRPr="00D85D0B">
        <w:rPr>
          <w:rFonts w:eastAsia="Arial" w:cs="Arial"/>
          <w:szCs w:val="22"/>
          <w:lang w:val="ru-RU"/>
        </w:rPr>
        <w:t xml:space="preserve"> и один раз в Виндхуке (Намибия), 4 декабря 2015 г. </w:t>
      </w:r>
      <w:r w:rsidR="00EA71AC" w:rsidRPr="00EE1592">
        <w:rPr>
          <w:rFonts w:eastAsia="Arial" w:cs="Arial"/>
          <w:szCs w:val="22"/>
          <w:lang w:val="ru-RU"/>
        </w:rPr>
        <w:t>(10.</w:t>
      </w:r>
      <w:r w:rsidR="00EA71AC" w:rsidRPr="00EE1592">
        <w:rPr>
          <w:rFonts w:eastAsia="Arial" w:cs="Arial"/>
          <w:szCs w:val="22"/>
          <w:lang w:val="en-GB"/>
        </w:rPr>
        <w:t>COM </w:t>
      </w:r>
      <w:r w:rsidR="00EA71AC" w:rsidRPr="00EE1592">
        <w:rPr>
          <w:rFonts w:eastAsia="Arial" w:cs="Arial"/>
          <w:szCs w:val="22"/>
          <w:lang w:val="ru-RU"/>
        </w:rPr>
        <w:t>3.</w:t>
      </w:r>
      <w:r w:rsidR="00EA71AC" w:rsidRPr="00EE1592">
        <w:rPr>
          <w:rFonts w:eastAsia="Arial" w:cs="Arial"/>
          <w:szCs w:val="22"/>
          <w:lang w:val="en-GB"/>
        </w:rPr>
        <w:t>BUR</w:t>
      </w:r>
      <w:r w:rsidR="00EA71AC" w:rsidRPr="00EE1592">
        <w:rPr>
          <w:rFonts w:eastAsia="Arial" w:cs="Arial"/>
          <w:szCs w:val="22"/>
          <w:lang w:val="ru-RU"/>
        </w:rPr>
        <w:t>)</w:t>
      </w:r>
      <w:r w:rsidR="00EA71AC" w:rsidRPr="00EE1592">
        <w:rPr>
          <w:lang w:val="ru-RU"/>
        </w:rPr>
        <w:t xml:space="preserve">. </w:t>
      </w:r>
      <w:r w:rsidR="00A17921" w:rsidRPr="00D85D0B">
        <w:rPr>
          <w:lang w:val="ru-RU"/>
        </w:rPr>
        <w:t>Кроме того, в июне</w:t>
      </w:r>
      <w:r w:rsidR="00A17921" w:rsidRPr="00D85D0B">
        <w:rPr>
          <w:lang w:val="en-US"/>
        </w:rPr>
        <w:t> </w:t>
      </w:r>
      <w:r w:rsidR="00A17921" w:rsidRPr="00D85D0B">
        <w:rPr>
          <w:lang w:val="ru-RU"/>
        </w:rPr>
        <w:t>2014</w:t>
      </w:r>
      <w:r w:rsidR="00A17921" w:rsidRPr="00D85D0B">
        <w:rPr>
          <w:lang w:val="en-US"/>
        </w:rPr>
        <w:t> </w:t>
      </w:r>
      <w:r w:rsidR="00A17921" w:rsidRPr="00D85D0B">
        <w:rPr>
          <w:lang w:val="ru-RU"/>
        </w:rPr>
        <w:t>г. (9.</w:t>
      </w:r>
      <w:r w:rsidR="00A17921" w:rsidRPr="00D85D0B">
        <w:rPr>
          <w:rFonts w:eastAsia="Arial" w:cs="Arial"/>
          <w:szCs w:val="22"/>
          <w:lang w:val="en-GB"/>
        </w:rPr>
        <w:t>COM </w:t>
      </w:r>
      <w:r w:rsidR="00A17921" w:rsidRPr="00D85D0B">
        <w:rPr>
          <w:rFonts w:eastAsia="Arial" w:cs="Arial"/>
          <w:szCs w:val="22"/>
          <w:lang w:val="ru-RU"/>
        </w:rPr>
        <w:t>2.</w:t>
      </w:r>
      <w:r w:rsidR="00A17921" w:rsidRPr="00D85D0B">
        <w:rPr>
          <w:rFonts w:eastAsia="Arial" w:cs="Arial"/>
          <w:szCs w:val="22"/>
          <w:lang w:val="en-GB"/>
        </w:rPr>
        <w:t>BUR</w:t>
      </w:r>
      <w:r w:rsidR="00A17921" w:rsidRPr="00D85D0B">
        <w:rPr>
          <w:rFonts w:eastAsia="Arial" w:cs="Arial"/>
          <w:szCs w:val="22"/>
          <w:lang w:val="ru-RU"/>
        </w:rPr>
        <w:t>), ноябре 2014</w:t>
      </w:r>
      <w:r w:rsidR="00A17921" w:rsidRPr="00D85D0B">
        <w:rPr>
          <w:rFonts w:eastAsia="Arial" w:cs="Arial"/>
          <w:szCs w:val="22"/>
          <w:lang w:val="en-US"/>
        </w:rPr>
        <w:t> </w:t>
      </w:r>
      <w:r w:rsidR="00A17921" w:rsidRPr="00D85D0B">
        <w:rPr>
          <w:rFonts w:eastAsia="Arial" w:cs="Arial"/>
          <w:szCs w:val="22"/>
          <w:lang w:val="ru-RU"/>
        </w:rPr>
        <w:t>г. (9.</w:t>
      </w:r>
      <w:r w:rsidR="00A17921" w:rsidRPr="00D85D0B">
        <w:rPr>
          <w:rFonts w:eastAsia="Arial" w:cs="Arial"/>
          <w:szCs w:val="22"/>
          <w:lang w:val="en-GB"/>
        </w:rPr>
        <w:t>COM </w:t>
      </w:r>
      <w:r w:rsidR="00A17921" w:rsidRPr="00D85D0B">
        <w:rPr>
          <w:rFonts w:eastAsia="Arial" w:cs="Arial"/>
          <w:szCs w:val="22"/>
          <w:lang w:val="ru-RU"/>
        </w:rPr>
        <w:t>4.</w:t>
      </w:r>
      <w:r w:rsidR="00A17921" w:rsidRPr="00D85D0B">
        <w:rPr>
          <w:rFonts w:eastAsia="Arial" w:cs="Arial"/>
          <w:szCs w:val="22"/>
          <w:lang w:val="en-GB"/>
        </w:rPr>
        <w:t>BUR</w:t>
      </w:r>
      <w:r w:rsidR="00A17921" w:rsidRPr="00D85D0B">
        <w:rPr>
          <w:rFonts w:eastAsia="Arial" w:cs="Arial"/>
          <w:szCs w:val="22"/>
          <w:lang w:val="ru-RU"/>
        </w:rPr>
        <w:t>), июне 2015</w:t>
      </w:r>
      <w:r w:rsidR="00A17921" w:rsidRPr="00D85D0B">
        <w:rPr>
          <w:rFonts w:eastAsia="Arial" w:cs="Arial"/>
          <w:szCs w:val="22"/>
          <w:lang w:val="en-US"/>
        </w:rPr>
        <w:t> </w:t>
      </w:r>
      <w:r w:rsidR="00A17921" w:rsidRPr="00D85D0B">
        <w:rPr>
          <w:rFonts w:eastAsia="Arial" w:cs="Arial"/>
          <w:szCs w:val="22"/>
          <w:lang w:val="ru-RU"/>
        </w:rPr>
        <w:t xml:space="preserve">г. </w:t>
      </w:r>
      <w:r w:rsidR="00EA71AC" w:rsidRPr="00D85D0B">
        <w:rPr>
          <w:rFonts w:eastAsia="Arial" w:cs="Arial"/>
          <w:szCs w:val="22"/>
          <w:lang w:val="ru-RU"/>
        </w:rPr>
        <w:t>(10.</w:t>
      </w:r>
      <w:r w:rsidR="00EA71AC" w:rsidRPr="00D85D0B">
        <w:rPr>
          <w:rFonts w:eastAsia="Arial" w:cs="Arial"/>
          <w:szCs w:val="22"/>
          <w:lang w:val="en-GB"/>
        </w:rPr>
        <w:t>COM </w:t>
      </w:r>
      <w:r w:rsidR="00EA71AC" w:rsidRPr="00D85D0B">
        <w:rPr>
          <w:rFonts w:eastAsia="Arial" w:cs="Arial"/>
          <w:szCs w:val="22"/>
          <w:lang w:val="ru-RU"/>
        </w:rPr>
        <w:t>1.</w:t>
      </w:r>
      <w:r w:rsidR="00EA71AC" w:rsidRPr="00D85D0B">
        <w:rPr>
          <w:rFonts w:eastAsia="Arial" w:cs="Arial"/>
          <w:szCs w:val="22"/>
          <w:lang w:val="en-GB"/>
        </w:rPr>
        <w:t>BUR</w:t>
      </w:r>
      <w:r w:rsidR="00EA71AC" w:rsidRPr="00D85D0B">
        <w:rPr>
          <w:rFonts w:eastAsia="Arial" w:cs="Arial"/>
          <w:szCs w:val="22"/>
          <w:lang w:val="ru-RU"/>
        </w:rPr>
        <w:t>)</w:t>
      </w:r>
      <w:r w:rsidR="006E1155" w:rsidRPr="00D85D0B">
        <w:rPr>
          <w:rFonts w:eastAsia="Arial" w:cs="Arial"/>
          <w:szCs w:val="22"/>
          <w:lang w:val="ru-RU"/>
        </w:rPr>
        <w:t xml:space="preserve"> и апреле </w:t>
      </w:r>
      <w:r w:rsidR="00EA71AC" w:rsidRPr="00EE1592">
        <w:rPr>
          <w:rFonts w:eastAsia="Arial" w:cs="Arial"/>
          <w:szCs w:val="22"/>
          <w:lang w:val="ru-RU"/>
        </w:rPr>
        <w:t>2016</w:t>
      </w:r>
      <w:r w:rsidR="006E1155" w:rsidRPr="00EE1592">
        <w:rPr>
          <w:rFonts w:eastAsia="Arial" w:cs="Arial"/>
          <w:szCs w:val="22"/>
          <w:lang w:val="ru-RU"/>
        </w:rPr>
        <w:t> г.</w:t>
      </w:r>
      <w:r w:rsidR="00EA71AC" w:rsidRPr="00EE1592">
        <w:rPr>
          <w:rFonts w:eastAsia="Arial" w:cs="Arial"/>
          <w:szCs w:val="22"/>
          <w:lang w:val="ru-RU"/>
        </w:rPr>
        <w:t xml:space="preserve"> (11.</w:t>
      </w:r>
      <w:r w:rsidR="00EA71AC" w:rsidRPr="00EE1592">
        <w:rPr>
          <w:rFonts w:eastAsia="Arial" w:cs="Arial"/>
          <w:szCs w:val="22"/>
          <w:lang w:val="en-GB"/>
        </w:rPr>
        <w:t>COM </w:t>
      </w:r>
      <w:r w:rsidR="00EA71AC" w:rsidRPr="00EE1592">
        <w:rPr>
          <w:rFonts w:eastAsia="Arial" w:cs="Arial"/>
          <w:szCs w:val="22"/>
          <w:lang w:val="ru-RU"/>
        </w:rPr>
        <w:t xml:space="preserve">1 </w:t>
      </w:r>
      <w:r w:rsidR="00EA71AC" w:rsidRPr="00EE1592">
        <w:rPr>
          <w:rFonts w:eastAsia="Arial" w:cs="Arial"/>
          <w:szCs w:val="22"/>
          <w:lang w:val="en-GB"/>
        </w:rPr>
        <w:t>BUR</w:t>
      </w:r>
      <w:r w:rsidR="00EA71AC" w:rsidRPr="00EE1592">
        <w:rPr>
          <w:rFonts w:eastAsia="Arial" w:cs="Arial"/>
          <w:szCs w:val="22"/>
          <w:lang w:val="ru-RU"/>
        </w:rPr>
        <w:t>)</w:t>
      </w:r>
      <w:r w:rsidR="006E1155" w:rsidRPr="00EE1592">
        <w:rPr>
          <w:rFonts w:eastAsia="Arial" w:cs="Arial"/>
          <w:szCs w:val="22"/>
          <w:lang w:val="ru-RU"/>
        </w:rPr>
        <w:t xml:space="preserve"> проводились электронные консультации</w:t>
      </w:r>
      <w:r w:rsidR="00D85D0B" w:rsidRPr="00EE1592">
        <w:rPr>
          <w:rFonts w:eastAsia="Arial" w:cs="Arial"/>
          <w:szCs w:val="22"/>
          <w:lang w:val="ru-RU"/>
        </w:rPr>
        <w:t xml:space="preserve"> Президиума</w:t>
      </w:r>
      <w:r w:rsidR="00EA71AC" w:rsidRPr="00EE1592">
        <w:rPr>
          <w:rFonts w:eastAsia="Arial" w:cs="Arial"/>
          <w:szCs w:val="22"/>
          <w:lang w:val="ru-RU"/>
        </w:rPr>
        <w:t>.</w:t>
      </w:r>
      <w:r w:rsidR="00EA71AC" w:rsidRPr="00EE1592">
        <w:rPr>
          <w:lang w:val="ru-RU"/>
        </w:rPr>
        <w:t xml:space="preserve"> </w:t>
      </w:r>
    </w:p>
    <w:p w:rsidR="00EA71AC" w:rsidRPr="009555F1" w:rsidRDefault="006E1155" w:rsidP="00EA71AC">
      <w:pPr>
        <w:pStyle w:val="Marge"/>
        <w:numPr>
          <w:ilvl w:val="0"/>
          <w:numId w:val="13"/>
        </w:numPr>
        <w:tabs>
          <w:tab w:val="clear" w:pos="720"/>
        </w:tabs>
        <w:spacing w:after="120"/>
        <w:ind w:left="567" w:hanging="567"/>
        <w:rPr>
          <w:rFonts w:cs="Arial"/>
          <w:b/>
          <w:szCs w:val="22"/>
          <w:lang w:val="ru-RU"/>
        </w:rPr>
      </w:pPr>
      <w:r w:rsidRPr="00D85D0B">
        <w:rPr>
          <w:rFonts w:eastAsia="Arial" w:cs="Arial"/>
          <w:szCs w:val="22"/>
          <w:lang w:val="ru-RU"/>
        </w:rPr>
        <w:t>За отчётный период Комитет и его Президиум рассмотрели в общей сложности 76 пунктов и подпунктов повестки дня, к которым было подготовлено 75 рабочих документов и информационных документов</w:t>
      </w:r>
      <w:r w:rsidR="00631C64" w:rsidRPr="00D85D0B">
        <w:rPr>
          <w:rFonts w:eastAsia="Arial" w:cs="Arial"/>
          <w:szCs w:val="22"/>
          <w:lang w:val="ru-RU"/>
        </w:rPr>
        <w:t>;</w:t>
      </w:r>
      <w:r w:rsidRPr="00D85D0B">
        <w:rPr>
          <w:rFonts w:eastAsia="Arial" w:cs="Arial"/>
          <w:szCs w:val="22"/>
          <w:lang w:val="ru-RU"/>
        </w:rPr>
        <w:t xml:space="preserve"> 306 </w:t>
      </w:r>
      <w:r w:rsidR="00E2243E" w:rsidRPr="00D85D0B">
        <w:rPr>
          <w:rFonts w:eastAsia="Arial" w:cs="Arial"/>
          <w:szCs w:val="22"/>
          <w:lang w:val="ru-RU"/>
        </w:rPr>
        <w:t>номинаций, заявок на международную помощь, докладов, представленных государствами-участниками</w:t>
      </w:r>
      <w:r w:rsidR="00233C6D" w:rsidRPr="00D85D0B">
        <w:rPr>
          <w:rFonts w:eastAsia="Arial" w:cs="Arial"/>
          <w:szCs w:val="22"/>
          <w:lang w:val="ru-RU"/>
        </w:rPr>
        <w:t>,</w:t>
      </w:r>
      <w:r w:rsidR="00E2243E" w:rsidRPr="00D85D0B">
        <w:rPr>
          <w:rFonts w:eastAsia="Arial" w:cs="Arial"/>
          <w:szCs w:val="22"/>
          <w:lang w:val="ru-RU"/>
        </w:rPr>
        <w:t xml:space="preserve"> заявок </w:t>
      </w:r>
      <w:r w:rsidR="00233C6D" w:rsidRPr="00D85D0B">
        <w:rPr>
          <w:rFonts w:eastAsia="Arial" w:cs="Arial"/>
          <w:szCs w:val="22"/>
          <w:lang w:val="ru-RU"/>
        </w:rPr>
        <w:t>на аккредитацию новых неправительственных организаций (НПО)</w:t>
      </w:r>
      <w:r w:rsidR="00C403B3" w:rsidRPr="00D85D0B">
        <w:rPr>
          <w:rFonts w:eastAsia="Arial" w:cs="Arial"/>
          <w:szCs w:val="22"/>
          <w:lang w:val="ru-RU"/>
        </w:rPr>
        <w:t xml:space="preserve">, а также </w:t>
      </w:r>
      <w:r w:rsidR="00D85D0B" w:rsidRPr="00D85D0B">
        <w:rPr>
          <w:rFonts w:eastAsia="Arial" w:cs="Arial"/>
          <w:szCs w:val="22"/>
          <w:lang w:val="ru-RU"/>
        </w:rPr>
        <w:t xml:space="preserve">доклады </w:t>
      </w:r>
      <w:r w:rsidR="00233C6D" w:rsidRPr="00D85D0B">
        <w:rPr>
          <w:rFonts w:eastAsia="Arial" w:cs="Arial"/>
          <w:szCs w:val="22"/>
          <w:lang w:val="ru-RU"/>
        </w:rPr>
        <w:t xml:space="preserve">аккредитованных НПО. </w:t>
      </w:r>
      <w:proofErr w:type="gramStart"/>
      <w:r w:rsidR="00C403B3" w:rsidRPr="00D85D0B">
        <w:rPr>
          <w:rFonts w:eastAsia="Arial" w:cs="Arial"/>
          <w:szCs w:val="22"/>
          <w:lang w:val="ru-RU"/>
        </w:rPr>
        <w:t>Кроме того, К</w:t>
      </w:r>
      <w:r w:rsidR="00233C6D" w:rsidRPr="00EE1592">
        <w:rPr>
          <w:rFonts w:eastAsia="Arial" w:cs="Arial"/>
          <w:szCs w:val="22"/>
          <w:lang w:val="ru-RU"/>
        </w:rPr>
        <w:t xml:space="preserve">омитет рассмотрел доклад, представленный государством, не являющимся участником Конвенции, а именно Российской Федерации, о двух элементах, </w:t>
      </w:r>
      <w:r w:rsidR="009555F1" w:rsidRPr="00EE1592">
        <w:rPr>
          <w:rFonts w:eastAsia="Arial" w:cs="Arial"/>
          <w:szCs w:val="22"/>
          <w:lang w:val="ru-RU"/>
        </w:rPr>
        <w:t>первоначально провозглашённых шедеврами устного и нематериального наследия человечества и затем включённых в Репрезентативный список нематериального культурного наследия человечества в 2008 г.</w:t>
      </w:r>
      <w:r w:rsidR="009555F1" w:rsidRPr="009555F1">
        <w:rPr>
          <w:rFonts w:eastAsia="Arial" w:cs="Arial"/>
          <w:szCs w:val="22"/>
          <w:lang w:val="ru-RU"/>
        </w:rPr>
        <w:t xml:space="preserve"> </w:t>
      </w:r>
      <w:r w:rsidR="00EA71AC" w:rsidRPr="009555F1">
        <w:rPr>
          <w:rFonts w:cs="Arial"/>
          <w:b/>
          <w:szCs w:val="22"/>
          <w:lang w:val="ru-RU"/>
        </w:rPr>
        <w:br w:type="page"/>
      </w:r>
      <w:proofErr w:type="gramEnd"/>
    </w:p>
    <w:p w:rsidR="00EA71AC" w:rsidRPr="00E65E2F" w:rsidRDefault="00E65E2F" w:rsidP="00EA71AC">
      <w:pPr>
        <w:keepNext/>
        <w:numPr>
          <w:ilvl w:val="0"/>
          <w:numId w:val="14"/>
        </w:numPr>
        <w:tabs>
          <w:tab w:val="clear" w:pos="720"/>
        </w:tabs>
        <w:spacing w:before="360" w:after="240"/>
        <w:ind w:left="567" w:hanging="567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Содействие достижению целей Конвенции, поощрение и обеспечение мониторинга её выполнения</w:t>
      </w:r>
      <w:r w:rsidR="00EA71AC" w:rsidRPr="00E65E2F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EA71AC" w:rsidRPr="00E65E2F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  <w:lang w:val="ru-RU"/>
        </w:rPr>
        <w:t>статья</w:t>
      </w:r>
      <w:r w:rsidR="00EA71AC" w:rsidRPr="00E65E2F">
        <w:rPr>
          <w:rFonts w:ascii="Arial" w:hAnsi="Arial" w:cs="Arial"/>
          <w:sz w:val="22"/>
          <w:szCs w:val="22"/>
          <w:lang w:val="ru-RU"/>
        </w:rPr>
        <w:t xml:space="preserve"> 7[</w:t>
      </w:r>
      <w:r w:rsidR="00EA71AC" w:rsidRPr="00AE18A1">
        <w:rPr>
          <w:rFonts w:ascii="Arial" w:hAnsi="Arial" w:cs="Arial"/>
          <w:sz w:val="22"/>
          <w:szCs w:val="22"/>
          <w:lang w:val="en-GB"/>
        </w:rPr>
        <w:t>a</w:t>
      </w:r>
      <w:r w:rsidR="00EA71AC" w:rsidRPr="00E65E2F">
        <w:rPr>
          <w:rFonts w:ascii="Arial" w:hAnsi="Arial" w:cs="Arial"/>
          <w:sz w:val="22"/>
          <w:szCs w:val="22"/>
          <w:lang w:val="ru-RU"/>
        </w:rPr>
        <w:t>])</w:t>
      </w:r>
    </w:p>
    <w:p w:rsidR="00EA71AC" w:rsidRPr="00AE18A1" w:rsidRDefault="00685DDA" w:rsidP="00EA71AC">
      <w:pPr>
        <w:pStyle w:val="ListParagraph"/>
        <w:keepNext/>
        <w:numPr>
          <w:ilvl w:val="0"/>
          <w:numId w:val="16"/>
        </w:numPr>
        <w:spacing w:before="240" w:after="120"/>
        <w:ind w:left="567" w:hanging="567"/>
        <w:rPr>
          <w:rFonts w:cs="Arial"/>
          <w:b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ru-RU"/>
        </w:rPr>
        <w:t>Ратификация</w:t>
      </w:r>
    </w:p>
    <w:p w:rsidR="00EA71AC" w:rsidRPr="00EE1592" w:rsidRDefault="00685DDA" w:rsidP="00EA71AC">
      <w:pPr>
        <w:pStyle w:val="Marge"/>
        <w:numPr>
          <w:ilvl w:val="0"/>
          <w:numId w:val="13"/>
        </w:numPr>
        <w:tabs>
          <w:tab w:val="clear" w:pos="720"/>
        </w:tabs>
        <w:spacing w:after="120"/>
        <w:ind w:left="567" w:hanging="567"/>
        <w:rPr>
          <w:lang w:val="ru-RU"/>
        </w:rPr>
      </w:pPr>
      <w:r w:rsidRPr="00EE1592">
        <w:rPr>
          <w:rFonts w:eastAsia="Arial" w:cs="Arial"/>
          <w:szCs w:val="22"/>
          <w:lang w:val="ru-RU"/>
        </w:rPr>
        <w:t>В период с июня 2014</w:t>
      </w:r>
      <w:r w:rsidRPr="00EE1592">
        <w:rPr>
          <w:rFonts w:eastAsia="Arial" w:cs="Arial"/>
          <w:szCs w:val="22"/>
          <w:lang w:val="en-US"/>
        </w:rPr>
        <w:t> </w:t>
      </w:r>
      <w:r w:rsidRPr="00EE1592">
        <w:rPr>
          <w:rFonts w:eastAsia="Arial" w:cs="Arial"/>
          <w:szCs w:val="22"/>
          <w:lang w:val="ru-RU"/>
        </w:rPr>
        <w:t>г. по июнь 2016</w:t>
      </w:r>
      <w:r w:rsidRPr="00EE1592">
        <w:rPr>
          <w:rFonts w:eastAsia="Arial" w:cs="Arial"/>
          <w:szCs w:val="22"/>
          <w:lang w:val="en-US"/>
        </w:rPr>
        <w:t> </w:t>
      </w:r>
      <w:r w:rsidRPr="00EE1592">
        <w:rPr>
          <w:rFonts w:eastAsia="Arial" w:cs="Arial"/>
          <w:szCs w:val="22"/>
          <w:lang w:val="ru-RU"/>
        </w:rPr>
        <w:t xml:space="preserve">г. </w:t>
      </w:r>
      <w:r w:rsidR="00F07DA0" w:rsidRPr="00EE1592">
        <w:rPr>
          <w:rFonts w:eastAsia="Arial" w:cs="Arial"/>
          <w:szCs w:val="22"/>
          <w:lang w:val="ru-RU"/>
        </w:rPr>
        <w:t xml:space="preserve">Конвенцию ратифицировали </w:t>
      </w:r>
      <w:r w:rsidR="00D85D0B" w:rsidRPr="00EE1592">
        <w:rPr>
          <w:rFonts w:eastAsia="Arial" w:cs="Arial"/>
          <w:szCs w:val="22"/>
          <w:lang w:val="ru-RU"/>
        </w:rPr>
        <w:t xml:space="preserve">шесть </w:t>
      </w:r>
      <w:r w:rsidR="00F07DA0" w:rsidRPr="00EE1592">
        <w:rPr>
          <w:rFonts w:eastAsia="Arial" w:cs="Arial"/>
          <w:szCs w:val="22"/>
          <w:lang w:val="ru-RU"/>
        </w:rPr>
        <w:t xml:space="preserve">государств: Гана, </w:t>
      </w:r>
      <w:r w:rsidR="00D85D0B" w:rsidRPr="00EE1592">
        <w:rPr>
          <w:rFonts w:eastAsia="Arial" w:cs="Arial"/>
          <w:szCs w:val="22"/>
          <w:lang w:val="ru-RU"/>
        </w:rPr>
        <w:t xml:space="preserve">Гвинея-Бисау, </w:t>
      </w:r>
      <w:r w:rsidR="00F07DA0" w:rsidRPr="00EE1592">
        <w:rPr>
          <w:rFonts w:eastAsia="Arial" w:cs="Arial"/>
          <w:szCs w:val="22"/>
          <w:lang w:val="ru-RU"/>
        </w:rPr>
        <w:t>Ирландия, Кабо-Верде, Кувейт и Маршалловы острова. На момент проведения шестой сессии Генеральной ассамблеи 166 государств являются участниками Конвенции</w:t>
      </w:r>
      <w:r w:rsidR="00EA71AC" w:rsidRPr="00D85D0B">
        <w:rPr>
          <w:rFonts w:eastAsia="Arial" w:cs="Arial"/>
          <w:szCs w:val="22"/>
          <w:lang w:val="ru-RU"/>
        </w:rPr>
        <w:t>.</w:t>
      </w:r>
    </w:p>
    <w:p w:rsidR="00EA71AC" w:rsidRPr="00AE18A1" w:rsidRDefault="005177DA" w:rsidP="00EA71AC">
      <w:pPr>
        <w:pStyle w:val="ListParagraph"/>
        <w:keepNext/>
        <w:numPr>
          <w:ilvl w:val="0"/>
          <w:numId w:val="16"/>
        </w:numPr>
        <w:spacing w:before="240" w:after="120"/>
        <w:ind w:left="567" w:hanging="567"/>
        <w:rPr>
          <w:rFonts w:cs="Arial"/>
          <w:b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ru-RU"/>
        </w:rPr>
        <w:t>Укрепление потенциала</w:t>
      </w:r>
    </w:p>
    <w:p w:rsidR="00EA71AC" w:rsidRPr="00EF0B3E" w:rsidRDefault="003238EB" w:rsidP="00EA71AC">
      <w:pPr>
        <w:pStyle w:val="Marge"/>
        <w:numPr>
          <w:ilvl w:val="0"/>
          <w:numId w:val="13"/>
        </w:numPr>
        <w:tabs>
          <w:tab w:val="clear" w:pos="720"/>
        </w:tabs>
        <w:spacing w:after="120"/>
        <w:ind w:left="567" w:hanging="567"/>
        <w:rPr>
          <w:lang w:val="ru-RU"/>
        </w:rPr>
      </w:pPr>
      <w:r>
        <w:rPr>
          <w:rFonts w:cs="Arial"/>
          <w:szCs w:val="22"/>
          <w:lang w:val="ru-RU"/>
        </w:rPr>
        <w:t>Комитет</w:t>
      </w:r>
      <w:r w:rsidRPr="000C4043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по</w:t>
      </w:r>
      <w:r w:rsidRPr="000C4043">
        <w:rPr>
          <w:rFonts w:cs="Arial"/>
          <w:szCs w:val="22"/>
          <w:lang w:val="ru-RU"/>
        </w:rPr>
        <w:t>-</w:t>
      </w:r>
      <w:r>
        <w:rPr>
          <w:rFonts w:cs="Arial"/>
          <w:szCs w:val="22"/>
          <w:lang w:val="ru-RU"/>
        </w:rPr>
        <w:t>прежнему</w:t>
      </w:r>
      <w:r w:rsidRPr="000C4043">
        <w:rPr>
          <w:rFonts w:cs="Arial"/>
          <w:szCs w:val="22"/>
          <w:lang w:val="ru-RU"/>
        </w:rPr>
        <w:t xml:space="preserve"> </w:t>
      </w:r>
      <w:r w:rsidR="00937AF3">
        <w:rPr>
          <w:rFonts w:cs="Arial"/>
          <w:szCs w:val="22"/>
          <w:lang w:val="ru-RU"/>
        </w:rPr>
        <w:t>считает</w:t>
      </w:r>
      <w:r w:rsidRPr="000C4043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укрепление</w:t>
      </w:r>
      <w:r w:rsidRPr="000C4043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потенциала</w:t>
      </w:r>
      <w:r w:rsidRPr="000C4043">
        <w:rPr>
          <w:rFonts w:cs="Arial"/>
          <w:szCs w:val="22"/>
          <w:lang w:val="ru-RU"/>
        </w:rPr>
        <w:t xml:space="preserve"> </w:t>
      </w:r>
      <w:r w:rsidR="00937AF3">
        <w:rPr>
          <w:rFonts w:cs="Arial"/>
          <w:szCs w:val="22"/>
          <w:lang w:val="ru-RU"/>
        </w:rPr>
        <w:t>приоритетным</w:t>
      </w:r>
      <w:r w:rsidR="00937AF3" w:rsidRPr="000C4043">
        <w:rPr>
          <w:rFonts w:cs="Arial"/>
          <w:szCs w:val="22"/>
          <w:lang w:val="ru-RU"/>
        </w:rPr>
        <w:t xml:space="preserve"> </w:t>
      </w:r>
      <w:r w:rsidR="00937AF3">
        <w:rPr>
          <w:rFonts w:cs="Arial"/>
          <w:szCs w:val="22"/>
          <w:lang w:val="ru-RU"/>
        </w:rPr>
        <w:t>направлением</w:t>
      </w:r>
      <w:r w:rsidR="00937AF3" w:rsidRPr="000C4043">
        <w:rPr>
          <w:rFonts w:cs="Arial"/>
          <w:szCs w:val="22"/>
          <w:lang w:val="ru-RU"/>
        </w:rPr>
        <w:t xml:space="preserve"> </w:t>
      </w:r>
      <w:r w:rsidR="00937AF3">
        <w:rPr>
          <w:rFonts w:cs="Arial"/>
          <w:szCs w:val="22"/>
          <w:lang w:val="ru-RU"/>
        </w:rPr>
        <w:t>своей</w:t>
      </w:r>
      <w:r w:rsidR="00937AF3" w:rsidRPr="000C4043">
        <w:rPr>
          <w:rFonts w:cs="Arial"/>
          <w:szCs w:val="22"/>
          <w:lang w:val="ru-RU"/>
        </w:rPr>
        <w:t xml:space="preserve"> </w:t>
      </w:r>
      <w:r w:rsidR="00937AF3">
        <w:rPr>
          <w:rFonts w:cs="Arial"/>
          <w:szCs w:val="22"/>
          <w:lang w:val="ru-RU"/>
        </w:rPr>
        <w:t>деятельности</w:t>
      </w:r>
      <w:r w:rsidR="00937AF3" w:rsidRPr="000C4043">
        <w:rPr>
          <w:rFonts w:cs="Arial"/>
          <w:szCs w:val="22"/>
          <w:lang w:val="ru-RU"/>
        </w:rPr>
        <w:t xml:space="preserve">, </w:t>
      </w:r>
      <w:r w:rsidR="000C4043">
        <w:rPr>
          <w:rFonts w:cs="Arial"/>
          <w:szCs w:val="22"/>
          <w:lang w:val="ru-RU"/>
        </w:rPr>
        <w:t xml:space="preserve">будучи </w:t>
      </w:r>
      <w:r w:rsidR="00167D32">
        <w:rPr>
          <w:rFonts w:cs="Arial"/>
          <w:szCs w:val="22"/>
          <w:lang w:val="ru-RU"/>
        </w:rPr>
        <w:t>убе</w:t>
      </w:r>
      <w:r w:rsidR="000C4043">
        <w:rPr>
          <w:rFonts w:cs="Arial"/>
          <w:szCs w:val="22"/>
          <w:lang w:val="ru-RU"/>
        </w:rPr>
        <w:t>ждённым</w:t>
      </w:r>
      <w:r w:rsidR="00167D32" w:rsidRPr="000C4043">
        <w:rPr>
          <w:rFonts w:cs="Arial"/>
          <w:szCs w:val="22"/>
          <w:lang w:val="ru-RU"/>
        </w:rPr>
        <w:t xml:space="preserve">, </w:t>
      </w:r>
      <w:r w:rsidR="00167D32">
        <w:rPr>
          <w:rFonts w:cs="Arial"/>
          <w:szCs w:val="22"/>
          <w:lang w:val="ru-RU"/>
        </w:rPr>
        <w:t>что</w:t>
      </w:r>
      <w:r w:rsidR="00167D32" w:rsidRPr="000C4043">
        <w:rPr>
          <w:rFonts w:cs="Arial"/>
          <w:szCs w:val="22"/>
          <w:lang w:val="ru-RU"/>
        </w:rPr>
        <w:t xml:space="preserve"> </w:t>
      </w:r>
      <w:r w:rsidR="00167D32">
        <w:rPr>
          <w:rFonts w:cs="Arial"/>
          <w:szCs w:val="22"/>
          <w:lang w:val="ru-RU"/>
        </w:rPr>
        <w:t>эффективн</w:t>
      </w:r>
      <w:r w:rsidR="000A581C">
        <w:rPr>
          <w:rFonts w:cs="Arial"/>
          <w:szCs w:val="22"/>
          <w:lang w:val="ru-RU"/>
        </w:rPr>
        <w:t>ое выполнение</w:t>
      </w:r>
      <w:r w:rsidR="00167D32" w:rsidRPr="000C4043">
        <w:rPr>
          <w:rFonts w:cs="Arial"/>
          <w:szCs w:val="22"/>
          <w:lang w:val="ru-RU"/>
        </w:rPr>
        <w:t xml:space="preserve"> </w:t>
      </w:r>
      <w:r w:rsidR="00167D32">
        <w:rPr>
          <w:rFonts w:cs="Arial"/>
          <w:szCs w:val="22"/>
          <w:lang w:val="ru-RU"/>
        </w:rPr>
        <w:t>зависит</w:t>
      </w:r>
      <w:r w:rsidR="00167D32" w:rsidRPr="000C4043">
        <w:rPr>
          <w:rFonts w:cs="Arial"/>
          <w:szCs w:val="22"/>
          <w:lang w:val="ru-RU"/>
        </w:rPr>
        <w:t xml:space="preserve"> </w:t>
      </w:r>
      <w:r w:rsidR="00B71AA9">
        <w:rPr>
          <w:rFonts w:cs="Arial"/>
          <w:szCs w:val="22"/>
          <w:lang w:val="ru-RU"/>
        </w:rPr>
        <w:t>от</w:t>
      </w:r>
      <w:r w:rsidR="00B71AA9" w:rsidRPr="000C4043">
        <w:rPr>
          <w:rFonts w:cs="Arial"/>
          <w:szCs w:val="22"/>
          <w:lang w:val="ru-RU"/>
        </w:rPr>
        <w:t xml:space="preserve"> </w:t>
      </w:r>
      <w:r w:rsidR="00B71AA9">
        <w:rPr>
          <w:rFonts w:cs="Arial"/>
          <w:szCs w:val="22"/>
          <w:lang w:val="ru-RU"/>
        </w:rPr>
        <w:t>глубокого</w:t>
      </w:r>
      <w:r w:rsidR="00B71AA9" w:rsidRPr="000C4043">
        <w:rPr>
          <w:rFonts w:cs="Arial"/>
          <w:szCs w:val="22"/>
          <w:lang w:val="ru-RU"/>
        </w:rPr>
        <w:t xml:space="preserve"> </w:t>
      </w:r>
      <w:r w:rsidR="00B71AA9">
        <w:rPr>
          <w:rFonts w:cs="Arial"/>
          <w:szCs w:val="22"/>
          <w:lang w:val="ru-RU"/>
        </w:rPr>
        <w:t>знания</w:t>
      </w:r>
      <w:r w:rsidR="00B71AA9" w:rsidRPr="000C4043">
        <w:rPr>
          <w:rFonts w:cs="Arial"/>
          <w:szCs w:val="22"/>
          <w:lang w:val="ru-RU"/>
        </w:rPr>
        <w:t xml:space="preserve"> </w:t>
      </w:r>
      <w:r w:rsidR="00B71AA9">
        <w:rPr>
          <w:rFonts w:cs="Arial"/>
          <w:szCs w:val="22"/>
          <w:lang w:val="ru-RU"/>
        </w:rPr>
        <w:t>и</w:t>
      </w:r>
      <w:r w:rsidR="00B71AA9" w:rsidRPr="000C4043">
        <w:rPr>
          <w:rFonts w:cs="Arial"/>
          <w:szCs w:val="22"/>
          <w:lang w:val="ru-RU"/>
        </w:rPr>
        <w:t xml:space="preserve"> </w:t>
      </w:r>
      <w:r w:rsidR="00B71AA9">
        <w:rPr>
          <w:rFonts w:cs="Arial"/>
          <w:szCs w:val="22"/>
          <w:lang w:val="ru-RU"/>
        </w:rPr>
        <w:t>понимания</w:t>
      </w:r>
      <w:r w:rsidR="00B71AA9" w:rsidRPr="000C4043">
        <w:rPr>
          <w:rFonts w:cs="Arial"/>
          <w:szCs w:val="22"/>
          <w:lang w:val="ru-RU"/>
        </w:rPr>
        <w:t xml:space="preserve"> </w:t>
      </w:r>
      <w:r w:rsidR="00B71AA9">
        <w:rPr>
          <w:rFonts w:cs="Arial"/>
          <w:szCs w:val="22"/>
          <w:lang w:val="ru-RU"/>
        </w:rPr>
        <w:t>Конвенции</w:t>
      </w:r>
      <w:r w:rsidR="000C4043">
        <w:rPr>
          <w:rFonts w:cs="Arial"/>
          <w:szCs w:val="22"/>
          <w:lang w:val="ru-RU"/>
        </w:rPr>
        <w:t>,</w:t>
      </w:r>
      <w:r w:rsidR="00B71AA9" w:rsidRPr="000C4043">
        <w:rPr>
          <w:rFonts w:cs="Arial"/>
          <w:szCs w:val="22"/>
          <w:lang w:val="ru-RU"/>
        </w:rPr>
        <w:t xml:space="preserve"> </w:t>
      </w:r>
      <w:r w:rsidR="00B71AA9">
        <w:rPr>
          <w:rFonts w:cs="Arial"/>
          <w:szCs w:val="22"/>
          <w:lang w:val="ru-RU"/>
        </w:rPr>
        <w:t>её</w:t>
      </w:r>
      <w:r w:rsidR="00B71AA9" w:rsidRPr="000C4043">
        <w:rPr>
          <w:rFonts w:cs="Arial"/>
          <w:szCs w:val="22"/>
          <w:lang w:val="ru-RU"/>
        </w:rPr>
        <w:t xml:space="preserve"> </w:t>
      </w:r>
      <w:r w:rsidR="00B71AA9">
        <w:rPr>
          <w:rFonts w:cs="Arial"/>
          <w:szCs w:val="22"/>
          <w:lang w:val="ru-RU"/>
        </w:rPr>
        <w:t>понятий</w:t>
      </w:r>
      <w:r w:rsidR="00B71AA9" w:rsidRPr="000C4043">
        <w:rPr>
          <w:rFonts w:cs="Arial"/>
          <w:szCs w:val="22"/>
          <w:lang w:val="ru-RU"/>
        </w:rPr>
        <w:t xml:space="preserve">, </w:t>
      </w:r>
      <w:r w:rsidR="00B71AA9">
        <w:rPr>
          <w:rFonts w:cs="Arial"/>
          <w:szCs w:val="22"/>
          <w:lang w:val="ru-RU"/>
        </w:rPr>
        <w:t>мер</w:t>
      </w:r>
      <w:r w:rsidR="00B71AA9" w:rsidRPr="000C4043">
        <w:rPr>
          <w:rFonts w:cs="Arial"/>
          <w:szCs w:val="22"/>
          <w:lang w:val="ru-RU"/>
        </w:rPr>
        <w:t xml:space="preserve"> </w:t>
      </w:r>
      <w:r w:rsidR="00B71AA9">
        <w:rPr>
          <w:rFonts w:cs="Arial"/>
          <w:szCs w:val="22"/>
          <w:lang w:val="ru-RU"/>
        </w:rPr>
        <w:t>и</w:t>
      </w:r>
      <w:r w:rsidR="00B71AA9" w:rsidRPr="000C4043">
        <w:rPr>
          <w:rFonts w:cs="Arial"/>
          <w:szCs w:val="22"/>
          <w:lang w:val="ru-RU"/>
        </w:rPr>
        <w:t xml:space="preserve"> </w:t>
      </w:r>
      <w:r w:rsidR="00B71AA9">
        <w:rPr>
          <w:rFonts w:cs="Arial"/>
          <w:szCs w:val="22"/>
          <w:lang w:val="ru-RU"/>
        </w:rPr>
        <w:t>механизмов</w:t>
      </w:r>
      <w:r w:rsidR="00B71AA9" w:rsidRPr="000C4043">
        <w:rPr>
          <w:rFonts w:cs="Arial"/>
          <w:szCs w:val="22"/>
          <w:lang w:val="ru-RU"/>
        </w:rPr>
        <w:t xml:space="preserve">. </w:t>
      </w:r>
      <w:r w:rsidR="000C4043">
        <w:rPr>
          <w:rFonts w:cs="Arial"/>
          <w:szCs w:val="22"/>
          <w:lang w:val="ru-RU"/>
        </w:rPr>
        <w:t>Генера</w:t>
      </w:r>
      <w:r w:rsidR="00280C17">
        <w:rPr>
          <w:rFonts w:cs="Arial"/>
          <w:szCs w:val="22"/>
          <w:lang w:val="ru-RU"/>
        </w:rPr>
        <w:t>льная</w:t>
      </w:r>
      <w:r w:rsidR="00280C17" w:rsidRPr="00280C17">
        <w:rPr>
          <w:rFonts w:cs="Arial"/>
          <w:szCs w:val="22"/>
          <w:lang w:val="ru-RU"/>
        </w:rPr>
        <w:t xml:space="preserve"> </w:t>
      </w:r>
      <w:r w:rsidR="00280C17">
        <w:rPr>
          <w:rFonts w:cs="Arial"/>
          <w:szCs w:val="22"/>
          <w:lang w:val="ru-RU"/>
        </w:rPr>
        <w:t>ассамблея</w:t>
      </w:r>
      <w:r w:rsidR="00280C17" w:rsidRPr="00280C17">
        <w:rPr>
          <w:rFonts w:cs="Arial"/>
          <w:szCs w:val="22"/>
          <w:lang w:val="ru-RU"/>
        </w:rPr>
        <w:t xml:space="preserve"> </w:t>
      </w:r>
      <w:r w:rsidR="00280C17">
        <w:rPr>
          <w:rFonts w:cs="Arial"/>
          <w:szCs w:val="22"/>
          <w:lang w:val="ru-RU"/>
        </w:rPr>
        <w:t>на</w:t>
      </w:r>
      <w:r w:rsidR="00280C17" w:rsidRPr="00280C17">
        <w:rPr>
          <w:rFonts w:cs="Arial"/>
          <w:szCs w:val="22"/>
          <w:lang w:val="ru-RU"/>
        </w:rPr>
        <w:t xml:space="preserve"> </w:t>
      </w:r>
      <w:r w:rsidR="00280C17">
        <w:rPr>
          <w:rFonts w:cs="Arial"/>
          <w:szCs w:val="22"/>
          <w:lang w:val="ru-RU"/>
        </w:rPr>
        <w:t>своей</w:t>
      </w:r>
      <w:r w:rsidR="00280C17" w:rsidRPr="00280C17">
        <w:rPr>
          <w:rFonts w:cs="Arial"/>
          <w:szCs w:val="22"/>
          <w:lang w:val="ru-RU"/>
        </w:rPr>
        <w:t xml:space="preserve"> </w:t>
      </w:r>
      <w:r w:rsidR="00280C17">
        <w:rPr>
          <w:rFonts w:cs="Arial"/>
          <w:szCs w:val="22"/>
          <w:lang w:val="ru-RU"/>
        </w:rPr>
        <w:t>пятой</w:t>
      </w:r>
      <w:r w:rsidR="00280C17" w:rsidRPr="00280C17">
        <w:rPr>
          <w:rFonts w:cs="Arial"/>
          <w:szCs w:val="22"/>
          <w:lang w:val="ru-RU"/>
        </w:rPr>
        <w:t xml:space="preserve"> </w:t>
      </w:r>
      <w:r w:rsidR="00280C17">
        <w:rPr>
          <w:rFonts w:cs="Arial"/>
          <w:szCs w:val="22"/>
          <w:lang w:val="ru-RU"/>
        </w:rPr>
        <w:t>сессии</w:t>
      </w:r>
      <w:r w:rsidR="00280C17" w:rsidRPr="00280C17">
        <w:rPr>
          <w:rFonts w:cs="Arial"/>
          <w:szCs w:val="22"/>
          <w:lang w:val="ru-RU"/>
        </w:rPr>
        <w:t xml:space="preserve"> </w:t>
      </w:r>
      <w:r w:rsidR="00280C17">
        <w:rPr>
          <w:rFonts w:cs="Arial"/>
          <w:szCs w:val="22"/>
          <w:lang w:val="ru-RU"/>
        </w:rPr>
        <w:t>санкционировала</w:t>
      </w:r>
      <w:r w:rsidR="00280C17" w:rsidRPr="00280C17">
        <w:rPr>
          <w:rFonts w:cs="Arial"/>
          <w:szCs w:val="22"/>
          <w:lang w:val="ru-RU"/>
        </w:rPr>
        <w:t xml:space="preserve"> </w:t>
      </w:r>
      <w:r w:rsidR="00280C17">
        <w:rPr>
          <w:rFonts w:cs="Arial"/>
          <w:szCs w:val="22"/>
          <w:lang w:val="ru-RU"/>
        </w:rPr>
        <w:t>использование</w:t>
      </w:r>
      <w:r w:rsidR="00280C17" w:rsidRPr="00280C17">
        <w:rPr>
          <w:rFonts w:cs="Arial"/>
          <w:szCs w:val="22"/>
          <w:lang w:val="ru-RU"/>
        </w:rPr>
        <w:t xml:space="preserve"> </w:t>
      </w:r>
      <w:r w:rsidR="00280C17">
        <w:rPr>
          <w:rFonts w:cs="Arial"/>
          <w:szCs w:val="22"/>
          <w:lang w:val="ru-RU"/>
        </w:rPr>
        <w:t>Фонда</w:t>
      </w:r>
      <w:r w:rsidR="00280C17" w:rsidRPr="00280C17">
        <w:rPr>
          <w:rFonts w:cs="Arial"/>
          <w:szCs w:val="22"/>
          <w:lang w:val="ru-RU"/>
        </w:rPr>
        <w:t xml:space="preserve"> </w:t>
      </w:r>
      <w:r w:rsidR="00280C17">
        <w:rPr>
          <w:rFonts w:cs="Arial"/>
          <w:szCs w:val="22"/>
          <w:lang w:val="ru-RU"/>
        </w:rPr>
        <w:t>нематериального</w:t>
      </w:r>
      <w:r w:rsidR="00280C17" w:rsidRPr="00280C17">
        <w:rPr>
          <w:rFonts w:cs="Arial"/>
          <w:szCs w:val="22"/>
          <w:lang w:val="ru-RU"/>
        </w:rPr>
        <w:t xml:space="preserve"> </w:t>
      </w:r>
      <w:r w:rsidR="00280C17">
        <w:rPr>
          <w:rFonts w:cs="Arial"/>
          <w:szCs w:val="22"/>
          <w:lang w:val="ru-RU"/>
        </w:rPr>
        <w:t>культурного</w:t>
      </w:r>
      <w:r w:rsidR="00280C17" w:rsidRPr="00280C17">
        <w:rPr>
          <w:rFonts w:cs="Arial"/>
          <w:szCs w:val="22"/>
          <w:lang w:val="ru-RU"/>
        </w:rPr>
        <w:t xml:space="preserve"> </w:t>
      </w:r>
      <w:r w:rsidR="00280C17">
        <w:rPr>
          <w:rFonts w:cs="Arial"/>
          <w:szCs w:val="22"/>
          <w:lang w:val="ru-RU"/>
        </w:rPr>
        <w:t>наследия</w:t>
      </w:r>
      <w:r w:rsidR="00280C17" w:rsidRPr="00280C17">
        <w:rPr>
          <w:rFonts w:cs="Arial"/>
          <w:szCs w:val="22"/>
          <w:lang w:val="ru-RU"/>
        </w:rPr>
        <w:t xml:space="preserve"> </w:t>
      </w:r>
      <w:r w:rsidR="00280C17">
        <w:rPr>
          <w:rFonts w:cs="Arial"/>
          <w:szCs w:val="22"/>
          <w:lang w:val="ru-RU"/>
        </w:rPr>
        <w:t>для</w:t>
      </w:r>
      <w:r w:rsidR="00280C17" w:rsidRPr="00280C17">
        <w:rPr>
          <w:rFonts w:cs="Arial"/>
          <w:szCs w:val="22"/>
          <w:lang w:val="ru-RU"/>
        </w:rPr>
        <w:t xml:space="preserve"> </w:t>
      </w:r>
      <w:r w:rsidR="00280C17">
        <w:rPr>
          <w:rFonts w:cs="Arial"/>
          <w:szCs w:val="22"/>
          <w:lang w:val="ru-RU"/>
        </w:rPr>
        <w:t>продолжения</w:t>
      </w:r>
      <w:r w:rsidR="00280C17" w:rsidRPr="00280C17">
        <w:rPr>
          <w:rFonts w:cs="Arial"/>
          <w:szCs w:val="22"/>
          <w:lang w:val="ru-RU"/>
        </w:rPr>
        <w:t xml:space="preserve"> </w:t>
      </w:r>
      <w:r w:rsidR="00280C17">
        <w:rPr>
          <w:rFonts w:cs="Arial"/>
          <w:szCs w:val="22"/>
          <w:lang w:val="ru-RU"/>
        </w:rPr>
        <w:t>общей</w:t>
      </w:r>
      <w:r w:rsidR="00280C17" w:rsidRPr="00280C17">
        <w:rPr>
          <w:rFonts w:cs="Arial"/>
          <w:szCs w:val="22"/>
          <w:lang w:val="ru-RU"/>
        </w:rPr>
        <w:t xml:space="preserve"> </w:t>
      </w:r>
      <w:r w:rsidR="00280C17">
        <w:rPr>
          <w:rFonts w:cs="Arial"/>
          <w:szCs w:val="22"/>
          <w:lang w:val="ru-RU"/>
        </w:rPr>
        <w:t>стратегии</w:t>
      </w:r>
      <w:r w:rsidR="00280C17" w:rsidRPr="00280C17">
        <w:rPr>
          <w:rFonts w:cs="Arial"/>
          <w:szCs w:val="22"/>
          <w:lang w:val="ru-RU"/>
        </w:rPr>
        <w:t xml:space="preserve"> </w:t>
      </w:r>
      <w:r w:rsidR="00280C17">
        <w:rPr>
          <w:rFonts w:cs="Arial"/>
          <w:szCs w:val="22"/>
          <w:lang w:val="ru-RU"/>
        </w:rPr>
        <w:t>укрепления</w:t>
      </w:r>
      <w:r w:rsidR="00280C17" w:rsidRPr="00280C17">
        <w:rPr>
          <w:rFonts w:cs="Arial"/>
          <w:szCs w:val="22"/>
          <w:lang w:val="ru-RU"/>
        </w:rPr>
        <w:t xml:space="preserve"> </w:t>
      </w:r>
      <w:r w:rsidR="00280C17">
        <w:rPr>
          <w:rFonts w:cs="Arial"/>
          <w:szCs w:val="22"/>
          <w:lang w:val="ru-RU"/>
        </w:rPr>
        <w:t>потенциала</w:t>
      </w:r>
      <w:r w:rsidR="00280C17" w:rsidRPr="00280C17">
        <w:rPr>
          <w:rFonts w:cs="Arial"/>
          <w:szCs w:val="22"/>
          <w:lang w:val="ru-RU"/>
        </w:rPr>
        <w:t xml:space="preserve">, </w:t>
      </w:r>
      <w:r w:rsidR="00280C17">
        <w:rPr>
          <w:rFonts w:cs="Arial"/>
          <w:szCs w:val="22"/>
          <w:lang w:val="ru-RU"/>
        </w:rPr>
        <w:t>используя</w:t>
      </w:r>
      <w:r w:rsidR="00280C17" w:rsidRPr="00280C17">
        <w:rPr>
          <w:rFonts w:cs="Arial"/>
          <w:szCs w:val="22"/>
          <w:lang w:val="ru-RU"/>
        </w:rPr>
        <w:t xml:space="preserve"> </w:t>
      </w:r>
      <w:r w:rsidR="00280C17">
        <w:rPr>
          <w:rFonts w:cs="Arial"/>
          <w:szCs w:val="22"/>
          <w:lang w:val="ru-RU"/>
        </w:rPr>
        <w:t>статью бюджета «</w:t>
      </w:r>
      <w:r w:rsidR="00F56180">
        <w:rPr>
          <w:rFonts w:cs="Arial"/>
          <w:szCs w:val="22"/>
          <w:lang w:val="ru-RU"/>
        </w:rPr>
        <w:t>Другие</w:t>
      </w:r>
      <w:r w:rsidR="00280C17">
        <w:rPr>
          <w:rFonts w:cs="Arial"/>
          <w:szCs w:val="22"/>
          <w:lang w:val="ru-RU"/>
        </w:rPr>
        <w:t xml:space="preserve"> функции Комитета». </w:t>
      </w:r>
      <w:r w:rsidR="006B456B">
        <w:rPr>
          <w:rFonts w:cs="Arial"/>
          <w:szCs w:val="22"/>
          <w:lang w:val="ru-RU"/>
        </w:rPr>
        <w:t>Своим</w:t>
      </w:r>
      <w:r w:rsidR="006B456B" w:rsidRPr="006B456B">
        <w:rPr>
          <w:rFonts w:cs="Arial"/>
          <w:szCs w:val="22"/>
          <w:lang w:val="ru-RU"/>
        </w:rPr>
        <w:t xml:space="preserve"> </w:t>
      </w:r>
      <w:r w:rsidR="006B456B">
        <w:rPr>
          <w:rFonts w:cs="Arial"/>
          <w:szCs w:val="22"/>
          <w:lang w:val="ru-RU"/>
        </w:rPr>
        <w:t>решением</w:t>
      </w:r>
      <w:r w:rsidR="00EA71AC">
        <w:rPr>
          <w:lang w:val="en-GB"/>
        </w:rPr>
        <w:t> </w:t>
      </w:r>
      <w:r w:rsidR="00EA71AC" w:rsidRPr="006B456B">
        <w:rPr>
          <w:lang w:val="ru-RU"/>
        </w:rPr>
        <w:t>8.</w:t>
      </w:r>
      <w:r w:rsidR="00EA71AC" w:rsidRPr="00AE18A1">
        <w:rPr>
          <w:lang w:val="en-GB"/>
        </w:rPr>
        <w:t>COM </w:t>
      </w:r>
      <w:r w:rsidR="00EA71AC" w:rsidRPr="006B456B">
        <w:rPr>
          <w:lang w:val="ru-RU"/>
        </w:rPr>
        <w:t>11</w:t>
      </w:r>
      <w:r w:rsidR="006B456B" w:rsidRPr="006B456B">
        <w:rPr>
          <w:lang w:val="ru-RU"/>
        </w:rPr>
        <w:t xml:space="preserve"> </w:t>
      </w:r>
      <w:r w:rsidR="006B456B">
        <w:rPr>
          <w:lang w:val="ru-RU"/>
        </w:rPr>
        <w:t>Комитет</w:t>
      </w:r>
      <w:r w:rsidR="006B456B" w:rsidRPr="006B456B">
        <w:rPr>
          <w:lang w:val="ru-RU"/>
        </w:rPr>
        <w:t xml:space="preserve"> </w:t>
      </w:r>
      <w:r w:rsidR="006B456B">
        <w:rPr>
          <w:lang w:val="ru-RU"/>
        </w:rPr>
        <w:t>наделил</w:t>
      </w:r>
      <w:r w:rsidR="006B456B" w:rsidRPr="006B456B">
        <w:rPr>
          <w:lang w:val="ru-RU"/>
        </w:rPr>
        <w:t xml:space="preserve"> </w:t>
      </w:r>
      <w:r w:rsidR="006B456B">
        <w:rPr>
          <w:lang w:val="ru-RU"/>
        </w:rPr>
        <w:t>свой</w:t>
      </w:r>
      <w:r w:rsidR="006B456B" w:rsidRPr="006B456B">
        <w:rPr>
          <w:lang w:val="ru-RU"/>
        </w:rPr>
        <w:t xml:space="preserve"> </w:t>
      </w:r>
      <w:r w:rsidR="006B456B">
        <w:rPr>
          <w:lang w:val="ru-RU"/>
        </w:rPr>
        <w:t>Президиум</w:t>
      </w:r>
      <w:r w:rsidR="006B456B" w:rsidRPr="006B456B">
        <w:rPr>
          <w:lang w:val="ru-RU"/>
        </w:rPr>
        <w:t xml:space="preserve"> </w:t>
      </w:r>
      <w:r w:rsidR="006B456B">
        <w:rPr>
          <w:lang w:val="ru-RU"/>
        </w:rPr>
        <w:t>полномочиями</w:t>
      </w:r>
      <w:r w:rsidR="006B456B" w:rsidRPr="006B456B">
        <w:rPr>
          <w:lang w:val="ru-RU"/>
        </w:rPr>
        <w:t xml:space="preserve"> </w:t>
      </w:r>
      <w:r w:rsidR="006B456B">
        <w:rPr>
          <w:lang w:val="ru-RU"/>
        </w:rPr>
        <w:t>принимать</w:t>
      </w:r>
      <w:r w:rsidR="006B456B" w:rsidRPr="006B456B">
        <w:rPr>
          <w:lang w:val="ru-RU"/>
        </w:rPr>
        <w:t xml:space="preserve"> </w:t>
      </w:r>
      <w:r w:rsidR="006B456B">
        <w:rPr>
          <w:lang w:val="ru-RU"/>
        </w:rPr>
        <w:t>решения</w:t>
      </w:r>
      <w:r w:rsidR="006B456B" w:rsidRPr="006B456B">
        <w:rPr>
          <w:lang w:val="ru-RU"/>
        </w:rPr>
        <w:t xml:space="preserve"> </w:t>
      </w:r>
      <w:r w:rsidR="006B456B">
        <w:rPr>
          <w:lang w:val="ru-RU"/>
        </w:rPr>
        <w:t>об</w:t>
      </w:r>
      <w:r w:rsidR="006B456B" w:rsidRPr="006B456B">
        <w:rPr>
          <w:lang w:val="ru-RU"/>
        </w:rPr>
        <w:t xml:space="preserve"> </w:t>
      </w:r>
      <w:r w:rsidR="006B456B">
        <w:rPr>
          <w:lang w:val="ru-RU"/>
        </w:rPr>
        <w:t>использовании</w:t>
      </w:r>
      <w:r w:rsidR="006B456B" w:rsidRPr="006B456B">
        <w:rPr>
          <w:lang w:val="ru-RU"/>
        </w:rPr>
        <w:t xml:space="preserve"> </w:t>
      </w:r>
      <w:r w:rsidR="006B456B">
        <w:rPr>
          <w:lang w:val="ru-RU"/>
        </w:rPr>
        <w:t>средств</w:t>
      </w:r>
      <w:r w:rsidR="006B456B" w:rsidRPr="006B456B">
        <w:rPr>
          <w:lang w:val="ru-RU"/>
        </w:rPr>
        <w:t xml:space="preserve">, </w:t>
      </w:r>
      <w:r w:rsidR="006B456B">
        <w:rPr>
          <w:lang w:val="ru-RU"/>
        </w:rPr>
        <w:t>выделенных</w:t>
      </w:r>
      <w:r w:rsidR="006B456B" w:rsidRPr="006B456B">
        <w:rPr>
          <w:lang w:val="ru-RU"/>
        </w:rPr>
        <w:t xml:space="preserve"> </w:t>
      </w:r>
      <w:r w:rsidR="006B456B">
        <w:rPr>
          <w:lang w:val="ru-RU"/>
        </w:rPr>
        <w:t>согласно</w:t>
      </w:r>
      <w:r w:rsidR="006B456B" w:rsidRPr="006B456B">
        <w:rPr>
          <w:lang w:val="ru-RU"/>
        </w:rPr>
        <w:t xml:space="preserve"> </w:t>
      </w:r>
      <w:r w:rsidR="006B456B">
        <w:rPr>
          <w:lang w:val="ru-RU"/>
        </w:rPr>
        <w:t>данной</w:t>
      </w:r>
      <w:r w:rsidR="006B456B" w:rsidRPr="006B456B">
        <w:rPr>
          <w:lang w:val="ru-RU"/>
        </w:rPr>
        <w:t xml:space="preserve"> </w:t>
      </w:r>
      <w:r w:rsidR="006B456B">
        <w:rPr>
          <w:lang w:val="ru-RU"/>
        </w:rPr>
        <w:t>статье</w:t>
      </w:r>
      <w:r w:rsidR="006B456B" w:rsidRPr="006B456B">
        <w:rPr>
          <w:lang w:val="ru-RU"/>
        </w:rPr>
        <w:t xml:space="preserve"> </w:t>
      </w:r>
      <w:r w:rsidR="006B456B">
        <w:rPr>
          <w:lang w:val="ru-RU"/>
        </w:rPr>
        <w:t xml:space="preserve">Плана </w:t>
      </w:r>
      <w:r w:rsidR="00D85D0B">
        <w:rPr>
          <w:lang w:val="ru-RU"/>
        </w:rPr>
        <w:t xml:space="preserve">использования средств Фонда, </w:t>
      </w:r>
      <w:r w:rsidR="006B456B">
        <w:rPr>
          <w:lang w:val="ru-RU"/>
        </w:rPr>
        <w:t xml:space="preserve">на основе конкретных предложений, вынесенных Секретариатом. </w:t>
      </w:r>
      <w:r w:rsidR="000928C4">
        <w:rPr>
          <w:lang w:val="ru-RU"/>
        </w:rPr>
        <w:t>Для</w:t>
      </w:r>
      <w:r w:rsidR="000928C4" w:rsidRPr="000928C4">
        <w:rPr>
          <w:lang w:val="ru-RU"/>
        </w:rPr>
        <w:t xml:space="preserve"> </w:t>
      </w:r>
      <w:r w:rsidR="000928C4">
        <w:rPr>
          <w:lang w:val="ru-RU"/>
        </w:rPr>
        <w:t>информирования</w:t>
      </w:r>
      <w:r w:rsidR="000928C4" w:rsidRPr="000928C4">
        <w:rPr>
          <w:lang w:val="ru-RU"/>
        </w:rPr>
        <w:t xml:space="preserve"> </w:t>
      </w:r>
      <w:r w:rsidR="000928C4">
        <w:rPr>
          <w:lang w:val="ru-RU"/>
        </w:rPr>
        <w:t>доноров</w:t>
      </w:r>
      <w:r w:rsidR="000928C4" w:rsidRPr="000928C4">
        <w:rPr>
          <w:lang w:val="ru-RU"/>
        </w:rPr>
        <w:t xml:space="preserve"> </w:t>
      </w:r>
      <w:r w:rsidR="000928C4">
        <w:rPr>
          <w:lang w:val="ru-RU"/>
        </w:rPr>
        <w:t>об</w:t>
      </w:r>
      <w:r w:rsidR="000928C4" w:rsidRPr="000928C4">
        <w:rPr>
          <w:lang w:val="ru-RU"/>
        </w:rPr>
        <w:t xml:space="preserve"> </w:t>
      </w:r>
      <w:r w:rsidR="000928C4">
        <w:rPr>
          <w:lang w:val="ru-RU"/>
        </w:rPr>
        <w:t>условиях</w:t>
      </w:r>
      <w:r w:rsidR="000928C4" w:rsidRPr="000928C4">
        <w:rPr>
          <w:lang w:val="ru-RU"/>
        </w:rPr>
        <w:t xml:space="preserve"> </w:t>
      </w:r>
      <w:r w:rsidR="000928C4">
        <w:rPr>
          <w:lang w:val="ru-RU"/>
        </w:rPr>
        <w:t>финансирования</w:t>
      </w:r>
      <w:r w:rsidR="000928C4" w:rsidRPr="000928C4">
        <w:rPr>
          <w:lang w:val="ru-RU"/>
        </w:rPr>
        <w:t xml:space="preserve"> </w:t>
      </w:r>
      <w:r w:rsidR="000928C4">
        <w:rPr>
          <w:lang w:val="ru-RU"/>
        </w:rPr>
        <w:t>глобальной</w:t>
      </w:r>
      <w:r w:rsidR="000928C4" w:rsidRPr="000928C4">
        <w:rPr>
          <w:lang w:val="ru-RU"/>
        </w:rPr>
        <w:t xml:space="preserve"> </w:t>
      </w:r>
      <w:r w:rsidR="000928C4">
        <w:rPr>
          <w:lang w:val="ru-RU"/>
        </w:rPr>
        <w:t>программы</w:t>
      </w:r>
      <w:r w:rsidR="000928C4" w:rsidRPr="000928C4">
        <w:rPr>
          <w:lang w:val="ru-RU"/>
        </w:rPr>
        <w:t xml:space="preserve"> </w:t>
      </w:r>
      <w:r w:rsidR="000928C4">
        <w:rPr>
          <w:lang w:val="ru-RU"/>
        </w:rPr>
        <w:t>по</w:t>
      </w:r>
      <w:r w:rsidR="000928C4" w:rsidRPr="000928C4">
        <w:rPr>
          <w:lang w:val="ru-RU"/>
        </w:rPr>
        <w:t xml:space="preserve"> </w:t>
      </w:r>
      <w:r w:rsidR="000928C4">
        <w:rPr>
          <w:lang w:val="ru-RU"/>
        </w:rPr>
        <w:t>укреплению</w:t>
      </w:r>
      <w:r w:rsidR="000928C4" w:rsidRPr="000928C4">
        <w:rPr>
          <w:lang w:val="ru-RU"/>
        </w:rPr>
        <w:t xml:space="preserve"> </w:t>
      </w:r>
      <w:r w:rsidR="000928C4">
        <w:rPr>
          <w:lang w:val="ru-RU"/>
        </w:rPr>
        <w:t>потенциала</w:t>
      </w:r>
      <w:r w:rsidR="000928C4" w:rsidRPr="000928C4">
        <w:rPr>
          <w:lang w:val="ru-RU"/>
        </w:rPr>
        <w:t xml:space="preserve"> </w:t>
      </w:r>
      <w:r w:rsidR="000928C4">
        <w:rPr>
          <w:lang w:val="ru-RU"/>
        </w:rPr>
        <w:t>Секретариат</w:t>
      </w:r>
      <w:r w:rsidR="000928C4" w:rsidRPr="000928C4">
        <w:rPr>
          <w:lang w:val="ru-RU"/>
        </w:rPr>
        <w:t xml:space="preserve"> </w:t>
      </w:r>
      <w:r w:rsidR="000928C4">
        <w:rPr>
          <w:lang w:val="ru-RU"/>
        </w:rPr>
        <w:t>разработал</w:t>
      </w:r>
      <w:r w:rsidR="000928C4" w:rsidRPr="000928C4">
        <w:rPr>
          <w:lang w:val="ru-RU"/>
        </w:rPr>
        <w:t xml:space="preserve"> </w:t>
      </w:r>
      <w:hyperlink r:id="rId9" w:history="1">
        <w:r w:rsidR="000928C4">
          <w:rPr>
            <w:rStyle w:val="Hyperlink"/>
            <w:lang w:val="ru-RU"/>
          </w:rPr>
          <w:t>Концептуальную</w:t>
        </w:r>
        <w:r w:rsidR="000928C4" w:rsidRPr="000928C4">
          <w:rPr>
            <w:rStyle w:val="Hyperlink"/>
            <w:lang w:val="ru-RU"/>
          </w:rPr>
          <w:t xml:space="preserve"> </w:t>
        </w:r>
        <w:r w:rsidR="000928C4">
          <w:rPr>
            <w:rStyle w:val="Hyperlink"/>
            <w:lang w:val="ru-RU"/>
          </w:rPr>
          <w:t>записку</w:t>
        </w:r>
      </w:hyperlink>
      <w:r w:rsidR="00EA71AC" w:rsidRPr="000928C4">
        <w:rPr>
          <w:lang w:val="ru-RU"/>
        </w:rPr>
        <w:t xml:space="preserve"> </w:t>
      </w:r>
      <w:r w:rsidR="000928C4">
        <w:rPr>
          <w:lang w:val="ru-RU"/>
        </w:rPr>
        <w:t xml:space="preserve">для Вспомогательной дополнительной программы на 2014-2017 гг. под названием «Укрепление потенциала </w:t>
      </w:r>
      <w:r w:rsidR="00790F20">
        <w:rPr>
          <w:lang w:val="ru-RU"/>
        </w:rPr>
        <w:t xml:space="preserve">в области </w:t>
      </w:r>
      <w:r w:rsidR="000928C4">
        <w:rPr>
          <w:lang w:val="ru-RU"/>
        </w:rPr>
        <w:t>охран</w:t>
      </w:r>
      <w:r w:rsidR="00790F20">
        <w:rPr>
          <w:lang w:val="ru-RU"/>
        </w:rPr>
        <w:t>ы</w:t>
      </w:r>
      <w:r w:rsidR="000928C4">
        <w:rPr>
          <w:lang w:val="ru-RU"/>
        </w:rPr>
        <w:t xml:space="preserve"> нематериального культурного наследия для устойчивого развития», </w:t>
      </w:r>
      <w:r w:rsidR="00790F20">
        <w:rPr>
          <w:lang w:val="ru-RU"/>
        </w:rPr>
        <w:t>с которой можно ознакомит</w:t>
      </w:r>
      <w:r w:rsidR="00EA16BF">
        <w:rPr>
          <w:lang w:val="ru-RU"/>
        </w:rPr>
        <w:t>ь</w:t>
      </w:r>
      <w:r w:rsidR="00790F20">
        <w:rPr>
          <w:lang w:val="ru-RU"/>
        </w:rPr>
        <w:t>ся на веб-странице ЮНЕСКО, посвящённой партнёрству</w:t>
      </w:r>
      <w:r w:rsidR="0067299D" w:rsidRPr="00EE1592">
        <w:rPr>
          <w:lang w:val="ru-RU"/>
        </w:rPr>
        <w:t xml:space="preserve"> </w:t>
      </w:r>
      <w:r w:rsidR="0067299D">
        <w:rPr>
          <w:lang w:val="ru-RU"/>
        </w:rPr>
        <w:t>с Организацией</w:t>
      </w:r>
      <w:r w:rsidR="00790F20">
        <w:rPr>
          <w:lang w:val="ru-RU"/>
        </w:rPr>
        <w:t>. Концептуальная</w:t>
      </w:r>
      <w:r w:rsidR="00790F20" w:rsidRPr="00EF0B3E">
        <w:rPr>
          <w:lang w:val="ru-RU"/>
        </w:rPr>
        <w:t xml:space="preserve"> </w:t>
      </w:r>
      <w:r w:rsidR="00790F20">
        <w:rPr>
          <w:lang w:val="ru-RU"/>
        </w:rPr>
        <w:t>записка</w:t>
      </w:r>
      <w:r w:rsidR="00790F20" w:rsidRPr="00EF0B3E">
        <w:rPr>
          <w:lang w:val="ru-RU"/>
        </w:rPr>
        <w:t xml:space="preserve"> </w:t>
      </w:r>
      <w:r w:rsidR="00790F20">
        <w:rPr>
          <w:lang w:val="ru-RU"/>
        </w:rPr>
        <w:t>была</w:t>
      </w:r>
      <w:r w:rsidR="00790F20" w:rsidRPr="00EF0B3E">
        <w:rPr>
          <w:lang w:val="ru-RU"/>
        </w:rPr>
        <w:t xml:space="preserve"> </w:t>
      </w:r>
      <w:r w:rsidR="00790F20">
        <w:rPr>
          <w:lang w:val="ru-RU"/>
        </w:rPr>
        <w:t>одобрена</w:t>
      </w:r>
      <w:r w:rsidR="00790F20" w:rsidRPr="00EF0B3E">
        <w:rPr>
          <w:lang w:val="ru-RU"/>
        </w:rPr>
        <w:t xml:space="preserve"> </w:t>
      </w:r>
      <w:r w:rsidR="00790F20">
        <w:rPr>
          <w:lang w:val="ru-RU"/>
        </w:rPr>
        <w:t>Комитетом</w:t>
      </w:r>
      <w:r w:rsidR="00790F20" w:rsidRPr="00EF0B3E">
        <w:rPr>
          <w:lang w:val="ru-RU"/>
        </w:rPr>
        <w:t xml:space="preserve"> </w:t>
      </w:r>
      <w:r w:rsidR="00790F20">
        <w:rPr>
          <w:lang w:val="ru-RU"/>
        </w:rPr>
        <w:t>на</w:t>
      </w:r>
      <w:r w:rsidR="00790F20" w:rsidRPr="00EF0B3E">
        <w:rPr>
          <w:lang w:val="ru-RU"/>
        </w:rPr>
        <w:t xml:space="preserve"> </w:t>
      </w:r>
      <w:r w:rsidR="00790F20">
        <w:rPr>
          <w:lang w:val="ru-RU"/>
        </w:rPr>
        <w:t>девятой</w:t>
      </w:r>
      <w:r w:rsidR="00790F20" w:rsidRPr="00EF0B3E">
        <w:rPr>
          <w:lang w:val="ru-RU"/>
        </w:rPr>
        <w:t xml:space="preserve"> </w:t>
      </w:r>
      <w:r w:rsidR="00790F20">
        <w:rPr>
          <w:lang w:val="ru-RU"/>
        </w:rPr>
        <w:t>сессии</w:t>
      </w:r>
      <w:r w:rsidR="00790F20" w:rsidRPr="00EF0B3E">
        <w:rPr>
          <w:lang w:val="ru-RU"/>
        </w:rPr>
        <w:t xml:space="preserve"> </w:t>
      </w:r>
      <w:r w:rsidR="00790F20">
        <w:rPr>
          <w:lang w:val="ru-RU"/>
        </w:rPr>
        <w:t>в</w:t>
      </w:r>
      <w:r w:rsidR="00790F20" w:rsidRPr="00EF0B3E">
        <w:rPr>
          <w:lang w:val="ru-RU"/>
        </w:rPr>
        <w:t xml:space="preserve"> </w:t>
      </w:r>
      <w:r w:rsidR="00790F20">
        <w:rPr>
          <w:lang w:val="ru-RU"/>
        </w:rPr>
        <w:t>ноябре</w:t>
      </w:r>
      <w:r w:rsidR="00790F20" w:rsidRPr="00EF0B3E">
        <w:rPr>
          <w:lang w:val="ru-RU"/>
        </w:rPr>
        <w:t xml:space="preserve"> 2014</w:t>
      </w:r>
      <w:r w:rsidR="00790F20" w:rsidRPr="00790F20">
        <w:rPr>
          <w:lang w:val="en-US"/>
        </w:rPr>
        <w:t> </w:t>
      </w:r>
      <w:r w:rsidR="00790F20">
        <w:rPr>
          <w:lang w:val="ru-RU"/>
        </w:rPr>
        <w:t>г</w:t>
      </w:r>
      <w:r w:rsidR="00790F20" w:rsidRPr="00EF0B3E">
        <w:rPr>
          <w:lang w:val="ru-RU"/>
        </w:rPr>
        <w:t>. (</w:t>
      </w:r>
      <w:r w:rsidR="00790F20">
        <w:rPr>
          <w:lang w:val="ru-RU"/>
        </w:rPr>
        <w:t>Решение</w:t>
      </w:r>
      <w:r w:rsidR="00EA71AC">
        <w:rPr>
          <w:lang w:val="en-US"/>
        </w:rPr>
        <w:t> </w:t>
      </w:r>
      <w:r w:rsidR="00EA71AC" w:rsidRPr="00EF0B3E">
        <w:rPr>
          <w:lang w:val="ru-RU"/>
        </w:rPr>
        <w:t>9.</w:t>
      </w:r>
      <w:r w:rsidR="00EA71AC" w:rsidRPr="00A630D7">
        <w:rPr>
          <w:lang w:val="en-US"/>
        </w:rPr>
        <w:t>COM</w:t>
      </w:r>
      <w:r w:rsidR="00EA71AC" w:rsidRPr="00EF0B3E">
        <w:rPr>
          <w:lang w:val="ru-RU"/>
        </w:rPr>
        <w:t xml:space="preserve"> 7) </w:t>
      </w:r>
      <w:r w:rsidR="00EF0B3E">
        <w:rPr>
          <w:lang w:val="ru-RU"/>
        </w:rPr>
        <w:t>в</w:t>
      </w:r>
      <w:r w:rsidR="00EF0B3E" w:rsidRPr="00EF0B3E">
        <w:rPr>
          <w:lang w:val="ru-RU"/>
        </w:rPr>
        <w:t xml:space="preserve"> </w:t>
      </w:r>
      <w:r w:rsidR="00EF0B3E">
        <w:rPr>
          <w:lang w:val="ru-RU"/>
        </w:rPr>
        <w:t>качестве</w:t>
      </w:r>
      <w:r w:rsidR="00EF0B3E" w:rsidRPr="00EF0B3E">
        <w:rPr>
          <w:lang w:val="ru-RU"/>
        </w:rPr>
        <w:t xml:space="preserve"> </w:t>
      </w:r>
      <w:r w:rsidR="00EF0B3E">
        <w:rPr>
          <w:lang w:val="ru-RU"/>
        </w:rPr>
        <w:t>базы, позволяющей принимать добровольные дополнительные взносы без явно выраженного согласия.</w:t>
      </w:r>
    </w:p>
    <w:p w:rsidR="00EA71AC" w:rsidRPr="007068E0" w:rsidRDefault="00F92A22" w:rsidP="00EA71AC">
      <w:pPr>
        <w:pStyle w:val="Marge"/>
        <w:numPr>
          <w:ilvl w:val="0"/>
          <w:numId w:val="13"/>
        </w:numPr>
        <w:tabs>
          <w:tab w:val="clear" w:pos="720"/>
        </w:tabs>
        <w:spacing w:after="120"/>
        <w:ind w:left="567" w:hanging="567"/>
        <w:rPr>
          <w:rFonts w:cs="Arial"/>
          <w:szCs w:val="22"/>
          <w:lang w:val="ru-RU"/>
        </w:rPr>
      </w:pPr>
      <w:proofErr w:type="gramStart"/>
      <w:r>
        <w:rPr>
          <w:lang w:val="ru-RU"/>
        </w:rPr>
        <w:t>Президиумом</w:t>
      </w:r>
      <w:r w:rsidRPr="00754437">
        <w:rPr>
          <w:lang w:val="ru-RU"/>
        </w:rPr>
        <w:t xml:space="preserve"> </w:t>
      </w:r>
      <w:r>
        <w:rPr>
          <w:lang w:val="ru-RU"/>
        </w:rPr>
        <w:t>были</w:t>
      </w:r>
      <w:r w:rsidRPr="00754437">
        <w:rPr>
          <w:lang w:val="ru-RU"/>
        </w:rPr>
        <w:t xml:space="preserve"> </w:t>
      </w:r>
      <w:r>
        <w:rPr>
          <w:lang w:val="ru-RU"/>
        </w:rPr>
        <w:t>утверждены</w:t>
      </w:r>
      <w:r w:rsidRPr="00754437">
        <w:rPr>
          <w:lang w:val="ru-RU"/>
        </w:rPr>
        <w:t xml:space="preserve"> </w:t>
      </w:r>
      <w:r>
        <w:rPr>
          <w:lang w:val="ru-RU"/>
        </w:rPr>
        <w:t>мероприятия</w:t>
      </w:r>
      <w:r w:rsidRPr="00754437">
        <w:rPr>
          <w:lang w:val="ru-RU"/>
        </w:rPr>
        <w:t xml:space="preserve"> </w:t>
      </w:r>
      <w:r>
        <w:rPr>
          <w:lang w:val="ru-RU"/>
        </w:rPr>
        <w:t>на</w:t>
      </w:r>
      <w:r w:rsidRPr="00754437">
        <w:rPr>
          <w:lang w:val="ru-RU"/>
        </w:rPr>
        <w:t xml:space="preserve"> </w:t>
      </w:r>
      <w:r>
        <w:rPr>
          <w:lang w:val="ru-RU"/>
        </w:rPr>
        <w:t>общую</w:t>
      </w:r>
      <w:r w:rsidRPr="00754437">
        <w:rPr>
          <w:lang w:val="ru-RU"/>
        </w:rPr>
        <w:t xml:space="preserve"> </w:t>
      </w:r>
      <w:r>
        <w:rPr>
          <w:lang w:val="ru-RU"/>
        </w:rPr>
        <w:t>сумму</w:t>
      </w:r>
      <w:r w:rsidRPr="00754437">
        <w:rPr>
          <w:lang w:val="ru-RU"/>
        </w:rPr>
        <w:t xml:space="preserve"> 787</w:t>
      </w:r>
      <w:r>
        <w:rPr>
          <w:lang w:val="en-US"/>
        </w:rPr>
        <w:t> </w:t>
      </w:r>
      <w:r w:rsidRPr="00754437">
        <w:rPr>
          <w:lang w:val="ru-RU"/>
        </w:rPr>
        <w:t>097</w:t>
      </w:r>
      <w:r w:rsidRPr="00F92A22">
        <w:rPr>
          <w:lang w:val="en-US"/>
        </w:rPr>
        <w:t> </w:t>
      </w:r>
      <w:r>
        <w:rPr>
          <w:lang w:val="ru-RU"/>
        </w:rPr>
        <w:t>долл</w:t>
      </w:r>
      <w:r w:rsidRPr="00754437">
        <w:rPr>
          <w:lang w:val="ru-RU"/>
        </w:rPr>
        <w:t xml:space="preserve">. </w:t>
      </w:r>
      <w:r>
        <w:rPr>
          <w:lang w:val="ru-RU"/>
        </w:rPr>
        <w:t>на</w:t>
      </w:r>
      <w:r w:rsidRPr="00754437">
        <w:rPr>
          <w:lang w:val="ru-RU"/>
        </w:rPr>
        <w:t xml:space="preserve"> </w:t>
      </w:r>
      <w:r>
        <w:rPr>
          <w:lang w:val="ru-RU"/>
        </w:rPr>
        <w:t>период</w:t>
      </w:r>
      <w:r w:rsidRPr="00754437">
        <w:rPr>
          <w:lang w:val="ru-RU"/>
        </w:rPr>
        <w:t xml:space="preserve"> </w:t>
      </w:r>
      <w:r>
        <w:rPr>
          <w:lang w:val="ru-RU"/>
        </w:rPr>
        <w:t>с</w:t>
      </w:r>
      <w:r w:rsidRPr="00754437">
        <w:rPr>
          <w:lang w:val="ru-RU"/>
        </w:rPr>
        <w:t xml:space="preserve"> </w:t>
      </w:r>
      <w:r>
        <w:rPr>
          <w:lang w:val="ru-RU"/>
        </w:rPr>
        <w:t>января</w:t>
      </w:r>
      <w:r w:rsidRPr="00754437">
        <w:rPr>
          <w:lang w:val="ru-RU"/>
        </w:rPr>
        <w:t xml:space="preserve"> 2014</w:t>
      </w:r>
      <w:r w:rsidRPr="00F92A22">
        <w:rPr>
          <w:lang w:val="en-US"/>
        </w:rPr>
        <w:t> </w:t>
      </w:r>
      <w:r>
        <w:rPr>
          <w:lang w:val="ru-RU"/>
        </w:rPr>
        <w:t>г</w:t>
      </w:r>
      <w:r w:rsidRPr="00754437">
        <w:rPr>
          <w:lang w:val="ru-RU"/>
        </w:rPr>
        <w:t xml:space="preserve">. </w:t>
      </w:r>
      <w:r>
        <w:rPr>
          <w:lang w:val="ru-RU"/>
        </w:rPr>
        <w:t>по</w:t>
      </w:r>
      <w:r w:rsidRPr="00754437">
        <w:rPr>
          <w:lang w:val="ru-RU"/>
        </w:rPr>
        <w:t xml:space="preserve"> </w:t>
      </w:r>
      <w:r>
        <w:rPr>
          <w:lang w:val="ru-RU"/>
        </w:rPr>
        <w:t>декабрь</w:t>
      </w:r>
      <w:r w:rsidRPr="00754437">
        <w:rPr>
          <w:lang w:val="ru-RU"/>
        </w:rPr>
        <w:t xml:space="preserve"> 2015</w:t>
      </w:r>
      <w:r w:rsidRPr="00F92A22">
        <w:rPr>
          <w:lang w:val="en-US"/>
        </w:rPr>
        <w:t> </w:t>
      </w:r>
      <w:r>
        <w:rPr>
          <w:lang w:val="ru-RU"/>
        </w:rPr>
        <w:t>г</w:t>
      </w:r>
      <w:r w:rsidRPr="00754437">
        <w:rPr>
          <w:lang w:val="ru-RU"/>
        </w:rPr>
        <w:t xml:space="preserve">. </w:t>
      </w:r>
      <w:r>
        <w:rPr>
          <w:lang w:val="ru-RU"/>
        </w:rPr>
        <w:t>и</w:t>
      </w:r>
      <w:r w:rsidRPr="00754437">
        <w:rPr>
          <w:lang w:val="ru-RU"/>
        </w:rPr>
        <w:t xml:space="preserve"> </w:t>
      </w:r>
      <w:r w:rsidR="001B46D3">
        <w:rPr>
          <w:lang w:val="ru-RU"/>
        </w:rPr>
        <w:t>на</w:t>
      </w:r>
      <w:r w:rsidR="001B46D3" w:rsidRPr="00754437">
        <w:rPr>
          <w:lang w:val="ru-RU"/>
        </w:rPr>
        <w:t xml:space="preserve"> 196</w:t>
      </w:r>
      <w:r w:rsidR="001B46D3" w:rsidRPr="001B46D3">
        <w:rPr>
          <w:lang w:val="en-US"/>
        </w:rPr>
        <w:t> </w:t>
      </w:r>
      <w:r w:rsidR="001B46D3" w:rsidRPr="00754437">
        <w:rPr>
          <w:lang w:val="ru-RU"/>
        </w:rPr>
        <w:t>772</w:t>
      </w:r>
      <w:r w:rsidR="001B46D3" w:rsidRPr="001B46D3">
        <w:rPr>
          <w:lang w:val="en-US"/>
        </w:rPr>
        <w:t> </w:t>
      </w:r>
      <w:r w:rsidR="001B46D3">
        <w:rPr>
          <w:lang w:val="ru-RU"/>
        </w:rPr>
        <w:t>долл</w:t>
      </w:r>
      <w:r w:rsidR="001B46D3" w:rsidRPr="00754437">
        <w:rPr>
          <w:lang w:val="ru-RU"/>
        </w:rPr>
        <w:t xml:space="preserve">. </w:t>
      </w:r>
      <w:r w:rsidR="001B46D3">
        <w:rPr>
          <w:lang w:val="ru-RU"/>
        </w:rPr>
        <w:t>с</w:t>
      </w:r>
      <w:r w:rsidR="001B46D3" w:rsidRPr="00754437">
        <w:rPr>
          <w:lang w:val="ru-RU"/>
        </w:rPr>
        <w:t xml:space="preserve"> </w:t>
      </w:r>
      <w:r w:rsidR="001B46D3">
        <w:rPr>
          <w:lang w:val="ru-RU"/>
        </w:rPr>
        <w:t>января</w:t>
      </w:r>
      <w:r w:rsidR="001B46D3" w:rsidRPr="00754437">
        <w:rPr>
          <w:lang w:val="ru-RU"/>
        </w:rPr>
        <w:t xml:space="preserve"> </w:t>
      </w:r>
      <w:r w:rsidR="001B46D3">
        <w:rPr>
          <w:lang w:val="ru-RU"/>
        </w:rPr>
        <w:t>по</w:t>
      </w:r>
      <w:r w:rsidR="001B46D3" w:rsidRPr="00754437">
        <w:rPr>
          <w:lang w:val="ru-RU"/>
        </w:rPr>
        <w:t xml:space="preserve"> </w:t>
      </w:r>
      <w:r w:rsidR="001B46D3">
        <w:rPr>
          <w:lang w:val="ru-RU"/>
        </w:rPr>
        <w:t>июнь</w:t>
      </w:r>
      <w:r w:rsidR="001B46D3" w:rsidRPr="00754437">
        <w:rPr>
          <w:lang w:val="ru-RU"/>
        </w:rPr>
        <w:t xml:space="preserve"> 2016</w:t>
      </w:r>
      <w:r w:rsidR="001B46D3" w:rsidRPr="001B46D3">
        <w:rPr>
          <w:lang w:val="en-US"/>
        </w:rPr>
        <w:t> </w:t>
      </w:r>
      <w:r w:rsidR="001B46D3">
        <w:rPr>
          <w:lang w:val="ru-RU"/>
        </w:rPr>
        <w:t>г</w:t>
      </w:r>
      <w:r w:rsidR="001B46D3" w:rsidRPr="00754437">
        <w:rPr>
          <w:lang w:val="ru-RU"/>
        </w:rPr>
        <w:t xml:space="preserve">.; </w:t>
      </w:r>
      <w:r w:rsidR="001B46D3">
        <w:rPr>
          <w:lang w:val="ru-RU"/>
        </w:rPr>
        <w:t>они</w:t>
      </w:r>
      <w:r w:rsidR="001B46D3" w:rsidRPr="00754437">
        <w:rPr>
          <w:lang w:val="ru-RU"/>
        </w:rPr>
        <w:t xml:space="preserve"> </w:t>
      </w:r>
      <w:r w:rsidR="001B46D3">
        <w:rPr>
          <w:lang w:val="ru-RU"/>
        </w:rPr>
        <w:t>были</w:t>
      </w:r>
      <w:r w:rsidR="001B46D3" w:rsidRPr="00754437">
        <w:rPr>
          <w:lang w:val="ru-RU"/>
        </w:rPr>
        <w:t xml:space="preserve"> </w:t>
      </w:r>
      <w:r w:rsidR="001B46D3">
        <w:rPr>
          <w:lang w:val="ru-RU"/>
        </w:rPr>
        <w:t>направлены</w:t>
      </w:r>
      <w:r w:rsidR="001B46D3" w:rsidRPr="00754437">
        <w:rPr>
          <w:lang w:val="ru-RU"/>
        </w:rPr>
        <w:t xml:space="preserve"> </w:t>
      </w:r>
      <w:r w:rsidR="001B46D3">
        <w:rPr>
          <w:lang w:val="ru-RU"/>
        </w:rPr>
        <w:t>на</w:t>
      </w:r>
      <w:r w:rsidR="001B46D3" w:rsidRPr="00754437">
        <w:rPr>
          <w:lang w:val="ru-RU"/>
        </w:rPr>
        <w:t xml:space="preserve"> </w:t>
      </w:r>
      <w:r w:rsidR="001B46D3">
        <w:rPr>
          <w:lang w:val="ru-RU"/>
        </w:rPr>
        <w:t>поддержку</w:t>
      </w:r>
      <w:r w:rsidR="001B46D3" w:rsidRPr="00754437">
        <w:rPr>
          <w:lang w:val="ru-RU"/>
        </w:rPr>
        <w:t xml:space="preserve"> </w:t>
      </w:r>
      <w:r w:rsidR="001B46D3">
        <w:rPr>
          <w:lang w:val="ru-RU"/>
        </w:rPr>
        <w:t>ряда</w:t>
      </w:r>
      <w:r w:rsidR="001B46D3" w:rsidRPr="00754437">
        <w:rPr>
          <w:lang w:val="ru-RU"/>
        </w:rPr>
        <w:t xml:space="preserve"> </w:t>
      </w:r>
      <w:r w:rsidR="00754437">
        <w:rPr>
          <w:lang w:val="ru-RU"/>
        </w:rPr>
        <w:t xml:space="preserve">сквозных потребностей, в особенности: </w:t>
      </w:r>
      <w:r w:rsidR="00EA71AC" w:rsidRPr="00754437">
        <w:rPr>
          <w:rFonts w:cs="Arial"/>
          <w:szCs w:val="22"/>
          <w:lang w:val="ru-RU"/>
        </w:rPr>
        <w:t>(</w:t>
      </w:r>
      <w:proofErr w:type="spellStart"/>
      <w:r w:rsidR="00EA71AC" w:rsidRPr="00AE18A1">
        <w:rPr>
          <w:rFonts w:cs="Arial"/>
          <w:szCs w:val="22"/>
          <w:lang w:val="en-GB"/>
        </w:rPr>
        <w:t>i</w:t>
      </w:r>
      <w:proofErr w:type="spellEnd"/>
      <w:r w:rsidR="00EA71AC" w:rsidRPr="00754437">
        <w:rPr>
          <w:rFonts w:cs="Arial"/>
          <w:szCs w:val="22"/>
          <w:lang w:val="ru-RU"/>
        </w:rPr>
        <w:t>)</w:t>
      </w:r>
      <w:r w:rsidR="00EA71AC" w:rsidRPr="00AE18A1">
        <w:rPr>
          <w:rFonts w:cs="Arial"/>
          <w:szCs w:val="22"/>
          <w:lang w:val="en-GB"/>
        </w:rPr>
        <w:t> </w:t>
      </w:r>
      <w:r w:rsidR="00754437">
        <w:rPr>
          <w:rFonts w:cs="Arial"/>
          <w:szCs w:val="22"/>
          <w:lang w:val="ru-RU"/>
        </w:rPr>
        <w:t xml:space="preserve">разработку </w:t>
      </w:r>
      <w:r w:rsidR="00754437" w:rsidRPr="008E1454">
        <w:rPr>
          <w:rFonts w:cs="Arial"/>
          <w:szCs w:val="22"/>
          <w:lang w:val="ru-RU"/>
        </w:rPr>
        <w:t>содержания учебных материалов</w:t>
      </w:r>
      <w:r w:rsidR="00EA71AC" w:rsidRPr="008E1454">
        <w:rPr>
          <w:rFonts w:cs="Arial"/>
          <w:szCs w:val="22"/>
          <w:lang w:val="ru-RU"/>
        </w:rPr>
        <w:t>; (</w:t>
      </w:r>
      <w:r w:rsidR="00EA71AC" w:rsidRPr="008E1454">
        <w:rPr>
          <w:rFonts w:cs="Arial"/>
          <w:szCs w:val="22"/>
          <w:lang w:val="en-GB"/>
        </w:rPr>
        <w:t>ii</w:t>
      </w:r>
      <w:r w:rsidR="00EA71AC" w:rsidRPr="008E1454">
        <w:rPr>
          <w:rFonts w:cs="Arial"/>
          <w:szCs w:val="22"/>
          <w:lang w:val="ru-RU"/>
        </w:rPr>
        <w:t>)</w:t>
      </w:r>
      <w:r w:rsidR="00EA71AC" w:rsidRPr="008E1454">
        <w:rPr>
          <w:rFonts w:cs="Arial"/>
          <w:szCs w:val="22"/>
          <w:lang w:val="en-GB"/>
        </w:rPr>
        <w:t> </w:t>
      </w:r>
      <w:r w:rsidR="00754437" w:rsidRPr="008E1454">
        <w:rPr>
          <w:rFonts w:cs="Arial"/>
          <w:szCs w:val="22"/>
          <w:lang w:val="ru-RU"/>
        </w:rPr>
        <w:t>усиление сетевого взаимодействия экспертов-</w:t>
      </w:r>
      <w:proofErr w:type="spellStart"/>
      <w:r w:rsidR="00754437" w:rsidRPr="008E1454">
        <w:rPr>
          <w:rFonts w:cs="Arial"/>
          <w:szCs w:val="22"/>
          <w:lang w:val="ru-RU"/>
        </w:rPr>
        <w:t>фасилитаторов</w:t>
      </w:r>
      <w:proofErr w:type="spellEnd"/>
      <w:r w:rsidR="00EA71AC" w:rsidRPr="008E1454">
        <w:rPr>
          <w:rFonts w:cs="Arial"/>
          <w:szCs w:val="22"/>
          <w:lang w:val="ru-RU"/>
        </w:rPr>
        <w:t>;</w:t>
      </w:r>
      <w:proofErr w:type="gramEnd"/>
      <w:r w:rsidR="00EA71AC" w:rsidRPr="008E1454">
        <w:rPr>
          <w:rFonts w:cs="Arial"/>
          <w:szCs w:val="22"/>
          <w:lang w:val="ru-RU"/>
        </w:rPr>
        <w:t xml:space="preserve"> (</w:t>
      </w:r>
      <w:r w:rsidR="00EA71AC" w:rsidRPr="008E1454">
        <w:rPr>
          <w:rFonts w:cs="Arial"/>
          <w:szCs w:val="22"/>
          <w:lang w:val="en-GB"/>
        </w:rPr>
        <w:t>iii</w:t>
      </w:r>
      <w:r w:rsidR="00EA71AC" w:rsidRPr="008E1454">
        <w:rPr>
          <w:rFonts w:cs="Arial"/>
          <w:szCs w:val="22"/>
          <w:lang w:val="ru-RU"/>
        </w:rPr>
        <w:t>)</w:t>
      </w:r>
      <w:r w:rsidR="00EA71AC" w:rsidRPr="008E1454">
        <w:rPr>
          <w:rFonts w:cs="Arial"/>
          <w:szCs w:val="22"/>
          <w:lang w:val="en-GB"/>
        </w:rPr>
        <w:t> </w:t>
      </w:r>
      <w:r w:rsidR="00754437" w:rsidRPr="008E1454">
        <w:rPr>
          <w:rFonts w:cs="Arial"/>
          <w:szCs w:val="22"/>
          <w:lang w:val="ru-RU"/>
        </w:rPr>
        <w:t xml:space="preserve">мониторинг, оценку и </w:t>
      </w:r>
      <w:r w:rsidR="00065706" w:rsidRPr="008E1454">
        <w:rPr>
          <w:rFonts w:cs="Arial"/>
          <w:szCs w:val="22"/>
          <w:lang w:val="ru-RU"/>
        </w:rPr>
        <w:t>адаптацию стратегии соответственно</w:t>
      </w:r>
      <w:r w:rsidR="00EA71AC" w:rsidRPr="008E1454">
        <w:rPr>
          <w:rStyle w:val="FootnoteReference"/>
          <w:rFonts w:cs="Arial"/>
          <w:szCs w:val="22"/>
          <w:lang w:val="en-GB"/>
        </w:rPr>
        <w:footnoteReference w:id="1"/>
      </w:r>
      <w:r w:rsidR="00EA71AC" w:rsidRPr="008E1454">
        <w:rPr>
          <w:rFonts w:cs="Arial"/>
          <w:szCs w:val="22"/>
          <w:lang w:val="ru-RU"/>
        </w:rPr>
        <w:t xml:space="preserve">. </w:t>
      </w:r>
      <w:r w:rsidR="00065706" w:rsidRPr="00EE1592">
        <w:rPr>
          <w:rFonts w:cs="Arial"/>
          <w:szCs w:val="22"/>
          <w:lang w:val="ru-RU"/>
        </w:rPr>
        <w:t>Подробная информация о результатах мероприятий, касающихся этих вопросов, проводившихся с июня</w:t>
      </w:r>
      <w:r w:rsidR="00065706" w:rsidRPr="00EE1592">
        <w:rPr>
          <w:rFonts w:cs="Arial"/>
          <w:szCs w:val="22"/>
          <w:lang w:val="en-US"/>
        </w:rPr>
        <w:t> </w:t>
      </w:r>
      <w:r w:rsidR="00065706" w:rsidRPr="00EE1592">
        <w:rPr>
          <w:rFonts w:cs="Arial"/>
          <w:szCs w:val="22"/>
          <w:lang w:val="ru-RU"/>
        </w:rPr>
        <w:t>2014</w:t>
      </w:r>
      <w:r w:rsidR="00065706" w:rsidRPr="00EE1592">
        <w:rPr>
          <w:rFonts w:cs="Arial"/>
          <w:szCs w:val="22"/>
          <w:lang w:val="en-US"/>
        </w:rPr>
        <w:t> </w:t>
      </w:r>
      <w:r w:rsidR="00065706" w:rsidRPr="00EE1592">
        <w:rPr>
          <w:rFonts w:cs="Arial"/>
          <w:szCs w:val="22"/>
          <w:lang w:val="ru-RU"/>
        </w:rPr>
        <w:t>г. по июнь 2016</w:t>
      </w:r>
      <w:r w:rsidR="00065706" w:rsidRPr="00EE1592">
        <w:rPr>
          <w:rFonts w:cs="Arial"/>
          <w:szCs w:val="22"/>
          <w:lang w:val="en-US"/>
        </w:rPr>
        <w:t> </w:t>
      </w:r>
      <w:r w:rsidR="00065706" w:rsidRPr="00EE1592">
        <w:rPr>
          <w:rFonts w:cs="Arial"/>
          <w:szCs w:val="22"/>
          <w:lang w:val="ru-RU"/>
        </w:rPr>
        <w:t xml:space="preserve">г., представлена в </w:t>
      </w:r>
      <w:r w:rsidR="008E1454">
        <w:rPr>
          <w:rFonts w:cs="Arial"/>
          <w:szCs w:val="22"/>
          <w:lang w:val="ru-RU"/>
        </w:rPr>
        <w:t>докладе</w:t>
      </w:r>
      <w:r w:rsidR="008E1454" w:rsidRPr="00EE1592">
        <w:rPr>
          <w:rFonts w:cs="Arial"/>
          <w:szCs w:val="22"/>
          <w:lang w:val="ru-RU"/>
        </w:rPr>
        <w:t xml:space="preserve"> </w:t>
      </w:r>
      <w:r w:rsidR="00065706" w:rsidRPr="00EE1592">
        <w:rPr>
          <w:rFonts w:cs="Arial"/>
          <w:szCs w:val="22"/>
          <w:lang w:val="ru-RU"/>
        </w:rPr>
        <w:t xml:space="preserve">Секретариата </w:t>
      </w:r>
      <w:r w:rsidR="008E1454" w:rsidRPr="00CB73C0">
        <w:rPr>
          <w:rFonts w:cs="Arial"/>
          <w:szCs w:val="22"/>
          <w:lang w:val="ru-RU"/>
        </w:rPr>
        <w:t xml:space="preserve">о </w:t>
      </w:r>
      <w:r w:rsidR="008E1454">
        <w:rPr>
          <w:rFonts w:cs="Arial"/>
          <w:szCs w:val="22"/>
          <w:lang w:val="ru-RU"/>
        </w:rPr>
        <w:t xml:space="preserve">своей </w:t>
      </w:r>
      <w:r w:rsidR="008E1454" w:rsidRPr="00CB73C0">
        <w:rPr>
          <w:rFonts w:cs="Arial"/>
          <w:szCs w:val="22"/>
          <w:lang w:val="ru-RU"/>
        </w:rPr>
        <w:t xml:space="preserve">деятельности </w:t>
      </w:r>
      <w:r w:rsidR="00EA71AC" w:rsidRPr="00EE1592">
        <w:rPr>
          <w:rFonts w:cs="Arial"/>
          <w:szCs w:val="22"/>
          <w:lang w:val="ru-RU"/>
        </w:rPr>
        <w:t>(</w:t>
      </w:r>
      <w:r w:rsidR="00065706" w:rsidRPr="00EE1592">
        <w:rPr>
          <w:rFonts w:cs="Arial"/>
          <w:szCs w:val="22"/>
          <w:lang w:val="ru-RU"/>
        </w:rPr>
        <w:t>документ</w:t>
      </w:r>
      <w:r w:rsidR="00EA71AC" w:rsidRPr="00EE1592">
        <w:rPr>
          <w:rFonts w:cs="Arial"/>
          <w:szCs w:val="22"/>
          <w:lang w:val="en-GB"/>
        </w:rPr>
        <w:t> ITH</w:t>
      </w:r>
      <w:r w:rsidR="00EA71AC" w:rsidRPr="00EE1592">
        <w:rPr>
          <w:rFonts w:cs="Arial"/>
          <w:szCs w:val="22"/>
          <w:lang w:val="ru-RU"/>
        </w:rPr>
        <w:t>/16/6.</w:t>
      </w:r>
      <w:r w:rsidR="00EA71AC" w:rsidRPr="00EE1592">
        <w:rPr>
          <w:rFonts w:cs="Arial"/>
          <w:szCs w:val="22"/>
          <w:lang w:val="en-GB"/>
        </w:rPr>
        <w:t>GA</w:t>
      </w:r>
      <w:r w:rsidR="00EA71AC" w:rsidRPr="00EE1592">
        <w:rPr>
          <w:rFonts w:cs="Arial"/>
          <w:szCs w:val="22"/>
          <w:lang w:val="ru-RU"/>
        </w:rPr>
        <w:t xml:space="preserve">/6). </w:t>
      </w:r>
      <w:r w:rsidR="00AB2275" w:rsidRPr="008E1454">
        <w:rPr>
          <w:rFonts w:cs="Arial"/>
          <w:szCs w:val="22"/>
          <w:lang w:val="ru-RU"/>
        </w:rPr>
        <w:t xml:space="preserve">Также этот отчёт рассматривает ситуацию с точки зрения </w:t>
      </w:r>
      <w:r w:rsidR="007038DC" w:rsidRPr="008E1454">
        <w:rPr>
          <w:rFonts w:cs="Arial"/>
          <w:szCs w:val="22"/>
          <w:lang w:val="ru-RU"/>
        </w:rPr>
        <w:t>выполнения</w:t>
      </w:r>
      <w:r w:rsidR="00AB2275" w:rsidRPr="008E1454">
        <w:rPr>
          <w:rFonts w:cs="Arial"/>
          <w:szCs w:val="22"/>
          <w:lang w:val="ru-RU"/>
        </w:rPr>
        <w:t xml:space="preserve"> программ по укреплению потенциала на </w:t>
      </w:r>
      <w:r w:rsidR="008E1454">
        <w:rPr>
          <w:rFonts w:cs="Arial"/>
          <w:szCs w:val="22"/>
          <w:lang w:val="ru-RU"/>
        </w:rPr>
        <w:t>государственном</w:t>
      </w:r>
      <w:r w:rsidR="008E1454" w:rsidRPr="008E1454">
        <w:rPr>
          <w:rFonts w:cs="Arial"/>
          <w:szCs w:val="22"/>
          <w:lang w:val="ru-RU"/>
        </w:rPr>
        <w:t xml:space="preserve"> </w:t>
      </w:r>
      <w:r w:rsidR="00AB2275" w:rsidRPr="008E1454">
        <w:rPr>
          <w:rFonts w:cs="Arial"/>
          <w:szCs w:val="22"/>
          <w:lang w:val="ru-RU"/>
        </w:rPr>
        <w:t xml:space="preserve">уровне, что стало возможным благодаря </w:t>
      </w:r>
      <w:r w:rsidR="007068E0" w:rsidRPr="008E1454">
        <w:rPr>
          <w:rFonts w:cs="Arial"/>
          <w:szCs w:val="22"/>
          <w:lang w:val="ru-RU"/>
        </w:rPr>
        <w:t>целевым взносам</w:t>
      </w:r>
      <w:r w:rsidR="007068E0" w:rsidRPr="007068E0">
        <w:rPr>
          <w:rFonts w:cs="Arial"/>
          <w:szCs w:val="22"/>
          <w:lang w:val="ru-RU"/>
        </w:rPr>
        <w:t xml:space="preserve"> </w:t>
      </w:r>
      <w:r w:rsidR="007068E0">
        <w:rPr>
          <w:rFonts w:cs="Arial"/>
          <w:szCs w:val="22"/>
          <w:lang w:val="ru-RU"/>
        </w:rPr>
        <w:t>в</w:t>
      </w:r>
      <w:r w:rsidR="007068E0" w:rsidRPr="007068E0">
        <w:rPr>
          <w:rFonts w:cs="Arial"/>
          <w:szCs w:val="22"/>
          <w:lang w:val="ru-RU"/>
        </w:rPr>
        <w:t xml:space="preserve"> </w:t>
      </w:r>
      <w:r w:rsidR="007068E0">
        <w:rPr>
          <w:rFonts w:cs="Arial"/>
          <w:szCs w:val="22"/>
          <w:lang w:val="ru-RU"/>
        </w:rPr>
        <w:t>Фонд</w:t>
      </w:r>
      <w:r w:rsidR="007068E0" w:rsidRPr="007068E0">
        <w:rPr>
          <w:rFonts w:cs="Arial"/>
          <w:szCs w:val="22"/>
          <w:lang w:val="ru-RU"/>
        </w:rPr>
        <w:t xml:space="preserve"> </w:t>
      </w:r>
      <w:r w:rsidR="007068E0">
        <w:rPr>
          <w:rFonts w:cs="Arial"/>
          <w:szCs w:val="22"/>
          <w:lang w:val="ru-RU"/>
        </w:rPr>
        <w:t>нематериального</w:t>
      </w:r>
      <w:r w:rsidR="007068E0" w:rsidRPr="007068E0">
        <w:rPr>
          <w:rFonts w:cs="Arial"/>
          <w:szCs w:val="22"/>
          <w:lang w:val="ru-RU"/>
        </w:rPr>
        <w:t xml:space="preserve"> </w:t>
      </w:r>
      <w:r w:rsidR="007068E0">
        <w:rPr>
          <w:rFonts w:cs="Arial"/>
          <w:szCs w:val="22"/>
          <w:lang w:val="ru-RU"/>
        </w:rPr>
        <w:t>культурного</w:t>
      </w:r>
      <w:r w:rsidR="007068E0" w:rsidRPr="007068E0">
        <w:rPr>
          <w:rFonts w:cs="Arial"/>
          <w:szCs w:val="22"/>
          <w:lang w:val="ru-RU"/>
        </w:rPr>
        <w:t xml:space="preserve"> </w:t>
      </w:r>
      <w:r w:rsidR="007068E0">
        <w:rPr>
          <w:rFonts w:cs="Arial"/>
          <w:szCs w:val="22"/>
          <w:lang w:val="ru-RU"/>
        </w:rPr>
        <w:t>наследия</w:t>
      </w:r>
      <w:r w:rsidR="007068E0" w:rsidRPr="007068E0">
        <w:rPr>
          <w:rFonts w:cs="Arial"/>
          <w:szCs w:val="22"/>
          <w:lang w:val="ru-RU"/>
        </w:rPr>
        <w:t xml:space="preserve"> </w:t>
      </w:r>
      <w:r w:rsidR="007068E0">
        <w:rPr>
          <w:rFonts w:cs="Arial"/>
          <w:szCs w:val="22"/>
          <w:lang w:val="ru-RU"/>
        </w:rPr>
        <w:t>и</w:t>
      </w:r>
      <w:r w:rsidR="007068E0" w:rsidRPr="007068E0">
        <w:rPr>
          <w:rFonts w:cs="Arial"/>
          <w:szCs w:val="22"/>
          <w:lang w:val="ru-RU"/>
        </w:rPr>
        <w:t xml:space="preserve"> </w:t>
      </w:r>
      <w:r w:rsidR="007068E0">
        <w:rPr>
          <w:rFonts w:cs="Arial"/>
          <w:szCs w:val="22"/>
          <w:lang w:val="ru-RU"/>
        </w:rPr>
        <w:t>соглашениям о целевых фондах.</w:t>
      </w:r>
    </w:p>
    <w:p w:rsidR="00EA71AC" w:rsidRPr="00AE18A1" w:rsidRDefault="009A7009" w:rsidP="00EA71AC">
      <w:pPr>
        <w:pStyle w:val="ListParagraph"/>
        <w:keepNext/>
        <w:numPr>
          <w:ilvl w:val="0"/>
          <w:numId w:val="16"/>
        </w:numPr>
        <w:spacing w:before="240" w:after="120"/>
        <w:ind w:left="567" w:hanging="567"/>
        <w:rPr>
          <w:rFonts w:cs="Arial"/>
          <w:b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ru-RU"/>
        </w:rPr>
        <w:t>Служба управления знаниями</w:t>
      </w:r>
    </w:p>
    <w:p w:rsidR="00EA71AC" w:rsidRPr="00286C29" w:rsidRDefault="009A7009" w:rsidP="00EA71AC">
      <w:pPr>
        <w:pStyle w:val="Marge"/>
        <w:numPr>
          <w:ilvl w:val="0"/>
          <w:numId w:val="13"/>
        </w:numPr>
        <w:tabs>
          <w:tab w:val="clear" w:pos="720"/>
        </w:tabs>
        <w:spacing w:after="120"/>
        <w:ind w:left="567" w:hanging="567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  <w:t>Управление</w:t>
      </w:r>
      <w:r w:rsidRPr="00920BE1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знаниями</w:t>
      </w:r>
      <w:r w:rsidRPr="00920BE1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стало</w:t>
      </w:r>
      <w:r w:rsidRPr="00920BE1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жизненно</w:t>
      </w:r>
      <w:r w:rsidRPr="00920BE1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необходимым</w:t>
      </w:r>
      <w:r w:rsidRPr="00920BE1">
        <w:rPr>
          <w:rFonts w:cs="Arial"/>
          <w:szCs w:val="22"/>
          <w:lang w:val="ru-RU"/>
        </w:rPr>
        <w:t xml:space="preserve">, </w:t>
      </w:r>
      <w:r>
        <w:rPr>
          <w:rFonts w:cs="Arial"/>
          <w:szCs w:val="22"/>
          <w:lang w:val="ru-RU"/>
        </w:rPr>
        <w:t>поскольку</w:t>
      </w:r>
      <w:r w:rsidRPr="00920BE1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Конвенция</w:t>
      </w:r>
      <w:r w:rsidRPr="00920BE1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продолжает</w:t>
      </w:r>
      <w:r w:rsidRPr="00920BE1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развиваться</w:t>
      </w:r>
      <w:r w:rsidRPr="00920BE1">
        <w:rPr>
          <w:rFonts w:cs="Arial"/>
          <w:szCs w:val="22"/>
          <w:lang w:val="ru-RU"/>
        </w:rPr>
        <w:t xml:space="preserve">, и </w:t>
      </w:r>
      <w:r w:rsidR="00920BE1">
        <w:rPr>
          <w:rFonts w:cs="Arial"/>
          <w:szCs w:val="22"/>
          <w:lang w:val="ru-RU"/>
        </w:rPr>
        <w:t>се</w:t>
      </w:r>
      <w:r w:rsidRPr="00920BE1">
        <w:rPr>
          <w:rFonts w:cs="Arial"/>
          <w:szCs w:val="22"/>
          <w:lang w:val="ru-RU"/>
        </w:rPr>
        <w:t xml:space="preserve">ть </w:t>
      </w:r>
      <w:r>
        <w:rPr>
          <w:rFonts w:cs="Arial"/>
          <w:szCs w:val="22"/>
          <w:lang w:val="ru-RU"/>
        </w:rPr>
        <w:t>заинтересованных</w:t>
      </w:r>
      <w:r w:rsidRPr="00920BE1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сторон</w:t>
      </w:r>
      <w:r w:rsidRPr="00920BE1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расширяется</w:t>
      </w:r>
      <w:r w:rsidRPr="00920BE1">
        <w:rPr>
          <w:rFonts w:cs="Arial"/>
          <w:szCs w:val="22"/>
          <w:lang w:val="ru-RU"/>
        </w:rPr>
        <w:t xml:space="preserve">. </w:t>
      </w:r>
      <w:r>
        <w:rPr>
          <w:rFonts w:cs="Arial"/>
          <w:szCs w:val="22"/>
          <w:lang w:val="ru-RU"/>
        </w:rPr>
        <w:t>Только</w:t>
      </w:r>
      <w:r w:rsidRPr="009E67F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непрерывное</w:t>
      </w:r>
      <w:r w:rsidRPr="009E67F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совершенствование</w:t>
      </w:r>
      <w:r w:rsidRPr="009E67F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управлени</w:t>
      </w:r>
      <w:r w:rsidR="00061D3E">
        <w:rPr>
          <w:rFonts w:cs="Arial"/>
          <w:szCs w:val="22"/>
          <w:lang w:val="ru-RU"/>
        </w:rPr>
        <w:t>я</w:t>
      </w:r>
      <w:r w:rsidRPr="009E67F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знаниями</w:t>
      </w:r>
      <w:r w:rsidRPr="009E67F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и</w:t>
      </w:r>
      <w:r w:rsidRPr="009E67F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информацией</w:t>
      </w:r>
      <w:r w:rsidRPr="009E67F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помогает</w:t>
      </w:r>
      <w:r w:rsidRPr="009E67F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Секретариату</w:t>
      </w:r>
      <w:r w:rsidRPr="009E67F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оказывать</w:t>
      </w:r>
      <w:r w:rsidRPr="009E67F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услуги</w:t>
      </w:r>
      <w:r w:rsidRPr="009E67F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государствам</w:t>
      </w:r>
      <w:r w:rsidRPr="009E67FF">
        <w:rPr>
          <w:rFonts w:cs="Arial"/>
          <w:szCs w:val="22"/>
          <w:lang w:val="ru-RU"/>
        </w:rPr>
        <w:t>-</w:t>
      </w:r>
      <w:r>
        <w:rPr>
          <w:rFonts w:cs="Arial"/>
          <w:szCs w:val="22"/>
          <w:lang w:val="ru-RU"/>
        </w:rPr>
        <w:t>участникам</w:t>
      </w:r>
      <w:r w:rsidRPr="009E67F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и</w:t>
      </w:r>
      <w:r w:rsidRPr="009E67F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руководящим</w:t>
      </w:r>
      <w:r w:rsidRPr="009E67F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органам</w:t>
      </w:r>
      <w:r w:rsidRPr="009E67FF">
        <w:rPr>
          <w:rFonts w:cs="Arial"/>
          <w:szCs w:val="22"/>
          <w:lang w:val="ru-RU"/>
        </w:rPr>
        <w:t xml:space="preserve"> </w:t>
      </w:r>
      <w:r w:rsidR="00061D3E">
        <w:rPr>
          <w:rFonts w:cs="Arial"/>
          <w:szCs w:val="22"/>
          <w:lang w:val="ru-RU"/>
        </w:rPr>
        <w:t>Конвенции</w:t>
      </w:r>
      <w:r w:rsidR="00061D3E" w:rsidRPr="009E67FF">
        <w:rPr>
          <w:rFonts w:cs="Arial"/>
          <w:szCs w:val="22"/>
          <w:lang w:val="ru-RU"/>
        </w:rPr>
        <w:t xml:space="preserve">, </w:t>
      </w:r>
      <w:r w:rsidR="00061D3E">
        <w:rPr>
          <w:rFonts w:cs="Arial"/>
          <w:szCs w:val="22"/>
          <w:lang w:val="ru-RU"/>
        </w:rPr>
        <w:t>а</w:t>
      </w:r>
      <w:r w:rsidR="00061D3E" w:rsidRPr="009E67FF">
        <w:rPr>
          <w:rFonts w:cs="Arial"/>
          <w:szCs w:val="22"/>
          <w:lang w:val="ru-RU"/>
        </w:rPr>
        <w:t xml:space="preserve"> </w:t>
      </w:r>
      <w:r w:rsidR="00061D3E">
        <w:rPr>
          <w:rFonts w:cs="Arial"/>
          <w:szCs w:val="22"/>
          <w:lang w:val="ru-RU"/>
        </w:rPr>
        <w:t>также</w:t>
      </w:r>
      <w:r w:rsidR="00061D3E" w:rsidRPr="009E67FF">
        <w:rPr>
          <w:rFonts w:cs="Arial"/>
          <w:szCs w:val="22"/>
          <w:lang w:val="ru-RU"/>
        </w:rPr>
        <w:t xml:space="preserve"> </w:t>
      </w:r>
      <w:r w:rsidR="00061D3E">
        <w:rPr>
          <w:rFonts w:cs="Arial"/>
          <w:szCs w:val="22"/>
          <w:lang w:val="ru-RU"/>
        </w:rPr>
        <w:t>международному</w:t>
      </w:r>
      <w:r w:rsidR="00061D3E" w:rsidRPr="009E67FF">
        <w:rPr>
          <w:rFonts w:cs="Arial"/>
          <w:szCs w:val="22"/>
          <w:lang w:val="ru-RU"/>
        </w:rPr>
        <w:t xml:space="preserve"> </w:t>
      </w:r>
      <w:r w:rsidR="00061D3E">
        <w:rPr>
          <w:rFonts w:cs="Arial"/>
          <w:szCs w:val="22"/>
          <w:lang w:val="ru-RU"/>
        </w:rPr>
        <w:t>сообществу</w:t>
      </w:r>
      <w:r w:rsidR="00061D3E" w:rsidRPr="009E67FF">
        <w:rPr>
          <w:rFonts w:cs="Arial"/>
          <w:szCs w:val="22"/>
          <w:lang w:val="ru-RU"/>
        </w:rPr>
        <w:t xml:space="preserve"> </w:t>
      </w:r>
      <w:r w:rsidR="00061D3E">
        <w:rPr>
          <w:rFonts w:cs="Arial"/>
          <w:szCs w:val="22"/>
          <w:lang w:val="ru-RU"/>
        </w:rPr>
        <w:t>в</w:t>
      </w:r>
      <w:r w:rsidR="00061D3E" w:rsidRPr="009E67FF">
        <w:rPr>
          <w:rFonts w:cs="Arial"/>
          <w:szCs w:val="22"/>
          <w:lang w:val="ru-RU"/>
        </w:rPr>
        <w:t xml:space="preserve"> </w:t>
      </w:r>
      <w:r w:rsidR="00061D3E">
        <w:rPr>
          <w:rFonts w:cs="Arial"/>
          <w:szCs w:val="22"/>
          <w:lang w:val="ru-RU"/>
        </w:rPr>
        <w:t>целом</w:t>
      </w:r>
      <w:r w:rsidR="00061D3E" w:rsidRPr="009E67FF">
        <w:rPr>
          <w:rFonts w:cs="Arial"/>
          <w:szCs w:val="22"/>
          <w:lang w:val="ru-RU"/>
        </w:rPr>
        <w:t xml:space="preserve"> </w:t>
      </w:r>
      <w:r w:rsidR="00061D3E">
        <w:rPr>
          <w:rFonts w:cs="Arial"/>
          <w:szCs w:val="22"/>
          <w:lang w:val="ru-RU"/>
        </w:rPr>
        <w:t>по</w:t>
      </w:r>
      <w:r w:rsidR="00061D3E" w:rsidRPr="009E67FF">
        <w:rPr>
          <w:rFonts w:cs="Arial"/>
          <w:szCs w:val="22"/>
          <w:lang w:val="ru-RU"/>
        </w:rPr>
        <w:t xml:space="preserve"> </w:t>
      </w:r>
      <w:r w:rsidR="00061D3E">
        <w:rPr>
          <w:rFonts w:cs="Arial"/>
          <w:szCs w:val="22"/>
          <w:lang w:val="ru-RU"/>
        </w:rPr>
        <w:t>возможности</w:t>
      </w:r>
      <w:r w:rsidR="00061D3E" w:rsidRPr="009E67FF">
        <w:rPr>
          <w:rFonts w:cs="Arial"/>
          <w:szCs w:val="22"/>
          <w:lang w:val="ru-RU"/>
        </w:rPr>
        <w:t xml:space="preserve"> </w:t>
      </w:r>
      <w:r w:rsidR="00061D3E">
        <w:rPr>
          <w:rFonts w:cs="Arial"/>
          <w:szCs w:val="22"/>
          <w:lang w:val="ru-RU"/>
        </w:rPr>
        <w:t>максимально</w:t>
      </w:r>
      <w:r w:rsidR="00061D3E" w:rsidRPr="009E67FF">
        <w:rPr>
          <w:rFonts w:cs="Arial"/>
          <w:szCs w:val="22"/>
          <w:lang w:val="ru-RU"/>
        </w:rPr>
        <w:t xml:space="preserve"> </w:t>
      </w:r>
      <w:r w:rsidR="00061D3E">
        <w:rPr>
          <w:rFonts w:cs="Arial"/>
          <w:szCs w:val="22"/>
          <w:lang w:val="ru-RU"/>
        </w:rPr>
        <w:t>оперативно</w:t>
      </w:r>
      <w:r w:rsidR="00061D3E" w:rsidRPr="009E67FF">
        <w:rPr>
          <w:rFonts w:cs="Arial"/>
          <w:szCs w:val="22"/>
          <w:lang w:val="ru-RU"/>
        </w:rPr>
        <w:t xml:space="preserve"> </w:t>
      </w:r>
      <w:r w:rsidR="00061D3E">
        <w:rPr>
          <w:rFonts w:cs="Arial"/>
          <w:szCs w:val="22"/>
          <w:lang w:val="ru-RU"/>
        </w:rPr>
        <w:t>и</w:t>
      </w:r>
      <w:r w:rsidR="00061D3E" w:rsidRPr="009E67FF">
        <w:rPr>
          <w:rFonts w:cs="Arial"/>
          <w:szCs w:val="22"/>
          <w:lang w:val="ru-RU"/>
        </w:rPr>
        <w:t xml:space="preserve"> </w:t>
      </w:r>
      <w:r w:rsidR="00061D3E">
        <w:rPr>
          <w:rFonts w:cs="Arial"/>
          <w:szCs w:val="22"/>
          <w:lang w:val="ru-RU"/>
        </w:rPr>
        <w:t>точно</w:t>
      </w:r>
      <w:r w:rsidR="00061D3E" w:rsidRPr="009E67FF">
        <w:rPr>
          <w:rFonts w:cs="Arial"/>
          <w:szCs w:val="22"/>
          <w:lang w:val="ru-RU"/>
        </w:rPr>
        <w:t>.</w:t>
      </w:r>
      <w:r w:rsidR="00DA5C7E" w:rsidRPr="009E67FF">
        <w:rPr>
          <w:rFonts w:cs="Arial"/>
          <w:szCs w:val="22"/>
          <w:lang w:val="ru-RU"/>
        </w:rPr>
        <w:t xml:space="preserve"> </w:t>
      </w:r>
      <w:proofErr w:type="gramStart"/>
      <w:r w:rsidR="00DA5C7E">
        <w:rPr>
          <w:rFonts w:cs="Arial"/>
          <w:szCs w:val="22"/>
          <w:lang w:val="ru-RU"/>
        </w:rPr>
        <w:t>На</w:t>
      </w:r>
      <w:r w:rsidR="00DA5C7E" w:rsidRPr="00286C29">
        <w:rPr>
          <w:rFonts w:cs="Arial"/>
          <w:szCs w:val="22"/>
          <w:lang w:val="ru-RU"/>
        </w:rPr>
        <w:t xml:space="preserve"> </w:t>
      </w:r>
      <w:r w:rsidR="00DA5C7E">
        <w:rPr>
          <w:rFonts w:cs="Arial"/>
          <w:szCs w:val="22"/>
          <w:lang w:val="ru-RU"/>
        </w:rPr>
        <w:t>мероприятия</w:t>
      </w:r>
      <w:r w:rsidR="00DA5C7E" w:rsidRPr="00286C29">
        <w:rPr>
          <w:rFonts w:cs="Arial"/>
          <w:szCs w:val="22"/>
          <w:lang w:val="ru-RU"/>
        </w:rPr>
        <w:t xml:space="preserve"> </w:t>
      </w:r>
      <w:r w:rsidR="00DA5C7E">
        <w:rPr>
          <w:rFonts w:cs="Arial"/>
          <w:szCs w:val="22"/>
          <w:lang w:val="ru-RU"/>
        </w:rPr>
        <w:t>по</w:t>
      </w:r>
      <w:r w:rsidR="00DA5C7E" w:rsidRPr="00286C29">
        <w:rPr>
          <w:rFonts w:cs="Arial"/>
          <w:szCs w:val="22"/>
          <w:lang w:val="ru-RU"/>
        </w:rPr>
        <w:t xml:space="preserve"> </w:t>
      </w:r>
      <w:r w:rsidR="00DA5C7E">
        <w:rPr>
          <w:rFonts w:cs="Arial"/>
          <w:szCs w:val="22"/>
          <w:lang w:val="ru-RU"/>
        </w:rPr>
        <w:t>совершенствованию</w:t>
      </w:r>
      <w:r w:rsidR="00DA5C7E" w:rsidRPr="00286C29">
        <w:rPr>
          <w:rFonts w:cs="Arial"/>
          <w:szCs w:val="22"/>
          <w:lang w:val="ru-RU"/>
        </w:rPr>
        <w:t xml:space="preserve"> </w:t>
      </w:r>
      <w:r w:rsidR="00DA5C7E">
        <w:rPr>
          <w:rFonts w:cs="Arial"/>
          <w:szCs w:val="22"/>
          <w:lang w:val="ru-RU"/>
        </w:rPr>
        <w:t>доступности</w:t>
      </w:r>
      <w:r w:rsidR="00DA5C7E" w:rsidRPr="00286C29">
        <w:rPr>
          <w:rFonts w:cs="Arial"/>
          <w:szCs w:val="22"/>
          <w:lang w:val="ru-RU"/>
        </w:rPr>
        <w:t xml:space="preserve">, </w:t>
      </w:r>
      <w:r w:rsidR="00DA5C7E">
        <w:rPr>
          <w:rFonts w:cs="Arial"/>
          <w:szCs w:val="22"/>
          <w:lang w:val="ru-RU"/>
        </w:rPr>
        <w:t>удобства</w:t>
      </w:r>
      <w:r w:rsidR="00DA5C7E" w:rsidRPr="00286C29">
        <w:rPr>
          <w:rFonts w:cs="Arial"/>
          <w:szCs w:val="22"/>
          <w:lang w:val="ru-RU"/>
        </w:rPr>
        <w:t xml:space="preserve"> </w:t>
      </w:r>
      <w:r w:rsidR="00DA5C7E">
        <w:rPr>
          <w:rFonts w:cs="Arial"/>
          <w:szCs w:val="22"/>
          <w:lang w:val="ru-RU"/>
        </w:rPr>
        <w:t>в</w:t>
      </w:r>
      <w:r w:rsidR="00DA5C7E" w:rsidRPr="00286C29">
        <w:rPr>
          <w:rFonts w:cs="Arial"/>
          <w:szCs w:val="22"/>
          <w:lang w:val="ru-RU"/>
        </w:rPr>
        <w:t xml:space="preserve"> </w:t>
      </w:r>
      <w:r w:rsidR="00DA5C7E">
        <w:rPr>
          <w:rFonts w:cs="Arial"/>
          <w:szCs w:val="22"/>
          <w:lang w:val="ru-RU"/>
        </w:rPr>
        <w:t>использовании</w:t>
      </w:r>
      <w:r w:rsidR="00DA5C7E" w:rsidRPr="00286C29">
        <w:rPr>
          <w:rFonts w:cs="Arial"/>
          <w:szCs w:val="22"/>
          <w:lang w:val="ru-RU"/>
        </w:rPr>
        <w:t xml:space="preserve"> </w:t>
      </w:r>
      <w:r w:rsidR="00DA5C7E">
        <w:rPr>
          <w:rFonts w:cs="Arial"/>
          <w:szCs w:val="22"/>
          <w:lang w:val="ru-RU"/>
        </w:rPr>
        <w:t>и</w:t>
      </w:r>
      <w:r w:rsidR="00DA5C7E" w:rsidRPr="00286C29">
        <w:rPr>
          <w:rFonts w:cs="Arial"/>
          <w:szCs w:val="22"/>
          <w:lang w:val="ru-RU"/>
        </w:rPr>
        <w:t xml:space="preserve"> </w:t>
      </w:r>
      <w:r w:rsidR="00DA5C7E">
        <w:rPr>
          <w:rFonts w:cs="Arial"/>
          <w:szCs w:val="22"/>
          <w:lang w:val="ru-RU"/>
        </w:rPr>
        <w:t>функциональности</w:t>
      </w:r>
      <w:r w:rsidR="00DA5C7E" w:rsidRPr="00286C29">
        <w:rPr>
          <w:rFonts w:cs="Arial"/>
          <w:szCs w:val="22"/>
          <w:lang w:val="ru-RU"/>
        </w:rPr>
        <w:t xml:space="preserve"> </w:t>
      </w:r>
      <w:r w:rsidR="00DA5C7E">
        <w:rPr>
          <w:rFonts w:cs="Arial"/>
          <w:szCs w:val="22"/>
          <w:lang w:val="ru-RU"/>
        </w:rPr>
        <w:t>системы</w:t>
      </w:r>
      <w:r w:rsidR="00DA5C7E" w:rsidRPr="00286C29">
        <w:rPr>
          <w:rFonts w:cs="Arial"/>
          <w:szCs w:val="22"/>
          <w:lang w:val="ru-RU"/>
        </w:rPr>
        <w:t xml:space="preserve"> </w:t>
      </w:r>
      <w:r w:rsidR="00DA5C7E">
        <w:rPr>
          <w:rFonts w:cs="Arial"/>
          <w:szCs w:val="22"/>
          <w:lang w:val="ru-RU"/>
        </w:rPr>
        <w:t>управления</w:t>
      </w:r>
      <w:r w:rsidR="00DA5C7E" w:rsidRPr="00286C29">
        <w:rPr>
          <w:rFonts w:cs="Arial"/>
          <w:szCs w:val="22"/>
          <w:lang w:val="ru-RU"/>
        </w:rPr>
        <w:t xml:space="preserve"> </w:t>
      </w:r>
      <w:r w:rsidR="00DA5C7E">
        <w:rPr>
          <w:rFonts w:cs="Arial"/>
          <w:szCs w:val="22"/>
          <w:lang w:val="ru-RU"/>
        </w:rPr>
        <w:t>знаниями</w:t>
      </w:r>
      <w:r w:rsidR="00DA5C7E" w:rsidRPr="00286C29">
        <w:rPr>
          <w:rFonts w:cs="Arial"/>
          <w:szCs w:val="22"/>
          <w:lang w:val="ru-RU"/>
        </w:rPr>
        <w:t xml:space="preserve"> </w:t>
      </w:r>
      <w:r w:rsidR="00DA5C7E">
        <w:rPr>
          <w:rFonts w:cs="Arial"/>
          <w:szCs w:val="22"/>
          <w:lang w:val="ru-RU"/>
        </w:rPr>
        <w:t>Конвенции</w:t>
      </w:r>
      <w:r w:rsidR="00DA5C7E" w:rsidRPr="00286C29">
        <w:rPr>
          <w:rFonts w:cs="Arial"/>
          <w:szCs w:val="22"/>
          <w:lang w:val="ru-RU"/>
        </w:rPr>
        <w:t xml:space="preserve"> </w:t>
      </w:r>
      <w:r w:rsidR="00DA5C7E">
        <w:rPr>
          <w:rFonts w:cs="Arial"/>
          <w:szCs w:val="22"/>
          <w:lang w:val="ru-RU"/>
        </w:rPr>
        <w:t>Президиум</w:t>
      </w:r>
      <w:r w:rsidR="00DA5C7E" w:rsidRPr="00286C29">
        <w:rPr>
          <w:rFonts w:cs="Arial"/>
          <w:szCs w:val="22"/>
          <w:lang w:val="ru-RU"/>
        </w:rPr>
        <w:t xml:space="preserve"> </w:t>
      </w:r>
      <w:r w:rsidR="00DA5C7E">
        <w:rPr>
          <w:rFonts w:cs="Arial"/>
          <w:szCs w:val="22"/>
          <w:lang w:val="ru-RU"/>
        </w:rPr>
        <w:t>выделил</w:t>
      </w:r>
      <w:r w:rsidR="00DA5C7E" w:rsidRPr="00286C29">
        <w:rPr>
          <w:rFonts w:cs="Arial"/>
          <w:szCs w:val="22"/>
          <w:lang w:val="ru-RU"/>
        </w:rPr>
        <w:t xml:space="preserve"> </w:t>
      </w:r>
      <w:r w:rsidR="00DA5C7E">
        <w:rPr>
          <w:rFonts w:cs="Arial"/>
          <w:szCs w:val="22"/>
          <w:lang w:val="ru-RU"/>
        </w:rPr>
        <w:t>в</w:t>
      </w:r>
      <w:r w:rsidR="00DA5C7E" w:rsidRPr="00286C29">
        <w:rPr>
          <w:rFonts w:cs="Arial"/>
          <w:szCs w:val="22"/>
          <w:lang w:val="ru-RU"/>
        </w:rPr>
        <w:t xml:space="preserve"> </w:t>
      </w:r>
      <w:r w:rsidR="00DA5C7E">
        <w:rPr>
          <w:rFonts w:cs="Arial"/>
          <w:szCs w:val="22"/>
          <w:lang w:val="ru-RU"/>
        </w:rPr>
        <w:t>общей</w:t>
      </w:r>
      <w:r w:rsidR="00DA5C7E" w:rsidRPr="00286C29">
        <w:rPr>
          <w:rFonts w:cs="Arial"/>
          <w:szCs w:val="22"/>
          <w:lang w:val="ru-RU"/>
        </w:rPr>
        <w:t xml:space="preserve"> </w:t>
      </w:r>
      <w:r w:rsidR="00DA5C7E">
        <w:rPr>
          <w:rFonts w:cs="Arial"/>
          <w:szCs w:val="22"/>
          <w:lang w:val="ru-RU"/>
        </w:rPr>
        <w:t>сложности</w:t>
      </w:r>
      <w:r w:rsidR="00DA5C7E" w:rsidRPr="00286C29">
        <w:rPr>
          <w:rFonts w:cs="Arial"/>
          <w:szCs w:val="22"/>
          <w:lang w:val="ru-RU"/>
        </w:rPr>
        <w:t xml:space="preserve"> 304</w:t>
      </w:r>
      <w:r w:rsidR="00DA5C7E" w:rsidRPr="00DA5C7E">
        <w:rPr>
          <w:rFonts w:cs="Arial"/>
          <w:szCs w:val="22"/>
          <w:lang w:val="en-US"/>
        </w:rPr>
        <w:t> </w:t>
      </w:r>
      <w:r w:rsidR="00DA5C7E" w:rsidRPr="00286C29">
        <w:rPr>
          <w:rFonts w:cs="Arial"/>
          <w:szCs w:val="22"/>
          <w:lang w:val="ru-RU"/>
        </w:rPr>
        <w:t xml:space="preserve">000 </w:t>
      </w:r>
      <w:r w:rsidR="00DA5C7E">
        <w:rPr>
          <w:rFonts w:cs="Arial"/>
          <w:szCs w:val="22"/>
          <w:lang w:val="ru-RU"/>
        </w:rPr>
        <w:t>долл</w:t>
      </w:r>
      <w:r w:rsidR="00DA5C7E" w:rsidRPr="00286C29">
        <w:rPr>
          <w:rFonts w:cs="Arial"/>
          <w:szCs w:val="22"/>
          <w:lang w:val="ru-RU"/>
        </w:rPr>
        <w:t xml:space="preserve">. </w:t>
      </w:r>
      <w:r w:rsidR="00DA5C7E">
        <w:rPr>
          <w:rFonts w:cs="Arial"/>
          <w:szCs w:val="22"/>
          <w:lang w:val="ru-RU"/>
        </w:rPr>
        <w:t>в</w:t>
      </w:r>
      <w:r w:rsidR="00DA5C7E" w:rsidRPr="00286C29">
        <w:rPr>
          <w:rFonts w:cs="Arial"/>
          <w:szCs w:val="22"/>
          <w:lang w:val="ru-RU"/>
        </w:rPr>
        <w:t xml:space="preserve"> </w:t>
      </w:r>
      <w:r w:rsidR="00DA5C7E">
        <w:rPr>
          <w:rFonts w:cs="Arial"/>
          <w:szCs w:val="22"/>
          <w:lang w:val="ru-RU"/>
        </w:rPr>
        <w:t>период</w:t>
      </w:r>
      <w:r w:rsidR="00DA5C7E" w:rsidRPr="00286C29">
        <w:rPr>
          <w:rFonts w:cs="Arial"/>
          <w:szCs w:val="22"/>
          <w:lang w:val="ru-RU"/>
        </w:rPr>
        <w:t xml:space="preserve"> </w:t>
      </w:r>
      <w:r w:rsidR="00DA5C7E">
        <w:rPr>
          <w:rFonts w:cs="Arial"/>
          <w:szCs w:val="22"/>
          <w:lang w:val="ru-RU"/>
        </w:rPr>
        <w:t>с</w:t>
      </w:r>
      <w:r w:rsidR="00DA5C7E" w:rsidRPr="00286C29">
        <w:rPr>
          <w:rFonts w:cs="Arial"/>
          <w:szCs w:val="22"/>
          <w:lang w:val="ru-RU"/>
        </w:rPr>
        <w:t xml:space="preserve"> </w:t>
      </w:r>
      <w:r w:rsidR="00DA5C7E">
        <w:rPr>
          <w:rFonts w:cs="Arial"/>
          <w:szCs w:val="22"/>
          <w:lang w:val="ru-RU"/>
        </w:rPr>
        <w:t>января</w:t>
      </w:r>
      <w:r w:rsidR="00DA5C7E" w:rsidRPr="00286C29">
        <w:rPr>
          <w:rFonts w:cs="Arial"/>
          <w:szCs w:val="22"/>
          <w:lang w:val="ru-RU"/>
        </w:rPr>
        <w:t xml:space="preserve"> 2014</w:t>
      </w:r>
      <w:r w:rsidR="00DA5C7E" w:rsidRPr="00DA5C7E">
        <w:rPr>
          <w:rFonts w:cs="Arial"/>
          <w:szCs w:val="22"/>
          <w:lang w:val="en-US"/>
        </w:rPr>
        <w:t> </w:t>
      </w:r>
      <w:r w:rsidR="00DA5C7E">
        <w:rPr>
          <w:rFonts w:cs="Arial"/>
          <w:szCs w:val="22"/>
          <w:lang w:val="ru-RU"/>
        </w:rPr>
        <w:t>г</w:t>
      </w:r>
      <w:r w:rsidR="00DA5C7E" w:rsidRPr="00286C29">
        <w:rPr>
          <w:rFonts w:cs="Arial"/>
          <w:szCs w:val="22"/>
          <w:lang w:val="ru-RU"/>
        </w:rPr>
        <w:t xml:space="preserve">. </w:t>
      </w:r>
      <w:r w:rsidR="00DA5C7E">
        <w:rPr>
          <w:rFonts w:cs="Arial"/>
          <w:szCs w:val="22"/>
          <w:lang w:val="ru-RU"/>
        </w:rPr>
        <w:t>по</w:t>
      </w:r>
      <w:r w:rsidR="00DA5C7E" w:rsidRPr="00286C29">
        <w:rPr>
          <w:rFonts w:cs="Arial"/>
          <w:szCs w:val="22"/>
          <w:lang w:val="ru-RU"/>
        </w:rPr>
        <w:t xml:space="preserve"> </w:t>
      </w:r>
      <w:r w:rsidR="00DA5C7E">
        <w:rPr>
          <w:rFonts w:cs="Arial"/>
          <w:szCs w:val="22"/>
          <w:lang w:val="ru-RU"/>
        </w:rPr>
        <w:t>декабрь</w:t>
      </w:r>
      <w:r w:rsidR="00DA5C7E" w:rsidRPr="00286C29">
        <w:rPr>
          <w:rFonts w:cs="Arial"/>
          <w:szCs w:val="22"/>
          <w:lang w:val="ru-RU"/>
        </w:rPr>
        <w:t xml:space="preserve"> 2015</w:t>
      </w:r>
      <w:r w:rsidR="00DA5C7E" w:rsidRPr="00DA5C7E">
        <w:rPr>
          <w:rFonts w:cs="Arial"/>
          <w:szCs w:val="22"/>
          <w:lang w:val="en-US"/>
        </w:rPr>
        <w:t> </w:t>
      </w:r>
      <w:r w:rsidR="00DA5C7E">
        <w:rPr>
          <w:rFonts w:cs="Arial"/>
          <w:szCs w:val="22"/>
          <w:lang w:val="ru-RU"/>
        </w:rPr>
        <w:t>г</w:t>
      </w:r>
      <w:r w:rsidR="00DA5C7E" w:rsidRPr="00286C29">
        <w:rPr>
          <w:rFonts w:cs="Arial"/>
          <w:szCs w:val="22"/>
          <w:lang w:val="ru-RU"/>
        </w:rPr>
        <w:t xml:space="preserve">. </w:t>
      </w:r>
      <w:r w:rsidR="00DA5C7E">
        <w:rPr>
          <w:rFonts w:cs="Arial"/>
          <w:szCs w:val="22"/>
          <w:lang w:val="ru-RU"/>
        </w:rPr>
        <w:t>и</w:t>
      </w:r>
      <w:r w:rsidR="00DA5C7E" w:rsidRPr="00286C29">
        <w:rPr>
          <w:rFonts w:cs="Arial"/>
          <w:szCs w:val="22"/>
          <w:lang w:val="ru-RU"/>
        </w:rPr>
        <w:t xml:space="preserve"> 80</w:t>
      </w:r>
      <w:r w:rsidR="00DA5C7E">
        <w:rPr>
          <w:rFonts w:cs="Arial"/>
          <w:szCs w:val="22"/>
          <w:lang w:val="en-US"/>
        </w:rPr>
        <w:t> </w:t>
      </w:r>
      <w:r w:rsidR="00DA5C7E" w:rsidRPr="00286C29">
        <w:rPr>
          <w:rFonts w:cs="Arial"/>
          <w:szCs w:val="22"/>
          <w:lang w:val="ru-RU"/>
        </w:rPr>
        <w:t>000</w:t>
      </w:r>
      <w:r w:rsidR="00DA5C7E" w:rsidRPr="00DA5C7E">
        <w:rPr>
          <w:rFonts w:cs="Arial"/>
          <w:szCs w:val="22"/>
          <w:lang w:val="en-US"/>
        </w:rPr>
        <w:t> </w:t>
      </w:r>
      <w:r w:rsidR="00DA5C7E">
        <w:rPr>
          <w:rFonts w:cs="Arial"/>
          <w:szCs w:val="22"/>
          <w:lang w:val="ru-RU"/>
        </w:rPr>
        <w:t>долл</w:t>
      </w:r>
      <w:r w:rsidR="00DA5C7E" w:rsidRPr="00286C29">
        <w:rPr>
          <w:rFonts w:cs="Arial"/>
          <w:szCs w:val="22"/>
          <w:lang w:val="ru-RU"/>
        </w:rPr>
        <w:t xml:space="preserve">. </w:t>
      </w:r>
      <w:r w:rsidR="00DA5C7E">
        <w:rPr>
          <w:rFonts w:cs="Arial"/>
          <w:szCs w:val="22"/>
          <w:lang w:val="ru-RU"/>
        </w:rPr>
        <w:t>с</w:t>
      </w:r>
      <w:r w:rsidR="00DA5C7E" w:rsidRPr="00286C29">
        <w:rPr>
          <w:rFonts w:cs="Arial"/>
          <w:szCs w:val="22"/>
          <w:lang w:val="ru-RU"/>
        </w:rPr>
        <w:t xml:space="preserve"> </w:t>
      </w:r>
      <w:r w:rsidR="00DA5C7E">
        <w:rPr>
          <w:rFonts w:cs="Arial"/>
          <w:szCs w:val="22"/>
          <w:lang w:val="ru-RU"/>
        </w:rPr>
        <w:t>января</w:t>
      </w:r>
      <w:r w:rsidR="00DA5C7E" w:rsidRPr="00286C29">
        <w:rPr>
          <w:rFonts w:cs="Arial"/>
          <w:szCs w:val="22"/>
          <w:lang w:val="ru-RU"/>
        </w:rPr>
        <w:t xml:space="preserve"> </w:t>
      </w:r>
      <w:r w:rsidR="008E1454">
        <w:rPr>
          <w:rFonts w:cs="Arial"/>
          <w:szCs w:val="22"/>
          <w:lang w:val="ru-RU"/>
        </w:rPr>
        <w:t xml:space="preserve">2016 </w:t>
      </w:r>
      <w:r w:rsidR="00DA5C7E">
        <w:rPr>
          <w:rFonts w:cs="Arial"/>
          <w:szCs w:val="22"/>
          <w:lang w:val="ru-RU"/>
        </w:rPr>
        <w:t>по</w:t>
      </w:r>
      <w:r w:rsidR="00DA5C7E" w:rsidRPr="00286C29">
        <w:rPr>
          <w:rFonts w:cs="Arial"/>
          <w:szCs w:val="22"/>
          <w:lang w:val="ru-RU"/>
        </w:rPr>
        <w:t xml:space="preserve"> </w:t>
      </w:r>
      <w:r w:rsidR="00DA5C7E">
        <w:rPr>
          <w:rFonts w:cs="Arial"/>
          <w:szCs w:val="22"/>
          <w:lang w:val="ru-RU"/>
        </w:rPr>
        <w:t>июнь</w:t>
      </w:r>
      <w:r w:rsidR="00DA5C7E" w:rsidRPr="00286C29">
        <w:rPr>
          <w:rFonts w:cs="Arial"/>
          <w:szCs w:val="22"/>
          <w:lang w:val="ru-RU"/>
        </w:rPr>
        <w:t xml:space="preserve"> 2016</w:t>
      </w:r>
      <w:r w:rsidR="00DA5C7E" w:rsidRPr="00DA5C7E">
        <w:rPr>
          <w:rFonts w:cs="Arial"/>
          <w:szCs w:val="22"/>
          <w:lang w:val="en-US"/>
        </w:rPr>
        <w:t> </w:t>
      </w:r>
      <w:r w:rsidR="00DA5C7E">
        <w:rPr>
          <w:rFonts w:cs="Arial"/>
          <w:szCs w:val="22"/>
          <w:lang w:val="ru-RU"/>
        </w:rPr>
        <w:t>г</w:t>
      </w:r>
      <w:r w:rsidR="00DA5C7E" w:rsidRPr="00286C29">
        <w:rPr>
          <w:rFonts w:cs="Arial"/>
          <w:szCs w:val="22"/>
          <w:lang w:val="ru-RU"/>
        </w:rPr>
        <w:t xml:space="preserve">. </w:t>
      </w:r>
      <w:r w:rsidR="00DA5C7E">
        <w:rPr>
          <w:rFonts w:cs="Arial"/>
          <w:szCs w:val="22"/>
          <w:lang w:val="ru-RU"/>
        </w:rPr>
        <w:t>В</w:t>
      </w:r>
      <w:r w:rsidR="00DA5C7E" w:rsidRPr="00286C29">
        <w:rPr>
          <w:rFonts w:cs="Arial"/>
          <w:szCs w:val="22"/>
          <w:lang w:val="ru-RU"/>
        </w:rPr>
        <w:t xml:space="preserve"> </w:t>
      </w:r>
      <w:r w:rsidR="00DA5C7E">
        <w:rPr>
          <w:rFonts w:cs="Arial"/>
          <w:szCs w:val="22"/>
          <w:lang w:val="ru-RU"/>
        </w:rPr>
        <w:t>вышеупомянутом</w:t>
      </w:r>
      <w:r w:rsidR="00DA5C7E" w:rsidRPr="00286C29">
        <w:rPr>
          <w:rFonts w:cs="Arial"/>
          <w:szCs w:val="22"/>
          <w:lang w:val="ru-RU"/>
        </w:rPr>
        <w:t xml:space="preserve"> </w:t>
      </w:r>
      <w:r w:rsidR="008E1454">
        <w:rPr>
          <w:rFonts w:cs="Arial"/>
          <w:szCs w:val="22"/>
          <w:lang w:val="ru-RU"/>
        </w:rPr>
        <w:t>докладе</w:t>
      </w:r>
      <w:r w:rsidR="008E1454" w:rsidRPr="00286C29">
        <w:rPr>
          <w:rFonts w:cs="Arial"/>
          <w:szCs w:val="22"/>
          <w:lang w:val="ru-RU"/>
        </w:rPr>
        <w:t xml:space="preserve"> </w:t>
      </w:r>
      <w:r w:rsidR="00DA5C7E">
        <w:rPr>
          <w:rFonts w:cs="Arial"/>
          <w:szCs w:val="22"/>
          <w:lang w:val="ru-RU"/>
        </w:rPr>
        <w:t>Секретариата</w:t>
      </w:r>
      <w:r w:rsidR="00DA5C7E" w:rsidRPr="00286C29">
        <w:rPr>
          <w:rFonts w:cs="Arial"/>
          <w:szCs w:val="22"/>
          <w:lang w:val="ru-RU"/>
        </w:rPr>
        <w:t xml:space="preserve"> </w:t>
      </w:r>
      <w:r w:rsidR="00DA5C7E">
        <w:rPr>
          <w:rFonts w:cs="Arial"/>
          <w:szCs w:val="22"/>
          <w:lang w:val="ru-RU"/>
        </w:rPr>
        <w:t>приводятся</w:t>
      </w:r>
      <w:r w:rsidR="00DA5C7E" w:rsidRPr="00286C29">
        <w:rPr>
          <w:rFonts w:cs="Arial"/>
          <w:szCs w:val="22"/>
          <w:lang w:val="ru-RU"/>
        </w:rPr>
        <w:t xml:space="preserve"> </w:t>
      </w:r>
      <w:r w:rsidR="00DA5C7E">
        <w:rPr>
          <w:rFonts w:cs="Arial"/>
          <w:szCs w:val="22"/>
          <w:lang w:val="ru-RU"/>
        </w:rPr>
        <w:t>подробные</w:t>
      </w:r>
      <w:r w:rsidR="00DA5C7E" w:rsidRPr="00286C29">
        <w:rPr>
          <w:rFonts w:cs="Arial"/>
          <w:szCs w:val="22"/>
          <w:lang w:val="ru-RU"/>
        </w:rPr>
        <w:t xml:space="preserve"> </w:t>
      </w:r>
      <w:r w:rsidR="00DA5C7E">
        <w:rPr>
          <w:rFonts w:cs="Arial"/>
          <w:szCs w:val="22"/>
          <w:lang w:val="ru-RU"/>
        </w:rPr>
        <w:t>сведения</w:t>
      </w:r>
      <w:r w:rsidR="00DA5C7E" w:rsidRPr="00286C29">
        <w:rPr>
          <w:rFonts w:cs="Arial"/>
          <w:szCs w:val="22"/>
          <w:lang w:val="ru-RU"/>
        </w:rPr>
        <w:t xml:space="preserve"> </w:t>
      </w:r>
      <w:r w:rsidR="00DA5C7E">
        <w:rPr>
          <w:rFonts w:cs="Arial"/>
          <w:szCs w:val="22"/>
          <w:lang w:val="ru-RU"/>
        </w:rPr>
        <w:t>о</w:t>
      </w:r>
      <w:r w:rsidR="00DA5C7E" w:rsidRPr="00286C29">
        <w:rPr>
          <w:rFonts w:cs="Arial"/>
          <w:szCs w:val="22"/>
          <w:lang w:val="ru-RU"/>
        </w:rPr>
        <w:t xml:space="preserve"> </w:t>
      </w:r>
      <w:r w:rsidR="00DA5C7E">
        <w:rPr>
          <w:rFonts w:cs="Arial"/>
          <w:szCs w:val="22"/>
          <w:lang w:val="ru-RU"/>
        </w:rPr>
        <w:t>внедрённых</w:t>
      </w:r>
      <w:r w:rsidR="00DA5C7E" w:rsidRPr="00286C29">
        <w:rPr>
          <w:rFonts w:cs="Arial"/>
          <w:szCs w:val="22"/>
          <w:lang w:val="ru-RU"/>
        </w:rPr>
        <w:t xml:space="preserve"> </w:t>
      </w:r>
      <w:r w:rsidR="00286C29">
        <w:rPr>
          <w:rFonts w:cs="Arial"/>
          <w:szCs w:val="22"/>
          <w:lang w:val="ru-RU"/>
        </w:rPr>
        <w:t xml:space="preserve">и планируемых </w:t>
      </w:r>
      <w:r w:rsidR="00DA5C7E">
        <w:rPr>
          <w:rFonts w:cs="Arial"/>
          <w:szCs w:val="22"/>
          <w:lang w:val="ru-RU"/>
        </w:rPr>
        <w:t>улучшениях</w:t>
      </w:r>
      <w:r w:rsidR="00DA5C7E" w:rsidRPr="00286C29">
        <w:rPr>
          <w:rFonts w:cs="Arial"/>
          <w:szCs w:val="22"/>
          <w:lang w:val="ru-RU"/>
        </w:rPr>
        <w:t xml:space="preserve"> </w:t>
      </w:r>
      <w:r w:rsidR="00286C29">
        <w:rPr>
          <w:rFonts w:cs="Arial"/>
          <w:szCs w:val="22"/>
          <w:lang w:val="ru-RU"/>
        </w:rPr>
        <w:t>в сфере службы управления знаниями</w:t>
      </w:r>
      <w:r w:rsidR="00EA71AC" w:rsidRPr="00286C29">
        <w:rPr>
          <w:rFonts w:cs="Arial"/>
          <w:szCs w:val="22"/>
          <w:lang w:val="ru-RU"/>
        </w:rPr>
        <w:t>.</w:t>
      </w:r>
      <w:proofErr w:type="gramEnd"/>
    </w:p>
    <w:p w:rsidR="00EA71AC" w:rsidRPr="00747D6B" w:rsidRDefault="008E1454" w:rsidP="00524002">
      <w:pPr>
        <w:keepNext/>
        <w:numPr>
          <w:ilvl w:val="0"/>
          <w:numId w:val="14"/>
        </w:numPr>
        <w:tabs>
          <w:tab w:val="clear" w:pos="720"/>
        </w:tabs>
        <w:spacing w:before="360" w:after="240"/>
        <w:ind w:left="567" w:hanging="567"/>
        <w:rPr>
          <w:rFonts w:cs="Arial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Предоста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ru-RU"/>
        </w:rPr>
        <w:t xml:space="preserve">вление консультаций </w:t>
      </w:r>
      <w:r w:rsidR="00747D6B">
        <w:rPr>
          <w:rFonts w:ascii="Arial" w:hAnsi="Arial" w:cs="Arial"/>
          <w:b/>
          <w:sz w:val="22"/>
          <w:szCs w:val="22"/>
          <w:lang w:val="ru-RU"/>
        </w:rPr>
        <w:t>относительно</w:t>
      </w:r>
      <w:r w:rsidR="00747D6B" w:rsidRPr="00747D6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747D6B">
        <w:rPr>
          <w:rFonts w:ascii="Arial" w:hAnsi="Arial" w:cs="Arial"/>
          <w:b/>
          <w:sz w:val="22"/>
          <w:szCs w:val="22"/>
          <w:lang w:val="ru-RU"/>
        </w:rPr>
        <w:t>передовой</w:t>
      </w:r>
      <w:r w:rsidR="00747D6B" w:rsidRPr="00747D6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747D6B">
        <w:rPr>
          <w:rFonts w:ascii="Arial" w:hAnsi="Arial" w:cs="Arial"/>
          <w:b/>
          <w:sz w:val="22"/>
          <w:szCs w:val="22"/>
          <w:lang w:val="ru-RU"/>
        </w:rPr>
        <w:t>практики</w:t>
      </w:r>
      <w:r w:rsidR="00747D6B" w:rsidRPr="00747D6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747D6B">
        <w:rPr>
          <w:rFonts w:ascii="Arial" w:hAnsi="Arial" w:cs="Arial"/>
          <w:b/>
          <w:sz w:val="22"/>
          <w:szCs w:val="22"/>
          <w:lang w:val="ru-RU"/>
        </w:rPr>
        <w:t>и</w:t>
      </w:r>
      <w:r w:rsidR="00747D6B" w:rsidRPr="00747D6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 xml:space="preserve">подготовка </w:t>
      </w:r>
      <w:r w:rsidR="00747D6B">
        <w:rPr>
          <w:rFonts w:ascii="Arial" w:hAnsi="Arial" w:cs="Arial"/>
          <w:b/>
          <w:sz w:val="22"/>
          <w:szCs w:val="22"/>
          <w:lang w:val="ru-RU"/>
        </w:rPr>
        <w:t>рекомендаций</w:t>
      </w:r>
      <w:r w:rsidR="00747D6B" w:rsidRPr="00747D6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747D6B">
        <w:rPr>
          <w:rFonts w:ascii="Arial" w:hAnsi="Arial" w:cs="Arial"/>
          <w:b/>
          <w:sz w:val="22"/>
          <w:szCs w:val="22"/>
          <w:lang w:val="ru-RU"/>
        </w:rPr>
        <w:t>о</w:t>
      </w:r>
      <w:r w:rsidR="00747D6B" w:rsidRPr="00747D6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747D6B">
        <w:rPr>
          <w:rFonts w:ascii="Arial" w:hAnsi="Arial" w:cs="Arial"/>
          <w:b/>
          <w:sz w:val="22"/>
          <w:szCs w:val="22"/>
          <w:lang w:val="ru-RU"/>
        </w:rPr>
        <w:t>мерах</w:t>
      </w:r>
      <w:r w:rsidR="00747D6B" w:rsidRPr="00747D6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747D6B">
        <w:rPr>
          <w:rFonts w:ascii="Arial" w:hAnsi="Arial" w:cs="Arial"/>
          <w:b/>
          <w:sz w:val="22"/>
          <w:szCs w:val="22"/>
          <w:lang w:val="ru-RU"/>
        </w:rPr>
        <w:t>по</w:t>
      </w:r>
      <w:r w:rsidR="00747D6B" w:rsidRPr="00747D6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747D6B">
        <w:rPr>
          <w:rFonts w:ascii="Arial" w:hAnsi="Arial" w:cs="Arial"/>
          <w:b/>
          <w:sz w:val="22"/>
          <w:szCs w:val="22"/>
          <w:lang w:val="ru-RU"/>
        </w:rPr>
        <w:t xml:space="preserve">охране </w:t>
      </w:r>
      <w:r w:rsidR="00EA71AC" w:rsidRPr="00747D6B">
        <w:rPr>
          <w:rFonts w:ascii="Arial" w:hAnsi="Arial" w:cs="Arial"/>
          <w:sz w:val="22"/>
          <w:szCs w:val="22"/>
          <w:lang w:val="ru-RU"/>
        </w:rPr>
        <w:t>(</w:t>
      </w:r>
      <w:r w:rsidR="00747D6B">
        <w:rPr>
          <w:rFonts w:ascii="Arial" w:hAnsi="Arial" w:cs="Arial"/>
          <w:sz w:val="22"/>
          <w:szCs w:val="22"/>
          <w:lang w:val="ru-RU"/>
        </w:rPr>
        <w:t>статья</w:t>
      </w:r>
      <w:r w:rsidR="00EA71AC" w:rsidRPr="00747D6B">
        <w:rPr>
          <w:rFonts w:ascii="Arial" w:hAnsi="Arial" w:cs="Arial"/>
          <w:sz w:val="22"/>
          <w:szCs w:val="22"/>
          <w:lang w:val="ru-RU"/>
        </w:rPr>
        <w:t xml:space="preserve"> 7[</w:t>
      </w:r>
      <w:r w:rsidR="00EA71AC" w:rsidRPr="00AE18A1">
        <w:rPr>
          <w:rFonts w:ascii="Arial" w:hAnsi="Arial" w:cs="Arial"/>
          <w:sz w:val="22"/>
          <w:szCs w:val="22"/>
          <w:lang w:val="en-GB"/>
        </w:rPr>
        <w:t>b</w:t>
      </w:r>
      <w:r w:rsidR="00EA71AC" w:rsidRPr="00747D6B">
        <w:rPr>
          <w:rFonts w:ascii="Arial" w:hAnsi="Arial" w:cs="Arial"/>
          <w:sz w:val="22"/>
          <w:szCs w:val="22"/>
          <w:lang w:val="ru-RU"/>
        </w:rPr>
        <w:t>])</w:t>
      </w:r>
    </w:p>
    <w:p w:rsidR="00EA71AC" w:rsidRPr="00CE7C23" w:rsidRDefault="002C2F88" w:rsidP="00EA71AC">
      <w:pPr>
        <w:pStyle w:val="Marge"/>
        <w:numPr>
          <w:ilvl w:val="0"/>
          <w:numId w:val="13"/>
        </w:numPr>
        <w:tabs>
          <w:tab w:val="clear" w:pos="720"/>
        </w:tabs>
        <w:spacing w:after="120"/>
        <w:ind w:left="567" w:hanging="567"/>
        <w:rPr>
          <w:rStyle w:val="hps"/>
          <w:rFonts w:cs="Arial"/>
          <w:szCs w:val="22"/>
          <w:lang w:val="ru-RU"/>
        </w:rPr>
      </w:pPr>
      <w:r w:rsidRPr="00CE7C23">
        <w:rPr>
          <w:rStyle w:val="hps"/>
          <w:lang w:val="ru-RU"/>
        </w:rPr>
        <w:t>Комитет призвал все заинтересованные стороны к разработке альтернативных, упрощённых способов обмена опытом в сфере охраны</w:t>
      </w:r>
      <w:r w:rsidR="0042005A" w:rsidRPr="00CE7C23">
        <w:rPr>
          <w:rStyle w:val="hps"/>
          <w:lang w:val="ru-RU"/>
        </w:rPr>
        <w:t>, не полагаясь лишь на Реестр передовых практик по охране</w:t>
      </w:r>
      <w:r w:rsidRPr="00CE7C23">
        <w:rPr>
          <w:rStyle w:val="hps"/>
          <w:lang w:val="ru-RU"/>
        </w:rPr>
        <w:t xml:space="preserve"> </w:t>
      </w:r>
      <w:r w:rsidR="00EA71AC" w:rsidRPr="00CE7C23">
        <w:rPr>
          <w:lang w:val="ru-RU"/>
        </w:rPr>
        <w:t>(</w:t>
      </w:r>
      <w:r w:rsidR="0042005A" w:rsidRPr="00CE7C23">
        <w:rPr>
          <w:lang w:val="ru-RU"/>
        </w:rPr>
        <w:t>Решение</w:t>
      </w:r>
      <w:r w:rsidR="00EA71AC" w:rsidRPr="00CE7C23">
        <w:rPr>
          <w:lang w:val="en-GB"/>
        </w:rPr>
        <w:t> </w:t>
      </w:r>
      <w:r w:rsidR="00EA71AC" w:rsidRPr="00CE7C23">
        <w:rPr>
          <w:lang w:val="ru-RU"/>
        </w:rPr>
        <w:t>8.</w:t>
      </w:r>
      <w:r w:rsidR="00EA71AC" w:rsidRPr="00CE7C23">
        <w:rPr>
          <w:lang w:val="en-GB"/>
        </w:rPr>
        <w:t>COM </w:t>
      </w:r>
      <w:r w:rsidR="00EA71AC" w:rsidRPr="00CE7C23">
        <w:rPr>
          <w:lang w:val="ru-RU"/>
        </w:rPr>
        <w:t>5.</w:t>
      </w:r>
      <w:r w:rsidR="00EA71AC" w:rsidRPr="00CE7C23">
        <w:rPr>
          <w:lang w:val="en-GB"/>
        </w:rPr>
        <w:t>c</w:t>
      </w:r>
      <w:r w:rsidR="00EA71AC" w:rsidRPr="00CE7C23">
        <w:rPr>
          <w:lang w:val="ru-RU"/>
        </w:rPr>
        <w:t>.1).</w:t>
      </w:r>
      <w:r w:rsidR="009811AA" w:rsidRPr="00CE7C23">
        <w:rPr>
          <w:lang w:val="ru-RU"/>
        </w:rPr>
        <w:t xml:space="preserve"> </w:t>
      </w:r>
      <w:proofErr w:type="gramStart"/>
      <w:r w:rsidR="009811AA" w:rsidRPr="00CE7C23">
        <w:rPr>
          <w:lang w:val="ru-RU"/>
        </w:rPr>
        <w:t>В связи с этим Президиум выделил в общей сложности 133</w:t>
      </w:r>
      <w:r w:rsidR="009811AA" w:rsidRPr="00CE7C23">
        <w:rPr>
          <w:lang w:val="en-US"/>
        </w:rPr>
        <w:t> </w:t>
      </w:r>
      <w:r w:rsidR="009811AA" w:rsidRPr="00CE7C23">
        <w:rPr>
          <w:lang w:val="ru-RU"/>
        </w:rPr>
        <w:t>000 долл. в период с января 2014</w:t>
      </w:r>
      <w:r w:rsidR="009811AA" w:rsidRPr="00CE7C23">
        <w:rPr>
          <w:lang w:val="en-US"/>
        </w:rPr>
        <w:t> </w:t>
      </w:r>
      <w:r w:rsidR="009811AA" w:rsidRPr="00CE7C23">
        <w:rPr>
          <w:lang w:val="ru-RU"/>
        </w:rPr>
        <w:t>г. по декабрь 2015</w:t>
      </w:r>
      <w:r w:rsidR="009811AA" w:rsidRPr="00CE7C23">
        <w:rPr>
          <w:lang w:val="en-US"/>
        </w:rPr>
        <w:t> </w:t>
      </w:r>
      <w:r w:rsidR="009811AA" w:rsidRPr="00CE7C23">
        <w:rPr>
          <w:lang w:val="ru-RU"/>
        </w:rPr>
        <w:t>г. и 43</w:t>
      </w:r>
      <w:r w:rsidR="009811AA" w:rsidRPr="00CE7C23">
        <w:rPr>
          <w:lang w:val="en-US"/>
        </w:rPr>
        <w:t> </w:t>
      </w:r>
      <w:r w:rsidR="009811AA" w:rsidRPr="00CE7C23">
        <w:rPr>
          <w:lang w:val="ru-RU"/>
        </w:rPr>
        <w:t>000 долл. с января по июнь 2016</w:t>
      </w:r>
      <w:r w:rsidR="009811AA" w:rsidRPr="00CE7C23">
        <w:rPr>
          <w:lang w:val="en-US"/>
        </w:rPr>
        <w:t> </w:t>
      </w:r>
      <w:r w:rsidR="009811AA" w:rsidRPr="00CE7C23">
        <w:rPr>
          <w:lang w:val="ru-RU"/>
        </w:rPr>
        <w:t>г. на помощь Секретариату в деле определения и распространения интересных и новаторских примеров, особенно касающихся кодексов этики и других тем.</w:t>
      </w:r>
      <w:proofErr w:type="gramEnd"/>
      <w:r w:rsidR="009811AA" w:rsidRPr="00CE7C23">
        <w:rPr>
          <w:lang w:val="ru-RU"/>
        </w:rPr>
        <w:t xml:space="preserve"> Он также попросил усилить сотрудничество с ВОИС по вопросам традиционных знаний и выражений культуры. Вышеупомянутый доклад Секретариата и приложения </w:t>
      </w:r>
      <w:r w:rsidR="001F23FD" w:rsidRPr="00EE1592">
        <w:rPr>
          <w:lang w:val="ru-RU"/>
        </w:rPr>
        <w:t xml:space="preserve">к нему с материалами проведённых </w:t>
      </w:r>
      <w:r w:rsidR="00CE7C23" w:rsidRPr="00CE7C23">
        <w:rPr>
          <w:lang w:val="ru-RU"/>
        </w:rPr>
        <w:t xml:space="preserve">аудита </w:t>
      </w:r>
      <w:r w:rsidR="001F23FD" w:rsidRPr="00CE7C23">
        <w:rPr>
          <w:lang w:val="ru-RU"/>
        </w:rPr>
        <w:t>и оцен</w:t>
      </w:r>
      <w:r w:rsidR="00CE7C23" w:rsidRPr="00CE7C23">
        <w:rPr>
          <w:lang w:val="ru-RU"/>
        </w:rPr>
        <w:t xml:space="preserve">ок деятельности </w:t>
      </w:r>
      <w:r w:rsidR="009811AA" w:rsidRPr="00CE7C23">
        <w:rPr>
          <w:lang w:val="ru-RU"/>
        </w:rPr>
        <w:t xml:space="preserve">содержат </w:t>
      </w:r>
      <w:r w:rsidR="00387AB8" w:rsidRPr="00CE7C23">
        <w:rPr>
          <w:lang w:val="ru-RU"/>
        </w:rPr>
        <w:t>подробные сведения о достигнутых успехах.</w:t>
      </w:r>
    </w:p>
    <w:p w:rsidR="00EA71AC" w:rsidRPr="001A34EC" w:rsidRDefault="00FC0FDB" w:rsidP="00EA71AC">
      <w:pPr>
        <w:pStyle w:val="Marge"/>
        <w:numPr>
          <w:ilvl w:val="0"/>
          <w:numId w:val="13"/>
        </w:numPr>
        <w:tabs>
          <w:tab w:val="clear" w:pos="720"/>
        </w:tabs>
        <w:spacing w:after="120"/>
        <w:ind w:left="567" w:hanging="567"/>
        <w:rPr>
          <w:rStyle w:val="hps"/>
          <w:lang w:val="ru-RU"/>
        </w:rPr>
      </w:pPr>
      <w:r>
        <w:rPr>
          <w:rStyle w:val="hps"/>
          <w:lang w:val="ru-RU"/>
        </w:rPr>
        <w:t>Также</w:t>
      </w:r>
      <w:r w:rsidRPr="007A4447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Президиум</w:t>
      </w:r>
      <w:r w:rsidRPr="007A4447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выделил</w:t>
      </w:r>
      <w:r w:rsidRPr="007A4447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в</w:t>
      </w:r>
      <w:r w:rsidRPr="007A4447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общей</w:t>
      </w:r>
      <w:r w:rsidRPr="007A4447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сложности</w:t>
      </w:r>
      <w:r w:rsidRPr="007A4447">
        <w:rPr>
          <w:rStyle w:val="hps"/>
          <w:lang w:val="ru-RU"/>
        </w:rPr>
        <w:t xml:space="preserve"> 129</w:t>
      </w:r>
      <w:r w:rsidRPr="00FC0FDB">
        <w:rPr>
          <w:rStyle w:val="hps"/>
          <w:lang w:val="en-US"/>
        </w:rPr>
        <w:t> </w:t>
      </w:r>
      <w:r w:rsidRPr="007A4447">
        <w:rPr>
          <w:rStyle w:val="hps"/>
          <w:lang w:val="ru-RU"/>
        </w:rPr>
        <w:t>000</w:t>
      </w:r>
      <w:r w:rsidRPr="00FC0FDB">
        <w:rPr>
          <w:rStyle w:val="hps"/>
          <w:lang w:val="en-US"/>
        </w:rPr>
        <w:t> </w:t>
      </w:r>
      <w:r>
        <w:rPr>
          <w:rStyle w:val="hps"/>
          <w:lang w:val="ru-RU"/>
        </w:rPr>
        <w:t>долл</w:t>
      </w:r>
      <w:r w:rsidRPr="007A4447">
        <w:rPr>
          <w:rStyle w:val="hps"/>
          <w:lang w:val="ru-RU"/>
        </w:rPr>
        <w:t xml:space="preserve">. </w:t>
      </w:r>
      <w:r>
        <w:rPr>
          <w:rStyle w:val="hps"/>
          <w:lang w:val="ru-RU"/>
        </w:rPr>
        <w:t>на</w:t>
      </w:r>
      <w:r w:rsidRPr="007A4447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период</w:t>
      </w:r>
      <w:r w:rsidRPr="007A4447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с</w:t>
      </w:r>
      <w:r w:rsidRPr="007A4447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января</w:t>
      </w:r>
      <w:r w:rsidRPr="007A4447">
        <w:rPr>
          <w:rStyle w:val="hps"/>
          <w:lang w:val="ru-RU"/>
        </w:rPr>
        <w:t xml:space="preserve"> 2014</w:t>
      </w:r>
      <w:r w:rsidRPr="00FC0FDB">
        <w:rPr>
          <w:rStyle w:val="hps"/>
          <w:lang w:val="en-US"/>
        </w:rPr>
        <w:t> </w:t>
      </w:r>
      <w:r>
        <w:rPr>
          <w:rStyle w:val="hps"/>
          <w:lang w:val="ru-RU"/>
        </w:rPr>
        <w:t>г</w:t>
      </w:r>
      <w:r w:rsidRPr="007A4447">
        <w:rPr>
          <w:rStyle w:val="hps"/>
          <w:lang w:val="ru-RU"/>
        </w:rPr>
        <w:t xml:space="preserve">. </w:t>
      </w:r>
      <w:r>
        <w:rPr>
          <w:rStyle w:val="hps"/>
          <w:lang w:val="ru-RU"/>
        </w:rPr>
        <w:t>по</w:t>
      </w:r>
      <w:r w:rsidRPr="007A4447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декабрь</w:t>
      </w:r>
      <w:r w:rsidRPr="007A4447">
        <w:rPr>
          <w:rStyle w:val="hps"/>
          <w:lang w:val="ru-RU"/>
        </w:rPr>
        <w:t xml:space="preserve"> 2015</w:t>
      </w:r>
      <w:r w:rsidRPr="00FC0FDB">
        <w:rPr>
          <w:rStyle w:val="hps"/>
          <w:lang w:val="en-US"/>
        </w:rPr>
        <w:t> </w:t>
      </w:r>
      <w:r>
        <w:rPr>
          <w:rStyle w:val="hps"/>
          <w:lang w:val="ru-RU"/>
        </w:rPr>
        <w:t>г</w:t>
      </w:r>
      <w:r w:rsidRPr="007A4447">
        <w:rPr>
          <w:rStyle w:val="hps"/>
          <w:lang w:val="ru-RU"/>
        </w:rPr>
        <w:t xml:space="preserve">. </w:t>
      </w:r>
      <w:r>
        <w:rPr>
          <w:rStyle w:val="hps"/>
          <w:lang w:val="ru-RU"/>
        </w:rPr>
        <w:t>и</w:t>
      </w:r>
      <w:r w:rsidRPr="007A4447">
        <w:rPr>
          <w:rStyle w:val="hps"/>
          <w:lang w:val="ru-RU"/>
        </w:rPr>
        <w:t xml:space="preserve"> 18</w:t>
      </w:r>
      <w:r w:rsidRPr="00FC0FDB">
        <w:rPr>
          <w:rStyle w:val="hps"/>
          <w:lang w:val="en-US"/>
        </w:rPr>
        <w:t> </w:t>
      </w:r>
      <w:r w:rsidRPr="007A4447">
        <w:rPr>
          <w:rStyle w:val="hps"/>
          <w:lang w:val="ru-RU"/>
        </w:rPr>
        <w:t xml:space="preserve">000 </w:t>
      </w:r>
      <w:r>
        <w:rPr>
          <w:rStyle w:val="hps"/>
          <w:lang w:val="ru-RU"/>
        </w:rPr>
        <w:t>долл</w:t>
      </w:r>
      <w:r w:rsidRPr="007A4447">
        <w:rPr>
          <w:rStyle w:val="hps"/>
          <w:lang w:val="ru-RU"/>
        </w:rPr>
        <w:t xml:space="preserve">. </w:t>
      </w:r>
      <w:r>
        <w:rPr>
          <w:rStyle w:val="hps"/>
          <w:lang w:val="ru-RU"/>
        </w:rPr>
        <w:t>с</w:t>
      </w:r>
      <w:r w:rsidRPr="007A4447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января</w:t>
      </w:r>
      <w:r w:rsidRPr="007A4447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по</w:t>
      </w:r>
      <w:r w:rsidRPr="007A4447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июнь</w:t>
      </w:r>
      <w:r w:rsidRPr="007A4447">
        <w:rPr>
          <w:rStyle w:val="hps"/>
          <w:lang w:val="ru-RU"/>
        </w:rPr>
        <w:t xml:space="preserve"> 2016</w:t>
      </w:r>
      <w:r w:rsidRPr="00FC0FDB">
        <w:rPr>
          <w:rStyle w:val="hps"/>
          <w:lang w:val="en-US"/>
        </w:rPr>
        <w:t> </w:t>
      </w:r>
      <w:r>
        <w:rPr>
          <w:rStyle w:val="hps"/>
          <w:lang w:val="ru-RU"/>
        </w:rPr>
        <w:t>г</w:t>
      </w:r>
      <w:r w:rsidRPr="007A4447">
        <w:rPr>
          <w:rStyle w:val="hps"/>
          <w:lang w:val="ru-RU"/>
        </w:rPr>
        <w:t xml:space="preserve">. </w:t>
      </w:r>
      <w:r>
        <w:rPr>
          <w:rStyle w:val="hps"/>
          <w:lang w:val="ru-RU"/>
        </w:rPr>
        <w:t>на</w:t>
      </w:r>
      <w:r w:rsidRPr="007A4447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публикацию</w:t>
      </w:r>
      <w:r w:rsidRPr="007A4447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ряда</w:t>
      </w:r>
      <w:r w:rsidRPr="007A4447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коммуникационных</w:t>
      </w:r>
      <w:r w:rsidRPr="007A4447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материалов</w:t>
      </w:r>
      <w:r w:rsidRPr="007A4447">
        <w:rPr>
          <w:rStyle w:val="hps"/>
          <w:lang w:val="ru-RU"/>
        </w:rPr>
        <w:t xml:space="preserve">: </w:t>
      </w:r>
      <w:r w:rsidRPr="001A34EC">
        <w:rPr>
          <w:rStyle w:val="hps"/>
          <w:i/>
          <w:lang w:val="ru-RU"/>
        </w:rPr>
        <w:t>Основных текстов</w:t>
      </w:r>
      <w:r w:rsidRPr="007A4447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в</w:t>
      </w:r>
      <w:r w:rsidRPr="007A4447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версии</w:t>
      </w:r>
      <w:r w:rsidRPr="007A4447">
        <w:rPr>
          <w:rStyle w:val="hps"/>
          <w:lang w:val="ru-RU"/>
        </w:rPr>
        <w:t xml:space="preserve"> 2014</w:t>
      </w:r>
      <w:r w:rsidRPr="00FC0FDB">
        <w:rPr>
          <w:rStyle w:val="hps"/>
          <w:lang w:val="en-US"/>
        </w:rPr>
        <w:t> </w:t>
      </w:r>
      <w:r>
        <w:rPr>
          <w:rStyle w:val="hps"/>
          <w:lang w:val="ru-RU"/>
        </w:rPr>
        <w:t>г</w:t>
      </w:r>
      <w:r w:rsidRPr="007A4447">
        <w:rPr>
          <w:rStyle w:val="hps"/>
          <w:lang w:val="ru-RU"/>
        </w:rPr>
        <w:t xml:space="preserve">. </w:t>
      </w:r>
      <w:r>
        <w:rPr>
          <w:rStyle w:val="hps"/>
          <w:lang w:val="ru-RU"/>
        </w:rPr>
        <w:t>на</w:t>
      </w:r>
      <w:r w:rsidRPr="007A4447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шести</w:t>
      </w:r>
      <w:r w:rsidRPr="007A4447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языках</w:t>
      </w:r>
      <w:r>
        <w:rPr>
          <w:rStyle w:val="hps"/>
          <w:lang w:val="be-BY"/>
        </w:rPr>
        <w:t xml:space="preserve">, опубликованных и в печатном, и в электронном виде; </w:t>
      </w:r>
      <w:r w:rsidR="00C817E8">
        <w:rPr>
          <w:rStyle w:val="hps"/>
          <w:lang w:val="be-BY"/>
        </w:rPr>
        <w:t xml:space="preserve">цифровых брошюр об элементах, включённых в 2012 и 2013 гг. в Список срочной охраны, а также программ, отобранных в Реестр передовых практик по охране; </w:t>
      </w:r>
      <w:r w:rsidR="00F20FD2">
        <w:rPr>
          <w:rStyle w:val="hps"/>
          <w:lang w:val="be-BY"/>
        </w:rPr>
        <w:t>буклет</w:t>
      </w:r>
      <w:r w:rsidR="007A4447">
        <w:rPr>
          <w:rStyle w:val="hps"/>
          <w:lang w:val="be-BY"/>
        </w:rPr>
        <w:t>а</w:t>
      </w:r>
      <w:r w:rsidR="00F20FD2">
        <w:rPr>
          <w:rStyle w:val="hps"/>
          <w:lang w:val="be-BY"/>
        </w:rPr>
        <w:t xml:space="preserve"> о нематериальном культурном наследии и гендерном </w:t>
      </w:r>
      <w:r w:rsidR="00181262">
        <w:rPr>
          <w:rStyle w:val="hps"/>
          <w:lang w:val="be-BY"/>
        </w:rPr>
        <w:t xml:space="preserve">факторе </w:t>
      </w:r>
      <w:r w:rsidR="00F20FD2">
        <w:rPr>
          <w:rStyle w:val="hps"/>
          <w:lang w:val="be-BY"/>
        </w:rPr>
        <w:t xml:space="preserve">и </w:t>
      </w:r>
      <w:r w:rsidR="007A4447">
        <w:rPr>
          <w:rStyle w:val="hps"/>
          <w:lang w:val="be-BY"/>
        </w:rPr>
        <w:t>ещё одного, посвящённого вкладу нематериального культурного наследия в устойчивое развитие</w:t>
      </w:r>
      <w:r w:rsidR="001A34EC">
        <w:rPr>
          <w:rStyle w:val="hps"/>
          <w:lang w:val="be-BY"/>
        </w:rPr>
        <w:t>,</w:t>
      </w:r>
      <w:r w:rsidR="007A4447">
        <w:rPr>
          <w:rStyle w:val="hps"/>
          <w:lang w:val="be-BY"/>
        </w:rPr>
        <w:t xml:space="preserve"> на английском, испанском и французском языках, чтобы дополнить </w:t>
      </w:r>
      <w:r w:rsidR="007A4447" w:rsidRPr="001A34EC">
        <w:rPr>
          <w:rStyle w:val="hps"/>
          <w:i/>
          <w:lang w:val="be-BY"/>
        </w:rPr>
        <w:t>Информационный буклет о нематериальном культурном наследии</w:t>
      </w:r>
      <w:r w:rsidR="007A4447">
        <w:rPr>
          <w:rStyle w:val="hps"/>
          <w:lang w:val="be-BY"/>
        </w:rPr>
        <w:t xml:space="preserve">, который также был переиздан по этому случаю на английском и французском языках; </w:t>
      </w:r>
      <w:r w:rsidR="001A34EC">
        <w:rPr>
          <w:rStyle w:val="hps"/>
          <w:lang w:val="be-BY"/>
        </w:rPr>
        <w:t>обеспечения многоязычного наполнения веб-сайта Конвенции на английском, испанском и французском языках.</w:t>
      </w:r>
    </w:p>
    <w:p w:rsidR="00EA71AC" w:rsidRPr="00747D6B" w:rsidRDefault="001B46D3" w:rsidP="00EA71AC">
      <w:pPr>
        <w:keepNext/>
        <w:numPr>
          <w:ilvl w:val="0"/>
          <w:numId w:val="14"/>
        </w:numPr>
        <w:tabs>
          <w:tab w:val="clear" w:pos="720"/>
        </w:tabs>
        <w:spacing w:before="360" w:after="240"/>
        <w:ind w:left="567" w:hanging="567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Подготовка </w:t>
      </w:r>
      <w:proofErr w:type="gramStart"/>
      <w:r>
        <w:rPr>
          <w:rFonts w:ascii="Arial" w:hAnsi="Arial" w:cs="Arial"/>
          <w:b/>
          <w:sz w:val="22"/>
          <w:szCs w:val="22"/>
          <w:lang w:val="ru-RU"/>
        </w:rPr>
        <w:t>проекта плана использования средств Фонда нематериального культурного наследия</w:t>
      </w:r>
      <w:proofErr w:type="gramEnd"/>
      <w:r>
        <w:rPr>
          <w:rFonts w:ascii="Arial" w:hAnsi="Arial" w:cs="Arial"/>
          <w:b/>
          <w:sz w:val="22"/>
          <w:szCs w:val="22"/>
          <w:lang w:val="ru-RU"/>
        </w:rPr>
        <w:t xml:space="preserve"> и увеличение ресурсов Фонда</w:t>
      </w:r>
      <w:r w:rsidR="00EA71AC" w:rsidRPr="00747D6B">
        <w:rPr>
          <w:rFonts w:ascii="Arial" w:hAnsi="Arial" w:cs="Arial"/>
          <w:sz w:val="22"/>
          <w:szCs w:val="22"/>
          <w:lang w:val="ru-RU"/>
        </w:rPr>
        <w:t xml:space="preserve"> (</w:t>
      </w:r>
      <w:r w:rsidR="00AE463A">
        <w:rPr>
          <w:rFonts w:ascii="Arial" w:hAnsi="Arial" w:cs="Arial"/>
          <w:sz w:val="22"/>
          <w:szCs w:val="22"/>
          <w:lang w:val="ru-RU"/>
        </w:rPr>
        <w:t>статьи</w:t>
      </w:r>
      <w:r w:rsidR="00EA71AC" w:rsidRPr="00747D6B">
        <w:rPr>
          <w:rFonts w:ascii="Arial" w:hAnsi="Arial" w:cs="Arial"/>
          <w:sz w:val="22"/>
          <w:szCs w:val="22"/>
          <w:lang w:val="ru-RU"/>
        </w:rPr>
        <w:t xml:space="preserve"> 7[</w:t>
      </w:r>
      <w:r w:rsidR="00EA71AC">
        <w:rPr>
          <w:rFonts w:ascii="Arial" w:hAnsi="Arial" w:cs="Arial"/>
          <w:sz w:val="22"/>
          <w:szCs w:val="22"/>
          <w:lang w:val="en-GB"/>
        </w:rPr>
        <w:t>c</w:t>
      </w:r>
      <w:r w:rsidR="00EA71AC" w:rsidRPr="00747D6B">
        <w:rPr>
          <w:rFonts w:ascii="Arial" w:hAnsi="Arial" w:cs="Arial"/>
          <w:sz w:val="22"/>
          <w:szCs w:val="22"/>
          <w:lang w:val="ru-RU"/>
        </w:rPr>
        <w:t xml:space="preserve">] </w:t>
      </w:r>
      <w:r w:rsidR="00AE463A">
        <w:rPr>
          <w:rFonts w:ascii="Arial" w:hAnsi="Arial" w:cs="Arial"/>
          <w:sz w:val="22"/>
          <w:szCs w:val="22"/>
          <w:lang w:val="ru-RU"/>
        </w:rPr>
        <w:t>и</w:t>
      </w:r>
      <w:r w:rsidR="00EA71AC" w:rsidRPr="00747D6B">
        <w:rPr>
          <w:rFonts w:ascii="Arial" w:hAnsi="Arial" w:cs="Arial"/>
          <w:sz w:val="22"/>
          <w:szCs w:val="22"/>
          <w:lang w:val="ru-RU"/>
        </w:rPr>
        <w:t xml:space="preserve"> 7[</w:t>
      </w:r>
      <w:r w:rsidR="00EA71AC">
        <w:rPr>
          <w:rFonts w:ascii="Arial" w:hAnsi="Arial" w:cs="Arial"/>
          <w:sz w:val="22"/>
          <w:szCs w:val="22"/>
          <w:lang w:val="en-GB"/>
        </w:rPr>
        <w:t>d</w:t>
      </w:r>
      <w:r w:rsidR="00EA71AC" w:rsidRPr="00747D6B">
        <w:rPr>
          <w:rFonts w:ascii="Arial" w:hAnsi="Arial" w:cs="Arial"/>
          <w:sz w:val="22"/>
          <w:szCs w:val="22"/>
          <w:lang w:val="ru-RU"/>
        </w:rPr>
        <w:t>])</w:t>
      </w:r>
    </w:p>
    <w:p w:rsidR="00EA71AC" w:rsidRPr="00ED4292" w:rsidRDefault="009E67FF" w:rsidP="00EA71AC">
      <w:pPr>
        <w:pStyle w:val="Marge"/>
        <w:numPr>
          <w:ilvl w:val="0"/>
          <w:numId w:val="13"/>
        </w:numPr>
        <w:tabs>
          <w:tab w:val="clear" w:pos="720"/>
        </w:tabs>
        <w:spacing w:after="120"/>
        <w:ind w:left="567" w:hanging="567"/>
        <w:rPr>
          <w:lang w:val="ru-RU"/>
        </w:rPr>
      </w:pPr>
      <w:r>
        <w:rPr>
          <w:rFonts w:eastAsia="Arial" w:cs="Arial"/>
          <w:szCs w:val="22"/>
          <w:lang w:val="ru-RU"/>
        </w:rPr>
        <w:t>На</w:t>
      </w:r>
      <w:r w:rsidRPr="00ED4292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шестой</w:t>
      </w:r>
      <w:r w:rsidRPr="00ED4292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сессии</w:t>
      </w:r>
      <w:r w:rsidRPr="00ED4292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Генеральной</w:t>
      </w:r>
      <w:r w:rsidRPr="00ED4292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ассамблеи</w:t>
      </w:r>
      <w:r w:rsidRPr="00ED4292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Комитет</w:t>
      </w:r>
      <w:r w:rsidRPr="00ED4292">
        <w:rPr>
          <w:rFonts w:eastAsia="Arial" w:cs="Arial"/>
          <w:szCs w:val="22"/>
          <w:lang w:val="ru-RU"/>
        </w:rPr>
        <w:t xml:space="preserve"> </w:t>
      </w:r>
      <w:r w:rsidRPr="00EE1592">
        <w:rPr>
          <w:rFonts w:eastAsia="Arial" w:cs="Arial"/>
          <w:szCs w:val="22"/>
          <w:lang w:val="ru-RU"/>
        </w:rPr>
        <w:t>представляет</w:t>
      </w:r>
      <w:r w:rsidRPr="00ED4292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план</w:t>
      </w:r>
      <w:r w:rsidRPr="00ED4292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использования</w:t>
      </w:r>
      <w:r w:rsidRPr="00ED4292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ресурсов</w:t>
      </w:r>
      <w:r w:rsidRPr="00ED4292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Фонда</w:t>
      </w:r>
      <w:r w:rsidRPr="00ED4292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на</w:t>
      </w:r>
      <w:r w:rsidRPr="00ED4292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период</w:t>
      </w:r>
      <w:r w:rsidRPr="00ED4292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с</w:t>
      </w:r>
      <w:r w:rsidRPr="00ED4292">
        <w:rPr>
          <w:rFonts w:eastAsia="Arial" w:cs="Arial"/>
          <w:szCs w:val="22"/>
          <w:lang w:val="ru-RU"/>
        </w:rPr>
        <w:t xml:space="preserve"> 1</w:t>
      </w:r>
      <w:r w:rsidRPr="009E67FF">
        <w:rPr>
          <w:rFonts w:eastAsia="Arial" w:cs="Arial"/>
          <w:szCs w:val="22"/>
          <w:lang w:val="en-US"/>
        </w:rPr>
        <w:t> </w:t>
      </w:r>
      <w:r>
        <w:rPr>
          <w:rFonts w:eastAsia="Arial" w:cs="Arial"/>
          <w:szCs w:val="22"/>
          <w:lang w:val="ru-RU"/>
        </w:rPr>
        <w:t>января</w:t>
      </w:r>
      <w:r w:rsidRPr="00ED4292">
        <w:rPr>
          <w:rFonts w:eastAsia="Arial" w:cs="Arial"/>
          <w:szCs w:val="22"/>
          <w:lang w:val="ru-RU"/>
        </w:rPr>
        <w:t xml:space="preserve"> 2016</w:t>
      </w:r>
      <w:r w:rsidRPr="009E67FF">
        <w:rPr>
          <w:rFonts w:eastAsia="Arial" w:cs="Arial"/>
          <w:szCs w:val="22"/>
          <w:lang w:val="en-US"/>
        </w:rPr>
        <w:t> </w:t>
      </w:r>
      <w:r>
        <w:rPr>
          <w:rFonts w:eastAsia="Arial" w:cs="Arial"/>
          <w:szCs w:val="22"/>
          <w:lang w:val="ru-RU"/>
        </w:rPr>
        <w:t>г</w:t>
      </w:r>
      <w:r w:rsidRPr="00ED4292">
        <w:rPr>
          <w:rFonts w:eastAsia="Arial" w:cs="Arial"/>
          <w:szCs w:val="22"/>
          <w:lang w:val="ru-RU"/>
        </w:rPr>
        <w:t xml:space="preserve">. </w:t>
      </w:r>
      <w:r>
        <w:rPr>
          <w:rFonts w:eastAsia="Arial" w:cs="Arial"/>
          <w:szCs w:val="22"/>
          <w:lang w:val="ru-RU"/>
        </w:rPr>
        <w:t>по</w:t>
      </w:r>
      <w:r w:rsidRPr="00ED4292">
        <w:rPr>
          <w:rFonts w:eastAsia="Arial" w:cs="Arial"/>
          <w:szCs w:val="22"/>
          <w:lang w:val="ru-RU"/>
        </w:rPr>
        <w:t xml:space="preserve"> 31</w:t>
      </w:r>
      <w:r w:rsidRPr="009E67FF">
        <w:rPr>
          <w:rFonts w:eastAsia="Arial" w:cs="Arial"/>
          <w:szCs w:val="22"/>
          <w:lang w:val="en-US"/>
        </w:rPr>
        <w:t> </w:t>
      </w:r>
      <w:r>
        <w:rPr>
          <w:rFonts w:eastAsia="Arial" w:cs="Arial"/>
          <w:szCs w:val="22"/>
          <w:lang w:val="ru-RU"/>
        </w:rPr>
        <w:t>декабря</w:t>
      </w:r>
      <w:r w:rsidRPr="00ED4292">
        <w:rPr>
          <w:rFonts w:eastAsia="Arial" w:cs="Arial"/>
          <w:szCs w:val="22"/>
          <w:lang w:val="ru-RU"/>
        </w:rPr>
        <w:t xml:space="preserve"> 2017</w:t>
      </w:r>
      <w:r w:rsidRPr="009E67FF">
        <w:rPr>
          <w:rFonts w:eastAsia="Arial" w:cs="Arial"/>
          <w:szCs w:val="22"/>
          <w:lang w:val="en-US"/>
        </w:rPr>
        <w:t> </w:t>
      </w:r>
      <w:r>
        <w:rPr>
          <w:rFonts w:eastAsia="Arial" w:cs="Arial"/>
          <w:szCs w:val="22"/>
          <w:lang w:val="ru-RU"/>
        </w:rPr>
        <w:t>г</w:t>
      </w:r>
      <w:r w:rsidRPr="00ED4292">
        <w:rPr>
          <w:rFonts w:eastAsia="Arial" w:cs="Arial"/>
          <w:szCs w:val="22"/>
          <w:lang w:val="ru-RU"/>
        </w:rPr>
        <w:t>.</w:t>
      </w:r>
      <w:r w:rsidR="00333D4A" w:rsidRPr="00ED4292">
        <w:rPr>
          <w:rFonts w:eastAsia="Arial" w:cs="Arial"/>
          <w:szCs w:val="22"/>
          <w:lang w:val="ru-RU"/>
        </w:rPr>
        <w:t xml:space="preserve">, </w:t>
      </w:r>
      <w:r w:rsidR="00333D4A">
        <w:rPr>
          <w:rFonts w:eastAsia="Arial" w:cs="Arial"/>
          <w:szCs w:val="22"/>
          <w:lang w:val="ru-RU"/>
        </w:rPr>
        <w:t>который</w:t>
      </w:r>
      <w:r w:rsidR="00333D4A" w:rsidRPr="00ED4292">
        <w:rPr>
          <w:rFonts w:eastAsia="Arial" w:cs="Arial"/>
          <w:szCs w:val="22"/>
          <w:lang w:val="ru-RU"/>
        </w:rPr>
        <w:t xml:space="preserve"> </w:t>
      </w:r>
      <w:r w:rsidR="00333D4A">
        <w:rPr>
          <w:rFonts w:eastAsia="Arial" w:cs="Arial"/>
          <w:szCs w:val="22"/>
          <w:lang w:val="ru-RU"/>
        </w:rPr>
        <w:t>в</w:t>
      </w:r>
      <w:r w:rsidR="00333D4A" w:rsidRPr="00ED4292">
        <w:rPr>
          <w:rFonts w:eastAsia="Arial" w:cs="Arial"/>
          <w:szCs w:val="22"/>
          <w:lang w:val="ru-RU"/>
        </w:rPr>
        <w:t xml:space="preserve"> </w:t>
      </w:r>
      <w:r w:rsidR="00333D4A">
        <w:rPr>
          <w:rFonts w:eastAsia="Arial" w:cs="Arial"/>
          <w:szCs w:val="22"/>
          <w:lang w:val="ru-RU"/>
        </w:rPr>
        <w:t>значительной</w:t>
      </w:r>
      <w:r w:rsidR="00333D4A" w:rsidRPr="00ED4292">
        <w:rPr>
          <w:rFonts w:eastAsia="Arial" w:cs="Arial"/>
          <w:szCs w:val="22"/>
          <w:lang w:val="ru-RU"/>
        </w:rPr>
        <w:t xml:space="preserve"> </w:t>
      </w:r>
      <w:r w:rsidR="00333D4A">
        <w:rPr>
          <w:rFonts w:eastAsia="Arial" w:cs="Arial"/>
          <w:szCs w:val="22"/>
          <w:lang w:val="ru-RU"/>
        </w:rPr>
        <w:t>степени</w:t>
      </w:r>
      <w:r w:rsidR="00333D4A" w:rsidRPr="00ED4292">
        <w:rPr>
          <w:rFonts w:eastAsia="Arial" w:cs="Arial"/>
          <w:szCs w:val="22"/>
          <w:lang w:val="ru-RU"/>
        </w:rPr>
        <w:t xml:space="preserve"> </w:t>
      </w:r>
      <w:r w:rsidR="00333D4A">
        <w:rPr>
          <w:rFonts w:eastAsia="Arial" w:cs="Arial"/>
          <w:szCs w:val="22"/>
          <w:lang w:val="ru-RU"/>
        </w:rPr>
        <w:t>соответствует</w:t>
      </w:r>
      <w:r w:rsidR="00333D4A" w:rsidRPr="00ED4292">
        <w:rPr>
          <w:rFonts w:eastAsia="Arial" w:cs="Arial"/>
          <w:szCs w:val="22"/>
          <w:lang w:val="ru-RU"/>
        </w:rPr>
        <w:t xml:space="preserve"> </w:t>
      </w:r>
      <w:r w:rsidR="00333D4A">
        <w:rPr>
          <w:rFonts w:eastAsia="Arial" w:cs="Arial"/>
          <w:szCs w:val="22"/>
          <w:lang w:val="ru-RU"/>
        </w:rPr>
        <w:t>плану</w:t>
      </w:r>
      <w:r w:rsidR="00333D4A" w:rsidRPr="00ED4292">
        <w:rPr>
          <w:rFonts w:eastAsia="Arial" w:cs="Arial"/>
          <w:szCs w:val="22"/>
          <w:lang w:val="ru-RU"/>
        </w:rPr>
        <w:t xml:space="preserve">, </w:t>
      </w:r>
      <w:r w:rsidR="00333D4A">
        <w:rPr>
          <w:rFonts w:eastAsia="Arial" w:cs="Arial"/>
          <w:szCs w:val="22"/>
          <w:lang w:val="ru-RU"/>
        </w:rPr>
        <w:t>предложенному</w:t>
      </w:r>
      <w:r w:rsidR="00333D4A" w:rsidRPr="00ED4292">
        <w:rPr>
          <w:rFonts w:eastAsia="Arial" w:cs="Arial"/>
          <w:szCs w:val="22"/>
          <w:lang w:val="ru-RU"/>
        </w:rPr>
        <w:t xml:space="preserve"> </w:t>
      </w:r>
      <w:r w:rsidR="00333D4A">
        <w:rPr>
          <w:rFonts w:eastAsia="Arial" w:cs="Arial"/>
          <w:szCs w:val="22"/>
          <w:lang w:val="ru-RU"/>
        </w:rPr>
        <w:t>и</w:t>
      </w:r>
      <w:r w:rsidR="00333D4A" w:rsidRPr="00ED4292">
        <w:rPr>
          <w:rFonts w:eastAsia="Arial" w:cs="Arial"/>
          <w:szCs w:val="22"/>
          <w:lang w:val="ru-RU"/>
        </w:rPr>
        <w:t xml:space="preserve"> </w:t>
      </w:r>
      <w:r w:rsidR="00333D4A">
        <w:rPr>
          <w:rFonts w:eastAsia="Arial" w:cs="Arial"/>
          <w:szCs w:val="22"/>
          <w:lang w:val="ru-RU"/>
        </w:rPr>
        <w:t>принятому</w:t>
      </w:r>
      <w:r w:rsidR="00333D4A" w:rsidRPr="00ED4292">
        <w:rPr>
          <w:rFonts w:eastAsia="Arial" w:cs="Arial"/>
          <w:szCs w:val="22"/>
          <w:lang w:val="ru-RU"/>
        </w:rPr>
        <w:t xml:space="preserve"> </w:t>
      </w:r>
      <w:r w:rsidR="00333D4A">
        <w:rPr>
          <w:rFonts w:eastAsia="Arial" w:cs="Arial"/>
          <w:szCs w:val="22"/>
          <w:lang w:val="ru-RU"/>
        </w:rPr>
        <w:t>на</w:t>
      </w:r>
      <w:r w:rsidR="00333D4A" w:rsidRPr="00ED4292">
        <w:rPr>
          <w:rFonts w:eastAsia="Arial" w:cs="Arial"/>
          <w:szCs w:val="22"/>
          <w:lang w:val="ru-RU"/>
        </w:rPr>
        <w:t xml:space="preserve"> </w:t>
      </w:r>
      <w:r w:rsidR="00333D4A">
        <w:rPr>
          <w:rFonts w:eastAsia="Arial" w:cs="Arial"/>
          <w:szCs w:val="22"/>
          <w:lang w:val="ru-RU"/>
        </w:rPr>
        <w:t>период</w:t>
      </w:r>
      <w:r w:rsidR="00333D4A" w:rsidRPr="00ED4292">
        <w:rPr>
          <w:rFonts w:eastAsia="Arial" w:cs="Arial"/>
          <w:szCs w:val="22"/>
          <w:lang w:val="ru-RU"/>
        </w:rPr>
        <w:t xml:space="preserve"> 2014-2015</w:t>
      </w:r>
      <w:r w:rsidR="00333D4A" w:rsidRPr="00333D4A">
        <w:rPr>
          <w:rFonts w:eastAsia="Arial" w:cs="Arial"/>
          <w:szCs w:val="22"/>
          <w:lang w:val="en-US"/>
        </w:rPr>
        <w:t> </w:t>
      </w:r>
      <w:r w:rsidR="00333D4A">
        <w:rPr>
          <w:rFonts w:eastAsia="Arial" w:cs="Arial"/>
          <w:szCs w:val="22"/>
          <w:lang w:val="ru-RU"/>
        </w:rPr>
        <w:t>гг</w:t>
      </w:r>
      <w:r w:rsidR="00333D4A" w:rsidRPr="00ED4292">
        <w:rPr>
          <w:rFonts w:eastAsia="Arial" w:cs="Arial"/>
          <w:szCs w:val="22"/>
          <w:lang w:val="ru-RU"/>
        </w:rPr>
        <w:t xml:space="preserve">., </w:t>
      </w:r>
      <w:r w:rsidR="00177C14">
        <w:rPr>
          <w:rFonts w:eastAsia="Arial" w:cs="Arial"/>
          <w:szCs w:val="22"/>
          <w:lang w:val="ru-RU"/>
        </w:rPr>
        <w:t xml:space="preserve">и </w:t>
      </w:r>
      <w:r w:rsidR="00333D4A">
        <w:rPr>
          <w:rFonts w:eastAsia="Arial" w:cs="Arial"/>
          <w:szCs w:val="22"/>
          <w:lang w:val="ru-RU"/>
        </w:rPr>
        <w:t>в</w:t>
      </w:r>
      <w:r w:rsidR="00333D4A" w:rsidRPr="00ED4292">
        <w:rPr>
          <w:rFonts w:eastAsia="Arial" w:cs="Arial"/>
          <w:szCs w:val="22"/>
          <w:lang w:val="ru-RU"/>
        </w:rPr>
        <w:t xml:space="preserve"> </w:t>
      </w:r>
      <w:r w:rsidR="00333D4A">
        <w:rPr>
          <w:rFonts w:eastAsia="Arial" w:cs="Arial"/>
          <w:szCs w:val="22"/>
          <w:lang w:val="ru-RU"/>
        </w:rPr>
        <w:t>котором</w:t>
      </w:r>
      <w:r w:rsidR="00333D4A" w:rsidRPr="00ED4292">
        <w:rPr>
          <w:rFonts w:eastAsia="Arial" w:cs="Arial"/>
          <w:szCs w:val="22"/>
          <w:lang w:val="ru-RU"/>
        </w:rPr>
        <w:t xml:space="preserve"> </w:t>
      </w:r>
      <w:r w:rsidR="00333D4A">
        <w:rPr>
          <w:rFonts w:eastAsia="Arial" w:cs="Arial"/>
          <w:szCs w:val="22"/>
          <w:lang w:val="ru-RU"/>
        </w:rPr>
        <w:t>большинство</w:t>
      </w:r>
      <w:r w:rsidR="00333D4A" w:rsidRPr="00ED4292">
        <w:rPr>
          <w:rFonts w:eastAsia="Arial" w:cs="Arial"/>
          <w:szCs w:val="22"/>
          <w:lang w:val="ru-RU"/>
        </w:rPr>
        <w:t xml:space="preserve"> </w:t>
      </w:r>
      <w:r w:rsidR="00ED4292">
        <w:rPr>
          <w:rFonts w:eastAsia="Arial" w:cs="Arial"/>
          <w:szCs w:val="22"/>
          <w:lang w:val="ru-RU"/>
        </w:rPr>
        <w:t>выделяемых</w:t>
      </w:r>
      <w:r w:rsidR="00ED4292" w:rsidRPr="00ED4292">
        <w:rPr>
          <w:rFonts w:eastAsia="Arial" w:cs="Arial"/>
          <w:szCs w:val="22"/>
          <w:lang w:val="ru-RU"/>
        </w:rPr>
        <w:t xml:space="preserve"> </w:t>
      </w:r>
      <w:r w:rsidR="00ED4292">
        <w:rPr>
          <w:rFonts w:eastAsia="Arial" w:cs="Arial"/>
          <w:szCs w:val="22"/>
          <w:lang w:val="ru-RU"/>
        </w:rPr>
        <w:t>средств</w:t>
      </w:r>
      <w:r w:rsidR="00ED4292" w:rsidRPr="00ED4292">
        <w:rPr>
          <w:rFonts w:eastAsia="Arial" w:cs="Arial"/>
          <w:szCs w:val="22"/>
          <w:lang w:val="ru-RU"/>
        </w:rPr>
        <w:t xml:space="preserve">, </w:t>
      </w:r>
      <w:r w:rsidR="00ED4292">
        <w:rPr>
          <w:rFonts w:eastAsia="Arial" w:cs="Arial"/>
          <w:szCs w:val="22"/>
          <w:lang w:val="ru-RU"/>
        </w:rPr>
        <w:t>как</w:t>
      </w:r>
      <w:r w:rsidR="00ED4292" w:rsidRPr="00ED4292">
        <w:rPr>
          <w:rFonts w:eastAsia="Arial" w:cs="Arial"/>
          <w:szCs w:val="22"/>
          <w:lang w:val="ru-RU"/>
        </w:rPr>
        <w:t xml:space="preserve"> </w:t>
      </w:r>
      <w:r w:rsidR="00ED4292">
        <w:rPr>
          <w:rFonts w:eastAsia="Arial" w:cs="Arial"/>
          <w:szCs w:val="22"/>
          <w:lang w:val="ru-RU"/>
        </w:rPr>
        <w:t>и</w:t>
      </w:r>
      <w:r w:rsidR="00ED4292" w:rsidRPr="00ED4292">
        <w:rPr>
          <w:rFonts w:eastAsia="Arial" w:cs="Arial"/>
          <w:szCs w:val="22"/>
          <w:lang w:val="ru-RU"/>
        </w:rPr>
        <w:t xml:space="preserve"> </w:t>
      </w:r>
      <w:r w:rsidR="00ED4292">
        <w:rPr>
          <w:rFonts w:eastAsia="Arial" w:cs="Arial"/>
          <w:szCs w:val="22"/>
          <w:lang w:val="ru-RU"/>
        </w:rPr>
        <w:t>прежде</w:t>
      </w:r>
      <w:r w:rsidR="00ED4292" w:rsidRPr="00ED4292">
        <w:rPr>
          <w:rFonts w:eastAsia="Arial" w:cs="Arial"/>
          <w:szCs w:val="22"/>
          <w:lang w:val="ru-RU"/>
        </w:rPr>
        <w:t xml:space="preserve">, </w:t>
      </w:r>
      <w:r w:rsidR="00ED4292">
        <w:rPr>
          <w:rFonts w:eastAsia="Arial" w:cs="Arial"/>
          <w:szCs w:val="22"/>
          <w:lang w:val="ru-RU"/>
        </w:rPr>
        <w:t>направляется на оказание международной помощи.</w:t>
      </w:r>
    </w:p>
    <w:p w:rsidR="00EA71AC" w:rsidRPr="00B648A6" w:rsidRDefault="00F116B3" w:rsidP="00EA71AC">
      <w:pPr>
        <w:pStyle w:val="Marge"/>
        <w:numPr>
          <w:ilvl w:val="0"/>
          <w:numId w:val="13"/>
        </w:numPr>
        <w:tabs>
          <w:tab w:val="clear" w:pos="720"/>
        </w:tabs>
        <w:spacing w:after="120"/>
        <w:ind w:left="567" w:hanging="567"/>
        <w:rPr>
          <w:lang w:val="ru-RU"/>
        </w:rPr>
      </w:pPr>
      <w:r>
        <w:rPr>
          <w:rFonts w:eastAsia="Arial" w:cs="Arial"/>
          <w:szCs w:val="22"/>
          <w:lang w:val="ru-RU"/>
        </w:rPr>
        <w:t>Со</w:t>
      </w:r>
      <w:r w:rsidRPr="007D3C43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времени</w:t>
      </w:r>
      <w:r w:rsidRPr="007D3C43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проведения</w:t>
      </w:r>
      <w:r w:rsidRPr="007D3C43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Генеральной</w:t>
      </w:r>
      <w:r w:rsidRPr="007D3C43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ассамблеи</w:t>
      </w:r>
      <w:r w:rsidRPr="007D3C43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в</w:t>
      </w:r>
      <w:r w:rsidRPr="007D3C43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июне</w:t>
      </w:r>
      <w:r w:rsidRPr="007D3C43">
        <w:rPr>
          <w:rFonts w:eastAsia="Arial" w:cs="Arial"/>
          <w:szCs w:val="22"/>
          <w:lang w:val="ru-RU"/>
        </w:rPr>
        <w:t xml:space="preserve"> 2014</w:t>
      </w:r>
      <w:r w:rsidRPr="00F116B3">
        <w:rPr>
          <w:rFonts w:eastAsia="Arial" w:cs="Arial"/>
          <w:szCs w:val="22"/>
          <w:lang w:val="en-US"/>
        </w:rPr>
        <w:t> </w:t>
      </w:r>
      <w:r>
        <w:rPr>
          <w:rFonts w:eastAsia="Arial" w:cs="Arial"/>
          <w:szCs w:val="22"/>
          <w:lang w:val="ru-RU"/>
        </w:rPr>
        <w:t>г</w:t>
      </w:r>
      <w:r w:rsidRPr="007D3C43">
        <w:rPr>
          <w:rFonts w:eastAsia="Arial" w:cs="Arial"/>
          <w:szCs w:val="22"/>
          <w:lang w:val="ru-RU"/>
        </w:rPr>
        <w:t xml:space="preserve">. </w:t>
      </w:r>
      <w:r>
        <w:rPr>
          <w:rFonts w:eastAsia="Arial" w:cs="Arial"/>
          <w:szCs w:val="22"/>
          <w:lang w:val="ru-RU"/>
        </w:rPr>
        <w:t>в</w:t>
      </w:r>
      <w:r w:rsidRPr="007D3C43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Фонд</w:t>
      </w:r>
      <w:r w:rsidRPr="007D3C43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поступили</w:t>
      </w:r>
      <w:r w:rsidRPr="007D3C43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дополнительные</w:t>
      </w:r>
      <w:r w:rsidR="007D3C43">
        <w:rPr>
          <w:rFonts w:eastAsia="Arial" w:cs="Arial"/>
          <w:szCs w:val="22"/>
          <w:lang w:val="ru-RU"/>
        </w:rPr>
        <w:t xml:space="preserve"> добровольные взносы от Азербайджана, Испании, Нидерландов и Норвегии для поддержки семи проектов по укреплению потенциала. </w:t>
      </w:r>
      <w:proofErr w:type="gramStart"/>
      <w:r w:rsidR="00090CDE">
        <w:rPr>
          <w:rFonts w:eastAsia="Arial" w:cs="Arial"/>
          <w:szCs w:val="22"/>
          <w:lang w:val="ru-RU"/>
        </w:rPr>
        <w:t>В</w:t>
      </w:r>
      <w:r w:rsidR="00090CDE" w:rsidRPr="00B648A6">
        <w:rPr>
          <w:rFonts w:eastAsia="Arial" w:cs="Arial"/>
          <w:szCs w:val="22"/>
          <w:lang w:val="ru-RU"/>
        </w:rPr>
        <w:t xml:space="preserve"> </w:t>
      </w:r>
      <w:proofErr w:type="spellStart"/>
      <w:r w:rsidR="00090CDE">
        <w:rPr>
          <w:rFonts w:eastAsia="Arial" w:cs="Arial"/>
          <w:szCs w:val="22"/>
          <w:lang w:val="ru-RU"/>
        </w:rPr>
        <w:t>суб</w:t>
      </w:r>
      <w:proofErr w:type="spellEnd"/>
      <w:r w:rsidR="00177C14">
        <w:rPr>
          <w:rFonts w:eastAsia="Arial" w:cs="Arial"/>
          <w:szCs w:val="22"/>
          <w:lang w:val="ru-RU"/>
        </w:rPr>
        <w:t>-</w:t>
      </w:r>
      <w:r w:rsidR="00090CDE">
        <w:rPr>
          <w:rFonts w:eastAsia="Arial" w:cs="Arial"/>
          <w:szCs w:val="22"/>
          <w:lang w:val="ru-RU"/>
        </w:rPr>
        <w:t>фонд</w:t>
      </w:r>
      <w:r w:rsidR="00090CDE" w:rsidRPr="00B648A6">
        <w:rPr>
          <w:rFonts w:eastAsia="Arial" w:cs="Arial"/>
          <w:szCs w:val="22"/>
          <w:lang w:val="ru-RU"/>
        </w:rPr>
        <w:t xml:space="preserve"> </w:t>
      </w:r>
      <w:r w:rsidR="00090CDE">
        <w:rPr>
          <w:rFonts w:eastAsia="Arial" w:cs="Arial"/>
          <w:szCs w:val="22"/>
          <w:lang w:val="ru-RU"/>
        </w:rPr>
        <w:t>Фонда</w:t>
      </w:r>
      <w:r w:rsidR="00090CDE" w:rsidRPr="00B648A6">
        <w:rPr>
          <w:rFonts w:eastAsia="Arial" w:cs="Arial"/>
          <w:szCs w:val="22"/>
          <w:lang w:val="ru-RU"/>
        </w:rPr>
        <w:t xml:space="preserve"> </w:t>
      </w:r>
      <w:r w:rsidR="00090CDE">
        <w:rPr>
          <w:rFonts w:eastAsia="Arial" w:cs="Arial"/>
          <w:szCs w:val="22"/>
          <w:lang w:val="ru-RU"/>
        </w:rPr>
        <w:t>нематериального</w:t>
      </w:r>
      <w:r w:rsidR="00090CDE" w:rsidRPr="00B648A6">
        <w:rPr>
          <w:rFonts w:eastAsia="Arial" w:cs="Arial"/>
          <w:szCs w:val="22"/>
          <w:lang w:val="ru-RU"/>
        </w:rPr>
        <w:t xml:space="preserve"> </w:t>
      </w:r>
      <w:r w:rsidR="00090CDE">
        <w:rPr>
          <w:rFonts w:eastAsia="Arial" w:cs="Arial"/>
          <w:szCs w:val="22"/>
          <w:lang w:val="ru-RU"/>
        </w:rPr>
        <w:t>культурного</w:t>
      </w:r>
      <w:r w:rsidR="00090CDE" w:rsidRPr="00B648A6">
        <w:rPr>
          <w:rFonts w:eastAsia="Arial" w:cs="Arial"/>
          <w:szCs w:val="22"/>
          <w:lang w:val="ru-RU"/>
        </w:rPr>
        <w:t xml:space="preserve"> </w:t>
      </w:r>
      <w:r w:rsidR="00090CDE">
        <w:rPr>
          <w:rFonts w:eastAsia="Arial" w:cs="Arial"/>
          <w:szCs w:val="22"/>
          <w:lang w:val="ru-RU"/>
        </w:rPr>
        <w:t>наследия</w:t>
      </w:r>
      <w:r w:rsidR="00090CDE" w:rsidRPr="00B648A6">
        <w:rPr>
          <w:rFonts w:eastAsia="Arial" w:cs="Arial"/>
          <w:szCs w:val="22"/>
          <w:lang w:val="ru-RU"/>
        </w:rPr>
        <w:t xml:space="preserve">, </w:t>
      </w:r>
      <w:r w:rsidR="00090CDE">
        <w:rPr>
          <w:rFonts w:eastAsia="Arial" w:cs="Arial"/>
          <w:szCs w:val="22"/>
          <w:lang w:val="ru-RU"/>
        </w:rPr>
        <w:t>предназначенный</w:t>
      </w:r>
      <w:r w:rsidR="00090CDE" w:rsidRPr="00B648A6">
        <w:rPr>
          <w:rFonts w:eastAsia="Arial" w:cs="Arial"/>
          <w:szCs w:val="22"/>
          <w:lang w:val="ru-RU"/>
        </w:rPr>
        <w:t xml:space="preserve"> </w:t>
      </w:r>
      <w:r w:rsidR="00090CDE">
        <w:rPr>
          <w:rFonts w:eastAsia="Arial" w:cs="Arial"/>
          <w:szCs w:val="22"/>
          <w:lang w:val="ru-RU"/>
        </w:rPr>
        <w:t>исключительно</w:t>
      </w:r>
      <w:r w:rsidR="00090CDE" w:rsidRPr="00B648A6">
        <w:rPr>
          <w:rFonts w:eastAsia="Arial" w:cs="Arial"/>
          <w:szCs w:val="22"/>
          <w:lang w:val="ru-RU"/>
        </w:rPr>
        <w:t xml:space="preserve"> </w:t>
      </w:r>
      <w:r w:rsidR="00090CDE">
        <w:rPr>
          <w:rFonts w:eastAsia="Arial" w:cs="Arial"/>
          <w:szCs w:val="22"/>
          <w:lang w:val="ru-RU"/>
        </w:rPr>
        <w:t>для</w:t>
      </w:r>
      <w:r w:rsidR="00090CDE" w:rsidRPr="00B648A6">
        <w:rPr>
          <w:rFonts w:eastAsia="Arial" w:cs="Arial"/>
          <w:szCs w:val="22"/>
          <w:lang w:val="ru-RU"/>
        </w:rPr>
        <w:t xml:space="preserve"> </w:t>
      </w:r>
      <w:r w:rsidR="00B648A6">
        <w:rPr>
          <w:rFonts w:eastAsia="Arial" w:cs="Arial"/>
          <w:szCs w:val="22"/>
          <w:lang w:val="ru-RU"/>
        </w:rPr>
        <w:t>повышения</w:t>
      </w:r>
      <w:r w:rsidR="00B648A6" w:rsidRPr="00B648A6">
        <w:rPr>
          <w:rFonts w:eastAsia="Arial" w:cs="Arial"/>
          <w:szCs w:val="22"/>
          <w:lang w:val="ru-RU"/>
        </w:rPr>
        <w:t xml:space="preserve"> </w:t>
      </w:r>
      <w:r w:rsidR="00B648A6">
        <w:rPr>
          <w:rFonts w:eastAsia="Arial" w:cs="Arial"/>
          <w:szCs w:val="22"/>
          <w:lang w:val="ru-RU"/>
        </w:rPr>
        <w:t>кадрового</w:t>
      </w:r>
      <w:r w:rsidR="00B648A6" w:rsidRPr="00B648A6">
        <w:rPr>
          <w:rFonts w:eastAsia="Arial" w:cs="Arial"/>
          <w:szCs w:val="22"/>
          <w:lang w:val="ru-RU"/>
        </w:rPr>
        <w:t xml:space="preserve"> </w:t>
      </w:r>
      <w:r w:rsidR="00B648A6">
        <w:rPr>
          <w:rFonts w:eastAsia="Arial" w:cs="Arial"/>
          <w:szCs w:val="22"/>
          <w:lang w:val="ru-RU"/>
        </w:rPr>
        <w:t>потенциала</w:t>
      </w:r>
      <w:r w:rsidR="00B648A6" w:rsidRPr="00B648A6">
        <w:rPr>
          <w:rFonts w:eastAsia="Arial" w:cs="Arial"/>
          <w:szCs w:val="22"/>
          <w:lang w:val="ru-RU"/>
        </w:rPr>
        <w:t xml:space="preserve"> </w:t>
      </w:r>
      <w:r w:rsidR="00B648A6">
        <w:rPr>
          <w:rFonts w:eastAsia="Arial" w:cs="Arial"/>
          <w:szCs w:val="22"/>
          <w:lang w:val="ru-RU"/>
        </w:rPr>
        <w:t>Секретариата, за отчётный период также поступили взносы на сумму 417 345 долл.</w:t>
      </w:r>
      <w:proofErr w:type="gramEnd"/>
    </w:p>
    <w:p w:rsidR="00EA71AC" w:rsidRPr="00540E2F" w:rsidRDefault="002C2656" w:rsidP="00EA71AC">
      <w:pPr>
        <w:pStyle w:val="Marge"/>
        <w:numPr>
          <w:ilvl w:val="0"/>
          <w:numId w:val="13"/>
        </w:numPr>
        <w:tabs>
          <w:tab w:val="clear" w:pos="720"/>
        </w:tabs>
        <w:spacing w:after="120"/>
        <w:ind w:left="567" w:hanging="567"/>
        <w:rPr>
          <w:rFonts w:eastAsia="Arial" w:cs="Arial"/>
          <w:szCs w:val="22"/>
          <w:lang w:val="ru-RU"/>
        </w:rPr>
      </w:pPr>
      <w:proofErr w:type="gramStart"/>
      <w:r>
        <w:rPr>
          <w:rFonts w:eastAsia="Arial" w:cs="Arial"/>
          <w:szCs w:val="22"/>
          <w:lang w:val="ru-RU"/>
        </w:rPr>
        <w:t>Документ</w:t>
      </w:r>
      <w:r w:rsidR="00EA71AC" w:rsidRPr="00540E2F">
        <w:rPr>
          <w:rFonts w:eastAsia="Arial" w:cs="Arial"/>
          <w:szCs w:val="22"/>
          <w:lang w:val="ru-RU"/>
        </w:rPr>
        <w:t xml:space="preserve"> </w:t>
      </w:r>
      <w:r w:rsidR="00EA71AC" w:rsidRPr="00685F89">
        <w:rPr>
          <w:rFonts w:eastAsia="Arial" w:cs="Arial"/>
          <w:szCs w:val="22"/>
          <w:lang w:val="en-GB"/>
        </w:rPr>
        <w:t>ITH</w:t>
      </w:r>
      <w:r w:rsidR="00EA71AC" w:rsidRPr="00540E2F">
        <w:rPr>
          <w:rFonts w:eastAsia="Arial" w:cs="Arial"/>
          <w:szCs w:val="22"/>
          <w:lang w:val="ru-RU"/>
        </w:rPr>
        <w:t>/16/6.</w:t>
      </w:r>
      <w:r w:rsidR="00EA71AC" w:rsidRPr="00685F89">
        <w:rPr>
          <w:rFonts w:eastAsia="Arial" w:cs="Arial"/>
          <w:szCs w:val="22"/>
          <w:lang w:val="en-GB"/>
        </w:rPr>
        <w:t>GA</w:t>
      </w:r>
      <w:r w:rsidR="00EA71AC" w:rsidRPr="00540E2F">
        <w:rPr>
          <w:rFonts w:eastAsia="Arial" w:cs="Arial"/>
          <w:szCs w:val="22"/>
          <w:lang w:val="ru-RU"/>
        </w:rPr>
        <w:t>/</w:t>
      </w:r>
      <w:r w:rsidR="00EA71AC" w:rsidRPr="00685F89">
        <w:rPr>
          <w:rFonts w:eastAsia="Arial" w:cs="Arial"/>
          <w:szCs w:val="22"/>
          <w:lang w:val="en-GB"/>
        </w:rPr>
        <w:t>INF</w:t>
      </w:r>
      <w:r w:rsidR="00EA71AC" w:rsidRPr="00540E2F">
        <w:rPr>
          <w:rFonts w:eastAsia="Arial" w:cs="Arial"/>
          <w:szCs w:val="22"/>
          <w:lang w:val="ru-RU"/>
        </w:rPr>
        <w:t>.9.2</w:t>
      </w:r>
      <w:r w:rsidRPr="00540E2F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содержит</w:t>
      </w:r>
      <w:r w:rsidRPr="00540E2F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список</w:t>
      </w:r>
      <w:r w:rsidRPr="00540E2F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таких</w:t>
      </w:r>
      <w:r w:rsidRPr="00540E2F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взносов</w:t>
      </w:r>
      <w:r w:rsidRPr="00540E2F">
        <w:rPr>
          <w:rFonts w:eastAsia="Arial" w:cs="Arial"/>
          <w:szCs w:val="22"/>
          <w:lang w:val="ru-RU"/>
        </w:rPr>
        <w:t xml:space="preserve"> </w:t>
      </w:r>
      <w:r w:rsidR="003601BF">
        <w:rPr>
          <w:rFonts w:eastAsia="Arial" w:cs="Arial"/>
          <w:szCs w:val="22"/>
          <w:lang w:val="ru-RU"/>
        </w:rPr>
        <w:t>за</w:t>
      </w:r>
      <w:r w:rsidR="003601BF" w:rsidRPr="00540E2F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период</w:t>
      </w:r>
      <w:r w:rsidRPr="00540E2F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с</w:t>
      </w:r>
      <w:r w:rsidRPr="00540E2F">
        <w:rPr>
          <w:rFonts w:eastAsia="Arial" w:cs="Arial"/>
          <w:szCs w:val="22"/>
          <w:lang w:val="ru-RU"/>
        </w:rPr>
        <w:t xml:space="preserve"> 1</w:t>
      </w:r>
      <w:r w:rsidRPr="002C2656">
        <w:rPr>
          <w:rFonts w:eastAsia="Arial" w:cs="Arial"/>
          <w:szCs w:val="22"/>
          <w:lang w:val="en-US"/>
        </w:rPr>
        <w:t> </w:t>
      </w:r>
      <w:r>
        <w:rPr>
          <w:rFonts w:eastAsia="Arial" w:cs="Arial"/>
          <w:szCs w:val="22"/>
          <w:lang w:val="ru-RU"/>
        </w:rPr>
        <w:t>июня</w:t>
      </w:r>
      <w:r w:rsidRPr="00540E2F">
        <w:rPr>
          <w:rFonts w:eastAsia="Arial" w:cs="Arial"/>
          <w:szCs w:val="22"/>
          <w:lang w:val="ru-RU"/>
        </w:rPr>
        <w:t xml:space="preserve"> 2014</w:t>
      </w:r>
      <w:r w:rsidRPr="002C2656">
        <w:rPr>
          <w:rFonts w:eastAsia="Arial" w:cs="Arial"/>
          <w:szCs w:val="22"/>
          <w:lang w:val="en-US"/>
        </w:rPr>
        <w:t> </w:t>
      </w:r>
      <w:r>
        <w:rPr>
          <w:rFonts w:eastAsia="Arial" w:cs="Arial"/>
          <w:szCs w:val="22"/>
          <w:lang w:val="ru-RU"/>
        </w:rPr>
        <w:t>г</w:t>
      </w:r>
      <w:r w:rsidRPr="00540E2F">
        <w:rPr>
          <w:rFonts w:eastAsia="Arial" w:cs="Arial"/>
          <w:szCs w:val="22"/>
          <w:lang w:val="ru-RU"/>
        </w:rPr>
        <w:t xml:space="preserve">. </w:t>
      </w:r>
      <w:r>
        <w:rPr>
          <w:rFonts w:eastAsia="Arial" w:cs="Arial"/>
          <w:szCs w:val="22"/>
          <w:lang w:val="ru-RU"/>
        </w:rPr>
        <w:t>по</w:t>
      </w:r>
      <w:r w:rsidRPr="00540E2F">
        <w:rPr>
          <w:rFonts w:eastAsia="Arial" w:cs="Arial"/>
          <w:szCs w:val="22"/>
          <w:lang w:val="ru-RU"/>
        </w:rPr>
        <w:t xml:space="preserve"> </w:t>
      </w:r>
      <w:r w:rsidR="00177C14">
        <w:rPr>
          <w:rFonts w:eastAsia="Arial" w:cs="Arial"/>
          <w:szCs w:val="22"/>
          <w:lang w:val="ru-RU"/>
        </w:rPr>
        <w:t>март</w:t>
      </w:r>
      <w:r w:rsidR="00177C14" w:rsidRPr="00540E2F">
        <w:rPr>
          <w:rFonts w:eastAsia="Arial" w:cs="Arial"/>
          <w:szCs w:val="22"/>
          <w:lang w:val="ru-RU"/>
        </w:rPr>
        <w:t xml:space="preserve"> </w:t>
      </w:r>
      <w:r w:rsidRPr="00540E2F">
        <w:rPr>
          <w:rFonts w:eastAsia="Arial" w:cs="Arial"/>
          <w:szCs w:val="22"/>
          <w:lang w:val="ru-RU"/>
        </w:rPr>
        <w:t xml:space="preserve">2016 </w:t>
      </w:r>
      <w:r>
        <w:rPr>
          <w:rFonts w:eastAsia="Arial" w:cs="Arial"/>
          <w:szCs w:val="22"/>
          <w:lang w:val="ru-RU"/>
        </w:rPr>
        <w:t>г</w:t>
      </w:r>
      <w:r w:rsidRPr="00540E2F">
        <w:rPr>
          <w:rFonts w:eastAsia="Arial" w:cs="Arial"/>
          <w:szCs w:val="22"/>
          <w:lang w:val="ru-RU"/>
        </w:rPr>
        <w:t xml:space="preserve">. </w:t>
      </w:r>
      <w:r>
        <w:rPr>
          <w:rFonts w:eastAsia="Arial" w:cs="Arial"/>
          <w:szCs w:val="22"/>
          <w:lang w:val="ru-RU"/>
        </w:rPr>
        <w:t>Документ</w:t>
      </w:r>
      <w:r w:rsidRPr="00540E2F">
        <w:rPr>
          <w:rFonts w:eastAsia="Arial" w:cs="Arial"/>
          <w:szCs w:val="22"/>
          <w:lang w:val="ru-RU"/>
        </w:rPr>
        <w:t xml:space="preserve"> </w:t>
      </w:r>
      <w:r w:rsidR="00EA71AC" w:rsidRPr="00685F89">
        <w:rPr>
          <w:rFonts w:eastAsia="Arial" w:cs="Arial"/>
          <w:szCs w:val="22"/>
          <w:lang w:val="en-GB"/>
        </w:rPr>
        <w:t>ITH</w:t>
      </w:r>
      <w:r w:rsidR="00EA71AC" w:rsidRPr="00540E2F">
        <w:rPr>
          <w:rFonts w:eastAsia="Arial" w:cs="Arial"/>
          <w:szCs w:val="22"/>
          <w:lang w:val="ru-RU"/>
        </w:rPr>
        <w:t>/16/6.</w:t>
      </w:r>
      <w:r w:rsidR="00EA71AC" w:rsidRPr="00685F89">
        <w:rPr>
          <w:rFonts w:eastAsia="Arial" w:cs="Arial"/>
          <w:szCs w:val="22"/>
          <w:lang w:val="en-GB"/>
        </w:rPr>
        <w:t>GA</w:t>
      </w:r>
      <w:r w:rsidR="00EA71AC" w:rsidRPr="00540E2F">
        <w:rPr>
          <w:rFonts w:eastAsia="Arial" w:cs="Arial"/>
          <w:szCs w:val="22"/>
          <w:lang w:val="ru-RU"/>
        </w:rPr>
        <w:t>/</w:t>
      </w:r>
      <w:r w:rsidR="00EA71AC" w:rsidRPr="00685F89">
        <w:rPr>
          <w:rFonts w:eastAsia="Arial" w:cs="Arial"/>
          <w:szCs w:val="22"/>
          <w:lang w:val="en-GB"/>
        </w:rPr>
        <w:t>INF</w:t>
      </w:r>
      <w:r w:rsidR="00EA71AC" w:rsidRPr="00540E2F">
        <w:rPr>
          <w:rFonts w:eastAsia="Arial" w:cs="Arial"/>
          <w:szCs w:val="22"/>
          <w:lang w:val="ru-RU"/>
        </w:rPr>
        <w:t xml:space="preserve">.9.1 </w:t>
      </w:r>
      <w:r w:rsidR="007D3C43">
        <w:rPr>
          <w:rFonts w:eastAsia="Arial" w:cs="Arial"/>
          <w:szCs w:val="22"/>
          <w:lang w:val="ru-RU"/>
        </w:rPr>
        <w:t>содержит</w:t>
      </w:r>
      <w:r w:rsidR="007D3C43" w:rsidRPr="00540E2F">
        <w:rPr>
          <w:rFonts w:eastAsia="Arial" w:cs="Arial"/>
          <w:szCs w:val="22"/>
          <w:lang w:val="ru-RU"/>
        </w:rPr>
        <w:t xml:space="preserve"> </w:t>
      </w:r>
      <w:r w:rsidR="007D3C43">
        <w:rPr>
          <w:rFonts w:eastAsia="Arial" w:cs="Arial"/>
          <w:szCs w:val="22"/>
          <w:lang w:val="ru-RU"/>
        </w:rPr>
        <w:t>Финансовый</w:t>
      </w:r>
      <w:r w:rsidR="007D3C43" w:rsidRPr="00540E2F">
        <w:rPr>
          <w:rFonts w:eastAsia="Arial" w:cs="Arial"/>
          <w:szCs w:val="22"/>
          <w:lang w:val="ru-RU"/>
        </w:rPr>
        <w:t xml:space="preserve"> </w:t>
      </w:r>
      <w:r w:rsidR="003601BF">
        <w:rPr>
          <w:rFonts w:eastAsia="Arial" w:cs="Arial"/>
          <w:szCs w:val="22"/>
          <w:lang w:val="ru-RU"/>
        </w:rPr>
        <w:t>доклад</w:t>
      </w:r>
      <w:r w:rsidR="003601BF" w:rsidRPr="00540E2F">
        <w:rPr>
          <w:rFonts w:eastAsia="Arial" w:cs="Arial"/>
          <w:szCs w:val="22"/>
          <w:lang w:val="ru-RU"/>
        </w:rPr>
        <w:t xml:space="preserve"> </w:t>
      </w:r>
      <w:r w:rsidR="00540E2F">
        <w:rPr>
          <w:rFonts w:eastAsia="Arial" w:cs="Arial"/>
          <w:szCs w:val="22"/>
          <w:lang w:val="ru-RU"/>
        </w:rPr>
        <w:t>о</w:t>
      </w:r>
      <w:r w:rsidR="00540E2F" w:rsidRPr="00540E2F">
        <w:rPr>
          <w:rFonts w:eastAsia="Arial" w:cs="Arial"/>
          <w:szCs w:val="22"/>
          <w:lang w:val="ru-RU"/>
        </w:rPr>
        <w:t xml:space="preserve"> </w:t>
      </w:r>
      <w:r w:rsidR="00540E2F">
        <w:rPr>
          <w:rFonts w:eastAsia="Arial" w:cs="Arial"/>
          <w:szCs w:val="22"/>
          <w:lang w:val="ru-RU"/>
        </w:rPr>
        <w:t>работе</w:t>
      </w:r>
      <w:r w:rsidR="00540E2F" w:rsidRPr="00540E2F">
        <w:rPr>
          <w:rFonts w:eastAsia="Arial" w:cs="Arial"/>
          <w:szCs w:val="22"/>
          <w:lang w:val="ru-RU"/>
        </w:rPr>
        <w:t xml:space="preserve"> </w:t>
      </w:r>
      <w:r w:rsidR="00540E2F">
        <w:rPr>
          <w:rFonts w:eastAsia="Arial" w:cs="Arial"/>
          <w:szCs w:val="22"/>
          <w:lang w:val="ru-RU"/>
        </w:rPr>
        <w:t>Фонда</w:t>
      </w:r>
      <w:r w:rsidR="00540E2F" w:rsidRPr="00540E2F">
        <w:rPr>
          <w:rFonts w:eastAsia="Arial" w:cs="Arial"/>
          <w:szCs w:val="22"/>
          <w:lang w:val="ru-RU"/>
        </w:rPr>
        <w:t xml:space="preserve"> </w:t>
      </w:r>
      <w:r w:rsidR="00540E2F">
        <w:rPr>
          <w:rFonts w:eastAsia="Arial" w:cs="Arial"/>
          <w:szCs w:val="22"/>
          <w:lang w:val="ru-RU"/>
        </w:rPr>
        <w:t>нематериального</w:t>
      </w:r>
      <w:r w:rsidR="00540E2F" w:rsidRPr="00540E2F">
        <w:rPr>
          <w:rFonts w:eastAsia="Arial" w:cs="Arial"/>
          <w:szCs w:val="22"/>
          <w:lang w:val="ru-RU"/>
        </w:rPr>
        <w:t xml:space="preserve"> </w:t>
      </w:r>
      <w:r w:rsidR="00540E2F">
        <w:rPr>
          <w:rFonts w:eastAsia="Arial" w:cs="Arial"/>
          <w:szCs w:val="22"/>
          <w:lang w:val="ru-RU"/>
        </w:rPr>
        <w:t>культурного</w:t>
      </w:r>
      <w:r w:rsidR="00540E2F" w:rsidRPr="00540E2F">
        <w:rPr>
          <w:rFonts w:eastAsia="Arial" w:cs="Arial"/>
          <w:szCs w:val="22"/>
          <w:lang w:val="ru-RU"/>
        </w:rPr>
        <w:t xml:space="preserve"> </w:t>
      </w:r>
      <w:r w:rsidR="00540E2F">
        <w:rPr>
          <w:rFonts w:eastAsia="Arial" w:cs="Arial"/>
          <w:szCs w:val="22"/>
          <w:lang w:val="ru-RU"/>
        </w:rPr>
        <w:t>наследия</w:t>
      </w:r>
      <w:r w:rsidR="00540E2F" w:rsidRPr="00540E2F">
        <w:rPr>
          <w:rFonts w:eastAsia="Arial" w:cs="Arial"/>
          <w:szCs w:val="22"/>
          <w:lang w:val="ru-RU"/>
        </w:rPr>
        <w:t xml:space="preserve"> </w:t>
      </w:r>
      <w:r w:rsidR="00540E2F">
        <w:rPr>
          <w:rFonts w:eastAsia="Arial" w:cs="Arial"/>
          <w:szCs w:val="22"/>
          <w:lang w:val="ru-RU"/>
        </w:rPr>
        <w:t>за период с 1 января 2014 г. по 31 декабря 2015 г., подготовленный Бюро финансового управления</w:t>
      </w:r>
      <w:r w:rsidR="007A39B8">
        <w:rPr>
          <w:rFonts w:eastAsia="Arial" w:cs="Arial"/>
          <w:szCs w:val="22"/>
          <w:lang w:val="ru-RU"/>
        </w:rPr>
        <w:t xml:space="preserve"> </w:t>
      </w:r>
      <w:r w:rsidR="00177C14">
        <w:rPr>
          <w:rFonts w:eastAsia="Arial" w:cs="Arial"/>
          <w:szCs w:val="22"/>
          <w:lang w:val="ru-RU"/>
        </w:rPr>
        <w:t>и сопровождаемый краткой</w:t>
      </w:r>
      <w:r w:rsidR="00540E2F">
        <w:rPr>
          <w:rFonts w:eastAsia="Arial" w:cs="Arial"/>
          <w:szCs w:val="22"/>
          <w:lang w:val="ru-RU"/>
        </w:rPr>
        <w:t xml:space="preserve"> </w:t>
      </w:r>
      <w:r w:rsidR="00177C14">
        <w:rPr>
          <w:rFonts w:eastAsia="Arial" w:cs="Arial"/>
          <w:szCs w:val="22"/>
          <w:lang w:val="ru-RU"/>
        </w:rPr>
        <w:t>пояснительной</w:t>
      </w:r>
      <w:r w:rsidR="00540E2F">
        <w:rPr>
          <w:rFonts w:eastAsia="Arial" w:cs="Arial"/>
          <w:szCs w:val="22"/>
          <w:lang w:val="ru-RU"/>
        </w:rPr>
        <w:t xml:space="preserve"> </w:t>
      </w:r>
      <w:r w:rsidR="00177C14">
        <w:rPr>
          <w:rFonts w:eastAsia="Arial" w:cs="Arial"/>
          <w:szCs w:val="22"/>
          <w:lang w:val="ru-RU"/>
        </w:rPr>
        <w:t>запиской</w:t>
      </w:r>
      <w:r w:rsidR="00540E2F">
        <w:rPr>
          <w:rFonts w:eastAsia="Arial" w:cs="Arial"/>
          <w:szCs w:val="22"/>
          <w:lang w:val="ru-RU"/>
        </w:rPr>
        <w:t>.</w:t>
      </w:r>
      <w:proofErr w:type="gramEnd"/>
    </w:p>
    <w:p w:rsidR="00EA71AC" w:rsidRPr="009E67FF" w:rsidRDefault="00387AB8" w:rsidP="00EA71AC">
      <w:pPr>
        <w:keepNext/>
        <w:pageBreakBefore/>
        <w:numPr>
          <w:ilvl w:val="0"/>
          <w:numId w:val="14"/>
        </w:numPr>
        <w:tabs>
          <w:tab w:val="clear" w:pos="720"/>
        </w:tabs>
        <w:spacing w:before="360" w:after="240"/>
        <w:ind w:left="567" w:hanging="567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Подготовка</w:t>
      </w:r>
      <w:r w:rsidRPr="009E67FF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Оперативного</w:t>
      </w:r>
      <w:r w:rsidRPr="009E67FF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руководства</w:t>
      </w:r>
      <w:r w:rsidRPr="009E67FF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по</w:t>
      </w:r>
      <w:r w:rsidRPr="009E67FF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AE2CC3">
        <w:rPr>
          <w:rFonts w:ascii="Arial" w:hAnsi="Arial" w:cs="Arial"/>
          <w:b/>
          <w:sz w:val="22"/>
          <w:szCs w:val="22"/>
          <w:lang w:val="ru-RU"/>
        </w:rPr>
        <w:t>выполнению</w:t>
      </w:r>
      <w:r w:rsidR="00AE2CC3" w:rsidRPr="009E67FF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AE2CC3">
        <w:rPr>
          <w:rFonts w:ascii="Arial" w:hAnsi="Arial" w:cs="Arial"/>
          <w:b/>
          <w:sz w:val="22"/>
          <w:szCs w:val="22"/>
          <w:lang w:val="ru-RU"/>
        </w:rPr>
        <w:t xml:space="preserve">Конвенции </w:t>
      </w:r>
      <w:r w:rsidR="00EA71AC" w:rsidRPr="009E67FF">
        <w:rPr>
          <w:rFonts w:ascii="Arial" w:hAnsi="Arial" w:cs="Arial"/>
          <w:sz w:val="22"/>
          <w:szCs w:val="22"/>
          <w:lang w:val="ru-RU"/>
        </w:rPr>
        <w:t>(</w:t>
      </w:r>
      <w:r w:rsidR="00AE463A">
        <w:rPr>
          <w:rFonts w:ascii="Arial" w:hAnsi="Arial" w:cs="Arial"/>
          <w:sz w:val="22"/>
          <w:szCs w:val="22"/>
          <w:lang w:val="ru-RU"/>
        </w:rPr>
        <w:t>статья</w:t>
      </w:r>
      <w:r w:rsidR="00EA71AC" w:rsidRPr="009E67FF">
        <w:rPr>
          <w:rFonts w:ascii="Arial" w:hAnsi="Arial" w:cs="Arial"/>
          <w:sz w:val="22"/>
          <w:szCs w:val="22"/>
          <w:lang w:val="ru-RU"/>
        </w:rPr>
        <w:t xml:space="preserve"> 7[</w:t>
      </w:r>
      <w:r w:rsidR="00EA71AC" w:rsidRPr="00AE18A1">
        <w:rPr>
          <w:rFonts w:ascii="Arial" w:hAnsi="Arial" w:cs="Arial"/>
          <w:sz w:val="22"/>
          <w:szCs w:val="22"/>
          <w:lang w:val="en-GB"/>
        </w:rPr>
        <w:t>e</w:t>
      </w:r>
      <w:r w:rsidR="00EA71AC" w:rsidRPr="009E67FF">
        <w:rPr>
          <w:rFonts w:ascii="Arial" w:hAnsi="Arial" w:cs="Arial"/>
          <w:sz w:val="22"/>
          <w:szCs w:val="22"/>
          <w:lang w:val="ru-RU"/>
        </w:rPr>
        <w:t>])</w:t>
      </w:r>
    </w:p>
    <w:p w:rsidR="00EA71AC" w:rsidRPr="00EE1592" w:rsidRDefault="000A3167" w:rsidP="00EA71AC">
      <w:pPr>
        <w:pStyle w:val="Marge"/>
        <w:numPr>
          <w:ilvl w:val="0"/>
          <w:numId w:val="13"/>
        </w:numPr>
        <w:tabs>
          <w:tab w:val="clear" w:pos="720"/>
        </w:tabs>
        <w:spacing w:after="120"/>
        <w:ind w:left="567" w:hanging="567"/>
        <w:rPr>
          <w:rFonts w:eastAsia="Arial" w:cs="Arial"/>
          <w:i/>
          <w:szCs w:val="22"/>
          <w:lang w:val="ru-RU"/>
        </w:rPr>
      </w:pPr>
      <w:r>
        <w:rPr>
          <w:rFonts w:eastAsia="Arial" w:cs="Arial"/>
          <w:szCs w:val="22"/>
          <w:lang w:val="ru-RU"/>
        </w:rPr>
        <w:t>В</w:t>
      </w:r>
      <w:r w:rsidRPr="000A3167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отчётный</w:t>
      </w:r>
      <w:r w:rsidRPr="000A3167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период</w:t>
      </w:r>
      <w:r w:rsidRPr="000A3167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Комитет</w:t>
      </w:r>
      <w:r w:rsidRPr="000A3167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рекомендовал</w:t>
      </w:r>
      <w:r w:rsidRPr="000A3167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Генеральной</w:t>
      </w:r>
      <w:r w:rsidRPr="000A3167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ассамблее</w:t>
      </w:r>
      <w:r w:rsidRPr="000A3167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утвердить</w:t>
      </w:r>
      <w:r w:rsidRPr="000A3167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новые</w:t>
      </w:r>
      <w:r w:rsidRPr="000A3167">
        <w:rPr>
          <w:rFonts w:eastAsia="Arial" w:cs="Arial"/>
          <w:szCs w:val="22"/>
          <w:lang w:val="ru-RU"/>
        </w:rPr>
        <w:t xml:space="preserve"> </w:t>
      </w:r>
      <w:r w:rsidR="00177C14">
        <w:rPr>
          <w:rFonts w:eastAsia="Arial" w:cs="Arial"/>
          <w:szCs w:val="22"/>
          <w:lang w:val="ru-RU"/>
        </w:rPr>
        <w:t>положения</w:t>
      </w:r>
      <w:r w:rsidR="00177C14" w:rsidRPr="000A3167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или</w:t>
      </w:r>
      <w:r w:rsidRPr="000A3167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поправки</w:t>
      </w:r>
      <w:r w:rsidRPr="000A3167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к</w:t>
      </w:r>
      <w:r w:rsidRPr="000A3167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Оперативному</w:t>
      </w:r>
      <w:r w:rsidRPr="000A3167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руководству по выполнению Конвенции</w:t>
      </w:r>
      <w:r w:rsidRPr="00EE1592">
        <w:rPr>
          <w:rFonts w:eastAsia="Arial" w:cs="Arial"/>
          <w:szCs w:val="22"/>
          <w:lang w:val="ru-RU"/>
        </w:rPr>
        <w:t xml:space="preserve">, </w:t>
      </w:r>
      <w:r>
        <w:rPr>
          <w:rFonts w:eastAsia="Arial" w:cs="Arial"/>
          <w:szCs w:val="22"/>
          <w:lang w:val="ru-RU"/>
        </w:rPr>
        <w:t>касающиеся</w:t>
      </w:r>
      <w:r w:rsidRPr="00EE1592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следующих</w:t>
      </w:r>
      <w:r w:rsidRPr="00EE1592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вопросов</w:t>
      </w:r>
      <w:r w:rsidRPr="00EE1592">
        <w:rPr>
          <w:rFonts w:eastAsia="Arial" w:cs="Arial"/>
          <w:szCs w:val="22"/>
          <w:lang w:val="ru-RU"/>
        </w:rPr>
        <w:t>:</w:t>
      </w:r>
    </w:p>
    <w:p w:rsidR="00EA71AC" w:rsidRPr="006B5484" w:rsidRDefault="000A3167" w:rsidP="00EA71AC">
      <w:pPr>
        <w:pStyle w:val="Marge"/>
        <w:numPr>
          <w:ilvl w:val="0"/>
          <w:numId w:val="15"/>
        </w:numPr>
        <w:spacing w:after="60"/>
        <w:ind w:left="851" w:hanging="284"/>
        <w:rPr>
          <w:rFonts w:eastAsia="Arial" w:cs="Arial"/>
          <w:szCs w:val="22"/>
          <w:lang w:val="en-GB"/>
        </w:rPr>
      </w:pPr>
      <w:r>
        <w:rPr>
          <w:rFonts w:eastAsia="Arial" w:cs="Arial"/>
          <w:szCs w:val="22"/>
          <w:lang w:val="ru-RU"/>
        </w:rPr>
        <w:t>представления периодических докладов</w:t>
      </w:r>
    </w:p>
    <w:p w:rsidR="00EA71AC" w:rsidRPr="00290A50" w:rsidRDefault="000A3167" w:rsidP="00EA71AC">
      <w:pPr>
        <w:pStyle w:val="Marge"/>
        <w:numPr>
          <w:ilvl w:val="0"/>
          <w:numId w:val="15"/>
        </w:numPr>
        <w:spacing w:after="60"/>
        <w:ind w:left="851" w:hanging="284"/>
        <w:rPr>
          <w:rFonts w:eastAsia="Arial" w:cs="Arial"/>
          <w:szCs w:val="22"/>
          <w:lang w:val="ru-RU"/>
        </w:rPr>
      </w:pPr>
      <w:r>
        <w:rPr>
          <w:rFonts w:eastAsia="Arial" w:cs="Arial"/>
          <w:szCs w:val="22"/>
          <w:lang w:val="ru-RU"/>
        </w:rPr>
        <w:t>охраны</w:t>
      </w:r>
      <w:r w:rsidRPr="00290A50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нематериального</w:t>
      </w:r>
      <w:r w:rsidRPr="00290A50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культурного</w:t>
      </w:r>
      <w:r w:rsidRPr="00290A50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наследия</w:t>
      </w:r>
      <w:r w:rsidRPr="00290A50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и</w:t>
      </w:r>
      <w:r w:rsidRPr="00290A50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устойчивого</w:t>
      </w:r>
      <w:r w:rsidRPr="00290A50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развития</w:t>
      </w:r>
    </w:p>
    <w:p w:rsidR="00EA71AC" w:rsidRPr="006B5484" w:rsidRDefault="003270F7" w:rsidP="00EA71AC">
      <w:pPr>
        <w:pStyle w:val="Marge"/>
        <w:numPr>
          <w:ilvl w:val="0"/>
          <w:numId w:val="15"/>
        </w:numPr>
        <w:spacing w:after="60"/>
        <w:ind w:left="851" w:hanging="284"/>
        <w:rPr>
          <w:rFonts w:eastAsia="Arial" w:cs="Arial"/>
          <w:szCs w:val="22"/>
          <w:lang w:val="en-GB"/>
        </w:rPr>
      </w:pPr>
      <w:r>
        <w:rPr>
          <w:rFonts w:eastAsia="Arial" w:cs="Arial"/>
          <w:szCs w:val="22"/>
          <w:lang w:val="ru-RU"/>
        </w:rPr>
        <w:t>возможности</w:t>
      </w:r>
      <w:r w:rsidR="00E4486A">
        <w:rPr>
          <w:rFonts w:eastAsia="Arial" w:cs="Arial"/>
          <w:szCs w:val="22"/>
          <w:lang w:val="ru-RU"/>
        </w:rPr>
        <w:t xml:space="preserve"> п</w:t>
      </w:r>
      <w:r w:rsidR="00466F23">
        <w:rPr>
          <w:rFonts w:eastAsia="Arial" w:cs="Arial"/>
          <w:szCs w:val="22"/>
          <w:lang w:val="ru-RU"/>
        </w:rPr>
        <w:t>репровождения</w:t>
      </w:r>
    </w:p>
    <w:p w:rsidR="00EA71AC" w:rsidRDefault="00C74E9C" w:rsidP="00EA71AC">
      <w:pPr>
        <w:pStyle w:val="Marge"/>
        <w:numPr>
          <w:ilvl w:val="0"/>
          <w:numId w:val="15"/>
        </w:numPr>
        <w:spacing w:after="60"/>
        <w:ind w:left="851" w:hanging="284"/>
        <w:rPr>
          <w:rFonts w:eastAsia="Arial" w:cs="Arial"/>
          <w:szCs w:val="22"/>
          <w:lang w:val="en-GB"/>
        </w:rPr>
      </w:pPr>
      <w:r>
        <w:rPr>
          <w:rFonts w:eastAsia="Arial" w:cs="Arial"/>
          <w:szCs w:val="22"/>
          <w:lang w:val="ru-RU"/>
        </w:rPr>
        <w:t>графика</w:t>
      </w:r>
      <w:r w:rsidRPr="00C74E9C">
        <w:rPr>
          <w:rFonts w:eastAsia="Arial" w:cs="Arial"/>
          <w:szCs w:val="22"/>
          <w:lang w:val="en-US"/>
        </w:rPr>
        <w:t xml:space="preserve"> </w:t>
      </w:r>
      <w:r>
        <w:rPr>
          <w:rFonts w:eastAsia="Arial" w:cs="Arial"/>
          <w:szCs w:val="22"/>
          <w:lang w:val="ru-RU"/>
        </w:rPr>
        <w:t>оценки</w:t>
      </w:r>
      <w:r w:rsidRPr="00C74E9C">
        <w:rPr>
          <w:rFonts w:eastAsia="Arial" w:cs="Arial"/>
          <w:szCs w:val="22"/>
          <w:lang w:val="en-US"/>
        </w:rPr>
        <w:t xml:space="preserve"> </w:t>
      </w:r>
      <w:r>
        <w:rPr>
          <w:rFonts w:eastAsia="Arial" w:cs="Arial"/>
          <w:szCs w:val="22"/>
          <w:lang w:val="ru-RU"/>
        </w:rPr>
        <w:t>неправительственных организаций</w:t>
      </w:r>
    </w:p>
    <w:p w:rsidR="00EA71AC" w:rsidRPr="00EE1592" w:rsidRDefault="00AE5891" w:rsidP="00EA71AC">
      <w:pPr>
        <w:pStyle w:val="Marge"/>
        <w:numPr>
          <w:ilvl w:val="0"/>
          <w:numId w:val="15"/>
        </w:numPr>
        <w:spacing w:after="60"/>
        <w:ind w:left="851" w:hanging="284"/>
        <w:rPr>
          <w:rFonts w:eastAsia="Arial" w:cs="Arial"/>
          <w:szCs w:val="22"/>
          <w:lang w:val="ru-RU"/>
        </w:rPr>
      </w:pPr>
      <w:r w:rsidRPr="00EE1592">
        <w:rPr>
          <w:rFonts w:eastAsia="Arial" w:cs="Arial"/>
          <w:szCs w:val="22"/>
          <w:lang w:val="ru-RU"/>
        </w:rPr>
        <w:t>рассмотрени</w:t>
      </w:r>
      <w:r w:rsidR="00E4486A" w:rsidRPr="00EE1592">
        <w:rPr>
          <w:rFonts w:eastAsia="Arial" w:cs="Arial"/>
          <w:szCs w:val="22"/>
          <w:lang w:val="ru-RU"/>
        </w:rPr>
        <w:t>я</w:t>
      </w:r>
      <w:r w:rsidRPr="00EE1592">
        <w:rPr>
          <w:rFonts w:eastAsia="Arial" w:cs="Arial"/>
          <w:szCs w:val="22"/>
          <w:lang w:val="ru-RU"/>
        </w:rPr>
        <w:t xml:space="preserve"> заявок на международную помощь</w:t>
      </w:r>
    </w:p>
    <w:p w:rsidR="00EA71AC" w:rsidRPr="00AE463A" w:rsidRDefault="00AE463A" w:rsidP="00EA71AC">
      <w:pPr>
        <w:keepNext/>
        <w:numPr>
          <w:ilvl w:val="0"/>
          <w:numId w:val="14"/>
        </w:numPr>
        <w:tabs>
          <w:tab w:val="clear" w:pos="720"/>
        </w:tabs>
        <w:spacing w:before="360" w:after="240"/>
        <w:ind w:left="567" w:hanging="567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Рассмотрение периодических докладов</w:t>
      </w:r>
      <w:r w:rsidR="00EA71AC" w:rsidRPr="00AE463A">
        <w:rPr>
          <w:rFonts w:ascii="Arial" w:hAnsi="Arial" w:cs="Arial"/>
          <w:sz w:val="22"/>
          <w:szCs w:val="22"/>
          <w:lang w:val="ru-RU"/>
        </w:rPr>
        <w:t xml:space="preserve"> (</w:t>
      </w:r>
      <w:r>
        <w:rPr>
          <w:rFonts w:ascii="Arial" w:hAnsi="Arial" w:cs="Arial"/>
          <w:sz w:val="22"/>
          <w:szCs w:val="22"/>
          <w:lang w:val="ru-RU"/>
        </w:rPr>
        <w:t>статья</w:t>
      </w:r>
      <w:r w:rsidR="00EA71AC" w:rsidRPr="00AE463A">
        <w:rPr>
          <w:rFonts w:ascii="Arial" w:hAnsi="Arial" w:cs="Arial"/>
          <w:sz w:val="22"/>
          <w:szCs w:val="22"/>
          <w:lang w:val="ru-RU"/>
        </w:rPr>
        <w:t xml:space="preserve"> 7[</w:t>
      </w:r>
      <w:r w:rsidR="00EA71AC" w:rsidRPr="00AE18A1">
        <w:rPr>
          <w:rFonts w:ascii="Arial" w:hAnsi="Arial" w:cs="Arial"/>
          <w:sz w:val="22"/>
          <w:szCs w:val="22"/>
          <w:lang w:val="en-GB"/>
        </w:rPr>
        <w:t>f</w:t>
      </w:r>
      <w:r w:rsidR="00EA71AC" w:rsidRPr="00AE463A">
        <w:rPr>
          <w:rFonts w:ascii="Arial" w:hAnsi="Arial" w:cs="Arial"/>
          <w:sz w:val="22"/>
          <w:szCs w:val="22"/>
          <w:lang w:val="ru-RU"/>
        </w:rPr>
        <w:t>])</w:t>
      </w:r>
    </w:p>
    <w:p w:rsidR="00EA71AC" w:rsidRPr="00BC2AD2" w:rsidRDefault="00F65E73" w:rsidP="00EA71AC">
      <w:pPr>
        <w:pStyle w:val="Marge"/>
        <w:numPr>
          <w:ilvl w:val="0"/>
          <w:numId w:val="13"/>
        </w:numPr>
        <w:tabs>
          <w:tab w:val="clear" w:pos="720"/>
        </w:tabs>
        <w:spacing w:after="120"/>
        <w:ind w:left="567" w:hanging="567"/>
        <w:rPr>
          <w:rFonts w:eastAsia="Arial"/>
          <w:lang w:val="ru-RU"/>
        </w:rPr>
      </w:pPr>
      <w:r>
        <w:rPr>
          <w:rFonts w:eastAsia="Arial" w:cs="Arial"/>
          <w:szCs w:val="22"/>
          <w:lang w:val="ru-RU"/>
        </w:rPr>
        <w:t>Статьёй</w:t>
      </w:r>
      <w:r w:rsidRPr="00BC2AD2">
        <w:rPr>
          <w:rFonts w:eastAsia="Arial" w:cs="Arial"/>
          <w:szCs w:val="22"/>
          <w:lang w:val="ru-RU"/>
        </w:rPr>
        <w:t xml:space="preserve"> 29 </w:t>
      </w:r>
      <w:hyperlink r:id="rId10" w:history="1">
        <w:r>
          <w:rPr>
            <w:rFonts w:eastAsia="Arial" w:cs="Arial"/>
            <w:color w:val="0000FF"/>
            <w:szCs w:val="22"/>
            <w:u w:val="single"/>
            <w:lang w:val="ru-RU"/>
          </w:rPr>
          <w:t>Конвенции</w:t>
        </w:r>
      </w:hyperlink>
      <w:r w:rsidRPr="00BC2AD2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предусмотрено</w:t>
      </w:r>
      <w:r w:rsidRPr="00BC2AD2">
        <w:rPr>
          <w:rFonts w:eastAsia="Arial" w:cs="Arial"/>
          <w:szCs w:val="22"/>
          <w:lang w:val="ru-RU"/>
        </w:rPr>
        <w:t xml:space="preserve">, </w:t>
      </w:r>
      <w:r>
        <w:rPr>
          <w:rFonts w:eastAsia="Arial" w:cs="Arial"/>
          <w:szCs w:val="22"/>
          <w:lang w:val="ru-RU"/>
        </w:rPr>
        <w:t>что</w:t>
      </w:r>
      <w:r w:rsidRPr="00BC2AD2">
        <w:rPr>
          <w:rFonts w:eastAsia="Arial" w:cs="Arial"/>
          <w:szCs w:val="22"/>
          <w:lang w:val="ru-RU"/>
        </w:rPr>
        <w:t xml:space="preserve"> </w:t>
      </w:r>
      <w:r w:rsidR="009375EB">
        <w:rPr>
          <w:rFonts w:eastAsia="Arial" w:cs="Arial"/>
          <w:szCs w:val="22"/>
          <w:lang w:val="ru-RU"/>
        </w:rPr>
        <w:t>государства</w:t>
      </w:r>
      <w:r w:rsidR="009375EB" w:rsidRPr="00BC2AD2">
        <w:rPr>
          <w:rFonts w:eastAsia="Arial" w:cs="Arial"/>
          <w:szCs w:val="22"/>
          <w:lang w:val="ru-RU"/>
        </w:rPr>
        <w:t>-</w:t>
      </w:r>
      <w:r w:rsidR="009375EB">
        <w:rPr>
          <w:rFonts w:eastAsia="Arial" w:cs="Arial"/>
          <w:szCs w:val="22"/>
          <w:lang w:val="ru-RU"/>
        </w:rPr>
        <w:t>участники</w:t>
      </w:r>
      <w:r w:rsidR="009375EB" w:rsidRPr="00BC2AD2">
        <w:rPr>
          <w:rFonts w:eastAsia="Arial" w:cs="Arial"/>
          <w:szCs w:val="22"/>
          <w:lang w:val="ru-RU"/>
        </w:rPr>
        <w:t xml:space="preserve"> </w:t>
      </w:r>
      <w:r w:rsidR="009375EB">
        <w:rPr>
          <w:rFonts w:eastAsia="Arial" w:cs="Arial"/>
          <w:szCs w:val="22"/>
          <w:lang w:val="ru-RU"/>
        </w:rPr>
        <w:t>должны</w:t>
      </w:r>
      <w:r w:rsidR="009375EB" w:rsidRPr="00BC2AD2">
        <w:rPr>
          <w:rFonts w:eastAsia="Arial" w:cs="Arial"/>
          <w:szCs w:val="22"/>
          <w:lang w:val="ru-RU"/>
        </w:rPr>
        <w:t xml:space="preserve"> </w:t>
      </w:r>
      <w:r w:rsidR="009375EB">
        <w:rPr>
          <w:rFonts w:eastAsia="Arial" w:cs="Arial"/>
          <w:szCs w:val="22"/>
          <w:lang w:val="ru-RU"/>
        </w:rPr>
        <w:t>представлять</w:t>
      </w:r>
      <w:r w:rsidR="009375EB" w:rsidRPr="00BC2AD2">
        <w:rPr>
          <w:rFonts w:eastAsia="Arial" w:cs="Arial"/>
          <w:szCs w:val="22"/>
          <w:lang w:val="ru-RU"/>
        </w:rPr>
        <w:t xml:space="preserve"> </w:t>
      </w:r>
      <w:r w:rsidR="00BC2AD2">
        <w:rPr>
          <w:rFonts w:eastAsia="Arial" w:cs="Arial"/>
          <w:szCs w:val="22"/>
          <w:lang w:val="ru-RU"/>
        </w:rPr>
        <w:t>Комитету</w:t>
      </w:r>
      <w:r w:rsidR="00BC2AD2" w:rsidRPr="00BC2AD2">
        <w:rPr>
          <w:rFonts w:eastAsia="Arial" w:cs="Arial"/>
          <w:szCs w:val="22"/>
          <w:lang w:val="ru-RU"/>
        </w:rPr>
        <w:t xml:space="preserve"> </w:t>
      </w:r>
      <w:r w:rsidR="00BC2AD2">
        <w:rPr>
          <w:rFonts w:eastAsia="Arial" w:cs="Arial"/>
          <w:szCs w:val="22"/>
          <w:lang w:val="ru-RU"/>
        </w:rPr>
        <w:t>доклады</w:t>
      </w:r>
      <w:r w:rsidR="00BC2AD2" w:rsidRPr="00BC2AD2">
        <w:rPr>
          <w:rFonts w:eastAsia="Arial" w:cs="Arial"/>
          <w:szCs w:val="22"/>
          <w:lang w:val="ru-RU"/>
        </w:rPr>
        <w:t xml:space="preserve"> </w:t>
      </w:r>
      <w:r w:rsidR="00BC2AD2">
        <w:rPr>
          <w:rFonts w:eastAsia="Arial" w:cs="Arial"/>
          <w:szCs w:val="22"/>
          <w:lang w:val="ru-RU"/>
        </w:rPr>
        <w:t>о</w:t>
      </w:r>
      <w:r w:rsidR="00BC2AD2" w:rsidRPr="00BC2AD2">
        <w:rPr>
          <w:rFonts w:eastAsia="Arial" w:cs="Arial"/>
          <w:szCs w:val="22"/>
          <w:lang w:val="ru-RU"/>
        </w:rPr>
        <w:t xml:space="preserve"> </w:t>
      </w:r>
      <w:r w:rsidR="00BC2AD2">
        <w:rPr>
          <w:rFonts w:eastAsia="Arial" w:cs="Arial"/>
          <w:szCs w:val="22"/>
          <w:lang w:val="ru-RU"/>
        </w:rPr>
        <w:t>законодательных</w:t>
      </w:r>
      <w:r w:rsidR="00BC2AD2" w:rsidRPr="00BC2AD2">
        <w:rPr>
          <w:rFonts w:eastAsia="Arial" w:cs="Arial"/>
          <w:szCs w:val="22"/>
          <w:lang w:val="ru-RU"/>
        </w:rPr>
        <w:t xml:space="preserve">, </w:t>
      </w:r>
      <w:r w:rsidR="00BC2AD2">
        <w:rPr>
          <w:rFonts w:eastAsia="Arial" w:cs="Arial"/>
          <w:szCs w:val="22"/>
          <w:lang w:val="ru-RU"/>
        </w:rPr>
        <w:t>регламентирующих</w:t>
      </w:r>
      <w:r w:rsidR="00BC2AD2" w:rsidRPr="00BC2AD2">
        <w:rPr>
          <w:rFonts w:eastAsia="Arial" w:cs="Arial"/>
          <w:szCs w:val="22"/>
          <w:lang w:val="ru-RU"/>
        </w:rPr>
        <w:t xml:space="preserve"> </w:t>
      </w:r>
      <w:r w:rsidR="00177C14">
        <w:rPr>
          <w:rFonts w:eastAsia="Arial" w:cs="Arial"/>
          <w:szCs w:val="22"/>
          <w:lang w:val="ru-RU"/>
        </w:rPr>
        <w:t xml:space="preserve">положениях </w:t>
      </w:r>
      <w:r w:rsidR="00BC2AD2">
        <w:rPr>
          <w:rFonts w:eastAsia="Arial" w:cs="Arial"/>
          <w:szCs w:val="22"/>
          <w:lang w:val="ru-RU"/>
        </w:rPr>
        <w:t>и</w:t>
      </w:r>
      <w:r w:rsidR="00BC2AD2" w:rsidRPr="00BC2AD2">
        <w:rPr>
          <w:rFonts w:eastAsia="Arial" w:cs="Arial"/>
          <w:szCs w:val="22"/>
          <w:lang w:val="ru-RU"/>
        </w:rPr>
        <w:t xml:space="preserve"> </w:t>
      </w:r>
      <w:r w:rsidR="00BC2AD2">
        <w:rPr>
          <w:rFonts w:eastAsia="Arial" w:cs="Arial"/>
          <w:szCs w:val="22"/>
          <w:lang w:val="ru-RU"/>
        </w:rPr>
        <w:t>других</w:t>
      </w:r>
      <w:r w:rsidR="00BC2AD2" w:rsidRPr="00BC2AD2">
        <w:rPr>
          <w:rFonts w:eastAsia="Arial" w:cs="Arial"/>
          <w:szCs w:val="22"/>
          <w:lang w:val="ru-RU"/>
        </w:rPr>
        <w:t xml:space="preserve"> </w:t>
      </w:r>
      <w:r w:rsidR="00BC2AD2">
        <w:rPr>
          <w:rFonts w:eastAsia="Arial" w:cs="Arial"/>
          <w:szCs w:val="22"/>
          <w:lang w:val="ru-RU"/>
        </w:rPr>
        <w:t>мерах</w:t>
      </w:r>
      <w:r w:rsidR="00BC2AD2" w:rsidRPr="00BC2AD2">
        <w:rPr>
          <w:rFonts w:eastAsia="Arial" w:cs="Arial"/>
          <w:szCs w:val="22"/>
          <w:lang w:val="ru-RU"/>
        </w:rPr>
        <w:t xml:space="preserve">, </w:t>
      </w:r>
      <w:r w:rsidR="00BC2AD2">
        <w:rPr>
          <w:rFonts w:eastAsia="Arial" w:cs="Arial"/>
          <w:szCs w:val="22"/>
          <w:lang w:val="ru-RU"/>
        </w:rPr>
        <w:t>принятых</w:t>
      </w:r>
      <w:r w:rsidR="00BC2AD2" w:rsidRPr="00BC2AD2">
        <w:rPr>
          <w:rFonts w:eastAsia="Arial" w:cs="Arial"/>
          <w:szCs w:val="22"/>
          <w:lang w:val="ru-RU"/>
        </w:rPr>
        <w:t xml:space="preserve"> </w:t>
      </w:r>
      <w:r w:rsidR="00BC2AD2">
        <w:rPr>
          <w:rFonts w:eastAsia="Arial" w:cs="Arial"/>
          <w:szCs w:val="22"/>
          <w:lang w:val="ru-RU"/>
        </w:rPr>
        <w:t>в</w:t>
      </w:r>
      <w:r w:rsidR="00BC2AD2" w:rsidRPr="00BC2AD2">
        <w:rPr>
          <w:rFonts w:eastAsia="Arial" w:cs="Arial"/>
          <w:szCs w:val="22"/>
          <w:lang w:val="ru-RU"/>
        </w:rPr>
        <w:t xml:space="preserve"> </w:t>
      </w:r>
      <w:r w:rsidR="00BC2AD2">
        <w:rPr>
          <w:rFonts w:eastAsia="Arial" w:cs="Arial"/>
          <w:szCs w:val="22"/>
          <w:lang w:val="ru-RU"/>
        </w:rPr>
        <w:t>целях</w:t>
      </w:r>
      <w:r w:rsidR="00BC2AD2" w:rsidRPr="00BC2AD2">
        <w:rPr>
          <w:rFonts w:eastAsia="Arial" w:cs="Arial"/>
          <w:szCs w:val="22"/>
          <w:lang w:val="ru-RU"/>
        </w:rPr>
        <w:t xml:space="preserve"> </w:t>
      </w:r>
      <w:r w:rsidR="00BC2AD2">
        <w:rPr>
          <w:rFonts w:eastAsia="Arial" w:cs="Arial"/>
          <w:szCs w:val="22"/>
          <w:lang w:val="ru-RU"/>
        </w:rPr>
        <w:t>выполнения</w:t>
      </w:r>
      <w:r w:rsidR="00BC2AD2" w:rsidRPr="00BC2AD2">
        <w:rPr>
          <w:rFonts w:eastAsia="Arial" w:cs="Arial"/>
          <w:szCs w:val="22"/>
          <w:lang w:val="ru-RU"/>
        </w:rPr>
        <w:t xml:space="preserve"> </w:t>
      </w:r>
      <w:r w:rsidR="00BC2AD2">
        <w:rPr>
          <w:rFonts w:eastAsia="Arial" w:cs="Arial"/>
          <w:szCs w:val="22"/>
          <w:lang w:val="ru-RU"/>
        </w:rPr>
        <w:t>Конвенции</w:t>
      </w:r>
      <w:r w:rsidR="00BC2AD2" w:rsidRPr="00BC2AD2">
        <w:rPr>
          <w:rFonts w:eastAsia="Arial" w:cs="Arial"/>
          <w:szCs w:val="22"/>
          <w:lang w:val="ru-RU"/>
        </w:rPr>
        <w:t xml:space="preserve">, </w:t>
      </w:r>
      <w:r w:rsidR="00BC2AD2">
        <w:rPr>
          <w:rFonts w:eastAsia="Arial" w:cs="Arial"/>
          <w:szCs w:val="22"/>
          <w:lang w:val="ru-RU"/>
        </w:rPr>
        <w:t>а</w:t>
      </w:r>
      <w:r w:rsidR="00BC2AD2" w:rsidRPr="00BC2AD2">
        <w:rPr>
          <w:rFonts w:eastAsia="Arial" w:cs="Arial"/>
          <w:szCs w:val="22"/>
          <w:lang w:val="ru-RU"/>
        </w:rPr>
        <w:t xml:space="preserve"> </w:t>
      </w:r>
      <w:r w:rsidR="00BC2AD2">
        <w:rPr>
          <w:rFonts w:eastAsia="Arial" w:cs="Arial"/>
          <w:szCs w:val="22"/>
          <w:lang w:val="ru-RU"/>
        </w:rPr>
        <w:t>в</w:t>
      </w:r>
      <w:r w:rsidR="00BC2AD2" w:rsidRPr="00BC2AD2">
        <w:rPr>
          <w:rFonts w:eastAsia="Arial" w:cs="Arial"/>
          <w:szCs w:val="22"/>
          <w:lang w:val="ru-RU"/>
        </w:rPr>
        <w:t xml:space="preserve"> </w:t>
      </w:r>
      <w:r w:rsidR="00BC2AD2">
        <w:rPr>
          <w:rFonts w:eastAsia="Arial" w:cs="Arial"/>
          <w:szCs w:val="22"/>
          <w:lang w:val="ru-RU"/>
        </w:rPr>
        <w:t>статье</w:t>
      </w:r>
      <w:r w:rsidR="00BC2AD2" w:rsidRPr="00BC2AD2">
        <w:rPr>
          <w:rFonts w:eastAsia="Arial" w:cs="Arial"/>
          <w:szCs w:val="22"/>
          <w:lang w:val="ru-RU"/>
        </w:rPr>
        <w:t xml:space="preserve"> 30 </w:t>
      </w:r>
      <w:r w:rsidR="00BC2AD2">
        <w:rPr>
          <w:rFonts w:eastAsia="Arial" w:cs="Arial"/>
          <w:szCs w:val="22"/>
          <w:lang w:val="ru-RU"/>
        </w:rPr>
        <w:t>говорится</w:t>
      </w:r>
      <w:r w:rsidR="00BC2AD2" w:rsidRPr="00BC2AD2">
        <w:rPr>
          <w:rFonts w:eastAsia="Arial" w:cs="Arial"/>
          <w:szCs w:val="22"/>
          <w:lang w:val="ru-RU"/>
        </w:rPr>
        <w:t xml:space="preserve"> </w:t>
      </w:r>
      <w:r w:rsidR="00BC2AD2">
        <w:rPr>
          <w:rFonts w:eastAsia="Arial" w:cs="Arial"/>
          <w:szCs w:val="22"/>
          <w:lang w:val="ru-RU"/>
        </w:rPr>
        <w:t>в</w:t>
      </w:r>
      <w:r w:rsidR="00BC2AD2" w:rsidRPr="00BC2AD2">
        <w:rPr>
          <w:rFonts w:eastAsia="Arial" w:cs="Arial"/>
          <w:szCs w:val="22"/>
          <w:lang w:val="ru-RU"/>
        </w:rPr>
        <w:t xml:space="preserve"> </w:t>
      </w:r>
      <w:r w:rsidR="00BC2AD2">
        <w:rPr>
          <w:rFonts w:eastAsia="Arial" w:cs="Arial"/>
          <w:szCs w:val="22"/>
          <w:lang w:val="ru-RU"/>
        </w:rPr>
        <w:t>том</w:t>
      </w:r>
      <w:r w:rsidR="00BC2AD2" w:rsidRPr="00BC2AD2">
        <w:rPr>
          <w:rFonts w:eastAsia="Arial" w:cs="Arial"/>
          <w:szCs w:val="22"/>
          <w:lang w:val="ru-RU"/>
        </w:rPr>
        <w:t xml:space="preserve">, </w:t>
      </w:r>
      <w:r w:rsidR="00BC2AD2">
        <w:rPr>
          <w:rFonts w:eastAsia="Arial" w:cs="Arial"/>
          <w:szCs w:val="22"/>
          <w:lang w:val="ru-RU"/>
        </w:rPr>
        <w:t>что</w:t>
      </w:r>
      <w:r w:rsidR="00BC2AD2" w:rsidRPr="00BC2AD2">
        <w:rPr>
          <w:rFonts w:eastAsia="Arial" w:cs="Arial"/>
          <w:szCs w:val="22"/>
          <w:lang w:val="ru-RU"/>
        </w:rPr>
        <w:t xml:space="preserve"> «</w:t>
      </w:r>
      <w:r w:rsidR="00BC2AD2">
        <w:rPr>
          <w:rFonts w:eastAsia="Arial" w:cs="Arial"/>
          <w:szCs w:val="22"/>
          <w:lang w:val="ru-RU"/>
        </w:rPr>
        <w:t>Комитет</w:t>
      </w:r>
      <w:r w:rsidR="00BC2AD2" w:rsidRPr="00BC2AD2">
        <w:rPr>
          <w:rFonts w:eastAsia="Arial" w:cs="Arial"/>
          <w:szCs w:val="22"/>
          <w:lang w:val="ru-RU"/>
        </w:rPr>
        <w:t xml:space="preserve"> </w:t>
      </w:r>
      <w:r w:rsidR="00BC2AD2">
        <w:rPr>
          <w:rFonts w:eastAsia="Arial" w:cs="Arial"/>
          <w:szCs w:val="22"/>
          <w:lang w:val="ru-RU"/>
        </w:rPr>
        <w:t>представляет</w:t>
      </w:r>
      <w:r w:rsidR="00BC2AD2" w:rsidRPr="00BC2AD2">
        <w:rPr>
          <w:rFonts w:eastAsia="Arial" w:cs="Arial"/>
          <w:szCs w:val="22"/>
          <w:lang w:val="ru-RU"/>
        </w:rPr>
        <w:t xml:space="preserve"> </w:t>
      </w:r>
      <w:r w:rsidR="00BC2AD2">
        <w:rPr>
          <w:rFonts w:eastAsia="Arial" w:cs="Arial"/>
          <w:szCs w:val="22"/>
          <w:lang w:val="ru-RU"/>
        </w:rPr>
        <w:t>каждой</w:t>
      </w:r>
      <w:r w:rsidR="00BC2AD2" w:rsidRPr="00BC2AD2">
        <w:rPr>
          <w:rFonts w:eastAsia="Arial" w:cs="Arial"/>
          <w:szCs w:val="22"/>
          <w:lang w:val="ru-RU"/>
        </w:rPr>
        <w:t xml:space="preserve"> </w:t>
      </w:r>
      <w:r w:rsidR="00BC2AD2">
        <w:rPr>
          <w:rFonts w:eastAsia="Arial" w:cs="Arial"/>
          <w:szCs w:val="22"/>
          <w:lang w:val="ru-RU"/>
        </w:rPr>
        <w:t>сессии</w:t>
      </w:r>
      <w:r w:rsidR="009375EB" w:rsidRPr="00BC2AD2">
        <w:rPr>
          <w:rFonts w:eastAsia="Arial" w:cs="Arial"/>
          <w:szCs w:val="22"/>
          <w:lang w:val="ru-RU"/>
        </w:rPr>
        <w:t xml:space="preserve"> </w:t>
      </w:r>
      <w:r w:rsidR="00BC2AD2">
        <w:rPr>
          <w:rFonts w:eastAsia="Arial" w:cs="Arial"/>
          <w:szCs w:val="22"/>
          <w:lang w:val="ru-RU"/>
        </w:rPr>
        <w:t>Генеральной</w:t>
      </w:r>
      <w:r w:rsidR="00BC2AD2" w:rsidRPr="00BC2AD2">
        <w:rPr>
          <w:rFonts w:eastAsia="Arial" w:cs="Arial"/>
          <w:szCs w:val="22"/>
          <w:lang w:val="ru-RU"/>
        </w:rPr>
        <w:t xml:space="preserve"> </w:t>
      </w:r>
      <w:r w:rsidR="00BC2AD2">
        <w:rPr>
          <w:rFonts w:eastAsia="Arial" w:cs="Arial"/>
          <w:szCs w:val="22"/>
          <w:lang w:val="ru-RU"/>
        </w:rPr>
        <w:t>ассамблеи</w:t>
      </w:r>
      <w:r w:rsidR="00BC2AD2" w:rsidRPr="00BC2AD2">
        <w:rPr>
          <w:rFonts w:eastAsia="Arial" w:cs="Arial"/>
          <w:szCs w:val="22"/>
          <w:lang w:val="ru-RU"/>
        </w:rPr>
        <w:t xml:space="preserve"> </w:t>
      </w:r>
      <w:r w:rsidR="00BC2AD2">
        <w:rPr>
          <w:rFonts w:eastAsia="Arial" w:cs="Arial"/>
          <w:szCs w:val="22"/>
          <w:lang w:val="ru-RU"/>
        </w:rPr>
        <w:t>доклад</w:t>
      </w:r>
      <w:r w:rsidR="00BC2AD2" w:rsidRPr="00BC2AD2">
        <w:rPr>
          <w:rFonts w:eastAsia="Arial" w:cs="Arial"/>
          <w:szCs w:val="22"/>
          <w:lang w:val="ru-RU"/>
        </w:rPr>
        <w:t xml:space="preserve">, </w:t>
      </w:r>
      <w:r w:rsidR="00BC2AD2">
        <w:rPr>
          <w:rFonts w:eastAsia="Arial" w:cs="Arial"/>
          <w:szCs w:val="22"/>
          <w:lang w:val="ru-RU"/>
        </w:rPr>
        <w:t>подготавливаемый на основе его деятельности</w:t>
      </w:r>
      <w:r w:rsidR="00BC2AD2" w:rsidRPr="00BC2AD2">
        <w:rPr>
          <w:rFonts w:eastAsia="Arial" w:cs="Arial"/>
          <w:szCs w:val="22"/>
          <w:lang w:val="ru-RU"/>
        </w:rPr>
        <w:t xml:space="preserve"> </w:t>
      </w:r>
      <w:r w:rsidR="00BC2AD2">
        <w:rPr>
          <w:rFonts w:eastAsia="Arial" w:cs="Arial"/>
          <w:szCs w:val="22"/>
          <w:lang w:val="ru-RU"/>
        </w:rPr>
        <w:t xml:space="preserve">и докладов государств-участников…». </w:t>
      </w:r>
      <w:r w:rsidR="00BC4129">
        <w:rPr>
          <w:rFonts w:eastAsia="Arial" w:cs="Arial"/>
          <w:szCs w:val="22"/>
          <w:lang w:val="ru-RU"/>
        </w:rPr>
        <w:t>За</w:t>
      </w:r>
      <w:r w:rsidR="00BC4129" w:rsidRPr="00BC2AD2">
        <w:rPr>
          <w:rFonts w:eastAsia="Arial" w:cs="Arial"/>
          <w:szCs w:val="22"/>
          <w:lang w:val="ru-RU"/>
        </w:rPr>
        <w:t xml:space="preserve"> </w:t>
      </w:r>
      <w:r w:rsidR="00BC4129">
        <w:rPr>
          <w:rFonts w:eastAsia="Arial" w:cs="Arial"/>
          <w:szCs w:val="22"/>
          <w:lang w:val="ru-RU"/>
        </w:rPr>
        <w:t>отчётный</w:t>
      </w:r>
      <w:r w:rsidR="00BC4129" w:rsidRPr="00BC2AD2">
        <w:rPr>
          <w:rFonts w:eastAsia="Arial" w:cs="Arial"/>
          <w:szCs w:val="22"/>
          <w:lang w:val="ru-RU"/>
        </w:rPr>
        <w:t xml:space="preserve"> </w:t>
      </w:r>
      <w:r w:rsidR="00BC4129">
        <w:rPr>
          <w:rFonts w:eastAsia="Arial" w:cs="Arial"/>
          <w:szCs w:val="22"/>
          <w:lang w:val="ru-RU"/>
        </w:rPr>
        <w:t>период</w:t>
      </w:r>
      <w:r w:rsidR="00BC4129" w:rsidRPr="00BC2AD2">
        <w:rPr>
          <w:rFonts w:eastAsia="Arial" w:cs="Arial"/>
          <w:szCs w:val="22"/>
          <w:lang w:val="ru-RU"/>
        </w:rPr>
        <w:t xml:space="preserve"> </w:t>
      </w:r>
      <w:r w:rsidR="00BC2AD2">
        <w:rPr>
          <w:rFonts w:eastAsia="Arial" w:cs="Arial"/>
          <w:szCs w:val="22"/>
          <w:lang w:val="ru-RU"/>
        </w:rPr>
        <w:t>Комитет</w:t>
      </w:r>
      <w:r w:rsidR="00BC2AD2" w:rsidRPr="00BC2AD2">
        <w:rPr>
          <w:rFonts w:eastAsia="Arial" w:cs="Arial"/>
          <w:szCs w:val="22"/>
          <w:lang w:val="ru-RU"/>
        </w:rPr>
        <w:t xml:space="preserve"> </w:t>
      </w:r>
      <w:r w:rsidR="00BC2AD2">
        <w:rPr>
          <w:rFonts w:eastAsia="Arial" w:cs="Arial"/>
          <w:szCs w:val="22"/>
          <w:lang w:val="ru-RU"/>
        </w:rPr>
        <w:t>рассмотрел</w:t>
      </w:r>
      <w:r w:rsidR="00BC2AD2" w:rsidRPr="00BC2AD2">
        <w:rPr>
          <w:rFonts w:eastAsia="Arial" w:cs="Arial"/>
          <w:szCs w:val="22"/>
          <w:lang w:val="ru-RU"/>
        </w:rPr>
        <w:t xml:space="preserve"> 51 </w:t>
      </w:r>
      <w:r w:rsidR="00BC2AD2">
        <w:rPr>
          <w:rFonts w:eastAsia="Arial" w:cs="Arial"/>
          <w:szCs w:val="22"/>
          <w:lang w:val="ru-RU"/>
        </w:rPr>
        <w:t>доклад</w:t>
      </w:r>
      <w:r w:rsidR="00BC2AD2" w:rsidRPr="00BC2AD2">
        <w:rPr>
          <w:rFonts w:eastAsia="Arial" w:cs="Arial"/>
          <w:szCs w:val="22"/>
          <w:lang w:val="ru-RU"/>
        </w:rPr>
        <w:t xml:space="preserve"> </w:t>
      </w:r>
      <w:r w:rsidR="00BC2AD2">
        <w:rPr>
          <w:rFonts w:eastAsia="Arial" w:cs="Arial"/>
          <w:szCs w:val="22"/>
          <w:lang w:val="ru-RU"/>
        </w:rPr>
        <w:t>государств</w:t>
      </w:r>
      <w:r w:rsidR="00BC2AD2" w:rsidRPr="00BC2AD2">
        <w:rPr>
          <w:rFonts w:eastAsia="Arial" w:cs="Arial"/>
          <w:szCs w:val="22"/>
          <w:lang w:val="ru-RU"/>
        </w:rPr>
        <w:t>-</w:t>
      </w:r>
      <w:r w:rsidR="00BC2AD2">
        <w:rPr>
          <w:rFonts w:eastAsia="Arial" w:cs="Arial"/>
          <w:szCs w:val="22"/>
          <w:lang w:val="ru-RU"/>
        </w:rPr>
        <w:t>участников</w:t>
      </w:r>
      <w:r w:rsidR="00BC2AD2" w:rsidRPr="00BC2AD2">
        <w:rPr>
          <w:rFonts w:eastAsia="Arial" w:cs="Arial"/>
          <w:szCs w:val="22"/>
          <w:lang w:val="ru-RU"/>
        </w:rPr>
        <w:t xml:space="preserve"> </w:t>
      </w:r>
      <w:r w:rsidR="00BC2AD2">
        <w:rPr>
          <w:rFonts w:eastAsia="Arial" w:cs="Arial"/>
          <w:szCs w:val="22"/>
          <w:lang w:val="ru-RU"/>
        </w:rPr>
        <w:t>о</w:t>
      </w:r>
      <w:r w:rsidR="00BC2AD2" w:rsidRPr="00BC2AD2">
        <w:rPr>
          <w:rFonts w:eastAsia="Arial" w:cs="Arial"/>
          <w:szCs w:val="22"/>
          <w:lang w:val="ru-RU"/>
        </w:rPr>
        <w:t xml:space="preserve"> </w:t>
      </w:r>
      <w:r w:rsidR="00BC2AD2">
        <w:rPr>
          <w:rFonts w:eastAsia="Arial" w:cs="Arial"/>
          <w:szCs w:val="22"/>
          <w:lang w:val="ru-RU"/>
        </w:rPr>
        <w:t>выполнении</w:t>
      </w:r>
      <w:r w:rsidR="00BC2AD2" w:rsidRPr="00BC2AD2">
        <w:rPr>
          <w:rFonts w:eastAsia="Arial" w:cs="Arial"/>
          <w:szCs w:val="22"/>
          <w:lang w:val="ru-RU"/>
        </w:rPr>
        <w:t xml:space="preserve"> </w:t>
      </w:r>
      <w:r w:rsidR="00BC2AD2">
        <w:rPr>
          <w:rFonts w:eastAsia="Arial" w:cs="Arial"/>
          <w:szCs w:val="22"/>
          <w:lang w:val="ru-RU"/>
        </w:rPr>
        <w:t>Конвенции</w:t>
      </w:r>
      <w:r w:rsidR="00BC2AD2" w:rsidRPr="00BC2AD2">
        <w:rPr>
          <w:rFonts w:eastAsia="Arial" w:cs="Arial"/>
          <w:szCs w:val="22"/>
          <w:lang w:val="ru-RU"/>
        </w:rPr>
        <w:t xml:space="preserve"> </w:t>
      </w:r>
      <w:r w:rsidR="00BC2AD2">
        <w:rPr>
          <w:rFonts w:eastAsia="Arial" w:cs="Arial"/>
          <w:szCs w:val="22"/>
          <w:lang w:val="ru-RU"/>
        </w:rPr>
        <w:t>на</w:t>
      </w:r>
      <w:r w:rsidR="00BC2AD2" w:rsidRPr="00BC2AD2">
        <w:rPr>
          <w:rFonts w:eastAsia="Arial" w:cs="Arial"/>
          <w:szCs w:val="22"/>
          <w:lang w:val="ru-RU"/>
        </w:rPr>
        <w:t xml:space="preserve"> </w:t>
      </w:r>
      <w:r w:rsidR="00BC2AD2">
        <w:rPr>
          <w:rFonts w:eastAsia="Arial" w:cs="Arial"/>
          <w:szCs w:val="22"/>
          <w:lang w:val="ru-RU"/>
        </w:rPr>
        <w:t>национальном</w:t>
      </w:r>
      <w:r w:rsidR="00BC2AD2" w:rsidRPr="00BC2AD2">
        <w:rPr>
          <w:rFonts w:eastAsia="Arial" w:cs="Arial"/>
          <w:szCs w:val="22"/>
          <w:lang w:val="ru-RU"/>
        </w:rPr>
        <w:t xml:space="preserve"> </w:t>
      </w:r>
      <w:r w:rsidR="00BC2AD2">
        <w:rPr>
          <w:rFonts w:eastAsia="Arial" w:cs="Arial"/>
          <w:szCs w:val="22"/>
          <w:lang w:val="ru-RU"/>
        </w:rPr>
        <w:t>уровне</w:t>
      </w:r>
      <w:r w:rsidR="00BC2AD2" w:rsidRPr="00BC2AD2">
        <w:rPr>
          <w:rFonts w:eastAsia="Arial" w:cs="Arial"/>
          <w:szCs w:val="22"/>
          <w:lang w:val="ru-RU"/>
        </w:rPr>
        <w:t xml:space="preserve"> </w:t>
      </w:r>
      <w:r w:rsidR="00EA71AC" w:rsidRPr="00BC2AD2">
        <w:rPr>
          <w:rFonts w:eastAsia="Arial" w:cs="Arial"/>
          <w:szCs w:val="22"/>
          <w:lang w:val="ru-RU"/>
        </w:rPr>
        <w:t>(</w:t>
      </w:r>
      <w:hyperlink r:id="rId11" w:history="1">
        <w:r w:rsidR="00EA71AC" w:rsidRPr="00BC2AD2">
          <w:rPr>
            <w:rStyle w:val="Hyperlink"/>
            <w:rFonts w:eastAsia="Arial" w:cs="Arial"/>
            <w:szCs w:val="22"/>
            <w:lang w:val="ru-RU"/>
          </w:rPr>
          <w:t>27</w:t>
        </w:r>
      </w:hyperlink>
      <w:r w:rsidR="00EA71AC" w:rsidRPr="00BC2AD2">
        <w:rPr>
          <w:rFonts w:eastAsia="Arial" w:cs="Arial"/>
          <w:szCs w:val="22"/>
          <w:lang w:val="ru-RU"/>
        </w:rPr>
        <w:t xml:space="preserve"> </w:t>
      </w:r>
      <w:r w:rsidR="00BC2AD2">
        <w:rPr>
          <w:rFonts w:eastAsia="Arial" w:cs="Arial"/>
          <w:szCs w:val="22"/>
          <w:lang w:val="ru-RU"/>
        </w:rPr>
        <w:t>в</w:t>
      </w:r>
      <w:r w:rsidR="00EA71AC" w:rsidRPr="00BC2AD2">
        <w:rPr>
          <w:rFonts w:eastAsia="Arial" w:cs="Arial"/>
          <w:szCs w:val="22"/>
          <w:lang w:val="ru-RU"/>
        </w:rPr>
        <w:t xml:space="preserve"> 2014</w:t>
      </w:r>
      <w:r w:rsidR="00BC2AD2" w:rsidRPr="00BC2AD2">
        <w:rPr>
          <w:rFonts w:eastAsia="Arial" w:cs="Arial"/>
          <w:szCs w:val="22"/>
          <w:lang w:val="en-US"/>
        </w:rPr>
        <w:t> </w:t>
      </w:r>
      <w:r w:rsidR="00BC2AD2">
        <w:rPr>
          <w:rFonts w:eastAsia="Arial" w:cs="Arial"/>
          <w:szCs w:val="22"/>
          <w:lang w:val="ru-RU"/>
        </w:rPr>
        <w:t>г</w:t>
      </w:r>
      <w:r w:rsidR="00BC2AD2" w:rsidRPr="00BC2AD2">
        <w:rPr>
          <w:rFonts w:eastAsia="Arial" w:cs="Arial"/>
          <w:szCs w:val="22"/>
          <w:lang w:val="ru-RU"/>
        </w:rPr>
        <w:t xml:space="preserve">. </w:t>
      </w:r>
      <w:r w:rsidR="00BC2AD2">
        <w:rPr>
          <w:rFonts w:eastAsia="Arial" w:cs="Arial"/>
          <w:szCs w:val="22"/>
          <w:lang w:val="ru-RU"/>
        </w:rPr>
        <w:t>и</w:t>
      </w:r>
      <w:r w:rsidR="00EA71AC" w:rsidRPr="00BC2AD2">
        <w:rPr>
          <w:rFonts w:eastAsia="Arial" w:cs="Arial"/>
          <w:szCs w:val="22"/>
          <w:lang w:val="ru-RU"/>
        </w:rPr>
        <w:t xml:space="preserve"> </w:t>
      </w:r>
      <w:hyperlink r:id="rId12" w:history="1">
        <w:r w:rsidR="00EA71AC" w:rsidRPr="00BC2AD2">
          <w:rPr>
            <w:rStyle w:val="Hyperlink"/>
            <w:rFonts w:eastAsia="Arial" w:cs="Arial"/>
            <w:szCs w:val="22"/>
            <w:lang w:val="ru-RU"/>
          </w:rPr>
          <w:t>24</w:t>
        </w:r>
      </w:hyperlink>
      <w:r w:rsidR="00EA71AC" w:rsidRPr="00BC2AD2">
        <w:rPr>
          <w:rFonts w:eastAsia="Arial" w:cs="Arial"/>
          <w:szCs w:val="22"/>
          <w:lang w:val="ru-RU"/>
        </w:rPr>
        <w:t xml:space="preserve"> </w:t>
      </w:r>
      <w:r w:rsidR="00BC2AD2">
        <w:rPr>
          <w:rFonts w:eastAsia="Arial" w:cs="Arial"/>
          <w:szCs w:val="22"/>
          <w:lang w:val="ru-RU"/>
        </w:rPr>
        <w:t>в</w:t>
      </w:r>
      <w:r w:rsidR="00EA71AC" w:rsidRPr="00BC2AD2">
        <w:rPr>
          <w:rFonts w:eastAsia="Arial" w:cs="Arial"/>
          <w:szCs w:val="22"/>
          <w:lang w:val="ru-RU"/>
        </w:rPr>
        <w:t xml:space="preserve"> 2015</w:t>
      </w:r>
      <w:r w:rsidR="00BC2AD2" w:rsidRPr="00BC2AD2">
        <w:rPr>
          <w:rFonts w:eastAsia="Arial" w:cs="Arial"/>
          <w:szCs w:val="22"/>
          <w:lang w:val="en-US"/>
        </w:rPr>
        <w:t> </w:t>
      </w:r>
      <w:r w:rsidR="00BC2AD2">
        <w:rPr>
          <w:rFonts w:eastAsia="Arial" w:cs="Arial"/>
          <w:szCs w:val="22"/>
          <w:lang w:val="ru-RU"/>
        </w:rPr>
        <w:t>г</w:t>
      </w:r>
      <w:r w:rsidR="00BC2AD2" w:rsidRPr="00BC2AD2">
        <w:rPr>
          <w:rFonts w:eastAsia="Arial" w:cs="Arial"/>
          <w:szCs w:val="22"/>
          <w:lang w:val="ru-RU"/>
        </w:rPr>
        <w:t>.</w:t>
      </w:r>
      <w:r w:rsidR="00EA71AC" w:rsidRPr="00BC2AD2">
        <w:rPr>
          <w:rFonts w:eastAsia="Arial" w:cs="Arial"/>
          <w:szCs w:val="22"/>
          <w:lang w:val="ru-RU"/>
        </w:rPr>
        <w:t xml:space="preserve">) </w:t>
      </w:r>
      <w:r w:rsidR="00BC2AD2">
        <w:rPr>
          <w:rFonts w:eastAsia="Arial" w:cs="Arial"/>
          <w:szCs w:val="22"/>
          <w:lang w:val="ru-RU"/>
        </w:rPr>
        <w:t xml:space="preserve">и </w:t>
      </w:r>
      <w:r w:rsidR="00BC2AD2" w:rsidRPr="00BC2AD2">
        <w:rPr>
          <w:rFonts w:eastAsia="Arial" w:cs="Arial"/>
          <w:szCs w:val="22"/>
          <w:lang w:val="ru-RU"/>
        </w:rPr>
        <w:t xml:space="preserve">11 </w:t>
      </w:r>
      <w:r w:rsidR="00BC2AD2">
        <w:rPr>
          <w:rFonts w:eastAsia="Arial" w:cs="Arial"/>
          <w:szCs w:val="22"/>
          <w:lang w:val="ru-RU"/>
        </w:rPr>
        <w:t xml:space="preserve">докладов о состоянии элементов, включённых в Список нематериального культурного наследия, нуждающегося в срочной охране </w:t>
      </w:r>
      <w:r w:rsidR="00EA71AC" w:rsidRPr="00BC2AD2">
        <w:rPr>
          <w:rFonts w:eastAsia="Arial" w:cs="Arial"/>
          <w:szCs w:val="22"/>
          <w:lang w:val="ru-RU"/>
        </w:rPr>
        <w:t>(</w:t>
      </w:r>
      <w:hyperlink r:id="rId13" w:history="1">
        <w:r w:rsidR="00EA71AC" w:rsidRPr="00BC2AD2">
          <w:rPr>
            <w:rStyle w:val="Hyperlink"/>
            <w:rFonts w:eastAsia="Arial" w:cs="Arial"/>
            <w:szCs w:val="22"/>
            <w:lang w:val="ru-RU"/>
          </w:rPr>
          <w:t>8</w:t>
        </w:r>
      </w:hyperlink>
      <w:r w:rsidR="00EA71AC" w:rsidRPr="00BC2AD2">
        <w:rPr>
          <w:rFonts w:eastAsia="Arial" w:cs="Arial"/>
          <w:szCs w:val="22"/>
          <w:lang w:val="ru-RU"/>
        </w:rPr>
        <w:t xml:space="preserve"> </w:t>
      </w:r>
      <w:r w:rsidR="00BC2AD2">
        <w:rPr>
          <w:rFonts w:eastAsia="Arial" w:cs="Arial"/>
          <w:szCs w:val="22"/>
          <w:lang w:val="ru-RU"/>
        </w:rPr>
        <w:t>в</w:t>
      </w:r>
      <w:r w:rsidR="00EA71AC" w:rsidRPr="00BC2AD2">
        <w:rPr>
          <w:rFonts w:eastAsia="Arial" w:cs="Arial"/>
          <w:szCs w:val="22"/>
          <w:lang w:val="ru-RU"/>
        </w:rPr>
        <w:t xml:space="preserve"> 2014</w:t>
      </w:r>
      <w:r w:rsidR="00BC2AD2">
        <w:rPr>
          <w:rFonts w:eastAsia="Arial" w:cs="Arial"/>
          <w:szCs w:val="22"/>
          <w:lang w:val="ru-RU"/>
        </w:rPr>
        <w:t> г.</w:t>
      </w:r>
      <w:r w:rsidR="00EA71AC" w:rsidRPr="00BC2AD2">
        <w:rPr>
          <w:rFonts w:eastAsia="Arial" w:cs="Arial"/>
          <w:szCs w:val="22"/>
          <w:lang w:val="ru-RU"/>
        </w:rPr>
        <w:t xml:space="preserve"> </w:t>
      </w:r>
      <w:r w:rsidR="00BC2AD2">
        <w:rPr>
          <w:rFonts w:eastAsia="Arial" w:cs="Arial"/>
          <w:szCs w:val="22"/>
          <w:lang w:val="ru-RU"/>
        </w:rPr>
        <w:t>и</w:t>
      </w:r>
      <w:r w:rsidR="00EA71AC" w:rsidRPr="00BC2AD2">
        <w:rPr>
          <w:rFonts w:eastAsia="Arial" w:cs="Arial"/>
          <w:szCs w:val="22"/>
          <w:lang w:val="ru-RU"/>
        </w:rPr>
        <w:t xml:space="preserve"> </w:t>
      </w:r>
      <w:hyperlink r:id="rId14" w:history="1">
        <w:r w:rsidR="00EA71AC" w:rsidRPr="00BC2AD2">
          <w:rPr>
            <w:rStyle w:val="Hyperlink"/>
            <w:rFonts w:eastAsia="Arial" w:cs="Arial"/>
            <w:szCs w:val="22"/>
            <w:lang w:val="ru-RU"/>
          </w:rPr>
          <w:t>3</w:t>
        </w:r>
      </w:hyperlink>
      <w:r w:rsidR="00EA71AC" w:rsidRPr="00BC2AD2">
        <w:rPr>
          <w:rFonts w:eastAsia="Arial" w:cs="Arial"/>
          <w:szCs w:val="22"/>
          <w:lang w:val="ru-RU"/>
        </w:rPr>
        <w:t xml:space="preserve"> </w:t>
      </w:r>
      <w:r w:rsidR="00BC2AD2">
        <w:rPr>
          <w:rFonts w:eastAsia="Arial" w:cs="Arial"/>
          <w:szCs w:val="22"/>
          <w:lang w:val="ru-RU"/>
        </w:rPr>
        <w:t>в</w:t>
      </w:r>
      <w:r w:rsidR="00EA71AC" w:rsidRPr="00BC2AD2">
        <w:rPr>
          <w:rFonts w:eastAsia="Arial" w:cs="Arial"/>
          <w:szCs w:val="22"/>
          <w:lang w:val="ru-RU"/>
        </w:rPr>
        <w:t xml:space="preserve"> 2015</w:t>
      </w:r>
      <w:r w:rsidR="00BC2AD2">
        <w:rPr>
          <w:rFonts w:eastAsia="Arial" w:cs="Arial"/>
          <w:szCs w:val="22"/>
          <w:lang w:val="ru-RU"/>
        </w:rPr>
        <w:t> г.</w:t>
      </w:r>
      <w:r w:rsidR="00EA71AC" w:rsidRPr="00BC2AD2">
        <w:rPr>
          <w:rFonts w:eastAsia="Arial" w:cs="Arial"/>
          <w:szCs w:val="22"/>
          <w:lang w:val="ru-RU"/>
        </w:rPr>
        <w:t>).</w:t>
      </w:r>
    </w:p>
    <w:p w:rsidR="00EA71AC" w:rsidRPr="00AE0E9B" w:rsidRDefault="00BC4129" w:rsidP="00EA71AC">
      <w:pPr>
        <w:pStyle w:val="Marge"/>
        <w:numPr>
          <w:ilvl w:val="0"/>
          <w:numId w:val="13"/>
        </w:numPr>
        <w:tabs>
          <w:tab w:val="clear" w:pos="720"/>
        </w:tabs>
        <w:spacing w:after="120"/>
        <w:ind w:left="567" w:hanging="567"/>
        <w:rPr>
          <w:rFonts w:eastAsia="Arial"/>
          <w:lang w:val="ru-RU"/>
        </w:rPr>
      </w:pPr>
      <w:proofErr w:type="gramStart"/>
      <w:r>
        <w:rPr>
          <w:rFonts w:eastAsia="SimSun" w:cs="Arial"/>
          <w:szCs w:val="22"/>
          <w:lang w:val="ru-RU"/>
        </w:rPr>
        <w:t>Подробный</w:t>
      </w:r>
      <w:r w:rsidRPr="00AE0E9B">
        <w:rPr>
          <w:rFonts w:eastAsia="SimSun" w:cs="Arial"/>
          <w:szCs w:val="22"/>
          <w:lang w:val="ru-RU"/>
        </w:rPr>
        <w:t xml:space="preserve"> </w:t>
      </w:r>
      <w:r>
        <w:rPr>
          <w:rFonts w:eastAsia="SimSun" w:cs="Arial"/>
          <w:szCs w:val="22"/>
          <w:lang w:val="ru-RU"/>
        </w:rPr>
        <w:t>обзор</w:t>
      </w:r>
      <w:r w:rsidRPr="00AE0E9B">
        <w:rPr>
          <w:rFonts w:eastAsia="SimSun" w:cs="Arial"/>
          <w:szCs w:val="22"/>
          <w:lang w:val="ru-RU"/>
        </w:rPr>
        <w:t xml:space="preserve"> </w:t>
      </w:r>
      <w:r w:rsidR="00AE0E9B">
        <w:rPr>
          <w:rFonts w:eastAsia="SimSun" w:cs="Arial"/>
          <w:szCs w:val="22"/>
          <w:lang w:val="ru-RU"/>
        </w:rPr>
        <w:t>с</w:t>
      </w:r>
      <w:r w:rsidRPr="00AE0E9B">
        <w:rPr>
          <w:rFonts w:eastAsia="SimSun" w:cs="Arial"/>
          <w:szCs w:val="22"/>
          <w:lang w:val="ru-RU"/>
        </w:rPr>
        <w:t xml:space="preserve"> </w:t>
      </w:r>
      <w:r w:rsidR="00316E2F">
        <w:rPr>
          <w:rFonts w:eastAsia="SimSun" w:cs="Arial"/>
          <w:szCs w:val="22"/>
          <w:lang w:val="ru-RU"/>
        </w:rPr>
        <w:t>обобщение</w:t>
      </w:r>
      <w:r w:rsidR="00AE0E9B">
        <w:rPr>
          <w:rFonts w:eastAsia="SimSun" w:cs="Arial"/>
          <w:szCs w:val="22"/>
          <w:lang w:val="ru-RU"/>
        </w:rPr>
        <w:t>м</w:t>
      </w:r>
      <w:r w:rsidR="00316E2F" w:rsidRPr="00AE0E9B">
        <w:rPr>
          <w:rFonts w:eastAsia="SimSun" w:cs="Arial"/>
          <w:szCs w:val="22"/>
          <w:lang w:val="ru-RU"/>
        </w:rPr>
        <w:t xml:space="preserve"> </w:t>
      </w:r>
      <w:r w:rsidR="00316E2F">
        <w:rPr>
          <w:rFonts w:eastAsia="SimSun" w:cs="Arial"/>
          <w:szCs w:val="22"/>
          <w:lang w:val="ru-RU"/>
        </w:rPr>
        <w:t>периодических</w:t>
      </w:r>
      <w:r w:rsidR="00316E2F" w:rsidRPr="00AE0E9B">
        <w:rPr>
          <w:rFonts w:eastAsia="SimSun" w:cs="Arial"/>
          <w:szCs w:val="22"/>
          <w:lang w:val="ru-RU"/>
        </w:rPr>
        <w:t xml:space="preserve"> </w:t>
      </w:r>
      <w:r w:rsidR="00316E2F">
        <w:rPr>
          <w:rFonts w:eastAsia="SimSun" w:cs="Arial"/>
          <w:szCs w:val="22"/>
          <w:lang w:val="ru-RU"/>
        </w:rPr>
        <w:t>докладов</w:t>
      </w:r>
      <w:r w:rsidR="00AE0E9B" w:rsidRPr="00AE0E9B">
        <w:rPr>
          <w:rFonts w:eastAsia="SimSun" w:cs="Arial"/>
          <w:szCs w:val="22"/>
          <w:lang w:val="ru-RU"/>
        </w:rPr>
        <w:t xml:space="preserve">, </w:t>
      </w:r>
      <w:r w:rsidR="00177C14">
        <w:rPr>
          <w:rFonts w:eastAsia="SimSun" w:cs="Arial"/>
          <w:szCs w:val="22"/>
          <w:lang w:val="ru-RU"/>
        </w:rPr>
        <w:t xml:space="preserve">принятый </w:t>
      </w:r>
      <w:r w:rsidR="00AE0E9B">
        <w:rPr>
          <w:rFonts w:eastAsia="SimSun" w:cs="Arial"/>
          <w:szCs w:val="22"/>
          <w:lang w:val="ru-RU"/>
        </w:rPr>
        <w:t>Комитетом</w:t>
      </w:r>
      <w:r w:rsidR="00AE0E9B" w:rsidRPr="00AE0E9B">
        <w:rPr>
          <w:rFonts w:eastAsia="SimSun" w:cs="Arial"/>
          <w:szCs w:val="22"/>
          <w:lang w:val="ru-RU"/>
        </w:rPr>
        <w:t xml:space="preserve"> </w:t>
      </w:r>
      <w:r w:rsidR="00AE0E9B">
        <w:rPr>
          <w:rFonts w:eastAsia="SimSun" w:cs="Arial"/>
          <w:szCs w:val="22"/>
          <w:lang w:val="ru-RU"/>
        </w:rPr>
        <w:t>в</w:t>
      </w:r>
      <w:r w:rsidR="00AE0E9B" w:rsidRPr="00AE0E9B">
        <w:rPr>
          <w:rFonts w:eastAsia="SimSun" w:cs="Arial"/>
          <w:szCs w:val="22"/>
          <w:lang w:val="ru-RU"/>
        </w:rPr>
        <w:t xml:space="preserve"> </w:t>
      </w:r>
      <w:r w:rsidR="00AE0E9B">
        <w:rPr>
          <w:rFonts w:eastAsia="SimSun" w:cs="Arial"/>
          <w:szCs w:val="22"/>
          <w:lang w:val="ru-RU"/>
        </w:rPr>
        <w:t>Решениях</w:t>
      </w:r>
      <w:r w:rsidR="00AE0E9B" w:rsidRPr="00AE0E9B">
        <w:rPr>
          <w:rFonts w:eastAsia="SimSun" w:cs="Arial"/>
          <w:szCs w:val="22"/>
          <w:lang w:val="ru-RU"/>
        </w:rPr>
        <w:t xml:space="preserve"> </w:t>
      </w:r>
      <w:hyperlink r:id="rId15" w:history="1">
        <w:r w:rsidR="00EA71AC" w:rsidRPr="00AE0E9B">
          <w:rPr>
            <w:rStyle w:val="Hyperlink"/>
            <w:rFonts w:eastAsia="SimSun" w:cs="Arial"/>
            <w:szCs w:val="22"/>
            <w:lang w:val="ru-RU"/>
          </w:rPr>
          <w:t>9.</w:t>
        </w:r>
        <w:r w:rsidR="00EA71AC" w:rsidRPr="00F57D01">
          <w:rPr>
            <w:rStyle w:val="Hyperlink"/>
            <w:rFonts w:eastAsia="SimSun" w:cs="Arial"/>
            <w:szCs w:val="22"/>
            <w:lang w:val="en-US"/>
          </w:rPr>
          <w:t>COM</w:t>
        </w:r>
        <w:r w:rsidR="00EA71AC" w:rsidRPr="00AE0E9B">
          <w:rPr>
            <w:rStyle w:val="Hyperlink"/>
            <w:rFonts w:eastAsia="SimSun" w:cs="Arial"/>
            <w:szCs w:val="22"/>
            <w:lang w:val="ru-RU"/>
          </w:rPr>
          <w:t xml:space="preserve"> 5.</w:t>
        </w:r>
        <w:r w:rsidR="00EA71AC" w:rsidRPr="00F57D01">
          <w:rPr>
            <w:rStyle w:val="Hyperlink"/>
            <w:rFonts w:eastAsia="SimSun" w:cs="Arial"/>
            <w:szCs w:val="22"/>
            <w:lang w:val="en-US"/>
          </w:rPr>
          <w:t>a</w:t>
        </w:r>
      </w:hyperlink>
      <w:r w:rsidR="00EA71AC" w:rsidRPr="00AE0E9B">
        <w:rPr>
          <w:rFonts w:eastAsia="SimSun" w:cs="Arial"/>
          <w:szCs w:val="22"/>
          <w:lang w:val="ru-RU"/>
        </w:rPr>
        <w:t xml:space="preserve"> </w:t>
      </w:r>
      <w:r w:rsidR="00AE0E9B">
        <w:rPr>
          <w:rFonts w:eastAsia="SimSun" w:cs="Arial"/>
          <w:szCs w:val="22"/>
          <w:lang w:val="ru-RU"/>
        </w:rPr>
        <w:t>и</w:t>
      </w:r>
      <w:r w:rsidR="00EA71AC" w:rsidRPr="00AE0E9B">
        <w:rPr>
          <w:rFonts w:eastAsia="SimSun" w:cs="Arial"/>
          <w:szCs w:val="22"/>
          <w:lang w:val="ru-RU"/>
        </w:rPr>
        <w:t xml:space="preserve"> </w:t>
      </w:r>
      <w:hyperlink r:id="rId16" w:history="1">
        <w:r w:rsidR="00EA71AC" w:rsidRPr="00AE0E9B">
          <w:rPr>
            <w:rStyle w:val="Hyperlink"/>
            <w:rFonts w:eastAsia="SimSun" w:cs="Arial"/>
            <w:szCs w:val="22"/>
            <w:lang w:val="ru-RU"/>
          </w:rPr>
          <w:t>9.</w:t>
        </w:r>
        <w:r w:rsidR="00EA71AC" w:rsidRPr="00F57D01">
          <w:rPr>
            <w:rStyle w:val="Hyperlink"/>
            <w:rFonts w:eastAsia="SimSun" w:cs="Arial"/>
            <w:szCs w:val="22"/>
            <w:lang w:val="en-US"/>
          </w:rPr>
          <w:t>COM</w:t>
        </w:r>
        <w:r w:rsidR="00EA71AC" w:rsidRPr="00AE0E9B">
          <w:rPr>
            <w:rStyle w:val="Hyperlink"/>
            <w:rFonts w:eastAsia="SimSun" w:cs="Arial"/>
            <w:szCs w:val="22"/>
            <w:lang w:val="ru-RU"/>
          </w:rPr>
          <w:t xml:space="preserve"> 5.</w:t>
        </w:r>
        <w:r w:rsidR="00EA71AC" w:rsidRPr="00F57D01">
          <w:rPr>
            <w:rStyle w:val="Hyperlink"/>
            <w:rFonts w:eastAsia="SimSun" w:cs="Arial"/>
            <w:szCs w:val="22"/>
            <w:lang w:val="en-US"/>
          </w:rPr>
          <w:t>b</w:t>
        </w:r>
      </w:hyperlink>
      <w:r w:rsidR="00EA71AC" w:rsidRPr="00AE0E9B">
        <w:rPr>
          <w:rFonts w:eastAsia="SimSun" w:cs="Arial"/>
          <w:szCs w:val="22"/>
          <w:lang w:val="ru-RU"/>
        </w:rPr>
        <w:t xml:space="preserve"> (</w:t>
      </w:r>
      <w:r w:rsidR="00AE0E9B">
        <w:rPr>
          <w:rFonts w:eastAsia="SimSun" w:cs="Arial"/>
          <w:szCs w:val="22"/>
          <w:lang w:val="ru-RU"/>
        </w:rPr>
        <w:t>в</w:t>
      </w:r>
      <w:r w:rsidR="00AE0E9B" w:rsidRPr="00AE0E9B">
        <w:rPr>
          <w:rFonts w:eastAsia="SimSun" w:cs="Arial"/>
          <w:szCs w:val="22"/>
          <w:lang w:val="ru-RU"/>
        </w:rPr>
        <w:t xml:space="preserve"> </w:t>
      </w:r>
      <w:r w:rsidR="00AE0E9B">
        <w:rPr>
          <w:rFonts w:eastAsia="SimSun" w:cs="Arial"/>
          <w:szCs w:val="22"/>
          <w:lang w:val="ru-RU"/>
        </w:rPr>
        <w:t>отношении</w:t>
      </w:r>
      <w:r w:rsidR="00AE0E9B" w:rsidRPr="00AE0E9B">
        <w:rPr>
          <w:rFonts w:eastAsia="SimSun" w:cs="Arial"/>
          <w:szCs w:val="22"/>
          <w:lang w:val="ru-RU"/>
        </w:rPr>
        <w:t xml:space="preserve"> </w:t>
      </w:r>
      <w:r w:rsidR="00AE0E9B">
        <w:rPr>
          <w:rFonts w:eastAsia="SimSun" w:cs="Arial"/>
          <w:szCs w:val="22"/>
          <w:lang w:val="ru-RU"/>
        </w:rPr>
        <w:t>докладов</w:t>
      </w:r>
      <w:r w:rsidR="00AE0E9B" w:rsidRPr="00AE0E9B">
        <w:rPr>
          <w:rFonts w:eastAsia="SimSun" w:cs="Arial"/>
          <w:szCs w:val="22"/>
          <w:lang w:val="ru-RU"/>
        </w:rPr>
        <w:t xml:space="preserve"> 2014</w:t>
      </w:r>
      <w:r w:rsidR="00AE0E9B" w:rsidRPr="00AE0E9B">
        <w:rPr>
          <w:rFonts w:eastAsia="SimSun" w:cs="Arial"/>
          <w:szCs w:val="22"/>
          <w:lang w:val="en-US"/>
        </w:rPr>
        <w:t> </w:t>
      </w:r>
      <w:r w:rsidR="00AE0E9B">
        <w:rPr>
          <w:rFonts w:eastAsia="SimSun" w:cs="Arial"/>
          <w:szCs w:val="22"/>
          <w:lang w:val="ru-RU"/>
        </w:rPr>
        <w:t>г</w:t>
      </w:r>
      <w:r w:rsidR="00AE0E9B" w:rsidRPr="00AE0E9B">
        <w:rPr>
          <w:rFonts w:eastAsia="SimSun" w:cs="Arial"/>
          <w:szCs w:val="22"/>
          <w:lang w:val="ru-RU"/>
        </w:rPr>
        <w:t xml:space="preserve">.), </w:t>
      </w:r>
      <w:r w:rsidR="00AE0E9B">
        <w:rPr>
          <w:rFonts w:eastAsia="SimSun" w:cs="Arial"/>
          <w:szCs w:val="22"/>
          <w:lang w:val="ru-RU"/>
        </w:rPr>
        <w:t>а</w:t>
      </w:r>
      <w:r w:rsidR="00AE0E9B" w:rsidRPr="00AE0E9B">
        <w:rPr>
          <w:rFonts w:eastAsia="SimSun" w:cs="Arial"/>
          <w:szCs w:val="22"/>
          <w:lang w:val="ru-RU"/>
        </w:rPr>
        <w:t xml:space="preserve"> </w:t>
      </w:r>
      <w:r w:rsidR="00AE0E9B">
        <w:rPr>
          <w:rFonts w:eastAsia="SimSun" w:cs="Arial"/>
          <w:szCs w:val="22"/>
          <w:lang w:val="ru-RU"/>
        </w:rPr>
        <w:t>также</w:t>
      </w:r>
      <w:r w:rsidR="00AE0E9B" w:rsidRPr="00AE0E9B">
        <w:rPr>
          <w:rFonts w:eastAsia="SimSun" w:cs="Arial"/>
          <w:szCs w:val="22"/>
          <w:lang w:val="ru-RU"/>
        </w:rPr>
        <w:t xml:space="preserve"> </w:t>
      </w:r>
      <w:r w:rsidR="00AE0E9B">
        <w:rPr>
          <w:rFonts w:eastAsia="SimSun" w:cs="Arial"/>
          <w:szCs w:val="22"/>
          <w:lang w:val="ru-RU"/>
        </w:rPr>
        <w:t>в</w:t>
      </w:r>
      <w:r w:rsidR="00AE0E9B" w:rsidRPr="00AE0E9B">
        <w:rPr>
          <w:rFonts w:eastAsia="SimSun" w:cs="Arial"/>
          <w:szCs w:val="22"/>
          <w:lang w:val="ru-RU"/>
        </w:rPr>
        <w:t xml:space="preserve"> </w:t>
      </w:r>
      <w:r w:rsidR="00AE0E9B">
        <w:rPr>
          <w:rFonts w:eastAsia="SimSun" w:cs="Arial"/>
          <w:szCs w:val="22"/>
          <w:lang w:val="ru-RU"/>
        </w:rPr>
        <w:t>Решениях</w:t>
      </w:r>
      <w:r w:rsidR="00EA71AC" w:rsidRPr="00AE0E9B">
        <w:rPr>
          <w:rFonts w:eastAsia="SimSun" w:cs="Arial"/>
          <w:szCs w:val="22"/>
          <w:lang w:val="ru-RU"/>
        </w:rPr>
        <w:t xml:space="preserve"> </w:t>
      </w:r>
      <w:hyperlink r:id="rId17" w:history="1">
        <w:r w:rsidR="00EA71AC" w:rsidRPr="00AE0E9B">
          <w:rPr>
            <w:rStyle w:val="Hyperlink"/>
            <w:rFonts w:eastAsia="SimSun" w:cs="Arial"/>
            <w:szCs w:val="22"/>
            <w:lang w:val="ru-RU"/>
          </w:rPr>
          <w:t>10.</w:t>
        </w:r>
        <w:r w:rsidR="00EA71AC" w:rsidRPr="00F57D01">
          <w:rPr>
            <w:rStyle w:val="Hyperlink"/>
            <w:rFonts w:eastAsia="SimSun" w:cs="Arial"/>
            <w:szCs w:val="22"/>
            <w:lang w:val="en-US"/>
          </w:rPr>
          <w:t>COM</w:t>
        </w:r>
        <w:r w:rsidR="00EA71AC" w:rsidRPr="00AE0E9B">
          <w:rPr>
            <w:rStyle w:val="Hyperlink"/>
            <w:rFonts w:eastAsia="SimSun" w:cs="Arial"/>
            <w:szCs w:val="22"/>
            <w:lang w:val="ru-RU"/>
          </w:rPr>
          <w:t xml:space="preserve"> 6.</w:t>
        </w:r>
        <w:r w:rsidR="00EA71AC" w:rsidRPr="00F57D01">
          <w:rPr>
            <w:rStyle w:val="Hyperlink"/>
            <w:rFonts w:eastAsia="SimSun" w:cs="Arial"/>
            <w:szCs w:val="22"/>
            <w:lang w:val="en-US"/>
          </w:rPr>
          <w:t>a</w:t>
        </w:r>
      </w:hyperlink>
      <w:r w:rsidR="00EA71AC" w:rsidRPr="00AE0E9B">
        <w:rPr>
          <w:rFonts w:eastAsia="SimSun" w:cs="Arial"/>
          <w:szCs w:val="22"/>
          <w:lang w:val="ru-RU"/>
        </w:rPr>
        <w:t xml:space="preserve">, </w:t>
      </w:r>
      <w:r w:rsidR="00EA71AC" w:rsidRPr="00EE1592">
        <w:rPr>
          <w:rFonts w:eastAsia="SimSun" w:cs="Arial"/>
          <w:szCs w:val="22"/>
          <w:lang w:val="ru-RU"/>
        </w:rPr>
        <w:t>11.</w:t>
      </w:r>
      <w:r w:rsidR="00177C14" w:rsidRPr="00EE1592">
        <w:rPr>
          <w:rFonts w:eastAsia="SimSun" w:cs="Arial"/>
          <w:szCs w:val="22"/>
          <w:lang w:val="ru-RU"/>
        </w:rPr>
        <w:t>COM 1.</w:t>
      </w:r>
      <w:r w:rsidR="00EA71AC" w:rsidRPr="00EE1592">
        <w:rPr>
          <w:rFonts w:eastAsia="SimSun" w:cs="Arial"/>
          <w:szCs w:val="22"/>
          <w:lang w:val="ru-RU"/>
        </w:rPr>
        <w:t>BUR </w:t>
      </w:r>
      <w:r w:rsidR="00177C14" w:rsidRPr="00EE1592">
        <w:rPr>
          <w:rFonts w:eastAsia="SimSun" w:cs="Arial"/>
          <w:szCs w:val="22"/>
          <w:lang w:val="ru-RU"/>
        </w:rPr>
        <w:t xml:space="preserve">2 </w:t>
      </w:r>
      <w:proofErr w:type="spellStart"/>
      <w:r w:rsidR="00177C14" w:rsidRPr="00EE1592">
        <w:rPr>
          <w:rFonts w:eastAsia="SimSun" w:cs="Arial"/>
          <w:szCs w:val="22"/>
          <w:lang w:val="ru-RU"/>
        </w:rPr>
        <w:t>Rev</w:t>
      </w:r>
      <w:proofErr w:type="spellEnd"/>
      <w:r w:rsidR="00177C14" w:rsidRPr="00EE1592">
        <w:rPr>
          <w:rFonts w:eastAsia="SimSun" w:cs="Arial"/>
          <w:szCs w:val="22"/>
          <w:lang w:val="ru-RU"/>
        </w:rPr>
        <w:t>.</w:t>
      </w:r>
      <w:r w:rsidR="00EA71AC" w:rsidRPr="00AE0E9B">
        <w:rPr>
          <w:rFonts w:eastAsia="SimSun" w:cs="Arial"/>
          <w:szCs w:val="22"/>
          <w:lang w:val="ru-RU"/>
        </w:rPr>
        <w:t xml:space="preserve"> </w:t>
      </w:r>
      <w:r w:rsidR="00AE0E9B">
        <w:rPr>
          <w:rFonts w:eastAsia="SimSun" w:cs="Arial"/>
          <w:szCs w:val="22"/>
          <w:lang w:val="ru-RU"/>
        </w:rPr>
        <w:t>и</w:t>
      </w:r>
      <w:r w:rsidR="00EA71AC" w:rsidRPr="00AE0E9B">
        <w:rPr>
          <w:rFonts w:eastAsia="SimSun" w:cs="Arial"/>
          <w:szCs w:val="22"/>
          <w:lang w:val="ru-RU"/>
        </w:rPr>
        <w:t xml:space="preserve"> </w:t>
      </w:r>
      <w:hyperlink r:id="rId18" w:history="1">
        <w:r w:rsidR="00EA71AC" w:rsidRPr="00AE0E9B">
          <w:rPr>
            <w:rStyle w:val="Hyperlink"/>
            <w:rFonts w:eastAsia="SimSun" w:cs="Arial"/>
            <w:szCs w:val="22"/>
            <w:lang w:val="ru-RU"/>
          </w:rPr>
          <w:t>10.</w:t>
        </w:r>
        <w:r w:rsidR="00EA71AC" w:rsidRPr="00F57D01">
          <w:rPr>
            <w:rStyle w:val="Hyperlink"/>
            <w:rFonts w:eastAsia="SimSun" w:cs="Arial"/>
            <w:szCs w:val="22"/>
            <w:lang w:val="en-US"/>
          </w:rPr>
          <w:t>COM</w:t>
        </w:r>
        <w:r w:rsidR="00EA71AC" w:rsidRPr="00AE0E9B">
          <w:rPr>
            <w:rStyle w:val="Hyperlink"/>
            <w:rFonts w:eastAsia="SimSun" w:cs="Arial"/>
            <w:szCs w:val="22"/>
            <w:lang w:val="ru-RU"/>
          </w:rPr>
          <w:t xml:space="preserve"> 6.</w:t>
        </w:r>
        <w:r w:rsidR="00EA71AC" w:rsidRPr="00F57D01">
          <w:rPr>
            <w:rStyle w:val="Hyperlink"/>
            <w:rFonts w:eastAsia="SimSun" w:cs="Arial"/>
            <w:szCs w:val="22"/>
            <w:lang w:val="en-US"/>
          </w:rPr>
          <w:t>b</w:t>
        </w:r>
      </w:hyperlink>
      <w:r w:rsidR="00EA71AC" w:rsidRPr="00AE0E9B">
        <w:rPr>
          <w:rFonts w:eastAsia="SimSun" w:cs="Arial"/>
          <w:szCs w:val="22"/>
          <w:lang w:val="ru-RU"/>
        </w:rPr>
        <w:t xml:space="preserve"> (</w:t>
      </w:r>
      <w:r w:rsidR="00AE0E9B">
        <w:rPr>
          <w:rFonts w:eastAsia="SimSun" w:cs="Arial"/>
          <w:szCs w:val="22"/>
          <w:lang w:val="ru-RU"/>
        </w:rPr>
        <w:t>в</w:t>
      </w:r>
      <w:r w:rsidR="00AE0E9B" w:rsidRPr="00AE0E9B">
        <w:rPr>
          <w:rFonts w:eastAsia="SimSun" w:cs="Arial"/>
          <w:szCs w:val="22"/>
          <w:lang w:val="ru-RU"/>
        </w:rPr>
        <w:t xml:space="preserve"> </w:t>
      </w:r>
      <w:r w:rsidR="00AE0E9B">
        <w:rPr>
          <w:rFonts w:eastAsia="SimSun" w:cs="Arial"/>
          <w:szCs w:val="22"/>
          <w:lang w:val="ru-RU"/>
        </w:rPr>
        <w:t>отношении</w:t>
      </w:r>
      <w:r w:rsidR="00AE0E9B" w:rsidRPr="00AE0E9B">
        <w:rPr>
          <w:rFonts w:eastAsia="SimSun" w:cs="Arial"/>
          <w:szCs w:val="22"/>
          <w:lang w:val="ru-RU"/>
        </w:rPr>
        <w:t xml:space="preserve"> </w:t>
      </w:r>
      <w:r w:rsidR="00AE0E9B">
        <w:rPr>
          <w:rFonts w:eastAsia="SimSun" w:cs="Arial"/>
          <w:szCs w:val="22"/>
          <w:lang w:val="ru-RU"/>
        </w:rPr>
        <w:t>докладов</w:t>
      </w:r>
      <w:r w:rsidR="00AE0E9B" w:rsidRPr="00AE0E9B">
        <w:rPr>
          <w:rFonts w:eastAsia="SimSun" w:cs="Arial"/>
          <w:szCs w:val="22"/>
          <w:lang w:val="ru-RU"/>
        </w:rPr>
        <w:t xml:space="preserve"> 2015</w:t>
      </w:r>
      <w:r w:rsidR="00AE0E9B" w:rsidRPr="00AE0E9B">
        <w:rPr>
          <w:rFonts w:eastAsia="SimSun" w:cs="Arial"/>
          <w:szCs w:val="22"/>
          <w:lang w:val="en-US"/>
        </w:rPr>
        <w:t> </w:t>
      </w:r>
      <w:r w:rsidR="00AE0E9B">
        <w:rPr>
          <w:rFonts w:eastAsia="SimSun" w:cs="Arial"/>
          <w:szCs w:val="22"/>
          <w:lang w:val="ru-RU"/>
        </w:rPr>
        <w:t>г</w:t>
      </w:r>
      <w:r w:rsidR="00AE0E9B" w:rsidRPr="00AE0E9B">
        <w:rPr>
          <w:rFonts w:eastAsia="SimSun" w:cs="Arial"/>
          <w:szCs w:val="22"/>
          <w:lang w:val="ru-RU"/>
        </w:rPr>
        <w:t>.)</w:t>
      </w:r>
      <w:r w:rsidR="00AE0E9B">
        <w:rPr>
          <w:rFonts w:eastAsia="SimSun" w:cs="Arial"/>
          <w:szCs w:val="22"/>
          <w:lang w:val="ru-RU"/>
        </w:rPr>
        <w:t>,</w:t>
      </w:r>
      <w:r w:rsidR="00AE0E9B" w:rsidRPr="00AE0E9B">
        <w:rPr>
          <w:rFonts w:eastAsia="SimSun" w:cs="Arial"/>
          <w:szCs w:val="22"/>
          <w:lang w:val="ru-RU"/>
        </w:rPr>
        <w:t xml:space="preserve"> </w:t>
      </w:r>
      <w:r w:rsidR="00AE0E9B">
        <w:rPr>
          <w:rFonts w:eastAsia="SimSun" w:cs="Arial"/>
          <w:szCs w:val="22"/>
          <w:lang w:val="ru-RU"/>
        </w:rPr>
        <w:t>включён в соответствующие рабочие документы Комитета (и Президиума</w:t>
      </w:r>
      <w:r w:rsidR="003255DD">
        <w:rPr>
          <w:rFonts w:eastAsia="SimSun" w:cs="Arial"/>
          <w:szCs w:val="22"/>
          <w:lang w:val="ru-RU"/>
        </w:rPr>
        <w:t>,</w:t>
      </w:r>
      <w:r w:rsidR="00AE0E9B">
        <w:rPr>
          <w:rFonts w:eastAsia="SimSun" w:cs="Arial"/>
          <w:szCs w:val="22"/>
          <w:lang w:val="ru-RU"/>
        </w:rPr>
        <w:t xml:space="preserve"> </w:t>
      </w:r>
      <w:r w:rsidR="003255DD">
        <w:rPr>
          <w:rFonts w:eastAsia="SimSun" w:cs="Arial"/>
          <w:szCs w:val="22"/>
          <w:lang w:val="ru-RU"/>
        </w:rPr>
        <w:t xml:space="preserve">только </w:t>
      </w:r>
      <w:r w:rsidR="00AE0E9B">
        <w:rPr>
          <w:rFonts w:eastAsia="SimSun" w:cs="Arial"/>
          <w:szCs w:val="22"/>
          <w:lang w:val="ru-RU"/>
        </w:rPr>
        <w:t>в отношении 24</w:t>
      </w:r>
      <w:proofErr w:type="gramEnd"/>
      <w:r w:rsidR="00AE0E9B">
        <w:rPr>
          <w:rFonts w:eastAsia="SimSun" w:cs="Arial"/>
          <w:szCs w:val="22"/>
          <w:lang w:val="ru-RU"/>
        </w:rPr>
        <w:t xml:space="preserve"> докладов о выполнении Конвенции, рассмотренных в 2015 г.) </w:t>
      </w:r>
      <w:r w:rsidR="002B5810">
        <w:rPr>
          <w:rFonts w:eastAsia="SimSun" w:cs="Arial"/>
          <w:szCs w:val="22"/>
          <w:lang w:val="ru-RU"/>
        </w:rPr>
        <w:t>следующим образом:</w:t>
      </w:r>
    </w:p>
    <w:tbl>
      <w:tblPr>
        <w:tblW w:w="9084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6108"/>
        <w:gridCol w:w="2976"/>
      </w:tblGrid>
      <w:tr w:rsidR="008C5BA7" w:rsidRPr="00685F89" w:rsidTr="00EE1592">
        <w:tc>
          <w:tcPr>
            <w:tcW w:w="6108" w:type="dxa"/>
            <w:vAlign w:val="center"/>
            <w:hideMark/>
          </w:tcPr>
          <w:p w:rsidR="00EA71AC" w:rsidRPr="00BF2F9B" w:rsidRDefault="00BF2F9B" w:rsidP="00BF2F9B">
            <w:pPr>
              <w:spacing w:before="120"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Рассмотрение</w:t>
            </w:r>
            <w:r w:rsidRPr="00BF2F9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докладов</w:t>
            </w:r>
            <w:r w:rsidRPr="00BF2F9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</w:t>
            </w:r>
            <w:r w:rsidRPr="00BF2F9B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участников</w:t>
            </w:r>
            <w:r w:rsidRPr="00BF2F9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BF2F9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выполнении</w:t>
            </w:r>
            <w:r w:rsidRPr="00BF2F9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Конвенции</w:t>
            </w:r>
            <w:r w:rsidRPr="00BF2F9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BF2F9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нынешнем</w:t>
            </w:r>
            <w:r w:rsidRPr="00BF2F9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состоянии</w:t>
            </w:r>
            <w:r w:rsidRPr="00BF2F9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элементов</w:t>
            </w:r>
            <w:r w:rsidRPr="00BF2F9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включённых</w:t>
            </w:r>
            <w:r w:rsidRPr="00BF2F9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BF2F9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Репрезентативный</w:t>
            </w:r>
            <w:r w:rsidRPr="00BF2F9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список</w:t>
            </w:r>
            <w:r w:rsidRPr="00BF2F9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нематериального</w:t>
            </w:r>
            <w:r w:rsidRPr="00BF2F9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культурного</w:t>
            </w:r>
            <w:r w:rsidRPr="00BF2F9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наследия</w:t>
            </w:r>
            <w:r w:rsidRPr="00BF2F9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человечества</w:t>
            </w:r>
            <w:r w:rsidRPr="00BF2F9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EA71AC" w:rsidRPr="00BF2F9B">
              <w:rPr>
                <w:rFonts w:ascii="Arial" w:hAnsi="Arial" w:cs="Arial"/>
                <w:sz w:val="22"/>
                <w:szCs w:val="22"/>
                <w:lang w:val="ru-RU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цикл </w:t>
            </w:r>
            <w:r w:rsidR="00EA71AC" w:rsidRPr="00BF2F9B">
              <w:rPr>
                <w:rFonts w:ascii="Arial" w:hAnsi="Arial" w:cs="Arial"/>
                <w:sz w:val="22"/>
                <w:szCs w:val="22"/>
                <w:lang w:val="ru-RU"/>
              </w:rPr>
              <w:t>2014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года</w:t>
            </w:r>
            <w:r w:rsidR="00EA71AC" w:rsidRPr="00BF2F9B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</w:p>
        </w:tc>
        <w:tc>
          <w:tcPr>
            <w:tcW w:w="2976" w:type="dxa"/>
            <w:vAlign w:val="center"/>
            <w:hideMark/>
          </w:tcPr>
          <w:p w:rsidR="00EA71AC" w:rsidRPr="00DA133B" w:rsidRDefault="00EA71AC" w:rsidP="00C2000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A133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ITH</w:t>
            </w:r>
            <w:r w:rsidRPr="00C2000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/14/9.</w:t>
            </w:r>
            <w:r w:rsidRPr="00DA133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COM</w:t>
            </w:r>
            <w:r w:rsidRPr="00C2000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/5.</w:t>
            </w:r>
            <w:r w:rsidRPr="00DA133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  <w:r w:rsidRPr="00C2000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: </w:t>
            </w:r>
            <w:hyperlink r:id="rId19" w:tgtFrame="_blank" w:history="1">
              <w:proofErr w:type="spellStart"/>
              <w:r w:rsidR="00C20003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ru-RU"/>
                </w:rPr>
                <w:t>Английский</w:t>
              </w:r>
            </w:hyperlink>
            <w:r w:rsidRPr="00C20003">
              <w:rPr>
                <w:rFonts w:ascii="Arial" w:hAnsi="Arial" w:cs="Arial"/>
                <w:bCs/>
                <w:sz w:val="20"/>
                <w:szCs w:val="20"/>
                <w:lang w:val="ru-RU"/>
              </w:rPr>
              <w:t>|</w:t>
            </w:r>
            <w:hyperlink r:id="rId20" w:tgtFrame="_blank" w:history="1">
              <w:r w:rsidR="00C20003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ru-RU"/>
                </w:rPr>
                <w:t>Французский</w:t>
              </w:r>
              <w:proofErr w:type="spellEnd"/>
            </w:hyperlink>
            <w:r w:rsidRPr="00C20003">
              <w:rPr>
                <w:rFonts w:ascii="Arial" w:hAnsi="Arial" w:cs="Arial"/>
                <w:bCs/>
                <w:sz w:val="20"/>
                <w:szCs w:val="20"/>
                <w:lang w:val="ru-RU"/>
              </w:rPr>
              <w:br/>
            </w:r>
            <w:r w:rsidR="00C20003">
              <w:rPr>
                <w:rFonts w:ascii="Arial" w:hAnsi="Arial" w:cs="Arial"/>
                <w:bCs/>
                <w:i/>
                <w:iCs/>
                <w:sz w:val="20"/>
                <w:szCs w:val="20"/>
                <w:lang w:val="ru-RU"/>
              </w:rPr>
              <w:t xml:space="preserve">См. </w:t>
            </w:r>
            <w:hyperlink r:id="rId21" w:history="1">
              <w:r w:rsidRPr="00C20003">
                <w:rPr>
                  <w:rStyle w:val="Hyperlink"/>
                  <w:rFonts w:ascii="Arial" w:hAnsi="Arial" w:cs="Arial"/>
                  <w:bCs/>
                  <w:i/>
                  <w:iCs/>
                  <w:color w:val="auto"/>
                  <w:sz w:val="20"/>
                  <w:szCs w:val="20"/>
                  <w:u w:val="none"/>
                  <w:lang w:val="en-GB"/>
                </w:rPr>
                <w:t xml:space="preserve">27 </w:t>
              </w:r>
              <w:r w:rsidR="00C20003" w:rsidRPr="00C20003">
                <w:rPr>
                  <w:rStyle w:val="Hyperlink"/>
                  <w:rFonts w:ascii="Arial" w:hAnsi="Arial" w:cs="Arial"/>
                  <w:bCs/>
                  <w:i/>
                  <w:iCs/>
                  <w:color w:val="auto"/>
                  <w:sz w:val="20"/>
                  <w:szCs w:val="20"/>
                  <w:u w:val="none"/>
                  <w:lang w:val="ru-RU"/>
                </w:rPr>
                <w:t>представленных</w:t>
              </w:r>
              <w:r w:rsidR="00C20003">
                <w:rPr>
                  <w:rStyle w:val="Hyperlink"/>
                  <w:rFonts w:ascii="Arial" w:hAnsi="Arial" w:cs="Arial"/>
                  <w:bCs/>
                  <w:i/>
                  <w:iCs/>
                  <w:sz w:val="20"/>
                  <w:szCs w:val="20"/>
                  <w:lang w:val="ru-RU"/>
                </w:rPr>
                <w:t xml:space="preserve"> докладов</w:t>
              </w:r>
            </w:hyperlink>
          </w:p>
        </w:tc>
      </w:tr>
      <w:tr w:rsidR="008C5BA7" w:rsidRPr="00685F89" w:rsidTr="00EE1592">
        <w:tc>
          <w:tcPr>
            <w:tcW w:w="6108" w:type="dxa"/>
            <w:vAlign w:val="center"/>
          </w:tcPr>
          <w:p w:rsidR="00EA71AC" w:rsidRPr="00161718" w:rsidRDefault="009F4BB7" w:rsidP="00C20003">
            <w:pPr>
              <w:spacing w:before="120"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Рассмотрение</w:t>
            </w:r>
            <w:r w:rsidRPr="0016171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докладов</w:t>
            </w:r>
            <w:r w:rsidRPr="0016171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</w:t>
            </w:r>
            <w:r w:rsidRPr="00161718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участников</w:t>
            </w:r>
            <w:r w:rsidRPr="0016171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16171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нынешнем</w:t>
            </w:r>
            <w:r w:rsidRPr="0016171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20003">
              <w:rPr>
                <w:rFonts w:ascii="Arial" w:hAnsi="Arial" w:cs="Arial"/>
                <w:sz w:val="22"/>
                <w:szCs w:val="22"/>
                <w:lang w:val="be-BY"/>
              </w:rPr>
              <w:t xml:space="preserve">состоянии элементов, включённых в Список нематериального культурного наследия, нуждающегося в срочной охране </w:t>
            </w:r>
            <w:r w:rsidR="00EA71AC" w:rsidRPr="00161718">
              <w:rPr>
                <w:rFonts w:ascii="Arial" w:hAnsi="Arial" w:cs="Arial"/>
                <w:sz w:val="22"/>
                <w:szCs w:val="22"/>
                <w:lang w:val="ru-RU"/>
              </w:rPr>
              <w:t>(</w:t>
            </w:r>
            <w:r w:rsidR="00C20003">
              <w:rPr>
                <w:rFonts w:ascii="Arial" w:hAnsi="Arial" w:cs="Arial"/>
                <w:sz w:val="22"/>
                <w:szCs w:val="22"/>
                <w:lang w:val="ru-RU"/>
              </w:rPr>
              <w:t>цикл 2014 г.</w:t>
            </w:r>
            <w:r w:rsidR="00EA71AC" w:rsidRPr="00161718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</w:p>
        </w:tc>
        <w:tc>
          <w:tcPr>
            <w:tcW w:w="2976" w:type="dxa"/>
            <w:vAlign w:val="center"/>
          </w:tcPr>
          <w:p w:rsidR="00EA71AC" w:rsidRPr="00DA133B" w:rsidRDefault="00EA71AC" w:rsidP="008C5BA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A133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ITH</w:t>
            </w:r>
            <w:r w:rsidRPr="008C5BA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/14/9.</w:t>
            </w:r>
            <w:r w:rsidRPr="00DA133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COM</w:t>
            </w:r>
            <w:r w:rsidRPr="008C5BA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/5.</w:t>
            </w:r>
            <w:r w:rsidRPr="00DA133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</w:t>
            </w:r>
            <w:r w:rsidRPr="008C5BA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: </w:t>
            </w:r>
            <w:hyperlink r:id="rId22" w:tgtFrame="_blank" w:history="1">
              <w:proofErr w:type="spellStart"/>
              <w:r w:rsidR="008C5BA7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ru-RU"/>
                </w:rPr>
                <w:t>Английский</w:t>
              </w:r>
            </w:hyperlink>
            <w:r w:rsidRPr="008C5BA7">
              <w:rPr>
                <w:rFonts w:ascii="Arial" w:hAnsi="Arial" w:cs="Arial"/>
                <w:bCs/>
                <w:sz w:val="20"/>
                <w:szCs w:val="20"/>
                <w:lang w:val="ru-RU"/>
              </w:rPr>
              <w:t>|</w:t>
            </w:r>
            <w:hyperlink r:id="rId23" w:tgtFrame="_blank" w:history="1">
              <w:r w:rsidR="008C5BA7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ru-RU"/>
                </w:rPr>
                <w:t>Французский</w:t>
              </w:r>
              <w:proofErr w:type="spellEnd"/>
            </w:hyperlink>
            <w:r w:rsidRPr="008C5BA7">
              <w:rPr>
                <w:rFonts w:ascii="Arial" w:hAnsi="Arial" w:cs="Arial"/>
                <w:bCs/>
                <w:sz w:val="20"/>
                <w:szCs w:val="20"/>
                <w:lang w:val="ru-RU"/>
              </w:rPr>
              <w:br/>
            </w:r>
            <w:r w:rsidR="008C5BA7">
              <w:rPr>
                <w:rFonts w:ascii="Arial" w:hAnsi="Arial" w:cs="Arial"/>
                <w:bCs/>
                <w:i/>
                <w:iCs/>
                <w:sz w:val="20"/>
                <w:szCs w:val="20"/>
                <w:lang w:val="ru-RU"/>
              </w:rPr>
              <w:t xml:space="preserve">См. </w:t>
            </w:r>
            <w:hyperlink r:id="rId24" w:history="1">
              <w:r w:rsidRPr="008C5BA7">
                <w:rPr>
                  <w:rStyle w:val="Hyperlink"/>
                  <w:rFonts w:ascii="Arial" w:hAnsi="Arial" w:cs="Arial"/>
                  <w:bCs/>
                  <w:i/>
                  <w:iCs/>
                  <w:color w:val="auto"/>
                  <w:sz w:val="20"/>
                  <w:szCs w:val="20"/>
                  <w:u w:val="none"/>
                  <w:lang w:val="en-GB"/>
                </w:rPr>
                <w:t xml:space="preserve">8 </w:t>
              </w:r>
              <w:r w:rsidR="008C5BA7" w:rsidRPr="008C5BA7">
                <w:rPr>
                  <w:rStyle w:val="Hyperlink"/>
                  <w:rFonts w:ascii="Arial" w:hAnsi="Arial" w:cs="Arial"/>
                  <w:bCs/>
                  <w:i/>
                  <w:iCs/>
                  <w:color w:val="auto"/>
                  <w:sz w:val="20"/>
                  <w:szCs w:val="20"/>
                  <w:u w:val="none"/>
                  <w:lang w:val="ru-RU"/>
                </w:rPr>
                <w:t>представленных</w:t>
              </w:r>
              <w:r w:rsidR="008C5BA7">
                <w:rPr>
                  <w:rStyle w:val="Hyperlink"/>
                  <w:rFonts w:ascii="Arial" w:hAnsi="Arial" w:cs="Arial"/>
                  <w:bCs/>
                  <w:i/>
                  <w:iCs/>
                  <w:sz w:val="20"/>
                  <w:szCs w:val="20"/>
                  <w:lang w:val="ru-RU"/>
                </w:rPr>
                <w:t xml:space="preserve"> докладов</w:t>
              </w:r>
            </w:hyperlink>
          </w:p>
        </w:tc>
      </w:tr>
      <w:tr w:rsidR="008C5BA7" w:rsidRPr="00EE1592" w:rsidTr="00EE1592">
        <w:tc>
          <w:tcPr>
            <w:tcW w:w="6108" w:type="dxa"/>
            <w:vAlign w:val="center"/>
            <w:hideMark/>
          </w:tcPr>
          <w:p w:rsidR="00EA71AC" w:rsidRPr="008C5BA7" w:rsidRDefault="008C5BA7" w:rsidP="008C5BA7">
            <w:pPr>
              <w:spacing w:before="120" w:after="120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Рассмотрение</w:t>
            </w:r>
            <w:r w:rsidRPr="008C5BA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докладов</w:t>
            </w:r>
            <w:r w:rsidRPr="008C5BA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</w:t>
            </w:r>
            <w:r w:rsidRPr="008C5BA7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участников</w:t>
            </w:r>
            <w:r w:rsidRPr="008C5BA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8C5BA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выполнении</w:t>
            </w:r>
            <w:r w:rsidRPr="008C5BA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Конвенции</w:t>
            </w:r>
            <w:r w:rsidRPr="008C5BA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8C5BA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нынешнем</w:t>
            </w:r>
            <w:r w:rsidRPr="008C5BA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статусе</w:t>
            </w:r>
            <w:r w:rsidRPr="008C5BA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элементов</w:t>
            </w:r>
            <w:r w:rsidRPr="008C5BA7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включённых</w:t>
            </w:r>
            <w:r w:rsidRPr="008C5BA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8C5BA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Репрезентативный</w:t>
            </w:r>
            <w:r w:rsidRPr="008C5BA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список</w:t>
            </w:r>
            <w:r w:rsidRPr="008C5BA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нематериального</w:t>
            </w:r>
            <w:r w:rsidRPr="008C5BA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культурного</w:t>
            </w:r>
            <w:r w:rsidRPr="008C5BA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наследия</w:t>
            </w:r>
            <w:r w:rsidRPr="008C5BA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человечества</w:t>
            </w:r>
            <w:r w:rsidRPr="008C5BA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EA71AC" w:rsidRPr="008C5BA7">
              <w:rPr>
                <w:rFonts w:ascii="Arial" w:hAnsi="Arial" w:cs="Arial"/>
                <w:sz w:val="22"/>
                <w:szCs w:val="22"/>
                <w:lang w:val="ru-RU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цикл </w:t>
            </w:r>
            <w:r w:rsidR="00EA71AC" w:rsidRPr="008C5BA7">
              <w:rPr>
                <w:rFonts w:ascii="Arial" w:hAnsi="Arial" w:cs="Arial"/>
                <w:sz w:val="22"/>
                <w:szCs w:val="22"/>
                <w:lang w:val="ru-RU"/>
              </w:rPr>
              <w:t>2015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 г.</w:t>
            </w:r>
            <w:r w:rsidR="00EA71AC" w:rsidRPr="008C5BA7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</w:p>
        </w:tc>
        <w:tc>
          <w:tcPr>
            <w:tcW w:w="2976" w:type="dxa"/>
            <w:vAlign w:val="center"/>
            <w:hideMark/>
          </w:tcPr>
          <w:p w:rsidR="00EA71AC" w:rsidRPr="00EE1592" w:rsidRDefault="00177C14" w:rsidP="008C5BA7">
            <w:pPr>
              <w:spacing w:before="120" w:after="1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77C1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ITH</w:t>
            </w:r>
            <w:r w:rsidRPr="00EE159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/16/11.</w:t>
            </w:r>
            <w:r w:rsidRPr="00177C1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COM</w:t>
            </w:r>
            <w:r w:rsidRPr="00EE159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1.</w:t>
            </w:r>
            <w:r w:rsidRPr="00177C1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BUR</w:t>
            </w:r>
            <w:r w:rsidRPr="00EE159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/2 </w:t>
            </w:r>
            <w:r w:rsidRPr="00177C1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Rev</w:t>
            </w:r>
            <w:r w:rsidRPr="00EE159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.</w:t>
            </w:r>
            <w:r w:rsidR="00EA71AC" w:rsidRPr="008C5BA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: </w:t>
            </w:r>
            <w:hyperlink r:id="rId25" w:history="1">
              <w:proofErr w:type="spellStart"/>
              <w:r w:rsidR="008C5BA7" w:rsidRPr="00EE1592">
                <w:rPr>
                  <w:rStyle w:val="Hyperlink"/>
                  <w:lang w:val="ru-RU"/>
                </w:rPr>
                <w:t>Англ</w:t>
              </w:r>
              <w:r w:rsidR="008C5BA7" w:rsidRPr="00EE1592">
                <w:rPr>
                  <w:rStyle w:val="Hyperlink"/>
                  <w:lang w:val="ru-RU"/>
                </w:rPr>
                <w:t>и</w:t>
              </w:r>
              <w:r w:rsidR="008C5BA7" w:rsidRPr="00EE1592">
                <w:rPr>
                  <w:rStyle w:val="Hyperlink"/>
                  <w:lang w:val="ru-RU"/>
                </w:rPr>
                <w:t>йский</w:t>
              </w:r>
            </w:hyperlink>
            <w:r w:rsidR="00EA71AC" w:rsidRPr="00EE1592">
              <w:rPr>
                <w:rFonts w:ascii="Arial" w:hAnsi="Arial" w:cs="Arial"/>
                <w:sz w:val="20"/>
                <w:lang w:val="ru-RU"/>
              </w:rPr>
              <w:t>|</w:t>
            </w:r>
            <w:hyperlink r:id="rId26" w:history="1">
              <w:r w:rsidR="008C5BA7" w:rsidRPr="00EE1592">
                <w:rPr>
                  <w:rStyle w:val="Hyperlink"/>
                  <w:lang w:val="ru-RU"/>
                </w:rPr>
                <w:t>Французский</w:t>
              </w:r>
              <w:proofErr w:type="spellEnd"/>
            </w:hyperlink>
            <w:r w:rsidR="00EA71AC" w:rsidRPr="008C5BA7">
              <w:rPr>
                <w:rFonts w:ascii="Arial" w:hAnsi="Arial" w:cs="Arial"/>
                <w:bCs/>
                <w:sz w:val="20"/>
                <w:szCs w:val="20"/>
                <w:lang w:val="ru-RU"/>
              </w:rPr>
              <w:br/>
            </w:r>
            <w:r w:rsidR="008C5BA7">
              <w:rPr>
                <w:rFonts w:ascii="Arial" w:hAnsi="Arial" w:cs="Arial"/>
                <w:bCs/>
                <w:i/>
                <w:iCs/>
                <w:sz w:val="20"/>
                <w:szCs w:val="20"/>
                <w:lang w:val="ru-RU"/>
              </w:rPr>
              <w:t xml:space="preserve">См. </w:t>
            </w:r>
            <w:hyperlink r:id="rId27" w:history="1">
              <w:r w:rsidR="00EA71AC" w:rsidRPr="00EE1592">
                <w:rPr>
                  <w:rStyle w:val="Hyperlink"/>
                  <w:rFonts w:ascii="Arial" w:hAnsi="Arial" w:cs="Arial"/>
                  <w:bCs/>
                  <w:i/>
                  <w:iCs/>
                  <w:color w:val="auto"/>
                  <w:sz w:val="20"/>
                  <w:szCs w:val="20"/>
                  <w:u w:val="none"/>
                  <w:lang w:val="ru-RU"/>
                </w:rPr>
                <w:t xml:space="preserve">24 </w:t>
              </w:r>
              <w:r w:rsidR="008C5BA7" w:rsidRPr="008C5BA7">
                <w:rPr>
                  <w:rStyle w:val="Hyperlink"/>
                  <w:rFonts w:ascii="Arial" w:hAnsi="Arial" w:cs="Arial"/>
                  <w:bCs/>
                  <w:i/>
                  <w:iCs/>
                  <w:color w:val="auto"/>
                  <w:sz w:val="20"/>
                  <w:szCs w:val="20"/>
                  <w:u w:val="none"/>
                  <w:lang w:val="ru-RU"/>
                </w:rPr>
                <w:t>представленных</w:t>
              </w:r>
              <w:r w:rsidR="008C5BA7">
                <w:rPr>
                  <w:rStyle w:val="Hyperlink"/>
                  <w:rFonts w:ascii="Arial" w:hAnsi="Arial" w:cs="Arial"/>
                  <w:bCs/>
                  <w:i/>
                  <w:iCs/>
                  <w:sz w:val="20"/>
                  <w:szCs w:val="20"/>
                  <w:lang w:val="ru-RU"/>
                </w:rPr>
                <w:t xml:space="preserve"> доклада</w:t>
              </w:r>
            </w:hyperlink>
          </w:p>
        </w:tc>
      </w:tr>
      <w:tr w:rsidR="008C5BA7" w:rsidRPr="00476334" w:rsidTr="00EE1592">
        <w:tc>
          <w:tcPr>
            <w:tcW w:w="6108" w:type="dxa"/>
            <w:vAlign w:val="center"/>
          </w:tcPr>
          <w:p w:rsidR="00EA71AC" w:rsidRPr="00161718" w:rsidRDefault="008C5BA7" w:rsidP="008C5BA7">
            <w:pPr>
              <w:spacing w:before="120"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Рассмотрение</w:t>
            </w:r>
            <w:r w:rsidRPr="0016171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докладов</w:t>
            </w:r>
            <w:r w:rsidRPr="0016171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</w:t>
            </w:r>
            <w:r w:rsidRPr="00161718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участников</w:t>
            </w:r>
            <w:r w:rsidRPr="0016171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16171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нынешнем</w:t>
            </w:r>
            <w:r w:rsidRPr="0016171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состоянии</w:t>
            </w:r>
            <w:r w:rsidRPr="0016171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элементов</w:t>
            </w:r>
            <w:r w:rsidRPr="00161718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включённых</w:t>
            </w:r>
            <w:r w:rsidRPr="0016171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16171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Список</w:t>
            </w:r>
            <w:r w:rsidRPr="0016171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нематериального</w:t>
            </w:r>
            <w:r w:rsidRPr="0016171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культурного</w:t>
            </w:r>
            <w:r w:rsidRPr="0016171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наследия</w:t>
            </w:r>
            <w:r w:rsidRPr="00161718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нуждающегося</w:t>
            </w:r>
            <w:r w:rsidRPr="0016171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16171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срочной</w:t>
            </w:r>
            <w:r w:rsidRPr="0016171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охране</w:t>
            </w:r>
            <w:r w:rsidRPr="0016171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EA71AC" w:rsidRPr="00161718">
              <w:rPr>
                <w:rFonts w:ascii="Arial" w:hAnsi="Arial" w:cs="Arial"/>
                <w:sz w:val="22"/>
                <w:szCs w:val="22"/>
                <w:lang w:val="ru-RU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цикл </w:t>
            </w:r>
            <w:r w:rsidRPr="00161718">
              <w:rPr>
                <w:rFonts w:ascii="Arial" w:hAnsi="Arial" w:cs="Arial"/>
                <w:sz w:val="22"/>
                <w:szCs w:val="22"/>
                <w:lang w:val="ru-RU"/>
              </w:rPr>
              <w:t>2015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 г.</w:t>
            </w:r>
            <w:r w:rsidR="00EA71AC" w:rsidRPr="00161718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</w:p>
        </w:tc>
        <w:tc>
          <w:tcPr>
            <w:tcW w:w="2976" w:type="dxa"/>
            <w:vAlign w:val="center"/>
          </w:tcPr>
          <w:p w:rsidR="00EA71AC" w:rsidRPr="00EE1592" w:rsidRDefault="00EA71AC" w:rsidP="008C5BA7">
            <w:pPr>
              <w:spacing w:before="120" w:after="120"/>
              <w:rPr>
                <w:rStyle w:val="Strong"/>
                <w:rFonts w:ascii="Arial" w:hAnsi="Arial" w:cs="Arial"/>
                <w:sz w:val="20"/>
                <w:szCs w:val="20"/>
                <w:lang w:val="ru-RU"/>
              </w:rPr>
            </w:pPr>
            <w:r w:rsidRPr="00F57D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ITH</w:t>
            </w:r>
            <w:r w:rsidRPr="008C5BA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/15/10.</w:t>
            </w:r>
            <w:r w:rsidRPr="00F57D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COM</w:t>
            </w:r>
            <w:r w:rsidRPr="008C5BA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/6.</w:t>
            </w:r>
            <w:r w:rsidRPr="00F57D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</w:t>
            </w:r>
            <w:r w:rsidRPr="008C5BA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: </w:t>
            </w:r>
            <w:hyperlink r:id="rId28" w:tgtFrame="_blank" w:history="1">
              <w:proofErr w:type="spellStart"/>
              <w:r w:rsidR="008C5BA7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ru-RU"/>
                </w:rPr>
                <w:t>Английский</w:t>
              </w:r>
            </w:hyperlink>
            <w:r w:rsidRPr="008C5BA7">
              <w:rPr>
                <w:rFonts w:ascii="Arial" w:hAnsi="Arial" w:cs="Arial"/>
                <w:bCs/>
                <w:sz w:val="20"/>
                <w:szCs w:val="20"/>
                <w:lang w:val="ru-RU"/>
              </w:rPr>
              <w:t>|</w:t>
            </w:r>
            <w:hyperlink r:id="rId29" w:history="1">
              <w:r w:rsidR="008C5BA7" w:rsidRPr="00476334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ru-RU"/>
                </w:rPr>
                <w:t>Французский</w:t>
              </w:r>
              <w:proofErr w:type="spellEnd"/>
            </w:hyperlink>
            <w:r w:rsidRPr="008C5BA7">
              <w:rPr>
                <w:rFonts w:ascii="Arial" w:hAnsi="Arial" w:cs="Arial"/>
                <w:bCs/>
                <w:sz w:val="20"/>
                <w:szCs w:val="20"/>
                <w:lang w:val="ru-RU"/>
              </w:rPr>
              <w:br/>
            </w:r>
            <w:r w:rsidR="008C5BA7">
              <w:rPr>
                <w:rFonts w:ascii="Arial" w:hAnsi="Arial" w:cs="Arial"/>
                <w:bCs/>
                <w:i/>
                <w:iCs/>
                <w:sz w:val="20"/>
                <w:szCs w:val="20"/>
                <w:lang w:val="ru-RU"/>
              </w:rPr>
              <w:t xml:space="preserve">См. </w:t>
            </w:r>
            <w:hyperlink r:id="rId30" w:history="1">
              <w:r w:rsidRPr="00EE1592">
                <w:rPr>
                  <w:rStyle w:val="Hyperlink"/>
                  <w:rFonts w:ascii="Arial" w:hAnsi="Arial" w:cs="Arial"/>
                  <w:bCs/>
                  <w:i/>
                  <w:iCs/>
                  <w:color w:val="auto"/>
                  <w:sz w:val="20"/>
                  <w:szCs w:val="20"/>
                  <w:u w:val="none"/>
                  <w:lang w:val="ru-RU"/>
                </w:rPr>
                <w:t xml:space="preserve">3 </w:t>
              </w:r>
              <w:r w:rsidR="008C5BA7" w:rsidRPr="00EE1592">
                <w:rPr>
                  <w:rStyle w:val="Hyperlink"/>
                  <w:rFonts w:ascii="Arial" w:hAnsi="Arial" w:cs="Arial"/>
                  <w:bCs/>
                  <w:i/>
                  <w:iCs/>
                  <w:color w:val="auto"/>
                  <w:sz w:val="20"/>
                  <w:szCs w:val="20"/>
                  <w:u w:val="none"/>
                  <w:lang w:val="ru-RU"/>
                </w:rPr>
                <w:t>представленных</w:t>
              </w:r>
            </w:hyperlink>
            <w:r w:rsidR="008C5BA7">
              <w:rPr>
                <w:rStyle w:val="Hyperlink"/>
                <w:rFonts w:ascii="Arial" w:hAnsi="Arial" w:cs="Arial"/>
                <w:bCs/>
                <w:i/>
                <w:iCs/>
                <w:sz w:val="20"/>
                <w:szCs w:val="20"/>
                <w:lang w:val="ru-RU"/>
              </w:rPr>
              <w:t xml:space="preserve"> доклада</w:t>
            </w:r>
          </w:p>
        </w:tc>
      </w:tr>
    </w:tbl>
    <w:p w:rsidR="00EA71AC" w:rsidRPr="00D334DF" w:rsidRDefault="00702054" w:rsidP="00EA71AC">
      <w:pPr>
        <w:pStyle w:val="Marge"/>
        <w:numPr>
          <w:ilvl w:val="0"/>
          <w:numId w:val="13"/>
        </w:numPr>
        <w:tabs>
          <w:tab w:val="clear" w:pos="720"/>
        </w:tabs>
        <w:spacing w:before="240" w:after="120"/>
        <w:ind w:left="567" w:hanging="567"/>
        <w:rPr>
          <w:rFonts w:eastAsia="Arial"/>
          <w:lang w:val="ru-RU"/>
        </w:rPr>
      </w:pPr>
      <w:proofErr w:type="gramStart"/>
      <w:r>
        <w:rPr>
          <w:rFonts w:eastAsia="Arial"/>
          <w:lang w:val="ru-RU"/>
        </w:rPr>
        <w:t>В</w:t>
      </w:r>
      <w:r w:rsidRPr="00D334D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отчётный</w:t>
      </w:r>
      <w:r w:rsidRPr="00D334D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период</w:t>
      </w:r>
      <w:r w:rsidRPr="00D334DF">
        <w:rPr>
          <w:rFonts w:eastAsia="Arial"/>
          <w:lang w:val="ru-RU"/>
        </w:rPr>
        <w:t xml:space="preserve"> </w:t>
      </w:r>
      <w:r w:rsidR="00316E2F">
        <w:rPr>
          <w:rFonts w:eastAsia="Arial"/>
          <w:lang w:val="ru-RU"/>
        </w:rPr>
        <w:t>Комитет</w:t>
      </w:r>
      <w:r w:rsidR="00316E2F" w:rsidRPr="00D334DF">
        <w:rPr>
          <w:rFonts w:eastAsia="Arial"/>
          <w:lang w:val="ru-RU"/>
        </w:rPr>
        <w:t xml:space="preserve"> </w:t>
      </w:r>
      <w:r w:rsidR="00316E2F">
        <w:rPr>
          <w:rFonts w:eastAsia="Arial"/>
          <w:lang w:val="ru-RU"/>
        </w:rPr>
        <w:t>приветствовал</w:t>
      </w:r>
      <w:r w:rsidR="00316E2F" w:rsidRPr="00D334DF">
        <w:rPr>
          <w:rFonts w:eastAsia="Arial"/>
          <w:lang w:val="ru-RU"/>
        </w:rPr>
        <w:t xml:space="preserve"> </w:t>
      </w:r>
      <w:r w:rsidR="00316E2F">
        <w:rPr>
          <w:rFonts w:eastAsia="Arial"/>
          <w:lang w:val="ru-RU"/>
        </w:rPr>
        <w:t>и</w:t>
      </w:r>
      <w:r w:rsidR="00316E2F" w:rsidRPr="00D334DF">
        <w:rPr>
          <w:rFonts w:eastAsia="Arial"/>
          <w:lang w:val="ru-RU"/>
        </w:rPr>
        <w:t xml:space="preserve"> </w:t>
      </w:r>
      <w:r w:rsidR="00316E2F">
        <w:rPr>
          <w:rFonts w:eastAsia="Arial"/>
          <w:lang w:val="ru-RU"/>
        </w:rPr>
        <w:t>одобрил</w:t>
      </w:r>
      <w:r w:rsidR="00316E2F" w:rsidRPr="00D334DF">
        <w:rPr>
          <w:rFonts w:eastAsia="Arial"/>
          <w:lang w:val="ru-RU"/>
        </w:rPr>
        <w:t xml:space="preserve"> </w:t>
      </w:r>
      <w:r w:rsidR="00316E2F">
        <w:rPr>
          <w:rFonts w:eastAsia="Arial"/>
          <w:lang w:val="ru-RU"/>
        </w:rPr>
        <w:t>два</w:t>
      </w:r>
      <w:r w:rsidR="00316E2F" w:rsidRPr="00D334DF">
        <w:rPr>
          <w:rFonts w:eastAsia="Arial"/>
          <w:lang w:val="ru-RU"/>
        </w:rPr>
        <w:t xml:space="preserve"> </w:t>
      </w:r>
      <w:r w:rsidR="00316E2F">
        <w:rPr>
          <w:rFonts w:eastAsia="Arial"/>
          <w:lang w:val="ru-RU"/>
        </w:rPr>
        <w:t>важнейших</w:t>
      </w:r>
      <w:r w:rsidR="00316E2F" w:rsidRPr="00D334DF">
        <w:rPr>
          <w:rFonts w:eastAsia="Arial"/>
          <w:lang w:val="ru-RU"/>
        </w:rPr>
        <w:t xml:space="preserve"> </w:t>
      </w:r>
      <w:r w:rsidR="00316E2F">
        <w:rPr>
          <w:rFonts w:eastAsia="Arial"/>
          <w:lang w:val="ru-RU"/>
        </w:rPr>
        <w:t>изменения</w:t>
      </w:r>
      <w:r w:rsidR="00316E2F" w:rsidRPr="00D334DF">
        <w:rPr>
          <w:rFonts w:eastAsia="Arial"/>
          <w:lang w:val="ru-RU"/>
        </w:rPr>
        <w:t xml:space="preserve"> </w:t>
      </w:r>
      <w:r w:rsidR="00316E2F">
        <w:rPr>
          <w:rFonts w:eastAsia="Arial"/>
          <w:lang w:val="ru-RU"/>
        </w:rPr>
        <w:t>в</w:t>
      </w:r>
      <w:r w:rsidR="00316E2F" w:rsidRPr="00D334DF">
        <w:rPr>
          <w:rFonts w:eastAsia="Arial"/>
          <w:lang w:val="ru-RU"/>
        </w:rPr>
        <w:t xml:space="preserve"> </w:t>
      </w:r>
      <w:r w:rsidR="00316E2F">
        <w:rPr>
          <w:rFonts w:eastAsia="Arial"/>
          <w:lang w:val="ru-RU"/>
        </w:rPr>
        <w:t>о</w:t>
      </w:r>
      <w:r w:rsidR="001D2B74">
        <w:rPr>
          <w:rFonts w:eastAsia="Arial"/>
          <w:lang w:val="ru-RU"/>
        </w:rPr>
        <w:t>тношении</w:t>
      </w:r>
      <w:r w:rsidR="001D2B74" w:rsidRPr="00D334DF">
        <w:rPr>
          <w:rFonts w:eastAsia="Arial"/>
          <w:lang w:val="ru-RU"/>
        </w:rPr>
        <w:t xml:space="preserve"> </w:t>
      </w:r>
      <w:r w:rsidR="001D2B74">
        <w:rPr>
          <w:rFonts w:eastAsia="Arial"/>
          <w:lang w:val="ru-RU"/>
        </w:rPr>
        <w:t>рассмотрения</w:t>
      </w:r>
      <w:r w:rsidR="001D2B74" w:rsidRPr="00D334DF">
        <w:rPr>
          <w:rFonts w:eastAsia="Arial"/>
          <w:lang w:val="ru-RU"/>
        </w:rPr>
        <w:t xml:space="preserve"> </w:t>
      </w:r>
      <w:r w:rsidR="001D2B74">
        <w:rPr>
          <w:rFonts w:eastAsia="Arial"/>
          <w:lang w:val="ru-RU"/>
        </w:rPr>
        <w:t>периодических</w:t>
      </w:r>
      <w:r w:rsidR="001D2B74" w:rsidRPr="00D334DF">
        <w:rPr>
          <w:rFonts w:eastAsia="Arial"/>
          <w:lang w:val="ru-RU"/>
        </w:rPr>
        <w:t xml:space="preserve"> </w:t>
      </w:r>
      <w:r w:rsidR="001D2B74">
        <w:rPr>
          <w:rFonts w:eastAsia="Arial"/>
          <w:lang w:val="ru-RU"/>
        </w:rPr>
        <w:t>докладов</w:t>
      </w:r>
      <w:r w:rsidR="001D2B74" w:rsidRPr="00D334DF">
        <w:rPr>
          <w:rFonts w:eastAsia="Arial"/>
          <w:lang w:val="ru-RU"/>
        </w:rPr>
        <w:t xml:space="preserve"> </w:t>
      </w:r>
      <w:r w:rsidR="001D2B74">
        <w:rPr>
          <w:rFonts w:eastAsia="Arial"/>
          <w:lang w:val="ru-RU"/>
        </w:rPr>
        <w:t>о</w:t>
      </w:r>
      <w:r w:rsidR="001D2B74" w:rsidRPr="00D334DF">
        <w:rPr>
          <w:rFonts w:eastAsia="Arial"/>
          <w:lang w:val="ru-RU"/>
        </w:rPr>
        <w:t xml:space="preserve"> </w:t>
      </w:r>
      <w:r w:rsidR="001D2B74">
        <w:rPr>
          <w:rFonts w:eastAsia="Arial"/>
          <w:lang w:val="ru-RU"/>
        </w:rPr>
        <w:t>выполнении</w:t>
      </w:r>
      <w:r w:rsidR="001D2B74" w:rsidRPr="00D334DF">
        <w:rPr>
          <w:rFonts w:eastAsia="Arial"/>
          <w:lang w:val="ru-RU"/>
        </w:rPr>
        <w:t xml:space="preserve"> </w:t>
      </w:r>
      <w:r w:rsidR="001D2B74">
        <w:rPr>
          <w:rFonts w:eastAsia="Arial"/>
          <w:lang w:val="ru-RU"/>
        </w:rPr>
        <w:t>Конвенции</w:t>
      </w:r>
      <w:r w:rsidR="001D2B74" w:rsidRPr="00D334DF">
        <w:rPr>
          <w:rFonts w:eastAsia="Arial"/>
          <w:lang w:val="ru-RU"/>
        </w:rPr>
        <w:t xml:space="preserve">: </w:t>
      </w:r>
      <w:r w:rsidR="001D2B74">
        <w:rPr>
          <w:rFonts w:eastAsia="Arial"/>
          <w:lang w:val="ru-RU"/>
        </w:rPr>
        <w:t>включение</w:t>
      </w:r>
      <w:r w:rsidR="001D2B74" w:rsidRPr="00D334DF">
        <w:rPr>
          <w:rFonts w:eastAsia="Arial"/>
          <w:lang w:val="ru-RU"/>
        </w:rPr>
        <w:t xml:space="preserve"> </w:t>
      </w:r>
      <w:r w:rsidR="001D2B74">
        <w:rPr>
          <w:rFonts w:eastAsia="Arial"/>
          <w:lang w:val="ru-RU"/>
        </w:rPr>
        <w:t>в</w:t>
      </w:r>
      <w:r w:rsidR="001D2B74" w:rsidRPr="00D334DF">
        <w:rPr>
          <w:rFonts w:eastAsia="Arial"/>
          <w:lang w:val="ru-RU"/>
        </w:rPr>
        <w:t xml:space="preserve"> </w:t>
      </w:r>
      <w:r w:rsidR="001D2B74">
        <w:rPr>
          <w:rFonts w:eastAsia="Arial"/>
          <w:lang w:val="ru-RU"/>
        </w:rPr>
        <w:t>обзор</w:t>
      </w:r>
      <w:r w:rsidR="00440531">
        <w:rPr>
          <w:rFonts w:eastAsia="Arial"/>
          <w:lang w:val="ru-RU"/>
        </w:rPr>
        <w:t xml:space="preserve"> определённой темы, которая находится в центре внимания и изучается более глубоко </w:t>
      </w:r>
      <w:r w:rsidR="00476334">
        <w:rPr>
          <w:rFonts w:eastAsia="Arial"/>
          <w:lang w:val="ru-RU"/>
        </w:rPr>
        <w:t xml:space="preserve">каждый год </w:t>
      </w:r>
      <w:r w:rsidR="00364173" w:rsidRPr="00D334DF">
        <w:rPr>
          <w:rFonts w:eastAsia="Arial"/>
          <w:lang w:val="ru-RU"/>
        </w:rPr>
        <w:t>(</w:t>
      </w:r>
      <w:r w:rsidR="00476334">
        <w:rPr>
          <w:rFonts w:eastAsia="Arial"/>
          <w:lang w:val="ru-RU"/>
        </w:rPr>
        <w:t xml:space="preserve">составление перечней </w:t>
      </w:r>
      <w:r w:rsidR="00364173">
        <w:rPr>
          <w:rFonts w:eastAsia="Arial"/>
          <w:lang w:val="ru-RU"/>
        </w:rPr>
        <w:t>в</w:t>
      </w:r>
      <w:r w:rsidR="00364173" w:rsidRPr="00D334DF">
        <w:rPr>
          <w:rFonts w:eastAsia="Arial"/>
          <w:lang w:val="ru-RU"/>
        </w:rPr>
        <w:t xml:space="preserve"> 2014</w:t>
      </w:r>
      <w:r w:rsidR="00364173" w:rsidRPr="00364173">
        <w:rPr>
          <w:rFonts w:eastAsia="Arial"/>
        </w:rPr>
        <w:t> </w:t>
      </w:r>
      <w:r w:rsidR="00364173">
        <w:rPr>
          <w:rFonts w:eastAsia="Arial"/>
          <w:lang w:val="ru-RU"/>
        </w:rPr>
        <w:t>г</w:t>
      </w:r>
      <w:r w:rsidR="00364173" w:rsidRPr="00D334DF">
        <w:rPr>
          <w:rFonts w:eastAsia="Arial"/>
          <w:lang w:val="ru-RU"/>
        </w:rPr>
        <w:t>.</w:t>
      </w:r>
      <w:r w:rsidR="00364173">
        <w:rPr>
          <w:rFonts w:eastAsia="Arial"/>
          <w:lang w:val="be-BY"/>
        </w:rPr>
        <w:t>;</w:t>
      </w:r>
      <w:r w:rsidR="00364173" w:rsidRPr="00D334DF">
        <w:rPr>
          <w:rFonts w:eastAsia="Arial"/>
          <w:lang w:val="ru-RU"/>
        </w:rPr>
        <w:t xml:space="preserve"> </w:t>
      </w:r>
      <w:r w:rsidR="00364173">
        <w:rPr>
          <w:rFonts w:eastAsia="Arial"/>
          <w:lang w:val="ru-RU"/>
        </w:rPr>
        <w:t>передача</w:t>
      </w:r>
      <w:r w:rsidR="00364173" w:rsidRPr="00D334DF">
        <w:rPr>
          <w:rFonts w:eastAsia="Arial"/>
          <w:lang w:val="ru-RU"/>
        </w:rPr>
        <w:t xml:space="preserve"> </w:t>
      </w:r>
      <w:r w:rsidR="00476334">
        <w:rPr>
          <w:rFonts w:eastAsia="Arial"/>
          <w:lang w:val="ru-RU"/>
        </w:rPr>
        <w:t xml:space="preserve">нематериального культурного наследия и </w:t>
      </w:r>
      <w:r w:rsidR="00364173">
        <w:rPr>
          <w:rFonts w:eastAsia="Arial"/>
          <w:lang w:val="ru-RU"/>
        </w:rPr>
        <w:t>образование</w:t>
      </w:r>
      <w:r w:rsidR="00364173" w:rsidRPr="00D334DF">
        <w:rPr>
          <w:rFonts w:eastAsia="Arial"/>
          <w:lang w:val="ru-RU"/>
        </w:rPr>
        <w:t xml:space="preserve"> </w:t>
      </w:r>
      <w:r w:rsidR="00364173">
        <w:rPr>
          <w:rFonts w:eastAsia="Arial"/>
          <w:lang w:val="ru-RU"/>
        </w:rPr>
        <w:t>в</w:t>
      </w:r>
      <w:r w:rsidR="00364173" w:rsidRPr="00D334DF">
        <w:rPr>
          <w:rFonts w:eastAsia="Arial"/>
          <w:lang w:val="ru-RU"/>
        </w:rPr>
        <w:t xml:space="preserve"> 2015</w:t>
      </w:r>
      <w:r w:rsidR="00364173">
        <w:rPr>
          <w:rFonts w:eastAsia="Arial"/>
          <w:lang w:val="be-BY"/>
        </w:rPr>
        <w:t> г.), а также</w:t>
      </w:r>
      <w:r w:rsidR="007B19CC">
        <w:rPr>
          <w:rFonts w:eastAsia="Arial"/>
          <w:lang w:val="be-BY"/>
        </w:rPr>
        <w:t xml:space="preserve"> подготовка резюме каждого представленного доклада, впервые введ</w:t>
      </w:r>
      <w:r w:rsidR="00440531">
        <w:rPr>
          <w:rFonts w:eastAsia="Arial"/>
          <w:lang w:val="be-BY"/>
        </w:rPr>
        <w:t>ённая</w:t>
      </w:r>
      <w:r w:rsidR="007B19CC">
        <w:rPr>
          <w:rFonts w:eastAsia="Arial"/>
          <w:lang w:val="be-BY"/>
        </w:rPr>
        <w:t xml:space="preserve"> в 2015 г.</w:t>
      </w:r>
      <w:proofErr w:type="gramEnd"/>
    </w:p>
    <w:p w:rsidR="00EA71AC" w:rsidRPr="00AE0E9B" w:rsidRDefault="00A6562C" w:rsidP="00EA71AC">
      <w:pPr>
        <w:pStyle w:val="Marge"/>
        <w:numPr>
          <w:ilvl w:val="0"/>
          <w:numId w:val="13"/>
        </w:numPr>
        <w:tabs>
          <w:tab w:val="clear" w:pos="720"/>
        </w:tabs>
        <w:spacing w:after="120"/>
        <w:ind w:left="567" w:hanging="567"/>
        <w:rPr>
          <w:rFonts w:eastAsia="Arial"/>
          <w:lang w:val="ru-RU"/>
        </w:rPr>
      </w:pPr>
      <w:r>
        <w:rPr>
          <w:rFonts w:eastAsia="Arial" w:cs="Arial"/>
          <w:szCs w:val="22"/>
          <w:lang w:val="ru-RU"/>
        </w:rPr>
        <w:t>Комитет</w:t>
      </w:r>
      <w:r w:rsidRPr="00161718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по</w:t>
      </w:r>
      <w:r w:rsidRPr="00161718">
        <w:rPr>
          <w:rFonts w:eastAsia="Arial" w:cs="Arial"/>
          <w:szCs w:val="22"/>
          <w:lang w:val="ru-RU"/>
        </w:rPr>
        <w:t>-</w:t>
      </w:r>
      <w:r>
        <w:rPr>
          <w:rFonts w:eastAsia="Arial" w:cs="Arial"/>
          <w:szCs w:val="22"/>
          <w:lang w:val="ru-RU"/>
        </w:rPr>
        <w:t>прежнему</w:t>
      </w:r>
      <w:r w:rsidRPr="00161718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сталкивается</w:t>
      </w:r>
      <w:r w:rsidRPr="00161718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с</w:t>
      </w:r>
      <w:r w:rsidRPr="00161718">
        <w:rPr>
          <w:rFonts w:eastAsia="Arial" w:cs="Arial"/>
          <w:szCs w:val="22"/>
          <w:lang w:val="ru-RU"/>
        </w:rPr>
        <w:t xml:space="preserve"> </w:t>
      </w:r>
      <w:r w:rsidR="00406A1B">
        <w:rPr>
          <w:rFonts w:eastAsia="Arial" w:cs="Arial"/>
          <w:szCs w:val="22"/>
          <w:lang w:val="ru-RU"/>
        </w:rPr>
        <w:t xml:space="preserve">тем, что </w:t>
      </w:r>
      <w:r>
        <w:rPr>
          <w:rFonts w:eastAsia="Arial" w:cs="Arial"/>
          <w:szCs w:val="22"/>
          <w:lang w:val="ru-RU"/>
        </w:rPr>
        <w:t>больш</w:t>
      </w:r>
      <w:r w:rsidR="00406A1B">
        <w:rPr>
          <w:rFonts w:eastAsia="Arial" w:cs="Arial"/>
          <w:szCs w:val="22"/>
          <w:lang w:val="ru-RU"/>
        </w:rPr>
        <w:t>ое</w:t>
      </w:r>
      <w:r w:rsidRPr="00161718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количество</w:t>
      </w:r>
      <w:r w:rsidRPr="00161718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государств</w:t>
      </w:r>
      <w:r w:rsidRPr="00161718">
        <w:rPr>
          <w:rFonts w:eastAsia="Arial" w:cs="Arial"/>
          <w:szCs w:val="22"/>
          <w:lang w:val="ru-RU"/>
        </w:rPr>
        <w:t>-</w:t>
      </w:r>
      <w:r>
        <w:rPr>
          <w:rFonts w:eastAsia="Arial" w:cs="Arial"/>
          <w:szCs w:val="22"/>
          <w:lang w:val="ru-RU"/>
        </w:rPr>
        <w:t>участников</w:t>
      </w:r>
      <w:r w:rsidRPr="00161718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задержива</w:t>
      </w:r>
      <w:r w:rsidR="00406A1B">
        <w:rPr>
          <w:rFonts w:eastAsia="Arial" w:cs="Arial"/>
          <w:szCs w:val="22"/>
          <w:lang w:val="ru-RU"/>
        </w:rPr>
        <w:t>е</w:t>
      </w:r>
      <w:r>
        <w:rPr>
          <w:rFonts w:eastAsia="Arial" w:cs="Arial"/>
          <w:szCs w:val="22"/>
          <w:lang w:val="ru-RU"/>
        </w:rPr>
        <w:t>т</w:t>
      </w:r>
      <w:r w:rsidRPr="00161718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представление</w:t>
      </w:r>
      <w:r w:rsidRPr="00161718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докладов</w:t>
      </w:r>
      <w:r w:rsidRPr="00161718">
        <w:rPr>
          <w:rFonts w:eastAsia="Arial" w:cs="Arial"/>
          <w:szCs w:val="22"/>
          <w:lang w:val="ru-RU"/>
        </w:rPr>
        <w:t xml:space="preserve">. </w:t>
      </w:r>
      <w:r>
        <w:rPr>
          <w:rFonts w:eastAsia="Arial" w:cs="Arial"/>
          <w:szCs w:val="22"/>
          <w:lang w:val="ru-RU"/>
        </w:rPr>
        <w:t>Например</w:t>
      </w:r>
      <w:r w:rsidRPr="00A6562C">
        <w:rPr>
          <w:rFonts w:eastAsia="Arial" w:cs="Arial"/>
          <w:szCs w:val="22"/>
          <w:lang w:val="ru-RU"/>
        </w:rPr>
        <w:t xml:space="preserve">, </w:t>
      </w:r>
      <w:r>
        <w:rPr>
          <w:rFonts w:eastAsia="Arial" w:cs="Arial"/>
          <w:szCs w:val="22"/>
          <w:lang w:val="ru-RU"/>
        </w:rPr>
        <w:t>что</w:t>
      </w:r>
      <w:r w:rsidRPr="00A6562C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касается</w:t>
      </w:r>
      <w:r w:rsidRPr="00A6562C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докладов</w:t>
      </w:r>
      <w:r w:rsidRPr="00A6562C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о</w:t>
      </w:r>
      <w:r w:rsidRPr="00A6562C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выполнении</w:t>
      </w:r>
      <w:r w:rsidRPr="00A6562C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Конвенции</w:t>
      </w:r>
      <w:r w:rsidRPr="00A6562C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в</w:t>
      </w:r>
      <w:r w:rsidRPr="00A6562C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цикле</w:t>
      </w:r>
      <w:r w:rsidRPr="00A6562C">
        <w:rPr>
          <w:rFonts w:eastAsia="Arial" w:cs="Arial"/>
          <w:szCs w:val="22"/>
          <w:lang w:val="ru-RU"/>
        </w:rPr>
        <w:t xml:space="preserve"> 2015</w:t>
      </w:r>
      <w:r w:rsidRPr="00A6562C">
        <w:rPr>
          <w:rFonts w:eastAsia="Arial" w:cs="Arial"/>
          <w:szCs w:val="22"/>
          <w:lang w:val="en-US"/>
        </w:rPr>
        <w:t> </w:t>
      </w:r>
      <w:r>
        <w:rPr>
          <w:rFonts w:eastAsia="Arial" w:cs="Arial"/>
          <w:szCs w:val="22"/>
          <w:lang w:val="ru-RU"/>
        </w:rPr>
        <w:t>г</w:t>
      </w:r>
      <w:r w:rsidRPr="00A6562C">
        <w:rPr>
          <w:rFonts w:eastAsia="Arial" w:cs="Arial"/>
          <w:szCs w:val="22"/>
          <w:lang w:val="ru-RU"/>
        </w:rPr>
        <w:t xml:space="preserve">., 24 </w:t>
      </w:r>
      <w:r w:rsidR="00406A1B">
        <w:rPr>
          <w:rFonts w:eastAsia="Arial" w:cs="Arial"/>
          <w:szCs w:val="22"/>
          <w:lang w:val="ru-RU"/>
        </w:rPr>
        <w:t xml:space="preserve">доклада </w:t>
      </w:r>
      <w:r>
        <w:rPr>
          <w:rFonts w:eastAsia="Arial" w:cs="Arial"/>
          <w:szCs w:val="22"/>
          <w:lang w:val="ru-RU"/>
        </w:rPr>
        <w:t>из</w:t>
      </w:r>
      <w:r w:rsidRPr="00A6562C">
        <w:rPr>
          <w:rFonts w:eastAsia="Arial" w:cs="Arial"/>
          <w:szCs w:val="22"/>
          <w:lang w:val="ru-RU"/>
        </w:rPr>
        <w:t xml:space="preserve"> 48 </w:t>
      </w:r>
      <w:r>
        <w:rPr>
          <w:rFonts w:eastAsia="Arial" w:cs="Arial"/>
          <w:szCs w:val="22"/>
          <w:lang w:val="ru-RU"/>
        </w:rPr>
        <w:t>ожидаемых</w:t>
      </w:r>
      <w:r w:rsidRPr="00A6562C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не было представлено.</w:t>
      </w:r>
      <w:r w:rsidRPr="00A6562C">
        <w:rPr>
          <w:rFonts w:eastAsia="Arial" w:cs="Arial"/>
          <w:szCs w:val="22"/>
          <w:lang w:val="ru-RU"/>
        </w:rPr>
        <w:t xml:space="preserve"> </w:t>
      </w:r>
      <w:r w:rsidR="00F63214">
        <w:rPr>
          <w:rFonts w:eastAsia="Arial" w:cs="Arial"/>
          <w:szCs w:val="22"/>
          <w:lang w:val="ru-RU"/>
        </w:rPr>
        <w:t>Для</w:t>
      </w:r>
      <w:r w:rsidR="00F63214" w:rsidRPr="00E407C6">
        <w:rPr>
          <w:rFonts w:eastAsia="Arial" w:cs="Arial"/>
          <w:szCs w:val="22"/>
          <w:lang w:val="ru-RU"/>
        </w:rPr>
        <w:t xml:space="preserve"> </w:t>
      </w:r>
      <w:r w:rsidR="00F63214">
        <w:rPr>
          <w:rFonts w:eastAsia="Arial" w:cs="Arial"/>
          <w:szCs w:val="22"/>
          <w:lang w:val="ru-RU"/>
        </w:rPr>
        <w:t>преодоления</w:t>
      </w:r>
      <w:r w:rsidR="00F63214" w:rsidRPr="00E407C6">
        <w:rPr>
          <w:rFonts w:eastAsia="Arial" w:cs="Arial"/>
          <w:szCs w:val="22"/>
          <w:lang w:val="ru-RU"/>
        </w:rPr>
        <w:t xml:space="preserve"> </w:t>
      </w:r>
      <w:r w:rsidR="00F63214">
        <w:rPr>
          <w:rFonts w:eastAsia="Arial" w:cs="Arial"/>
          <w:szCs w:val="22"/>
          <w:lang w:val="ru-RU"/>
        </w:rPr>
        <w:t>этой</w:t>
      </w:r>
      <w:r w:rsidR="00F63214" w:rsidRPr="00E407C6">
        <w:rPr>
          <w:rFonts w:eastAsia="Arial" w:cs="Arial"/>
          <w:szCs w:val="22"/>
          <w:lang w:val="ru-RU"/>
        </w:rPr>
        <w:t xml:space="preserve"> </w:t>
      </w:r>
      <w:r w:rsidR="00F63214">
        <w:rPr>
          <w:rFonts w:eastAsia="Arial" w:cs="Arial"/>
          <w:szCs w:val="22"/>
          <w:lang w:val="ru-RU"/>
        </w:rPr>
        <w:t>ситуации</w:t>
      </w:r>
      <w:r w:rsidR="00F63214" w:rsidRPr="00E407C6">
        <w:rPr>
          <w:rFonts w:eastAsia="Arial" w:cs="Arial"/>
          <w:szCs w:val="22"/>
          <w:lang w:val="ru-RU"/>
        </w:rPr>
        <w:t xml:space="preserve"> </w:t>
      </w:r>
      <w:r w:rsidR="00F63214">
        <w:rPr>
          <w:rFonts w:eastAsia="Arial" w:cs="Arial"/>
          <w:szCs w:val="22"/>
          <w:lang w:val="ru-RU"/>
        </w:rPr>
        <w:t>Комитет</w:t>
      </w:r>
      <w:r w:rsidR="00F63214" w:rsidRPr="00E407C6">
        <w:rPr>
          <w:rFonts w:eastAsia="Arial" w:cs="Arial"/>
          <w:szCs w:val="22"/>
          <w:lang w:val="ru-RU"/>
        </w:rPr>
        <w:t xml:space="preserve"> </w:t>
      </w:r>
      <w:r w:rsidR="00E407C6">
        <w:rPr>
          <w:rFonts w:eastAsia="Arial" w:cs="Arial"/>
          <w:szCs w:val="22"/>
          <w:lang w:val="ru-RU"/>
        </w:rPr>
        <w:t>на</w:t>
      </w:r>
      <w:r w:rsidR="00E407C6" w:rsidRPr="00E407C6">
        <w:rPr>
          <w:rFonts w:eastAsia="Arial" w:cs="Arial"/>
          <w:szCs w:val="22"/>
          <w:lang w:val="ru-RU"/>
        </w:rPr>
        <w:t xml:space="preserve"> </w:t>
      </w:r>
      <w:r w:rsidR="00E407C6">
        <w:rPr>
          <w:rFonts w:eastAsia="Arial" w:cs="Arial"/>
          <w:szCs w:val="22"/>
          <w:lang w:val="ru-RU"/>
        </w:rPr>
        <w:t>своей</w:t>
      </w:r>
      <w:r w:rsidR="00E407C6" w:rsidRPr="00E407C6">
        <w:rPr>
          <w:rFonts w:eastAsia="Arial" w:cs="Arial"/>
          <w:szCs w:val="22"/>
          <w:lang w:val="ru-RU"/>
        </w:rPr>
        <w:t xml:space="preserve"> </w:t>
      </w:r>
      <w:r w:rsidR="00E407C6">
        <w:rPr>
          <w:rFonts w:eastAsia="Arial" w:cs="Arial"/>
          <w:szCs w:val="22"/>
          <w:lang w:val="ru-RU"/>
        </w:rPr>
        <w:t>десятой</w:t>
      </w:r>
      <w:r w:rsidR="00E407C6" w:rsidRPr="00E407C6">
        <w:rPr>
          <w:rFonts w:eastAsia="Arial" w:cs="Arial"/>
          <w:szCs w:val="22"/>
          <w:lang w:val="ru-RU"/>
        </w:rPr>
        <w:t xml:space="preserve"> </w:t>
      </w:r>
      <w:r w:rsidR="00E407C6">
        <w:rPr>
          <w:rFonts w:eastAsia="Arial" w:cs="Arial"/>
          <w:szCs w:val="22"/>
          <w:lang w:val="ru-RU"/>
        </w:rPr>
        <w:t>сессии</w:t>
      </w:r>
      <w:r w:rsidR="00E407C6" w:rsidRPr="00E407C6">
        <w:rPr>
          <w:rFonts w:eastAsia="Arial" w:cs="Arial"/>
          <w:szCs w:val="22"/>
          <w:lang w:val="ru-RU"/>
        </w:rPr>
        <w:t xml:space="preserve"> </w:t>
      </w:r>
      <w:r w:rsidR="00E407C6">
        <w:rPr>
          <w:rFonts w:eastAsia="Arial" w:cs="Arial"/>
          <w:szCs w:val="22"/>
          <w:lang w:val="ru-RU"/>
        </w:rPr>
        <w:t>в</w:t>
      </w:r>
      <w:r w:rsidR="00F63214">
        <w:rPr>
          <w:rFonts w:eastAsia="Arial" w:cs="Arial"/>
          <w:szCs w:val="22"/>
          <w:lang w:val="ru-RU"/>
        </w:rPr>
        <w:t>первы</w:t>
      </w:r>
      <w:r w:rsidR="00406A1B">
        <w:rPr>
          <w:rFonts w:eastAsia="Arial" w:cs="Arial"/>
          <w:szCs w:val="22"/>
          <w:lang w:val="ru-RU"/>
        </w:rPr>
        <w:t>е</w:t>
      </w:r>
      <w:r w:rsidR="00E407C6" w:rsidRPr="00E407C6">
        <w:rPr>
          <w:rFonts w:eastAsia="Arial" w:cs="Arial"/>
          <w:szCs w:val="22"/>
          <w:lang w:val="ru-RU"/>
        </w:rPr>
        <w:t xml:space="preserve"> </w:t>
      </w:r>
      <w:r w:rsidR="00E407C6">
        <w:rPr>
          <w:rFonts w:eastAsia="Arial" w:cs="Arial"/>
          <w:szCs w:val="22"/>
          <w:lang w:val="ru-RU"/>
        </w:rPr>
        <w:t>включил</w:t>
      </w:r>
      <w:r w:rsidR="00E407C6" w:rsidRPr="00E407C6">
        <w:rPr>
          <w:rFonts w:eastAsia="Arial" w:cs="Arial"/>
          <w:szCs w:val="22"/>
          <w:lang w:val="ru-RU"/>
        </w:rPr>
        <w:t xml:space="preserve"> </w:t>
      </w:r>
      <w:r w:rsidR="00E407C6">
        <w:rPr>
          <w:rFonts w:eastAsia="Arial" w:cs="Arial"/>
          <w:szCs w:val="22"/>
          <w:lang w:val="ru-RU"/>
        </w:rPr>
        <w:t>в</w:t>
      </w:r>
      <w:r w:rsidR="00E407C6" w:rsidRPr="00E407C6">
        <w:rPr>
          <w:rFonts w:eastAsia="Arial" w:cs="Arial"/>
          <w:szCs w:val="22"/>
          <w:lang w:val="ru-RU"/>
        </w:rPr>
        <w:t xml:space="preserve"> </w:t>
      </w:r>
      <w:r w:rsidR="00E407C6">
        <w:rPr>
          <w:rFonts w:eastAsia="Arial" w:cs="Arial"/>
          <w:szCs w:val="22"/>
          <w:lang w:val="ru-RU"/>
        </w:rPr>
        <w:t>свои</w:t>
      </w:r>
      <w:r w:rsidR="00E407C6" w:rsidRPr="00E407C6">
        <w:rPr>
          <w:rFonts w:eastAsia="Arial" w:cs="Arial"/>
          <w:szCs w:val="22"/>
          <w:lang w:val="ru-RU"/>
        </w:rPr>
        <w:t xml:space="preserve"> </w:t>
      </w:r>
      <w:r w:rsidR="00E407C6">
        <w:rPr>
          <w:rFonts w:eastAsia="Arial" w:cs="Arial"/>
          <w:szCs w:val="22"/>
          <w:lang w:val="ru-RU"/>
        </w:rPr>
        <w:t>решения</w:t>
      </w:r>
      <w:r w:rsidR="00E407C6" w:rsidRPr="00E407C6">
        <w:rPr>
          <w:rFonts w:eastAsia="Arial" w:cs="Arial"/>
          <w:szCs w:val="22"/>
          <w:lang w:val="ru-RU"/>
        </w:rPr>
        <w:t xml:space="preserve"> </w:t>
      </w:r>
      <w:r w:rsidR="00E407C6">
        <w:rPr>
          <w:rFonts w:eastAsia="Arial" w:cs="Arial"/>
          <w:szCs w:val="22"/>
          <w:lang w:val="ru-RU"/>
        </w:rPr>
        <w:t>о</w:t>
      </w:r>
      <w:r w:rsidR="00E407C6" w:rsidRPr="00E407C6">
        <w:rPr>
          <w:rFonts w:eastAsia="Arial" w:cs="Arial"/>
          <w:szCs w:val="22"/>
          <w:lang w:val="ru-RU"/>
        </w:rPr>
        <w:t xml:space="preserve"> </w:t>
      </w:r>
      <w:r w:rsidR="00E407C6">
        <w:rPr>
          <w:rFonts w:eastAsia="Arial" w:cs="Arial"/>
          <w:szCs w:val="22"/>
          <w:lang w:val="ru-RU"/>
        </w:rPr>
        <w:t>периодических</w:t>
      </w:r>
      <w:r w:rsidR="00E407C6" w:rsidRPr="00E407C6">
        <w:rPr>
          <w:rFonts w:eastAsia="Arial" w:cs="Arial"/>
          <w:szCs w:val="22"/>
          <w:lang w:val="ru-RU"/>
        </w:rPr>
        <w:t xml:space="preserve"> </w:t>
      </w:r>
      <w:r w:rsidR="00E407C6">
        <w:rPr>
          <w:rFonts w:eastAsia="Arial" w:cs="Arial"/>
          <w:szCs w:val="22"/>
          <w:lang w:val="ru-RU"/>
        </w:rPr>
        <w:t>докладах</w:t>
      </w:r>
      <w:r w:rsidR="00E407C6" w:rsidRPr="00E407C6">
        <w:rPr>
          <w:rFonts w:eastAsia="Arial" w:cs="Arial"/>
          <w:szCs w:val="22"/>
          <w:lang w:val="ru-RU"/>
        </w:rPr>
        <w:t xml:space="preserve"> 2015</w:t>
      </w:r>
      <w:r w:rsidR="00E407C6" w:rsidRPr="00E407C6">
        <w:rPr>
          <w:rFonts w:eastAsia="Arial" w:cs="Arial"/>
          <w:szCs w:val="22"/>
          <w:lang w:val="en-US"/>
        </w:rPr>
        <w:t> </w:t>
      </w:r>
      <w:r w:rsidR="00E407C6">
        <w:rPr>
          <w:rFonts w:eastAsia="Arial" w:cs="Arial"/>
          <w:szCs w:val="22"/>
          <w:lang w:val="ru-RU"/>
        </w:rPr>
        <w:t>г</w:t>
      </w:r>
      <w:r w:rsidR="00E407C6" w:rsidRPr="00E407C6">
        <w:rPr>
          <w:rFonts w:eastAsia="Arial" w:cs="Arial"/>
          <w:szCs w:val="22"/>
          <w:lang w:val="ru-RU"/>
        </w:rPr>
        <w:t xml:space="preserve">. </w:t>
      </w:r>
      <w:r w:rsidR="00E407C6">
        <w:rPr>
          <w:rFonts w:eastAsia="Arial" w:cs="Arial"/>
          <w:szCs w:val="22"/>
          <w:lang w:val="ru-RU"/>
        </w:rPr>
        <w:t>обращение</w:t>
      </w:r>
      <w:r w:rsidR="00E407C6" w:rsidRPr="00E407C6">
        <w:rPr>
          <w:rFonts w:eastAsia="Arial" w:cs="Arial"/>
          <w:szCs w:val="22"/>
          <w:lang w:val="ru-RU"/>
        </w:rPr>
        <w:t xml:space="preserve"> </w:t>
      </w:r>
      <w:r w:rsidR="00E407C6">
        <w:rPr>
          <w:rFonts w:eastAsia="Arial" w:cs="Arial"/>
          <w:szCs w:val="22"/>
          <w:lang w:val="ru-RU"/>
        </w:rPr>
        <w:t>к</w:t>
      </w:r>
      <w:r w:rsidR="00E407C6" w:rsidRPr="00E407C6">
        <w:rPr>
          <w:rFonts w:eastAsia="Arial" w:cs="Arial"/>
          <w:szCs w:val="22"/>
          <w:lang w:val="ru-RU"/>
        </w:rPr>
        <w:t xml:space="preserve"> </w:t>
      </w:r>
      <w:r w:rsidR="00E407C6">
        <w:rPr>
          <w:rFonts w:eastAsia="Arial" w:cs="Arial"/>
          <w:szCs w:val="22"/>
          <w:lang w:val="ru-RU"/>
        </w:rPr>
        <w:t>государствам</w:t>
      </w:r>
      <w:r w:rsidR="00E407C6" w:rsidRPr="00E407C6">
        <w:rPr>
          <w:rFonts w:eastAsia="Arial" w:cs="Arial"/>
          <w:szCs w:val="22"/>
          <w:lang w:val="ru-RU"/>
        </w:rPr>
        <w:t>-</w:t>
      </w:r>
      <w:r w:rsidR="00E407C6">
        <w:rPr>
          <w:rFonts w:eastAsia="Arial" w:cs="Arial"/>
          <w:szCs w:val="22"/>
          <w:lang w:val="ru-RU"/>
        </w:rPr>
        <w:t>участникам</w:t>
      </w:r>
      <w:r w:rsidR="00E407C6" w:rsidRPr="00E407C6">
        <w:rPr>
          <w:rFonts w:eastAsia="Arial" w:cs="Arial"/>
          <w:szCs w:val="22"/>
          <w:lang w:val="ru-RU"/>
        </w:rPr>
        <w:t xml:space="preserve"> </w:t>
      </w:r>
      <w:r w:rsidR="00E407C6">
        <w:rPr>
          <w:rFonts w:eastAsia="Arial" w:cs="Arial"/>
          <w:szCs w:val="22"/>
          <w:lang w:val="ru-RU"/>
        </w:rPr>
        <w:t>с</w:t>
      </w:r>
      <w:r w:rsidR="00E407C6" w:rsidRPr="00E407C6">
        <w:rPr>
          <w:rFonts w:eastAsia="Arial" w:cs="Arial"/>
          <w:szCs w:val="22"/>
          <w:lang w:val="ru-RU"/>
        </w:rPr>
        <w:t xml:space="preserve"> </w:t>
      </w:r>
      <w:r w:rsidR="00E407C6">
        <w:rPr>
          <w:rFonts w:eastAsia="Arial" w:cs="Arial"/>
          <w:szCs w:val="22"/>
          <w:lang w:val="ru-RU"/>
        </w:rPr>
        <w:t>призывом</w:t>
      </w:r>
      <w:r w:rsidR="00E407C6" w:rsidRPr="00E407C6">
        <w:rPr>
          <w:rFonts w:eastAsia="Arial" w:cs="Arial"/>
          <w:szCs w:val="22"/>
          <w:lang w:val="ru-RU"/>
        </w:rPr>
        <w:t xml:space="preserve"> </w:t>
      </w:r>
      <w:r w:rsidR="00E407C6">
        <w:rPr>
          <w:rFonts w:eastAsia="Arial" w:cs="Arial"/>
          <w:szCs w:val="22"/>
          <w:lang w:val="ru-RU"/>
        </w:rPr>
        <w:t>выполнять</w:t>
      </w:r>
      <w:r w:rsidR="00E407C6" w:rsidRPr="00E407C6">
        <w:rPr>
          <w:rFonts w:eastAsia="Arial" w:cs="Arial"/>
          <w:szCs w:val="22"/>
          <w:lang w:val="ru-RU"/>
        </w:rPr>
        <w:t xml:space="preserve"> </w:t>
      </w:r>
      <w:r w:rsidR="00E407C6">
        <w:rPr>
          <w:rFonts w:eastAsia="Arial" w:cs="Arial"/>
          <w:szCs w:val="22"/>
          <w:lang w:val="ru-RU"/>
        </w:rPr>
        <w:t>свои</w:t>
      </w:r>
      <w:r w:rsidR="00E407C6" w:rsidRPr="00E407C6">
        <w:rPr>
          <w:rFonts w:eastAsia="Arial" w:cs="Arial"/>
          <w:szCs w:val="22"/>
          <w:lang w:val="ru-RU"/>
        </w:rPr>
        <w:t xml:space="preserve"> </w:t>
      </w:r>
      <w:r w:rsidR="00E407C6">
        <w:rPr>
          <w:rFonts w:eastAsia="Arial" w:cs="Arial"/>
          <w:szCs w:val="22"/>
          <w:lang w:val="ru-RU"/>
        </w:rPr>
        <w:t>обязательства</w:t>
      </w:r>
      <w:r w:rsidR="00E407C6" w:rsidRPr="00E407C6">
        <w:rPr>
          <w:rFonts w:eastAsia="Arial" w:cs="Arial"/>
          <w:szCs w:val="22"/>
          <w:lang w:val="ru-RU"/>
        </w:rPr>
        <w:t xml:space="preserve"> </w:t>
      </w:r>
      <w:r w:rsidR="00E407C6">
        <w:rPr>
          <w:rFonts w:eastAsia="Arial" w:cs="Arial"/>
          <w:szCs w:val="22"/>
          <w:lang w:val="ru-RU"/>
        </w:rPr>
        <w:t>по</w:t>
      </w:r>
      <w:r w:rsidR="00E407C6" w:rsidRPr="00E407C6">
        <w:rPr>
          <w:rFonts w:eastAsia="Arial" w:cs="Arial"/>
          <w:szCs w:val="22"/>
          <w:lang w:val="ru-RU"/>
        </w:rPr>
        <w:t xml:space="preserve"> </w:t>
      </w:r>
      <w:r w:rsidR="00E407C6">
        <w:rPr>
          <w:rFonts w:eastAsia="Arial" w:cs="Arial"/>
          <w:szCs w:val="22"/>
          <w:lang w:val="ru-RU"/>
        </w:rPr>
        <w:t>представлению</w:t>
      </w:r>
      <w:r w:rsidR="00E407C6" w:rsidRPr="00E407C6">
        <w:rPr>
          <w:rFonts w:eastAsia="Arial" w:cs="Arial"/>
          <w:szCs w:val="22"/>
          <w:lang w:val="ru-RU"/>
        </w:rPr>
        <w:t xml:space="preserve"> </w:t>
      </w:r>
      <w:r w:rsidR="00E407C6">
        <w:rPr>
          <w:rFonts w:eastAsia="Arial" w:cs="Arial"/>
          <w:szCs w:val="22"/>
          <w:lang w:val="ru-RU"/>
        </w:rPr>
        <w:t>докладов</w:t>
      </w:r>
      <w:r w:rsidR="00E407C6" w:rsidRPr="00E407C6">
        <w:rPr>
          <w:rFonts w:eastAsia="Arial" w:cs="Arial"/>
          <w:szCs w:val="22"/>
          <w:lang w:val="ru-RU"/>
        </w:rPr>
        <w:t xml:space="preserve"> </w:t>
      </w:r>
      <w:r w:rsidR="00E407C6">
        <w:rPr>
          <w:rFonts w:eastAsia="Arial" w:cs="Arial"/>
          <w:szCs w:val="22"/>
          <w:lang w:val="ru-RU"/>
        </w:rPr>
        <w:t>перед</w:t>
      </w:r>
      <w:r w:rsidR="00E407C6" w:rsidRPr="00E407C6">
        <w:rPr>
          <w:rFonts w:eastAsia="Arial" w:cs="Arial"/>
          <w:szCs w:val="22"/>
          <w:lang w:val="ru-RU"/>
        </w:rPr>
        <w:t xml:space="preserve"> </w:t>
      </w:r>
      <w:r w:rsidR="00E407C6">
        <w:rPr>
          <w:rFonts w:eastAsia="Arial" w:cs="Arial"/>
          <w:szCs w:val="22"/>
          <w:lang w:val="ru-RU"/>
        </w:rPr>
        <w:t xml:space="preserve">подачей новых номинаций. </w:t>
      </w:r>
    </w:p>
    <w:p w:rsidR="00EA71AC" w:rsidRPr="00685DDA" w:rsidRDefault="005355DA" w:rsidP="00EA71AC">
      <w:pPr>
        <w:keepNext/>
        <w:numPr>
          <w:ilvl w:val="0"/>
          <w:numId w:val="14"/>
        </w:numPr>
        <w:tabs>
          <w:tab w:val="clear" w:pos="720"/>
        </w:tabs>
        <w:spacing w:before="360" w:after="240"/>
        <w:ind w:left="567" w:hanging="567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Включение</w:t>
      </w:r>
      <w:r w:rsidRPr="00685DDA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в</w:t>
      </w:r>
      <w:r w:rsidRPr="00685DDA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списки</w:t>
      </w:r>
      <w:r w:rsidRPr="00685DDA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Конвенции</w:t>
      </w:r>
      <w:r w:rsidRPr="00685DDA">
        <w:rPr>
          <w:rFonts w:ascii="Arial" w:hAnsi="Arial" w:cs="Arial"/>
          <w:b/>
          <w:sz w:val="22"/>
          <w:szCs w:val="22"/>
          <w:lang w:val="ru-RU"/>
        </w:rPr>
        <w:t xml:space="preserve">, </w:t>
      </w:r>
      <w:r>
        <w:rPr>
          <w:rFonts w:ascii="Arial" w:hAnsi="Arial" w:cs="Arial"/>
          <w:b/>
          <w:sz w:val="22"/>
          <w:szCs w:val="22"/>
          <w:lang w:val="ru-RU"/>
        </w:rPr>
        <w:t>отбор</w:t>
      </w:r>
      <w:r w:rsidRPr="00685DDA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передовых</w:t>
      </w:r>
      <w:r w:rsidRPr="00685DDA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практик</w:t>
      </w:r>
      <w:r w:rsidRPr="00685DDA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по</w:t>
      </w:r>
      <w:r w:rsidRPr="00685DDA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охране</w:t>
      </w:r>
      <w:r w:rsidRPr="00685DDA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и</w:t>
      </w:r>
      <w:r w:rsidRPr="00685DDA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предоставление</w:t>
      </w:r>
      <w:r w:rsidRPr="00685DDA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международной</w:t>
      </w:r>
      <w:r w:rsidRPr="00685DDA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помощи</w:t>
      </w:r>
      <w:r w:rsidR="00EA71AC" w:rsidRPr="00685DDA">
        <w:rPr>
          <w:rFonts w:ascii="Arial" w:hAnsi="Arial" w:cs="Arial"/>
          <w:sz w:val="22"/>
          <w:szCs w:val="22"/>
          <w:lang w:val="ru-RU"/>
        </w:rPr>
        <w:t xml:space="preserve"> (</w:t>
      </w:r>
      <w:r>
        <w:rPr>
          <w:rFonts w:ascii="Arial" w:hAnsi="Arial" w:cs="Arial"/>
          <w:sz w:val="22"/>
          <w:szCs w:val="22"/>
          <w:lang w:val="ru-RU"/>
        </w:rPr>
        <w:t>статья</w:t>
      </w:r>
      <w:r w:rsidR="00EA71AC" w:rsidRPr="00685DDA">
        <w:rPr>
          <w:rFonts w:ascii="Arial" w:hAnsi="Arial" w:cs="Arial"/>
          <w:sz w:val="22"/>
          <w:szCs w:val="22"/>
          <w:lang w:val="ru-RU"/>
        </w:rPr>
        <w:t xml:space="preserve"> 7[</w:t>
      </w:r>
      <w:r w:rsidR="00EA71AC" w:rsidRPr="00AE18A1">
        <w:rPr>
          <w:rFonts w:ascii="Arial" w:hAnsi="Arial" w:cs="Arial"/>
          <w:sz w:val="22"/>
          <w:szCs w:val="22"/>
          <w:lang w:val="en-GB"/>
        </w:rPr>
        <w:t>g</w:t>
      </w:r>
      <w:r w:rsidR="00EA71AC" w:rsidRPr="00685DDA">
        <w:rPr>
          <w:rFonts w:ascii="Arial" w:hAnsi="Arial" w:cs="Arial"/>
          <w:sz w:val="22"/>
          <w:szCs w:val="22"/>
          <w:lang w:val="ru-RU"/>
        </w:rPr>
        <w:t>])</w:t>
      </w:r>
    </w:p>
    <w:p w:rsidR="00EA71AC" w:rsidRPr="00476334" w:rsidRDefault="006A3338" w:rsidP="00EA71AC">
      <w:pPr>
        <w:pStyle w:val="Marge"/>
        <w:numPr>
          <w:ilvl w:val="0"/>
          <w:numId w:val="13"/>
        </w:numPr>
        <w:tabs>
          <w:tab w:val="clear" w:pos="720"/>
        </w:tabs>
        <w:spacing w:after="120"/>
        <w:ind w:left="567" w:hanging="567"/>
        <w:rPr>
          <w:i/>
          <w:lang w:val="ru-RU"/>
        </w:rPr>
      </w:pPr>
      <w:r w:rsidRPr="00476334">
        <w:rPr>
          <w:rFonts w:eastAsia="Arial" w:cs="Arial"/>
          <w:szCs w:val="22"/>
          <w:lang w:val="ru-RU"/>
        </w:rPr>
        <w:t>За отчётный период Комитет включил в списки Конвенции в общей сложности 65</w:t>
      </w:r>
      <w:r w:rsidR="00300E78" w:rsidRPr="00EE1592">
        <w:rPr>
          <w:rFonts w:eastAsia="Arial" w:cs="Arial"/>
          <w:szCs w:val="22"/>
          <w:lang w:val="ru-RU"/>
        </w:rPr>
        <w:t> </w:t>
      </w:r>
      <w:r w:rsidRPr="00EE1592">
        <w:rPr>
          <w:rFonts w:eastAsia="Arial" w:cs="Arial"/>
          <w:szCs w:val="22"/>
          <w:lang w:val="ru-RU"/>
        </w:rPr>
        <w:t>элементов: 8</w:t>
      </w:r>
      <w:r w:rsidR="00300E78" w:rsidRPr="00EE1592">
        <w:rPr>
          <w:rFonts w:eastAsia="Arial" w:cs="Arial"/>
          <w:szCs w:val="22"/>
          <w:lang w:val="ru-RU"/>
        </w:rPr>
        <w:t> </w:t>
      </w:r>
      <w:r w:rsidRPr="00EE1592">
        <w:rPr>
          <w:rFonts w:eastAsia="Arial" w:cs="Arial"/>
          <w:szCs w:val="22"/>
          <w:lang w:val="ru-RU"/>
        </w:rPr>
        <w:t>элементов в Список нематериального культурного наследия, нуждающегося в срочной охране</w:t>
      </w:r>
      <w:r w:rsidR="00300E78" w:rsidRPr="00476334">
        <w:rPr>
          <w:rFonts w:eastAsia="Arial" w:cs="Arial"/>
          <w:szCs w:val="22"/>
          <w:lang w:val="ru-RU"/>
        </w:rPr>
        <w:t xml:space="preserve"> и 57 элементов в Репрезентативный список нематериального культурного наследия человечества. Также за отчётный период Комитетом была отобрана одна передовая практика по охране.</w:t>
      </w:r>
    </w:p>
    <w:p w:rsidR="00EA71AC" w:rsidRPr="00476334" w:rsidRDefault="00C95656" w:rsidP="00EA71AC">
      <w:pPr>
        <w:pStyle w:val="Marge"/>
        <w:numPr>
          <w:ilvl w:val="0"/>
          <w:numId w:val="13"/>
        </w:numPr>
        <w:tabs>
          <w:tab w:val="clear" w:pos="720"/>
        </w:tabs>
        <w:spacing w:after="120"/>
        <w:ind w:left="567" w:hanging="567"/>
        <w:rPr>
          <w:rFonts w:eastAsia="Arial" w:cs="Arial"/>
          <w:szCs w:val="22"/>
          <w:lang w:val="ru-RU"/>
        </w:rPr>
      </w:pPr>
      <w:proofErr w:type="gramStart"/>
      <w:r w:rsidRPr="00476334">
        <w:rPr>
          <w:lang w:val="ru-RU"/>
        </w:rPr>
        <w:t>Согласно поправкам к Оперативному руководству, утверждённым Генеральной ассамблеей в 2014 г.</w:t>
      </w:r>
      <w:r w:rsidR="007D0A44" w:rsidRPr="00476334">
        <w:rPr>
          <w:lang w:val="ru-RU"/>
        </w:rPr>
        <w:t xml:space="preserve"> относительно</w:t>
      </w:r>
      <w:r w:rsidRPr="00476334">
        <w:rPr>
          <w:lang w:val="ru-RU"/>
        </w:rPr>
        <w:t xml:space="preserve"> создания единого «Оценочного органа» </w:t>
      </w:r>
      <w:r w:rsidR="00EA71AC" w:rsidRPr="00476334">
        <w:rPr>
          <w:lang w:val="ru-RU"/>
        </w:rPr>
        <w:t>(</w:t>
      </w:r>
      <w:r w:rsidR="00300E78" w:rsidRPr="00476334">
        <w:rPr>
          <w:lang w:val="ru-RU"/>
        </w:rPr>
        <w:t>насчитывающ</w:t>
      </w:r>
      <w:r w:rsidRPr="00476334">
        <w:rPr>
          <w:lang w:val="ru-RU"/>
        </w:rPr>
        <w:t>его</w:t>
      </w:r>
      <w:r w:rsidR="00300E78" w:rsidRPr="00476334">
        <w:rPr>
          <w:lang w:val="ru-RU"/>
        </w:rPr>
        <w:t xml:space="preserve"> шесть экспертов, представляющих государства-участники Конвенции, не являющиеся членами Комитета, и шесть аккредитованных неправительственных организаций), Комитет </w:t>
      </w:r>
      <w:r w:rsidRPr="00476334">
        <w:rPr>
          <w:lang w:val="ru-RU"/>
        </w:rPr>
        <w:t xml:space="preserve">на своей девятой сессии </w:t>
      </w:r>
      <w:r w:rsidR="00300E78" w:rsidRPr="00476334">
        <w:rPr>
          <w:lang w:val="ru-RU"/>
        </w:rPr>
        <w:t>учредил первый Оценочный орган</w:t>
      </w:r>
      <w:r w:rsidRPr="00476334">
        <w:rPr>
          <w:lang w:val="ru-RU"/>
        </w:rPr>
        <w:t xml:space="preserve">, а на десятой сессии </w:t>
      </w:r>
      <w:r w:rsidR="00300E78" w:rsidRPr="00476334">
        <w:rPr>
          <w:lang w:val="ru-RU"/>
        </w:rPr>
        <w:t xml:space="preserve">обновил три </w:t>
      </w:r>
      <w:r w:rsidRPr="00476334">
        <w:rPr>
          <w:lang w:val="ru-RU"/>
        </w:rPr>
        <w:t xml:space="preserve">его </w:t>
      </w:r>
      <w:r w:rsidR="00300E78" w:rsidRPr="00476334">
        <w:rPr>
          <w:lang w:val="ru-RU"/>
        </w:rPr>
        <w:t>места.</w:t>
      </w:r>
      <w:proofErr w:type="gramEnd"/>
    </w:p>
    <w:p w:rsidR="00EA71AC" w:rsidRPr="00476334" w:rsidRDefault="00C95656" w:rsidP="00EA71AC">
      <w:pPr>
        <w:pStyle w:val="Marge"/>
        <w:numPr>
          <w:ilvl w:val="0"/>
          <w:numId w:val="13"/>
        </w:numPr>
        <w:tabs>
          <w:tab w:val="clear" w:pos="720"/>
        </w:tabs>
        <w:spacing w:after="120"/>
        <w:ind w:left="567" w:hanging="567"/>
        <w:rPr>
          <w:i/>
          <w:lang w:val="ru-RU"/>
        </w:rPr>
      </w:pPr>
      <w:proofErr w:type="gramStart"/>
      <w:r w:rsidRPr="00476334">
        <w:rPr>
          <w:rFonts w:eastAsia="Arial" w:cs="Arial"/>
          <w:szCs w:val="22"/>
          <w:lang w:val="ru-RU"/>
        </w:rPr>
        <w:t xml:space="preserve">Комитет (относительно заявок на сумму </w:t>
      </w:r>
      <w:r w:rsidR="00475614" w:rsidRPr="00476334">
        <w:rPr>
          <w:rFonts w:eastAsia="Arial" w:cs="Arial"/>
          <w:szCs w:val="22"/>
          <w:lang w:val="ru-RU"/>
        </w:rPr>
        <w:t>свыше</w:t>
      </w:r>
      <w:r w:rsidRPr="00476334">
        <w:rPr>
          <w:rFonts w:eastAsia="Arial" w:cs="Arial"/>
          <w:szCs w:val="22"/>
          <w:lang w:val="ru-RU"/>
        </w:rPr>
        <w:t xml:space="preserve"> 25</w:t>
      </w:r>
      <w:r w:rsidRPr="00476334">
        <w:rPr>
          <w:rFonts w:eastAsia="Arial" w:cs="Arial"/>
          <w:szCs w:val="22"/>
          <w:lang w:val="en-US"/>
        </w:rPr>
        <w:t> </w:t>
      </w:r>
      <w:r w:rsidRPr="00476334">
        <w:rPr>
          <w:rFonts w:eastAsia="Arial" w:cs="Arial"/>
          <w:szCs w:val="22"/>
          <w:lang w:val="ru-RU"/>
        </w:rPr>
        <w:t>000</w:t>
      </w:r>
      <w:r w:rsidRPr="00476334">
        <w:rPr>
          <w:rFonts w:eastAsia="Arial" w:cs="Arial"/>
          <w:szCs w:val="22"/>
          <w:lang w:val="en-US"/>
        </w:rPr>
        <w:t> </w:t>
      </w:r>
      <w:r w:rsidR="00C14320" w:rsidRPr="00476334">
        <w:rPr>
          <w:rFonts w:eastAsia="Arial" w:cs="Arial"/>
          <w:szCs w:val="22"/>
          <w:lang w:val="ru-RU"/>
        </w:rPr>
        <w:t>долл.</w:t>
      </w:r>
      <w:r w:rsidRPr="00476334">
        <w:rPr>
          <w:rFonts w:eastAsia="Arial" w:cs="Arial"/>
          <w:szCs w:val="22"/>
          <w:lang w:val="ru-RU"/>
        </w:rPr>
        <w:t xml:space="preserve">) и Президиум (относительно заявок </w:t>
      </w:r>
      <w:r w:rsidR="00475614" w:rsidRPr="00476334">
        <w:rPr>
          <w:rFonts w:eastAsia="Arial" w:cs="Arial"/>
          <w:szCs w:val="22"/>
          <w:lang w:val="ru-RU"/>
        </w:rPr>
        <w:t>до 25</w:t>
      </w:r>
      <w:r w:rsidR="00475614" w:rsidRPr="00476334">
        <w:rPr>
          <w:rFonts w:eastAsia="Arial" w:cs="Arial"/>
          <w:szCs w:val="22"/>
          <w:lang w:val="en-US"/>
        </w:rPr>
        <w:t> </w:t>
      </w:r>
      <w:r w:rsidR="00475614" w:rsidRPr="00476334">
        <w:rPr>
          <w:rFonts w:eastAsia="Arial" w:cs="Arial"/>
          <w:szCs w:val="22"/>
          <w:lang w:val="ru-RU"/>
        </w:rPr>
        <w:t>000</w:t>
      </w:r>
      <w:r w:rsidR="00475614" w:rsidRPr="00476334">
        <w:rPr>
          <w:rFonts w:eastAsia="Arial" w:cs="Arial"/>
          <w:szCs w:val="22"/>
          <w:lang w:val="en-US"/>
        </w:rPr>
        <w:t> </w:t>
      </w:r>
      <w:r w:rsidR="00C14320" w:rsidRPr="00476334">
        <w:rPr>
          <w:rFonts w:eastAsia="Arial" w:cs="Arial"/>
          <w:szCs w:val="22"/>
          <w:lang w:val="ru-RU"/>
        </w:rPr>
        <w:t>долл.</w:t>
      </w:r>
      <w:r w:rsidR="00475614" w:rsidRPr="00476334">
        <w:rPr>
          <w:rFonts w:eastAsia="Arial" w:cs="Arial"/>
          <w:szCs w:val="22"/>
          <w:lang w:val="ru-RU"/>
        </w:rPr>
        <w:t xml:space="preserve"> и заявок на срочную помощь) </w:t>
      </w:r>
      <w:r w:rsidR="00523198" w:rsidRPr="00476334">
        <w:rPr>
          <w:rFonts w:eastAsia="Arial" w:cs="Arial"/>
          <w:szCs w:val="22"/>
          <w:lang w:val="ru-RU"/>
        </w:rPr>
        <w:t>утвердили в общей сложности 15 заявок на международную помощь на общую сумму 831</w:t>
      </w:r>
      <w:r w:rsidR="00523198" w:rsidRPr="00476334">
        <w:rPr>
          <w:rFonts w:eastAsia="Arial" w:cs="Arial"/>
          <w:szCs w:val="22"/>
          <w:lang w:val="en-US"/>
        </w:rPr>
        <w:t> </w:t>
      </w:r>
      <w:r w:rsidR="00523198" w:rsidRPr="00476334">
        <w:rPr>
          <w:rFonts w:eastAsia="Arial" w:cs="Arial"/>
          <w:szCs w:val="22"/>
          <w:lang w:val="ru-RU"/>
        </w:rPr>
        <w:t>561</w:t>
      </w:r>
      <w:r w:rsidR="00523198" w:rsidRPr="00476334">
        <w:rPr>
          <w:rFonts w:eastAsia="Arial" w:cs="Arial"/>
          <w:szCs w:val="22"/>
          <w:lang w:val="en-US"/>
        </w:rPr>
        <w:t> </w:t>
      </w:r>
      <w:r w:rsidR="00476334" w:rsidRPr="00476334">
        <w:rPr>
          <w:rFonts w:eastAsia="Arial" w:cs="Arial"/>
          <w:szCs w:val="22"/>
          <w:lang w:val="ru-RU"/>
        </w:rPr>
        <w:t xml:space="preserve">долл. </w:t>
      </w:r>
      <w:r w:rsidR="00EA71AC" w:rsidRPr="00476334">
        <w:rPr>
          <w:rFonts w:eastAsia="Arial" w:cs="Arial"/>
          <w:szCs w:val="22"/>
          <w:lang w:val="ru-RU"/>
        </w:rPr>
        <w:t>(</w:t>
      </w:r>
      <w:r w:rsidR="00523198" w:rsidRPr="00476334">
        <w:rPr>
          <w:rFonts w:eastAsia="Arial" w:cs="Arial"/>
          <w:szCs w:val="22"/>
          <w:lang w:val="ru-RU"/>
        </w:rPr>
        <w:t xml:space="preserve">см. также </w:t>
      </w:r>
      <w:hyperlink r:id="rId31" w:history="1">
        <w:r w:rsidR="00523198" w:rsidRPr="00476334">
          <w:rPr>
            <w:rStyle w:val="Hyperlink"/>
            <w:rFonts w:eastAsia="Arial" w:cs="Arial"/>
            <w:szCs w:val="22"/>
            <w:lang w:val="ru-RU"/>
          </w:rPr>
          <w:t>документ</w:t>
        </w:r>
        <w:r w:rsidR="00523198" w:rsidRPr="00476334">
          <w:rPr>
            <w:rStyle w:val="Hyperlink"/>
            <w:lang w:val="ru-RU"/>
          </w:rPr>
          <w:t xml:space="preserve"> </w:t>
        </w:r>
        <w:r w:rsidR="00523198" w:rsidRPr="00476334">
          <w:rPr>
            <w:rStyle w:val="Hyperlink"/>
            <w:rFonts w:eastAsia="Arial" w:cs="Arial"/>
            <w:szCs w:val="22"/>
            <w:lang w:val="en-GB"/>
          </w:rPr>
          <w:t>ITH</w:t>
        </w:r>
        <w:r w:rsidR="00523198" w:rsidRPr="00476334">
          <w:rPr>
            <w:rStyle w:val="Hyperlink"/>
            <w:rFonts w:eastAsia="Arial" w:cs="Arial"/>
            <w:szCs w:val="22"/>
            <w:lang w:val="ru-RU"/>
          </w:rPr>
          <w:t>/15/10.</w:t>
        </w:r>
        <w:r w:rsidR="00523198" w:rsidRPr="00476334">
          <w:rPr>
            <w:rStyle w:val="Hyperlink"/>
            <w:rFonts w:eastAsia="Arial" w:cs="Arial"/>
            <w:szCs w:val="22"/>
            <w:lang w:val="en-GB"/>
          </w:rPr>
          <w:t>COM</w:t>
        </w:r>
        <w:r w:rsidR="00523198" w:rsidRPr="00476334">
          <w:rPr>
            <w:rStyle w:val="Hyperlink"/>
            <w:rFonts w:eastAsia="Arial" w:cs="Arial"/>
            <w:szCs w:val="22"/>
            <w:lang w:val="ru-RU"/>
          </w:rPr>
          <w:t>/6.</w:t>
        </w:r>
        <w:r w:rsidR="00523198" w:rsidRPr="00476334">
          <w:rPr>
            <w:rStyle w:val="Hyperlink"/>
            <w:rFonts w:eastAsia="Arial" w:cs="Arial"/>
            <w:szCs w:val="22"/>
            <w:lang w:val="en-GB"/>
          </w:rPr>
          <w:t>c</w:t>
        </w:r>
      </w:hyperlink>
      <w:r w:rsidR="00EA71AC" w:rsidRPr="00476334">
        <w:rPr>
          <w:lang w:val="ru-RU"/>
        </w:rPr>
        <w:t xml:space="preserve"> </w:t>
      </w:r>
      <w:r w:rsidR="00476334" w:rsidRPr="00476334">
        <w:rPr>
          <w:lang w:val="ru-RU"/>
        </w:rPr>
        <w:t xml:space="preserve">относительно </w:t>
      </w:r>
      <w:r w:rsidR="00523198" w:rsidRPr="00476334">
        <w:rPr>
          <w:lang w:val="ru-RU"/>
        </w:rPr>
        <w:t>доклад</w:t>
      </w:r>
      <w:r w:rsidR="00476334" w:rsidRPr="00476334">
        <w:rPr>
          <w:lang w:val="ru-RU"/>
        </w:rPr>
        <w:t>ов</w:t>
      </w:r>
      <w:r w:rsidR="00523198" w:rsidRPr="00476334">
        <w:rPr>
          <w:lang w:val="ru-RU"/>
        </w:rPr>
        <w:t xml:space="preserve"> об использовании государствами-участниками международной помощи</w:t>
      </w:r>
      <w:r w:rsidR="00EA71AC" w:rsidRPr="00476334">
        <w:rPr>
          <w:rFonts w:eastAsia="Arial" w:cs="Arial"/>
          <w:szCs w:val="22"/>
          <w:lang w:val="ru-RU"/>
        </w:rPr>
        <w:t>).</w:t>
      </w:r>
      <w:proofErr w:type="gramEnd"/>
      <w:r w:rsidR="00523198" w:rsidRPr="00476334">
        <w:rPr>
          <w:rFonts w:eastAsia="Arial" w:cs="Arial"/>
          <w:szCs w:val="22"/>
          <w:lang w:val="ru-RU"/>
        </w:rPr>
        <w:t xml:space="preserve"> Всего за отчётный период 14 стран получили финансовую помощь из Фонда НКН.</w:t>
      </w:r>
    </w:p>
    <w:p w:rsidR="00BD5F0E" w:rsidRPr="00523198" w:rsidRDefault="00BD5F0E" w:rsidP="00EA71AC">
      <w:pPr>
        <w:pStyle w:val="GAParaResolution"/>
        <w:numPr>
          <w:ilvl w:val="0"/>
          <w:numId w:val="0"/>
        </w:numPr>
        <w:jc w:val="center"/>
        <w:rPr>
          <w:lang w:val="ru-RU"/>
        </w:rPr>
      </w:pPr>
    </w:p>
    <w:sectPr w:rsidR="00BD5F0E" w:rsidRPr="00523198" w:rsidSect="00FA1D48">
      <w:headerReference w:type="even" r:id="rId32"/>
      <w:headerReference w:type="default" r:id="rId33"/>
      <w:headerReference w:type="first" r:id="rId34"/>
      <w:pgSz w:w="11906" w:h="16838" w:code="9"/>
      <w:pgMar w:top="1276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718" w:rsidRDefault="00161718" w:rsidP="00655736">
      <w:r>
        <w:separator/>
      </w:r>
    </w:p>
  </w:endnote>
  <w:endnote w:type="continuationSeparator" w:id="0">
    <w:p w:rsidR="00161718" w:rsidRDefault="00161718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718" w:rsidRDefault="00161718" w:rsidP="00655736">
      <w:r>
        <w:separator/>
      </w:r>
    </w:p>
  </w:footnote>
  <w:footnote w:type="continuationSeparator" w:id="0">
    <w:p w:rsidR="00161718" w:rsidRDefault="00161718" w:rsidP="00655736">
      <w:r>
        <w:continuationSeparator/>
      </w:r>
    </w:p>
  </w:footnote>
  <w:footnote w:id="1">
    <w:p w:rsidR="00161718" w:rsidRPr="002C2F88" w:rsidRDefault="00161718" w:rsidP="00EA71AC">
      <w:pPr>
        <w:pStyle w:val="FootnoteText"/>
        <w:tabs>
          <w:tab w:val="left" w:pos="284"/>
        </w:tabs>
        <w:rPr>
          <w:lang w:val="ru-RU"/>
        </w:rPr>
      </w:pPr>
      <w:r w:rsidRPr="002929AE">
        <w:rPr>
          <w:rStyle w:val="FootnoteReference"/>
        </w:rPr>
        <w:footnoteRef/>
      </w:r>
      <w:r w:rsidRPr="009E67FF">
        <w:rPr>
          <w:lang w:val="ru-RU"/>
        </w:rPr>
        <w:t>.</w:t>
      </w:r>
      <w:r w:rsidRPr="009E67FF">
        <w:rPr>
          <w:lang w:val="ru-RU"/>
        </w:rPr>
        <w:tab/>
      </w:r>
      <w:r>
        <w:rPr>
          <w:lang w:val="ru-RU"/>
        </w:rPr>
        <w:t>Более</w:t>
      </w:r>
      <w:r w:rsidRPr="002C2F88">
        <w:rPr>
          <w:lang w:val="ru-RU"/>
        </w:rPr>
        <w:t xml:space="preserve"> </w:t>
      </w:r>
      <w:r>
        <w:rPr>
          <w:lang w:val="ru-RU"/>
        </w:rPr>
        <w:t>подробная</w:t>
      </w:r>
      <w:r w:rsidRPr="002C2F88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2C2F88">
        <w:rPr>
          <w:lang w:val="ru-RU"/>
        </w:rPr>
        <w:t xml:space="preserve"> </w:t>
      </w:r>
      <w:r>
        <w:rPr>
          <w:lang w:val="ru-RU"/>
        </w:rPr>
        <w:t>о</w:t>
      </w:r>
      <w:r w:rsidRPr="002C2F88">
        <w:rPr>
          <w:lang w:val="ru-RU"/>
        </w:rPr>
        <w:t xml:space="preserve"> </w:t>
      </w:r>
      <w:r>
        <w:rPr>
          <w:lang w:val="ru-RU"/>
        </w:rPr>
        <w:t>результатах и показателях содержится в документе</w:t>
      </w:r>
      <w:r w:rsidRPr="002C2F88">
        <w:rPr>
          <w:lang w:val="ru-RU"/>
        </w:rPr>
        <w:t xml:space="preserve"> </w:t>
      </w:r>
      <w:hyperlink r:id="rId1" w:history="1">
        <w:r w:rsidRPr="005E2351">
          <w:rPr>
            <w:rStyle w:val="Hyperlink"/>
            <w:lang w:val="en-US"/>
          </w:rPr>
          <w:t>ITH</w:t>
        </w:r>
        <w:r w:rsidRPr="002C2F88">
          <w:rPr>
            <w:rStyle w:val="Hyperlink"/>
            <w:lang w:val="ru-RU"/>
          </w:rPr>
          <w:t>/14/9.</w:t>
        </w:r>
        <w:r w:rsidRPr="005E2351">
          <w:rPr>
            <w:rStyle w:val="Hyperlink"/>
            <w:lang w:val="en-US"/>
          </w:rPr>
          <w:t>COM</w:t>
        </w:r>
        <w:r w:rsidRPr="002C2F88">
          <w:rPr>
            <w:rStyle w:val="Hyperlink"/>
            <w:lang w:val="ru-RU"/>
          </w:rPr>
          <w:t xml:space="preserve"> 2.</w:t>
        </w:r>
        <w:r w:rsidRPr="005E2351">
          <w:rPr>
            <w:rStyle w:val="Hyperlink"/>
            <w:lang w:val="en-US"/>
          </w:rPr>
          <w:t>BUR</w:t>
        </w:r>
        <w:r w:rsidRPr="002C2F88">
          <w:rPr>
            <w:rStyle w:val="Hyperlink"/>
            <w:lang w:val="ru-RU"/>
          </w:rPr>
          <w:t>/1</w:t>
        </w:r>
      </w:hyperlink>
      <w:r w:rsidRPr="002C2F88">
        <w:rPr>
          <w:rStyle w:val="Hyperlink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718" w:rsidRPr="00C23A97" w:rsidRDefault="00161718">
    <w:pPr>
      <w:pStyle w:val="Header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</w:rPr>
      <w:t>ITH/16/6.GA/</w:t>
    </w:r>
    <w:r>
      <w:rPr>
        <w:rFonts w:ascii="Arial" w:hAnsi="Arial" w:cs="Arial"/>
        <w:sz w:val="20"/>
        <w:szCs w:val="20"/>
        <w:lang w:val="ru-RU"/>
      </w:rPr>
      <w:t xml:space="preserve"> 5</w:t>
    </w:r>
    <w:r>
      <w:rPr>
        <w:rFonts w:ascii="Arial" w:hAnsi="Arial" w:cs="Arial"/>
        <w:sz w:val="20"/>
        <w:szCs w:val="20"/>
      </w:rPr>
      <w:t xml:space="preserve"> – </w:t>
    </w:r>
    <w:r>
      <w:rPr>
        <w:rFonts w:ascii="Arial" w:hAnsi="Arial" w:cs="Arial"/>
        <w:bCs/>
        <w:sz w:val="20"/>
        <w:szCs w:val="20"/>
        <w:lang w:val="ru-RU"/>
      </w:rPr>
      <w:t>страница</w:t>
    </w:r>
    <w:r w:rsidRPr="00C23A97">
      <w:rPr>
        <w:rStyle w:val="PageNumber"/>
        <w:rFonts w:ascii="Arial" w:hAnsi="Arial" w:cs="Arial"/>
        <w:sz w:val="20"/>
        <w:szCs w:val="20"/>
        <w:lang w:val="en-GB"/>
      </w:rPr>
      <w:t xml:space="preserve"> </w:t>
    </w:r>
    <w:r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524002">
      <w:rPr>
        <w:rStyle w:val="PageNumber"/>
        <w:rFonts w:ascii="Arial" w:hAnsi="Arial" w:cs="Arial"/>
        <w:noProof/>
        <w:sz w:val="20"/>
        <w:szCs w:val="20"/>
      </w:rPr>
      <w:t>2</w:t>
    </w:r>
    <w:r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718" w:rsidRPr="0063300C" w:rsidRDefault="00161718" w:rsidP="0063300C">
    <w:pPr>
      <w:pStyle w:val="Header"/>
      <w:jc w:val="right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</w:rPr>
      <w:t>ITH/16/6.GA/</w:t>
    </w:r>
    <w:r>
      <w:rPr>
        <w:rFonts w:ascii="Arial" w:hAnsi="Arial" w:cs="Arial"/>
        <w:sz w:val="20"/>
        <w:szCs w:val="20"/>
        <w:lang w:val="ru-RU"/>
      </w:rPr>
      <w:t xml:space="preserve"> 5</w:t>
    </w:r>
    <w:r>
      <w:rPr>
        <w:rFonts w:ascii="Arial" w:hAnsi="Arial" w:cs="Arial"/>
        <w:sz w:val="20"/>
        <w:szCs w:val="20"/>
      </w:rPr>
      <w:t xml:space="preserve"> – </w:t>
    </w:r>
    <w:r>
      <w:rPr>
        <w:rFonts w:ascii="Arial" w:hAnsi="Arial" w:cs="Arial"/>
        <w:sz w:val="20"/>
        <w:szCs w:val="20"/>
        <w:lang w:val="ru-RU"/>
      </w:rPr>
      <w:t>страница</w:t>
    </w:r>
    <w:r>
      <w:rPr>
        <w:rFonts w:ascii="Arial" w:hAnsi="Arial" w:cs="Arial"/>
        <w:sz w:val="20"/>
        <w:szCs w:val="20"/>
      </w:rPr>
      <w:t xml:space="preserve"> </w:t>
    </w:r>
    <w:r w:rsidRPr="0063300C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63300C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524002">
      <w:rPr>
        <w:rStyle w:val="PageNumber"/>
        <w:rFonts w:ascii="Arial" w:hAnsi="Arial" w:cs="Arial"/>
        <w:noProof/>
        <w:sz w:val="20"/>
        <w:szCs w:val="20"/>
      </w:rPr>
      <w:t>3</w:t>
    </w:r>
    <w:r w:rsidRPr="0063300C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718" w:rsidRPr="008724E5" w:rsidRDefault="00161718">
    <w:pPr>
      <w:pStyle w:val="Header"/>
    </w:pPr>
    <w:r>
      <w:rPr>
        <w:rFonts w:ascii="Arial" w:hAnsi="Arial" w:cs="Arial"/>
        <w:b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75ED42B5" wp14:editId="2A250D85">
          <wp:simplePos x="0" y="0"/>
          <wp:positionH relativeFrom="column">
            <wp:posOffset>-419100</wp:posOffset>
          </wp:positionH>
          <wp:positionV relativeFrom="paragraph">
            <wp:posOffset>4445</wp:posOffset>
          </wp:positionV>
          <wp:extent cx="2479675" cy="1415415"/>
          <wp:effectExtent l="0" t="0" r="0" b="0"/>
          <wp:wrapNone/>
          <wp:docPr id="1" name="Image 1" descr="unesco_logo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sco_logo_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675" cy="141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61718" w:rsidRPr="002402C9" w:rsidRDefault="00161718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nl-BE"/>
      </w:rPr>
    </w:pPr>
    <w:r>
      <w:rPr>
        <w:rFonts w:ascii="Arial" w:hAnsi="Arial" w:cs="Arial"/>
        <w:b/>
        <w:sz w:val="44"/>
        <w:szCs w:val="44"/>
        <w:lang w:val="nl-BE"/>
      </w:rPr>
      <w:t>6</w:t>
    </w:r>
    <w:r w:rsidRPr="002402C9">
      <w:rPr>
        <w:rFonts w:ascii="Arial" w:hAnsi="Arial" w:cs="Arial"/>
        <w:b/>
        <w:sz w:val="44"/>
        <w:szCs w:val="44"/>
        <w:lang w:val="nl-BE"/>
      </w:rPr>
      <w:t xml:space="preserve"> GA</w:t>
    </w:r>
  </w:p>
  <w:p w:rsidR="00161718" w:rsidRPr="002402C9" w:rsidRDefault="00161718" w:rsidP="00655736">
    <w:pPr>
      <w:jc w:val="right"/>
      <w:rPr>
        <w:rFonts w:ascii="Arial" w:hAnsi="Arial" w:cs="Arial"/>
        <w:b/>
        <w:sz w:val="22"/>
        <w:szCs w:val="22"/>
        <w:lang w:val="nl-BE"/>
      </w:rPr>
    </w:pPr>
    <w:r w:rsidRPr="002402C9">
      <w:rPr>
        <w:rFonts w:ascii="Arial" w:hAnsi="Arial" w:cs="Arial"/>
        <w:b/>
        <w:sz w:val="22"/>
        <w:szCs w:val="22"/>
        <w:lang w:val="nl-BE"/>
      </w:rPr>
      <w:t>ITH/1</w:t>
    </w:r>
    <w:r>
      <w:rPr>
        <w:rFonts w:ascii="Arial" w:hAnsi="Arial" w:cs="Arial"/>
        <w:b/>
        <w:sz w:val="22"/>
        <w:szCs w:val="22"/>
        <w:lang w:val="nl-BE"/>
      </w:rPr>
      <w:t>6</w:t>
    </w:r>
    <w:r w:rsidRPr="002402C9">
      <w:rPr>
        <w:rFonts w:ascii="Arial" w:hAnsi="Arial" w:cs="Arial"/>
        <w:b/>
        <w:sz w:val="22"/>
        <w:szCs w:val="22"/>
        <w:lang w:val="nl-BE"/>
      </w:rPr>
      <w:t>/</w:t>
    </w:r>
    <w:r>
      <w:rPr>
        <w:rFonts w:ascii="Arial" w:hAnsi="Arial" w:cs="Arial"/>
        <w:b/>
        <w:sz w:val="22"/>
        <w:szCs w:val="22"/>
        <w:lang w:val="nl-BE"/>
      </w:rPr>
      <w:t>6</w:t>
    </w:r>
    <w:r w:rsidRPr="002402C9">
      <w:rPr>
        <w:rFonts w:ascii="Arial" w:hAnsi="Arial" w:cs="Arial"/>
        <w:b/>
        <w:sz w:val="22"/>
        <w:szCs w:val="22"/>
        <w:lang w:val="nl-BE"/>
      </w:rPr>
      <w:t>.GA/</w:t>
    </w:r>
    <w:r>
      <w:rPr>
        <w:rFonts w:ascii="Arial" w:hAnsi="Arial" w:cs="Arial"/>
        <w:b/>
        <w:sz w:val="22"/>
        <w:szCs w:val="22"/>
        <w:lang w:val="ru-RU"/>
      </w:rPr>
      <w:t>5</w:t>
    </w:r>
  </w:p>
  <w:p w:rsidR="00161718" w:rsidRPr="002402C9" w:rsidRDefault="00161718" w:rsidP="00655736">
    <w:pPr>
      <w:jc w:val="right"/>
      <w:rPr>
        <w:rFonts w:ascii="Arial" w:hAnsi="Arial" w:cs="Arial"/>
        <w:b/>
        <w:sz w:val="22"/>
        <w:szCs w:val="22"/>
        <w:lang w:val="ru-RU"/>
      </w:rPr>
    </w:pPr>
    <w:r>
      <w:rPr>
        <w:rFonts w:ascii="Arial" w:hAnsi="Arial" w:cs="Arial"/>
        <w:b/>
        <w:sz w:val="22"/>
        <w:szCs w:val="22"/>
        <w:lang w:val="ru-RU"/>
      </w:rPr>
      <w:t xml:space="preserve">Париж, 29 апреля </w:t>
    </w:r>
    <w:r w:rsidRPr="002402C9">
      <w:rPr>
        <w:rFonts w:ascii="Arial" w:hAnsi="Arial" w:cs="Arial"/>
        <w:b/>
        <w:sz w:val="22"/>
        <w:szCs w:val="22"/>
        <w:lang w:val="ru-RU"/>
      </w:rPr>
      <w:t>201</w:t>
    </w:r>
    <w:r w:rsidRPr="0059476C">
      <w:rPr>
        <w:rFonts w:ascii="Arial" w:hAnsi="Arial" w:cs="Arial"/>
        <w:b/>
        <w:sz w:val="22"/>
        <w:szCs w:val="22"/>
        <w:lang w:val="ru-RU"/>
      </w:rPr>
      <w:t>6</w:t>
    </w:r>
    <w:r w:rsidRPr="002402C9">
      <w:rPr>
        <w:rFonts w:ascii="Arial" w:hAnsi="Arial" w:cs="Arial"/>
        <w:b/>
        <w:sz w:val="22"/>
        <w:szCs w:val="22"/>
        <w:lang w:val="ru-RU"/>
      </w:rPr>
      <w:t xml:space="preserve"> </w:t>
    </w:r>
    <w:r>
      <w:rPr>
        <w:rFonts w:ascii="Arial" w:hAnsi="Arial" w:cs="Arial"/>
        <w:b/>
        <w:sz w:val="22"/>
        <w:szCs w:val="22"/>
        <w:lang w:val="ru-RU"/>
      </w:rPr>
      <w:t>г.</w:t>
    </w:r>
  </w:p>
  <w:p w:rsidR="00161718" w:rsidRPr="002402C9" w:rsidRDefault="00161718" w:rsidP="00EE1592">
    <w:pPr>
      <w:jc w:val="right"/>
      <w:rPr>
        <w:lang w:val="ru-RU"/>
      </w:rPr>
    </w:pPr>
    <w:r w:rsidRPr="00EC1E86">
      <w:rPr>
        <w:rFonts w:ascii="Arial" w:hAnsi="Arial" w:cs="Arial"/>
        <w:b/>
        <w:sz w:val="22"/>
        <w:szCs w:val="22"/>
        <w:lang w:val="ru-RU"/>
      </w:rPr>
      <w:t>Оригинал</w:t>
    </w:r>
    <w:r w:rsidRPr="00107309">
      <w:rPr>
        <w:rFonts w:ascii="Arial" w:hAnsi="Arial" w:cs="Arial"/>
        <w:b/>
        <w:sz w:val="22"/>
        <w:szCs w:val="22"/>
        <w:lang w:val="ru-RU"/>
      </w:rPr>
      <w:t>:</w:t>
    </w:r>
    <w:r>
      <w:rPr>
        <w:rFonts w:ascii="Arial" w:hAnsi="Arial" w:cs="Arial"/>
        <w:b/>
        <w:sz w:val="22"/>
        <w:szCs w:val="22"/>
        <w:lang w:val="ru-RU"/>
      </w:rPr>
      <w:t xml:space="preserve"> английский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406820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2E411C8"/>
    <w:multiLevelType w:val="hybridMultilevel"/>
    <w:tmpl w:val="37FE8E4C"/>
    <w:lvl w:ilvl="0" w:tplc="BFBAD99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3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7B6D05"/>
    <w:multiLevelType w:val="hybridMultilevel"/>
    <w:tmpl w:val="4C4EE242"/>
    <w:lvl w:ilvl="0" w:tplc="42E60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AB35019"/>
    <w:multiLevelType w:val="multilevel"/>
    <w:tmpl w:val="1FDC9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F07BFE"/>
    <w:multiLevelType w:val="hybridMultilevel"/>
    <w:tmpl w:val="E24AD55A"/>
    <w:lvl w:ilvl="0" w:tplc="76CAC304">
      <w:start w:val="1"/>
      <w:numFmt w:val="decimal"/>
      <w:pStyle w:val="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97A4DB1"/>
    <w:multiLevelType w:val="hybridMultilevel"/>
    <w:tmpl w:val="1F36D964"/>
    <w:lvl w:ilvl="0" w:tplc="918ACE6A">
      <w:start w:val="1"/>
      <w:numFmt w:val="decimal"/>
      <w:pStyle w:val="GAParaResolut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2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15"/>
  </w:num>
  <w:num w:numId="5">
    <w:abstractNumId w:val="14"/>
  </w:num>
  <w:num w:numId="6">
    <w:abstractNumId w:val="2"/>
  </w:num>
  <w:num w:numId="7">
    <w:abstractNumId w:val="4"/>
  </w:num>
  <w:num w:numId="8">
    <w:abstractNumId w:val="12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6"/>
  </w:num>
  <w:num w:numId="14">
    <w:abstractNumId w:val="0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F5"/>
    <w:rsid w:val="000014A8"/>
    <w:rsid w:val="000038F0"/>
    <w:rsid w:val="000048ED"/>
    <w:rsid w:val="00013CA0"/>
    <w:rsid w:val="00013FF7"/>
    <w:rsid w:val="00041A66"/>
    <w:rsid w:val="0005176E"/>
    <w:rsid w:val="00061D3E"/>
    <w:rsid w:val="00065350"/>
    <w:rsid w:val="00065706"/>
    <w:rsid w:val="000765F7"/>
    <w:rsid w:val="00077AB7"/>
    <w:rsid w:val="00081CD8"/>
    <w:rsid w:val="00090CDE"/>
    <w:rsid w:val="000928C4"/>
    <w:rsid w:val="000A3167"/>
    <w:rsid w:val="000A581C"/>
    <w:rsid w:val="000A7F0E"/>
    <w:rsid w:val="000C0D61"/>
    <w:rsid w:val="000C4043"/>
    <w:rsid w:val="000E1674"/>
    <w:rsid w:val="000F3A3F"/>
    <w:rsid w:val="00102557"/>
    <w:rsid w:val="001255EE"/>
    <w:rsid w:val="00161718"/>
    <w:rsid w:val="00164D56"/>
    <w:rsid w:val="00167B10"/>
    <w:rsid w:val="00167D32"/>
    <w:rsid w:val="0017402F"/>
    <w:rsid w:val="00176D7A"/>
    <w:rsid w:val="00177C14"/>
    <w:rsid w:val="00181262"/>
    <w:rsid w:val="00196C1B"/>
    <w:rsid w:val="001A34EC"/>
    <w:rsid w:val="001B0F73"/>
    <w:rsid w:val="001B46D3"/>
    <w:rsid w:val="001B5E56"/>
    <w:rsid w:val="001D148E"/>
    <w:rsid w:val="001D2B74"/>
    <w:rsid w:val="001D5C04"/>
    <w:rsid w:val="001E39A7"/>
    <w:rsid w:val="001F23FD"/>
    <w:rsid w:val="00222A2D"/>
    <w:rsid w:val="00223029"/>
    <w:rsid w:val="00233C6D"/>
    <w:rsid w:val="00234745"/>
    <w:rsid w:val="002350E2"/>
    <w:rsid w:val="002402C9"/>
    <w:rsid w:val="002407AF"/>
    <w:rsid w:val="00280C17"/>
    <w:rsid w:val="00286C29"/>
    <w:rsid w:val="00290A50"/>
    <w:rsid w:val="002B393A"/>
    <w:rsid w:val="002B4244"/>
    <w:rsid w:val="002B5810"/>
    <w:rsid w:val="002C09E3"/>
    <w:rsid w:val="002C2656"/>
    <w:rsid w:val="002C2F88"/>
    <w:rsid w:val="002D620C"/>
    <w:rsid w:val="002E6363"/>
    <w:rsid w:val="002F64C9"/>
    <w:rsid w:val="002F7512"/>
    <w:rsid w:val="00300E78"/>
    <w:rsid w:val="00303A74"/>
    <w:rsid w:val="00316E2F"/>
    <w:rsid w:val="00317566"/>
    <w:rsid w:val="003238EB"/>
    <w:rsid w:val="003255DD"/>
    <w:rsid w:val="003270F7"/>
    <w:rsid w:val="00333D4A"/>
    <w:rsid w:val="00345CB4"/>
    <w:rsid w:val="003601BF"/>
    <w:rsid w:val="00364173"/>
    <w:rsid w:val="00387AB8"/>
    <w:rsid w:val="003A2768"/>
    <w:rsid w:val="003D069C"/>
    <w:rsid w:val="003D7646"/>
    <w:rsid w:val="003F113A"/>
    <w:rsid w:val="0040099B"/>
    <w:rsid w:val="00406A1B"/>
    <w:rsid w:val="00414643"/>
    <w:rsid w:val="0042005A"/>
    <w:rsid w:val="00440531"/>
    <w:rsid w:val="004421E5"/>
    <w:rsid w:val="00452284"/>
    <w:rsid w:val="004653D1"/>
    <w:rsid w:val="00466F23"/>
    <w:rsid w:val="0046708E"/>
    <w:rsid w:val="00475614"/>
    <w:rsid w:val="00476334"/>
    <w:rsid w:val="004856CA"/>
    <w:rsid w:val="00492631"/>
    <w:rsid w:val="0049705E"/>
    <w:rsid w:val="004A34A0"/>
    <w:rsid w:val="004F1223"/>
    <w:rsid w:val="0050756B"/>
    <w:rsid w:val="005114B7"/>
    <w:rsid w:val="005177DA"/>
    <w:rsid w:val="00523198"/>
    <w:rsid w:val="00524002"/>
    <w:rsid w:val="00526B7B"/>
    <w:rsid w:val="005308CE"/>
    <w:rsid w:val="005355DA"/>
    <w:rsid w:val="00537075"/>
    <w:rsid w:val="00540E2F"/>
    <w:rsid w:val="0056248D"/>
    <w:rsid w:val="00562D5C"/>
    <w:rsid w:val="00565B92"/>
    <w:rsid w:val="0057439C"/>
    <w:rsid w:val="0059476C"/>
    <w:rsid w:val="00596D56"/>
    <w:rsid w:val="005B0127"/>
    <w:rsid w:val="005B3D05"/>
    <w:rsid w:val="005B7785"/>
    <w:rsid w:val="005B7A35"/>
    <w:rsid w:val="005C00F5"/>
    <w:rsid w:val="005C4B73"/>
    <w:rsid w:val="005E1D2B"/>
    <w:rsid w:val="005E47FE"/>
    <w:rsid w:val="006009A9"/>
    <w:rsid w:val="00600D93"/>
    <w:rsid w:val="00602E41"/>
    <w:rsid w:val="00631C64"/>
    <w:rsid w:val="0063300C"/>
    <w:rsid w:val="00655736"/>
    <w:rsid w:val="00663B8D"/>
    <w:rsid w:val="0066473B"/>
    <w:rsid w:val="00665B95"/>
    <w:rsid w:val="0067299D"/>
    <w:rsid w:val="006755E8"/>
    <w:rsid w:val="00685DDA"/>
    <w:rsid w:val="00696C8D"/>
    <w:rsid w:val="006A2AC2"/>
    <w:rsid w:val="006A3338"/>
    <w:rsid w:val="006A3617"/>
    <w:rsid w:val="006B456B"/>
    <w:rsid w:val="006C541A"/>
    <w:rsid w:val="006E1155"/>
    <w:rsid w:val="006E46E4"/>
    <w:rsid w:val="00702054"/>
    <w:rsid w:val="007038DC"/>
    <w:rsid w:val="007068E0"/>
    <w:rsid w:val="00717DA5"/>
    <w:rsid w:val="00744484"/>
    <w:rsid w:val="007469BC"/>
    <w:rsid w:val="00747D6B"/>
    <w:rsid w:val="00754437"/>
    <w:rsid w:val="00757936"/>
    <w:rsid w:val="007700A3"/>
    <w:rsid w:val="00773188"/>
    <w:rsid w:val="00783782"/>
    <w:rsid w:val="00784B8C"/>
    <w:rsid w:val="00790F20"/>
    <w:rsid w:val="007A2CD1"/>
    <w:rsid w:val="007A39B8"/>
    <w:rsid w:val="007A4447"/>
    <w:rsid w:val="007B19CC"/>
    <w:rsid w:val="007B5A07"/>
    <w:rsid w:val="007B7276"/>
    <w:rsid w:val="007D0A44"/>
    <w:rsid w:val="007D3C43"/>
    <w:rsid w:val="007E08C4"/>
    <w:rsid w:val="008207BC"/>
    <w:rsid w:val="00823A11"/>
    <w:rsid w:val="0085414A"/>
    <w:rsid w:val="0086269D"/>
    <w:rsid w:val="0086543A"/>
    <w:rsid w:val="008724E5"/>
    <w:rsid w:val="00884A9D"/>
    <w:rsid w:val="0088512B"/>
    <w:rsid w:val="008A2B2D"/>
    <w:rsid w:val="008A4E1E"/>
    <w:rsid w:val="008B6EC7"/>
    <w:rsid w:val="008C296C"/>
    <w:rsid w:val="008C3697"/>
    <w:rsid w:val="008C5BA7"/>
    <w:rsid w:val="008D4305"/>
    <w:rsid w:val="008E1454"/>
    <w:rsid w:val="008E7132"/>
    <w:rsid w:val="00903B4B"/>
    <w:rsid w:val="00905607"/>
    <w:rsid w:val="009163A7"/>
    <w:rsid w:val="00920BE1"/>
    <w:rsid w:val="00925EC5"/>
    <w:rsid w:val="009375EB"/>
    <w:rsid w:val="00937AF3"/>
    <w:rsid w:val="00946D0B"/>
    <w:rsid w:val="009555F1"/>
    <w:rsid w:val="009811AA"/>
    <w:rsid w:val="009952B6"/>
    <w:rsid w:val="009A18CD"/>
    <w:rsid w:val="009A7009"/>
    <w:rsid w:val="009E67FF"/>
    <w:rsid w:val="009F4BB7"/>
    <w:rsid w:val="00A12558"/>
    <w:rsid w:val="00A13903"/>
    <w:rsid w:val="00A17921"/>
    <w:rsid w:val="00A34ED5"/>
    <w:rsid w:val="00A45DBF"/>
    <w:rsid w:val="00A6562C"/>
    <w:rsid w:val="00A755A2"/>
    <w:rsid w:val="00A92CD0"/>
    <w:rsid w:val="00AA6660"/>
    <w:rsid w:val="00AB0A78"/>
    <w:rsid w:val="00AB2275"/>
    <w:rsid w:val="00AB2C36"/>
    <w:rsid w:val="00AB5B1E"/>
    <w:rsid w:val="00AB70B6"/>
    <w:rsid w:val="00AC162F"/>
    <w:rsid w:val="00AC4D6C"/>
    <w:rsid w:val="00AD1A86"/>
    <w:rsid w:val="00AE0E9B"/>
    <w:rsid w:val="00AE103E"/>
    <w:rsid w:val="00AE2CC3"/>
    <w:rsid w:val="00AE463A"/>
    <w:rsid w:val="00AE5891"/>
    <w:rsid w:val="00AF0A07"/>
    <w:rsid w:val="00AF3A85"/>
    <w:rsid w:val="00AF4AEC"/>
    <w:rsid w:val="00AF625E"/>
    <w:rsid w:val="00AF7986"/>
    <w:rsid w:val="00B601DF"/>
    <w:rsid w:val="00B6257D"/>
    <w:rsid w:val="00B64512"/>
    <w:rsid w:val="00B648A6"/>
    <w:rsid w:val="00B71AA9"/>
    <w:rsid w:val="00B75398"/>
    <w:rsid w:val="00BA6FD5"/>
    <w:rsid w:val="00BB04AF"/>
    <w:rsid w:val="00BC2AD2"/>
    <w:rsid w:val="00BC4129"/>
    <w:rsid w:val="00BD52C9"/>
    <w:rsid w:val="00BD5F0E"/>
    <w:rsid w:val="00BE6354"/>
    <w:rsid w:val="00BF0744"/>
    <w:rsid w:val="00BF2F9B"/>
    <w:rsid w:val="00C14320"/>
    <w:rsid w:val="00C20003"/>
    <w:rsid w:val="00C23A97"/>
    <w:rsid w:val="00C37938"/>
    <w:rsid w:val="00C403B3"/>
    <w:rsid w:val="00C43C73"/>
    <w:rsid w:val="00C70EA7"/>
    <w:rsid w:val="00C74E9C"/>
    <w:rsid w:val="00C7516E"/>
    <w:rsid w:val="00C75770"/>
    <w:rsid w:val="00C768CF"/>
    <w:rsid w:val="00C817E8"/>
    <w:rsid w:val="00C95656"/>
    <w:rsid w:val="00CE7C23"/>
    <w:rsid w:val="00D00B2B"/>
    <w:rsid w:val="00D076F0"/>
    <w:rsid w:val="00D171E2"/>
    <w:rsid w:val="00D24877"/>
    <w:rsid w:val="00D334DF"/>
    <w:rsid w:val="00D53BC6"/>
    <w:rsid w:val="00D65575"/>
    <w:rsid w:val="00D85D0B"/>
    <w:rsid w:val="00D8712F"/>
    <w:rsid w:val="00D901EB"/>
    <w:rsid w:val="00D95C4C"/>
    <w:rsid w:val="00DA2E4C"/>
    <w:rsid w:val="00DA36ED"/>
    <w:rsid w:val="00DA5C7E"/>
    <w:rsid w:val="00DC4F86"/>
    <w:rsid w:val="00DE34F1"/>
    <w:rsid w:val="00DF4942"/>
    <w:rsid w:val="00E149C4"/>
    <w:rsid w:val="00E2243E"/>
    <w:rsid w:val="00E254D3"/>
    <w:rsid w:val="00E407C6"/>
    <w:rsid w:val="00E4486A"/>
    <w:rsid w:val="00E627B1"/>
    <w:rsid w:val="00E636A6"/>
    <w:rsid w:val="00E65E2F"/>
    <w:rsid w:val="00E81718"/>
    <w:rsid w:val="00E9376C"/>
    <w:rsid w:val="00E95F0B"/>
    <w:rsid w:val="00EA16BF"/>
    <w:rsid w:val="00EA335E"/>
    <w:rsid w:val="00EA528C"/>
    <w:rsid w:val="00EA71AC"/>
    <w:rsid w:val="00EB3EF7"/>
    <w:rsid w:val="00ED4292"/>
    <w:rsid w:val="00EE1592"/>
    <w:rsid w:val="00EF0B3E"/>
    <w:rsid w:val="00EF34E2"/>
    <w:rsid w:val="00EF3E8A"/>
    <w:rsid w:val="00F07DA0"/>
    <w:rsid w:val="00F116B3"/>
    <w:rsid w:val="00F20FD2"/>
    <w:rsid w:val="00F31F80"/>
    <w:rsid w:val="00F42A5D"/>
    <w:rsid w:val="00F53DE9"/>
    <w:rsid w:val="00F56180"/>
    <w:rsid w:val="00F576CB"/>
    <w:rsid w:val="00F63214"/>
    <w:rsid w:val="00F65E73"/>
    <w:rsid w:val="00F71A02"/>
    <w:rsid w:val="00F74C43"/>
    <w:rsid w:val="00F92A22"/>
    <w:rsid w:val="00FA1D48"/>
    <w:rsid w:val="00FC0FDB"/>
    <w:rsid w:val="00FD1226"/>
    <w:rsid w:val="00FF4830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uiPriority="9"/>
    <w:lsdException w:name="heading 4" w:semiHidden="0" w:uiPriority="0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GAPara">
    <w:name w:val="GA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character" w:styleId="Hyperlink">
    <w:name w:val="Hyperlink"/>
    <w:uiPriority w:val="99"/>
    <w:unhideWhenUsed/>
    <w:rsid w:val="00EA71AC"/>
    <w:rPr>
      <w:color w:val="0000FF"/>
      <w:u w:val="single"/>
    </w:rPr>
  </w:style>
  <w:style w:type="paragraph" w:styleId="ListParagraph">
    <w:name w:val="List Paragraph"/>
    <w:basedOn w:val="Normal"/>
    <w:qFormat/>
    <w:rsid w:val="00EA71A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A71AC"/>
    <w:pPr>
      <w:spacing w:before="60" w:after="60"/>
      <w:jc w:val="both"/>
    </w:pPr>
    <w:rPr>
      <w:rFonts w:ascii="Arial" w:hAnsi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A71AC"/>
    <w:rPr>
      <w:rFonts w:ascii="Arial" w:eastAsia="Times New Roman" w:hAnsi="Arial"/>
      <w:lang w:eastAsia="fr-FR"/>
    </w:rPr>
  </w:style>
  <w:style w:type="character" w:styleId="FootnoteReference">
    <w:name w:val="footnote reference"/>
    <w:uiPriority w:val="99"/>
    <w:unhideWhenUsed/>
    <w:rsid w:val="00EA71AC"/>
    <w:rPr>
      <w:vertAlign w:val="superscript"/>
    </w:rPr>
  </w:style>
  <w:style w:type="character" w:customStyle="1" w:styleId="hps">
    <w:name w:val="hps"/>
    <w:rsid w:val="00EA71AC"/>
  </w:style>
  <w:style w:type="character" w:styleId="Strong">
    <w:name w:val="Strong"/>
    <w:uiPriority w:val="22"/>
    <w:qFormat/>
    <w:rsid w:val="00EA71A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2319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uiPriority="9"/>
    <w:lsdException w:name="heading 4" w:semiHidden="0" w:uiPriority="0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GAPara">
    <w:name w:val="GA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character" w:styleId="Hyperlink">
    <w:name w:val="Hyperlink"/>
    <w:uiPriority w:val="99"/>
    <w:unhideWhenUsed/>
    <w:rsid w:val="00EA71AC"/>
    <w:rPr>
      <w:color w:val="0000FF"/>
      <w:u w:val="single"/>
    </w:rPr>
  </w:style>
  <w:style w:type="paragraph" w:styleId="ListParagraph">
    <w:name w:val="List Paragraph"/>
    <w:basedOn w:val="Normal"/>
    <w:qFormat/>
    <w:rsid w:val="00EA71A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A71AC"/>
    <w:pPr>
      <w:spacing w:before="60" w:after="60"/>
      <w:jc w:val="both"/>
    </w:pPr>
    <w:rPr>
      <w:rFonts w:ascii="Arial" w:hAnsi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A71AC"/>
    <w:rPr>
      <w:rFonts w:ascii="Arial" w:eastAsia="Times New Roman" w:hAnsi="Arial"/>
      <w:lang w:eastAsia="fr-FR"/>
    </w:rPr>
  </w:style>
  <w:style w:type="character" w:styleId="FootnoteReference">
    <w:name w:val="footnote reference"/>
    <w:uiPriority w:val="99"/>
    <w:unhideWhenUsed/>
    <w:rsid w:val="00EA71AC"/>
    <w:rPr>
      <w:vertAlign w:val="superscript"/>
    </w:rPr>
  </w:style>
  <w:style w:type="character" w:customStyle="1" w:styleId="hps">
    <w:name w:val="hps"/>
    <w:rsid w:val="00EA71AC"/>
  </w:style>
  <w:style w:type="character" w:styleId="Strong">
    <w:name w:val="Strong"/>
    <w:uiPriority w:val="22"/>
    <w:qFormat/>
    <w:rsid w:val="00EA71A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231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esco.org/culture/ich/index.php?lg=en&amp;pg=708" TargetMode="External"/><Relationship Id="rId18" Type="http://schemas.openxmlformats.org/officeDocument/2006/relationships/hyperlink" Target="http://www.unesco.org/culture/ich/en/Decisions/10.COM/6.b" TargetMode="External"/><Relationship Id="rId26" Type="http://schemas.openxmlformats.org/officeDocument/2006/relationships/hyperlink" Target="http://www.unesco.org/culture/ich/doc/src/ITH-16-11.COM_1.BUR-2_Rev.-FR.doc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nesco.org/culture/ich/index.php?lg=en&amp;pg=00707" TargetMode="External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unesco.org/culture/ich/index.php?lg=en&amp;pg=768" TargetMode="External"/><Relationship Id="rId17" Type="http://schemas.openxmlformats.org/officeDocument/2006/relationships/hyperlink" Target="http://www.unesco.org/culture/ich/en/Decisions/10.COM/6.a" TargetMode="External"/><Relationship Id="rId25" Type="http://schemas.openxmlformats.org/officeDocument/2006/relationships/hyperlink" Target="http://www.unesco.org/culture/ich/doc/src/ITH-16-11.COM_1.BUR-2_Rev.-EN.docx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unesco.org/culture/ich/en/Decisions/9.COM/5.b" TargetMode="External"/><Relationship Id="rId20" Type="http://schemas.openxmlformats.org/officeDocument/2006/relationships/hyperlink" Target="http://www.unesco.org/culture/ich/doc/src/ITH-14-9.COM-5.a-FR__.doc" TargetMode="External"/><Relationship Id="rId29" Type="http://schemas.openxmlformats.org/officeDocument/2006/relationships/hyperlink" Target="http://www.unesco.org/culture/ich/doc/src/ITH-15-10.COM-6.b_FR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esco.org/culture/ich/index.php?lg=en&amp;pg=707" TargetMode="External"/><Relationship Id="rId24" Type="http://schemas.openxmlformats.org/officeDocument/2006/relationships/hyperlink" Target="http://www.unesco.org/culture/ich/index.php?lg=en&amp;pg=00708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unesco.org/culture/ich/en/Decisions/9.COM/5.a" TargetMode="External"/><Relationship Id="rId23" Type="http://schemas.openxmlformats.org/officeDocument/2006/relationships/hyperlink" Target="http://www.unesco.org/culture/ich/doc/src/ITH-14-9.COM-5.b-FR.doc" TargetMode="External"/><Relationship Id="rId28" Type="http://schemas.openxmlformats.org/officeDocument/2006/relationships/hyperlink" Target="http://www.unesco.org/culture/ich/doc/src/ITH-15-10.COM-6.b_EN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unesdoc.unesco.org/images/0013/001325/132540r.pdf" TargetMode="External"/><Relationship Id="rId19" Type="http://schemas.openxmlformats.org/officeDocument/2006/relationships/hyperlink" Target="http://www.unesco.org/culture/ich/doc/src/ITH-14-9.COM-5.a-EN_.doc" TargetMode="External"/><Relationship Id="rId31" Type="http://schemas.openxmlformats.org/officeDocument/2006/relationships/hyperlink" Target="http://www.unesco.org/culture/ich/doc/src/ITH-15-10.COM-6.c_EN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.unesco.org/system/files/Strengthening%20capacities%20to%20safeguard%20intangible%20cultural%20heritage%20for%20sustainable%20development_0.pdf" TargetMode="External"/><Relationship Id="rId14" Type="http://schemas.openxmlformats.org/officeDocument/2006/relationships/hyperlink" Target="http://www.unesco.org/culture/ich/index.php?lg=en&amp;pg=769" TargetMode="External"/><Relationship Id="rId22" Type="http://schemas.openxmlformats.org/officeDocument/2006/relationships/hyperlink" Target="http://www.unesco.org/culture/ich/doc/src/ITH-14-9.COM-5.b-EN.doc" TargetMode="External"/><Relationship Id="rId27" Type="http://schemas.openxmlformats.org/officeDocument/2006/relationships/hyperlink" Target="http://www.unesco.org/culture/ich/index.php?lg=en&amp;pg=768" TargetMode="External"/><Relationship Id="rId30" Type="http://schemas.openxmlformats.org/officeDocument/2006/relationships/hyperlink" Target="http://www.unesco.org/culture/ich/index.php?lg=en&amp;pg=769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sco.org/culture/ich/doc/src/ITH-14-9.COM_2.BUR-1_EN.doc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4E953-B1E3-4540-B428-03972D14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23AF3FA0.dotm</Template>
  <TotalTime>53</TotalTime>
  <Pages>7</Pages>
  <Words>3019</Words>
  <Characters>16605</Characters>
  <Application>Microsoft Office Word</Application>
  <DocSecurity>0</DocSecurity>
  <Lines>138</Lines>
  <Paragraphs>39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UNESCO</Company>
  <LinksUpToDate>false</LinksUpToDate>
  <CharactersWithSpaces>19585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UNESCO</dc:creator>
  <cp:lastModifiedBy>Elena Constantinou</cp:lastModifiedBy>
  <cp:revision>9</cp:revision>
  <cp:lastPrinted>2011-08-06T09:22:00Z</cp:lastPrinted>
  <dcterms:created xsi:type="dcterms:W3CDTF">2016-04-29T08:01:00Z</dcterms:created>
  <dcterms:modified xsi:type="dcterms:W3CDTF">2016-04-29T10:19:00Z</dcterms:modified>
</cp:coreProperties>
</file>