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7FBC" w14:textId="2AA9CC60" w:rsidR="0037446D" w:rsidRPr="00710118" w:rsidRDefault="0037446D" w:rsidP="0037446D">
      <w:pPr>
        <w:spacing w:before="1440"/>
        <w:jc w:val="center"/>
        <w:rPr>
          <w:rFonts w:ascii="Arial" w:hAnsi="Arial" w:cs="Arial"/>
          <w:b/>
          <w:szCs w:val="22"/>
          <w:lang w:val="fr-FR"/>
        </w:rPr>
      </w:pPr>
      <w:r w:rsidRPr="00710118">
        <w:rPr>
          <w:rFonts w:ascii="Arial" w:hAnsi="Arial"/>
          <w:b/>
          <w:lang w:val="fr-FR"/>
        </w:rPr>
        <w:t>CONVENTION POUR LA SAUVEGARDE DU</w:t>
      </w:r>
      <w:r w:rsidRPr="00710118">
        <w:rPr>
          <w:rFonts w:ascii="Arial" w:hAnsi="Arial"/>
          <w:b/>
          <w:lang w:val="fr-FR"/>
        </w:rPr>
        <w:br/>
        <w:t>PATRIMOINE CULTUREL IMMATÉRIEL</w:t>
      </w:r>
    </w:p>
    <w:p w14:paraId="3E7B5040" w14:textId="77777777" w:rsidR="0037446D" w:rsidRPr="00710118" w:rsidRDefault="0037446D" w:rsidP="0037446D">
      <w:pPr>
        <w:spacing w:before="840" w:after="0"/>
        <w:jc w:val="center"/>
        <w:rPr>
          <w:rFonts w:ascii="Arial" w:hAnsi="Arial"/>
          <w:b/>
          <w:lang w:val="fr-FR"/>
        </w:rPr>
      </w:pPr>
      <w:r w:rsidRPr="00710118">
        <w:rPr>
          <w:rFonts w:ascii="Arial" w:hAnsi="Arial"/>
          <w:b/>
          <w:lang w:val="fr-FR"/>
        </w:rPr>
        <w:t>Groupe de travail intergouvernemental à composition non limitée</w:t>
      </w:r>
      <w:r w:rsidRPr="00710118">
        <w:rPr>
          <w:rFonts w:ascii="Arial" w:hAnsi="Arial"/>
          <w:b/>
          <w:lang w:val="fr-FR"/>
        </w:rPr>
        <w:br/>
        <w:t>dans le cadre de la réflexion globale sur les mécanismes d’inscription sur les listes</w:t>
      </w:r>
      <w:r w:rsidRPr="00710118">
        <w:rPr>
          <w:rFonts w:ascii="Arial" w:hAnsi="Arial"/>
          <w:b/>
          <w:lang w:val="fr-FR"/>
        </w:rPr>
        <w:br/>
        <w:t>de la Convention de 2003</w:t>
      </w:r>
    </w:p>
    <w:p w14:paraId="1BC271F5" w14:textId="77777777" w:rsidR="0037446D" w:rsidRPr="00710118" w:rsidRDefault="0037446D" w:rsidP="0037446D">
      <w:pPr>
        <w:spacing w:before="840" w:after="0"/>
        <w:jc w:val="center"/>
        <w:rPr>
          <w:rFonts w:ascii="Arial" w:eastAsiaTheme="minorEastAsia" w:hAnsi="Arial" w:cs="Arial"/>
          <w:b/>
          <w:szCs w:val="22"/>
          <w:lang w:val="fr-FR"/>
        </w:rPr>
      </w:pPr>
      <w:r w:rsidRPr="00710118">
        <w:rPr>
          <w:rFonts w:ascii="Arial" w:hAnsi="Arial"/>
          <w:b/>
          <w:lang w:val="fr-FR"/>
        </w:rPr>
        <w:t>En ligne</w:t>
      </w:r>
    </w:p>
    <w:p w14:paraId="0D9A7B28" w14:textId="77777777" w:rsidR="0037446D" w:rsidRPr="00710118" w:rsidRDefault="0037446D" w:rsidP="0037446D">
      <w:pPr>
        <w:spacing w:after="0"/>
        <w:jc w:val="center"/>
        <w:rPr>
          <w:rFonts w:ascii="Arial" w:hAnsi="Arial"/>
          <w:b/>
          <w:lang w:val="fr-FR"/>
        </w:rPr>
      </w:pPr>
      <w:bookmarkStart w:id="0" w:name="_Hlk82440005"/>
      <w:r w:rsidRPr="00710118">
        <w:rPr>
          <w:rFonts w:ascii="Arial" w:hAnsi="Arial"/>
          <w:b/>
          <w:lang w:val="fr-FR"/>
        </w:rPr>
        <w:t>8 au 9 juillet 2021 (Partie I)</w:t>
      </w:r>
    </w:p>
    <w:bookmarkEnd w:id="0"/>
    <w:p w14:paraId="7A735504" w14:textId="77777777" w:rsidR="0037446D" w:rsidRPr="00710118" w:rsidRDefault="0037446D" w:rsidP="0037446D">
      <w:pPr>
        <w:spacing w:after="0"/>
        <w:jc w:val="center"/>
        <w:rPr>
          <w:rFonts w:ascii="Arial" w:eastAsiaTheme="minorEastAsia" w:hAnsi="Arial" w:cs="Arial"/>
          <w:b/>
          <w:szCs w:val="22"/>
          <w:lang w:val="fr-FR"/>
        </w:rPr>
      </w:pPr>
      <w:r w:rsidRPr="00710118">
        <w:rPr>
          <w:rFonts w:ascii="Arial" w:hAnsi="Arial"/>
          <w:b/>
          <w:lang w:val="fr-FR"/>
        </w:rPr>
        <w:t>9 et 10 septembre 2021 (Partie II)</w:t>
      </w:r>
    </w:p>
    <w:p w14:paraId="35917017" w14:textId="12D90436" w:rsidR="0037446D" w:rsidRPr="00710118" w:rsidRDefault="000C364B" w:rsidP="00A02D9C">
      <w:pPr>
        <w:pStyle w:val="Sansinterligne2"/>
        <w:tabs>
          <w:tab w:val="center" w:pos="4819"/>
          <w:tab w:val="left" w:pos="8050"/>
        </w:tabs>
        <w:spacing w:before="1200"/>
        <w:jc w:val="center"/>
        <w:rPr>
          <w:rFonts w:ascii="Arial" w:hAnsi="Arial" w:cs="Arial"/>
          <w:b/>
          <w:sz w:val="22"/>
          <w:szCs w:val="22"/>
        </w:rPr>
      </w:pPr>
      <w:r w:rsidRPr="00710118">
        <w:rPr>
          <w:rFonts w:ascii="Arial" w:hAnsi="Arial"/>
          <w:b/>
          <w:sz w:val="22"/>
          <w:szCs w:val="22"/>
          <w:u w:val="single"/>
        </w:rPr>
        <w:t>RECOMMANDATIONS</w:t>
      </w:r>
    </w:p>
    <w:p w14:paraId="1A6428CE" w14:textId="77777777" w:rsidR="0037446D" w:rsidRPr="00710118" w:rsidRDefault="0037446D">
      <w:pPr>
        <w:spacing w:after="160" w:line="259" w:lineRule="auto"/>
        <w:rPr>
          <w:rFonts w:ascii="Arial" w:hAnsi="Arial"/>
          <w:b/>
          <w:szCs w:val="22"/>
          <w:lang w:val="fr-FR"/>
        </w:rPr>
      </w:pPr>
      <w:r w:rsidRPr="00710118">
        <w:rPr>
          <w:rFonts w:ascii="Arial" w:hAnsi="Arial"/>
          <w:b/>
          <w:szCs w:val="22"/>
          <w:lang w:val="fr-FR"/>
        </w:rPr>
        <w:br w:type="page"/>
      </w:r>
    </w:p>
    <w:p w14:paraId="1ABB6EDE" w14:textId="2A833A13" w:rsidR="004A6319" w:rsidRPr="00710118" w:rsidRDefault="004A6319" w:rsidP="00A02D9C">
      <w:pPr>
        <w:pStyle w:val="Sansinterligne1"/>
        <w:spacing w:before="360" w:after="360"/>
        <w:jc w:val="center"/>
        <w:rPr>
          <w:rFonts w:ascii="Arial" w:eastAsiaTheme="minorEastAsia" w:hAnsi="Arial" w:cs="Arial"/>
          <w:b/>
          <w:sz w:val="22"/>
          <w:szCs w:val="22"/>
        </w:rPr>
      </w:pPr>
      <w:r w:rsidRPr="00710118">
        <w:rPr>
          <w:rFonts w:ascii="Arial" w:hAnsi="Arial"/>
          <w:b/>
          <w:sz w:val="22"/>
          <w:szCs w:val="22"/>
        </w:rPr>
        <w:lastRenderedPageBreak/>
        <w:t xml:space="preserve">Recommandations du </w:t>
      </w:r>
      <w:r w:rsidR="001F491B" w:rsidRPr="00710118">
        <w:rPr>
          <w:rFonts w:ascii="Arial" w:hAnsi="Arial"/>
          <w:b/>
          <w:sz w:val="22"/>
          <w:szCs w:val="22"/>
        </w:rPr>
        <w:t xml:space="preserve">groupe </w:t>
      </w:r>
      <w:r w:rsidRPr="00710118">
        <w:rPr>
          <w:rFonts w:ascii="Arial" w:hAnsi="Arial"/>
          <w:b/>
          <w:sz w:val="22"/>
          <w:szCs w:val="22"/>
        </w:rPr>
        <w:t>de travail intergouvernemental à composition non limitée</w:t>
      </w:r>
    </w:p>
    <w:p w14:paraId="2398E9EE" w14:textId="0757B60F" w:rsidR="004A6319" w:rsidRPr="00710118" w:rsidRDefault="004A6319" w:rsidP="005B7720">
      <w:pPr>
        <w:numPr>
          <w:ilvl w:val="0"/>
          <w:numId w:val="2"/>
        </w:numPr>
        <w:ind w:left="567" w:hanging="567"/>
        <w:jc w:val="both"/>
        <w:rPr>
          <w:rFonts w:ascii="Arial" w:hAnsi="Arial" w:cs="Arial"/>
          <w:snapToGrid w:val="0"/>
          <w:szCs w:val="22"/>
          <w:lang w:val="fr-FR"/>
        </w:rPr>
      </w:pPr>
      <w:r w:rsidRPr="00710118">
        <w:rPr>
          <w:rFonts w:ascii="Arial" w:hAnsi="Arial"/>
          <w:snapToGrid w:val="0"/>
          <w:szCs w:val="22"/>
          <w:lang w:val="fr-FR"/>
        </w:rPr>
        <w:t xml:space="preserve">Le </w:t>
      </w:r>
      <w:r w:rsidR="00BF22A9" w:rsidRPr="00710118">
        <w:rPr>
          <w:rFonts w:asciiTheme="minorBidi" w:hAnsiTheme="minorBidi"/>
          <w:snapToGrid w:val="0"/>
          <w:szCs w:val="22"/>
          <w:lang w:val="fr-FR"/>
        </w:rPr>
        <w:t xml:space="preserve">groupe </w:t>
      </w:r>
      <w:r w:rsidRPr="00710118">
        <w:rPr>
          <w:rFonts w:asciiTheme="minorBidi" w:hAnsiTheme="minorBidi"/>
          <w:snapToGrid w:val="0"/>
          <w:szCs w:val="22"/>
          <w:lang w:val="fr-FR"/>
        </w:rPr>
        <w:t>de travail affirme que la réforme devrait s’efforcer de placer les communautés, les groupes et, le cas échéant, les individus au centre des efforts de sauvegarde et rechercher leur participation plus large et plus active à toutes les étapes des mécanismes relatifs aux listes</w:t>
      </w:r>
      <w:r w:rsidRPr="00710118">
        <w:rPr>
          <w:rFonts w:ascii="Arial" w:hAnsi="Arial"/>
          <w:snapToGrid w:val="0"/>
          <w:szCs w:val="22"/>
          <w:lang w:val="fr-FR"/>
        </w:rPr>
        <w:t>.</w:t>
      </w:r>
    </w:p>
    <w:p w14:paraId="3C531A8A" w14:textId="77777777" w:rsidR="004A6319" w:rsidRPr="00710118" w:rsidRDefault="004A6319" w:rsidP="005B7720">
      <w:pPr>
        <w:spacing w:before="240"/>
        <w:jc w:val="both"/>
        <w:rPr>
          <w:rFonts w:ascii="Arial" w:hAnsi="Arial" w:cs="Arial"/>
          <w:snapToGrid w:val="0"/>
          <w:szCs w:val="22"/>
          <w:u w:val="single"/>
          <w:lang w:val="fr-FR"/>
        </w:rPr>
      </w:pPr>
      <w:r w:rsidRPr="00710118">
        <w:rPr>
          <w:rFonts w:ascii="Arial" w:hAnsi="Arial"/>
          <w:snapToGrid w:val="0"/>
          <w:szCs w:val="22"/>
          <w:u w:val="single"/>
          <w:lang w:val="fr-FR"/>
        </w:rPr>
        <w:t>Questions relatives aux critères d’inscription</w:t>
      </w:r>
    </w:p>
    <w:p w14:paraId="5B2DFA1F" w14:textId="31339651" w:rsidR="004A6319" w:rsidRPr="00710118" w:rsidRDefault="004A6319" w:rsidP="005B7720">
      <w:pPr>
        <w:numPr>
          <w:ilvl w:val="0"/>
          <w:numId w:val="2"/>
        </w:numPr>
        <w:ind w:left="567" w:hanging="567"/>
        <w:jc w:val="both"/>
        <w:rPr>
          <w:rFonts w:ascii="Arial" w:hAnsi="Arial" w:cs="Arial"/>
          <w:szCs w:val="22"/>
          <w:lang w:val="fr-FR"/>
        </w:rPr>
      </w:pPr>
      <w:r w:rsidRPr="00710118">
        <w:rPr>
          <w:rFonts w:ascii="Arial" w:hAnsi="Arial"/>
          <w:snapToGrid w:val="0"/>
          <w:szCs w:val="22"/>
          <w:lang w:val="fr-FR"/>
        </w:rPr>
        <w:t>Tous les critères de la Liste représentative du patrimoine culturel immatériel de l’humanité (ci-après la « Liste représentative »), et de la Liste du patrimoine culturel immatériel nécessitant une sauvegarde urgente (ci-après la « Liste de sauvegarde urgente »)</w:t>
      </w:r>
      <w:r w:rsidR="00EF3440" w:rsidRPr="00710118">
        <w:rPr>
          <w:rFonts w:ascii="Arial" w:hAnsi="Arial"/>
          <w:snapToGrid w:val="0"/>
          <w:szCs w:val="22"/>
          <w:lang w:val="fr-FR"/>
        </w:rPr>
        <w:t xml:space="preserve"> </w:t>
      </w:r>
      <w:proofErr w:type="gramStart"/>
      <w:r w:rsidR="00EF3440" w:rsidRPr="00710118">
        <w:rPr>
          <w:rFonts w:ascii="Arial" w:hAnsi="Arial"/>
          <w:snapToGrid w:val="0"/>
          <w:szCs w:val="22"/>
          <w:lang w:val="fr-FR"/>
        </w:rPr>
        <w:t>doivent</w:t>
      </w:r>
      <w:proofErr w:type="gramEnd"/>
      <w:r w:rsidR="00EF3440" w:rsidRPr="00710118">
        <w:rPr>
          <w:rFonts w:ascii="Arial" w:hAnsi="Arial"/>
          <w:snapToGrid w:val="0"/>
          <w:szCs w:val="22"/>
          <w:lang w:val="fr-FR"/>
        </w:rPr>
        <w:t xml:space="preserve"> être maintenus,</w:t>
      </w:r>
      <w:r w:rsidRPr="00710118">
        <w:rPr>
          <w:rFonts w:asciiTheme="minorBidi" w:hAnsiTheme="minorBidi"/>
          <w:snapToGrid w:val="0"/>
          <w:szCs w:val="22"/>
          <w:lang w:val="fr-FR"/>
        </w:rPr>
        <w:t xml:space="preserve"> tout en considérant les propositions spécifiques suivantes :</w:t>
      </w:r>
    </w:p>
    <w:p w14:paraId="0DE156E0" w14:textId="231A5ECB" w:rsidR="004A6319" w:rsidRPr="00710118" w:rsidRDefault="004A6319" w:rsidP="005B7720">
      <w:pPr>
        <w:pStyle w:val="ListParagraph"/>
        <w:numPr>
          <w:ilvl w:val="1"/>
          <w:numId w:val="14"/>
        </w:numPr>
        <w:ind w:left="987" w:hanging="420"/>
        <w:contextualSpacing w:val="0"/>
        <w:jc w:val="both"/>
        <w:rPr>
          <w:rFonts w:ascii="Arial" w:hAnsi="Arial" w:cs="Arial"/>
          <w:i/>
          <w:iCs/>
          <w:szCs w:val="22"/>
          <w:lang w:val="fr-FR"/>
        </w:rPr>
      </w:pPr>
      <w:r w:rsidRPr="00710118">
        <w:rPr>
          <w:rFonts w:ascii="Arial" w:hAnsi="Arial" w:cs="Arial"/>
          <w:i/>
          <w:iCs/>
          <w:szCs w:val="22"/>
          <w:lang w:val="fr-FR"/>
        </w:rPr>
        <w:t xml:space="preserve">Le critère R.1/U.1 ou le formulaire de candidature devrait inclure une référence à la conformité de l’élément avec et les instruments internationaux relatifs aux droits humains ; </w:t>
      </w:r>
    </w:p>
    <w:p w14:paraId="18CE7A29" w14:textId="45B36285" w:rsidR="004A6319" w:rsidRPr="00710118" w:rsidRDefault="004A6319" w:rsidP="005B7720">
      <w:pPr>
        <w:pStyle w:val="ListParagraph"/>
        <w:numPr>
          <w:ilvl w:val="1"/>
          <w:numId w:val="14"/>
        </w:numPr>
        <w:ind w:left="987" w:hanging="420"/>
        <w:contextualSpacing w:val="0"/>
        <w:jc w:val="both"/>
        <w:rPr>
          <w:rFonts w:ascii="Arial" w:hAnsi="Arial" w:cs="Arial"/>
          <w:i/>
          <w:iCs/>
          <w:szCs w:val="22"/>
          <w:lang w:val="fr-FR"/>
        </w:rPr>
      </w:pPr>
      <w:r w:rsidRPr="00710118">
        <w:rPr>
          <w:rFonts w:ascii="Arial" w:hAnsi="Arial" w:cs="Arial"/>
          <w:i/>
          <w:iCs/>
          <w:szCs w:val="22"/>
          <w:lang w:val="fr-FR"/>
        </w:rPr>
        <w:t>Le critère R.2 ou le formulaire de candidature devrait être reformulé et simplifié pour se concentrer sur la contribution des éléments proposés au respect mutuel et au dialogue entre communautés, groupes et individus, et pour indiquer comment l’élément contribue au développement durable</w:t>
      </w:r>
      <w:r w:rsidRPr="00710118" w:rsidDel="00285729">
        <w:rPr>
          <w:rFonts w:ascii="Arial" w:hAnsi="Arial" w:cs="Arial"/>
          <w:i/>
          <w:iCs/>
          <w:szCs w:val="22"/>
          <w:lang w:val="fr-FR"/>
        </w:rPr>
        <w:t xml:space="preserve"> </w:t>
      </w:r>
      <w:r w:rsidRPr="00710118">
        <w:rPr>
          <w:rFonts w:ascii="Arial" w:hAnsi="Arial" w:cs="Arial"/>
          <w:i/>
          <w:iCs/>
          <w:szCs w:val="22"/>
          <w:lang w:val="fr-FR"/>
        </w:rPr>
        <w:t>;</w:t>
      </w:r>
    </w:p>
    <w:p w14:paraId="443145DE" w14:textId="0DD75AD1" w:rsidR="004A6319" w:rsidRPr="00710118" w:rsidRDefault="004A6319" w:rsidP="005B7720">
      <w:pPr>
        <w:pStyle w:val="ListParagraph"/>
        <w:numPr>
          <w:ilvl w:val="1"/>
          <w:numId w:val="14"/>
        </w:numPr>
        <w:ind w:left="987" w:hanging="420"/>
        <w:contextualSpacing w:val="0"/>
        <w:jc w:val="both"/>
        <w:rPr>
          <w:rFonts w:ascii="Arial" w:hAnsi="Arial" w:cs="Arial"/>
          <w:i/>
          <w:iCs/>
          <w:szCs w:val="22"/>
          <w:lang w:val="fr-FR"/>
        </w:rPr>
      </w:pPr>
      <w:r w:rsidRPr="00710118">
        <w:rPr>
          <w:rFonts w:ascii="Arial" w:hAnsi="Arial" w:cs="Arial"/>
          <w:i/>
          <w:iCs/>
          <w:szCs w:val="22"/>
          <w:lang w:val="fr-FR"/>
        </w:rPr>
        <w:t>Le critère R.4/U.4 ou le formulaire de candidature devrait être révisé pour s’assurer que les communautés comprennent que l’inscription sur les Listes de la Convention ne place pas leur élément au-dessus des autres, ni n’implique l’exclusivité ou la « propriété » de cet élément ;</w:t>
      </w:r>
    </w:p>
    <w:p w14:paraId="315240B9" w14:textId="19C3B6E1" w:rsidR="004A6319" w:rsidRPr="00710118" w:rsidRDefault="004A6319" w:rsidP="005B7720">
      <w:pPr>
        <w:pStyle w:val="ListParagraph"/>
        <w:numPr>
          <w:ilvl w:val="1"/>
          <w:numId w:val="14"/>
        </w:numPr>
        <w:ind w:left="987" w:hanging="420"/>
        <w:contextualSpacing w:val="0"/>
        <w:jc w:val="both"/>
        <w:rPr>
          <w:rFonts w:ascii="Arial" w:hAnsi="Arial" w:cs="Arial"/>
          <w:i/>
          <w:iCs/>
          <w:szCs w:val="22"/>
          <w:lang w:val="fr-FR"/>
        </w:rPr>
      </w:pPr>
      <w:r w:rsidRPr="00710118">
        <w:rPr>
          <w:rFonts w:ascii="Arial" w:hAnsi="Arial" w:cs="Arial"/>
          <w:i/>
          <w:iCs/>
          <w:szCs w:val="22"/>
          <w:lang w:val="fr-FR"/>
        </w:rPr>
        <w:t>Le critère R.5/U.5 ou le formulaire de candidature devrait être simplifié en renvoyant aux systèmes d’inventaire déjà identifiés dans le rapport périodique ; et</w:t>
      </w:r>
    </w:p>
    <w:p w14:paraId="3B89C256" w14:textId="044B9D00" w:rsidR="004A6319" w:rsidRPr="00710118" w:rsidRDefault="004A6319" w:rsidP="005B7720">
      <w:pPr>
        <w:pStyle w:val="ListParagraph"/>
        <w:numPr>
          <w:ilvl w:val="1"/>
          <w:numId w:val="14"/>
        </w:numPr>
        <w:ind w:left="987" w:hanging="420"/>
        <w:contextualSpacing w:val="0"/>
        <w:jc w:val="both"/>
        <w:rPr>
          <w:rFonts w:ascii="Arial" w:hAnsi="Arial" w:cs="Arial"/>
          <w:i/>
          <w:iCs/>
          <w:szCs w:val="22"/>
          <w:lang w:val="fr-FR"/>
        </w:rPr>
      </w:pPr>
      <w:r w:rsidRPr="00710118">
        <w:rPr>
          <w:rFonts w:ascii="Arial" w:hAnsi="Arial" w:cs="Arial"/>
          <w:i/>
          <w:iCs/>
          <w:szCs w:val="22"/>
          <w:lang w:val="fr-FR"/>
        </w:rPr>
        <w:t>La simplification des formulaires pour tous les critères.</w:t>
      </w:r>
    </w:p>
    <w:p w14:paraId="2EF141DF" w14:textId="46728F04" w:rsidR="004A6319" w:rsidRPr="00710118" w:rsidRDefault="00EF3440" w:rsidP="005B7720">
      <w:pPr>
        <w:numPr>
          <w:ilvl w:val="0"/>
          <w:numId w:val="2"/>
        </w:numPr>
        <w:ind w:left="567" w:hanging="567"/>
        <w:jc w:val="both"/>
        <w:rPr>
          <w:rFonts w:ascii="Arial" w:hAnsi="Arial" w:cs="Arial"/>
          <w:snapToGrid w:val="0"/>
          <w:szCs w:val="22"/>
          <w:lang w:val="fr-FR"/>
        </w:rPr>
      </w:pPr>
      <w:r w:rsidRPr="00710118">
        <w:rPr>
          <w:rFonts w:ascii="Arial" w:hAnsi="Arial"/>
          <w:snapToGrid w:val="0"/>
          <w:szCs w:val="22"/>
          <w:lang w:val="fr-FR"/>
        </w:rPr>
        <w:t>L</w:t>
      </w:r>
      <w:r w:rsidR="004A6319" w:rsidRPr="00710118">
        <w:rPr>
          <w:rFonts w:asciiTheme="minorBidi" w:hAnsiTheme="minorBidi"/>
          <w:szCs w:val="22"/>
          <w:lang w:val="fr-FR"/>
        </w:rPr>
        <w:t xml:space="preserve">es critères pour le </w:t>
      </w:r>
      <w:r w:rsidR="004A6319" w:rsidRPr="00710118">
        <w:rPr>
          <w:rFonts w:ascii="Arial" w:hAnsi="Arial"/>
          <w:snapToGrid w:val="0"/>
          <w:szCs w:val="22"/>
          <w:lang w:val="fr-FR"/>
        </w:rPr>
        <w:t xml:space="preserve">Registre de bonnes pratiques de sauvegarde </w:t>
      </w:r>
      <w:r w:rsidRPr="00710118">
        <w:rPr>
          <w:rFonts w:ascii="Arial" w:hAnsi="Arial"/>
          <w:snapToGrid w:val="0"/>
          <w:szCs w:val="22"/>
          <w:lang w:val="fr-FR"/>
        </w:rPr>
        <w:t xml:space="preserve">doivent être amendés </w:t>
      </w:r>
      <w:r w:rsidR="004A6319" w:rsidRPr="00710118">
        <w:rPr>
          <w:rFonts w:ascii="Arial" w:hAnsi="Arial"/>
          <w:snapToGrid w:val="0"/>
          <w:szCs w:val="22"/>
          <w:lang w:val="fr-FR"/>
        </w:rPr>
        <w:t>comme suit :</w:t>
      </w:r>
    </w:p>
    <w:p w14:paraId="7878DFAD" w14:textId="33E5603A" w:rsidR="004A6319" w:rsidRPr="00710118" w:rsidRDefault="004A6319" w:rsidP="005B7720">
      <w:pPr>
        <w:pStyle w:val="ListParagraph"/>
        <w:numPr>
          <w:ilvl w:val="0"/>
          <w:numId w:val="15"/>
        </w:numPr>
        <w:ind w:left="990"/>
        <w:contextualSpacing w:val="0"/>
        <w:jc w:val="both"/>
        <w:rPr>
          <w:rFonts w:ascii="Arial" w:hAnsi="Arial" w:cs="Arial"/>
          <w:i/>
          <w:iCs/>
          <w:szCs w:val="22"/>
          <w:lang w:val="fr-FR"/>
        </w:rPr>
      </w:pPr>
      <w:r w:rsidRPr="00710118">
        <w:rPr>
          <w:rFonts w:ascii="Arial" w:hAnsi="Arial" w:cs="Arial"/>
          <w:i/>
          <w:iCs/>
          <w:szCs w:val="22"/>
          <w:lang w:val="fr-FR"/>
        </w:rPr>
        <w:t>Le critère P.9 devrait être supprimé.</w:t>
      </w:r>
    </w:p>
    <w:p w14:paraId="5029DD9E" w14:textId="77777777" w:rsidR="004A6319" w:rsidRPr="00710118" w:rsidRDefault="004A6319" w:rsidP="005B7720">
      <w:pPr>
        <w:spacing w:before="240"/>
        <w:jc w:val="both"/>
        <w:rPr>
          <w:rFonts w:ascii="Arial" w:hAnsi="Arial" w:cs="Arial"/>
          <w:snapToGrid w:val="0"/>
          <w:szCs w:val="22"/>
          <w:u w:val="single"/>
          <w:lang w:val="fr-FR"/>
        </w:rPr>
      </w:pPr>
      <w:r w:rsidRPr="00710118">
        <w:rPr>
          <w:rFonts w:ascii="Arial" w:hAnsi="Arial"/>
          <w:snapToGrid w:val="0"/>
          <w:szCs w:val="22"/>
          <w:u w:val="single"/>
          <w:lang w:val="fr-FR"/>
        </w:rPr>
        <w:t>Questions relatives au suivi des éléments inscrits</w:t>
      </w:r>
    </w:p>
    <w:p w14:paraId="7127D448" w14:textId="01A95E67" w:rsidR="004A6319" w:rsidRPr="00710118" w:rsidRDefault="00A73F80" w:rsidP="005B7720">
      <w:pPr>
        <w:numPr>
          <w:ilvl w:val="0"/>
          <w:numId w:val="2"/>
        </w:numPr>
        <w:ind w:left="567" w:hanging="567"/>
        <w:jc w:val="both"/>
        <w:rPr>
          <w:rFonts w:ascii="Arial" w:hAnsi="Arial" w:cs="Arial"/>
          <w:snapToGrid w:val="0"/>
          <w:szCs w:val="22"/>
          <w:u w:val="single"/>
          <w:lang w:val="fr-FR"/>
        </w:rPr>
      </w:pPr>
      <w:r w:rsidRPr="00710118">
        <w:rPr>
          <w:rFonts w:asciiTheme="minorBidi" w:hAnsiTheme="minorBidi"/>
          <w:snapToGrid w:val="0"/>
          <w:szCs w:val="22"/>
          <w:lang w:val="fr-FR"/>
        </w:rPr>
        <w:t>Le système réformé devrait être guidé par les considérations suivantes</w:t>
      </w:r>
      <w:r w:rsidR="004A6319" w:rsidRPr="00710118">
        <w:rPr>
          <w:rFonts w:ascii="Arial" w:hAnsi="Arial"/>
          <w:snapToGrid w:val="0"/>
          <w:szCs w:val="22"/>
          <w:lang w:val="fr-FR"/>
        </w:rPr>
        <w:t> :</w:t>
      </w:r>
    </w:p>
    <w:p w14:paraId="2007BEDA" w14:textId="599733EA" w:rsidR="004A6319" w:rsidRPr="00710118" w:rsidRDefault="004A6319" w:rsidP="005B7720">
      <w:pPr>
        <w:pStyle w:val="ListParagraph"/>
        <w:numPr>
          <w:ilvl w:val="0"/>
          <w:numId w:val="16"/>
        </w:numPr>
        <w:ind w:left="993" w:hanging="425"/>
        <w:contextualSpacing w:val="0"/>
        <w:jc w:val="both"/>
        <w:rPr>
          <w:rFonts w:ascii="Arial" w:hAnsi="Arial" w:cs="Arial"/>
          <w:i/>
          <w:iCs/>
          <w:szCs w:val="22"/>
          <w:lang w:val="fr-FR"/>
        </w:rPr>
      </w:pPr>
      <w:r w:rsidRPr="00710118">
        <w:rPr>
          <w:rFonts w:ascii="Arial" w:hAnsi="Arial" w:cs="Arial"/>
          <w:i/>
          <w:iCs/>
          <w:szCs w:val="22"/>
          <w:lang w:val="fr-FR"/>
        </w:rPr>
        <w:t>Encourager les efforts de sauvegarde pour les éléments sur la Liste de sauvegarde urgente en accélérant et en facilitant l’accès à l’assistance financière et au soutien technique ;</w:t>
      </w:r>
    </w:p>
    <w:p w14:paraId="64316BDD" w14:textId="18AF6F14" w:rsidR="004A6319" w:rsidRPr="00710118" w:rsidRDefault="004A6319" w:rsidP="005B7720">
      <w:pPr>
        <w:pStyle w:val="ListParagraph"/>
        <w:numPr>
          <w:ilvl w:val="0"/>
          <w:numId w:val="16"/>
        </w:numPr>
        <w:ind w:left="993" w:hanging="425"/>
        <w:contextualSpacing w:val="0"/>
        <w:jc w:val="both"/>
        <w:rPr>
          <w:rFonts w:ascii="Arial" w:hAnsi="Arial" w:cs="Arial"/>
          <w:i/>
          <w:iCs/>
          <w:szCs w:val="22"/>
          <w:lang w:val="fr-FR"/>
        </w:rPr>
      </w:pPr>
      <w:r w:rsidRPr="00710118">
        <w:rPr>
          <w:rFonts w:ascii="Arial" w:hAnsi="Arial" w:cs="Arial"/>
          <w:i/>
          <w:iCs/>
          <w:szCs w:val="22"/>
          <w:lang w:val="fr-FR"/>
        </w:rPr>
        <w:t>Renforcer le système de suivi par le mécanisme des rapports périodiques afin de s’assurer que les plans de sauvegarde sont mis en œuvre ;</w:t>
      </w:r>
    </w:p>
    <w:p w14:paraId="5703DFBD" w14:textId="7E13A382" w:rsidR="004A6319" w:rsidRPr="00710118" w:rsidRDefault="004A6319" w:rsidP="005B7720">
      <w:pPr>
        <w:pStyle w:val="ListParagraph"/>
        <w:numPr>
          <w:ilvl w:val="0"/>
          <w:numId w:val="16"/>
        </w:numPr>
        <w:ind w:left="993" w:hanging="425"/>
        <w:contextualSpacing w:val="0"/>
        <w:jc w:val="both"/>
        <w:rPr>
          <w:rFonts w:ascii="Arial" w:hAnsi="Arial" w:cs="Arial"/>
          <w:i/>
          <w:iCs/>
          <w:szCs w:val="22"/>
          <w:lang w:val="fr-FR"/>
        </w:rPr>
      </w:pPr>
      <w:r w:rsidRPr="00710118">
        <w:rPr>
          <w:rFonts w:ascii="Arial" w:hAnsi="Arial" w:cs="Arial"/>
          <w:i/>
          <w:iCs/>
          <w:szCs w:val="22"/>
          <w:lang w:val="fr-FR"/>
        </w:rPr>
        <w:t>Faciliter le transfert d’éléments entre les Listes, y compris l’inclusion dans le Registre de bonnes pratiques de sauvegarde de plans de sauvegarde réussis mis en œuvre dans la Liste de sauvegarde urgente ;</w:t>
      </w:r>
    </w:p>
    <w:p w14:paraId="4AAB496D" w14:textId="5274AE9B" w:rsidR="004A6319" w:rsidRPr="00710118" w:rsidRDefault="004A6319" w:rsidP="005B7720">
      <w:pPr>
        <w:numPr>
          <w:ilvl w:val="0"/>
          <w:numId w:val="2"/>
        </w:numPr>
        <w:ind w:left="567" w:hanging="567"/>
        <w:jc w:val="both"/>
        <w:rPr>
          <w:rFonts w:ascii="Arial" w:hAnsi="Arial" w:cs="Arial"/>
          <w:snapToGrid w:val="0"/>
          <w:szCs w:val="22"/>
          <w:lang w:val="fr-FR"/>
        </w:rPr>
      </w:pPr>
      <w:r w:rsidRPr="00710118">
        <w:rPr>
          <w:rFonts w:ascii="Arial" w:hAnsi="Arial"/>
          <w:snapToGrid w:val="0"/>
          <w:szCs w:val="22"/>
          <w:lang w:val="fr-FR"/>
        </w:rPr>
        <w:t xml:space="preserve">La procédure proposée pour les transferts entre la Liste de sauvegarde urgente et la Liste représentative, ainsi que l’inclusion de pratiques de sauvegarde réussies dans le </w:t>
      </w:r>
      <w:r w:rsidR="00A73F80" w:rsidRPr="00710118">
        <w:rPr>
          <w:rFonts w:ascii="Arial" w:hAnsi="Arial"/>
          <w:snapToGrid w:val="0"/>
          <w:szCs w:val="22"/>
          <w:lang w:val="fr-FR"/>
        </w:rPr>
        <w:t>R</w:t>
      </w:r>
      <w:r w:rsidRPr="00710118">
        <w:rPr>
          <w:rFonts w:ascii="Arial" w:hAnsi="Arial"/>
          <w:snapToGrid w:val="0"/>
          <w:szCs w:val="22"/>
          <w:lang w:val="fr-FR"/>
        </w:rPr>
        <w:t>egistre, est la suivante :</w:t>
      </w:r>
    </w:p>
    <w:tbl>
      <w:tblPr>
        <w:tblStyle w:val="TableGrid"/>
        <w:tblW w:w="0" w:type="auto"/>
        <w:tblInd w:w="562" w:type="dxa"/>
        <w:tblLook w:val="04A0" w:firstRow="1" w:lastRow="0" w:firstColumn="1" w:lastColumn="0" w:noHBand="0" w:noVBand="1"/>
      </w:tblPr>
      <w:tblGrid>
        <w:gridCol w:w="1284"/>
        <w:gridCol w:w="7782"/>
      </w:tblGrid>
      <w:tr w:rsidR="004A6319" w:rsidRPr="005641C5" w14:paraId="57EF5C22" w14:textId="77777777" w:rsidTr="00F97795">
        <w:trPr>
          <w:trHeight w:val="841"/>
        </w:trPr>
        <w:tc>
          <w:tcPr>
            <w:tcW w:w="1284" w:type="dxa"/>
          </w:tcPr>
          <w:p w14:paraId="282CA66D"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Étape 0</w:t>
            </w:r>
          </w:p>
        </w:tc>
        <w:tc>
          <w:tcPr>
            <w:tcW w:w="7782" w:type="dxa"/>
          </w:tcPr>
          <w:p w14:paraId="53F9768B"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Actions de pré-soumission (optionnel)</w:t>
            </w:r>
          </w:p>
          <w:p w14:paraId="24458F42" w14:textId="093AC2D2"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Si cette mesure est considérée comme nécessaire par l’/les État(s) partie(s) et par la/les communauté(s), groupes et, le cas échéant, individus concernés, il sera possible de faire appel à une assistance technique par l’intermédiaire du Secrétariat, à tout moment avant la soumission éventuelle d’une demande de transfert. Les demandes d’avis d’experts pourraient aussi être présentées dans le contexte du mécanisme des rapports périodiques.</w:t>
            </w:r>
          </w:p>
          <w:p w14:paraId="1B95ABDF" w14:textId="77777777" w:rsidR="004A6319" w:rsidRPr="00710118" w:rsidRDefault="004A6319" w:rsidP="00A02D9C">
            <w:pPr>
              <w:pStyle w:val="1GAPara"/>
              <w:numPr>
                <w:ilvl w:val="0"/>
                <w:numId w:val="3"/>
              </w:numPr>
              <w:ind w:left="425" w:hanging="425"/>
              <w:jc w:val="both"/>
              <w:rPr>
                <w:b/>
                <w:bCs/>
                <w:sz w:val="22"/>
                <w:szCs w:val="22"/>
                <w:lang w:val="fr-FR"/>
              </w:rPr>
            </w:pPr>
            <w:r w:rsidRPr="00710118">
              <w:rPr>
                <w:sz w:val="22"/>
                <w:szCs w:val="22"/>
                <w:lang w:val="fr-FR"/>
              </w:rPr>
              <w:t xml:space="preserve">Si les communautés, groupes et, le cas échéant, individus concernés soumettent des lettres ou des contenus audio-visuels au Secrétariat – directement ou par l’intermédiaire du Forum des ONG du PCI – pour exprimer leur souhait de transférer un élément d’une Liste vers une autre, le Secrétariat transmettra ces communications à l’État partie concerné et en informera en conséquence le Comité. </w:t>
            </w:r>
          </w:p>
        </w:tc>
      </w:tr>
      <w:tr w:rsidR="004A6319" w:rsidRPr="00710118" w14:paraId="44D639F9" w14:textId="77777777" w:rsidTr="00F97795">
        <w:trPr>
          <w:trHeight w:val="353"/>
        </w:trPr>
        <w:tc>
          <w:tcPr>
            <w:tcW w:w="1284" w:type="dxa"/>
            <w:vMerge w:val="restart"/>
          </w:tcPr>
          <w:p w14:paraId="14AE6131"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Étape 1</w:t>
            </w:r>
          </w:p>
        </w:tc>
        <w:tc>
          <w:tcPr>
            <w:tcW w:w="7782" w:type="dxa"/>
          </w:tcPr>
          <w:p w14:paraId="00D34A4E" w14:textId="77777777" w:rsidR="004A6319" w:rsidRPr="00710118" w:rsidRDefault="004A6319" w:rsidP="005B7720">
            <w:pPr>
              <w:pStyle w:val="1GAPara"/>
              <w:numPr>
                <w:ilvl w:val="0"/>
                <w:numId w:val="0"/>
              </w:numPr>
              <w:jc w:val="both"/>
              <w:rPr>
                <w:sz w:val="22"/>
                <w:szCs w:val="22"/>
                <w:lang w:val="fr-FR"/>
              </w:rPr>
            </w:pPr>
            <w:r w:rsidRPr="00710118">
              <w:rPr>
                <w:b/>
                <w:bCs/>
                <w:sz w:val="22"/>
                <w:szCs w:val="22"/>
                <w:lang w:val="fr-FR"/>
              </w:rPr>
              <w:t xml:space="preserve">Préparation et soumission </w:t>
            </w:r>
          </w:p>
        </w:tc>
      </w:tr>
      <w:tr w:rsidR="004A6319" w:rsidRPr="005641C5" w14:paraId="6D5E7993" w14:textId="77777777" w:rsidTr="00F97795">
        <w:trPr>
          <w:trHeight w:val="558"/>
        </w:trPr>
        <w:tc>
          <w:tcPr>
            <w:tcW w:w="1284" w:type="dxa"/>
            <w:vMerge/>
          </w:tcPr>
          <w:p w14:paraId="697AE2AB" w14:textId="77777777" w:rsidR="004A6319" w:rsidRPr="00710118" w:rsidRDefault="004A6319" w:rsidP="005B7720">
            <w:pPr>
              <w:pStyle w:val="1GAPara"/>
              <w:numPr>
                <w:ilvl w:val="0"/>
                <w:numId w:val="0"/>
              </w:numPr>
              <w:jc w:val="both"/>
              <w:rPr>
                <w:b/>
                <w:bCs/>
                <w:sz w:val="22"/>
                <w:szCs w:val="22"/>
                <w:lang w:val="fr-FR"/>
              </w:rPr>
            </w:pPr>
          </w:p>
        </w:tc>
        <w:tc>
          <w:tcPr>
            <w:tcW w:w="7782" w:type="dxa"/>
            <w:shd w:val="clear" w:color="auto" w:fill="D9E2F3" w:themeFill="accent1" w:themeFillTint="33"/>
          </w:tcPr>
          <w:p w14:paraId="2A569DED" w14:textId="77777777" w:rsidR="004A6319" w:rsidRPr="00710118" w:rsidRDefault="004A6319" w:rsidP="005B7720">
            <w:pPr>
              <w:pStyle w:val="1GAPara"/>
              <w:numPr>
                <w:ilvl w:val="0"/>
                <w:numId w:val="0"/>
              </w:numPr>
              <w:spacing w:before="120"/>
              <w:jc w:val="both"/>
              <w:rPr>
                <w:i/>
                <w:iCs/>
                <w:sz w:val="22"/>
                <w:szCs w:val="22"/>
                <w:lang w:val="fr-FR"/>
              </w:rPr>
            </w:pPr>
            <w:r w:rsidRPr="00710118">
              <w:rPr>
                <w:i/>
                <w:iCs/>
                <w:sz w:val="22"/>
                <w:szCs w:val="22"/>
                <w:lang w:val="fr-FR"/>
              </w:rPr>
              <w:t>Transfert de la Liste de sauvegarde urgente vers la Liste représentative (cycle normal)</w:t>
            </w:r>
          </w:p>
          <w:p w14:paraId="57F564D6"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Le processus est initié par l’/les État(s) partie(s) avec le consentement des communautés, groupes et, le cas échéant, des individus concernés.</w:t>
            </w:r>
          </w:p>
          <w:p w14:paraId="7C2A5A7A"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Étant donné l’importance du plan de sauvegarde et de son évaluation régulière par le biais du mécanisme des rapports périodiques, le rapport périodique de la Liste de sauvegarde urgente devient le mécanisme à travers lequel l’/les État(s) partie(s) peut/peuvent déclencher un transfert vers la Liste représentative.</w:t>
            </w:r>
          </w:p>
          <w:p w14:paraId="7FDDFA5F"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L’/Les État(s) partie(s) soumettra(ont) le formulaire de demande de transfert avec le rapport périodique concernant l’élément en question.</w:t>
            </w:r>
          </w:p>
          <w:p w14:paraId="01DAF8B0" w14:textId="681954AE"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Lors de sa soumission, le dossier de transfert est inclus dans le prochain cycle</w:t>
            </w:r>
            <w:r w:rsidR="000E1FCD" w:rsidRPr="00710118">
              <w:rPr>
                <w:sz w:val="22"/>
                <w:szCs w:val="22"/>
                <w:lang w:val="fr-FR"/>
              </w:rPr>
              <w:t xml:space="preserve"> normal</w:t>
            </w:r>
            <w:r w:rsidRPr="00710118">
              <w:rPr>
                <w:sz w:val="22"/>
                <w:szCs w:val="22"/>
                <w:lang w:val="fr-FR"/>
              </w:rPr>
              <w:t xml:space="preserve"> de candidature actuellement en vigueur, évalué par l’Organe d’évaluation et examiné par le Comité. </w:t>
            </w:r>
          </w:p>
          <w:p w14:paraId="48833A40"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Un formulaire de transfert léger est créé. Il se concentre sur : (a) une description actualisée de l’élément expliquant les changements intervenus pour l’élément depuis son inscription, (b) le niveau actuel de viabilité et la description des menaces, (c) les résultats de la mise en œuvre du plan de sauvegarde et (d) le consentement de la communauté par le biais de documents écrits ou de contenus audio-visuels.</w:t>
            </w:r>
          </w:p>
        </w:tc>
      </w:tr>
      <w:tr w:rsidR="004A6319" w:rsidRPr="005641C5" w14:paraId="258D334B" w14:textId="77777777" w:rsidTr="00F97795">
        <w:trPr>
          <w:trHeight w:val="2117"/>
        </w:trPr>
        <w:tc>
          <w:tcPr>
            <w:tcW w:w="1284" w:type="dxa"/>
            <w:vMerge/>
          </w:tcPr>
          <w:p w14:paraId="5C6AE274" w14:textId="77777777" w:rsidR="004A6319" w:rsidRPr="00710118" w:rsidRDefault="004A6319" w:rsidP="005B7720">
            <w:pPr>
              <w:pStyle w:val="1GAPara"/>
              <w:numPr>
                <w:ilvl w:val="0"/>
                <w:numId w:val="0"/>
              </w:numPr>
              <w:jc w:val="both"/>
              <w:rPr>
                <w:b/>
                <w:bCs/>
                <w:sz w:val="22"/>
                <w:szCs w:val="22"/>
                <w:lang w:val="fr-FR"/>
              </w:rPr>
            </w:pPr>
          </w:p>
        </w:tc>
        <w:tc>
          <w:tcPr>
            <w:tcW w:w="7782" w:type="dxa"/>
            <w:shd w:val="clear" w:color="auto" w:fill="E2EFD9" w:themeFill="accent6" w:themeFillTint="33"/>
          </w:tcPr>
          <w:p w14:paraId="0B7E6545" w14:textId="77777777" w:rsidR="004A6319" w:rsidRPr="00710118" w:rsidRDefault="004A6319" w:rsidP="005B7720">
            <w:pPr>
              <w:pStyle w:val="1GAPara"/>
              <w:numPr>
                <w:ilvl w:val="0"/>
                <w:numId w:val="0"/>
              </w:numPr>
              <w:spacing w:before="120"/>
              <w:jc w:val="both"/>
              <w:rPr>
                <w:i/>
                <w:iCs/>
                <w:sz w:val="22"/>
                <w:szCs w:val="22"/>
                <w:lang w:val="fr-FR"/>
              </w:rPr>
            </w:pPr>
            <w:r w:rsidRPr="00710118">
              <w:rPr>
                <w:i/>
                <w:iCs/>
                <w:sz w:val="22"/>
                <w:szCs w:val="22"/>
                <w:lang w:val="fr-FR"/>
              </w:rPr>
              <w:t>Transfert de la Liste représentative vers la Liste de sauvegarde urgente (cycle réduit)</w:t>
            </w:r>
          </w:p>
          <w:p w14:paraId="0AFFB57A"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L’/Les État(s) partie(s) lance(nt) le processus avec le consentement des communautés, groupes et, le cas échéant, des individus concernés.</w:t>
            </w:r>
          </w:p>
          <w:p w14:paraId="0EE1BFA6"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L’/Les État(s) partie(s) soumet(</w:t>
            </w:r>
            <w:proofErr w:type="spellStart"/>
            <w:r w:rsidRPr="00710118">
              <w:rPr>
                <w:sz w:val="22"/>
                <w:szCs w:val="22"/>
                <w:lang w:val="fr-FR"/>
              </w:rPr>
              <w:t>tent</w:t>
            </w:r>
            <w:proofErr w:type="spellEnd"/>
            <w:r w:rsidRPr="00710118">
              <w:rPr>
                <w:sz w:val="22"/>
                <w:szCs w:val="22"/>
                <w:lang w:val="fr-FR"/>
              </w:rPr>
              <w:t>) la demande de transfert avant une nouvelle date limite statutaire fixée au 31 janvier. Le Secrétariat enregistre la demande.</w:t>
            </w:r>
          </w:p>
          <w:p w14:paraId="0581EADF"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Le dossier de transfert est transmis à l’Organe d’évaluation la même année que sa soumission, sans vérification de complétude technique.</w:t>
            </w:r>
          </w:p>
          <w:p w14:paraId="641C1CE4"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Un formulaire de transfert léger est créé. Il se concentre sur : (a) une description actualisée de l’élément incluant une justification de la nécessité de sauvegarde urgente, (b) un plan de sauvegarde, y compris l’expression éventuelle d’un besoin d’assistance internationale pour soutenir sa mise en œuvre et (c) le consentement de la communauté par le biais de documents écrits ou de contenus audio-visuels.</w:t>
            </w:r>
          </w:p>
        </w:tc>
      </w:tr>
      <w:tr w:rsidR="004A6319" w:rsidRPr="005641C5" w14:paraId="3604BD30" w14:textId="77777777" w:rsidTr="00F97795">
        <w:trPr>
          <w:trHeight w:val="2125"/>
        </w:trPr>
        <w:tc>
          <w:tcPr>
            <w:tcW w:w="1284" w:type="dxa"/>
            <w:vMerge w:val="restart"/>
          </w:tcPr>
          <w:p w14:paraId="34F57D44"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Étape 2</w:t>
            </w:r>
          </w:p>
        </w:tc>
        <w:tc>
          <w:tcPr>
            <w:tcW w:w="7782" w:type="dxa"/>
          </w:tcPr>
          <w:p w14:paraId="48D37C4F"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Évaluation</w:t>
            </w:r>
          </w:p>
          <w:p w14:paraId="7454BE09"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La demande de transfert est évaluée par trois membres de l’Organe d’évaluation identifiés par l’Organe d’évaluation lui-même (parmi les trois, il y aura au moins un membre de la région concernée, au moins une ONG accréditée et au moins un expert individuel), qui effectuent une évaluation initiale. Cette dernière est ensuite débattue collectivement par tous les membres de l’Organe d’évaluation.</w:t>
            </w:r>
          </w:p>
          <w:p w14:paraId="720B4937"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 xml:space="preserve">Pour chaque type de transfert, l’évaluation de la conformité de la demande de transfert est basée sur un nombre réduit de critères, comme indiqué ci-après : </w:t>
            </w:r>
          </w:p>
        </w:tc>
      </w:tr>
      <w:tr w:rsidR="004A6319" w:rsidRPr="005641C5" w14:paraId="7282F62C" w14:textId="77777777" w:rsidTr="00F97795">
        <w:trPr>
          <w:trHeight w:val="384"/>
        </w:trPr>
        <w:tc>
          <w:tcPr>
            <w:tcW w:w="1284" w:type="dxa"/>
            <w:vMerge/>
          </w:tcPr>
          <w:p w14:paraId="6EDABE2A" w14:textId="77777777" w:rsidR="004A6319" w:rsidRPr="00710118" w:rsidRDefault="004A6319" w:rsidP="005B7720">
            <w:pPr>
              <w:pStyle w:val="1GAPara"/>
              <w:numPr>
                <w:ilvl w:val="0"/>
                <w:numId w:val="0"/>
              </w:numPr>
              <w:jc w:val="both"/>
              <w:rPr>
                <w:sz w:val="22"/>
                <w:szCs w:val="22"/>
                <w:lang w:val="fr-FR"/>
              </w:rPr>
            </w:pPr>
          </w:p>
        </w:tc>
        <w:tc>
          <w:tcPr>
            <w:tcW w:w="7782" w:type="dxa"/>
            <w:shd w:val="clear" w:color="auto" w:fill="D9E2F3" w:themeFill="accent1" w:themeFillTint="33"/>
          </w:tcPr>
          <w:p w14:paraId="58BE4865" w14:textId="77777777" w:rsidR="004A6319" w:rsidRPr="00710118" w:rsidRDefault="004A6319" w:rsidP="005B7720">
            <w:pPr>
              <w:pStyle w:val="1GAPara"/>
              <w:numPr>
                <w:ilvl w:val="0"/>
                <w:numId w:val="0"/>
              </w:numPr>
              <w:spacing w:before="120"/>
              <w:jc w:val="both"/>
              <w:rPr>
                <w:i/>
                <w:iCs/>
                <w:sz w:val="22"/>
                <w:szCs w:val="22"/>
                <w:lang w:val="fr-FR"/>
              </w:rPr>
            </w:pPr>
            <w:r w:rsidRPr="00710118">
              <w:rPr>
                <w:i/>
                <w:iCs/>
                <w:sz w:val="22"/>
                <w:szCs w:val="22"/>
                <w:lang w:val="fr-FR"/>
              </w:rPr>
              <w:t>Transfert de la Liste de sauvegarde urgente vers la Liste représentative (cycle normal)</w:t>
            </w:r>
          </w:p>
          <w:p w14:paraId="16EC1D57"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Critère R.1 : Description actualisée de l’élément concernant les changements dans la viabilité de l’élément en relation avec le critère d’origine U.2.</w:t>
            </w:r>
          </w:p>
          <w:p w14:paraId="7B2E537D" w14:textId="14E96B30"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Critère R.2 : Démonstration de la contribution des éléments proposés au respect mutuel et au dialogue entre communautés, groupes et</w:t>
            </w:r>
            <w:r w:rsidR="004C4127" w:rsidRPr="00710118">
              <w:rPr>
                <w:sz w:val="22"/>
                <w:szCs w:val="22"/>
                <w:lang w:val="fr-FR"/>
              </w:rPr>
              <w:t>, le cas échéant,</w:t>
            </w:r>
            <w:r w:rsidRPr="00710118">
              <w:rPr>
                <w:sz w:val="22"/>
                <w:szCs w:val="22"/>
                <w:lang w:val="fr-FR"/>
              </w:rPr>
              <w:t xml:space="preserve"> individus, et indication de la contribution de l’élément au développement durable</w:t>
            </w:r>
            <w:r w:rsidR="00031B81" w:rsidRPr="00710118">
              <w:rPr>
                <w:sz w:val="22"/>
                <w:szCs w:val="22"/>
                <w:lang w:val="fr-FR"/>
              </w:rPr>
              <w:t>.</w:t>
            </w:r>
          </w:p>
          <w:p w14:paraId="3B45EE27" w14:textId="2ED2989D"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 xml:space="preserve">Critère R.3 : Évaluation de la mise en œuvre du plan de sauvegarde décrit sous le critère </w:t>
            </w:r>
            <w:r w:rsidR="00031B81" w:rsidRPr="00710118">
              <w:rPr>
                <w:sz w:val="22"/>
                <w:szCs w:val="22"/>
                <w:lang w:val="fr-FR"/>
              </w:rPr>
              <w:t>d’</w:t>
            </w:r>
            <w:r w:rsidRPr="00710118">
              <w:rPr>
                <w:sz w:val="22"/>
                <w:szCs w:val="22"/>
                <w:lang w:val="fr-FR"/>
              </w:rPr>
              <w:t>origin</w:t>
            </w:r>
            <w:r w:rsidR="00031B81" w:rsidRPr="00710118">
              <w:rPr>
                <w:sz w:val="22"/>
                <w:szCs w:val="22"/>
                <w:lang w:val="fr-FR"/>
              </w:rPr>
              <w:t>e</w:t>
            </w:r>
            <w:r w:rsidRPr="00710118">
              <w:rPr>
                <w:sz w:val="22"/>
                <w:szCs w:val="22"/>
                <w:lang w:val="fr-FR"/>
              </w:rPr>
              <w:t xml:space="preserve"> U.3 et des mesures de sauvegarde prévues pour le futur.</w:t>
            </w:r>
          </w:p>
          <w:p w14:paraId="04CE1EDF" w14:textId="0157C57A"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Critère R.4 : Consentement des communautés, groupes et</w:t>
            </w:r>
            <w:r w:rsidR="004C4127" w:rsidRPr="00710118">
              <w:rPr>
                <w:sz w:val="22"/>
                <w:szCs w:val="22"/>
                <w:lang w:val="fr-FR"/>
              </w:rPr>
              <w:t>, le cas échéant,</w:t>
            </w:r>
            <w:r w:rsidRPr="00710118">
              <w:rPr>
                <w:sz w:val="22"/>
                <w:szCs w:val="22"/>
                <w:lang w:val="fr-FR"/>
              </w:rPr>
              <w:t xml:space="preserve"> individus concernés ayant accepté l’inscription sur la </w:t>
            </w:r>
            <w:r w:rsidRPr="00710118">
              <w:rPr>
                <w:iCs/>
                <w:sz w:val="22"/>
                <w:szCs w:val="22"/>
                <w:lang w:val="fr-FR"/>
              </w:rPr>
              <w:t>Liste de sauvegarde urgente</w:t>
            </w:r>
            <w:r w:rsidRPr="00710118">
              <w:rPr>
                <w:sz w:val="22"/>
                <w:szCs w:val="22"/>
                <w:lang w:val="fr-FR"/>
              </w:rPr>
              <w:t>.</w:t>
            </w:r>
          </w:p>
        </w:tc>
      </w:tr>
      <w:tr w:rsidR="004A6319" w:rsidRPr="005641C5" w14:paraId="4DE7561A" w14:textId="77777777" w:rsidTr="00F97795">
        <w:trPr>
          <w:trHeight w:val="384"/>
        </w:trPr>
        <w:tc>
          <w:tcPr>
            <w:tcW w:w="1284" w:type="dxa"/>
            <w:vMerge/>
          </w:tcPr>
          <w:p w14:paraId="252AF9C9" w14:textId="77777777" w:rsidR="004A6319" w:rsidRPr="00710118" w:rsidRDefault="004A6319" w:rsidP="005B7720">
            <w:pPr>
              <w:pStyle w:val="1GAPara"/>
              <w:numPr>
                <w:ilvl w:val="0"/>
                <w:numId w:val="0"/>
              </w:numPr>
              <w:jc w:val="both"/>
              <w:rPr>
                <w:sz w:val="22"/>
                <w:szCs w:val="22"/>
                <w:lang w:val="fr-FR"/>
              </w:rPr>
            </w:pPr>
          </w:p>
        </w:tc>
        <w:tc>
          <w:tcPr>
            <w:tcW w:w="7782" w:type="dxa"/>
            <w:shd w:val="clear" w:color="auto" w:fill="E2EFD9" w:themeFill="accent6" w:themeFillTint="33"/>
          </w:tcPr>
          <w:p w14:paraId="7CBD5AF9" w14:textId="77777777" w:rsidR="004A6319" w:rsidRPr="00710118" w:rsidRDefault="004A6319" w:rsidP="005B7720">
            <w:pPr>
              <w:pStyle w:val="1GAPara"/>
              <w:keepNext/>
              <w:numPr>
                <w:ilvl w:val="0"/>
                <w:numId w:val="0"/>
              </w:numPr>
              <w:spacing w:before="240"/>
              <w:jc w:val="both"/>
              <w:rPr>
                <w:i/>
                <w:iCs/>
                <w:sz w:val="22"/>
                <w:szCs w:val="22"/>
                <w:lang w:val="fr-FR"/>
              </w:rPr>
            </w:pPr>
            <w:r w:rsidRPr="00710118">
              <w:rPr>
                <w:i/>
                <w:iCs/>
                <w:sz w:val="22"/>
                <w:szCs w:val="22"/>
                <w:lang w:val="fr-FR"/>
              </w:rPr>
              <w:t>Transfert de la Liste représentative vers la Liste de sauvegarde urgente (cycle réduit)</w:t>
            </w:r>
          </w:p>
          <w:p w14:paraId="07580330"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Critère U.1 : Description actualisée de l’élément incluant une justification de la nécessité d’une sauvegarde urgente.</w:t>
            </w:r>
          </w:p>
          <w:p w14:paraId="567EFE4F" w14:textId="77777777"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Critère U.3 : Plan de sauvegarde adéquat et conformité aux critères de l’assistance internationale (si une telle assistance est demandée). L’assistance internationale peut mener à la révision du plan de sauvegarde si ce dernier n’est pas jugée entièrement adéquat pour répondre aux menaces identifiées.</w:t>
            </w:r>
          </w:p>
          <w:p w14:paraId="60EF0D8A" w14:textId="6B13A36A" w:rsidR="004A6319" w:rsidRPr="00710118" w:rsidRDefault="004A6319" w:rsidP="00A02D9C">
            <w:pPr>
              <w:pStyle w:val="1GAPara"/>
              <w:numPr>
                <w:ilvl w:val="0"/>
                <w:numId w:val="3"/>
              </w:numPr>
              <w:ind w:left="425" w:hanging="425"/>
              <w:jc w:val="both"/>
              <w:rPr>
                <w:sz w:val="22"/>
                <w:szCs w:val="22"/>
                <w:lang w:val="fr-FR"/>
              </w:rPr>
            </w:pPr>
            <w:r w:rsidRPr="00710118">
              <w:rPr>
                <w:sz w:val="22"/>
                <w:szCs w:val="22"/>
                <w:lang w:val="fr-FR"/>
              </w:rPr>
              <w:t>Critère U.4 : Consentement des communautés, groupes et</w:t>
            </w:r>
            <w:r w:rsidR="004C4127" w:rsidRPr="00710118">
              <w:rPr>
                <w:sz w:val="22"/>
                <w:szCs w:val="22"/>
                <w:lang w:val="fr-FR"/>
              </w:rPr>
              <w:t>, le cas échéant,</w:t>
            </w:r>
            <w:r w:rsidRPr="00710118">
              <w:rPr>
                <w:sz w:val="22"/>
                <w:szCs w:val="22"/>
                <w:lang w:val="fr-FR"/>
              </w:rPr>
              <w:t xml:space="preserve"> individus concernés ayant approuvé l’inscription sur la </w:t>
            </w:r>
            <w:r w:rsidRPr="00710118">
              <w:rPr>
                <w:iCs/>
                <w:sz w:val="22"/>
                <w:szCs w:val="22"/>
                <w:lang w:val="fr-FR"/>
              </w:rPr>
              <w:t>Liste r</w:t>
            </w:r>
            <w:r w:rsidRPr="00710118">
              <w:rPr>
                <w:sz w:val="22"/>
                <w:szCs w:val="22"/>
                <w:lang w:val="fr-FR"/>
              </w:rPr>
              <w:t>eprésentative.</w:t>
            </w:r>
          </w:p>
        </w:tc>
      </w:tr>
      <w:tr w:rsidR="004A6319" w:rsidRPr="005641C5" w14:paraId="0611C70B" w14:textId="77777777" w:rsidTr="00F97795">
        <w:trPr>
          <w:trHeight w:val="384"/>
        </w:trPr>
        <w:tc>
          <w:tcPr>
            <w:tcW w:w="1284" w:type="dxa"/>
            <w:vMerge/>
          </w:tcPr>
          <w:p w14:paraId="3EDEFDA9" w14:textId="77777777" w:rsidR="004A6319" w:rsidRPr="00710118" w:rsidRDefault="004A6319" w:rsidP="005B7720">
            <w:pPr>
              <w:pStyle w:val="1GAPara"/>
              <w:numPr>
                <w:ilvl w:val="0"/>
                <w:numId w:val="0"/>
              </w:numPr>
              <w:jc w:val="both"/>
              <w:rPr>
                <w:sz w:val="22"/>
                <w:szCs w:val="22"/>
                <w:lang w:val="fr-FR"/>
              </w:rPr>
            </w:pPr>
          </w:p>
        </w:tc>
        <w:tc>
          <w:tcPr>
            <w:tcW w:w="7782" w:type="dxa"/>
            <w:shd w:val="clear" w:color="auto" w:fill="EDEDED" w:themeFill="accent3" w:themeFillTint="33"/>
          </w:tcPr>
          <w:p w14:paraId="0BB60A8C" w14:textId="77777777" w:rsidR="004A6319" w:rsidRPr="00710118" w:rsidRDefault="004A6319" w:rsidP="005B7720">
            <w:pPr>
              <w:pStyle w:val="1GAPara"/>
              <w:numPr>
                <w:ilvl w:val="0"/>
                <w:numId w:val="0"/>
              </w:numPr>
              <w:spacing w:before="120"/>
              <w:jc w:val="both"/>
              <w:rPr>
                <w:i/>
                <w:iCs/>
                <w:sz w:val="22"/>
                <w:szCs w:val="22"/>
                <w:lang w:val="fr-FR"/>
              </w:rPr>
            </w:pPr>
            <w:r w:rsidRPr="00710118">
              <w:rPr>
                <w:i/>
                <w:iCs/>
                <w:sz w:val="22"/>
                <w:szCs w:val="22"/>
                <w:lang w:val="fr-FR"/>
              </w:rPr>
              <w:t>Inclusion dans le Registre de bonnes pratiques de sauvegarde</w:t>
            </w:r>
          </w:p>
          <w:p w14:paraId="61BF61A4" w14:textId="77777777" w:rsidR="004A6319" w:rsidRPr="00710118" w:rsidRDefault="004A6319" w:rsidP="00A02D9C">
            <w:pPr>
              <w:pStyle w:val="1GAPara"/>
              <w:numPr>
                <w:ilvl w:val="0"/>
                <w:numId w:val="3"/>
              </w:numPr>
              <w:ind w:left="425" w:hanging="425"/>
              <w:jc w:val="both"/>
              <w:rPr>
                <w:b/>
                <w:bCs/>
                <w:sz w:val="22"/>
                <w:szCs w:val="22"/>
                <w:lang w:val="fr-FR"/>
              </w:rPr>
            </w:pPr>
            <w:r w:rsidRPr="00710118">
              <w:rPr>
                <w:sz w:val="22"/>
                <w:szCs w:val="22"/>
                <w:lang w:val="fr-FR"/>
              </w:rPr>
              <w:t>Suite à son évaluation de la demande de transfert depuis la Liste de sauvegarde urgente vers la Liste représentative, l’Organe d’évaluation peut recommander d’inclure l’expérience de sauvegarde probante décrite dans la demande de transfert, dans le Registre de bonnes pratiques de sauvegarde. Dans ce cas, un membre de l’Organe d’évaluation élabore la justification sur la base des critères, cette justification devant ensuite être confirmée par l’État partie et par les communautés, groupes et, le cas échéant, individus concernés.</w:t>
            </w:r>
          </w:p>
        </w:tc>
      </w:tr>
      <w:tr w:rsidR="004A6319" w:rsidRPr="005641C5" w14:paraId="1F35BBF5" w14:textId="77777777" w:rsidTr="00F97795">
        <w:trPr>
          <w:trHeight w:val="756"/>
        </w:trPr>
        <w:tc>
          <w:tcPr>
            <w:tcW w:w="1284" w:type="dxa"/>
            <w:vMerge w:val="restart"/>
          </w:tcPr>
          <w:p w14:paraId="730DAB23"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Étape 3</w:t>
            </w:r>
          </w:p>
        </w:tc>
        <w:tc>
          <w:tcPr>
            <w:tcW w:w="7782" w:type="dxa"/>
          </w:tcPr>
          <w:p w14:paraId="6E6B5C1E"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Examen</w:t>
            </w:r>
          </w:p>
          <w:p w14:paraId="27B9D539" w14:textId="77777777" w:rsidR="004A6319" w:rsidRPr="00710118" w:rsidRDefault="004A6319" w:rsidP="005B7720">
            <w:pPr>
              <w:pStyle w:val="1GAPara"/>
              <w:ind w:left="0"/>
              <w:jc w:val="both"/>
              <w:rPr>
                <w:b/>
                <w:bCs/>
                <w:sz w:val="22"/>
                <w:szCs w:val="22"/>
                <w:lang w:val="fr-FR"/>
              </w:rPr>
            </w:pPr>
            <w:r w:rsidRPr="00710118">
              <w:rPr>
                <w:sz w:val="22"/>
                <w:szCs w:val="22"/>
                <w:lang w:val="fr-FR"/>
              </w:rPr>
              <w:t>Le Comité examine la demande sur la base de la recommandation de l’Organe d’évaluation.</w:t>
            </w:r>
          </w:p>
        </w:tc>
      </w:tr>
      <w:tr w:rsidR="004A6319" w:rsidRPr="005641C5" w14:paraId="04CD1AA3" w14:textId="77777777" w:rsidTr="00F97795">
        <w:trPr>
          <w:trHeight w:val="756"/>
        </w:trPr>
        <w:tc>
          <w:tcPr>
            <w:tcW w:w="1284" w:type="dxa"/>
            <w:vMerge/>
          </w:tcPr>
          <w:p w14:paraId="6B786E15" w14:textId="77777777" w:rsidR="004A6319" w:rsidRPr="00710118" w:rsidRDefault="004A6319" w:rsidP="005B7720">
            <w:pPr>
              <w:pStyle w:val="1GAPara"/>
              <w:numPr>
                <w:ilvl w:val="0"/>
                <w:numId w:val="0"/>
              </w:numPr>
              <w:jc w:val="both"/>
              <w:rPr>
                <w:b/>
                <w:bCs/>
                <w:sz w:val="22"/>
                <w:szCs w:val="22"/>
                <w:lang w:val="fr-FR"/>
              </w:rPr>
            </w:pPr>
          </w:p>
        </w:tc>
        <w:tc>
          <w:tcPr>
            <w:tcW w:w="7782" w:type="dxa"/>
            <w:shd w:val="clear" w:color="auto" w:fill="D9E2F3" w:themeFill="accent1" w:themeFillTint="33"/>
          </w:tcPr>
          <w:p w14:paraId="062411CB" w14:textId="77777777" w:rsidR="004A6319" w:rsidRPr="00710118" w:rsidRDefault="004A6319" w:rsidP="005B7720">
            <w:pPr>
              <w:pStyle w:val="1GAPara"/>
              <w:numPr>
                <w:ilvl w:val="0"/>
                <w:numId w:val="0"/>
              </w:numPr>
              <w:spacing w:before="120"/>
              <w:jc w:val="both"/>
              <w:rPr>
                <w:i/>
                <w:iCs/>
                <w:sz w:val="22"/>
                <w:szCs w:val="22"/>
                <w:lang w:val="fr-FR"/>
              </w:rPr>
            </w:pPr>
            <w:r w:rsidRPr="00710118">
              <w:rPr>
                <w:i/>
                <w:iCs/>
                <w:sz w:val="22"/>
                <w:szCs w:val="22"/>
                <w:lang w:val="fr-FR"/>
              </w:rPr>
              <w:t>Transfert de la Liste de sauvegarde urgente vers la Liste représentative (cycle normal)</w:t>
            </w:r>
          </w:p>
          <w:p w14:paraId="30CB5D75" w14:textId="77777777" w:rsidR="004A6319" w:rsidRPr="00710118" w:rsidRDefault="004A6319" w:rsidP="00A02D9C">
            <w:pPr>
              <w:pStyle w:val="1GAPara"/>
              <w:numPr>
                <w:ilvl w:val="0"/>
                <w:numId w:val="3"/>
              </w:numPr>
              <w:ind w:left="425" w:hanging="425"/>
              <w:jc w:val="both"/>
              <w:rPr>
                <w:b/>
                <w:bCs/>
                <w:sz w:val="22"/>
                <w:szCs w:val="22"/>
                <w:lang w:val="fr-FR"/>
              </w:rPr>
            </w:pPr>
            <w:r w:rsidRPr="00710118">
              <w:rPr>
                <w:sz w:val="22"/>
                <w:szCs w:val="22"/>
                <w:lang w:val="fr-FR"/>
              </w:rPr>
              <w:t>La demande de transfert est examinée par le Comité dans le cycle suivant.</w:t>
            </w:r>
          </w:p>
        </w:tc>
      </w:tr>
      <w:tr w:rsidR="004A6319" w:rsidRPr="005641C5" w14:paraId="29297E42" w14:textId="77777777" w:rsidTr="00F97795">
        <w:trPr>
          <w:trHeight w:val="756"/>
        </w:trPr>
        <w:tc>
          <w:tcPr>
            <w:tcW w:w="1284" w:type="dxa"/>
            <w:vMerge/>
          </w:tcPr>
          <w:p w14:paraId="4B839D7B" w14:textId="77777777" w:rsidR="004A6319" w:rsidRPr="00710118" w:rsidRDefault="004A6319" w:rsidP="005B7720">
            <w:pPr>
              <w:pStyle w:val="1GAPara"/>
              <w:numPr>
                <w:ilvl w:val="0"/>
                <w:numId w:val="0"/>
              </w:numPr>
              <w:jc w:val="both"/>
              <w:rPr>
                <w:b/>
                <w:bCs/>
                <w:sz w:val="22"/>
                <w:szCs w:val="22"/>
                <w:lang w:val="fr-FR"/>
              </w:rPr>
            </w:pPr>
          </w:p>
        </w:tc>
        <w:tc>
          <w:tcPr>
            <w:tcW w:w="7782" w:type="dxa"/>
            <w:shd w:val="clear" w:color="auto" w:fill="FBE4D5" w:themeFill="accent2" w:themeFillTint="33"/>
          </w:tcPr>
          <w:p w14:paraId="133D4F5A" w14:textId="77777777" w:rsidR="004A6319" w:rsidRPr="00710118" w:rsidRDefault="004A6319" w:rsidP="005B7720">
            <w:pPr>
              <w:pStyle w:val="1GAPara"/>
              <w:keepNext/>
              <w:numPr>
                <w:ilvl w:val="0"/>
                <w:numId w:val="0"/>
              </w:numPr>
              <w:spacing w:before="120"/>
              <w:jc w:val="both"/>
              <w:rPr>
                <w:i/>
                <w:iCs/>
                <w:sz w:val="22"/>
                <w:szCs w:val="22"/>
                <w:lang w:val="fr-FR"/>
              </w:rPr>
            </w:pPr>
            <w:r w:rsidRPr="00710118">
              <w:rPr>
                <w:i/>
                <w:iCs/>
                <w:sz w:val="22"/>
                <w:szCs w:val="22"/>
                <w:lang w:val="fr-FR"/>
              </w:rPr>
              <w:t>Transfert de la Liste représentative vers la Liste de sauvegarde urgente (cycle réduit)</w:t>
            </w:r>
          </w:p>
          <w:p w14:paraId="3219F71A" w14:textId="2AFFDE84" w:rsidR="004A6319" w:rsidRPr="00710118" w:rsidRDefault="004A6319" w:rsidP="00A02D9C">
            <w:pPr>
              <w:pStyle w:val="1GAPara"/>
              <w:numPr>
                <w:ilvl w:val="0"/>
                <w:numId w:val="3"/>
              </w:numPr>
              <w:ind w:left="425" w:hanging="425"/>
              <w:jc w:val="both"/>
              <w:rPr>
                <w:b/>
                <w:bCs/>
                <w:sz w:val="22"/>
                <w:szCs w:val="22"/>
                <w:lang w:val="fr-FR"/>
              </w:rPr>
            </w:pPr>
            <w:r w:rsidRPr="00710118">
              <w:rPr>
                <w:sz w:val="22"/>
                <w:szCs w:val="22"/>
                <w:lang w:val="fr-FR"/>
              </w:rPr>
              <w:t>La demande de transfert est examinée par le Comité la même année de sa soumission par l’État partie et les communautés, groupes et</w:t>
            </w:r>
            <w:r w:rsidR="0045632B" w:rsidRPr="00710118">
              <w:rPr>
                <w:sz w:val="22"/>
                <w:szCs w:val="22"/>
                <w:lang w:val="fr-FR"/>
              </w:rPr>
              <w:t>,</w:t>
            </w:r>
            <w:r w:rsidRPr="00710118">
              <w:rPr>
                <w:sz w:val="22"/>
                <w:szCs w:val="22"/>
                <w:lang w:val="fr-FR"/>
              </w:rPr>
              <w:t xml:space="preserve"> le cas échéant, les individus concernés.</w:t>
            </w:r>
          </w:p>
        </w:tc>
      </w:tr>
      <w:tr w:rsidR="004A6319" w:rsidRPr="005641C5" w14:paraId="105119DB" w14:textId="77777777" w:rsidTr="00F97795">
        <w:trPr>
          <w:trHeight w:val="756"/>
        </w:trPr>
        <w:tc>
          <w:tcPr>
            <w:tcW w:w="1284" w:type="dxa"/>
            <w:vMerge/>
          </w:tcPr>
          <w:p w14:paraId="37DD6D57" w14:textId="77777777" w:rsidR="004A6319" w:rsidRPr="00710118" w:rsidRDefault="004A6319" w:rsidP="005B7720">
            <w:pPr>
              <w:pStyle w:val="1GAPara"/>
              <w:numPr>
                <w:ilvl w:val="0"/>
                <w:numId w:val="0"/>
              </w:numPr>
              <w:jc w:val="both"/>
              <w:rPr>
                <w:b/>
                <w:bCs/>
                <w:sz w:val="22"/>
                <w:szCs w:val="22"/>
                <w:lang w:val="fr-FR"/>
              </w:rPr>
            </w:pPr>
          </w:p>
        </w:tc>
        <w:tc>
          <w:tcPr>
            <w:tcW w:w="7782" w:type="dxa"/>
            <w:shd w:val="clear" w:color="auto" w:fill="EDEDED" w:themeFill="accent3" w:themeFillTint="33"/>
          </w:tcPr>
          <w:p w14:paraId="44B86165" w14:textId="77777777" w:rsidR="004A6319" w:rsidRPr="00710118" w:rsidRDefault="004A6319" w:rsidP="005B7720">
            <w:pPr>
              <w:pStyle w:val="1GAPara"/>
              <w:keepNext/>
              <w:numPr>
                <w:ilvl w:val="0"/>
                <w:numId w:val="0"/>
              </w:numPr>
              <w:spacing w:before="120"/>
              <w:jc w:val="both"/>
              <w:rPr>
                <w:i/>
                <w:iCs/>
                <w:sz w:val="22"/>
                <w:szCs w:val="22"/>
                <w:lang w:val="fr-FR"/>
              </w:rPr>
            </w:pPr>
            <w:r w:rsidRPr="00710118">
              <w:rPr>
                <w:i/>
                <w:iCs/>
                <w:sz w:val="22"/>
                <w:szCs w:val="22"/>
                <w:lang w:val="fr-FR"/>
              </w:rPr>
              <w:t>Inclusion dans le Registre de bonnes pratiques de sauvegarde</w:t>
            </w:r>
          </w:p>
          <w:p w14:paraId="707D41C5" w14:textId="77777777" w:rsidR="004A6319" w:rsidRPr="00710118" w:rsidRDefault="004A6319" w:rsidP="00A02D9C">
            <w:pPr>
              <w:pStyle w:val="1GAPara"/>
              <w:numPr>
                <w:ilvl w:val="0"/>
                <w:numId w:val="3"/>
              </w:numPr>
              <w:ind w:left="425" w:hanging="425"/>
              <w:jc w:val="both"/>
              <w:rPr>
                <w:i/>
                <w:iCs/>
                <w:sz w:val="22"/>
                <w:szCs w:val="22"/>
                <w:lang w:val="fr-FR"/>
              </w:rPr>
            </w:pPr>
            <w:r w:rsidRPr="00710118">
              <w:rPr>
                <w:sz w:val="22"/>
                <w:szCs w:val="22"/>
                <w:lang w:val="fr-FR"/>
              </w:rPr>
              <w:t>La justification basée sur les critères élaborée par un membre de l’Organe d’évaluation, après approbation par l’État partie concerné, est examinée par le Comité l’année suivant la soumission par l’État partie de la demande de transfert.</w:t>
            </w:r>
          </w:p>
        </w:tc>
      </w:tr>
    </w:tbl>
    <w:p w14:paraId="1259A0A2" w14:textId="60358D1C" w:rsidR="004A6319" w:rsidRPr="00710118" w:rsidRDefault="004A6319" w:rsidP="00A02D9C">
      <w:pPr>
        <w:ind w:left="567"/>
        <w:jc w:val="both"/>
        <w:rPr>
          <w:rFonts w:asciiTheme="minorBidi" w:hAnsiTheme="minorBidi" w:cstheme="minorBidi"/>
          <w:szCs w:val="22"/>
          <w:lang w:val="fr-FR"/>
        </w:rPr>
      </w:pPr>
      <w:r w:rsidRPr="00710118">
        <w:rPr>
          <w:rFonts w:asciiTheme="minorBidi" w:hAnsiTheme="minorBidi" w:cstheme="minorBidi"/>
          <w:szCs w:val="22"/>
          <w:lang w:val="fr-FR"/>
        </w:rPr>
        <w:t xml:space="preserve">* Prend également note des implications budgétaires telles qu’indiquées dans le document </w:t>
      </w:r>
      <w:hyperlink r:id="rId7" w:history="1">
        <w:r w:rsidRPr="00710118">
          <w:rPr>
            <w:rStyle w:val="Hyperlink"/>
            <w:rFonts w:asciiTheme="minorBidi" w:hAnsiTheme="minorBidi" w:cstheme="minorBidi"/>
            <w:szCs w:val="22"/>
            <w:lang w:val="fr-FR"/>
          </w:rPr>
          <w:t>LHE/21/16.COM WG/6</w:t>
        </w:r>
      </w:hyperlink>
      <w:r w:rsidRPr="00710118">
        <w:rPr>
          <w:rFonts w:asciiTheme="minorBidi" w:hAnsiTheme="minorBidi" w:cstheme="minorBidi"/>
          <w:szCs w:val="22"/>
          <w:lang w:val="fr-FR"/>
        </w:rPr>
        <w:t>.</w:t>
      </w:r>
    </w:p>
    <w:p w14:paraId="13741190" w14:textId="01734F5B" w:rsidR="004A6319" w:rsidRPr="00710118" w:rsidRDefault="004A6319" w:rsidP="00A02D9C">
      <w:pPr>
        <w:numPr>
          <w:ilvl w:val="0"/>
          <w:numId w:val="2"/>
        </w:numPr>
        <w:spacing w:before="240"/>
        <w:ind w:left="567" w:hanging="567"/>
        <w:jc w:val="both"/>
        <w:rPr>
          <w:rFonts w:ascii="Arial" w:hAnsi="Arial" w:cs="Arial"/>
          <w:snapToGrid w:val="0"/>
          <w:szCs w:val="22"/>
          <w:lang w:val="fr-FR"/>
        </w:rPr>
      </w:pPr>
      <w:r w:rsidRPr="00710118">
        <w:rPr>
          <w:rFonts w:asciiTheme="minorBidi" w:hAnsiTheme="minorBidi"/>
          <w:szCs w:val="22"/>
          <w:lang w:val="fr-FR"/>
        </w:rPr>
        <w:t xml:space="preserve">La procédure </w:t>
      </w:r>
      <w:r w:rsidRPr="00710118">
        <w:rPr>
          <w:rFonts w:asciiTheme="minorBidi" w:hAnsiTheme="minorBidi"/>
          <w:snapToGrid w:val="0"/>
          <w:szCs w:val="22"/>
          <w:lang w:val="fr-FR"/>
        </w:rPr>
        <w:t>proposée</w:t>
      </w:r>
      <w:r w:rsidRPr="00710118">
        <w:rPr>
          <w:rFonts w:ascii="Arial" w:hAnsi="Arial"/>
          <w:snapToGrid w:val="0"/>
          <w:szCs w:val="22"/>
          <w:lang w:val="fr-FR"/>
        </w:rPr>
        <w:t xml:space="preserve"> pour retirer des éléments des Listes de la Convention est la suivante :</w:t>
      </w:r>
    </w:p>
    <w:tbl>
      <w:tblPr>
        <w:tblStyle w:val="TableGrid"/>
        <w:tblW w:w="0" w:type="auto"/>
        <w:tblInd w:w="567" w:type="dxa"/>
        <w:tblLook w:val="04A0" w:firstRow="1" w:lastRow="0" w:firstColumn="1" w:lastColumn="0" w:noHBand="0" w:noVBand="1"/>
      </w:tblPr>
      <w:tblGrid>
        <w:gridCol w:w="1318"/>
        <w:gridCol w:w="3777"/>
        <w:gridCol w:w="3966"/>
      </w:tblGrid>
      <w:tr w:rsidR="004A6319" w:rsidRPr="005641C5" w14:paraId="05B32B1B" w14:textId="77777777" w:rsidTr="004A3128">
        <w:tc>
          <w:tcPr>
            <w:tcW w:w="1318" w:type="dxa"/>
          </w:tcPr>
          <w:p w14:paraId="66D28951" w14:textId="77777777" w:rsidR="004A6319" w:rsidRPr="00710118" w:rsidRDefault="004A6319" w:rsidP="004A3128">
            <w:pPr>
              <w:pStyle w:val="1GAPara"/>
              <w:numPr>
                <w:ilvl w:val="0"/>
                <w:numId w:val="0"/>
              </w:numPr>
              <w:jc w:val="both"/>
              <w:rPr>
                <w:b/>
                <w:bCs/>
                <w:sz w:val="22"/>
                <w:szCs w:val="22"/>
                <w:lang w:val="fr-FR"/>
              </w:rPr>
            </w:pPr>
            <w:r w:rsidRPr="00710118">
              <w:rPr>
                <w:b/>
                <w:bCs/>
                <w:sz w:val="22"/>
                <w:szCs w:val="22"/>
                <w:lang w:val="fr-FR"/>
              </w:rPr>
              <w:t>Étape 1</w:t>
            </w:r>
          </w:p>
        </w:tc>
        <w:tc>
          <w:tcPr>
            <w:tcW w:w="7743" w:type="dxa"/>
            <w:gridSpan w:val="2"/>
          </w:tcPr>
          <w:p w14:paraId="35EAD79F" w14:textId="77777777" w:rsidR="004A6319" w:rsidRPr="00710118" w:rsidRDefault="004A6319" w:rsidP="004A3128">
            <w:pPr>
              <w:pStyle w:val="1GAPara"/>
              <w:numPr>
                <w:ilvl w:val="0"/>
                <w:numId w:val="0"/>
              </w:numPr>
              <w:jc w:val="both"/>
              <w:rPr>
                <w:b/>
                <w:bCs/>
                <w:sz w:val="22"/>
                <w:szCs w:val="22"/>
                <w:lang w:val="fr-FR"/>
              </w:rPr>
            </w:pPr>
            <w:r w:rsidRPr="00710118">
              <w:rPr>
                <w:b/>
                <w:bCs/>
                <w:sz w:val="22"/>
                <w:szCs w:val="22"/>
                <w:lang w:val="fr-FR"/>
              </w:rPr>
              <w:t>Demande de retrait ou autres informations reçues relatives à des développements affectant la situation d’un élément inscrit</w:t>
            </w:r>
          </w:p>
          <w:p w14:paraId="0D5EB785" w14:textId="3FB803EA" w:rsidR="004A6319" w:rsidRPr="00710118" w:rsidRDefault="004A6319" w:rsidP="004A3128">
            <w:pPr>
              <w:pStyle w:val="1GAPara"/>
              <w:numPr>
                <w:ilvl w:val="0"/>
                <w:numId w:val="0"/>
              </w:numPr>
              <w:jc w:val="both"/>
              <w:rPr>
                <w:sz w:val="22"/>
                <w:szCs w:val="22"/>
                <w:lang w:val="fr-FR"/>
              </w:rPr>
            </w:pPr>
            <w:r w:rsidRPr="00710118">
              <w:rPr>
                <w:sz w:val="22"/>
                <w:szCs w:val="22"/>
                <w:lang w:val="fr-FR"/>
              </w:rPr>
              <w:t xml:space="preserve">La correspondance de l’entité à l’origine de l’envoi (par exemple l’/les État(s) partie(s) concerné(s), </w:t>
            </w:r>
            <w:r w:rsidR="00231F12" w:rsidRPr="00710118">
              <w:rPr>
                <w:sz w:val="22"/>
                <w:szCs w:val="22"/>
                <w:lang w:val="fr-FR"/>
              </w:rPr>
              <w:t>les communautés, groupes et, le cas échéant, individus concernés</w:t>
            </w:r>
            <w:r w:rsidRPr="00710118">
              <w:rPr>
                <w:sz w:val="22"/>
                <w:szCs w:val="22"/>
                <w:lang w:val="fr-FR"/>
              </w:rPr>
              <w:t xml:space="preserve"> ou une tierce partie) est enregistrée par le Secrétariat.</w:t>
            </w:r>
          </w:p>
        </w:tc>
      </w:tr>
      <w:tr w:rsidR="004A6319" w:rsidRPr="005641C5" w14:paraId="4E989C11" w14:textId="77777777" w:rsidTr="004A3128">
        <w:tc>
          <w:tcPr>
            <w:tcW w:w="1318" w:type="dxa"/>
          </w:tcPr>
          <w:p w14:paraId="458970B7" w14:textId="77777777" w:rsidR="004A6319" w:rsidRPr="00710118" w:rsidRDefault="004A6319" w:rsidP="004A3128">
            <w:pPr>
              <w:pStyle w:val="1GAPara"/>
              <w:numPr>
                <w:ilvl w:val="0"/>
                <w:numId w:val="0"/>
              </w:numPr>
              <w:jc w:val="both"/>
              <w:rPr>
                <w:b/>
                <w:bCs/>
                <w:sz w:val="22"/>
                <w:szCs w:val="22"/>
                <w:lang w:val="fr-FR"/>
              </w:rPr>
            </w:pPr>
            <w:r w:rsidRPr="00710118">
              <w:rPr>
                <w:b/>
                <w:bCs/>
                <w:sz w:val="22"/>
                <w:szCs w:val="22"/>
                <w:lang w:val="fr-FR"/>
              </w:rPr>
              <w:t>Étape 2</w:t>
            </w:r>
          </w:p>
        </w:tc>
        <w:tc>
          <w:tcPr>
            <w:tcW w:w="7743" w:type="dxa"/>
            <w:gridSpan w:val="2"/>
          </w:tcPr>
          <w:p w14:paraId="44B60861" w14:textId="77777777" w:rsidR="004A6319" w:rsidRPr="00710118" w:rsidRDefault="004A6319" w:rsidP="004A3128">
            <w:pPr>
              <w:pStyle w:val="1GAPara"/>
              <w:numPr>
                <w:ilvl w:val="0"/>
                <w:numId w:val="0"/>
              </w:numPr>
              <w:jc w:val="both"/>
              <w:rPr>
                <w:b/>
                <w:bCs/>
                <w:sz w:val="22"/>
                <w:szCs w:val="22"/>
                <w:lang w:val="fr-FR"/>
              </w:rPr>
            </w:pPr>
            <w:r w:rsidRPr="00710118">
              <w:rPr>
                <w:b/>
                <w:bCs/>
                <w:sz w:val="22"/>
                <w:szCs w:val="22"/>
                <w:lang w:val="fr-FR"/>
              </w:rPr>
              <w:t xml:space="preserve">Transmission de l’information </w:t>
            </w:r>
          </w:p>
          <w:p w14:paraId="166C3A4C" w14:textId="117B0825" w:rsidR="004A6319" w:rsidRPr="00710118" w:rsidRDefault="004A6319" w:rsidP="004A3128">
            <w:pPr>
              <w:pStyle w:val="1GAPara"/>
              <w:numPr>
                <w:ilvl w:val="0"/>
                <w:numId w:val="3"/>
              </w:numPr>
              <w:ind w:left="425" w:hanging="425"/>
              <w:jc w:val="both"/>
              <w:rPr>
                <w:sz w:val="22"/>
                <w:szCs w:val="22"/>
                <w:lang w:val="fr-FR"/>
              </w:rPr>
            </w:pPr>
            <w:r w:rsidRPr="00710118">
              <w:rPr>
                <w:sz w:val="22"/>
                <w:szCs w:val="22"/>
                <w:lang w:val="fr-FR"/>
              </w:rPr>
              <w:t>Le Secrétariat transmet l’information à l’État partie, à la personne de contact pour la candidature et aux représentants de</w:t>
            </w:r>
            <w:r w:rsidR="004C4127" w:rsidRPr="00710118">
              <w:rPr>
                <w:sz w:val="22"/>
                <w:szCs w:val="22"/>
                <w:lang w:val="fr-FR"/>
              </w:rPr>
              <w:t>s</w:t>
            </w:r>
            <w:r w:rsidRPr="00710118">
              <w:rPr>
                <w:sz w:val="22"/>
                <w:szCs w:val="22"/>
                <w:lang w:val="fr-FR"/>
              </w:rPr>
              <w:t xml:space="preserve"> communauté</w:t>
            </w:r>
            <w:r w:rsidR="004C4127" w:rsidRPr="00710118">
              <w:rPr>
                <w:sz w:val="22"/>
                <w:szCs w:val="22"/>
                <w:lang w:val="fr-FR"/>
              </w:rPr>
              <w:t>s, groupes et, le cas échéant, individus</w:t>
            </w:r>
            <w:r w:rsidRPr="00710118">
              <w:rPr>
                <w:sz w:val="22"/>
                <w:szCs w:val="22"/>
                <w:lang w:val="fr-FR"/>
              </w:rPr>
              <w:t xml:space="preserve"> (tels qu’indiqués dans le dossier de candidature), qui peuvent fournir une réponse et des informations complémentaires.</w:t>
            </w:r>
          </w:p>
          <w:p w14:paraId="51052CE8" w14:textId="77777777" w:rsidR="004A6319" w:rsidRPr="00710118" w:rsidRDefault="004A6319" w:rsidP="004A3128">
            <w:pPr>
              <w:pStyle w:val="1GAPara"/>
              <w:numPr>
                <w:ilvl w:val="0"/>
                <w:numId w:val="3"/>
              </w:numPr>
              <w:ind w:left="425" w:hanging="425"/>
              <w:jc w:val="both"/>
              <w:rPr>
                <w:sz w:val="22"/>
                <w:szCs w:val="22"/>
                <w:lang w:val="fr-FR"/>
              </w:rPr>
            </w:pPr>
            <w:r w:rsidRPr="00710118">
              <w:rPr>
                <w:sz w:val="22"/>
                <w:szCs w:val="22"/>
                <w:lang w:val="fr-FR"/>
              </w:rPr>
              <w:t>Si l’entité à l’origine de la correspondance souhaite rester anonyme, le Secrétariat transmet une version modifiée de la correspondance d’origine.</w:t>
            </w:r>
          </w:p>
        </w:tc>
      </w:tr>
      <w:tr w:rsidR="004A6319" w:rsidRPr="00710118" w14:paraId="68DD9B7A" w14:textId="77777777" w:rsidTr="004A3128">
        <w:tc>
          <w:tcPr>
            <w:tcW w:w="1318" w:type="dxa"/>
            <w:vMerge w:val="restart"/>
          </w:tcPr>
          <w:p w14:paraId="4FA82592" w14:textId="77777777" w:rsidR="004A6319" w:rsidRPr="00710118" w:rsidRDefault="004A6319" w:rsidP="004A3128">
            <w:pPr>
              <w:pStyle w:val="1GAPara"/>
              <w:keepNext/>
              <w:numPr>
                <w:ilvl w:val="0"/>
                <w:numId w:val="0"/>
              </w:numPr>
              <w:jc w:val="both"/>
              <w:rPr>
                <w:b/>
                <w:bCs/>
                <w:sz w:val="22"/>
                <w:szCs w:val="22"/>
                <w:lang w:val="fr-FR"/>
              </w:rPr>
            </w:pPr>
            <w:r w:rsidRPr="00710118">
              <w:rPr>
                <w:b/>
                <w:bCs/>
                <w:sz w:val="22"/>
                <w:szCs w:val="22"/>
                <w:lang w:val="fr-FR"/>
              </w:rPr>
              <w:t>Étape 3</w:t>
            </w:r>
          </w:p>
        </w:tc>
        <w:tc>
          <w:tcPr>
            <w:tcW w:w="7743" w:type="dxa"/>
            <w:gridSpan w:val="2"/>
          </w:tcPr>
          <w:p w14:paraId="00B63360" w14:textId="77777777" w:rsidR="004A6319" w:rsidRPr="00710118" w:rsidRDefault="004A6319" w:rsidP="004A3128">
            <w:pPr>
              <w:pStyle w:val="1GAPara"/>
              <w:keepNext/>
              <w:numPr>
                <w:ilvl w:val="0"/>
                <w:numId w:val="0"/>
              </w:numPr>
              <w:ind w:left="720" w:hanging="686"/>
              <w:jc w:val="both"/>
              <w:rPr>
                <w:b/>
                <w:bCs/>
                <w:sz w:val="22"/>
                <w:szCs w:val="22"/>
                <w:lang w:val="fr-FR"/>
              </w:rPr>
            </w:pPr>
            <w:r w:rsidRPr="00710118">
              <w:rPr>
                <w:b/>
                <w:bCs/>
                <w:sz w:val="22"/>
                <w:szCs w:val="22"/>
                <w:lang w:val="fr-FR"/>
              </w:rPr>
              <w:t>Vérification préliminaire</w:t>
            </w:r>
          </w:p>
        </w:tc>
      </w:tr>
      <w:tr w:rsidR="004A6319" w:rsidRPr="005641C5" w14:paraId="2A9F9B61" w14:textId="77777777" w:rsidTr="004A3128">
        <w:trPr>
          <w:trHeight w:val="551"/>
        </w:trPr>
        <w:tc>
          <w:tcPr>
            <w:tcW w:w="1318" w:type="dxa"/>
            <w:vMerge/>
          </w:tcPr>
          <w:p w14:paraId="18A27A9B" w14:textId="77777777" w:rsidR="004A6319" w:rsidRPr="00710118" w:rsidRDefault="004A6319" w:rsidP="004A3128">
            <w:pPr>
              <w:pStyle w:val="1GAPara"/>
              <w:numPr>
                <w:ilvl w:val="0"/>
                <w:numId w:val="0"/>
              </w:numPr>
              <w:jc w:val="both"/>
              <w:rPr>
                <w:b/>
                <w:bCs/>
                <w:sz w:val="22"/>
                <w:szCs w:val="22"/>
                <w:lang w:val="fr-FR"/>
              </w:rPr>
            </w:pPr>
          </w:p>
        </w:tc>
        <w:tc>
          <w:tcPr>
            <w:tcW w:w="3777" w:type="dxa"/>
          </w:tcPr>
          <w:p w14:paraId="2C463EBD" w14:textId="77777777" w:rsidR="004A6319" w:rsidRPr="00710118" w:rsidRDefault="004A6319" w:rsidP="004A3128">
            <w:pPr>
              <w:jc w:val="both"/>
              <w:rPr>
                <w:sz w:val="22"/>
                <w:szCs w:val="22"/>
                <w:lang w:val="fr-FR"/>
              </w:rPr>
            </w:pPr>
            <w:r w:rsidRPr="00710118">
              <w:rPr>
                <w:rFonts w:ascii="Arial" w:hAnsi="Arial" w:cs="Arial"/>
                <w:snapToGrid w:val="0"/>
                <w:sz w:val="22"/>
                <w:szCs w:val="22"/>
                <w:lang w:val="fr-FR" w:eastAsia="en-US"/>
              </w:rPr>
              <w:t xml:space="preserve">Si la demande de retrait est soumise par </w:t>
            </w:r>
            <w:r w:rsidRPr="00710118">
              <w:rPr>
                <w:rFonts w:ascii="Arial" w:hAnsi="Arial" w:cs="Arial"/>
                <w:snapToGrid w:val="0"/>
                <w:szCs w:val="22"/>
                <w:lang w:val="fr-FR" w:eastAsia="en-US"/>
              </w:rPr>
              <w:t>l’État partie concerné</w:t>
            </w:r>
            <w:r w:rsidRPr="00710118">
              <w:rPr>
                <w:rFonts w:ascii="Arial" w:hAnsi="Arial" w:cs="Arial"/>
                <w:snapToGrid w:val="0"/>
                <w:sz w:val="22"/>
                <w:szCs w:val="22"/>
                <w:lang w:val="fr-FR" w:eastAsia="en-US"/>
              </w:rPr>
              <w:t xml:space="preserve"> tel qu’identifié dans le dossier de candidature :</w:t>
            </w:r>
          </w:p>
          <w:p w14:paraId="1DE19581" w14:textId="77777777" w:rsidR="004A6319" w:rsidRPr="00710118" w:rsidRDefault="004A6319" w:rsidP="004A3128">
            <w:pPr>
              <w:pStyle w:val="1GAPara"/>
              <w:numPr>
                <w:ilvl w:val="0"/>
                <w:numId w:val="3"/>
              </w:numPr>
              <w:ind w:left="425" w:hanging="425"/>
              <w:jc w:val="both"/>
              <w:rPr>
                <w:sz w:val="22"/>
                <w:szCs w:val="22"/>
                <w:lang w:val="fr-FR"/>
              </w:rPr>
            </w:pPr>
            <w:r w:rsidRPr="00710118">
              <w:rPr>
                <w:sz w:val="22"/>
                <w:szCs w:val="22"/>
                <w:lang w:val="fr-FR"/>
              </w:rPr>
              <w:t xml:space="preserve">Le Secrétariat réunit les informations (possiblement par l’intermédiaire du Forum des ONG du PCI) en particulier en relation avec l’article 2 de la Convention. </w:t>
            </w:r>
          </w:p>
          <w:p w14:paraId="72313C38" w14:textId="189084DF" w:rsidR="004A6319" w:rsidRPr="00710118" w:rsidRDefault="004A6319" w:rsidP="004A3128">
            <w:pPr>
              <w:pStyle w:val="1GAPara"/>
              <w:numPr>
                <w:ilvl w:val="0"/>
                <w:numId w:val="3"/>
              </w:numPr>
              <w:ind w:left="425" w:hanging="425"/>
              <w:jc w:val="both"/>
              <w:rPr>
                <w:sz w:val="22"/>
                <w:szCs w:val="22"/>
                <w:lang w:val="fr-FR"/>
              </w:rPr>
            </w:pPr>
            <w:r w:rsidRPr="00710118">
              <w:rPr>
                <w:sz w:val="22"/>
                <w:szCs w:val="22"/>
                <w:lang w:val="fr-FR"/>
              </w:rPr>
              <w:t>La demande de retrait est alors transmise directement au Comité avec la réponse de l’État</w:t>
            </w:r>
            <w:r w:rsidR="0045632B" w:rsidRPr="00710118">
              <w:rPr>
                <w:sz w:val="22"/>
                <w:szCs w:val="22"/>
                <w:lang w:val="fr-FR"/>
              </w:rPr>
              <w:t xml:space="preserve"> partie</w:t>
            </w:r>
            <w:r w:rsidRPr="00710118">
              <w:rPr>
                <w:sz w:val="22"/>
                <w:szCs w:val="22"/>
                <w:lang w:val="fr-FR"/>
              </w:rPr>
              <w:t xml:space="preserve"> et des communautés,</w:t>
            </w:r>
            <w:r w:rsidR="00D85B2B" w:rsidRPr="00710118">
              <w:rPr>
                <w:sz w:val="22"/>
                <w:szCs w:val="22"/>
                <w:lang w:val="fr-FR"/>
              </w:rPr>
              <w:t xml:space="preserve"> groupes et, le cas échéant, individus concernés,</w:t>
            </w:r>
            <w:r w:rsidRPr="00710118">
              <w:rPr>
                <w:sz w:val="22"/>
                <w:szCs w:val="22"/>
                <w:lang w:val="fr-FR"/>
              </w:rPr>
              <w:t xml:space="preserve"> ainsi que toute information provenant du Forum des ONG du PCI.</w:t>
            </w:r>
          </w:p>
        </w:tc>
        <w:tc>
          <w:tcPr>
            <w:tcW w:w="3966" w:type="dxa"/>
          </w:tcPr>
          <w:p w14:paraId="65E01FAF" w14:textId="77777777" w:rsidR="004A6319" w:rsidRPr="00710118" w:rsidRDefault="004A6319" w:rsidP="004A3128">
            <w:pPr>
              <w:ind w:left="101"/>
              <w:jc w:val="both"/>
              <w:rPr>
                <w:rFonts w:ascii="Arial" w:hAnsi="Arial" w:cs="Arial"/>
                <w:snapToGrid w:val="0"/>
                <w:sz w:val="22"/>
                <w:szCs w:val="22"/>
                <w:lang w:val="fr-FR" w:eastAsia="en-US"/>
              </w:rPr>
            </w:pPr>
            <w:r w:rsidRPr="00710118">
              <w:rPr>
                <w:rFonts w:ascii="Arial" w:hAnsi="Arial" w:cs="Arial"/>
                <w:snapToGrid w:val="0"/>
                <w:sz w:val="22"/>
                <w:szCs w:val="22"/>
                <w:lang w:val="fr-FR" w:eastAsia="en-US"/>
              </w:rPr>
              <w:t>Dans les autres cas :</w:t>
            </w:r>
          </w:p>
          <w:p w14:paraId="622C79C7" w14:textId="37F4341B" w:rsidR="004A6319" w:rsidRPr="00710118" w:rsidRDefault="004A6319" w:rsidP="004A3128">
            <w:pPr>
              <w:pStyle w:val="1GAPara"/>
              <w:numPr>
                <w:ilvl w:val="0"/>
                <w:numId w:val="3"/>
              </w:numPr>
              <w:ind w:left="425" w:hanging="425"/>
              <w:jc w:val="both"/>
              <w:rPr>
                <w:sz w:val="22"/>
                <w:szCs w:val="22"/>
                <w:lang w:val="fr-FR"/>
              </w:rPr>
            </w:pPr>
            <w:r w:rsidRPr="00710118">
              <w:rPr>
                <w:sz w:val="22"/>
                <w:szCs w:val="22"/>
                <w:lang w:val="fr-FR"/>
              </w:rPr>
              <w:t>Le Secrétariat peut réunir des informations (possiblement par l’intermédiaire du Forum des ONG du PCI) en particulier en relation avec l’article 2 de la Convention</w:t>
            </w:r>
            <w:r w:rsidR="0045632B" w:rsidRPr="00710118">
              <w:rPr>
                <w:sz w:val="22"/>
                <w:szCs w:val="22"/>
                <w:lang w:val="fr-FR"/>
              </w:rPr>
              <w:t>,</w:t>
            </w:r>
            <w:r w:rsidRPr="00710118">
              <w:rPr>
                <w:sz w:val="22"/>
                <w:szCs w:val="22"/>
                <w:lang w:val="fr-FR"/>
              </w:rPr>
              <w:t xml:space="preserve"> et partager les résultats issus de ces informations avec l’État partie concerné et recueillir sa réponse le cas échéant.</w:t>
            </w:r>
          </w:p>
          <w:p w14:paraId="5F48B523" w14:textId="77777777" w:rsidR="004A6319" w:rsidRPr="00710118" w:rsidRDefault="004A6319" w:rsidP="004A3128">
            <w:pPr>
              <w:pStyle w:val="1GAPara"/>
              <w:numPr>
                <w:ilvl w:val="0"/>
                <w:numId w:val="3"/>
              </w:numPr>
              <w:ind w:left="425" w:hanging="425"/>
              <w:jc w:val="both"/>
              <w:rPr>
                <w:sz w:val="22"/>
                <w:szCs w:val="22"/>
                <w:lang w:val="fr-FR"/>
              </w:rPr>
            </w:pPr>
            <w:r w:rsidRPr="00710118">
              <w:rPr>
                <w:sz w:val="22"/>
                <w:szCs w:val="22"/>
                <w:lang w:val="fr-FR"/>
              </w:rPr>
              <w:t>Le Bureau recommande ou non d’inclure le cas à l’ordre du jour de la prochaine session du Comité.</w:t>
            </w:r>
          </w:p>
          <w:p w14:paraId="0359E47F" w14:textId="77777777" w:rsidR="004A6319" w:rsidRPr="00710118" w:rsidRDefault="004A6319" w:rsidP="004A3128">
            <w:pPr>
              <w:pStyle w:val="ListParagraph"/>
              <w:ind w:left="458"/>
              <w:contextualSpacing w:val="0"/>
              <w:jc w:val="both"/>
              <w:rPr>
                <w:sz w:val="22"/>
                <w:szCs w:val="22"/>
                <w:lang w:val="fr-FR"/>
              </w:rPr>
            </w:pPr>
          </w:p>
        </w:tc>
      </w:tr>
      <w:tr w:rsidR="004A6319" w:rsidRPr="005641C5" w14:paraId="13B1E181" w14:textId="77777777" w:rsidTr="004A3128">
        <w:tc>
          <w:tcPr>
            <w:tcW w:w="1318" w:type="dxa"/>
            <w:vMerge/>
          </w:tcPr>
          <w:p w14:paraId="48189767" w14:textId="77777777" w:rsidR="004A6319" w:rsidRPr="00710118" w:rsidRDefault="004A6319" w:rsidP="004A3128">
            <w:pPr>
              <w:pStyle w:val="1GAPara"/>
              <w:numPr>
                <w:ilvl w:val="0"/>
                <w:numId w:val="0"/>
              </w:numPr>
              <w:jc w:val="both"/>
              <w:rPr>
                <w:b/>
                <w:bCs/>
                <w:sz w:val="22"/>
                <w:szCs w:val="22"/>
                <w:lang w:val="fr-FR"/>
              </w:rPr>
            </w:pPr>
          </w:p>
        </w:tc>
        <w:tc>
          <w:tcPr>
            <w:tcW w:w="7743" w:type="dxa"/>
            <w:gridSpan w:val="2"/>
            <w:shd w:val="clear" w:color="auto" w:fill="auto"/>
          </w:tcPr>
          <w:p w14:paraId="727528FA" w14:textId="77777777" w:rsidR="004A6319" w:rsidRPr="00710118" w:rsidRDefault="004A6319" w:rsidP="004A3128">
            <w:pPr>
              <w:pStyle w:val="1GAPara"/>
              <w:numPr>
                <w:ilvl w:val="0"/>
                <w:numId w:val="0"/>
              </w:numPr>
              <w:jc w:val="both"/>
              <w:rPr>
                <w:sz w:val="22"/>
                <w:szCs w:val="22"/>
                <w:lang w:val="fr-FR"/>
              </w:rPr>
            </w:pPr>
            <w:r w:rsidRPr="00710118">
              <w:rPr>
                <w:sz w:val="22"/>
                <w:szCs w:val="22"/>
                <w:lang w:val="fr-FR"/>
              </w:rPr>
              <w:t xml:space="preserve">Quelle que soit l’option sélectionnée ci-dessus, tous les cas reçus par le Secrétariat sont portés à l’attention du Comité au sens de la décision </w:t>
            </w:r>
            <w:hyperlink r:id="rId8" w:history="1">
              <w:r w:rsidRPr="00710118">
                <w:rPr>
                  <w:rStyle w:val="Hyperlink"/>
                  <w:sz w:val="22"/>
                  <w:szCs w:val="22"/>
                  <w:lang w:val="fr-FR"/>
                </w:rPr>
                <w:t>14.COM 14</w:t>
              </w:r>
            </w:hyperlink>
            <w:r w:rsidRPr="00710118">
              <w:rPr>
                <w:sz w:val="22"/>
                <w:szCs w:val="22"/>
                <w:lang w:val="fr-FR"/>
              </w:rPr>
              <w:t xml:space="preserve"> (paragraphe 15).</w:t>
            </w:r>
          </w:p>
        </w:tc>
      </w:tr>
      <w:tr w:rsidR="004A6319" w:rsidRPr="005641C5" w14:paraId="40441418" w14:textId="77777777" w:rsidTr="004A3128">
        <w:tc>
          <w:tcPr>
            <w:tcW w:w="1318" w:type="dxa"/>
          </w:tcPr>
          <w:p w14:paraId="2A24CDE2" w14:textId="77777777" w:rsidR="004A6319" w:rsidRPr="00710118" w:rsidRDefault="004A6319" w:rsidP="004A3128">
            <w:pPr>
              <w:pStyle w:val="1GAPara"/>
              <w:numPr>
                <w:ilvl w:val="0"/>
                <w:numId w:val="0"/>
              </w:numPr>
              <w:jc w:val="both"/>
              <w:rPr>
                <w:b/>
                <w:bCs/>
                <w:sz w:val="22"/>
                <w:szCs w:val="22"/>
                <w:lang w:val="fr-FR"/>
              </w:rPr>
            </w:pPr>
            <w:r w:rsidRPr="00710118">
              <w:rPr>
                <w:b/>
                <w:bCs/>
                <w:sz w:val="22"/>
                <w:szCs w:val="22"/>
                <w:lang w:val="fr-FR"/>
              </w:rPr>
              <w:t>Étape 4</w:t>
            </w:r>
          </w:p>
        </w:tc>
        <w:tc>
          <w:tcPr>
            <w:tcW w:w="7743" w:type="dxa"/>
            <w:gridSpan w:val="2"/>
          </w:tcPr>
          <w:p w14:paraId="60FB1D88" w14:textId="77777777" w:rsidR="004A6319" w:rsidRPr="00710118" w:rsidRDefault="004A6319" w:rsidP="004A3128">
            <w:pPr>
              <w:pStyle w:val="1GAPara"/>
              <w:numPr>
                <w:ilvl w:val="0"/>
                <w:numId w:val="0"/>
              </w:numPr>
              <w:jc w:val="both"/>
              <w:rPr>
                <w:b/>
                <w:bCs/>
                <w:sz w:val="22"/>
                <w:szCs w:val="22"/>
                <w:lang w:val="fr-FR"/>
              </w:rPr>
            </w:pPr>
            <w:r w:rsidRPr="00710118">
              <w:rPr>
                <w:b/>
                <w:bCs/>
                <w:sz w:val="22"/>
                <w:szCs w:val="22"/>
                <w:lang w:val="fr-FR"/>
              </w:rPr>
              <w:t>Examen par le Comité</w:t>
            </w:r>
          </w:p>
          <w:p w14:paraId="1CA8E0B8" w14:textId="77777777" w:rsidR="004A6319" w:rsidRPr="00710118" w:rsidRDefault="004A6319" w:rsidP="004A3128">
            <w:pPr>
              <w:pStyle w:val="1GAPara"/>
              <w:numPr>
                <w:ilvl w:val="0"/>
                <w:numId w:val="0"/>
              </w:numPr>
              <w:jc w:val="both"/>
              <w:rPr>
                <w:sz w:val="22"/>
                <w:szCs w:val="22"/>
                <w:lang w:val="fr-FR"/>
              </w:rPr>
            </w:pPr>
            <w:r w:rsidRPr="00710118">
              <w:rPr>
                <w:sz w:val="22"/>
                <w:szCs w:val="22"/>
                <w:lang w:val="fr-FR"/>
              </w:rPr>
              <w:t>Les informations reçues, ainsi que la réponse de l’État partie et des communautés, groupes et, le cas échéant, des individus concernés – de même que toute information provenant du Forum des ONG du PCI et la décision du Bureau (si la demande est passée par le Bureau) – sont portés à l’attention du Comité qui peut alors décider de :</w:t>
            </w:r>
          </w:p>
          <w:p w14:paraId="15C1C56B" w14:textId="77777777" w:rsidR="004A6319" w:rsidRPr="00710118" w:rsidRDefault="004A6319" w:rsidP="004A3128">
            <w:pPr>
              <w:pStyle w:val="1GAPara"/>
              <w:numPr>
                <w:ilvl w:val="3"/>
                <w:numId w:val="1"/>
              </w:numPr>
              <w:ind w:left="425" w:hanging="425"/>
              <w:jc w:val="both"/>
              <w:rPr>
                <w:sz w:val="22"/>
                <w:szCs w:val="22"/>
                <w:lang w:val="fr-FR"/>
              </w:rPr>
            </w:pPr>
            <w:r w:rsidRPr="00710118">
              <w:rPr>
                <w:sz w:val="22"/>
                <w:szCs w:val="22"/>
                <w:lang w:val="fr-FR"/>
              </w:rPr>
              <w:t>Si la demande de retrait est soumise par l’État partie concerné tel qu’identifié dans le dossier de candidature :</w:t>
            </w:r>
          </w:p>
          <w:p w14:paraId="45BF53CA" w14:textId="76006724" w:rsidR="004A6319" w:rsidRPr="00710118" w:rsidRDefault="004A6319" w:rsidP="004A3128">
            <w:pPr>
              <w:pStyle w:val="1GAPara"/>
              <w:numPr>
                <w:ilvl w:val="0"/>
                <w:numId w:val="3"/>
              </w:numPr>
              <w:ind w:left="850" w:hanging="425"/>
              <w:jc w:val="both"/>
              <w:rPr>
                <w:sz w:val="22"/>
                <w:szCs w:val="22"/>
                <w:lang w:val="fr-FR"/>
              </w:rPr>
            </w:pPr>
            <w:r w:rsidRPr="00710118">
              <w:rPr>
                <w:sz w:val="22"/>
                <w:szCs w:val="22"/>
                <w:lang w:val="fr-FR"/>
              </w:rPr>
              <w:t xml:space="preserve">Placer l’élément dans un état de « suivi » à titre de </w:t>
            </w:r>
            <w:r w:rsidRPr="00710118">
              <w:rPr>
                <w:sz w:val="22"/>
                <w:szCs w:val="22"/>
                <w:u w:val="single"/>
                <w:lang w:val="fr-FR"/>
              </w:rPr>
              <w:t>mesure intermédiaire</w:t>
            </w:r>
            <w:r w:rsidRPr="00710118">
              <w:rPr>
                <w:sz w:val="22"/>
                <w:szCs w:val="22"/>
                <w:lang w:val="fr-FR"/>
              </w:rPr>
              <w:t xml:space="preserve"> s’il considère que des informations supplémentaires sont nécessaires </w:t>
            </w:r>
            <w:r w:rsidR="00A2325D" w:rsidRPr="00710118">
              <w:rPr>
                <w:sz w:val="22"/>
                <w:szCs w:val="22"/>
                <w:lang w:val="fr-FR"/>
              </w:rPr>
              <w:t>(</w:t>
            </w:r>
            <w:r w:rsidRPr="00710118">
              <w:rPr>
                <w:sz w:val="22"/>
                <w:szCs w:val="22"/>
                <w:lang w:val="fr-FR"/>
              </w:rPr>
              <w:t>continuer à l’étape 5</w:t>
            </w:r>
            <w:r w:rsidR="00A2325D" w:rsidRPr="00710118">
              <w:rPr>
                <w:sz w:val="22"/>
                <w:szCs w:val="22"/>
                <w:lang w:val="fr-FR"/>
              </w:rPr>
              <w:t>)</w:t>
            </w:r>
            <w:r w:rsidRPr="00710118">
              <w:rPr>
                <w:sz w:val="22"/>
                <w:szCs w:val="22"/>
                <w:lang w:val="fr-FR"/>
              </w:rPr>
              <w:t>.</w:t>
            </w:r>
          </w:p>
          <w:p w14:paraId="57FE55E1" w14:textId="77777777" w:rsidR="004A6319" w:rsidRPr="00710118" w:rsidRDefault="004A6319" w:rsidP="004A3128">
            <w:pPr>
              <w:pStyle w:val="1GAPara"/>
              <w:numPr>
                <w:ilvl w:val="0"/>
                <w:numId w:val="3"/>
              </w:numPr>
              <w:ind w:left="850" w:hanging="425"/>
              <w:jc w:val="both"/>
              <w:rPr>
                <w:sz w:val="22"/>
                <w:szCs w:val="22"/>
                <w:lang w:val="fr-FR"/>
              </w:rPr>
            </w:pPr>
            <w:r w:rsidRPr="00710118">
              <w:rPr>
                <w:sz w:val="22"/>
                <w:szCs w:val="22"/>
                <w:lang w:val="fr-FR"/>
              </w:rPr>
              <w:t>Retirer l’élément de la Liste, s’il considère que les informations sont complètes et qu’il existe une raison suffisante motivant un retrait (fin de la procédure).</w:t>
            </w:r>
          </w:p>
          <w:p w14:paraId="53318F59" w14:textId="77777777" w:rsidR="004A6319" w:rsidRPr="00710118" w:rsidRDefault="004A6319" w:rsidP="004A3128">
            <w:pPr>
              <w:pStyle w:val="1GAPara"/>
              <w:numPr>
                <w:ilvl w:val="0"/>
                <w:numId w:val="3"/>
              </w:numPr>
              <w:ind w:left="850" w:hanging="425"/>
              <w:jc w:val="both"/>
              <w:rPr>
                <w:sz w:val="22"/>
                <w:szCs w:val="22"/>
                <w:lang w:val="fr-FR"/>
              </w:rPr>
            </w:pPr>
            <w:r w:rsidRPr="00710118">
              <w:rPr>
                <w:sz w:val="22"/>
                <w:szCs w:val="22"/>
                <w:lang w:val="fr-FR"/>
              </w:rPr>
              <w:t>Retirer l’élément de la Liste, s’il considère que les informations sont complètes et qu’il existe une raison suffisante motivant un retrait, avec la possibilité de le placer dans un Recueil du patrimoine culturel immatériel (fin de la procédure).</w:t>
            </w:r>
          </w:p>
          <w:p w14:paraId="2F5537C7" w14:textId="77777777" w:rsidR="004A6319" w:rsidRPr="00710118" w:rsidRDefault="004A6319" w:rsidP="004A3128">
            <w:pPr>
              <w:pStyle w:val="1GAPara"/>
              <w:numPr>
                <w:ilvl w:val="3"/>
                <w:numId w:val="1"/>
              </w:numPr>
              <w:ind w:left="425" w:hanging="425"/>
              <w:jc w:val="both"/>
              <w:rPr>
                <w:sz w:val="22"/>
                <w:szCs w:val="22"/>
                <w:lang w:val="fr-FR"/>
              </w:rPr>
            </w:pPr>
            <w:r w:rsidRPr="00710118">
              <w:rPr>
                <w:sz w:val="22"/>
                <w:szCs w:val="22"/>
                <w:lang w:val="fr-FR"/>
              </w:rPr>
              <w:t xml:space="preserve">Dans les autres cas : </w:t>
            </w:r>
          </w:p>
          <w:p w14:paraId="73499D17" w14:textId="77777777" w:rsidR="004A6319" w:rsidRPr="00710118" w:rsidRDefault="004A6319" w:rsidP="004A3128">
            <w:pPr>
              <w:pStyle w:val="1GAPara"/>
              <w:numPr>
                <w:ilvl w:val="0"/>
                <w:numId w:val="3"/>
              </w:numPr>
              <w:ind w:left="850" w:hanging="425"/>
              <w:jc w:val="both"/>
              <w:rPr>
                <w:sz w:val="22"/>
                <w:szCs w:val="22"/>
                <w:lang w:val="fr-FR"/>
              </w:rPr>
            </w:pPr>
            <w:r w:rsidRPr="00710118">
              <w:rPr>
                <w:sz w:val="22"/>
                <w:szCs w:val="22"/>
                <w:lang w:val="fr-FR"/>
              </w:rPr>
              <w:t>Maintenir l’élément sur la Liste s’il considère que les informations sont complètes et qu’il n’existe pas de raison suffisante motivant un retrait (fin de la procédure).</w:t>
            </w:r>
          </w:p>
          <w:p w14:paraId="5E8F7338" w14:textId="73C4B27E" w:rsidR="004A6319" w:rsidRPr="00710118" w:rsidRDefault="004A6319" w:rsidP="004A3128">
            <w:pPr>
              <w:pStyle w:val="1GAPara"/>
              <w:numPr>
                <w:ilvl w:val="0"/>
                <w:numId w:val="3"/>
              </w:numPr>
              <w:ind w:left="850" w:hanging="425"/>
              <w:jc w:val="both"/>
              <w:rPr>
                <w:sz w:val="22"/>
                <w:szCs w:val="22"/>
                <w:lang w:val="fr-FR"/>
              </w:rPr>
            </w:pPr>
            <w:r w:rsidRPr="00710118">
              <w:rPr>
                <w:sz w:val="22"/>
                <w:szCs w:val="22"/>
                <w:lang w:val="fr-FR"/>
              </w:rPr>
              <w:t xml:space="preserve">Placer l’élément dans un état de « suivi » à titre de </w:t>
            </w:r>
            <w:r w:rsidRPr="00710118">
              <w:rPr>
                <w:sz w:val="22"/>
                <w:szCs w:val="22"/>
                <w:u w:val="single"/>
                <w:lang w:val="fr-FR"/>
              </w:rPr>
              <w:t>mesure intermédiaire</w:t>
            </w:r>
            <w:r w:rsidRPr="00710118">
              <w:rPr>
                <w:sz w:val="22"/>
                <w:szCs w:val="22"/>
                <w:lang w:val="fr-FR"/>
              </w:rPr>
              <w:t xml:space="preserve"> s’il considère que des informations supplémentaires sont nécessaires </w:t>
            </w:r>
            <w:r w:rsidR="00A2325D" w:rsidRPr="00710118">
              <w:rPr>
                <w:sz w:val="22"/>
                <w:szCs w:val="22"/>
                <w:lang w:val="fr-FR"/>
              </w:rPr>
              <w:t>(</w:t>
            </w:r>
            <w:r w:rsidRPr="00710118">
              <w:rPr>
                <w:sz w:val="22"/>
                <w:szCs w:val="22"/>
                <w:lang w:val="fr-FR"/>
              </w:rPr>
              <w:t>continuer à l’étape 5</w:t>
            </w:r>
            <w:r w:rsidR="00A2325D" w:rsidRPr="00710118">
              <w:rPr>
                <w:sz w:val="22"/>
                <w:szCs w:val="22"/>
                <w:lang w:val="fr-FR"/>
              </w:rPr>
              <w:t>)</w:t>
            </w:r>
            <w:r w:rsidRPr="00710118">
              <w:rPr>
                <w:sz w:val="22"/>
                <w:szCs w:val="22"/>
                <w:lang w:val="fr-FR"/>
              </w:rPr>
              <w:t>.</w:t>
            </w:r>
          </w:p>
        </w:tc>
      </w:tr>
      <w:tr w:rsidR="004A3128" w:rsidRPr="005641C5" w14:paraId="142B04A8" w14:textId="77777777" w:rsidTr="004A3128">
        <w:tc>
          <w:tcPr>
            <w:tcW w:w="1318" w:type="dxa"/>
          </w:tcPr>
          <w:p w14:paraId="22B84436" w14:textId="0196A739" w:rsidR="004A3128" w:rsidRPr="00710118" w:rsidRDefault="004A3128" w:rsidP="004A3128">
            <w:pPr>
              <w:pStyle w:val="1GAPara"/>
              <w:numPr>
                <w:ilvl w:val="0"/>
                <w:numId w:val="0"/>
              </w:numPr>
              <w:jc w:val="both"/>
              <w:rPr>
                <w:b/>
                <w:bCs/>
                <w:lang w:val="fr-FR"/>
              </w:rPr>
            </w:pPr>
            <w:r w:rsidRPr="00710118">
              <w:rPr>
                <w:b/>
                <w:bCs/>
                <w:sz w:val="22"/>
                <w:szCs w:val="22"/>
                <w:lang w:val="fr-FR"/>
              </w:rPr>
              <w:t>Étape 5</w:t>
            </w:r>
          </w:p>
        </w:tc>
        <w:tc>
          <w:tcPr>
            <w:tcW w:w="7743" w:type="dxa"/>
            <w:gridSpan w:val="2"/>
          </w:tcPr>
          <w:p w14:paraId="0B99E3F1" w14:textId="77777777" w:rsidR="004A3128" w:rsidRPr="00710118" w:rsidRDefault="004A3128" w:rsidP="004A3128">
            <w:pPr>
              <w:pStyle w:val="1GAPara"/>
              <w:numPr>
                <w:ilvl w:val="0"/>
                <w:numId w:val="0"/>
              </w:numPr>
              <w:jc w:val="both"/>
              <w:rPr>
                <w:sz w:val="22"/>
                <w:szCs w:val="22"/>
                <w:lang w:val="fr-FR"/>
              </w:rPr>
            </w:pPr>
            <w:r w:rsidRPr="00710118">
              <w:rPr>
                <w:b/>
                <w:bCs/>
                <w:sz w:val="22"/>
                <w:szCs w:val="22"/>
                <w:lang w:val="fr-FR"/>
              </w:rPr>
              <w:t>Suivi approfondi (observation, échange et dialogue)</w:t>
            </w:r>
          </w:p>
          <w:p w14:paraId="29CA4ACD" w14:textId="77777777" w:rsidR="004A3128" w:rsidRPr="00710118" w:rsidRDefault="004A3128" w:rsidP="004A3128">
            <w:pPr>
              <w:pStyle w:val="1GAPara"/>
              <w:numPr>
                <w:ilvl w:val="0"/>
                <w:numId w:val="4"/>
              </w:numPr>
              <w:ind w:left="425" w:hanging="425"/>
              <w:jc w:val="both"/>
              <w:rPr>
                <w:b/>
                <w:bCs/>
                <w:sz w:val="22"/>
                <w:szCs w:val="22"/>
                <w:lang w:val="fr-FR"/>
              </w:rPr>
            </w:pPr>
            <w:r w:rsidRPr="00710118">
              <w:rPr>
                <w:sz w:val="22"/>
                <w:szCs w:val="22"/>
                <w:lang w:val="fr-FR"/>
              </w:rPr>
              <w:t>L’Organe d’évaluation décide si le suivi est exécuté par l’Organe d’évaluation dans son ensemble ou par trois membres de l’Organe d’évaluation (parmi les trois, il y aura au moins un membre de la région concernée, au moins une ONG accréditée et au moins un expert individuel), qui effectuent une évaluation initiale. Cette dernière est ensuite débattue collectivement par tous les membres de l’Organe d’évaluation.</w:t>
            </w:r>
          </w:p>
          <w:p w14:paraId="50A46CEE" w14:textId="77777777" w:rsidR="004A3128" w:rsidRPr="00710118" w:rsidRDefault="004A3128" w:rsidP="004A3128">
            <w:pPr>
              <w:pStyle w:val="1GAPara"/>
              <w:numPr>
                <w:ilvl w:val="0"/>
                <w:numId w:val="4"/>
              </w:numPr>
              <w:ind w:left="425" w:hanging="425"/>
              <w:jc w:val="both"/>
              <w:rPr>
                <w:b/>
                <w:bCs/>
                <w:sz w:val="22"/>
                <w:szCs w:val="22"/>
                <w:lang w:val="fr-FR"/>
              </w:rPr>
            </w:pPr>
            <w:r w:rsidRPr="00710118">
              <w:rPr>
                <w:sz w:val="22"/>
                <w:szCs w:val="22"/>
                <w:lang w:val="fr-FR"/>
              </w:rPr>
              <w:t>Au cas par cas, le suivi peut prendre la forme d’une correspondance écrite et/ou d’une consultation en ligne avec l’État partie, les communautés, groupes et, le cas échéant, individus concernés, et le Forum des ONG du PCI et/ou d’une mission consultative.</w:t>
            </w:r>
          </w:p>
          <w:p w14:paraId="121D96B3" w14:textId="4EF3CF79" w:rsidR="004A3128" w:rsidRPr="00710118" w:rsidRDefault="004A3128" w:rsidP="005D0C6A">
            <w:pPr>
              <w:pStyle w:val="1GAPara"/>
              <w:numPr>
                <w:ilvl w:val="0"/>
                <w:numId w:val="4"/>
              </w:numPr>
              <w:ind w:left="425" w:hanging="425"/>
              <w:jc w:val="both"/>
              <w:rPr>
                <w:b/>
                <w:bCs/>
                <w:lang w:val="fr-FR"/>
              </w:rPr>
            </w:pPr>
            <w:r w:rsidRPr="00710118">
              <w:rPr>
                <w:sz w:val="22"/>
                <w:szCs w:val="22"/>
                <w:lang w:val="fr-FR"/>
              </w:rPr>
              <w:t>Un rapport de suivi, accordant une attention particulière à l’article 2 de la Convention, est transmis au Secrétariat avec une recommandation au Comité.</w:t>
            </w:r>
          </w:p>
        </w:tc>
      </w:tr>
      <w:tr w:rsidR="004A6319" w:rsidRPr="005641C5" w14:paraId="107AEB60" w14:textId="77777777" w:rsidTr="004A3128">
        <w:trPr>
          <w:trHeight w:val="4723"/>
        </w:trPr>
        <w:tc>
          <w:tcPr>
            <w:tcW w:w="1318" w:type="dxa"/>
          </w:tcPr>
          <w:p w14:paraId="6F473855" w14:textId="77777777" w:rsidR="004A6319" w:rsidRPr="00710118" w:rsidRDefault="004A6319" w:rsidP="004A3128">
            <w:pPr>
              <w:pStyle w:val="1GAPara"/>
              <w:numPr>
                <w:ilvl w:val="0"/>
                <w:numId w:val="0"/>
              </w:numPr>
              <w:jc w:val="both"/>
              <w:rPr>
                <w:b/>
                <w:bCs/>
                <w:sz w:val="22"/>
                <w:szCs w:val="22"/>
                <w:lang w:val="fr-FR"/>
              </w:rPr>
            </w:pPr>
            <w:r w:rsidRPr="00710118">
              <w:rPr>
                <w:b/>
                <w:bCs/>
                <w:sz w:val="22"/>
                <w:szCs w:val="22"/>
                <w:lang w:val="fr-FR"/>
              </w:rPr>
              <w:t>Étape 6</w:t>
            </w:r>
          </w:p>
        </w:tc>
        <w:tc>
          <w:tcPr>
            <w:tcW w:w="7743" w:type="dxa"/>
            <w:gridSpan w:val="2"/>
          </w:tcPr>
          <w:p w14:paraId="1A491648" w14:textId="77777777" w:rsidR="004A6319" w:rsidRPr="00710118" w:rsidRDefault="004A6319" w:rsidP="004A3128">
            <w:pPr>
              <w:pStyle w:val="1GAPara"/>
              <w:numPr>
                <w:ilvl w:val="0"/>
                <w:numId w:val="0"/>
              </w:numPr>
              <w:jc w:val="both"/>
              <w:rPr>
                <w:b/>
                <w:bCs/>
                <w:sz w:val="22"/>
                <w:szCs w:val="22"/>
                <w:lang w:val="fr-FR"/>
              </w:rPr>
            </w:pPr>
            <w:r w:rsidRPr="00710118">
              <w:rPr>
                <w:b/>
                <w:bCs/>
                <w:sz w:val="22"/>
                <w:szCs w:val="22"/>
                <w:lang w:val="fr-FR"/>
              </w:rPr>
              <w:t>Rapport de suivi auprès du Comité et sa décision</w:t>
            </w:r>
          </w:p>
          <w:p w14:paraId="00E89650" w14:textId="77777777" w:rsidR="004A6319" w:rsidRPr="00710118" w:rsidRDefault="004A6319" w:rsidP="004A3128">
            <w:pPr>
              <w:pStyle w:val="1GAPara"/>
              <w:numPr>
                <w:ilvl w:val="0"/>
                <w:numId w:val="0"/>
              </w:numPr>
              <w:jc w:val="both"/>
              <w:rPr>
                <w:sz w:val="22"/>
                <w:szCs w:val="22"/>
                <w:lang w:val="fr-FR"/>
              </w:rPr>
            </w:pPr>
            <w:r w:rsidRPr="00710118">
              <w:rPr>
                <w:sz w:val="22"/>
                <w:szCs w:val="22"/>
                <w:lang w:val="fr-FR"/>
              </w:rPr>
              <w:t>Sur la base du rapport de suivi et de la recommandation, en accordant une attention particulière aux critères R.1/U.1 et/ou R.4/U.4, le Comité peut décider de :</w:t>
            </w:r>
          </w:p>
          <w:p w14:paraId="75DB197B" w14:textId="388B566B" w:rsidR="004A6319" w:rsidRPr="00710118" w:rsidRDefault="004A6319" w:rsidP="004A3128">
            <w:pPr>
              <w:pStyle w:val="1GAPara"/>
              <w:numPr>
                <w:ilvl w:val="0"/>
                <w:numId w:val="4"/>
              </w:numPr>
              <w:ind w:left="425" w:hanging="425"/>
              <w:jc w:val="both"/>
              <w:rPr>
                <w:sz w:val="22"/>
                <w:szCs w:val="22"/>
                <w:lang w:val="fr-FR"/>
              </w:rPr>
            </w:pPr>
            <w:r w:rsidRPr="00710118">
              <w:rPr>
                <w:sz w:val="22"/>
                <w:szCs w:val="22"/>
                <w:lang w:val="fr-FR"/>
              </w:rPr>
              <w:t xml:space="preserve">Continuer à laisser l’élément dans un état de « suivi » pendant une période définie, si des problèmes persistent. Le Comité recommande la mise en œuvre de mesures de réconciliation/médiation et désigne une session du Comité pour laquelle l’État partie devra faire rapport en vue d’une décision finale du Comité. </w:t>
            </w:r>
          </w:p>
          <w:p w14:paraId="716D7A25" w14:textId="77777777" w:rsidR="004A6319" w:rsidRPr="00710118" w:rsidRDefault="004A6319" w:rsidP="004A3128">
            <w:pPr>
              <w:pStyle w:val="1GAPara"/>
              <w:numPr>
                <w:ilvl w:val="0"/>
                <w:numId w:val="4"/>
              </w:numPr>
              <w:ind w:left="425" w:hanging="425"/>
              <w:jc w:val="both"/>
              <w:rPr>
                <w:sz w:val="22"/>
                <w:szCs w:val="22"/>
                <w:lang w:val="fr-FR"/>
              </w:rPr>
            </w:pPr>
            <w:r w:rsidRPr="00710118">
              <w:rPr>
                <w:sz w:val="22"/>
                <w:szCs w:val="22"/>
                <w:lang w:val="fr-FR"/>
              </w:rPr>
              <w:t>Retirer l’élément de la Liste, s’il existe une raison suffisante motivant un retrait (fin de la procédure).</w:t>
            </w:r>
          </w:p>
          <w:p w14:paraId="0FF3C991" w14:textId="77777777" w:rsidR="004A6319" w:rsidRPr="00710118" w:rsidRDefault="004A6319" w:rsidP="004A3128">
            <w:pPr>
              <w:pStyle w:val="1GAPara"/>
              <w:numPr>
                <w:ilvl w:val="0"/>
                <w:numId w:val="4"/>
              </w:numPr>
              <w:ind w:left="425" w:hanging="425"/>
              <w:jc w:val="both"/>
              <w:rPr>
                <w:sz w:val="22"/>
                <w:szCs w:val="22"/>
                <w:lang w:val="fr-FR"/>
              </w:rPr>
            </w:pPr>
            <w:r w:rsidRPr="00710118">
              <w:rPr>
                <w:sz w:val="22"/>
                <w:szCs w:val="22"/>
                <w:lang w:val="fr-FR"/>
              </w:rPr>
              <w:t>Retirer l’élément de la Liste, s’il existe une raison suffisante motivant un retrait, avec la possibilité de le placer dans un Recueil du patrimoine culturel immatériel (fin de la procédure).</w:t>
            </w:r>
          </w:p>
          <w:p w14:paraId="0C57699A" w14:textId="1BE5DB0A" w:rsidR="004A6319" w:rsidRPr="00710118" w:rsidRDefault="004A6319" w:rsidP="004A3128">
            <w:pPr>
              <w:pStyle w:val="1GAPara"/>
              <w:numPr>
                <w:ilvl w:val="0"/>
                <w:numId w:val="4"/>
              </w:numPr>
              <w:ind w:left="425" w:hanging="425"/>
              <w:jc w:val="both"/>
              <w:rPr>
                <w:sz w:val="22"/>
                <w:szCs w:val="22"/>
                <w:lang w:val="fr-FR"/>
              </w:rPr>
            </w:pPr>
            <w:r w:rsidRPr="00710118">
              <w:rPr>
                <w:sz w:val="22"/>
                <w:szCs w:val="22"/>
                <w:lang w:val="fr-FR"/>
              </w:rPr>
              <w:t>Maintenir l’élément sur la Liste, s’il n’existe pas de raison suffisante motivant un retrait (fin de la procédure).</w:t>
            </w:r>
          </w:p>
        </w:tc>
      </w:tr>
    </w:tbl>
    <w:p w14:paraId="56A47EB7" w14:textId="3BD227F0" w:rsidR="004A6319" w:rsidRPr="00710118" w:rsidRDefault="004A6319" w:rsidP="00A02D9C">
      <w:pPr>
        <w:ind w:left="567"/>
        <w:jc w:val="both"/>
        <w:rPr>
          <w:rFonts w:asciiTheme="minorBidi" w:hAnsiTheme="minorBidi" w:cstheme="minorBidi"/>
          <w:szCs w:val="22"/>
          <w:lang w:val="fr-FR"/>
        </w:rPr>
      </w:pPr>
      <w:r w:rsidRPr="00710118">
        <w:rPr>
          <w:rFonts w:asciiTheme="minorBidi" w:hAnsiTheme="minorBidi" w:cstheme="minorBidi"/>
          <w:szCs w:val="22"/>
          <w:lang w:val="fr-FR"/>
        </w:rPr>
        <w:t xml:space="preserve">* Prend également note des implications budgétaires telles qu’indiquées dans le document </w:t>
      </w:r>
      <w:hyperlink r:id="rId9" w:history="1">
        <w:r w:rsidRPr="00710118">
          <w:rPr>
            <w:rStyle w:val="Hyperlink"/>
            <w:rFonts w:asciiTheme="minorBidi" w:hAnsiTheme="minorBidi" w:cstheme="minorBidi"/>
            <w:szCs w:val="22"/>
            <w:lang w:val="fr-FR"/>
          </w:rPr>
          <w:t>LHE/21/16.COM WG/6</w:t>
        </w:r>
      </w:hyperlink>
      <w:r w:rsidRPr="00710118">
        <w:rPr>
          <w:rFonts w:asciiTheme="minorBidi" w:hAnsiTheme="minorBidi" w:cstheme="minorBidi"/>
          <w:szCs w:val="22"/>
          <w:lang w:val="fr-FR"/>
        </w:rPr>
        <w:t>.</w:t>
      </w:r>
    </w:p>
    <w:p w14:paraId="7F9E1F33" w14:textId="77777777" w:rsidR="004A6319" w:rsidRPr="00710118" w:rsidRDefault="004A6319" w:rsidP="005B7720">
      <w:pPr>
        <w:spacing w:before="240"/>
        <w:jc w:val="both"/>
        <w:rPr>
          <w:rFonts w:ascii="Arial" w:hAnsi="Arial" w:cs="Arial"/>
          <w:snapToGrid w:val="0"/>
          <w:szCs w:val="22"/>
          <w:u w:val="single"/>
          <w:lang w:val="fr-FR"/>
        </w:rPr>
      </w:pPr>
      <w:r w:rsidRPr="00710118">
        <w:rPr>
          <w:rFonts w:ascii="Arial" w:hAnsi="Arial"/>
          <w:snapToGrid w:val="0"/>
          <w:szCs w:val="22"/>
          <w:u w:val="single"/>
          <w:lang w:val="fr-FR"/>
        </w:rPr>
        <w:t>Questions liées à la méthodologie d’évaluation des candidatures</w:t>
      </w:r>
    </w:p>
    <w:p w14:paraId="701FD6DE" w14:textId="77777777" w:rsidR="004A6319" w:rsidRPr="00710118" w:rsidRDefault="004A6319" w:rsidP="005B7720">
      <w:pPr>
        <w:numPr>
          <w:ilvl w:val="0"/>
          <w:numId w:val="2"/>
        </w:numPr>
        <w:ind w:left="567" w:hanging="567"/>
        <w:jc w:val="both"/>
        <w:rPr>
          <w:rFonts w:ascii="Arial" w:hAnsi="Arial" w:cs="Arial"/>
          <w:snapToGrid w:val="0"/>
          <w:szCs w:val="22"/>
          <w:lang w:val="fr-FR"/>
        </w:rPr>
      </w:pPr>
      <w:r w:rsidRPr="00710118">
        <w:rPr>
          <w:rFonts w:ascii="Arial" w:hAnsi="Arial"/>
          <w:snapToGrid w:val="0"/>
          <w:szCs w:val="22"/>
          <w:lang w:val="fr-FR"/>
        </w:rPr>
        <w:t xml:space="preserve">La </w:t>
      </w:r>
      <w:r w:rsidRPr="00710118">
        <w:rPr>
          <w:rFonts w:asciiTheme="minorBidi" w:hAnsiTheme="minorBidi"/>
          <w:szCs w:val="22"/>
          <w:lang w:val="fr-FR"/>
        </w:rPr>
        <w:t>proposition</w:t>
      </w:r>
      <w:r w:rsidRPr="00710118">
        <w:rPr>
          <w:rFonts w:ascii="Arial" w:hAnsi="Arial"/>
          <w:snapToGrid w:val="0"/>
          <w:szCs w:val="22"/>
          <w:lang w:val="fr-FR"/>
        </w:rPr>
        <w:t xml:space="preserve"> de procédure révisée pour l’inscription d’éléments sur les Listes et le Registre sur une base élargie est la suivante : </w:t>
      </w:r>
    </w:p>
    <w:tbl>
      <w:tblPr>
        <w:tblStyle w:val="TableGrid"/>
        <w:tblW w:w="0" w:type="auto"/>
        <w:tblInd w:w="567" w:type="dxa"/>
        <w:tblLook w:val="04A0" w:firstRow="1" w:lastRow="0" w:firstColumn="1" w:lastColumn="0" w:noHBand="0" w:noVBand="1"/>
      </w:tblPr>
      <w:tblGrid>
        <w:gridCol w:w="1588"/>
        <w:gridCol w:w="7473"/>
      </w:tblGrid>
      <w:tr w:rsidR="004A6319" w:rsidRPr="005641C5" w14:paraId="03DA021F" w14:textId="77777777" w:rsidTr="00865B57">
        <w:trPr>
          <w:trHeight w:val="566"/>
        </w:trPr>
        <w:tc>
          <w:tcPr>
            <w:tcW w:w="1588" w:type="dxa"/>
          </w:tcPr>
          <w:p w14:paraId="1082FFDB" w14:textId="77777777" w:rsidR="004A6319" w:rsidRPr="00710118" w:rsidRDefault="004A6319" w:rsidP="00865B57">
            <w:pPr>
              <w:pStyle w:val="1GAPara"/>
              <w:numPr>
                <w:ilvl w:val="0"/>
                <w:numId w:val="0"/>
              </w:numPr>
              <w:jc w:val="both"/>
              <w:rPr>
                <w:b/>
                <w:bCs/>
                <w:sz w:val="22"/>
                <w:szCs w:val="22"/>
                <w:lang w:val="fr-FR"/>
              </w:rPr>
            </w:pPr>
            <w:r w:rsidRPr="00710118">
              <w:rPr>
                <w:b/>
                <w:bCs/>
                <w:sz w:val="22"/>
                <w:szCs w:val="22"/>
                <w:lang w:val="fr-FR"/>
              </w:rPr>
              <w:t>Étape 0</w:t>
            </w:r>
          </w:p>
        </w:tc>
        <w:tc>
          <w:tcPr>
            <w:tcW w:w="7473" w:type="dxa"/>
          </w:tcPr>
          <w:p w14:paraId="0C9E3C1E"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Actions de pré-soumission (optionnel)</w:t>
            </w:r>
          </w:p>
          <w:p w14:paraId="2D751049" w14:textId="77777777" w:rsidR="004A6319" w:rsidRPr="00710118" w:rsidRDefault="004A6319" w:rsidP="00A02D9C">
            <w:pPr>
              <w:pStyle w:val="1GAPara"/>
              <w:numPr>
                <w:ilvl w:val="0"/>
                <w:numId w:val="4"/>
              </w:numPr>
              <w:ind w:left="425" w:hanging="425"/>
              <w:jc w:val="both"/>
              <w:rPr>
                <w:sz w:val="22"/>
                <w:szCs w:val="22"/>
                <w:lang w:val="fr-FR"/>
              </w:rPr>
            </w:pPr>
            <w:r w:rsidRPr="00710118">
              <w:rPr>
                <w:sz w:val="22"/>
                <w:szCs w:val="22"/>
                <w:lang w:val="fr-FR"/>
              </w:rPr>
              <w:t xml:space="preserve">Les États parties prévoyant d’élargir des candidatures multinationales existantes sont encouragés à annoncer leurs intentions, au sens de la Décision </w:t>
            </w:r>
            <w:hyperlink r:id="rId10" w:history="1">
              <w:r w:rsidRPr="00710118">
                <w:rPr>
                  <w:rStyle w:val="Hyperlink"/>
                  <w:sz w:val="22"/>
                  <w:szCs w:val="22"/>
                  <w:lang w:val="fr-FR"/>
                </w:rPr>
                <w:t>7.COM 14</w:t>
              </w:r>
            </w:hyperlink>
            <w:r w:rsidRPr="00710118">
              <w:rPr>
                <w:sz w:val="22"/>
                <w:szCs w:val="22"/>
                <w:lang w:val="fr-FR"/>
              </w:rPr>
              <w:t>, de façon anticipée via la page web de la Convention de 2003, à l’aide du formulaire en ligne dédié. Cette démarche permettrait aux autres États d’être informés de l’initiative et d’y adhérer afin de réduire le nombre d’élargissements d’une même candidature.</w:t>
            </w:r>
          </w:p>
          <w:p w14:paraId="7EFE7BA2" w14:textId="77777777" w:rsidR="004A6319" w:rsidRPr="00710118" w:rsidRDefault="004A6319" w:rsidP="00A02D9C">
            <w:pPr>
              <w:pStyle w:val="1GAPara"/>
              <w:numPr>
                <w:ilvl w:val="0"/>
                <w:numId w:val="4"/>
              </w:numPr>
              <w:ind w:left="425" w:hanging="425"/>
              <w:jc w:val="both"/>
              <w:rPr>
                <w:sz w:val="22"/>
                <w:szCs w:val="22"/>
                <w:lang w:val="fr-FR"/>
              </w:rPr>
            </w:pPr>
            <w:r w:rsidRPr="00710118">
              <w:rPr>
                <w:sz w:val="22"/>
                <w:szCs w:val="22"/>
                <w:lang w:val="fr-FR"/>
              </w:rPr>
              <w:t>Si un ou plusieurs États parties et une ou plusieurs communautés, groupes et, le cas échéant, individus concernés en font la demande, l’avis d’un expert peut être sollicité avant la soumission possible d’une demande d’inscription élargie.</w:t>
            </w:r>
          </w:p>
        </w:tc>
      </w:tr>
      <w:tr w:rsidR="004A6319" w:rsidRPr="005641C5" w14:paraId="77A0B25E" w14:textId="77777777" w:rsidTr="00F97795">
        <w:tc>
          <w:tcPr>
            <w:tcW w:w="1588" w:type="dxa"/>
          </w:tcPr>
          <w:p w14:paraId="5D9013EF"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Étape 1.a</w:t>
            </w:r>
          </w:p>
        </w:tc>
        <w:tc>
          <w:tcPr>
            <w:tcW w:w="7473" w:type="dxa"/>
          </w:tcPr>
          <w:p w14:paraId="7B59AC42"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Préparation : élargissement de dossiers multinationaux à des communautés, groupes et, le cas échéant, individus concernés dans d’autres États</w:t>
            </w:r>
          </w:p>
          <w:p w14:paraId="3A326A85" w14:textId="77777777" w:rsidR="004A6319" w:rsidRPr="00710118" w:rsidRDefault="004A6319" w:rsidP="00A02D9C">
            <w:pPr>
              <w:pStyle w:val="1GAPara"/>
              <w:numPr>
                <w:ilvl w:val="0"/>
                <w:numId w:val="4"/>
              </w:numPr>
              <w:ind w:left="425" w:hanging="425"/>
              <w:jc w:val="both"/>
              <w:rPr>
                <w:sz w:val="22"/>
                <w:szCs w:val="22"/>
                <w:lang w:val="fr-FR"/>
              </w:rPr>
            </w:pPr>
            <w:r w:rsidRPr="00710118">
              <w:rPr>
                <w:sz w:val="22"/>
                <w:szCs w:val="22"/>
                <w:lang w:val="fr-FR"/>
              </w:rPr>
              <w:t>Lancement du processus auprès du Secrétariat par l’État partie à l’origine de la candidature originale.</w:t>
            </w:r>
          </w:p>
          <w:p w14:paraId="3B2D449D" w14:textId="77777777" w:rsidR="004A6319" w:rsidRPr="00710118" w:rsidRDefault="004A6319" w:rsidP="00A02D9C">
            <w:pPr>
              <w:pStyle w:val="1GAPara"/>
              <w:numPr>
                <w:ilvl w:val="0"/>
                <w:numId w:val="4"/>
              </w:numPr>
              <w:ind w:left="425" w:hanging="425"/>
              <w:jc w:val="both"/>
              <w:rPr>
                <w:sz w:val="22"/>
                <w:szCs w:val="22"/>
                <w:lang w:val="fr-FR"/>
              </w:rPr>
            </w:pPr>
            <w:r w:rsidRPr="00710118">
              <w:rPr>
                <w:sz w:val="22"/>
                <w:szCs w:val="22"/>
                <w:lang w:val="fr-FR"/>
              </w:rPr>
              <w:t>L’/Les États partie(s) rejoignant la candidature doit/doivent démontrer que leur inclusion dans l’élargissement satisfait tous les critères d’inscription requis.</w:t>
            </w:r>
          </w:p>
          <w:p w14:paraId="52ADFBC6" w14:textId="3201C632" w:rsidR="004A6319" w:rsidRPr="00710118" w:rsidRDefault="004A6319" w:rsidP="00A02D9C">
            <w:pPr>
              <w:pStyle w:val="1GAPara"/>
              <w:numPr>
                <w:ilvl w:val="0"/>
                <w:numId w:val="4"/>
              </w:numPr>
              <w:ind w:left="425" w:hanging="425"/>
              <w:jc w:val="both"/>
              <w:rPr>
                <w:sz w:val="22"/>
                <w:szCs w:val="22"/>
                <w:lang w:val="fr-FR"/>
              </w:rPr>
            </w:pPr>
            <w:r w:rsidRPr="00710118">
              <w:rPr>
                <w:sz w:val="22"/>
                <w:szCs w:val="22"/>
                <w:lang w:val="fr-FR"/>
              </w:rPr>
              <w:t>L’/Les États parties inclus dans l’inscription originale et dans l’/les extension(s) suivante(s) doit/doivent démontrer que la ou les communauté(s), groupes et, le cas échéant, individus concernés ayant donné leur consentement à la soumission de la candidature originale et des élargissements suivants acceptent la proposition d’élargissement, et que les communautés, groupes et, le cas échéant, individus concernés sont volontaires pour participer aux mesures de sauvegarde déjà approuvées</w:t>
            </w:r>
            <w:r w:rsidR="00BF22A9" w:rsidRPr="00710118">
              <w:rPr>
                <w:sz w:val="22"/>
                <w:szCs w:val="22"/>
                <w:lang w:val="fr-FR"/>
              </w:rPr>
              <w:t>,</w:t>
            </w:r>
            <w:r w:rsidRPr="00710118">
              <w:rPr>
                <w:sz w:val="22"/>
                <w:szCs w:val="22"/>
                <w:lang w:val="fr-FR"/>
              </w:rPr>
              <w:t xml:space="preserve"> nouvellement proposées ou actualisées, avec les nouvelles communautés, groupes et, le cas échéant, individus concernés et </w:t>
            </w:r>
            <w:r w:rsidR="00BF22A9" w:rsidRPr="00710118">
              <w:rPr>
                <w:sz w:val="22"/>
                <w:szCs w:val="22"/>
                <w:lang w:val="fr-FR"/>
              </w:rPr>
              <w:t xml:space="preserve">les </w:t>
            </w:r>
            <w:r w:rsidRPr="00710118">
              <w:rPr>
                <w:sz w:val="22"/>
                <w:szCs w:val="22"/>
                <w:lang w:val="fr-FR"/>
              </w:rPr>
              <w:t>autorités (au sens de la décision </w:t>
            </w:r>
            <w:hyperlink r:id="rId11" w:history="1">
              <w:r w:rsidRPr="00710118">
                <w:rPr>
                  <w:rStyle w:val="Hyperlink"/>
                  <w:sz w:val="22"/>
                  <w:szCs w:val="22"/>
                  <w:lang w:val="fr-FR"/>
                </w:rPr>
                <w:t>10.COM 10</w:t>
              </w:r>
            </w:hyperlink>
            <w:r w:rsidRPr="00710118">
              <w:rPr>
                <w:sz w:val="22"/>
                <w:szCs w:val="22"/>
                <w:lang w:val="fr-FR"/>
              </w:rPr>
              <w:t>, paragraphe 15).</w:t>
            </w:r>
          </w:p>
        </w:tc>
      </w:tr>
      <w:tr w:rsidR="004A6319" w:rsidRPr="005641C5" w14:paraId="01B3B990" w14:textId="77777777" w:rsidTr="00F97795">
        <w:tc>
          <w:tcPr>
            <w:tcW w:w="1588" w:type="dxa"/>
          </w:tcPr>
          <w:p w14:paraId="6AE7BF60"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Étape 1.b</w:t>
            </w:r>
          </w:p>
        </w:tc>
        <w:tc>
          <w:tcPr>
            <w:tcW w:w="7473" w:type="dxa"/>
          </w:tcPr>
          <w:p w14:paraId="57A5B032" w14:textId="77777777" w:rsidR="004A6319" w:rsidRPr="00710118" w:rsidRDefault="004A6319" w:rsidP="005B7720">
            <w:pPr>
              <w:pStyle w:val="1GAPara"/>
              <w:keepNext/>
              <w:numPr>
                <w:ilvl w:val="0"/>
                <w:numId w:val="0"/>
              </w:numPr>
              <w:jc w:val="both"/>
              <w:rPr>
                <w:b/>
                <w:bCs/>
                <w:sz w:val="22"/>
                <w:szCs w:val="22"/>
                <w:lang w:val="fr-FR"/>
              </w:rPr>
            </w:pPr>
            <w:r w:rsidRPr="00710118">
              <w:rPr>
                <w:b/>
                <w:bCs/>
                <w:sz w:val="22"/>
                <w:szCs w:val="22"/>
                <w:lang w:val="fr-FR"/>
              </w:rPr>
              <w:t>Préparation : élargissement de dossiers nationaux à d’autres communautés, groupes et, le cas échéant, individus concernés</w:t>
            </w:r>
            <w:r w:rsidRPr="00710118">
              <w:rPr>
                <w:sz w:val="22"/>
                <w:szCs w:val="22"/>
                <w:lang w:val="fr-FR"/>
              </w:rPr>
              <w:t xml:space="preserve"> </w:t>
            </w:r>
            <w:r w:rsidRPr="00710118">
              <w:rPr>
                <w:b/>
                <w:bCs/>
                <w:sz w:val="22"/>
                <w:szCs w:val="22"/>
                <w:lang w:val="fr-FR"/>
              </w:rPr>
              <w:t>au sein de l’État soumissionnaire</w:t>
            </w:r>
          </w:p>
          <w:p w14:paraId="0A6564C7" w14:textId="1F3E92D5" w:rsidR="004A6319" w:rsidRPr="00710118" w:rsidRDefault="004A6319" w:rsidP="00A02D9C">
            <w:pPr>
              <w:pStyle w:val="1GAPara"/>
              <w:numPr>
                <w:ilvl w:val="0"/>
                <w:numId w:val="4"/>
              </w:numPr>
              <w:ind w:left="425" w:hanging="425"/>
              <w:jc w:val="both"/>
              <w:rPr>
                <w:sz w:val="22"/>
                <w:szCs w:val="22"/>
                <w:lang w:val="fr-FR"/>
              </w:rPr>
            </w:pPr>
            <w:r w:rsidRPr="00710118">
              <w:rPr>
                <w:sz w:val="22"/>
                <w:szCs w:val="22"/>
                <w:lang w:val="fr-FR"/>
              </w:rPr>
              <w:t>Lancement du processus par l’État partie en consultation avec les communautés, groupes et, le cas échéant, individus concernés ou</w:t>
            </w:r>
            <w:r w:rsidR="008813A2">
              <w:rPr>
                <w:sz w:val="22"/>
                <w:szCs w:val="22"/>
                <w:lang w:val="fr-FR"/>
              </w:rPr>
              <w:t xml:space="preserve"> sinon,</w:t>
            </w:r>
            <w:r w:rsidRPr="00710118">
              <w:rPr>
                <w:sz w:val="22"/>
                <w:szCs w:val="22"/>
                <w:lang w:val="fr-FR"/>
              </w:rPr>
              <w:t xml:space="preserve"> par les communautés, groupes et, le cas échéant, individus concernés en coopération avec les autorités compétentes</w:t>
            </w:r>
            <w:r w:rsidR="008813A2">
              <w:rPr>
                <w:sz w:val="22"/>
                <w:szCs w:val="22"/>
                <w:lang w:val="fr-FR"/>
              </w:rPr>
              <w:t xml:space="preserve"> de l’État partie</w:t>
            </w:r>
            <w:r w:rsidRPr="00710118">
              <w:rPr>
                <w:sz w:val="22"/>
                <w:szCs w:val="22"/>
                <w:lang w:val="fr-FR"/>
              </w:rPr>
              <w:t>.</w:t>
            </w:r>
          </w:p>
          <w:p w14:paraId="6ED7EE5F" w14:textId="77777777" w:rsidR="004A6319" w:rsidRPr="00710118" w:rsidRDefault="004A6319" w:rsidP="00A02D9C">
            <w:pPr>
              <w:pStyle w:val="1GAPara"/>
              <w:numPr>
                <w:ilvl w:val="0"/>
                <w:numId w:val="4"/>
              </w:numPr>
              <w:ind w:left="425" w:hanging="425"/>
              <w:jc w:val="both"/>
              <w:rPr>
                <w:sz w:val="22"/>
                <w:szCs w:val="22"/>
                <w:lang w:val="fr-FR"/>
              </w:rPr>
            </w:pPr>
            <w:r w:rsidRPr="00710118">
              <w:rPr>
                <w:sz w:val="22"/>
                <w:szCs w:val="22"/>
                <w:lang w:val="fr-FR"/>
              </w:rPr>
              <w:t xml:space="preserve">L’État partie concerné doit démontrer que l’ajout de communautés, groupes et, le cas échéant, individus concernés présents sur son territoire et rejoignant une inscription, satisfait les critères requis pour l’inscription en utilisant des formulaires simplifiés. </w:t>
            </w:r>
          </w:p>
          <w:p w14:paraId="6CE0A8AC" w14:textId="441BDA23" w:rsidR="004A6319" w:rsidRPr="00710118" w:rsidRDefault="004A6319" w:rsidP="00A02D9C">
            <w:pPr>
              <w:pStyle w:val="1GAPara"/>
              <w:numPr>
                <w:ilvl w:val="0"/>
                <w:numId w:val="4"/>
              </w:numPr>
              <w:ind w:left="425" w:hanging="425"/>
              <w:jc w:val="both"/>
              <w:rPr>
                <w:sz w:val="22"/>
                <w:szCs w:val="22"/>
                <w:lang w:val="fr-FR"/>
              </w:rPr>
            </w:pPr>
            <w:r w:rsidRPr="00710118">
              <w:rPr>
                <w:sz w:val="22"/>
                <w:szCs w:val="22"/>
                <w:lang w:val="fr-FR"/>
              </w:rPr>
              <w:t>L’État partie concerné doit également démontrer que les communautés, groupes et, le cas échéant, individus concernés porteurs de la candidature d’origine donnent leur consentement à l’élargissement de l’élément et acceptent de sauvegarder l’élément avec les communautés, groupes et, le cas échéant, individus concernés rejoignant une inscription.</w:t>
            </w:r>
          </w:p>
        </w:tc>
      </w:tr>
      <w:tr w:rsidR="004A6319" w:rsidRPr="005641C5" w14:paraId="43DA66D4" w14:textId="77777777" w:rsidTr="00F97795">
        <w:trPr>
          <w:trHeight w:val="1196"/>
        </w:trPr>
        <w:tc>
          <w:tcPr>
            <w:tcW w:w="1588" w:type="dxa"/>
          </w:tcPr>
          <w:p w14:paraId="66E26C27" w14:textId="77777777" w:rsidR="004A6319" w:rsidRPr="00710118" w:rsidRDefault="004A6319" w:rsidP="005B7720">
            <w:pPr>
              <w:pStyle w:val="1GAPara"/>
              <w:numPr>
                <w:ilvl w:val="0"/>
                <w:numId w:val="0"/>
              </w:numPr>
              <w:jc w:val="both"/>
              <w:rPr>
                <w:b/>
                <w:bCs/>
                <w:sz w:val="22"/>
                <w:szCs w:val="22"/>
                <w:lang w:val="fr-FR"/>
              </w:rPr>
            </w:pPr>
            <w:r w:rsidRPr="00710118">
              <w:rPr>
                <w:b/>
                <w:bCs/>
                <w:sz w:val="22"/>
                <w:szCs w:val="22"/>
                <w:lang w:val="fr-FR"/>
              </w:rPr>
              <w:t>Étape 2</w:t>
            </w:r>
          </w:p>
        </w:tc>
        <w:tc>
          <w:tcPr>
            <w:tcW w:w="7473" w:type="dxa"/>
          </w:tcPr>
          <w:p w14:paraId="175BFFC5" w14:textId="77777777" w:rsidR="004A6319" w:rsidRPr="00710118" w:rsidRDefault="004A6319" w:rsidP="005B7720">
            <w:pPr>
              <w:pStyle w:val="1GAPara"/>
              <w:keepNext/>
              <w:numPr>
                <w:ilvl w:val="0"/>
                <w:numId w:val="0"/>
              </w:numPr>
              <w:jc w:val="both"/>
              <w:rPr>
                <w:b/>
                <w:bCs/>
                <w:sz w:val="22"/>
                <w:szCs w:val="22"/>
                <w:lang w:val="fr-FR"/>
              </w:rPr>
            </w:pPr>
            <w:r w:rsidRPr="00710118">
              <w:rPr>
                <w:b/>
                <w:bCs/>
                <w:sz w:val="22"/>
                <w:szCs w:val="22"/>
                <w:lang w:val="fr-FR"/>
              </w:rPr>
              <w:t xml:space="preserve">Évaluation et examen </w:t>
            </w:r>
          </w:p>
          <w:p w14:paraId="3F6FECC0" w14:textId="77777777" w:rsidR="004A6319" w:rsidRPr="00710118" w:rsidRDefault="004A6319" w:rsidP="005B7720">
            <w:pPr>
              <w:pStyle w:val="1GAPara"/>
              <w:keepNext/>
              <w:numPr>
                <w:ilvl w:val="0"/>
                <w:numId w:val="0"/>
              </w:numPr>
              <w:jc w:val="both"/>
              <w:rPr>
                <w:b/>
                <w:bCs/>
                <w:sz w:val="22"/>
                <w:szCs w:val="22"/>
                <w:lang w:val="fr-FR"/>
              </w:rPr>
            </w:pPr>
            <w:r w:rsidRPr="00710118">
              <w:rPr>
                <w:sz w:val="22"/>
                <w:szCs w:val="22"/>
                <w:lang w:val="fr-FR"/>
              </w:rPr>
              <w:t>La candidature est évaluée par l’Organe d’évaluation et examinée par le Comité conformément à la procédure d’évaluation et au calendrier réguliers décrits au paragraphe 54 des Directives opérationnelles.</w:t>
            </w:r>
          </w:p>
        </w:tc>
      </w:tr>
    </w:tbl>
    <w:p w14:paraId="2CA7AE21" w14:textId="71046BB2" w:rsidR="004A6319" w:rsidRPr="00710118" w:rsidRDefault="004A6319" w:rsidP="00A02D9C">
      <w:pPr>
        <w:ind w:left="567"/>
        <w:jc w:val="both"/>
        <w:rPr>
          <w:rFonts w:asciiTheme="minorBidi" w:hAnsiTheme="minorBidi" w:cstheme="minorBidi"/>
          <w:szCs w:val="22"/>
          <w:lang w:val="fr-FR"/>
        </w:rPr>
      </w:pPr>
      <w:r w:rsidRPr="00710118">
        <w:rPr>
          <w:rFonts w:asciiTheme="minorBidi" w:hAnsiTheme="minorBidi" w:cstheme="minorBidi"/>
          <w:szCs w:val="22"/>
          <w:lang w:val="fr-FR"/>
        </w:rPr>
        <w:t xml:space="preserve">* Prend également note des implications budgétaires telles qu’indiquées dans le document </w:t>
      </w:r>
      <w:hyperlink r:id="rId12" w:history="1">
        <w:r w:rsidRPr="00710118">
          <w:rPr>
            <w:rStyle w:val="Hyperlink"/>
            <w:rFonts w:asciiTheme="minorBidi" w:hAnsiTheme="minorBidi" w:cstheme="minorBidi"/>
            <w:szCs w:val="22"/>
            <w:lang w:val="fr-FR"/>
          </w:rPr>
          <w:t>LHE/21/16.COM WG/6</w:t>
        </w:r>
      </w:hyperlink>
      <w:r w:rsidRPr="00710118">
        <w:rPr>
          <w:rFonts w:asciiTheme="minorBidi" w:hAnsiTheme="minorBidi" w:cstheme="minorBidi"/>
          <w:szCs w:val="22"/>
          <w:lang w:val="fr-FR"/>
        </w:rPr>
        <w:t>.</w:t>
      </w:r>
    </w:p>
    <w:p w14:paraId="37CFFD08" w14:textId="77777777" w:rsidR="004A6319" w:rsidRPr="00710118" w:rsidRDefault="004A6319" w:rsidP="00A02D9C">
      <w:pPr>
        <w:numPr>
          <w:ilvl w:val="0"/>
          <w:numId w:val="2"/>
        </w:numPr>
        <w:spacing w:before="240"/>
        <w:ind w:left="567" w:hanging="567"/>
        <w:jc w:val="both"/>
        <w:rPr>
          <w:rFonts w:asciiTheme="minorBidi" w:hAnsiTheme="minorBidi" w:cstheme="minorBidi"/>
          <w:szCs w:val="22"/>
          <w:lang w:val="fr-FR"/>
        </w:rPr>
      </w:pPr>
      <w:r w:rsidRPr="00710118">
        <w:rPr>
          <w:rFonts w:asciiTheme="minorBidi" w:hAnsiTheme="minorBidi"/>
          <w:szCs w:val="22"/>
          <w:lang w:val="fr-FR"/>
        </w:rPr>
        <w:t>Outre la procédure décrite ci-dessus, la recommandation suivante peut être formulée :</w:t>
      </w:r>
    </w:p>
    <w:p w14:paraId="412AFBF7" w14:textId="09DB70C3" w:rsidR="004A6319" w:rsidRPr="00710118" w:rsidRDefault="004A6319" w:rsidP="00A02D9C">
      <w:pPr>
        <w:pStyle w:val="ListParagraph"/>
        <w:numPr>
          <w:ilvl w:val="0"/>
          <w:numId w:val="17"/>
        </w:numPr>
        <w:ind w:left="992" w:hanging="425"/>
        <w:contextualSpacing w:val="0"/>
        <w:jc w:val="both"/>
        <w:rPr>
          <w:rFonts w:ascii="Arial" w:hAnsi="Arial" w:cs="Arial"/>
          <w:i/>
          <w:iCs/>
          <w:szCs w:val="22"/>
          <w:lang w:val="fr-FR"/>
        </w:rPr>
      </w:pPr>
      <w:r w:rsidRPr="00710118">
        <w:rPr>
          <w:rFonts w:ascii="Arial" w:hAnsi="Arial" w:cs="Arial"/>
          <w:i/>
          <w:iCs/>
          <w:szCs w:val="22"/>
          <w:lang w:val="fr-FR"/>
        </w:rPr>
        <w:t>Le groupe de travail demande au Secrétariat de proposer à la seizième session</w:t>
      </w:r>
      <w:r w:rsidR="00BF22A9" w:rsidRPr="00710118">
        <w:rPr>
          <w:rFonts w:ascii="Arial" w:hAnsi="Arial" w:cs="Arial"/>
          <w:i/>
          <w:iCs/>
          <w:szCs w:val="22"/>
          <w:lang w:val="fr-FR"/>
        </w:rPr>
        <w:t xml:space="preserve"> du</w:t>
      </w:r>
      <w:r w:rsidRPr="00710118">
        <w:rPr>
          <w:rFonts w:ascii="Arial" w:hAnsi="Arial" w:cs="Arial"/>
          <w:i/>
          <w:iCs/>
          <w:szCs w:val="22"/>
          <w:lang w:val="fr-FR"/>
        </w:rPr>
        <w:t xml:space="preserve"> Comité intergouvernemental une procédure – et par conséquent des projets d’amendements aux Directives opérationnelles – pour les inscriptions réduites</w:t>
      </w:r>
      <w:r w:rsidR="00BF22A9" w:rsidRPr="00710118">
        <w:rPr>
          <w:rFonts w:ascii="Arial" w:hAnsi="Arial" w:cs="Arial"/>
          <w:i/>
          <w:iCs/>
          <w:szCs w:val="22"/>
          <w:lang w:val="fr-FR"/>
        </w:rPr>
        <w:t>,</w:t>
      </w:r>
      <w:r w:rsidRPr="00710118">
        <w:rPr>
          <w:rFonts w:ascii="Arial" w:hAnsi="Arial" w:cs="Arial"/>
          <w:i/>
          <w:iCs/>
          <w:szCs w:val="22"/>
          <w:lang w:val="fr-FR"/>
        </w:rPr>
        <w:t xml:space="preserve"> de manière similaire aux recommandations émises par le groupe de travail pour les inscriptions élargies. </w:t>
      </w:r>
    </w:p>
    <w:p w14:paraId="29110754" w14:textId="77777777" w:rsidR="004A6319" w:rsidRPr="00710118" w:rsidRDefault="004A6319" w:rsidP="005B7720">
      <w:pPr>
        <w:spacing w:before="240"/>
        <w:jc w:val="both"/>
        <w:rPr>
          <w:rFonts w:asciiTheme="minorBidi" w:hAnsiTheme="minorBidi" w:cstheme="minorBidi"/>
          <w:szCs w:val="22"/>
          <w:u w:val="single"/>
          <w:lang w:val="fr-FR"/>
        </w:rPr>
      </w:pPr>
      <w:r w:rsidRPr="00710118">
        <w:rPr>
          <w:rFonts w:asciiTheme="minorBidi" w:hAnsiTheme="minorBidi"/>
          <w:szCs w:val="22"/>
          <w:u w:val="single"/>
          <w:lang w:val="fr-FR"/>
        </w:rPr>
        <w:t>Article 18 de la Convention</w:t>
      </w:r>
    </w:p>
    <w:p w14:paraId="0D52D7C4" w14:textId="5C10D1D8" w:rsidR="004A6319" w:rsidRPr="00710118" w:rsidRDefault="004A6319" w:rsidP="005B7720">
      <w:pPr>
        <w:numPr>
          <w:ilvl w:val="0"/>
          <w:numId w:val="2"/>
        </w:numPr>
        <w:ind w:left="567" w:hanging="567"/>
        <w:jc w:val="both"/>
        <w:rPr>
          <w:rFonts w:asciiTheme="minorBidi" w:hAnsiTheme="minorBidi" w:cstheme="minorBidi"/>
          <w:szCs w:val="22"/>
          <w:u w:val="single"/>
          <w:lang w:val="fr-FR"/>
        </w:rPr>
      </w:pPr>
      <w:r w:rsidRPr="00710118">
        <w:rPr>
          <w:rFonts w:asciiTheme="minorBidi" w:hAnsiTheme="minorBidi"/>
          <w:szCs w:val="22"/>
          <w:lang w:val="fr-FR"/>
        </w:rPr>
        <w:t xml:space="preserve">Le </w:t>
      </w:r>
      <w:r w:rsidRPr="00710118">
        <w:rPr>
          <w:rFonts w:asciiTheme="minorBidi" w:hAnsiTheme="minorBidi"/>
          <w:snapToGrid w:val="0"/>
          <w:szCs w:val="22"/>
          <w:lang w:val="fr-FR"/>
        </w:rPr>
        <w:t xml:space="preserve">groupe de travail recommande de lancer une réflexion sur la mise en œuvre plus large de </w:t>
      </w:r>
      <w:r w:rsidRPr="00710118">
        <w:rPr>
          <w:rFonts w:asciiTheme="minorBidi" w:hAnsiTheme="minorBidi"/>
          <w:szCs w:val="22"/>
          <w:lang w:val="fr-FR"/>
        </w:rPr>
        <w:t xml:space="preserve">l’article 18 de la Convention </w:t>
      </w:r>
      <w:r w:rsidRPr="00710118">
        <w:rPr>
          <w:rFonts w:ascii="Arial" w:hAnsi="Arial"/>
          <w:snapToGrid w:val="0"/>
          <w:szCs w:val="22"/>
          <w:lang w:val="fr-FR"/>
        </w:rPr>
        <w:t>et apprécie l’offre émise par la Suède en soutien de cette initiative.</w:t>
      </w:r>
    </w:p>
    <w:p w14:paraId="3E2C4129" w14:textId="77777777" w:rsidR="004A6319" w:rsidRPr="00710118" w:rsidRDefault="004A6319" w:rsidP="005B7720">
      <w:pPr>
        <w:spacing w:before="240"/>
        <w:jc w:val="both"/>
        <w:rPr>
          <w:rFonts w:asciiTheme="minorBidi" w:hAnsiTheme="minorBidi" w:cstheme="minorBidi"/>
          <w:szCs w:val="22"/>
          <w:u w:val="single"/>
          <w:lang w:val="fr-FR"/>
        </w:rPr>
      </w:pPr>
      <w:r w:rsidRPr="00710118">
        <w:rPr>
          <w:rFonts w:asciiTheme="minorBidi" w:hAnsiTheme="minorBidi"/>
          <w:szCs w:val="22"/>
          <w:u w:val="single"/>
          <w:lang w:val="fr-FR"/>
        </w:rPr>
        <w:t>Autres questions</w:t>
      </w:r>
    </w:p>
    <w:p w14:paraId="42CC9C42" w14:textId="4AF0180B" w:rsidR="004A6319" w:rsidRPr="00710118" w:rsidRDefault="004A6319" w:rsidP="005B7720">
      <w:pPr>
        <w:numPr>
          <w:ilvl w:val="0"/>
          <w:numId w:val="2"/>
        </w:numPr>
        <w:ind w:left="567" w:hanging="567"/>
        <w:jc w:val="both"/>
        <w:rPr>
          <w:rFonts w:asciiTheme="minorBidi" w:hAnsiTheme="minorBidi" w:cstheme="minorBidi"/>
          <w:szCs w:val="22"/>
          <w:lang w:val="fr-FR"/>
        </w:rPr>
      </w:pPr>
      <w:r w:rsidRPr="00710118">
        <w:rPr>
          <w:rFonts w:asciiTheme="minorBidi" w:hAnsiTheme="minorBidi"/>
          <w:szCs w:val="22"/>
          <w:lang w:val="fr-FR"/>
        </w:rPr>
        <w:t xml:space="preserve">S’agissant des propositions visant à assurer une participation plus large des communautés, des groupes et, le cas échéant, des individus au système d’inscription, le </w:t>
      </w:r>
      <w:r w:rsidR="00BF22A9" w:rsidRPr="00710118">
        <w:rPr>
          <w:rFonts w:asciiTheme="minorBidi" w:hAnsiTheme="minorBidi"/>
          <w:szCs w:val="22"/>
          <w:lang w:val="fr-FR"/>
        </w:rPr>
        <w:t xml:space="preserve">groupe </w:t>
      </w:r>
      <w:r w:rsidRPr="00710118">
        <w:rPr>
          <w:rFonts w:asciiTheme="minorBidi" w:hAnsiTheme="minorBidi"/>
          <w:szCs w:val="22"/>
          <w:lang w:val="fr-FR"/>
        </w:rPr>
        <w:t>de travail recommande par ailleurs ce qui suit</w:t>
      </w:r>
      <w:r w:rsidRPr="00710118">
        <w:rPr>
          <w:rFonts w:ascii="Arial" w:hAnsi="Arial"/>
          <w:snapToGrid w:val="0"/>
          <w:szCs w:val="22"/>
          <w:lang w:val="fr-FR"/>
        </w:rPr>
        <w:t> </w:t>
      </w:r>
      <w:r w:rsidRPr="00710118">
        <w:rPr>
          <w:rFonts w:asciiTheme="minorBidi" w:hAnsiTheme="minorBidi"/>
          <w:szCs w:val="22"/>
          <w:lang w:val="fr-FR"/>
        </w:rPr>
        <w:t>:</w:t>
      </w:r>
    </w:p>
    <w:p w14:paraId="3E936C10" w14:textId="77D7397B" w:rsidR="004A6319" w:rsidRPr="00710118" w:rsidRDefault="004A6319" w:rsidP="00A02D9C">
      <w:pPr>
        <w:pStyle w:val="ListParagraph"/>
        <w:numPr>
          <w:ilvl w:val="0"/>
          <w:numId w:val="19"/>
        </w:numPr>
        <w:ind w:left="992" w:hanging="425"/>
        <w:contextualSpacing w:val="0"/>
        <w:jc w:val="both"/>
        <w:rPr>
          <w:rFonts w:ascii="Arial" w:hAnsi="Arial" w:cs="Arial"/>
          <w:i/>
          <w:iCs/>
          <w:szCs w:val="22"/>
          <w:lang w:val="fr-FR"/>
        </w:rPr>
      </w:pPr>
      <w:r w:rsidRPr="00710118">
        <w:rPr>
          <w:rFonts w:ascii="Arial" w:hAnsi="Arial" w:cs="Arial"/>
          <w:i/>
          <w:iCs/>
          <w:szCs w:val="22"/>
          <w:lang w:val="fr-FR"/>
        </w:rPr>
        <w:t>l’utilisation de la langue des communautés (ou une ou des langues qui leur soit accessible(s)) lors de la préparation et de la soumission des candidatures ;</w:t>
      </w:r>
    </w:p>
    <w:p w14:paraId="38A584B8" w14:textId="16C51B92" w:rsidR="004A6319" w:rsidRPr="00710118" w:rsidRDefault="004A6319" w:rsidP="00A02D9C">
      <w:pPr>
        <w:pStyle w:val="ListParagraph"/>
        <w:numPr>
          <w:ilvl w:val="0"/>
          <w:numId w:val="19"/>
        </w:numPr>
        <w:ind w:left="992" w:hanging="425"/>
        <w:contextualSpacing w:val="0"/>
        <w:jc w:val="both"/>
        <w:rPr>
          <w:rFonts w:asciiTheme="minorBidi" w:hAnsiTheme="minorBidi" w:cstheme="minorBidi"/>
          <w:i/>
          <w:iCs/>
          <w:szCs w:val="22"/>
          <w:lang w:val="fr-FR"/>
        </w:rPr>
      </w:pPr>
      <w:r w:rsidRPr="00710118">
        <w:rPr>
          <w:rFonts w:ascii="Arial" w:hAnsi="Arial" w:cs="Arial"/>
          <w:i/>
          <w:iCs/>
          <w:szCs w:val="22"/>
          <w:lang w:val="fr-FR"/>
        </w:rPr>
        <w:t>l’utilisation de technologies telles que des outils audiovisuels, lorsque cela est possible, pour la mise à disposition des informations requises dans les formulaires de candidature et la communication de préoccupations</w:t>
      </w:r>
      <w:r w:rsidRPr="00710118">
        <w:rPr>
          <w:rFonts w:asciiTheme="minorBidi" w:hAnsiTheme="minorBidi"/>
          <w:i/>
          <w:iCs/>
          <w:szCs w:val="22"/>
          <w:lang w:val="fr-FR"/>
        </w:rPr>
        <w:t xml:space="preserve">. </w:t>
      </w:r>
    </w:p>
    <w:p w14:paraId="40E157B1" w14:textId="22BF7B7E" w:rsidR="004A6319" w:rsidRPr="00710118" w:rsidRDefault="004A6319" w:rsidP="005B7720">
      <w:pPr>
        <w:widowControl w:val="0"/>
        <w:numPr>
          <w:ilvl w:val="0"/>
          <w:numId w:val="2"/>
        </w:numPr>
        <w:ind w:left="567" w:hanging="567"/>
        <w:jc w:val="both"/>
        <w:rPr>
          <w:rFonts w:asciiTheme="minorBidi" w:hAnsiTheme="minorBidi" w:cstheme="minorBidi"/>
          <w:i/>
          <w:iCs/>
          <w:szCs w:val="22"/>
          <w:lang w:val="fr-FR"/>
        </w:rPr>
      </w:pPr>
      <w:r w:rsidRPr="00710118">
        <w:rPr>
          <w:rFonts w:asciiTheme="minorBidi" w:hAnsiTheme="minorBidi"/>
          <w:szCs w:val="22"/>
          <w:lang w:val="fr-FR"/>
        </w:rPr>
        <w:t xml:space="preserve">Le </w:t>
      </w:r>
      <w:r w:rsidR="00BF22A9" w:rsidRPr="00710118">
        <w:rPr>
          <w:rFonts w:asciiTheme="minorBidi" w:hAnsiTheme="minorBidi"/>
          <w:szCs w:val="22"/>
          <w:lang w:val="fr-FR"/>
        </w:rPr>
        <w:t xml:space="preserve">groupe </w:t>
      </w:r>
      <w:r w:rsidRPr="00710118">
        <w:rPr>
          <w:rFonts w:asciiTheme="minorBidi" w:hAnsiTheme="minorBidi"/>
          <w:szCs w:val="22"/>
          <w:lang w:val="fr-FR"/>
        </w:rPr>
        <w:t xml:space="preserve">de travail recommande d’utiliser un langage inclusif et neutre en termes de genre dans tous les aspects de la mise en œuvre de la Convention, y compris notamment d’éviter l’utilisation de termes tels que « </w:t>
      </w:r>
      <w:proofErr w:type="spellStart"/>
      <w:r w:rsidRPr="00710118">
        <w:rPr>
          <w:rFonts w:asciiTheme="minorBidi" w:hAnsiTheme="minorBidi"/>
          <w:szCs w:val="22"/>
          <w:lang w:val="fr-FR"/>
        </w:rPr>
        <w:t>gentleman’s</w:t>
      </w:r>
      <w:proofErr w:type="spellEnd"/>
      <w:r w:rsidRPr="00710118">
        <w:rPr>
          <w:rFonts w:asciiTheme="minorBidi" w:hAnsiTheme="minorBidi"/>
          <w:szCs w:val="22"/>
          <w:lang w:val="fr-FR"/>
        </w:rPr>
        <w:t xml:space="preserve"> agreement ».</w:t>
      </w:r>
    </w:p>
    <w:p w14:paraId="1FEDFAC4" w14:textId="50B03446" w:rsidR="004A6319" w:rsidRPr="00710118" w:rsidRDefault="004A6319" w:rsidP="005B7720">
      <w:pPr>
        <w:widowControl w:val="0"/>
        <w:numPr>
          <w:ilvl w:val="0"/>
          <w:numId w:val="2"/>
        </w:numPr>
        <w:ind w:left="567" w:hanging="567"/>
        <w:jc w:val="both"/>
        <w:rPr>
          <w:rFonts w:ascii="Arial" w:hAnsi="Arial" w:cs="Arial"/>
          <w:szCs w:val="22"/>
          <w:lang w:val="fr-FR"/>
        </w:rPr>
      </w:pPr>
      <w:r w:rsidRPr="00710118">
        <w:rPr>
          <w:rFonts w:asciiTheme="minorBidi" w:hAnsiTheme="minorBidi"/>
          <w:szCs w:val="22"/>
          <w:lang w:val="fr-FR"/>
        </w:rPr>
        <w:t>Le</w:t>
      </w:r>
      <w:r w:rsidRPr="00710118">
        <w:rPr>
          <w:rFonts w:ascii="Arial" w:hAnsi="Arial" w:cs="Arial"/>
          <w:szCs w:val="22"/>
          <w:lang w:val="fr-FR"/>
        </w:rPr>
        <w:t xml:space="preserve"> groupe de travail recommande que l’initiative soutenue financièrement par la Suède sur les implications plus larges de l’article 18 de la Convention comprenne la poursuite des débats sur la manière d’améliorer le dialogue et la communication entre les parties prenantes </w:t>
      </w:r>
      <w:r w:rsidR="00BF22A9" w:rsidRPr="00710118">
        <w:rPr>
          <w:rFonts w:ascii="Arial" w:hAnsi="Arial" w:cs="Arial"/>
          <w:szCs w:val="22"/>
          <w:lang w:val="fr-FR"/>
        </w:rPr>
        <w:t xml:space="preserve">de la Convention de 2003, </w:t>
      </w:r>
      <w:r w:rsidRPr="00710118">
        <w:rPr>
          <w:rFonts w:ascii="Arial" w:hAnsi="Arial" w:cs="Arial"/>
          <w:szCs w:val="22"/>
          <w:lang w:val="fr-FR"/>
        </w:rPr>
        <w:t>y</w:t>
      </w:r>
      <w:r w:rsidR="00BF22A9" w:rsidRPr="00710118">
        <w:rPr>
          <w:rFonts w:ascii="Arial" w:hAnsi="Arial" w:cs="Arial"/>
          <w:szCs w:val="22"/>
          <w:lang w:val="fr-FR"/>
        </w:rPr>
        <w:t> </w:t>
      </w:r>
      <w:r w:rsidRPr="00710118">
        <w:rPr>
          <w:rFonts w:ascii="Arial" w:hAnsi="Arial" w:cs="Arial"/>
          <w:szCs w:val="22"/>
          <w:lang w:val="fr-FR"/>
        </w:rPr>
        <w:t>compris les communautés, groupes et, le cas échéant, les individus concernés.</w:t>
      </w:r>
    </w:p>
    <w:p w14:paraId="07BA0666" w14:textId="77777777" w:rsidR="004A6319" w:rsidRPr="00710118" w:rsidRDefault="004A6319" w:rsidP="005B7720">
      <w:pPr>
        <w:spacing w:before="240"/>
        <w:jc w:val="both"/>
        <w:rPr>
          <w:rFonts w:asciiTheme="minorBidi" w:hAnsiTheme="minorBidi"/>
          <w:szCs w:val="22"/>
          <w:u w:val="single"/>
          <w:lang w:val="fr-FR"/>
        </w:rPr>
      </w:pPr>
      <w:proofErr w:type="gramStart"/>
      <w:r w:rsidRPr="00710118">
        <w:rPr>
          <w:rFonts w:asciiTheme="minorBidi" w:hAnsiTheme="minorBidi"/>
          <w:szCs w:val="22"/>
          <w:u w:val="single"/>
          <w:lang w:val="fr-FR"/>
        </w:rPr>
        <w:t>Perspectives futures</w:t>
      </w:r>
      <w:proofErr w:type="gramEnd"/>
    </w:p>
    <w:p w14:paraId="06943EB1" w14:textId="77777777" w:rsidR="004A6319" w:rsidRPr="00710118" w:rsidRDefault="004A6319" w:rsidP="005B7720">
      <w:pPr>
        <w:numPr>
          <w:ilvl w:val="0"/>
          <w:numId w:val="2"/>
        </w:numPr>
        <w:ind w:left="567" w:hanging="567"/>
        <w:jc w:val="both"/>
        <w:rPr>
          <w:rFonts w:ascii="Arial" w:hAnsi="Arial"/>
          <w:szCs w:val="22"/>
          <w:lang w:val="fr-FR"/>
        </w:rPr>
      </w:pPr>
      <w:r w:rsidRPr="00710118">
        <w:rPr>
          <w:rFonts w:ascii="Arial" w:hAnsi="Arial"/>
          <w:szCs w:val="22"/>
          <w:lang w:val="fr-FR"/>
        </w:rPr>
        <w:t>Le groupe de travail demande au Secrétariat de préparer une série de projets d’amendements aux Directives opérationnelles sur la base des recommandations du groupe de travail, pour examen par le Comité lors de sa seizième session.</w:t>
      </w:r>
    </w:p>
    <w:p w14:paraId="0035B24B" w14:textId="77777777" w:rsidR="004A6319" w:rsidRPr="00710118" w:rsidRDefault="004A6319" w:rsidP="005B7720">
      <w:pPr>
        <w:numPr>
          <w:ilvl w:val="0"/>
          <w:numId w:val="2"/>
        </w:numPr>
        <w:ind w:left="567" w:hanging="567"/>
        <w:jc w:val="both"/>
        <w:rPr>
          <w:rFonts w:ascii="Arial" w:hAnsi="Arial"/>
          <w:szCs w:val="22"/>
          <w:lang w:val="fr-FR"/>
        </w:rPr>
      </w:pPr>
      <w:r w:rsidRPr="00710118">
        <w:rPr>
          <w:rFonts w:ascii="Arial" w:hAnsi="Arial"/>
          <w:szCs w:val="22"/>
          <w:lang w:val="fr-FR"/>
        </w:rPr>
        <w:t>Le groupe de travail recommande au Comité lors de sa seizième session de prolonger son mandat afin d’achever la discussion des questions suivantes en convoquant une réunion en ligne supplémentaire au début de 2022, de sorte que les résultats puissent être examinés par une session extraordinaire du Comité sous la forme de Directives opérationnelles révisées pour examen par la neuvième session de l’Assemblée générale à la mi-2022 :</w:t>
      </w:r>
    </w:p>
    <w:p w14:paraId="27059E3F" w14:textId="77777777" w:rsidR="004A6319" w:rsidRPr="00710118" w:rsidRDefault="004A6319" w:rsidP="00A02D9C">
      <w:pPr>
        <w:pStyle w:val="ListParagraph"/>
        <w:numPr>
          <w:ilvl w:val="0"/>
          <w:numId w:val="20"/>
        </w:numPr>
        <w:ind w:left="992" w:hanging="425"/>
        <w:contextualSpacing w:val="0"/>
        <w:jc w:val="both"/>
        <w:rPr>
          <w:rFonts w:ascii="Arial" w:hAnsi="Arial" w:cs="Arial"/>
          <w:i/>
          <w:iCs/>
          <w:szCs w:val="22"/>
          <w:lang w:val="fr-FR"/>
        </w:rPr>
      </w:pPr>
      <w:r w:rsidRPr="00710118">
        <w:rPr>
          <w:rFonts w:ascii="Arial" w:hAnsi="Arial" w:cs="Arial"/>
          <w:i/>
          <w:iCs/>
          <w:szCs w:val="22"/>
          <w:lang w:val="fr-FR"/>
        </w:rPr>
        <w:t>Réviser la priorité pour l’examen des dossiers de candidature des États parties qui n’ont pas rempli leurs obligations de rapport concernant la mise en œuvre de la Convention et le statut des éléments inscrits sur la Liste représentative ou sur la Liste de sauvegarde urgente ;</w:t>
      </w:r>
    </w:p>
    <w:p w14:paraId="1D9496CE" w14:textId="77777777" w:rsidR="004A6319" w:rsidRPr="00710118" w:rsidRDefault="004A6319" w:rsidP="00A02D9C">
      <w:pPr>
        <w:pStyle w:val="ListParagraph"/>
        <w:numPr>
          <w:ilvl w:val="0"/>
          <w:numId w:val="20"/>
        </w:numPr>
        <w:ind w:left="992" w:hanging="425"/>
        <w:contextualSpacing w:val="0"/>
        <w:jc w:val="both"/>
        <w:rPr>
          <w:rFonts w:ascii="Arial" w:hAnsi="Arial" w:cs="Arial"/>
          <w:i/>
          <w:iCs/>
          <w:szCs w:val="22"/>
          <w:lang w:val="fr-FR"/>
        </w:rPr>
      </w:pPr>
      <w:r w:rsidRPr="00710118">
        <w:rPr>
          <w:rFonts w:ascii="Arial" w:hAnsi="Arial" w:cs="Arial"/>
          <w:i/>
          <w:iCs/>
          <w:szCs w:val="22"/>
          <w:lang w:val="fr-FR"/>
        </w:rPr>
        <w:t>Considérer la possibilité d’obtenir des informations supplémentaires concernant les candidatures en utilisant un processus de dialogue avec les ONG accréditées et les communautés, les groupes et, le cas échéant, les individus concernés ;</w:t>
      </w:r>
    </w:p>
    <w:p w14:paraId="686A1C5F" w14:textId="77777777" w:rsidR="004A6319" w:rsidRPr="00710118" w:rsidRDefault="004A6319" w:rsidP="00A02D9C">
      <w:pPr>
        <w:pStyle w:val="ListParagraph"/>
        <w:numPr>
          <w:ilvl w:val="0"/>
          <w:numId w:val="20"/>
        </w:numPr>
        <w:ind w:left="992" w:hanging="425"/>
        <w:contextualSpacing w:val="0"/>
        <w:jc w:val="both"/>
        <w:rPr>
          <w:rFonts w:ascii="Arial" w:hAnsi="Arial" w:cs="Arial"/>
          <w:i/>
          <w:iCs/>
          <w:szCs w:val="22"/>
          <w:lang w:val="fr-FR"/>
        </w:rPr>
      </w:pPr>
      <w:r w:rsidRPr="00710118">
        <w:rPr>
          <w:rFonts w:ascii="Arial" w:hAnsi="Arial" w:cs="Arial"/>
          <w:i/>
          <w:iCs/>
          <w:szCs w:val="22"/>
          <w:lang w:val="fr-FR"/>
        </w:rPr>
        <w:t>Conclure sur les questions suivantes liées au nombre de dossiers par cycle :</w:t>
      </w:r>
    </w:p>
    <w:p w14:paraId="49CF69EA" w14:textId="77777777" w:rsidR="004A6319" w:rsidRPr="00710118" w:rsidRDefault="004A6319" w:rsidP="00A02D9C">
      <w:pPr>
        <w:pStyle w:val="ListParagraph"/>
        <w:numPr>
          <w:ilvl w:val="0"/>
          <w:numId w:val="21"/>
        </w:numPr>
        <w:ind w:left="1417" w:hanging="425"/>
        <w:contextualSpacing w:val="0"/>
        <w:jc w:val="both"/>
        <w:rPr>
          <w:rFonts w:ascii="Arial" w:hAnsi="Arial" w:cs="Arial"/>
          <w:i/>
          <w:iCs/>
          <w:szCs w:val="22"/>
          <w:lang w:val="fr-FR"/>
        </w:rPr>
      </w:pPr>
      <w:r w:rsidRPr="00710118">
        <w:rPr>
          <w:rFonts w:ascii="Arial" w:hAnsi="Arial" w:cs="Arial"/>
          <w:i/>
          <w:iCs/>
          <w:szCs w:val="22"/>
          <w:lang w:val="fr-FR"/>
        </w:rPr>
        <w:t>Revoir l’adaptabilité de la composition et des méthodes de travail de l’Organe d’évaluation afin de permettre l’évaluation d’un plus grand nombre de dossiers par cycle, en gardant à l’esprit la représentation géographique ;</w:t>
      </w:r>
    </w:p>
    <w:p w14:paraId="351F0416" w14:textId="77777777" w:rsidR="004A6319" w:rsidRPr="00710118" w:rsidRDefault="004A6319" w:rsidP="00A02D9C">
      <w:pPr>
        <w:pStyle w:val="ListParagraph"/>
        <w:numPr>
          <w:ilvl w:val="0"/>
          <w:numId w:val="21"/>
        </w:numPr>
        <w:ind w:left="1417" w:hanging="425"/>
        <w:contextualSpacing w:val="0"/>
        <w:jc w:val="both"/>
        <w:rPr>
          <w:rFonts w:ascii="Arial" w:hAnsi="Arial" w:cs="Arial"/>
          <w:i/>
          <w:iCs/>
          <w:szCs w:val="22"/>
          <w:lang w:val="fr-FR"/>
        </w:rPr>
      </w:pPr>
      <w:r w:rsidRPr="00710118">
        <w:rPr>
          <w:rFonts w:ascii="Arial" w:hAnsi="Arial" w:cs="Arial"/>
          <w:i/>
          <w:iCs/>
          <w:szCs w:val="22"/>
          <w:lang w:val="fr-FR"/>
        </w:rPr>
        <w:t>Examiner deux dossiers par État par cycle de trois ans avec une alternance entre une candidature à la Liste représentative et à la Liste de sauvegarde urgente ou au Registre de bonnes pratiques de sauvegarde ;</w:t>
      </w:r>
    </w:p>
    <w:p w14:paraId="01EC7DD0" w14:textId="112117E2" w:rsidR="004A6319" w:rsidRPr="00710118" w:rsidRDefault="004A6319" w:rsidP="00A02D9C">
      <w:pPr>
        <w:pStyle w:val="ListParagraph"/>
        <w:numPr>
          <w:ilvl w:val="0"/>
          <w:numId w:val="21"/>
        </w:numPr>
        <w:ind w:left="1417" w:hanging="425"/>
        <w:contextualSpacing w:val="0"/>
        <w:jc w:val="both"/>
        <w:rPr>
          <w:rFonts w:ascii="Arial" w:hAnsi="Arial" w:cs="Arial"/>
          <w:i/>
          <w:iCs/>
          <w:szCs w:val="22"/>
          <w:lang w:val="fr-FR"/>
        </w:rPr>
      </w:pPr>
      <w:r w:rsidRPr="00710118">
        <w:rPr>
          <w:rFonts w:ascii="Arial" w:hAnsi="Arial" w:cs="Arial"/>
          <w:i/>
          <w:iCs/>
          <w:szCs w:val="22"/>
          <w:lang w:val="fr-FR"/>
        </w:rPr>
        <w:t>Déplacer toutes les demandes d’assistance internationale au Bureau du Comité intergouvernemental de sauvegarde du patrimoine culturel immatériel</w:t>
      </w:r>
      <w:r w:rsidR="000C67BA" w:rsidRPr="00710118">
        <w:rPr>
          <w:rFonts w:ascii="Arial" w:hAnsi="Arial" w:cs="Arial"/>
          <w:i/>
          <w:iCs/>
          <w:szCs w:val="22"/>
          <w:lang w:val="fr-FR"/>
        </w:rPr>
        <w:t> ;</w:t>
      </w:r>
    </w:p>
    <w:p w14:paraId="5A37E301" w14:textId="18B39DCC" w:rsidR="004A6319" w:rsidRPr="00710118" w:rsidRDefault="004A6319" w:rsidP="00A02D9C">
      <w:pPr>
        <w:pStyle w:val="ListParagraph"/>
        <w:numPr>
          <w:ilvl w:val="0"/>
          <w:numId w:val="21"/>
        </w:numPr>
        <w:ind w:left="1417" w:hanging="425"/>
        <w:contextualSpacing w:val="0"/>
        <w:jc w:val="both"/>
        <w:rPr>
          <w:rFonts w:ascii="Arial" w:hAnsi="Arial" w:cs="Arial"/>
          <w:i/>
          <w:iCs/>
          <w:szCs w:val="22"/>
          <w:lang w:val="fr-FR"/>
        </w:rPr>
      </w:pPr>
      <w:r w:rsidRPr="00710118">
        <w:rPr>
          <w:rFonts w:ascii="Arial" w:hAnsi="Arial" w:cs="Arial"/>
          <w:i/>
          <w:iCs/>
          <w:szCs w:val="22"/>
          <w:lang w:val="fr-FR"/>
        </w:rPr>
        <w:t>Si les demandes de transfert depuis la Liste de sauvegarde urgente vers la Liste représentative doivent être traitées comme faisant partie du plafond annuel approuvé par le Comité</w:t>
      </w:r>
      <w:r w:rsidR="000C67BA" w:rsidRPr="00710118">
        <w:rPr>
          <w:rFonts w:ascii="Arial" w:hAnsi="Arial" w:cs="Arial"/>
          <w:i/>
          <w:iCs/>
          <w:szCs w:val="22"/>
          <w:lang w:val="fr-FR"/>
        </w:rPr>
        <w:t> ;</w:t>
      </w:r>
    </w:p>
    <w:p w14:paraId="43595921" w14:textId="274C8B53" w:rsidR="00AD2AFA" w:rsidRPr="00710118" w:rsidRDefault="004A6319" w:rsidP="00A02D9C">
      <w:pPr>
        <w:pStyle w:val="ListParagraph"/>
        <w:numPr>
          <w:ilvl w:val="0"/>
          <w:numId w:val="21"/>
        </w:numPr>
        <w:ind w:left="1417" w:hanging="425"/>
        <w:contextualSpacing w:val="0"/>
        <w:jc w:val="both"/>
        <w:rPr>
          <w:rFonts w:ascii="Arial" w:hAnsi="Arial" w:cs="Arial"/>
          <w:i/>
          <w:iCs/>
          <w:szCs w:val="22"/>
          <w:lang w:val="fr-FR"/>
        </w:rPr>
      </w:pPr>
      <w:r w:rsidRPr="00710118">
        <w:rPr>
          <w:rFonts w:ascii="Arial" w:hAnsi="Arial" w:cs="Arial"/>
          <w:i/>
          <w:iCs/>
          <w:szCs w:val="22"/>
          <w:lang w:val="fr-FR"/>
        </w:rPr>
        <w:t>Si l</w:t>
      </w:r>
      <w:r w:rsidR="006F4BE3" w:rsidRPr="00710118">
        <w:rPr>
          <w:rFonts w:ascii="Arial" w:hAnsi="Arial" w:cs="Arial"/>
          <w:i/>
          <w:iCs/>
          <w:szCs w:val="22"/>
          <w:lang w:val="fr-FR"/>
        </w:rPr>
        <w:t>es</w:t>
      </w:r>
      <w:r w:rsidRPr="00710118">
        <w:rPr>
          <w:rFonts w:ascii="Arial" w:hAnsi="Arial" w:cs="Arial"/>
          <w:i/>
          <w:iCs/>
          <w:szCs w:val="22"/>
          <w:lang w:val="fr-FR"/>
        </w:rPr>
        <w:t xml:space="preserve"> demande</w:t>
      </w:r>
      <w:r w:rsidR="006F4BE3" w:rsidRPr="00710118">
        <w:rPr>
          <w:rFonts w:ascii="Arial" w:hAnsi="Arial" w:cs="Arial"/>
          <w:i/>
          <w:iCs/>
          <w:szCs w:val="22"/>
          <w:lang w:val="fr-FR"/>
        </w:rPr>
        <w:t>s</w:t>
      </w:r>
      <w:r w:rsidRPr="00710118">
        <w:rPr>
          <w:rFonts w:ascii="Arial" w:hAnsi="Arial" w:cs="Arial"/>
          <w:i/>
          <w:iCs/>
          <w:szCs w:val="22"/>
          <w:lang w:val="fr-FR"/>
        </w:rPr>
        <w:t xml:space="preserve"> d’extension ser</w:t>
      </w:r>
      <w:r w:rsidR="006F4BE3" w:rsidRPr="00710118">
        <w:rPr>
          <w:rFonts w:ascii="Arial" w:hAnsi="Arial" w:cs="Arial"/>
          <w:i/>
          <w:iCs/>
          <w:szCs w:val="22"/>
          <w:lang w:val="fr-FR"/>
        </w:rPr>
        <w:t>ont</w:t>
      </w:r>
      <w:r w:rsidRPr="00710118">
        <w:rPr>
          <w:rFonts w:ascii="Arial" w:hAnsi="Arial" w:cs="Arial"/>
          <w:i/>
          <w:iCs/>
          <w:szCs w:val="22"/>
          <w:lang w:val="fr-FR"/>
        </w:rPr>
        <w:t xml:space="preserve"> traitée</w:t>
      </w:r>
      <w:r w:rsidR="006F4BE3" w:rsidRPr="00710118">
        <w:rPr>
          <w:rFonts w:ascii="Arial" w:hAnsi="Arial" w:cs="Arial"/>
          <w:i/>
          <w:iCs/>
          <w:szCs w:val="22"/>
          <w:lang w:val="fr-FR"/>
        </w:rPr>
        <w:t>s</w:t>
      </w:r>
      <w:r w:rsidRPr="00710118">
        <w:rPr>
          <w:rFonts w:ascii="Arial" w:hAnsi="Arial" w:cs="Arial"/>
          <w:i/>
          <w:iCs/>
          <w:szCs w:val="22"/>
          <w:lang w:val="fr-FR"/>
        </w:rPr>
        <w:t xml:space="preserve"> comme faisant partie du plafond annuel des dossiers à examiner et dans le cadre des priorités définies par le paragraphe 34 des Directives opérationnelles.</w:t>
      </w:r>
    </w:p>
    <w:sectPr w:rsidR="00AD2AFA" w:rsidRPr="00710118" w:rsidSect="00B4200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B988" w14:textId="77777777" w:rsidR="00520EE2" w:rsidRDefault="00520EE2" w:rsidP="00AD2AFA">
      <w:pPr>
        <w:spacing w:after="0"/>
      </w:pPr>
      <w:r>
        <w:separator/>
      </w:r>
    </w:p>
  </w:endnote>
  <w:endnote w:type="continuationSeparator" w:id="0">
    <w:p w14:paraId="10CB2B86" w14:textId="77777777" w:rsidR="00520EE2" w:rsidRDefault="00520EE2" w:rsidP="00AD2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CA81" w14:textId="77777777" w:rsidR="00520EE2" w:rsidRDefault="00520EE2" w:rsidP="00AD2AFA">
      <w:pPr>
        <w:spacing w:after="0"/>
      </w:pPr>
      <w:r>
        <w:separator/>
      </w:r>
    </w:p>
  </w:footnote>
  <w:footnote w:type="continuationSeparator" w:id="0">
    <w:p w14:paraId="5829FBDB" w14:textId="77777777" w:rsidR="00520EE2" w:rsidRDefault="00520EE2" w:rsidP="00AD2A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18CF" w14:textId="35CA8B8F" w:rsidR="00B6167A" w:rsidRPr="002B7155" w:rsidRDefault="00043888" w:rsidP="007E4E37">
    <w:pPr>
      <w:pStyle w:val="Header"/>
      <w:rPr>
        <w:rFonts w:ascii="Arial" w:hAnsi="Arial" w:cs="Arial"/>
        <w:lang w:val="fr-FR"/>
      </w:rPr>
    </w:pPr>
    <w:bookmarkStart w:id="1" w:name="_Hlk82165129"/>
    <w:r w:rsidRPr="002B7155">
      <w:rPr>
        <w:rFonts w:ascii="Arial" w:hAnsi="Arial" w:cs="Arial"/>
        <w:sz w:val="20"/>
        <w:szCs w:val="20"/>
        <w:lang w:val="fr-FR"/>
      </w:rPr>
      <w:t>LHE/21/1</w:t>
    </w:r>
    <w:r w:rsidRPr="002B7155">
      <w:rPr>
        <w:rFonts w:ascii="Arial" w:eastAsiaTheme="minorEastAsia" w:hAnsi="Arial" w:cs="Arial"/>
        <w:sz w:val="20"/>
        <w:szCs w:val="20"/>
        <w:lang w:val="fr-FR" w:eastAsia="ko-KR"/>
      </w:rPr>
      <w:t>6</w:t>
    </w:r>
    <w:r w:rsidRPr="002B7155">
      <w:rPr>
        <w:rFonts w:ascii="Arial" w:hAnsi="Arial" w:cs="Arial"/>
        <w:sz w:val="20"/>
        <w:szCs w:val="20"/>
        <w:lang w:val="fr-FR"/>
      </w:rPr>
      <w:t>.COM</w:t>
    </w:r>
    <w:r w:rsidRPr="002B7155">
      <w:rPr>
        <w:rFonts w:ascii="Arial" w:eastAsiaTheme="minorEastAsia" w:hAnsi="Arial" w:cs="Arial" w:hint="eastAsia"/>
        <w:sz w:val="20"/>
        <w:szCs w:val="20"/>
        <w:lang w:val="fr-FR" w:eastAsia="ko-KR"/>
      </w:rPr>
      <w:t xml:space="preserve"> WG</w:t>
    </w:r>
    <w:r w:rsidRPr="002B7155">
      <w:rPr>
        <w:rFonts w:ascii="Arial" w:hAnsi="Arial" w:cs="Arial"/>
        <w:sz w:val="20"/>
        <w:szCs w:val="20"/>
        <w:lang w:val="fr-FR"/>
      </w:rPr>
      <w:t>/</w:t>
    </w:r>
    <w:bookmarkEnd w:id="1"/>
    <w:r w:rsidR="00B42006">
      <w:rPr>
        <w:rFonts w:ascii="Arial" w:eastAsiaTheme="minorEastAsia" w:hAnsi="Arial" w:cs="Arial"/>
        <w:sz w:val="20"/>
        <w:szCs w:val="20"/>
        <w:lang w:val="fr-FR" w:eastAsia="ko-KR"/>
      </w:rPr>
      <w:t>Recommandations</w:t>
    </w:r>
    <w:r w:rsidRPr="002B7155">
      <w:rPr>
        <w:rFonts w:ascii="Arial" w:hAnsi="Arial" w:cs="Arial"/>
        <w:sz w:val="20"/>
        <w:szCs w:val="20"/>
        <w:lang w:val="fr-FR"/>
      </w:rPr>
      <w:t xml:space="preserve"> – page </w:t>
    </w:r>
    <w:r w:rsidRPr="00D81948">
      <w:rPr>
        <w:rStyle w:val="PageNumber"/>
        <w:rFonts w:ascii="Arial" w:hAnsi="Arial" w:cs="Arial"/>
        <w:sz w:val="20"/>
        <w:szCs w:val="20"/>
      </w:rPr>
      <w:fldChar w:fldCharType="begin"/>
    </w:r>
    <w:r w:rsidRPr="002B7155">
      <w:rPr>
        <w:rStyle w:val="PageNumber"/>
        <w:rFonts w:ascii="Arial" w:hAnsi="Arial" w:cs="Arial"/>
        <w:sz w:val="20"/>
        <w:szCs w:val="20"/>
        <w:lang w:val="fr-FR"/>
      </w:rPr>
      <w:instrText xml:space="preserve"> PAGE </w:instrText>
    </w:r>
    <w:r w:rsidRPr="00D81948">
      <w:rPr>
        <w:rStyle w:val="PageNumber"/>
        <w:rFonts w:ascii="Arial" w:hAnsi="Arial" w:cs="Arial"/>
        <w:sz w:val="20"/>
        <w:szCs w:val="20"/>
      </w:rPr>
      <w:fldChar w:fldCharType="separate"/>
    </w:r>
    <w:r w:rsidRPr="002B7155">
      <w:rPr>
        <w:rStyle w:val="PageNumber"/>
        <w:rFonts w:ascii="Arial" w:hAnsi="Arial" w:cs="Arial"/>
        <w:noProof/>
        <w:sz w:val="20"/>
        <w:szCs w:val="20"/>
        <w:lang w:val="fr-FR"/>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9506" w14:textId="5AC65662" w:rsidR="00B6167A" w:rsidRPr="007E4E37" w:rsidRDefault="00043888" w:rsidP="00083EF6">
    <w:pPr>
      <w:pStyle w:val="Header"/>
      <w:ind w:left="2544" w:firstLine="2276"/>
      <w:jc w:val="right"/>
      <w:rPr>
        <w:rFonts w:ascii="Arial" w:hAnsi="Arial" w:cs="Arial"/>
      </w:rPr>
    </w:pPr>
    <w:bookmarkStart w:id="2" w:name="_Hlk80957050"/>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sidR="00083EF6" w:rsidRPr="00736566">
      <w:rPr>
        <w:rFonts w:ascii="Arial" w:hAnsi="Arial" w:cs="Arial"/>
        <w:sz w:val="20"/>
        <w:szCs w:val="20"/>
        <w:lang w:val="fr-FR"/>
      </w:rPr>
      <w:t>Recomm</w:t>
    </w:r>
    <w:r w:rsidR="00A85297" w:rsidRPr="00736566">
      <w:rPr>
        <w:rFonts w:ascii="Arial" w:hAnsi="Arial" w:cs="Arial"/>
        <w:sz w:val="20"/>
        <w:szCs w:val="20"/>
        <w:lang w:val="fr-FR"/>
      </w:rPr>
      <w:t>a</w:t>
    </w:r>
    <w:r w:rsidR="00083EF6" w:rsidRPr="00736566">
      <w:rPr>
        <w:rFonts w:ascii="Arial" w:hAnsi="Arial" w:cs="Arial"/>
        <w:sz w:val="20"/>
        <w:szCs w:val="20"/>
        <w:lang w:val="fr-FR"/>
      </w:rPr>
      <w:t>ndations</w:t>
    </w:r>
    <w:r>
      <w:rPr>
        <w:rFonts w:ascii="Arial" w:hAnsi="Arial" w:cs="Arial"/>
        <w:sz w:val="20"/>
        <w:szCs w:val="20"/>
        <w:lang w:val="en-US"/>
      </w:rPr>
      <w:t xml:space="preserve"> </w:t>
    </w:r>
    <w:bookmarkEnd w:id="2"/>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C082" w14:textId="77777777" w:rsidR="0037446D" w:rsidRPr="008724E5" w:rsidRDefault="0037446D" w:rsidP="0037446D">
    <w:pPr>
      <w:pStyle w:val="Header"/>
    </w:pPr>
    <w:r>
      <w:rPr>
        <w:noProof/>
      </w:rPr>
      <w:drawing>
        <wp:inline distT="0" distB="0" distL="0" distR="0" wp14:anchorId="2E18EC69" wp14:editId="0D324DCA">
          <wp:extent cx="1574358" cy="858741"/>
          <wp:effectExtent l="0" t="0" r="698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76403" cy="859856"/>
                  </a:xfrm>
                  <a:prstGeom prst="rect">
                    <a:avLst/>
                  </a:prstGeom>
                </pic:spPr>
              </pic:pic>
            </a:graphicData>
          </a:graphic>
        </wp:inline>
      </w:drawing>
    </w:r>
  </w:p>
  <w:p w14:paraId="6499F2D2" w14:textId="77777777" w:rsidR="0037446D" w:rsidRPr="00A02D9C" w:rsidRDefault="0037446D" w:rsidP="0037446D">
    <w:pPr>
      <w:pStyle w:val="Header"/>
      <w:spacing w:after="520"/>
      <w:jc w:val="right"/>
      <w:rPr>
        <w:rFonts w:ascii="Arial" w:eastAsiaTheme="minorEastAsia" w:hAnsi="Arial" w:cs="Arial"/>
        <w:b/>
        <w:sz w:val="44"/>
        <w:szCs w:val="44"/>
        <w:lang w:val="fr-FR" w:eastAsia="ko-KR"/>
      </w:rPr>
    </w:pPr>
    <w:r w:rsidRPr="00A02D9C">
      <w:rPr>
        <w:rFonts w:ascii="Arial" w:hAnsi="Arial" w:cs="Arial"/>
        <w:b/>
        <w:sz w:val="44"/>
        <w:szCs w:val="44"/>
        <w:lang w:val="fr-FR"/>
      </w:rPr>
      <w:t>1</w:t>
    </w:r>
    <w:r w:rsidRPr="00A02D9C">
      <w:rPr>
        <w:rFonts w:ascii="Arial" w:eastAsiaTheme="minorEastAsia" w:hAnsi="Arial" w:cs="Arial"/>
        <w:b/>
        <w:sz w:val="44"/>
        <w:szCs w:val="44"/>
        <w:lang w:val="fr-FR" w:eastAsia="ko-KR"/>
      </w:rPr>
      <w:t>6</w:t>
    </w:r>
    <w:r w:rsidRPr="00A02D9C">
      <w:rPr>
        <w:rFonts w:ascii="Arial" w:hAnsi="Arial" w:cs="Arial"/>
        <w:b/>
        <w:sz w:val="44"/>
        <w:szCs w:val="44"/>
        <w:lang w:val="fr-FR"/>
      </w:rPr>
      <w:t xml:space="preserve"> COM</w:t>
    </w:r>
    <w:r w:rsidRPr="00A02D9C">
      <w:rPr>
        <w:rFonts w:ascii="Arial" w:eastAsiaTheme="minorEastAsia" w:hAnsi="Arial" w:cs="Arial" w:hint="eastAsia"/>
        <w:b/>
        <w:sz w:val="44"/>
        <w:szCs w:val="44"/>
        <w:lang w:val="fr-FR" w:eastAsia="ko-KR"/>
      </w:rPr>
      <w:t xml:space="preserve"> WG</w:t>
    </w:r>
  </w:p>
  <w:p w14:paraId="010559F4" w14:textId="204F4303" w:rsidR="0037446D" w:rsidRPr="0037446D" w:rsidRDefault="0037446D" w:rsidP="0037446D">
    <w:pPr>
      <w:spacing w:after="0"/>
      <w:jc w:val="right"/>
      <w:rPr>
        <w:rFonts w:ascii="Arial" w:eastAsiaTheme="minorEastAsia" w:hAnsi="Arial" w:cs="Arial"/>
        <w:b/>
        <w:szCs w:val="22"/>
        <w:lang w:val="fr-FR" w:eastAsia="ko-KR"/>
      </w:rPr>
    </w:pPr>
    <w:r w:rsidRPr="0037446D">
      <w:rPr>
        <w:rFonts w:ascii="Arial" w:hAnsi="Arial" w:cs="Arial"/>
        <w:b/>
        <w:szCs w:val="22"/>
        <w:lang w:val="fr-FR"/>
      </w:rPr>
      <w:t>LHE/21/1</w:t>
    </w:r>
    <w:r w:rsidRPr="0037446D">
      <w:rPr>
        <w:rFonts w:ascii="Arial" w:eastAsiaTheme="minorEastAsia" w:hAnsi="Arial" w:cs="Arial"/>
        <w:b/>
        <w:szCs w:val="22"/>
        <w:lang w:val="fr-FR" w:eastAsia="ko-KR"/>
      </w:rPr>
      <w:t>6</w:t>
    </w:r>
    <w:r w:rsidRPr="0037446D">
      <w:rPr>
        <w:rFonts w:ascii="Arial" w:hAnsi="Arial" w:cs="Arial"/>
        <w:b/>
        <w:szCs w:val="22"/>
        <w:lang w:val="fr-FR"/>
      </w:rPr>
      <w:t>.COM</w:t>
    </w:r>
    <w:r w:rsidRPr="0037446D">
      <w:rPr>
        <w:rFonts w:ascii="Arial" w:eastAsiaTheme="minorEastAsia" w:hAnsi="Arial" w:cs="Arial" w:hint="eastAsia"/>
        <w:b/>
        <w:szCs w:val="22"/>
        <w:lang w:val="fr-FR" w:eastAsia="ko-KR"/>
      </w:rPr>
      <w:t xml:space="preserve"> WG</w:t>
    </w:r>
    <w:r w:rsidRPr="0037446D">
      <w:rPr>
        <w:rFonts w:ascii="Arial" w:hAnsi="Arial" w:cs="Arial"/>
        <w:b/>
        <w:szCs w:val="22"/>
        <w:lang w:val="fr-FR"/>
      </w:rPr>
      <w:t>/</w:t>
    </w:r>
    <w:r w:rsidRPr="0037446D">
      <w:rPr>
        <w:rFonts w:ascii="Arial" w:eastAsiaTheme="minorEastAsia" w:hAnsi="Arial" w:cs="Arial"/>
        <w:b/>
        <w:szCs w:val="22"/>
        <w:lang w:val="fr-FR" w:eastAsia="ko-KR"/>
      </w:rPr>
      <w:t>Recommandations</w:t>
    </w:r>
  </w:p>
  <w:p w14:paraId="45589C30" w14:textId="438280F9" w:rsidR="0037446D" w:rsidRPr="0037446D" w:rsidRDefault="0037446D" w:rsidP="0037446D">
    <w:pPr>
      <w:spacing w:after="0"/>
      <w:jc w:val="right"/>
      <w:rPr>
        <w:rFonts w:ascii="Arial" w:eastAsiaTheme="minorEastAsia" w:hAnsi="Arial" w:cs="Arial"/>
        <w:b/>
        <w:szCs w:val="22"/>
        <w:lang w:val="fr-FR" w:eastAsia="ko-KR"/>
      </w:rPr>
    </w:pPr>
    <w:r w:rsidRPr="0037446D">
      <w:rPr>
        <w:rFonts w:ascii="Arial" w:hAnsi="Arial" w:cs="Arial"/>
        <w:b/>
        <w:szCs w:val="22"/>
        <w:lang w:val="fr-FR"/>
      </w:rPr>
      <w:t xml:space="preserve">Paris, le </w:t>
    </w:r>
    <w:r w:rsidR="005641C5">
      <w:rPr>
        <w:rFonts w:ascii="Arial" w:hAnsi="Arial" w:cs="Arial"/>
        <w:b/>
        <w:szCs w:val="22"/>
        <w:lang w:val="fr-FR"/>
      </w:rPr>
      <w:t>21</w:t>
    </w:r>
    <w:r w:rsidR="00344706" w:rsidRPr="00710118">
      <w:rPr>
        <w:rFonts w:ascii="Arial" w:hAnsi="Arial"/>
        <w:b/>
        <w:lang w:val="fr-FR"/>
      </w:rPr>
      <w:t xml:space="preserve"> </w:t>
    </w:r>
    <w:r w:rsidRPr="00710118">
      <w:rPr>
        <w:rFonts w:ascii="Arial" w:hAnsi="Arial"/>
        <w:b/>
        <w:lang w:val="fr-FR"/>
      </w:rPr>
      <w:t>septembre 2021</w:t>
    </w:r>
  </w:p>
  <w:p w14:paraId="1D07BA5C" w14:textId="02DD11DA" w:rsidR="00AD2AFA" w:rsidRPr="00865B57" w:rsidRDefault="0037446D" w:rsidP="0037446D">
    <w:pPr>
      <w:spacing w:after="0"/>
      <w:jc w:val="right"/>
      <w:rPr>
        <w:rFonts w:ascii="Arial" w:hAnsi="Arial" w:cs="Arial"/>
        <w:b/>
        <w:szCs w:val="22"/>
        <w:lang w:val="fr-FR"/>
      </w:rPr>
    </w:pPr>
    <w:r w:rsidRPr="00865B57">
      <w:rPr>
        <w:rFonts w:ascii="Arial" w:hAnsi="Arial" w:cs="Arial"/>
        <w:b/>
        <w:szCs w:val="22"/>
        <w:lang w:val="fr-FR"/>
      </w:rPr>
      <w:t>Original : anglais / français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63B6"/>
    <w:multiLevelType w:val="hybridMultilevel"/>
    <w:tmpl w:val="C10C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96B9B"/>
    <w:multiLevelType w:val="hybridMultilevel"/>
    <w:tmpl w:val="89F8970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8A1157"/>
    <w:multiLevelType w:val="hybridMultilevel"/>
    <w:tmpl w:val="E34EC2E8"/>
    <w:lvl w:ilvl="0" w:tplc="A9DCCE1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22A14ED"/>
    <w:multiLevelType w:val="hybridMultilevel"/>
    <w:tmpl w:val="B7C6D77C"/>
    <w:lvl w:ilvl="0" w:tplc="2CA87DE8">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346ACA"/>
    <w:multiLevelType w:val="hybridMultilevel"/>
    <w:tmpl w:val="1AD4A10C"/>
    <w:lvl w:ilvl="0" w:tplc="FE8CD666">
      <w:start w:val="1"/>
      <w:numFmt w:val="lowerLetter"/>
      <w:lvlText w:val="(%1)"/>
      <w:lvlJc w:val="left"/>
      <w:pPr>
        <w:ind w:left="1287" w:hanging="360"/>
      </w:pPr>
      <w:rPr>
        <w:rFonts w:hint="default"/>
      </w:rPr>
    </w:lvl>
    <w:lvl w:ilvl="1" w:tplc="E2602B8E">
      <w:start w:val="1"/>
      <w:numFmt w:val="lowerLetter"/>
      <w:lvlText w:val="(%2)"/>
      <w:lvlJc w:val="left"/>
      <w:pPr>
        <w:ind w:left="2007" w:hanging="360"/>
      </w:pPr>
      <w:rPr>
        <w:rFonts w:hint="default"/>
        <w:i w:val="0"/>
        <w:iCs w:val="0"/>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16904FB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295D2D"/>
    <w:multiLevelType w:val="hybridMultilevel"/>
    <w:tmpl w:val="988845CA"/>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0B3F81"/>
    <w:multiLevelType w:val="hybridMultilevel"/>
    <w:tmpl w:val="EB10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41036"/>
    <w:multiLevelType w:val="hybridMultilevel"/>
    <w:tmpl w:val="8CB6C26E"/>
    <w:lvl w:ilvl="0" w:tplc="87DEB68C">
      <w:start w:val="1"/>
      <w:numFmt w:val="decimal"/>
      <w:lvlText w:val="%1."/>
      <w:lvlJc w:val="left"/>
      <w:pPr>
        <w:ind w:left="845"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305DF8"/>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29C3612"/>
    <w:multiLevelType w:val="hybridMultilevel"/>
    <w:tmpl w:val="2408BAA6"/>
    <w:lvl w:ilvl="0" w:tplc="14543D44">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8738A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787F86"/>
    <w:multiLevelType w:val="hybridMultilevel"/>
    <w:tmpl w:val="1D3001DC"/>
    <w:lvl w:ilvl="0" w:tplc="040C0001">
      <w:start w:val="1"/>
      <w:numFmt w:val="bullet"/>
      <w:lvlText w:val=""/>
      <w:lvlJc w:val="left"/>
      <w:pPr>
        <w:ind w:left="3240" w:hanging="360"/>
      </w:pPr>
      <w:rPr>
        <w:rFonts w:ascii="Symbol" w:hAnsi="Symbol" w:hint="default"/>
      </w:rPr>
    </w:lvl>
    <w:lvl w:ilvl="1" w:tplc="040C0003">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4" w15:restartNumberingAfterBreak="0">
    <w:nsid w:val="45E35936"/>
    <w:multiLevelType w:val="hybridMultilevel"/>
    <w:tmpl w:val="18B4355E"/>
    <w:lvl w:ilvl="0" w:tplc="CB8C3BEA">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393749"/>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56EB3E4C"/>
    <w:multiLevelType w:val="hybridMultilevel"/>
    <w:tmpl w:val="783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4F3C60"/>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737B00F1"/>
    <w:multiLevelType w:val="hybridMultilevel"/>
    <w:tmpl w:val="2B8E4BAE"/>
    <w:lvl w:ilvl="0" w:tplc="A6D00AF2">
      <w:start w:val="1"/>
      <w:numFmt w:val="lowerLetter"/>
      <w:lvlText w:val="(%1)"/>
      <w:lvlJc w:val="left"/>
      <w:pPr>
        <w:ind w:left="2067" w:hanging="42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5C6CFC"/>
    <w:multiLevelType w:val="hybridMultilevel"/>
    <w:tmpl w:val="BA1E8D76"/>
    <w:lvl w:ilvl="0" w:tplc="4ECE9E3E">
      <w:start w:val="1"/>
      <w:numFmt w:val="lowerLetter"/>
      <w:lvlText w:val="(%1)"/>
      <w:lvlJc w:val="left"/>
      <w:pPr>
        <w:ind w:left="2067" w:hanging="4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16"/>
  </w:num>
  <w:num w:numId="4">
    <w:abstractNumId w:val="0"/>
  </w:num>
  <w:num w:numId="5">
    <w:abstractNumId w:val="17"/>
  </w:num>
  <w:num w:numId="6">
    <w:abstractNumId w:val="5"/>
  </w:num>
  <w:num w:numId="7">
    <w:abstractNumId w:val="11"/>
  </w:num>
  <w:num w:numId="8">
    <w:abstractNumId w:val="9"/>
  </w:num>
  <w:num w:numId="9">
    <w:abstractNumId w:val="7"/>
  </w:num>
  <w:num w:numId="10">
    <w:abstractNumId w:val="1"/>
  </w:num>
  <w:num w:numId="11">
    <w:abstractNumId w:val="2"/>
  </w:num>
  <w:num w:numId="12">
    <w:abstractNumId w:val="15"/>
  </w:num>
  <w:num w:numId="13">
    <w:abstractNumId w:val="12"/>
  </w:num>
  <w:num w:numId="14">
    <w:abstractNumId w:val="4"/>
  </w:num>
  <w:num w:numId="15">
    <w:abstractNumId w:val="3"/>
  </w:num>
  <w:num w:numId="16">
    <w:abstractNumId w:val="14"/>
  </w:num>
  <w:num w:numId="17">
    <w:abstractNumId w:val="10"/>
  </w:num>
  <w:num w:numId="18">
    <w:abstractNumId w:val="6"/>
  </w:num>
  <w:num w:numId="19">
    <w:abstractNumId w:val="19"/>
  </w:num>
  <w:num w:numId="20">
    <w:abstractNumId w:val="18"/>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FA"/>
    <w:rsid w:val="00031B81"/>
    <w:rsid w:val="00043888"/>
    <w:rsid w:val="00083EF6"/>
    <w:rsid w:val="00096A19"/>
    <w:rsid w:val="000C364B"/>
    <w:rsid w:val="000C67BA"/>
    <w:rsid w:val="000E1FCD"/>
    <w:rsid w:val="001B4377"/>
    <w:rsid w:val="001F491B"/>
    <w:rsid w:val="00231F12"/>
    <w:rsid w:val="002535DC"/>
    <w:rsid w:val="00344706"/>
    <w:rsid w:val="00344F21"/>
    <w:rsid w:val="00354E5D"/>
    <w:rsid w:val="0037446D"/>
    <w:rsid w:val="00450A5C"/>
    <w:rsid w:val="0045632B"/>
    <w:rsid w:val="004A3128"/>
    <w:rsid w:val="004A6319"/>
    <w:rsid w:val="004C4127"/>
    <w:rsid w:val="00504B18"/>
    <w:rsid w:val="00520EE2"/>
    <w:rsid w:val="005641C5"/>
    <w:rsid w:val="005B7720"/>
    <w:rsid w:val="005D0C6A"/>
    <w:rsid w:val="0062208A"/>
    <w:rsid w:val="006E16C7"/>
    <w:rsid w:val="006F4BE3"/>
    <w:rsid w:val="00710118"/>
    <w:rsid w:val="00736566"/>
    <w:rsid w:val="007E4D86"/>
    <w:rsid w:val="007E73A4"/>
    <w:rsid w:val="00865B57"/>
    <w:rsid w:val="008813A2"/>
    <w:rsid w:val="008913EA"/>
    <w:rsid w:val="00962736"/>
    <w:rsid w:val="00A02D9C"/>
    <w:rsid w:val="00A2325D"/>
    <w:rsid w:val="00A73F80"/>
    <w:rsid w:val="00A85297"/>
    <w:rsid w:val="00AD2AFA"/>
    <w:rsid w:val="00B04C8E"/>
    <w:rsid w:val="00B42006"/>
    <w:rsid w:val="00B77739"/>
    <w:rsid w:val="00BF22A9"/>
    <w:rsid w:val="00C93E3A"/>
    <w:rsid w:val="00D85B2B"/>
    <w:rsid w:val="00EF3440"/>
    <w:rsid w:val="00F26F49"/>
    <w:rsid w:val="00FB47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54995"/>
  <w15:chartTrackingRefBased/>
  <w15:docId w15:val="{1249CC48-A08E-4F0F-A329-CD189055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FA"/>
    <w:pPr>
      <w:spacing w:after="120" w:line="240" w:lineRule="auto"/>
    </w:pPr>
    <w:rPr>
      <w:rFonts w:ascii="Times New Roman" w:eastAsia="Times New Roman" w:hAnsi="Times New Roman" w:cs="Times New Roman"/>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AFA"/>
    <w:pPr>
      <w:tabs>
        <w:tab w:val="center" w:pos="4536"/>
        <w:tab w:val="right" w:pos="9072"/>
      </w:tabs>
      <w:spacing w:after="0"/>
    </w:pPr>
  </w:style>
  <w:style w:type="character" w:customStyle="1" w:styleId="HeaderChar">
    <w:name w:val="Header Char"/>
    <w:basedOn w:val="DefaultParagraphFont"/>
    <w:link w:val="Header"/>
    <w:rsid w:val="00AD2AFA"/>
    <w:rPr>
      <w:rFonts w:ascii="Times New Roman" w:eastAsia="Times New Roman" w:hAnsi="Times New Roman" w:cs="Times New Roman"/>
      <w:szCs w:val="24"/>
      <w:lang w:val="en-GB" w:eastAsia="fr-FR"/>
    </w:rPr>
  </w:style>
  <w:style w:type="paragraph" w:customStyle="1" w:styleId="Sansinterligne1">
    <w:name w:val="Sans interligne1"/>
    <w:uiPriority w:val="1"/>
    <w:qFormat/>
    <w:rsid w:val="00AD2AFA"/>
    <w:pPr>
      <w:spacing w:after="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AD2AFA"/>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AD2AFA"/>
  </w:style>
  <w:style w:type="paragraph" w:customStyle="1" w:styleId="1GAPara">
    <w:name w:val="1. GA Para"/>
    <w:qFormat/>
    <w:rsid w:val="00AD2AFA"/>
    <w:pPr>
      <w:numPr>
        <w:numId w:val="1"/>
      </w:numPr>
      <w:spacing w:after="120" w:line="240" w:lineRule="auto"/>
    </w:pPr>
    <w:rPr>
      <w:rFonts w:ascii="Arial" w:eastAsia="Times New Roman" w:hAnsi="Arial" w:cs="Arial"/>
      <w:snapToGrid w:val="0"/>
      <w:lang w:val="en-GB" w:eastAsia="en-US"/>
    </w:rPr>
  </w:style>
  <w:style w:type="character" w:styleId="Hyperlink">
    <w:name w:val="Hyperlink"/>
    <w:unhideWhenUsed/>
    <w:rsid w:val="00AD2AFA"/>
    <w:rPr>
      <w:color w:val="0000FF"/>
      <w:u w:val="single"/>
    </w:rPr>
  </w:style>
  <w:style w:type="paragraph" w:styleId="ListParagraph">
    <w:name w:val="List Paragraph"/>
    <w:basedOn w:val="Normal"/>
    <w:uiPriority w:val="34"/>
    <w:qFormat/>
    <w:rsid w:val="00AD2AFA"/>
    <w:pPr>
      <w:ind w:left="720"/>
      <w:contextualSpacing/>
    </w:pPr>
  </w:style>
  <w:style w:type="paragraph" w:styleId="Footer">
    <w:name w:val="footer"/>
    <w:basedOn w:val="Normal"/>
    <w:link w:val="FooterChar"/>
    <w:uiPriority w:val="99"/>
    <w:unhideWhenUsed/>
    <w:rsid w:val="00AD2AFA"/>
    <w:pPr>
      <w:tabs>
        <w:tab w:val="center" w:pos="4536"/>
        <w:tab w:val="right" w:pos="9072"/>
      </w:tabs>
      <w:spacing w:after="0"/>
    </w:pPr>
  </w:style>
  <w:style w:type="character" w:customStyle="1" w:styleId="FooterChar">
    <w:name w:val="Footer Char"/>
    <w:basedOn w:val="DefaultParagraphFont"/>
    <w:link w:val="Footer"/>
    <w:uiPriority w:val="99"/>
    <w:rsid w:val="00AD2AFA"/>
    <w:rPr>
      <w:rFonts w:ascii="Times New Roman" w:eastAsia="Times New Roman" w:hAnsi="Times New Roman" w:cs="Times New Roman"/>
      <w:szCs w:val="24"/>
      <w:lang w:val="en-GB" w:eastAsia="fr-FR"/>
    </w:rPr>
  </w:style>
  <w:style w:type="character" w:styleId="CommentReference">
    <w:name w:val="annotation reference"/>
    <w:basedOn w:val="DefaultParagraphFont"/>
    <w:uiPriority w:val="99"/>
    <w:semiHidden/>
    <w:unhideWhenUsed/>
    <w:rsid w:val="002535DC"/>
    <w:rPr>
      <w:sz w:val="16"/>
      <w:szCs w:val="16"/>
    </w:rPr>
  </w:style>
  <w:style w:type="paragraph" w:styleId="CommentText">
    <w:name w:val="annotation text"/>
    <w:basedOn w:val="Normal"/>
    <w:link w:val="CommentTextChar"/>
    <w:uiPriority w:val="99"/>
    <w:semiHidden/>
    <w:unhideWhenUsed/>
    <w:rsid w:val="002535DC"/>
    <w:rPr>
      <w:sz w:val="20"/>
      <w:szCs w:val="20"/>
    </w:rPr>
  </w:style>
  <w:style w:type="character" w:customStyle="1" w:styleId="CommentTextChar">
    <w:name w:val="Comment Text Char"/>
    <w:basedOn w:val="DefaultParagraphFont"/>
    <w:link w:val="CommentText"/>
    <w:uiPriority w:val="99"/>
    <w:semiHidden/>
    <w:rsid w:val="002535DC"/>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2535DC"/>
    <w:rPr>
      <w:b/>
      <w:bCs/>
    </w:rPr>
  </w:style>
  <w:style w:type="character" w:customStyle="1" w:styleId="CommentSubjectChar">
    <w:name w:val="Comment Subject Char"/>
    <w:basedOn w:val="CommentTextChar"/>
    <w:link w:val="CommentSubject"/>
    <w:uiPriority w:val="99"/>
    <w:semiHidden/>
    <w:rsid w:val="002535DC"/>
    <w:rPr>
      <w:rFonts w:ascii="Times New Roman" w:eastAsia="Times New Roman" w:hAnsi="Times New Roman" w:cs="Times New Roman"/>
      <w:b/>
      <w:bCs/>
      <w:sz w:val="20"/>
      <w:szCs w:val="20"/>
      <w:lang w:val="en-GB" w:eastAsia="fr-FR"/>
    </w:rPr>
  </w:style>
  <w:style w:type="paragraph" w:customStyle="1" w:styleId="Sansinterligne2">
    <w:name w:val="Sans interligne2"/>
    <w:uiPriority w:val="1"/>
    <w:rsid w:val="0037446D"/>
    <w:pPr>
      <w:spacing w:after="0"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34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C3%A9cisions/14.COM/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h.unesco.org/doc/src/LHE-21-16.COM_WG-6-FR-.docx" TargetMode="External"/><Relationship Id="rId12" Type="http://schemas.openxmlformats.org/officeDocument/2006/relationships/hyperlink" Target="https://ich.unesco.org/doc/src/LHE-21-16.COM_WG-6-FR-.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fr/D%C3%A9cisions/10.COM/1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h.unesco.org/fr/decisions/7.COM/14" TargetMode="External"/><Relationship Id="rId4" Type="http://schemas.openxmlformats.org/officeDocument/2006/relationships/webSettings" Target="webSettings.xml"/><Relationship Id="rId9" Type="http://schemas.openxmlformats.org/officeDocument/2006/relationships/hyperlink" Target="https://ich.unesco.org/doc/src/LHE-21-16.COM_WG-6-FR-.do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3556</Words>
  <Characters>19564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 Julien</dc:creator>
  <cp:keywords/>
  <dc:description/>
  <cp:lastModifiedBy>Nakata, Julien</cp:lastModifiedBy>
  <cp:revision>25</cp:revision>
  <dcterms:created xsi:type="dcterms:W3CDTF">2021-09-13T12:57:00Z</dcterms:created>
  <dcterms:modified xsi:type="dcterms:W3CDTF">2021-09-21T07:17:00Z</dcterms:modified>
</cp:coreProperties>
</file>