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4CB1E16F" w:rsidR="002938F2" w:rsidRPr="001813E4" w:rsidRDefault="002938F2" w:rsidP="00AE1B18">
      <w:pPr>
        <w:spacing w:before="1440"/>
        <w:jc w:val="center"/>
        <w:rPr>
          <w:rFonts w:ascii="Arial" w:hAnsi="Arial" w:cs="Arial"/>
          <w:b/>
          <w:szCs w:val="22"/>
        </w:rPr>
      </w:pPr>
      <w:r>
        <w:rPr>
          <w:rFonts w:ascii="Arial" w:hAnsi="Arial"/>
          <w:b/>
        </w:rPr>
        <w:t>CONVENTION POUR LA SAUVEGARDE DU</w:t>
      </w:r>
      <w:r>
        <w:rPr>
          <w:rFonts w:ascii="Arial" w:hAnsi="Arial"/>
          <w:b/>
        </w:rPr>
        <w:br/>
        <w:t>PATRIMOINE CULTUREL IMMATÉRIEL</w:t>
      </w:r>
    </w:p>
    <w:p w14:paraId="7E2A4301" w14:textId="77777777" w:rsidR="00E80745" w:rsidRPr="0045379E" w:rsidRDefault="00E80745" w:rsidP="00E80745">
      <w:pPr>
        <w:spacing w:before="840"/>
        <w:jc w:val="center"/>
        <w:rPr>
          <w:rFonts w:ascii="Arial" w:eastAsia="Calibri" w:hAnsi="Arial" w:cs="Arial"/>
          <w:b/>
          <w:bCs/>
        </w:rPr>
      </w:pPr>
      <w:r>
        <w:rPr>
          <w:rFonts w:ascii="Arial" w:hAnsi="Arial"/>
          <w:b/>
        </w:rPr>
        <w:t>Réunion d’experts dans le cadre de la réflexion globale</w:t>
      </w:r>
      <w:r>
        <w:rPr>
          <w:rFonts w:ascii="Arial" w:hAnsi="Arial"/>
          <w:b/>
        </w:rPr>
        <w:br/>
        <w:t>sur les mécanismes d’inscription sur les listes de la Convention</w:t>
      </w:r>
      <w:r>
        <w:rPr>
          <w:rFonts w:ascii="Arial" w:hAnsi="Arial"/>
          <w:b/>
        </w:rPr>
        <w:br/>
        <w:t>de 2003 pour la sauvegarde du patrimoine culturel immatériel</w:t>
      </w:r>
    </w:p>
    <w:p w14:paraId="7244590D" w14:textId="5120E479" w:rsidR="00601DD6" w:rsidRPr="00E80745" w:rsidRDefault="00CB500D" w:rsidP="00F75CF4">
      <w:pPr>
        <w:spacing w:before="840" w:after="0"/>
        <w:jc w:val="center"/>
        <w:rPr>
          <w:rFonts w:ascii="Arial" w:eastAsia="Calibri" w:hAnsi="Arial" w:cs="Arial"/>
          <w:b/>
          <w:sz w:val="24"/>
        </w:rPr>
      </w:pPr>
      <w:r>
        <w:rPr>
          <w:rFonts w:ascii="Arial" w:hAnsi="Arial"/>
          <w:b/>
          <w:sz w:val="24"/>
        </w:rPr>
        <w:t>En ligne</w:t>
      </w:r>
    </w:p>
    <w:p w14:paraId="4D9CF656" w14:textId="1661FED1" w:rsidR="00E80745" w:rsidRPr="0045379E" w:rsidRDefault="00E80745" w:rsidP="00E80745">
      <w:pPr>
        <w:jc w:val="center"/>
        <w:rPr>
          <w:rFonts w:ascii="Arial" w:eastAsia="Calibri" w:hAnsi="Arial" w:cs="Arial"/>
          <w:b/>
        </w:rPr>
      </w:pPr>
      <w:r>
        <w:rPr>
          <w:rFonts w:ascii="Arial" w:hAnsi="Arial"/>
          <w:b/>
        </w:rPr>
        <w:t>7, 26 et 27 mai 2021</w:t>
      </w:r>
    </w:p>
    <w:p w14:paraId="6D45854C" w14:textId="21516B13" w:rsidR="00251C9B" w:rsidRPr="00E80745" w:rsidRDefault="00E80745" w:rsidP="00E80745">
      <w:pPr>
        <w:pStyle w:val="Sansinterligne2"/>
        <w:spacing w:before="1800" w:after="120"/>
        <w:jc w:val="center"/>
        <w:rPr>
          <w:rFonts w:ascii="Arial" w:hAnsi="Arial" w:cs="Arial"/>
          <w:b/>
        </w:rPr>
      </w:pPr>
      <w:r>
        <w:rPr>
          <w:rFonts w:ascii="Arial" w:hAnsi="Arial"/>
          <w:b/>
        </w:rPr>
        <w:t>Rapport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1813E4" w14:paraId="11E38FB5" w14:textId="77777777" w:rsidTr="00AB297A">
        <w:trPr>
          <w:jc w:val="center"/>
        </w:trPr>
        <w:tc>
          <w:tcPr>
            <w:tcW w:w="5670" w:type="dxa"/>
            <w:vAlign w:val="center"/>
          </w:tcPr>
          <w:p w14:paraId="3AB020B5" w14:textId="5EC3D2E1" w:rsidR="00CB500D" w:rsidRPr="001813E4" w:rsidRDefault="00C128E4" w:rsidP="00AB297A">
            <w:pPr>
              <w:pStyle w:val="Sansinterligne2"/>
              <w:spacing w:before="200" w:after="200"/>
              <w:jc w:val="both"/>
              <w:rPr>
                <w:rFonts w:ascii="Arial" w:hAnsi="Arial" w:cs="Arial"/>
                <w:bCs/>
                <w:sz w:val="22"/>
                <w:szCs w:val="22"/>
              </w:rPr>
            </w:pPr>
            <w:r>
              <w:rPr>
                <w:rFonts w:ascii="Arial" w:hAnsi="Arial"/>
                <w:sz w:val="22"/>
              </w:rPr>
              <w:t xml:space="preserve">Dans le cadre de la consultation d’experts prévue à l’occasion de la réflexion globale sur les mécanismes d’inscription sur les listes de la Convention de 2003, une réunion d’experts de catégorie VI a été organisée en mai 2021. Le présent document décrit les résultats </w:t>
            </w:r>
            <w:r w:rsidR="0072603A">
              <w:rPr>
                <w:rFonts w:ascii="Arial" w:hAnsi="Arial"/>
                <w:sz w:val="22"/>
              </w:rPr>
              <w:t>de cette</w:t>
            </w:r>
            <w:r>
              <w:rPr>
                <w:rFonts w:ascii="Arial" w:hAnsi="Arial"/>
                <w:sz w:val="22"/>
              </w:rPr>
              <w:t xml:space="preserve"> réunion. Les experts ont formulé de nombreuses recommandations en vue d’améliorer le système d’inscription sur les listes, que l’on peut résumer en quatre approches. Deux d’entre elles, nommées « ajustement » et « repositionnement », ont été recommandées par un nombre </w:t>
            </w:r>
            <w:r w:rsidR="0072603A">
              <w:rPr>
                <w:rFonts w:ascii="Arial" w:hAnsi="Arial"/>
                <w:sz w:val="22"/>
              </w:rPr>
              <w:t xml:space="preserve">à peu près égal et </w:t>
            </w:r>
            <w:r>
              <w:rPr>
                <w:rFonts w:ascii="Arial" w:hAnsi="Arial"/>
                <w:sz w:val="22"/>
              </w:rPr>
              <w:t>substantiel d’experts.</w:t>
            </w:r>
          </w:p>
        </w:tc>
      </w:tr>
    </w:tbl>
    <w:p w14:paraId="3C02FF9B" w14:textId="240DADD1" w:rsidR="00E80745" w:rsidRDefault="00E80745" w:rsidP="000C4763">
      <w:pPr>
        <w:pStyle w:val="Titre4"/>
        <w:spacing w:before="240"/>
        <w:ind w:left="426" w:hanging="426"/>
        <w:rPr>
          <w:rFonts w:eastAsiaTheme="minorEastAsia" w:cs="Arial"/>
          <w:b w:val="0"/>
          <w:szCs w:val="22"/>
          <w:u w:val="single"/>
          <w:lang w:eastAsia="ko-KR"/>
        </w:rPr>
      </w:pPr>
    </w:p>
    <w:p w14:paraId="3BD1F5B4" w14:textId="77777777" w:rsidR="00E80745" w:rsidRDefault="00E80745">
      <w:pPr>
        <w:spacing w:after="0"/>
        <w:rPr>
          <w:rFonts w:ascii="Arial" w:eastAsiaTheme="minorEastAsia" w:hAnsi="Arial" w:cs="Arial"/>
          <w:bCs/>
          <w:snapToGrid w:val="0"/>
          <w:szCs w:val="22"/>
          <w:u w:val="single"/>
        </w:rPr>
      </w:pPr>
      <w:r>
        <w:br w:type="page"/>
      </w:r>
    </w:p>
    <w:p w14:paraId="3D3E5652" w14:textId="1E3A9085" w:rsidR="00A94222" w:rsidRPr="001813E4" w:rsidRDefault="00A94222" w:rsidP="000C4763">
      <w:pPr>
        <w:pStyle w:val="Titre4"/>
        <w:spacing w:before="240"/>
        <w:ind w:left="426" w:hanging="426"/>
        <w:rPr>
          <w:rFonts w:asciiTheme="minorBidi" w:hAnsiTheme="minorBidi" w:cstheme="minorBidi"/>
          <w:color w:val="000000"/>
        </w:rPr>
      </w:pPr>
      <w:r>
        <w:rPr>
          <w:rFonts w:asciiTheme="minorBidi" w:hAnsiTheme="minorBidi"/>
          <w:color w:val="000000"/>
        </w:rPr>
        <w:lastRenderedPageBreak/>
        <w:t>I. Introduction</w:t>
      </w:r>
    </w:p>
    <w:p w14:paraId="1B824C1C" w14:textId="40F8225F" w:rsidR="00A94222" w:rsidRPr="001813E4" w:rsidRDefault="00A94222" w:rsidP="00A94222">
      <w:pPr>
        <w:jc w:val="both"/>
        <w:rPr>
          <w:rFonts w:asciiTheme="minorBidi" w:hAnsiTheme="minorBidi" w:cstheme="minorBidi"/>
          <w:szCs w:val="22"/>
        </w:rPr>
      </w:pPr>
      <w:r>
        <w:rPr>
          <w:rFonts w:ascii="Arial" w:hAnsi="Arial"/>
          <w:snapToGrid w:val="0"/>
        </w:rPr>
        <w:t xml:space="preserve">1. La réunion d’experts dans le cadre de la réflexion globale sur les mécanismes d’inscription sur les listes de la Convention de 2003 s’est tenue en ligne à l’aide de la plateforme Zoom. Elle a duré six jours non consécutifs en mai 2021. La session plénière a débuté le 7 mai (Partie I) et a continué les 26 et 27 mai 2021 (Partie II). Trois sessions parallèles en groupes </w:t>
      </w:r>
      <w:r w:rsidR="009A0D06">
        <w:rPr>
          <w:rFonts w:ascii="Arial" w:hAnsi="Arial"/>
          <w:snapToGrid w:val="0"/>
        </w:rPr>
        <w:t xml:space="preserve">de travail </w:t>
      </w:r>
      <w:r>
        <w:rPr>
          <w:rFonts w:ascii="Arial" w:hAnsi="Arial"/>
          <w:snapToGrid w:val="0"/>
        </w:rPr>
        <w:t>ont été organisées entre ces deux périodes. Toutes les réunions ont eu lieu de 13h00 à 16h00 (heure de Paris/UTC+2),</w:t>
      </w:r>
      <w:r w:rsidR="0084335D">
        <w:rPr>
          <w:rFonts w:ascii="Arial" w:hAnsi="Arial"/>
          <w:snapToGrid w:val="0"/>
        </w:rPr>
        <w:t xml:space="preserve"> </w:t>
      </w:r>
      <w:r w:rsidR="0084335D" w:rsidRPr="0084335D">
        <w:rPr>
          <w:rFonts w:ascii="Arial" w:hAnsi="Arial"/>
          <w:snapToGrid w:val="0"/>
        </w:rPr>
        <w:t>ce créneau horaire étant le plus pratique pour les participants situés dans des fuseaux horaires différents.</w:t>
      </w:r>
      <w:r w:rsidRPr="008A0032">
        <w:rPr>
          <w:rFonts w:ascii="Arial" w:hAnsi="Arial"/>
          <w:snapToGrid w:val="0"/>
        </w:rPr>
        <w:t xml:space="preserve"> Pour consulter le programme de la réunion, voir le document </w:t>
      </w:r>
      <w:hyperlink r:id="rId8" w:history="1">
        <w:r w:rsidRPr="00C76350">
          <w:rPr>
            <w:rStyle w:val="Lienhypertexte"/>
            <w:rFonts w:asciiTheme="minorBidi" w:hAnsiTheme="minorBidi"/>
          </w:rPr>
          <w:t>LHE/21/EXP/1 Rev.3</w:t>
        </w:r>
      </w:hyperlink>
      <w:r>
        <w:rPr>
          <w:rFonts w:asciiTheme="minorBidi" w:hAnsiTheme="minorBidi"/>
        </w:rPr>
        <w:t>. Cette réunion a bénéficié d’une généreuse contribution de la part du gouvernement japonais.</w:t>
      </w:r>
    </w:p>
    <w:p w14:paraId="70AE7C53" w14:textId="4C117E85" w:rsidR="00A94222" w:rsidRPr="001813E4" w:rsidRDefault="00A94222" w:rsidP="00A94222">
      <w:pPr>
        <w:jc w:val="both"/>
        <w:rPr>
          <w:rFonts w:asciiTheme="minorBidi" w:hAnsiTheme="minorBidi" w:cstheme="minorBidi"/>
          <w:szCs w:val="22"/>
        </w:rPr>
      </w:pPr>
      <w:r>
        <w:rPr>
          <w:rFonts w:asciiTheme="minorBidi" w:hAnsiTheme="minorBidi"/>
        </w:rPr>
        <w:t xml:space="preserve">2. Comme cela a été décrit </w:t>
      </w:r>
      <w:r w:rsidR="008A0032">
        <w:rPr>
          <w:rFonts w:asciiTheme="minorBidi" w:hAnsiTheme="minorBidi"/>
        </w:rPr>
        <w:t xml:space="preserve">et présenté au cours de la réunion </w:t>
      </w:r>
      <w:r>
        <w:rPr>
          <w:rFonts w:asciiTheme="minorBidi" w:hAnsiTheme="minorBidi"/>
        </w:rPr>
        <w:t>en détail</w:t>
      </w:r>
      <w:r w:rsidR="008A0032">
        <w:rPr>
          <w:rFonts w:asciiTheme="minorBidi" w:hAnsiTheme="minorBidi"/>
        </w:rPr>
        <w:t>,</w:t>
      </w:r>
      <w:r>
        <w:rPr>
          <w:rFonts w:asciiTheme="minorBidi" w:hAnsiTheme="minorBidi"/>
        </w:rPr>
        <w:t xml:space="preserve"> dans le document de </w:t>
      </w:r>
      <w:r w:rsidR="00FF3A4E">
        <w:rPr>
          <w:rFonts w:asciiTheme="minorBidi" w:hAnsiTheme="minorBidi"/>
        </w:rPr>
        <w:t xml:space="preserve">référence </w:t>
      </w:r>
      <w:r w:rsidRPr="008A0032">
        <w:rPr>
          <w:rFonts w:asciiTheme="minorBidi" w:hAnsiTheme="minorBidi"/>
        </w:rPr>
        <w:t>(document </w:t>
      </w:r>
      <w:hyperlink r:id="rId9" w:history="1">
        <w:r w:rsidRPr="00C76350">
          <w:rPr>
            <w:rStyle w:val="Lienhypertexte"/>
            <w:rFonts w:asciiTheme="minorBidi" w:hAnsiTheme="minorBidi"/>
          </w:rPr>
          <w:t>LHE/21/EXP/2 Rev.4</w:t>
        </w:r>
      </w:hyperlink>
      <w:r w:rsidRPr="00C76350">
        <w:t>)</w:t>
      </w:r>
      <w:r w:rsidRPr="008A0032">
        <w:rPr>
          <w:rFonts w:asciiTheme="minorBidi" w:hAnsiTheme="minorBidi"/>
        </w:rPr>
        <w:t>,</w:t>
      </w:r>
      <w:r>
        <w:rPr>
          <w:rFonts w:asciiTheme="minorBidi" w:hAnsiTheme="minorBidi"/>
        </w:rPr>
        <w:t xml:space="preserve"> ce</w:t>
      </w:r>
      <w:r w:rsidR="008A0032">
        <w:rPr>
          <w:rFonts w:asciiTheme="minorBidi" w:hAnsiTheme="minorBidi"/>
        </w:rPr>
        <w:t xml:space="preserve">tte </w:t>
      </w:r>
      <w:r w:rsidR="008A0032">
        <w:rPr>
          <w:rFonts w:ascii="Arial" w:hAnsi="Arial"/>
        </w:rPr>
        <w:t xml:space="preserve">réunion </w:t>
      </w:r>
      <w:r>
        <w:rPr>
          <w:rFonts w:asciiTheme="minorBidi" w:hAnsiTheme="minorBidi"/>
        </w:rPr>
        <w:t>s’est inscrit</w:t>
      </w:r>
      <w:r w:rsidR="008A0032">
        <w:rPr>
          <w:rFonts w:asciiTheme="minorBidi" w:hAnsiTheme="minorBidi"/>
        </w:rPr>
        <w:t>e</w:t>
      </w:r>
      <w:r>
        <w:rPr>
          <w:rFonts w:asciiTheme="minorBidi" w:hAnsiTheme="minorBidi"/>
        </w:rPr>
        <w:t xml:space="preserve"> dans le cadre d’une consultation d’experts plus vaste en vue de contribuer à la réflexion globale sur les mécanismes d’inscription sur les listes de la Convention de 2003. </w:t>
      </w:r>
      <w:r>
        <w:rPr>
          <w:rFonts w:ascii="Arial" w:hAnsi="Arial"/>
          <w:snapToGrid w:val="0"/>
        </w:rPr>
        <w:t xml:space="preserve">L’objectif principal de </w:t>
      </w:r>
      <w:r w:rsidR="00196B3B">
        <w:rPr>
          <w:rFonts w:ascii="Arial" w:hAnsi="Arial"/>
          <w:snapToGrid w:val="0"/>
        </w:rPr>
        <w:t>la</w:t>
      </w:r>
      <w:r>
        <w:rPr>
          <w:rFonts w:ascii="Arial" w:hAnsi="Arial"/>
          <w:snapToGrid w:val="0"/>
        </w:rPr>
        <w:t xml:space="preserve"> réunion consistait tout particulièrement à jeter les bases pour le groupe de travail intergouvernemental </w:t>
      </w:r>
      <w:r w:rsidR="008A0032">
        <w:rPr>
          <w:rFonts w:ascii="Arial" w:hAnsi="Arial"/>
          <w:snapToGrid w:val="0"/>
        </w:rPr>
        <w:t xml:space="preserve">à composition non limitée </w:t>
      </w:r>
      <w:r>
        <w:rPr>
          <w:rFonts w:ascii="Arial" w:hAnsi="Arial"/>
          <w:snapToGrid w:val="0"/>
        </w:rPr>
        <w:t>(Partie I les 8 et 9 juillet 2021 et Partie II les 9 et 10 septembre 2021, réunions en ligne,</w:t>
      </w:r>
      <w:r w:rsidR="00196B3B">
        <w:rPr>
          <w:rFonts w:ascii="Arial" w:hAnsi="Arial"/>
          <w:snapToGrid w:val="0"/>
        </w:rPr>
        <w:t xml:space="preserve"> dont</w:t>
      </w:r>
      <w:r>
        <w:rPr>
          <w:rFonts w:ascii="Arial" w:hAnsi="Arial"/>
          <w:snapToGrid w:val="0"/>
        </w:rPr>
        <w:t xml:space="preserve"> les dates ont été modifiées après la réunion d’experts). </w:t>
      </w:r>
      <w:r>
        <w:rPr>
          <w:rFonts w:asciiTheme="minorBidi" w:hAnsiTheme="minorBidi"/>
        </w:rPr>
        <w:t xml:space="preserve">Conformément aux précédentes discussions intergouvernementales, notamment à l’occasion de la quatorzième session du </w:t>
      </w:r>
      <w:r w:rsidRPr="00196B3B">
        <w:rPr>
          <w:rFonts w:asciiTheme="minorBidi" w:hAnsiTheme="minorBidi"/>
        </w:rPr>
        <w:t>Comité (</w:t>
      </w:r>
      <w:r w:rsidRPr="00C76350">
        <w:rPr>
          <w:rFonts w:asciiTheme="minorBidi" w:hAnsiTheme="minorBidi"/>
        </w:rPr>
        <w:t>document </w:t>
      </w:r>
      <w:hyperlink r:id="rId10" w:history="1">
        <w:r w:rsidRPr="00C76350">
          <w:rPr>
            <w:rStyle w:val="Lienhypertexte"/>
            <w:rFonts w:asciiTheme="minorBidi" w:hAnsiTheme="minorBidi"/>
          </w:rPr>
          <w:t>LHE/19/14.COM/14</w:t>
        </w:r>
      </w:hyperlink>
      <w:r w:rsidRPr="00196B3B">
        <w:rPr>
          <w:rFonts w:asciiTheme="minorBidi" w:hAnsiTheme="minorBidi"/>
        </w:rPr>
        <w:t>),</w:t>
      </w:r>
      <w:r>
        <w:rPr>
          <w:rFonts w:asciiTheme="minorBidi" w:hAnsiTheme="minorBidi"/>
        </w:rPr>
        <w:t xml:space="preserve"> la réunion d’experts s’est structurée autour des quatre thèmes suivants :</w:t>
      </w:r>
    </w:p>
    <w:tbl>
      <w:tblPr>
        <w:tblStyle w:val="Grilledutableau"/>
        <w:tblW w:w="0" w:type="auto"/>
        <w:tblLook w:val="04A0" w:firstRow="1" w:lastRow="0" w:firstColumn="1" w:lastColumn="0" w:noHBand="0" w:noVBand="1"/>
      </w:tblPr>
      <w:tblGrid>
        <w:gridCol w:w="9350"/>
      </w:tblGrid>
      <w:tr w:rsidR="00A94222" w:rsidRPr="001813E4" w14:paraId="782A0F6B" w14:textId="77777777" w:rsidTr="00322673">
        <w:tc>
          <w:tcPr>
            <w:tcW w:w="9350" w:type="dxa"/>
            <w:shd w:val="clear" w:color="auto" w:fill="F2F2F2" w:themeFill="background1" w:themeFillShade="F2"/>
          </w:tcPr>
          <w:p w14:paraId="70E47828" w14:textId="7D494BD3" w:rsidR="00A94222" w:rsidRPr="001813E4" w:rsidRDefault="00A94222" w:rsidP="00322673">
            <w:pPr>
              <w:tabs>
                <w:tab w:val="left" w:pos="877"/>
              </w:tabs>
              <w:spacing w:before="120"/>
              <w:ind w:firstLine="593"/>
              <w:jc w:val="both"/>
              <w:rPr>
                <w:rFonts w:asciiTheme="minorBidi" w:hAnsiTheme="minorBidi" w:cstheme="minorBidi"/>
                <w:szCs w:val="22"/>
              </w:rPr>
            </w:pPr>
            <w:r>
              <w:rPr>
                <w:rFonts w:asciiTheme="minorBidi" w:hAnsiTheme="minorBidi"/>
              </w:rPr>
              <w:t>Thème A : Approche globale des mécanismes d’inscription sur les listes</w:t>
            </w:r>
          </w:p>
          <w:p w14:paraId="07E2880D" w14:textId="7FEEDD8D" w:rsidR="00A94222" w:rsidRPr="001813E4" w:rsidRDefault="00A94222" w:rsidP="00322673">
            <w:pPr>
              <w:tabs>
                <w:tab w:val="left" w:pos="877"/>
              </w:tabs>
              <w:spacing w:before="120"/>
              <w:ind w:firstLine="593"/>
              <w:jc w:val="both"/>
              <w:rPr>
                <w:rFonts w:asciiTheme="minorBidi" w:hAnsiTheme="minorBidi" w:cstheme="minorBidi"/>
                <w:szCs w:val="22"/>
              </w:rPr>
            </w:pPr>
            <w:r>
              <w:rPr>
                <w:rFonts w:asciiTheme="minorBidi" w:hAnsiTheme="minorBidi"/>
              </w:rPr>
              <w:t>Thème B : Questions relatives aux critères d’inscription</w:t>
            </w:r>
          </w:p>
          <w:p w14:paraId="188A1565" w14:textId="09B66CD4" w:rsidR="00A94222" w:rsidRPr="001813E4" w:rsidRDefault="00A94222" w:rsidP="00322673">
            <w:pPr>
              <w:tabs>
                <w:tab w:val="left" w:pos="877"/>
              </w:tabs>
              <w:spacing w:before="120"/>
              <w:ind w:firstLine="593"/>
              <w:jc w:val="both"/>
              <w:rPr>
                <w:rFonts w:asciiTheme="minorBidi" w:hAnsiTheme="minorBidi" w:cstheme="minorBidi"/>
                <w:szCs w:val="22"/>
              </w:rPr>
            </w:pPr>
            <w:r>
              <w:rPr>
                <w:rFonts w:asciiTheme="minorBidi" w:hAnsiTheme="minorBidi"/>
              </w:rPr>
              <w:t>Thème C : Questions relatives au suivi des éléments inscrits</w:t>
            </w:r>
          </w:p>
          <w:p w14:paraId="04637FCA" w14:textId="3679A535" w:rsidR="00A94222" w:rsidRPr="001813E4" w:rsidRDefault="00A94222" w:rsidP="00322673">
            <w:pPr>
              <w:tabs>
                <w:tab w:val="left" w:pos="877"/>
              </w:tabs>
              <w:spacing w:before="120"/>
              <w:ind w:firstLine="593"/>
              <w:jc w:val="both"/>
              <w:rPr>
                <w:rFonts w:asciiTheme="minorBidi" w:hAnsiTheme="minorBidi" w:cstheme="minorBidi"/>
                <w:szCs w:val="22"/>
              </w:rPr>
            </w:pPr>
            <w:r>
              <w:rPr>
                <w:rFonts w:asciiTheme="minorBidi" w:hAnsiTheme="minorBidi"/>
              </w:rPr>
              <w:t>Thème D : Méthodologie d’évaluation des candidatures</w:t>
            </w:r>
          </w:p>
        </w:tc>
      </w:tr>
    </w:tbl>
    <w:p w14:paraId="58F12EC2" w14:textId="562F99B1" w:rsidR="00A94222" w:rsidRPr="001813E4" w:rsidRDefault="00A94222" w:rsidP="00D0020D">
      <w:pPr>
        <w:spacing w:before="120"/>
        <w:jc w:val="both"/>
        <w:rPr>
          <w:rFonts w:asciiTheme="minorBidi" w:hAnsiTheme="minorBidi" w:cstheme="minorBidi"/>
          <w:szCs w:val="22"/>
        </w:rPr>
      </w:pPr>
      <w:r>
        <w:rPr>
          <w:rFonts w:asciiTheme="minorBidi" w:hAnsiTheme="minorBidi"/>
        </w:rPr>
        <w:t xml:space="preserve">3. Les participants étaient composés de trente-quatre experts dans le domaine de la sauvegarde du patrimoine vivant, provenant de toutes les régions du globe, dotés d’une expérience et d’une expertise spécifiques en matière de divers aspects des mécanismes d’inscription sur les listes de la Convention de 2003 (pour consulter la liste des participants, voir le </w:t>
      </w:r>
      <w:bookmarkStart w:id="0" w:name="_Hlk70090731"/>
      <w:r w:rsidRPr="00B9315B">
        <w:rPr>
          <w:rFonts w:asciiTheme="minorBidi" w:hAnsiTheme="minorBidi"/>
        </w:rPr>
        <w:t>document </w:t>
      </w:r>
      <w:hyperlink r:id="rId11" w:history="1">
        <w:r w:rsidRPr="00C76350">
          <w:rPr>
            <w:rStyle w:val="Lienhypertexte"/>
            <w:rFonts w:asciiTheme="minorBidi" w:hAnsiTheme="minorBidi"/>
          </w:rPr>
          <w:t>LHE/21/EXP/6</w:t>
        </w:r>
        <w:bookmarkEnd w:id="0"/>
        <w:r w:rsidRPr="00C76350">
          <w:rPr>
            <w:rStyle w:val="Lienhypertexte"/>
            <w:rFonts w:asciiTheme="minorBidi" w:hAnsiTheme="minorBidi"/>
          </w:rPr>
          <w:t xml:space="preserve"> Rev.5</w:t>
        </w:r>
      </w:hyperlink>
      <w:r>
        <w:rPr>
          <w:rFonts w:asciiTheme="minorBidi" w:hAnsiTheme="minorBidi"/>
        </w:rPr>
        <w:t xml:space="preserve">). En plus de représentants de centres de catégorie 2 de l’UNESCO dans le domaine du patrimoine culturel immatériel, </w:t>
      </w:r>
      <w:r w:rsidRPr="00C76350">
        <w:rPr>
          <w:rFonts w:asciiTheme="minorBidi" w:hAnsiTheme="minorBidi"/>
        </w:rPr>
        <w:t>environ vingt</w:t>
      </w:r>
      <w:r w:rsidRPr="00B9315B">
        <w:rPr>
          <w:rFonts w:asciiTheme="minorBidi" w:hAnsiTheme="minorBidi"/>
        </w:rPr>
        <w:t xml:space="preserve"> experts</w:t>
      </w:r>
      <w:r>
        <w:rPr>
          <w:rFonts w:asciiTheme="minorBidi" w:hAnsiTheme="minorBidi"/>
        </w:rPr>
        <w:t xml:space="preserve"> d’États ont également participé aux sessions plénières. La réunion </w:t>
      </w:r>
      <w:r>
        <w:rPr>
          <w:rFonts w:ascii="Arial" w:hAnsi="Arial"/>
        </w:rPr>
        <w:t>s’est tenue sous la forme d’une réunion de catégorie VI qui, selon le Règlement de l’UNESCO, implique que les experts ont participé en nom propre et non en tant que représentants de gouvernements ou d’organisations. Bien que les résultats de la réunion soient collectifs et non attribués personnellement à certains participants, il a été indiqué dans certains cas si une proposition a bénéficié d’un soutien vaste ou limité.</w:t>
      </w:r>
    </w:p>
    <w:p w14:paraId="379BA53D" w14:textId="4621998E" w:rsidR="00A94222" w:rsidRPr="001813E4" w:rsidRDefault="00A94222" w:rsidP="000C4763">
      <w:pPr>
        <w:pStyle w:val="Titre4"/>
        <w:spacing w:before="240"/>
        <w:ind w:left="426" w:hanging="426"/>
        <w:rPr>
          <w:rFonts w:asciiTheme="minorBidi" w:hAnsiTheme="minorBidi" w:cstheme="minorBidi"/>
          <w:color w:val="000000"/>
        </w:rPr>
      </w:pPr>
      <w:r>
        <w:rPr>
          <w:rFonts w:asciiTheme="minorBidi" w:hAnsiTheme="minorBidi"/>
          <w:color w:val="000000"/>
        </w:rPr>
        <w:t>II. Contexte de la réflexion (Partie I de la réunion – 7 mai 2021)</w:t>
      </w:r>
    </w:p>
    <w:p w14:paraId="691EF584" w14:textId="56C29984" w:rsidR="00A94222" w:rsidRPr="001813E4" w:rsidRDefault="00A94222" w:rsidP="00A94222">
      <w:pPr>
        <w:jc w:val="both"/>
        <w:rPr>
          <w:rFonts w:ascii="Arial" w:hAnsi="Arial" w:cs="Arial"/>
          <w:szCs w:val="22"/>
        </w:rPr>
      </w:pPr>
      <w:r>
        <w:rPr>
          <w:rFonts w:ascii="Arial" w:hAnsi="Arial"/>
        </w:rPr>
        <w:t xml:space="preserve">4. Lors de l’ouverture de la réunion en session plénière (Partie I), M. Tim Curtis, secrétaire de la Convention de 2003 Convention et </w:t>
      </w:r>
      <w:r w:rsidR="00F17A9E">
        <w:rPr>
          <w:rFonts w:ascii="Arial" w:hAnsi="Arial"/>
        </w:rPr>
        <w:t xml:space="preserve">chef </w:t>
      </w:r>
      <w:r>
        <w:rPr>
          <w:rFonts w:ascii="Arial" w:hAnsi="Arial"/>
        </w:rPr>
        <w:t>de l’Entité du patrimoine vivant de l’UNESCO, a présenté le contexte dans lequel s’inscrit la réunion d’experts (</w:t>
      </w:r>
      <w:hyperlink r:id="rId12" w:history="1">
        <w:r>
          <w:rPr>
            <w:rStyle w:val="Lienhypertexte"/>
            <w:rFonts w:ascii="Arial" w:hAnsi="Arial"/>
          </w:rPr>
          <w:t>présentation</w:t>
        </w:r>
      </w:hyperlink>
      <w:r>
        <w:rPr>
          <w:rFonts w:ascii="Arial" w:hAnsi="Arial"/>
        </w:rPr>
        <w:t xml:space="preserve">) et a </w:t>
      </w:r>
      <w:r>
        <w:rPr>
          <w:rFonts w:asciiTheme="minorBidi" w:hAnsiTheme="minorBidi"/>
        </w:rPr>
        <w:t>exposé</w:t>
      </w:r>
      <w:r>
        <w:rPr>
          <w:rFonts w:ascii="Arial" w:hAnsi="Arial"/>
        </w:rPr>
        <w:t xml:space="preserve"> la chronologie du processus de réflexion, les quatre thèmes de réflexion, ainsi que le programme et les objectifs de la réunion. Il </w:t>
      </w:r>
      <w:r w:rsidR="005B0AF7">
        <w:rPr>
          <w:rFonts w:ascii="Arial" w:hAnsi="Arial"/>
        </w:rPr>
        <w:t>a été souligné</w:t>
      </w:r>
      <w:r>
        <w:rPr>
          <w:rFonts w:ascii="Arial" w:hAnsi="Arial"/>
        </w:rPr>
        <w:t xml:space="preserve"> que les experts n’avaient pas été </w:t>
      </w:r>
      <w:r w:rsidR="005B0AF7">
        <w:rPr>
          <w:rFonts w:ascii="Arial" w:hAnsi="Arial"/>
        </w:rPr>
        <w:t xml:space="preserve">convoqués </w:t>
      </w:r>
      <w:r>
        <w:rPr>
          <w:rFonts w:ascii="Arial" w:hAnsi="Arial"/>
        </w:rPr>
        <w:t>dans le but de prendre des décisions ou de nécessairement atteindre un consensus, mais plutôt d’apporter leur point de vue sous la forme de recommandations pouvant inclure différentes options pour tous les thèmes à l’étude.</w:t>
      </w:r>
    </w:p>
    <w:p w14:paraId="007F305E" w14:textId="6CD891BD" w:rsidR="00A94222" w:rsidRPr="001813E4" w:rsidRDefault="00A94222" w:rsidP="00A94222">
      <w:pPr>
        <w:jc w:val="both"/>
        <w:rPr>
          <w:rFonts w:ascii="Arial" w:hAnsi="Arial" w:cs="Arial"/>
          <w:szCs w:val="22"/>
        </w:rPr>
      </w:pPr>
      <w:r>
        <w:rPr>
          <w:rFonts w:ascii="Arial" w:hAnsi="Arial"/>
        </w:rPr>
        <w:t>5. Ensuite, trois présentations ont suivi afin d’illustrer les problèmes rencontrés à l’heure actuelle dans le cadre des systèmes d’inscription sur les listes, accompagnées de quelques suggestions pour les résoudre :</w:t>
      </w:r>
    </w:p>
    <w:p w14:paraId="05679ECE" w14:textId="19AE00A2" w:rsidR="00A94222" w:rsidRPr="001813E4" w:rsidRDefault="00DA3F18" w:rsidP="00C5135B">
      <w:pPr>
        <w:pStyle w:val="Paragraphedeliste"/>
        <w:numPr>
          <w:ilvl w:val="0"/>
          <w:numId w:val="13"/>
        </w:numPr>
        <w:spacing w:before="120" w:after="0"/>
        <w:ind w:left="714" w:hanging="357"/>
        <w:contextualSpacing w:val="0"/>
        <w:jc w:val="both"/>
        <w:rPr>
          <w:rFonts w:asciiTheme="minorBidi" w:hAnsiTheme="minorBidi" w:cstheme="minorBidi"/>
          <w:szCs w:val="22"/>
        </w:rPr>
      </w:pPr>
      <w:r>
        <w:rPr>
          <w:rFonts w:ascii="Arial" w:hAnsi="Arial"/>
        </w:rPr>
        <w:t>La première présentation (</w:t>
      </w:r>
      <w:hyperlink r:id="rId13" w:history="1">
        <w:r>
          <w:rPr>
            <w:rStyle w:val="Lienhypertexte"/>
            <w:rFonts w:ascii="Arial" w:hAnsi="Arial"/>
          </w:rPr>
          <w:t>présentation</w:t>
        </w:r>
      </w:hyperlink>
      <w:r>
        <w:rPr>
          <w:rFonts w:ascii="Arial" w:hAnsi="Arial"/>
        </w:rPr>
        <w:t xml:space="preserve">) par M. Rieks Smeets, ancien secrétaire de la Convention de 2003, a permis d’exposer le document écrit par ce dernier dans le cadre de </w:t>
      </w:r>
      <w:r>
        <w:rPr>
          <w:rFonts w:ascii="Arial" w:hAnsi="Arial"/>
        </w:rPr>
        <w:lastRenderedPageBreak/>
        <w:t>la réunion d’experts, dans lequel il décrit les aspects des procédures historiques ayant mené à l’adoption de la Convention de 2003 et au</w:t>
      </w:r>
      <w:r w:rsidR="00764E84">
        <w:rPr>
          <w:rFonts w:ascii="Arial" w:hAnsi="Arial"/>
        </w:rPr>
        <w:t>x</w:t>
      </w:r>
      <w:r>
        <w:rPr>
          <w:rFonts w:ascii="Arial" w:hAnsi="Arial"/>
        </w:rPr>
        <w:t xml:space="preserve"> premi</w:t>
      </w:r>
      <w:r w:rsidR="00764E84">
        <w:rPr>
          <w:rFonts w:ascii="Arial" w:hAnsi="Arial"/>
        </w:rPr>
        <w:t xml:space="preserve">ères </w:t>
      </w:r>
      <w:r>
        <w:rPr>
          <w:rFonts w:ascii="Arial" w:hAnsi="Arial"/>
        </w:rPr>
        <w:t>Directives opérationnelles de la Convention (</w:t>
      </w:r>
      <w:r w:rsidRPr="00C76350">
        <w:rPr>
          <w:rFonts w:ascii="Arial" w:hAnsi="Arial"/>
        </w:rPr>
        <w:t>document </w:t>
      </w:r>
      <w:hyperlink r:id="rId14" w:history="1">
        <w:r w:rsidRPr="00C76350">
          <w:rPr>
            <w:rStyle w:val="Lienhypertexte"/>
            <w:rFonts w:ascii="Arial" w:hAnsi="Arial"/>
          </w:rPr>
          <w:t>LHE/21/EXP/3 Rev.3</w:t>
        </w:r>
      </w:hyperlink>
      <w:r w:rsidRPr="00B9315B">
        <w:rPr>
          <w:rFonts w:ascii="Arial" w:hAnsi="Arial"/>
        </w:rPr>
        <w:t>). Tout en mentionnant l</w:t>
      </w:r>
      <w:r w:rsidRPr="00F17A9E">
        <w:rPr>
          <w:rFonts w:ascii="Arial" w:hAnsi="Arial"/>
        </w:rPr>
        <w:t>es intentions des rédacteurs de ces textes normatifs, M Smeets a également</w:t>
      </w:r>
      <w:r>
        <w:rPr>
          <w:rFonts w:ascii="Arial" w:hAnsi="Arial"/>
        </w:rPr>
        <w:t xml:space="preserve"> souligné que le processus de réflexion pouvait apporter une tentative de modification de la relation entre les deux </w:t>
      </w:r>
      <w:r w:rsidR="00BF6B16">
        <w:rPr>
          <w:rFonts w:ascii="Arial" w:hAnsi="Arial"/>
        </w:rPr>
        <w:t>l</w:t>
      </w:r>
      <w:r>
        <w:rPr>
          <w:rFonts w:ascii="Arial" w:hAnsi="Arial"/>
        </w:rPr>
        <w:t xml:space="preserve">istes et le Registre afin d’établir un système plus ouvert et dynamique. Il a également estimé que le Comité ne tenait pas compte d’un très grand nombre de voix des communautés au cours de ses sessions, alors même que certaines dispositions de la Convention (article 8.4) et des Directives opérationnelles (paragraphe 89) permettent la consultation de </w:t>
      </w:r>
      <w:r w:rsidR="00AE57CC">
        <w:rPr>
          <w:rFonts w:ascii="Arial" w:hAnsi="Arial"/>
        </w:rPr>
        <w:t xml:space="preserve">détenteurs </w:t>
      </w:r>
      <w:r>
        <w:rPr>
          <w:rFonts w:ascii="Arial" w:hAnsi="Arial"/>
        </w:rPr>
        <w:t xml:space="preserve">et praticiens </w:t>
      </w:r>
      <w:r w:rsidR="00AE57CC">
        <w:rPr>
          <w:rFonts w:ascii="Arial" w:hAnsi="Arial"/>
        </w:rPr>
        <w:t xml:space="preserve">du </w:t>
      </w:r>
      <w:r>
        <w:rPr>
          <w:rFonts w:ascii="Arial" w:hAnsi="Arial"/>
        </w:rPr>
        <w:t xml:space="preserve">patrimoine vivant lors des réunions du Comité. Il a également été suggéré que le Comité veille à l’observation des exigences d’équité de la distribution géographique, conformément aux indications de divers textes </w:t>
      </w:r>
      <w:r w:rsidR="00AE57CC">
        <w:rPr>
          <w:rFonts w:ascii="Arial" w:hAnsi="Arial"/>
        </w:rPr>
        <w:t xml:space="preserve">fondamentaux </w:t>
      </w:r>
      <w:r>
        <w:rPr>
          <w:rFonts w:ascii="Arial" w:hAnsi="Arial"/>
        </w:rPr>
        <w:t>de la Convention.</w:t>
      </w:r>
    </w:p>
    <w:p w14:paraId="7344005D" w14:textId="0A4B70E1" w:rsidR="00A94222" w:rsidRPr="001813E4" w:rsidRDefault="00A94222" w:rsidP="00A94222">
      <w:pPr>
        <w:pStyle w:val="Paragraphedeliste"/>
        <w:numPr>
          <w:ilvl w:val="0"/>
          <w:numId w:val="13"/>
        </w:numPr>
        <w:spacing w:before="120" w:after="0"/>
        <w:ind w:left="714" w:hanging="357"/>
        <w:contextualSpacing w:val="0"/>
        <w:jc w:val="both"/>
        <w:rPr>
          <w:rFonts w:asciiTheme="minorBidi" w:hAnsiTheme="minorBidi" w:cstheme="minorBidi"/>
          <w:szCs w:val="22"/>
        </w:rPr>
      </w:pPr>
      <w:r>
        <w:rPr>
          <w:rFonts w:ascii="Arial" w:hAnsi="Arial"/>
        </w:rPr>
        <w:t xml:space="preserve">La deuxième </w:t>
      </w:r>
      <w:hyperlink r:id="rId15" w:history="1">
        <w:r>
          <w:rPr>
            <w:rStyle w:val="Lienhypertexte"/>
            <w:rFonts w:asciiTheme="minorBidi" w:hAnsiTheme="minorBidi"/>
          </w:rPr>
          <w:t>présentation</w:t>
        </w:r>
      </w:hyperlink>
      <w:r>
        <w:rPr>
          <w:rFonts w:asciiTheme="minorBidi" w:hAnsiTheme="minorBidi"/>
        </w:rPr>
        <w:t xml:space="preserve"> par Mme Eva Kuminková, ancienne membre de l’Organe d’évaluation (2016-2019) au nom de la Société ethnographique tchèque, a établi une synthèse des résultats d’une enquête en ligne et d’entre</w:t>
      </w:r>
      <w:r w:rsidR="00513788">
        <w:rPr>
          <w:rFonts w:asciiTheme="minorBidi" w:hAnsiTheme="minorBidi"/>
        </w:rPr>
        <w:t>tien</w:t>
      </w:r>
      <w:r>
        <w:rPr>
          <w:rFonts w:asciiTheme="minorBidi" w:hAnsiTheme="minorBidi"/>
        </w:rPr>
        <w:t xml:space="preserve">s </w:t>
      </w:r>
      <w:r w:rsidR="00513788">
        <w:rPr>
          <w:rFonts w:asciiTheme="minorBidi" w:hAnsiTheme="minorBidi"/>
        </w:rPr>
        <w:t>à</w:t>
      </w:r>
      <w:r>
        <w:rPr>
          <w:rFonts w:asciiTheme="minorBidi" w:hAnsiTheme="minorBidi"/>
        </w:rPr>
        <w:t xml:space="preserve"> petites échelles menés auprès de membres anciens et actuels de l’Organe d’évaluation</w:t>
      </w:r>
      <w:r w:rsidR="00422712">
        <w:rPr>
          <w:rFonts w:asciiTheme="minorBidi" w:hAnsiTheme="minorBidi"/>
        </w:rPr>
        <w:t xml:space="preserve">, </w:t>
      </w:r>
      <w:r w:rsidR="00422712" w:rsidRPr="00422712">
        <w:rPr>
          <w:rFonts w:asciiTheme="minorBidi" w:hAnsiTheme="minorBidi"/>
        </w:rPr>
        <w:t xml:space="preserve">y compris </w:t>
      </w:r>
      <w:r w:rsidR="00422712">
        <w:rPr>
          <w:rFonts w:asciiTheme="minorBidi" w:hAnsiTheme="minorBidi"/>
        </w:rPr>
        <w:t>d</w:t>
      </w:r>
      <w:r w:rsidR="00422712" w:rsidRPr="00422712">
        <w:rPr>
          <w:rFonts w:asciiTheme="minorBidi" w:hAnsiTheme="minorBidi"/>
        </w:rPr>
        <w:t>es anciens membre</w:t>
      </w:r>
      <w:r w:rsidR="00422712">
        <w:rPr>
          <w:rFonts w:asciiTheme="minorBidi" w:hAnsiTheme="minorBidi"/>
        </w:rPr>
        <w:t>s de l’O</w:t>
      </w:r>
      <w:r w:rsidR="00422712" w:rsidRPr="00422712">
        <w:rPr>
          <w:rFonts w:asciiTheme="minorBidi" w:hAnsiTheme="minorBidi"/>
        </w:rPr>
        <w:t>rgane subsidiaire et d</w:t>
      </w:r>
      <w:r w:rsidR="00422712">
        <w:rPr>
          <w:rFonts w:asciiTheme="minorBidi" w:hAnsiTheme="minorBidi"/>
        </w:rPr>
        <w:t>e l’Or</w:t>
      </w:r>
      <w:r w:rsidR="00422712" w:rsidRPr="00422712">
        <w:rPr>
          <w:rFonts w:asciiTheme="minorBidi" w:hAnsiTheme="minorBidi"/>
        </w:rPr>
        <w:t>gane consultati</w:t>
      </w:r>
      <w:r w:rsidR="00422712">
        <w:rPr>
          <w:rFonts w:asciiTheme="minorBidi" w:hAnsiTheme="minorBidi"/>
        </w:rPr>
        <w:t>f</w:t>
      </w:r>
      <w:r>
        <w:rPr>
          <w:rFonts w:asciiTheme="minorBidi" w:hAnsiTheme="minorBidi"/>
        </w:rPr>
        <w:t xml:space="preserve"> (document </w:t>
      </w:r>
      <w:hyperlink r:id="rId16" w:history="1">
        <w:r>
          <w:rPr>
            <w:rStyle w:val="Lienhypertexte"/>
            <w:rFonts w:asciiTheme="minorBidi" w:hAnsiTheme="minorBidi"/>
          </w:rPr>
          <w:t>LHE/21/EXP/4</w:t>
        </w:r>
      </w:hyperlink>
      <w:r>
        <w:rPr>
          <w:rFonts w:asciiTheme="minorBidi" w:hAnsiTheme="minorBidi"/>
        </w:rPr>
        <w:t>). Ces experts ont proposé certaines options (notamment la reformulation ou la suppression du critère R.2, tout en demandant à l’Organe d’évaluation de trouver des informations pertinentes dans le fichier) et ont soulevé différentes questions (par exemple, si le critère R.3 est nécessaire étant donné que la viabilité doit être assurée pour une inscription sur la Liste représentative). Il a également été rapporté que les membres de l’Organe d’évaluation ont suggéré de mener des études, notamment en ce qui concerne l’équilibre géographique et thématique des éléments inscrits sur la Liste représentative, et l’effet des inscriptions sur la Liste de sauvegarde urgente.</w:t>
      </w:r>
    </w:p>
    <w:p w14:paraId="12CEE8D6" w14:textId="358D2390" w:rsidR="00A94222" w:rsidRPr="001813E4" w:rsidRDefault="00A94222" w:rsidP="00A94222">
      <w:pPr>
        <w:pStyle w:val="Paragraphedeliste"/>
        <w:numPr>
          <w:ilvl w:val="0"/>
          <w:numId w:val="13"/>
        </w:numPr>
        <w:spacing w:before="120" w:after="0"/>
        <w:ind w:left="714" w:hanging="357"/>
        <w:contextualSpacing w:val="0"/>
        <w:jc w:val="both"/>
        <w:rPr>
          <w:rFonts w:asciiTheme="minorBidi" w:hAnsiTheme="minorBidi" w:cstheme="minorBidi"/>
          <w:szCs w:val="22"/>
        </w:rPr>
      </w:pPr>
      <w:r>
        <w:rPr>
          <w:rFonts w:asciiTheme="minorBidi" w:hAnsiTheme="minorBidi"/>
        </w:rPr>
        <w:t xml:space="preserve">La troisième et dernière présentation, par Mme Fumiko Ohinata, </w:t>
      </w:r>
      <w:r w:rsidR="00513788">
        <w:rPr>
          <w:rFonts w:asciiTheme="minorBidi" w:hAnsiTheme="minorBidi"/>
        </w:rPr>
        <w:t xml:space="preserve">cheffe </w:t>
      </w:r>
      <w:r>
        <w:rPr>
          <w:rFonts w:asciiTheme="minorBidi" w:hAnsiTheme="minorBidi"/>
        </w:rPr>
        <w:t>de l’Unité de gestion du programme de l’Entité du patrimoine vivant, a exposé une synthèse des résultats d’une enquête en ligne menée par le Secrétariat en mars et avril 2021 avant la réunion d’experts (document </w:t>
      </w:r>
      <w:hyperlink r:id="rId17" w:history="1">
        <w:r>
          <w:rPr>
            <w:rStyle w:val="Lienhypertexte"/>
            <w:rFonts w:asciiTheme="minorBidi" w:hAnsiTheme="minorBidi"/>
          </w:rPr>
          <w:t>LHE/21/EXP/5</w:t>
        </w:r>
      </w:hyperlink>
      <w:r>
        <w:rPr>
          <w:rFonts w:asciiTheme="minorBidi" w:hAnsiTheme="minorBidi"/>
        </w:rPr>
        <w:t xml:space="preserve">). L’objectif de cette enquête consistait à entreprendre une vaste consultation d’experts dotés d’une expérience dans divers aspects du système d’inscription sur les listes. Cette enquête composée de 44 questions était structurée selon les quatre thèmes de réflexion susmentionnés, </w:t>
      </w:r>
      <w:r w:rsidR="006F2FCA">
        <w:rPr>
          <w:rFonts w:asciiTheme="minorBidi" w:hAnsiTheme="minorBidi"/>
        </w:rPr>
        <w:t>afin de</w:t>
      </w:r>
      <w:r>
        <w:rPr>
          <w:rFonts w:asciiTheme="minorBidi" w:hAnsiTheme="minorBidi"/>
        </w:rPr>
        <w:t xml:space="preserve"> </w:t>
      </w:r>
      <w:r w:rsidR="006F2FCA">
        <w:rPr>
          <w:rFonts w:asciiTheme="minorBidi" w:hAnsiTheme="minorBidi"/>
        </w:rPr>
        <w:t>contribuer</w:t>
      </w:r>
      <w:r>
        <w:rPr>
          <w:rFonts w:asciiTheme="minorBidi" w:hAnsiTheme="minorBidi"/>
        </w:rPr>
        <w:t xml:space="preserve"> direct</w:t>
      </w:r>
      <w:r w:rsidR="006F2FCA">
        <w:rPr>
          <w:rFonts w:asciiTheme="minorBidi" w:hAnsiTheme="minorBidi"/>
        </w:rPr>
        <w:t>ement a</w:t>
      </w:r>
      <w:r>
        <w:rPr>
          <w:rFonts w:asciiTheme="minorBidi" w:hAnsiTheme="minorBidi"/>
        </w:rPr>
        <w:t xml:space="preserve">u processus de </w:t>
      </w:r>
      <w:r w:rsidR="006F2FCA">
        <w:rPr>
          <w:rFonts w:asciiTheme="minorBidi" w:hAnsiTheme="minorBidi"/>
        </w:rPr>
        <w:t xml:space="preserve">la </w:t>
      </w:r>
      <w:r>
        <w:rPr>
          <w:rFonts w:asciiTheme="minorBidi" w:hAnsiTheme="minorBidi"/>
        </w:rPr>
        <w:t>réflexion globale.</w:t>
      </w:r>
    </w:p>
    <w:p w14:paraId="26C70AF9" w14:textId="77777777" w:rsidR="00A94222" w:rsidRPr="001813E4" w:rsidRDefault="00A94222" w:rsidP="000C4763">
      <w:pPr>
        <w:pStyle w:val="Titre4"/>
        <w:spacing w:before="240"/>
        <w:ind w:left="426" w:hanging="426"/>
        <w:rPr>
          <w:rFonts w:asciiTheme="minorBidi" w:hAnsiTheme="minorBidi" w:cstheme="minorBidi"/>
          <w:color w:val="000000"/>
        </w:rPr>
      </w:pPr>
      <w:r>
        <w:rPr>
          <w:rFonts w:asciiTheme="minorBidi" w:hAnsiTheme="minorBidi"/>
          <w:color w:val="000000"/>
        </w:rPr>
        <w:t>III. Discussions des groupes de travail</w:t>
      </w:r>
    </w:p>
    <w:p w14:paraId="3CFCB2E5" w14:textId="45D57D4A" w:rsidR="00A94222" w:rsidRPr="001813E4" w:rsidRDefault="00A94222" w:rsidP="00A94222">
      <w:pPr>
        <w:jc w:val="both"/>
        <w:rPr>
          <w:rFonts w:asciiTheme="minorBidi" w:hAnsiTheme="minorBidi" w:cstheme="minorBidi"/>
          <w:szCs w:val="22"/>
        </w:rPr>
      </w:pPr>
      <w:r>
        <w:rPr>
          <w:rFonts w:ascii="Arial" w:hAnsi="Arial"/>
        </w:rPr>
        <w:t xml:space="preserve">6. Après la première session plénière, les experts ont été invités à rejoindre l’un des trois groupes de travail réunis en parallèle les 11, 18 et 20 mai 2021. Trois heures ont été allouées à chaque session des groupes de travail. La composition de chaque groupe, y compris le modérateur et le rapporteur, est indiquée en annexe du document de référence ; l’annexe a </w:t>
      </w:r>
      <w:r w:rsidRPr="00422712">
        <w:rPr>
          <w:rFonts w:ascii="Arial" w:hAnsi="Arial"/>
        </w:rPr>
        <w:t>été modifiée plusieurs fois afin de refléter la situation la plus récente en matière de participation des experts (</w:t>
      </w:r>
      <w:r w:rsidR="00D13A68">
        <w:rPr>
          <w:rFonts w:asciiTheme="minorBidi" w:hAnsiTheme="minorBidi"/>
        </w:rPr>
        <w:t>document </w:t>
      </w:r>
      <w:hyperlink r:id="rId18" w:history="1">
        <w:r w:rsidRPr="00C76350">
          <w:rPr>
            <w:rStyle w:val="Lienhypertexte"/>
            <w:rFonts w:asciiTheme="minorBidi" w:hAnsiTheme="minorBidi"/>
          </w:rPr>
          <w:t>LHE/21/EXP/2</w:t>
        </w:r>
        <w:r w:rsidR="002E6E89">
          <w:rPr>
            <w:rStyle w:val="Lienhypertexte"/>
            <w:rFonts w:asciiTheme="minorBidi" w:hAnsiTheme="minorBidi"/>
          </w:rPr>
          <w:t> </w:t>
        </w:r>
        <w:r w:rsidRPr="00C76350">
          <w:rPr>
            <w:rStyle w:val="Lienhypertexte"/>
            <w:rFonts w:asciiTheme="minorBidi" w:hAnsiTheme="minorBidi"/>
          </w:rPr>
          <w:t>Rev.4</w:t>
        </w:r>
      </w:hyperlink>
      <w:r w:rsidRPr="00422712">
        <w:rPr>
          <w:rFonts w:asciiTheme="minorBidi" w:hAnsiTheme="minorBidi"/>
        </w:rPr>
        <w:t>). La langue de travail était l’anglais pour les groupes 1 et 2, et le français pour le groupe 3. D’autre part, les sessions des groupes de travail ont eu lieu entièrement en ligne</w:t>
      </w:r>
      <w:r>
        <w:rPr>
          <w:rFonts w:asciiTheme="minorBidi" w:hAnsiTheme="minorBidi"/>
        </w:rPr>
        <w:t>, à l’aide</w:t>
      </w:r>
      <w:r w:rsidR="00422712">
        <w:rPr>
          <w:rFonts w:asciiTheme="minorBidi" w:hAnsiTheme="minorBidi"/>
        </w:rPr>
        <w:t xml:space="preserve"> de</w:t>
      </w:r>
      <w:r>
        <w:rPr>
          <w:rFonts w:asciiTheme="minorBidi" w:hAnsiTheme="minorBidi"/>
        </w:rPr>
        <w:t xml:space="preserve"> la plateforme Microsoft Teams, qui a permis une participation collective via des fichiers partagés. De plus, chaque groupe était assisté de deux membres du Secrétariat.</w:t>
      </w:r>
    </w:p>
    <w:p w14:paraId="3C9AD79D" w14:textId="4A17A2F5" w:rsidR="00A94222" w:rsidRPr="001813E4" w:rsidRDefault="00A94222" w:rsidP="00F50113">
      <w:pPr>
        <w:jc w:val="both"/>
        <w:rPr>
          <w:rFonts w:asciiTheme="minorBidi" w:hAnsiTheme="minorBidi" w:cstheme="minorBidi"/>
          <w:szCs w:val="22"/>
        </w:rPr>
      </w:pPr>
      <w:r>
        <w:rPr>
          <w:rFonts w:asciiTheme="minorBidi" w:hAnsiTheme="minorBidi"/>
        </w:rPr>
        <w:t xml:space="preserve">7. Il a été demandé aux trois groupes de discuter du thème A, car il concerne les approches </w:t>
      </w:r>
      <w:r>
        <w:rPr>
          <w:rFonts w:ascii="Arial" w:hAnsi="Arial"/>
        </w:rPr>
        <w:t>globales</w:t>
      </w:r>
      <w:r>
        <w:rPr>
          <w:rFonts w:asciiTheme="minorBidi" w:hAnsiTheme="minorBidi"/>
        </w:rPr>
        <w:t xml:space="preserve"> visant à améliorer le fonctionnement des mécanismes d’inscription sur les listes. De plus, chaque groupe s’est vu assigner un thème supplémentaire : ainsi le groupe 1 a discuté du thème B, le groupe 2 du thème C et le groupe 3 du thème D.</w:t>
      </w:r>
    </w:p>
    <w:p w14:paraId="1B4E6459" w14:textId="24255790" w:rsidR="00A94222" w:rsidRDefault="00A94222" w:rsidP="000C4763">
      <w:pPr>
        <w:pStyle w:val="Titre4"/>
        <w:spacing w:before="240"/>
        <w:ind w:left="426" w:hanging="426"/>
        <w:rPr>
          <w:rFonts w:asciiTheme="minorBidi" w:hAnsiTheme="minorBidi" w:cstheme="minorBidi"/>
          <w:color w:val="000000"/>
        </w:rPr>
      </w:pPr>
      <w:r>
        <w:rPr>
          <w:rFonts w:asciiTheme="minorBidi" w:hAnsiTheme="minorBidi"/>
          <w:color w:val="000000"/>
        </w:rPr>
        <w:t>IV. Discussions plénières (Partie II de la réunion – 26 et 27 mai 2021)</w:t>
      </w:r>
    </w:p>
    <w:p w14:paraId="74A21DBA" w14:textId="29993ABA" w:rsidR="00F50113" w:rsidRPr="0019419D" w:rsidRDefault="00F50113" w:rsidP="00F50113">
      <w:pPr>
        <w:jc w:val="both"/>
        <w:rPr>
          <w:rFonts w:ascii="Arial" w:hAnsi="Arial" w:cs="Arial"/>
          <w:szCs w:val="22"/>
        </w:rPr>
      </w:pPr>
      <w:r>
        <w:rPr>
          <w:rFonts w:asciiTheme="minorBidi" w:hAnsiTheme="minorBidi"/>
        </w:rPr>
        <w:t xml:space="preserve">8. Les rapports des trois groupes de travail, qui contenaient des réflexions et propositions détaillées par thème, ont été présentés par le rapporteur de chaque groupe au cours des sessions plénières tenues les 26 et 27 mai 2021 : Mme Masami Iwasaki (groupe 1), Mme Anita Vaivade (groupe 2) et </w:t>
      </w:r>
      <w:r>
        <w:rPr>
          <w:rFonts w:asciiTheme="minorBidi" w:hAnsiTheme="minorBidi"/>
        </w:rPr>
        <w:lastRenderedPageBreak/>
        <w:t xml:space="preserve">M. Ahmed Skounti (groupe 3). Le tableau ci-dessous fournit </w:t>
      </w:r>
      <w:r w:rsidR="00957FF4">
        <w:rPr>
          <w:rFonts w:asciiTheme="minorBidi" w:hAnsiTheme="minorBidi"/>
        </w:rPr>
        <w:t xml:space="preserve">les </w:t>
      </w:r>
      <w:r>
        <w:rPr>
          <w:rFonts w:asciiTheme="minorBidi" w:hAnsiTheme="minorBidi"/>
        </w:rPr>
        <w:t>lien</w:t>
      </w:r>
      <w:r w:rsidR="00957FF4">
        <w:rPr>
          <w:rFonts w:asciiTheme="minorBidi" w:hAnsiTheme="minorBidi"/>
        </w:rPr>
        <w:t>s</w:t>
      </w:r>
      <w:r>
        <w:rPr>
          <w:rFonts w:asciiTheme="minorBidi" w:hAnsiTheme="minorBidi"/>
        </w:rPr>
        <w:t xml:space="preserve"> vers chacun des rapports, </w:t>
      </w:r>
      <w:r w:rsidR="00957FF4">
        <w:rPr>
          <w:rFonts w:asciiTheme="minorBidi" w:hAnsiTheme="minorBidi"/>
        </w:rPr>
        <w:t xml:space="preserve">aussi </w:t>
      </w:r>
      <w:r>
        <w:rPr>
          <w:rFonts w:asciiTheme="minorBidi" w:hAnsiTheme="minorBidi"/>
        </w:rPr>
        <w:t xml:space="preserve">accessibles via la page web de la Convention concernant la réflexion </w:t>
      </w:r>
      <w:r w:rsidRPr="0019419D">
        <w:rPr>
          <w:rFonts w:ascii="Arial" w:hAnsi="Arial" w:cs="Arial"/>
        </w:rPr>
        <w:t>globale (</w:t>
      </w:r>
      <w:hyperlink r:id="rId19" w:history="1">
        <w:r w:rsidRPr="0019419D">
          <w:rPr>
            <w:rStyle w:val="Lienhypertexte"/>
            <w:rFonts w:ascii="Arial" w:hAnsi="Arial" w:cs="Arial"/>
          </w:rPr>
          <w:t>lien</w:t>
        </w:r>
      </w:hyperlink>
      <w:r w:rsidRPr="0019419D">
        <w:rPr>
          <w:rFonts w:ascii="Arial" w:hAnsi="Arial" w:cs="Arial"/>
        </w:rPr>
        <w:t>).</w:t>
      </w:r>
    </w:p>
    <w:tbl>
      <w:tblPr>
        <w:tblStyle w:val="Grilledutableau"/>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1921"/>
        <w:gridCol w:w="1921"/>
        <w:gridCol w:w="1922"/>
        <w:gridCol w:w="1922"/>
        <w:gridCol w:w="1922"/>
      </w:tblGrid>
      <w:tr w:rsidR="00062ECE" w:rsidRPr="00F50113" w14:paraId="69E9D60E" w14:textId="77777777" w:rsidTr="00F576FB">
        <w:tc>
          <w:tcPr>
            <w:tcW w:w="1921" w:type="dxa"/>
            <w:tcBorders>
              <w:top w:val="double" w:sz="4" w:space="0" w:color="auto"/>
              <w:left w:val="double" w:sz="4" w:space="0" w:color="auto"/>
              <w:bottom w:val="double" w:sz="4" w:space="0" w:color="auto"/>
              <w:right w:val="double" w:sz="4" w:space="0" w:color="auto"/>
            </w:tcBorders>
          </w:tcPr>
          <w:p w14:paraId="78C25F63" w14:textId="77777777" w:rsidR="000F192A" w:rsidRPr="00F50113" w:rsidRDefault="000F192A" w:rsidP="00752ACC">
            <w:pPr>
              <w:rPr>
                <w:rFonts w:asciiTheme="minorBidi" w:hAnsiTheme="minorBidi" w:cstheme="minorBidi"/>
                <w:lang w:eastAsia="en-US"/>
              </w:rPr>
            </w:pPr>
          </w:p>
        </w:tc>
        <w:tc>
          <w:tcPr>
            <w:tcW w:w="1921" w:type="dxa"/>
            <w:tcBorders>
              <w:top w:val="double" w:sz="4" w:space="0" w:color="auto"/>
              <w:left w:val="double" w:sz="4" w:space="0" w:color="auto"/>
              <w:bottom w:val="double" w:sz="4" w:space="0" w:color="auto"/>
              <w:right w:val="double" w:sz="4" w:space="0" w:color="auto"/>
            </w:tcBorders>
          </w:tcPr>
          <w:p w14:paraId="533EB17D" w14:textId="0B813539" w:rsidR="000F192A" w:rsidRPr="006A49D5" w:rsidRDefault="000F192A" w:rsidP="00752ACC">
            <w:pPr>
              <w:rPr>
                <w:rFonts w:asciiTheme="minorBidi" w:hAnsiTheme="minorBidi" w:cstheme="minorBidi"/>
                <w:b/>
                <w:bCs/>
              </w:rPr>
            </w:pPr>
            <w:r>
              <w:rPr>
                <w:rFonts w:asciiTheme="minorBidi" w:hAnsiTheme="minorBidi"/>
                <w:b/>
              </w:rPr>
              <w:t>Thème A</w:t>
            </w:r>
          </w:p>
        </w:tc>
        <w:tc>
          <w:tcPr>
            <w:tcW w:w="1922" w:type="dxa"/>
            <w:tcBorders>
              <w:top w:val="double" w:sz="4" w:space="0" w:color="auto"/>
              <w:left w:val="double" w:sz="4" w:space="0" w:color="auto"/>
              <w:bottom w:val="double" w:sz="4" w:space="0" w:color="auto"/>
              <w:right w:val="double" w:sz="4" w:space="0" w:color="auto"/>
            </w:tcBorders>
          </w:tcPr>
          <w:p w14:paraId="53D25738" w14:textId="782A344C" w:rsidR="000F192A" w:rsidRPr="006A49D5" w:rsidRDefault="000F192A" w:rsidP="00752ACC">
            <w:pPr>
              <w:rPr>
                <w:rFonts w:asciiTheme="minorBidi" w:hAnsiTheme="minorBidi" w:cstheme="minorBidi"/>
                <w:b/>
                <w:bCs/>
              </w:rPr>
            </w:pPr>
            <w:r>
              <w:rPr>
                <w:rFonts w:asciiTheme="minorBidi" w:hAnsiTheme="minorBidi"/>
                <w:b/>
              </w:rPr>
              <w:t>Thème B</w:t>
            </w:r>
          </w:p>
        </w:tc>
        <w:tc>
          <w:tcPr>
            <w:tcW w:w="1922" w:type="dxa"/>
            <w:tcBorders>
              <w:top w:val="double" w:sz="4" w:space="0" w:color="auto"/>
              <w:left w:val="double" w:sz="4" w:space="0" w:color="auto"/>
              <w:bottom w:val="double" w:sz="4" w:space="0" w:color="auto"/>
              <w:right w:val="double" w:sz="4" w:space="0" w:color="auto"/>
            </w:tcBorders>
          </w:tcPr>
          <w:p w14:paraId="4768DBBB" w14:textId="5CE63AB1" w:rsidR="000F192A" w:rsidRPr="006A49D5" w:rsidRDefault="000F192A" w:rsidP="00752ACC">
            <w:pPr>
              <w:rPr>
                <w:rFonts w:asciiTheme="minorBidi" w:hAnsiTheme="minorBidi" w:cstheme="minorBidi"/>
                <w:b/>
                <w:bCs/>
              </w:rPr>
            </w:pPr>
            <w:r>
              <w:rPr>
                <w:rFonts w:asciiTheme="minorBidi" w:hAnsiTheme="minorBidi"/>
                <w:b/>
              </w:rPr>
              <w:t>Thème C</w:t>
            </w:r>
          </w:p>
        </w:tc>
        <w:tc>
          <w:tcPr>
            <w:tcW w:w="1922" w:type="dxa"/>
            <w:tcBorders>
              <w:top w:val="double" w:sz="4" w:space="0" w:color="auto"/>
              <w:left w:val="double" w:sz="4" w:space="0" w:color="auto"/>
              <w:bottom w:val="double" w:sz="4" w:space="0" w:color="auto"/>
              <w:right w:val="double" w:sz="4" w:space="0" w:color="auto"/>
            </w:tcBorders>
          </w:tcPr>
          <w:p w14:paraId="1CC26D5A" w14:textId="1FAB21F8" w:rsidR="000F192A" w:rsidRPr="006A49D5" w:rsidRDefault="000F192A" w:rsidP="00752ACC">
            <w:pPr>
              <w:rPr>
                <w:rFonts w:asciiTheme="minorBidi" w:hAnsiTheme="minorBidi" w:cstheme="minorBidi"/>
                <w:b/>
                <w:bCs/>
              </w:rPr>
            </w:pPr>
            <w:r>
              <w:rPr>
                <w:rFonts w:asciiTheme="minorBidi" w:hAnsiTheme="minorBidi"/>
                <w:b/>
              </w:rPr>
              <w:t>Thème D</w:t>
            </w:r>
          </w:p>
        </w:tc>
      </w:tr>
      <w:tr w:rsidR="00062ECE" w:rsidRPr="00F50113" w14:paraId="272476A6" w14:textId="77777777" w:rsidTr="00F576FB">
        <w:tc>
          <w:tcPr>
            <w:tcW w:w="1921"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4AC5D869" w14:textId="64EE7BD6" w:rsidR="000F192A" w:rsidRPr="006A49D5" w:rsidRDefault="000F192A" w:rsidP="00752ACC">
            <w:pPr>
              <w:rPr>
                <w:rFonts w:asciiTheme="minorBidi" w:hAnsiTheme="minorBidi" w:cstheme="minorBidi"/>
                <w:b/>
                <w:bCs/>
              </w:rPr>
            </w:pPr>
            <w:r>
              <w:rPr>
                <w:rFonts w:asciiTheme="minorBidi" w:hAnsiTheme="minorBidi"/>
                <w:b/>
              </w:rPr>
              <w:t>Groupe 1</w:t>
            </w:r>
          </w:p>
        </w:tc>
        <w:tc>
          <w:tcPr>
            <w:tcW w:w="1921"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5B738D53" w14:textId="63AB6245" w:rsidR="000F192A" w:rsidRPr="00F50113" w:rsidRDefault="0019720E" w:rsidP="00752ACC">
            <w:pPr>
              <w:rPr>
                <w:rFonts w:asciiTheme="minorBidi" w:hAnsiTheme="minorBidi" w:cstheme="minorBidi"/>
              </w:rPr>
            </w:pPr>
            <w:hyperlink r:id="rId20" w:history="1">
              <w:r w:rsidR="00987C63" w:rsidRPr="00907CD8">
                <w:rPr>
                  <w:rStyle w:val="Lienhypertexte"/>
                  <w:rFonts w:asciiTheme="minorBidi" w:hAnsiTheme="minorBidi"/>
                </w:rPr>
                <w:t>Rapport</w:t>
              </w:r>
            </w:hyperlink>
          </w:p>
        </w:tc>
        <w:tc>
          <w:tcPr>
            <w:tcW w:w="1922"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30C219E" w14:textId="6735F156" w:rsidR="000F192A" w:rsidRPr="00F50113" w:rsidRDefault="0019720E" w:rsidP="00752ACC">
            <w:pPr>
              <w:rPr>
                <w:rFonts w:asciiTheme="minorBidi" w:hAnsiTheme="minorBidi" w:cstheme="minorBidi"/>
              </w:rPr>
            </w:pPr>
            <w:hyperlink r:id="rId21" w:history="1">
              <w:r w:rsidR="00987C63" w:rsidRPr="00907CD8">
                <w:rPr>
                  <w:rStyle w:val="Lienhypertexte"/>
                  <w:rFonts w:asciiTheme="minorBidi" w:hAnsiTheme="minorBidi"/>
                </w:rPr>
                <w:t>Rapport</w:t>
              </w:r>
            </w:hyperlink>
          </w:p>
        </w:tc>
        <w:tc>
          <w:tcPr>
            <w:tcW w:w="1922"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23726C56" w14:textId="669AB43C" w:rsidR="000F192A" w:rsidRPr="00F50113" w:rsidRDefault="00881075" w:rsidP="00CB0219">
            <w:pPr>
              <w:jc w:val="center"/>
              <w:rPr>
                <w:rFonts w:asciiTheme="minorBidi" w:hAnsiTheme="minorBidi" w:cstheme="minorBidi"/>
              </w:rPr>
            </w:pPr>
            <w:r>
              <w:rPr>
                <w:rFonts w:asciiTheme="minorBidi" w:hAnsiTheme="minorBidi"/>
              </w:rPr>
              <w:t>-</w:t>
            </w:r>
          </w:p>
        </w:tc>
        <w:tc>
          <w:tcPr>
            <w:tcW w:w="1922"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77B2F315" w14:textId="580145D3" w:rsidR="000F192A" w:rsidRPr="00F50113" w:rsidRDefault="00881075" w:rsidP="00CB0219">
            <w:pPr>
              <w:jc w:val="center"/>
              <w:rPr>
                <w:rFonts w:asciiTheme="minorBidi" w:hAnsiTheme="minorBidi" w:cstheme="minorBidi"/>
              </w:rPr>
            </w:pPr>
            <w:r>
              <w:rPr>
                <w:rFonts w:asciiTheme="minorBidi" w:hAnsiTheme="minorBidi"/>
              </w:rPr>
              <w:t>-</w:t>
            </w:r>
          </w:p>
        </w:tc>
      </w:tr>
      <w:tr w:rsidR="00062ECE" w:rsidRPr="00F50113" w14:paraId="015D0DAF" w14:textId="77777777" w:rsidTr="00F576FB">
        <w:tc>
          <w:tcPr>
            <w:tcW w:w="1921" w:type="dxa"/>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3CE88842" w14:textId="29177B97" w:rsidR="000F192A" w:rsidRPr="006A49D5" w:rsidRDefault="000F192A" w:rsidP="00752ACC">
            <w:pPr>
              <w:rPr>
                <w:rFonts w:asciiTheme="minorBidi" w:hAnsiTheme="minorBidi" w:cstheme="minorBidi"/>
                <w:b/>
                <w:bCs/>
              </w:rPr>
            </w:pPr>
            <w:r>
              <w:rPr>
                <w:rFonts w:asciiTheme="minorBidi" w:hAnsiTheme="minorBidi"/>
                <w:b/>
              </w:rPr>
              <w:t>Groupe 2</w:t>
            </w:r>
          </w:p>
        </w:tc>
        <w:tc>
          <w:tcPr>
            <w:tcW w:w="1921" w:type="dxa"/>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0452F8B7" w14:textId="42954AE1" w:rsidR="000F192A" w:rsidRPr="00F50113" w:rsidRDefault="0019720E" w:rsidP="00752ACC">
            <w:pPr>
              <w:rPr>
                <w:rFonts w:asciiTheme="minorBidi" w:hAnsiTheme="minorBidi" w:cstheme="minorBidi"/>
              </w:rPr>
            </w:pPr>
            <w:hyperlink r:id="rId22" w:history="1">
              <w:r w:rsidR="00987C63" w:rsidRPr="00907CD8">
                <w:rPr>
                  <w:rStyle w:val="Lienhypertexte"/>
                  <w:rFonts w:asciiTheme="minorBidi" w:hAnsiTheme="minorBidi"/>
                </w:rPr>
                <w:t>Rapport</w:t>
              </w:r>
            </w:hyperlink>
          </w:p>
        </w:tc>
        <w:tc>
          <w:tcPr>
            <w:tcW w:w="1922" w:type="dxa"/>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3FC03088" w14:textId="43E09C4C" w:rsidR="000F192A" w:rsidRPr="00F50113" w:rsidRDefault="00881075" w:rsidP="00CB0219">
            <w:pPr>
              <w:jc w:val="center"/>
              <w:rPr>
                <w:rFonts w:asciiTheme="minorBidi" w:hAnsiTheme="minorBidi" w:cstheme="minorBidi"/>
              </w:rPr>
            </w:pPr>
            <w:r>
              <w:rPr>
                <w:rFonts w:asciiTheme="minorBidi" w:hAnsiTheme="minorBidi"/>
              </w:rPr>
              <w:t>-</w:t>
            </w:r>
          </w:p>
        </w:tc>
        <w:tc>
          <w:tcPr>
            <w:tcW w:w="1922" w:type="dxa"/>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4B12A21B" w14:textId="7C4CC3A7" w:rsidR="000F192A" w:rsidRPr="00F50113" w:rsidRDefault="0019720E" w:rsidP="00752ACC">
            <w:pPr>
              <w:rPr>
                <w:rFonts w:asciiTheme="minorBidi" w:hAnsiTheme="minorBidi" w:cstheme="minorBidi"/>
              </w:rPr>
            </w:pPr>
            <w:hyperlink r:id="rId23" w:history="1">
              <w:r w:rsidR="00987C63" w:rsidRPr="00907CD8">
                <w:rPr>
                  <w:rStyle w:val="Lienhypertexte"/>
                  <w:rFonts w:asciiTheme="minorBidi" w:hAnsiTheme="minorBidi"/>
                </w:rPr>
                <w:t>Rapport</w:t>
              </w:r>
            </w:hyperlink>
          </w:p>
        </w:tc>
        <w:tc>
          <w:tcPr>
            <w:tcW w:w="1922" w:type="dxa"/>
            <w:tcBorders>
              <w:top w:val="double" w:sz="4" w:space="0" w:color="auto"/>
              <w:left w:val="double" w:sz="4" w:space="0" w:color="auto"/>
              <w:bottom w:val="double" w:sz="4" w:space="0" w:color="auto"/>
              <w:right w:val="double" w:sz="4" w:space="0" w:color="auto"/>
            </w:tcBorders>
            <w:shd w:val="clear" w:color="auto" w:fill="F2DBDB" w:themeFill="accent2" w:themeFillTint="33"/>
          </w:tcPr>
          <w:p w14:paraId="24E1B157" w14:textId="1AD8F7FD" w:rsidR="000F192A" w:rsidRPr="00F50113" w:rsidRDefault="00881075" w:rsidP="00752ACC">
            <w:pPr>
              <w:rPr>
                <w:rFonts w:asciiTheme="minorBidi" w:hAnsiTheme="minorBidi" w:cstheme="minorBidi"/>
              </w:rPr>
            </w:pPr>
            <w:r>
              <w:rPr>
                <w:rFonts w:asciiTheme="minorBidi" w:hAnsiTheme="minorBidi"/>
              </w:rPr>
              <w:t>-</w:t>
            </w:r>
          </w:p>
        </w:tc>
      </w:tr>
      <w:tr w:rsidR="00062ECE" w:rsidRPr="00F50113" w14:paraId="1E6D8B3B" w14:textId="77777777" w:rsidTr="00F576FB">
        <w:tc>
          <w:tcPr>
            <w:tcW w:w="1921"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69E29317" w14:textId="5600960C" w:rsidR="000F192A" w:rsidRPr="006A49D5" w:rsidRDefault="000F192A" w:rsidP="00752ACC">
            <w:pPr>
              <w:rPr>
                <w:rFonts w:asciiTheme="minorBidi" w:hAnsiTheme="minorBidi" w:cstheme="minorBidi"/>
                <w:b/>
                <w:bCs/>
              </w:rPr>
            </w:pPr>
            <w:r>
              <w:rPr>
                <w:rFonts w:asciiTheme="minorBidi" w:hAnsiTheme="minorBidi"/>
                <w:b/>
              </w:rPr>
              <w:t>Groupe 3</w:t>
            </w:r>
          </w:p>
        </w:tc>
        <w:tc>
          <w:tcPr>
            <w:tcW w:w="1921"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1D5BEF81" w14:textId="462DD6B0" w:rsidR="000F192A" w:rsidRPr="00F50113" w:rsidRDefault="0019720E" w:rsidP="00752ACC">
            <w:pPr>
              <w:rPr>
                <w:rFonts w:asciiTheme="minorBidi" w:hAnsiTheme="minorBidi" w:cstheme="minorBidi"/>
              </w:rPr>
            </w:pPr>
            <w:hyperlink r:id="rId24" w:history="1">
              <w:r w:rsidR="00987C63" w:rsidRPr="00907CD8">
                <w:rPr>
                  <w:rStyle w:val="Lienhypertexte"/>
                  <w:rFonts w:asciiTheme="minorBidi" w:hAnsiTheme="minorBidi"/>
                </w:rPr>
                <w:t>Rapport</w:t>
              </w:r>
            </w:hyperlink>
          </w:p>
        </w:tc>
        <w:tc>
          <w:tcPr>
            <w:tcW w:w="192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3431D31E" w14:textId="10AE595D" w:rsidR="000F192A" w:rsidRPr="00F50113" w:rsidRDefault="00881075" w:rsidP="00CB0219">
            <w:pPr>
              <w:jc w:val="center"/>
              <w:rPr>
                <w:rFonts w:asciiTheme="minorBidi" w:hAnsiTheme="minorBidi" w:cstheme="minorBidi"/>
              </w:rPr>
            </w:pPr>
            <w:r>
              <w:rPr>
                <w:rFonts w:asciiTheme="minorBidi" w:hAnsiTheme="minorBidi"/>
              </w:rPr>
              <w:t>-</w:t>
            </w:r>
          </w:p>
        </w:tc>
        <w:tc>
          <w:tcPr>
            <w:tcW w:w="192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767CEB34" w14:textId="0BA6FDF5" w:rsidR="000F192A" w:rsidRPr="00F50113" w:rsidRDefault="00881075" w:rsidP="00CB0219">
            <w:pPr>
              <w:jc w:val="center"/>
              <w:rPr>
                <w:rFonts w:asciiTheme="minorBidi" w:hAnsiTheme="minorBidi" w:cstheme="minorBidi"/>
              </w:rPr>
            </w:pPr>
            <w:r>
              <w:rPr>
                <w:rFonts w:asciiTheme="minorBidi" w:hAnsiTheme="minorBidi"/>
              </w:rPr>
              <w:t>-</w:t>
            </w:r>
          </w:p>
        </w:tc>
        <w:tc>
          <w:tcPr>
            <w:tcW w:w="192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31582AC5" w14:textId="0EAEAE6A" w:rsidR="000F192A" w:rsidRPr="00F50113" w:rsidRDefault="0019720E" w:rsidP="00752ACC">
            <w:pPr>
              <w:rPr>
                <w:rFonts w:asciiTheme="minorBidi" w:hAnsiTheme="minorBidi" w:cstheme="minorBidi"/>
              </w:rPr>
            </w:pPr>
            <w:hyperlink r:id="rId25" w:history="1">
              <w:r w:rsidR="0083680E" w:rsidRPr="00907CD8">
                <w:rPr>
                  <w:rStyle w:val="Lienhypertexte"/>
                  <w:rFonts w:asciiTheme="minorBidi" w:hAnsiTheme="minorBidi"/>
                </w:rPr>
                <w:t>Rapport</w:t>
              </w:r>
            </w:hyperlink>
          </w:p>
        </w:tc>
      </w:tr>
    </w:tbl>
    <w:p w14:paraId="25BCA067" w14:textId="36151AC6" w:rsidR="00E755AD" w:rsidRDefault="00B27729" w:rsidP="00C5751C">
      <w:pPr>
        <w:spacing w:before="240"/>
        <w:jc w:val="both"/>
        <w:rPr>
          <w:rFonts w:asciiTheme="minorBidi" w:hAnsiTheme="minorBidi"/>
        </w:rPr>
      </w:pPr>
      <w:r>
        <w:rPr>
          <w:rFonts w:asciiTheme="minorBidi" w:hAnsiTheme="minorBidi"/>
        </w:rPr>
        <w:t>9. Les experts ont ensuite évoqué les propositions principales pour chaque thème de réflexion. Pour la discussion concernant le thème A, M. Tim Curtis a fait office de modérateur, tandis que les sessions concernant les thèmes B, C et D ont été guidées par le modérateur respectif de chaque groupe : M Marc Jacob</w:t>
      </w:r>
      <w:r w:rsidR="00A50181">
        <w:rPr>
          <w:rFonts w:asciiTheme="minorBidi" w:hAnsiTheme="minorBidi"/>
        </w:rPr>
        <w:t>s</w:t>
      </w:r>
      <w:r>
        <w:rPr>
          <w:rFonts w:asciiTheme="minorBidi" w:hAnsiTheme="minorBidi"/>
        </w:rPr>
        <w:t xml:space="preserve"> (groupe 1), Mme Alissandra Cummins (groupe 2) et M. Léonce Ki (groupe 3). Les sessions plénières de la Partie II de la réunion ont permis aux experts de fournir des explications détaillées concernant les points qu’ils souhaitaient </w:t>
      </w:r>
      <w:r w:rsidR="00D3700B">
        <w:rPr>
          <w:rFonts w:asciiTheme="minorBidi" w:hAnsiTheme="minorBidi"/>
        </w:rPr>
        <w:t xml:space="preserve">mettre en évidence </w:t>
      </w:r>
      <w:r>
        <w:rPr>
          <w:rFonts w:asciiTheme="minorBidi" w:hAnsiTheme="minorBidi"/>
        </w:rPr>
        <w:t xml:space="preserve">ou </w:t>
      </w:r>
      <w:r w:rsidR="00D3700B">
        <w:rPr>
          <w:rFonts w:asciiTheme="minorBidi" w:hAnsiTheme="minorBidi"/>
        </w:rPr>
        <w:t xml:space="preserve">commenter et de fournir un retour sur </w:t>
      </w:r>
      <w:r>
        <w:rPr>
          <w:rFonts w:asciiTheme="minorBidi" w:hAnsiTheme="minorBidi"/>
        </w:rPr>
        <w:t xml:space="preserve">les </w:t>
      </w:r>
      <w:r w:rsidR="00D3700B">
        <w:rPr>
          <w:rFonts w:asciiTheme="minorBidi" w:hAnsiTheme="minorBidi"/>
        </w:rPr>
        <w:t>questions soulevées et les</w:t>
      </w:r>
      <w:r>
        <w:rPr>
          <w:rFonts w:asciiTheme="minorBidi" w:hAnsiTheme="minorBidi"/>
        </w:rPr>
        <w:t xml:space="preserve"> recommandations </w:t>
      </w:r>
      <w:r w:rsidR="00712CBB">
        <w:rPr>
          <w:rFonts w:asciiTheme="minorBidi" w:hAnsiTheme="minorBidi"/>
        </w:rPr>
        <w:t xml:space="preserve">formulées </w:t>
      </w:r>
      <w:r>
        <w:rPr>
          <w:rFonts w:asciiTheme="minorBidi" w:hAnsiTheme="minorBidi"/>
        </w:rPr>
        <w:t xml:space="preserve">pour les thèmes </w:t>
      </w:r>
      <w:r w:rsidR="00712CBB">
        <w:rPr>
          <w:rFonts w:asciiTheme="minorBidi" w:hAnsiTheme="minorBidi"/>
        </w:rPr>
        <w:t xml:space="preserve">sur lesquels </w:t>
      </w:r>
      <w:r>
        <w:rPr>
          <w:rFonts w:asciiTheme="minorBidi" w:hAnsiTheme="minorBidi"/>
        </w:rPr>
        <w:t xml:space="preserve">leur groupe n’avait pas </w:t>
      </w:r>
      <w:r w:rsidR="00712CBB">
        <w:rPr>
          <w:rFonts w:asciiTheme="minorBidi" w:hAnsiTheme="minorBidi"/>
        </w:rPr>
        <w:t>travaillé</w:t>
      </w:r>
      <w:r>
        <w:rPr>
          <w:rFonts w:asciiTheme="minorBidi" w:hAnsiTheme="minorBidi"/>
        </w:rPr>
        <w:t>.</w:t>
      </w:r>
    </w:p>
    <w:p w14:paraId="11062C54" w14:textId="34AED0E9" w:rsidR="00BF531C" w:rsidRDefault="004D6C17">
      <w:pPr>
        <w:spacing w:before="240"/>
        <w:jc w:val="both"/>
        <w:rPr>
          <w:rFonts w:asciiTheme="minorBidi" w:hAnsiTheme="minorBidi" w:cstheme="minorBidi"/>
        </w:rPr>
      </w:pPr>
      <w:r>
        <w:rPr>
          <w:rFonts w:asciiTheme="minorBidi" w:hAnsiTheme="minorBidi"/>
        </w:rPr>
        <w:t>10. D’une manière consensuelle, les experts ont souligné à plusieurs reprises l’importance de rendre le système d’inscription sur les listes plus directement accessible aux communautés, et ont insisté sur le fait qu’une telle réforme doit être effectuée de façon à faciliter la participation de ces dernières au cours des différentes étapes de la procédure d’inscription sur les listes. À cet égard, parmi les propositions spécifiques formulées par les experts figurent (</w:t>
      </w:r>
      <w:r w:rsidR="00205F42">
        <w:rPr>
          <w:rFonts w:asciiTheme="minorBidi" w:hAnsiTheme="minorBidi"/>
        </w:rPr>
        <w:t>a</w:t>
      </w:r>
      <w:r>
        <w:rPr>
          <w:rFonts w:asciiTheme="minorBidi" w:hAnsiTheme="minorBidi"/>
        </w:rPr>
        <w:t>) l’utilisation de la langue de la communauté dans la préparation des candidatures ; (</w:t>
      </w:r>
      <w:r w:rsidR="00205F42">
        <w:rPr>
          <w:rFonts w:asciiTheme="minorBidi" w:hAnsiTheme="minorBidi"/>
        </w:rPr>
        <w:t>b</w:t>
      </w:r>
      <w:r>
        <w:rPr>
          <w:rFonts w:asciiTheme="minorBidi" w:hAnsiTheme="minorBidi"/>
        </w:rPr>
        <w:t>) l’utilisation d’outils audiovisuels pour la mise à disposition des informations requises dans les formulaires de candidature et la communication de préoccupations ; (</w:t>
      </w:r>
      <w:r w:rsidR="00205F42">
        <w:rPr>
          <w:rFonts w:asciiTheme="minorBidi" w:hAnsiTheme="minorBidi"/>
        </w:rPr>
        <w:t>c</w:t>
      </w:r>
      <w:r>
        <w:rPr>
          <w:rFonts w:asciiTheme="minorBidi" w:hAnsiTheme="minorBidi"/>
        </w:rPr>
        <w:t>) l’établissement d’un organ</w:t>
      </w:r>
      <w:r w:rsidR="0019720E">
        <w:rPr>
          <w:rFonts w:asciiTheme="minorBidi" w:hAnsiTheme="minorBidi"/>
        </w:rPr>
        <w:t>isme</w:t>
      </w:r>
      <w:r>
        <w:rPr>
          <w:rFonts w:asciiTheme="minorBidi" w:hAnsiTheme="minorBidi"/>
        </w:rPr>
        <w:t xml:space="preserve"> </w:t>
      </w:r>
      <w:r w:rsidR="0019720E">
        <w:rPr>
          <w:rFonts w:asciiTheme="minorBidi" w:hAnsiTheme="minorBidi"/>
        </w:rPr>
        <w:t>indépendant</w:t>
      </w:r>
      <w:r>
        <w:rPr>
          <w:rFonts w:asciiTheme="minorBidi" w:hAnsiTheme="minorBidi"/>
        </w:rPr>
        <w:t xml:space="preserve"> impliquant la participation des communautés</w:t>
      </w:r>
      <w:r w:rsidR="00205F42">
        <w:rPr>
          <w:rFonts w:asciiTheme="minorBidi" w:hAnsiTheme="minorBidi"/>
        </w:rPr>
        <w:t xml:space="preserve"> afin de suivre</w:t>
      </w:r>
      <w:r>
        <w:rPr>
          <w:rFonts w:asciiTheme="minorBidi" w:hAnsiTheme="minorBidi"/>
        </w:rPr>
        <w:t xml:space="preserve"> la viabilité des éléments inscrits</w:t>
      </w:r>
      <w:r w:rsidR="00205F42">
        <w:rPr>
          <w:rFonts w:asciiTheme="minorBidi" w:hAnsiTheme="minorBidi"/>
        </w:rPr>
        <w:t> ;</w:t>
      </w:r>
      <w:r>
        <w:rPr>
          <w:rFonts w:asciiTheme="minorBidi" w:hAnsiTheme="minorBidi"/>
        </w:rPr>
        <w:t>(</w:t>
      </w:r>
      <w:r w:rsidR="00205F42">
        <w:rPr>
          <w:rFonts w:asciiTheme="minorBidi" w:hAnsiTheme="minorBidi"/>
        </w:rPr>
        <w:t>d</w:t>
      </w:r>
      <w:r>
        <w:rPr>
          <w:rFonts w:asciiTheme="minorBidi" w:hAnsiTheme="minorBidi"/>
        </w:rPr>
        <w:t xml:space="preserve">) </w:t>
      </w:r>
      <w:r w:rsidR="00205F42">
        <w:rPr>
          <w:rFonts w:asciiTheme="minorBidi" w:hAnsiTheme="minorBidi"/>
        </w:rPr>
        <w:t xml:space="preserve">le développement </w:t>
      </w:r>
      <w:r>
        <w:rPr>
          <w:rFonts w:asciiTheme="minorBidi" w:hAnsiTheme="minorBidi"/>
        </w:rPr>
        <w:t>d’un réseau d’éléments inscrits pour le partage d’expériences en matière de sauvegarde ; et (</w:t>
      </w:r>
      <w:r w:rsidR="00205F42">
        <w:rPr>
          <w:rFonts w:asciiTheme="minorBidi" w:hAnsiTheme="minorBidi"/>
        </w:rPr>
        <w:t>e</w:t>
      </w:r>
      <w:r>
        <w:rPr>
          <w:rFonts w:asciiTheme="minorBidi" w:hAnsiTheme="minorBidi"/>
        </w:rPr>
        <w:t xml:space="preserve">) </w:t>
      </w:r>
      <w:r>
        <w:rPr>
          <w:rFonts w:asciiTheme="minorBidi" w:hAnsiTheme="minorBidi"/>
          <w:snapToGrid w:val="0"/>
        </w:rPr>
        <w:t xml:space="preserve">la création d’un forum spécialisé permettant aux </w:t>
      </w:r>
      <w:r w:rsidR="00463FD1">
        <w:rPr>
          <w:rFonts w:asciiTheme="minorBidi" w:hAnsiTheme="minorBidi"/>
          <w:snapToGrid w:val="0"/>
        </w:rPr>
        <w:t>organes directeurs</w:t>
      </w:r>
      <w:r>
        <w:rPr>
          <w:rFonts w:asciiTheme="minorBidi" w:hAnsiTheme="minorBidi"/>
          <w:snapToGrid w:val="0"/>
        </w:rPr>
        <w:t xml:space="preserve"> de la Convention de consulter de manière systématique </w:t>
      </w:r>
      <w:r w:rsidR="00205F42">
        <w:rPr>
          <w:rFonts w:asciiTheme="minorBidi" w:hAnsiTheme="minorBidi"/>
          <w:snapToGrid w:val="0"/>
        </w:rPr>
        <w:t>les</w:t>
      </w:r>
      <w:r>
        <w:rPr>
          <w:rFonts w:asciiTheme="minorBidi" w:hAnsiTheme="minorBidi"/>
          <w:snapToGrid w:val="0"/>
        </w:rPr>
        <w:t xml:space="preserve"> représentant</w:t>
      </w:r>
      <w:r w:rsidR="00205F42">
        <w:rPr>
          <w:rFonts w:asciiTheme="minorBidi" w:hAnsiTheme="minorBidi"/>
          <w:snapToGrid w:val="0"/>
        </w:rPr>
        <w:t>s</w:t>
      </w:r>
      <w:r>
        <w:rPr>
          <w:rFonts w:asciiTheme="minorBidi" w:hAnsiTheme="minorBidi"/>
          <w:snapToGrid w:val="0"/>
        </w:rPr>
        <w:t xml:space="preserve"> des communautés concernées</w:t>
      </w:r>
      <w:r>
        <w:rPr>
          <w:rFonts w:asciiTheme="minorBidi" w:hAnsiTheme="minorBidi"/>
        </w:rPr>
        <w:t>. Il a également été clairement établi que les parties intéressées auprès de la Convention vivent de plus en plus de frustrations en ce qui concerne le système d’inscription sur les listes et qu’une réforme est non seulement pertinente, mais également urgente.</w:t>
      </w:r>
    </w:p>
    <w:p w14:paraId="5CE46759" w14:textId="3916D71B" w:rsidR="00AA3A11" w:rsidRDefault="00BF531C" w:rsidP="00AA3A11">
      <w:pPr>
        <w:spacing w:before="240"/>
        <w:jc w:val="both"/>
        <w:rPr>
          <w:rFonts w:asciiTheme="minorBidi" w:hAnsiTheme="minorBidi" w:cstheme="minorBidi"/>
        </w:rPr>
      </w:pPr>
      <w:r>
        <w:rPr>
          <w:rFonts w:asciiTheme="minorBidi" w:hAnsiTheme="minorBidi"/>
        </w:rPr>
        <w:t>11. D’une manière générale, les suggestions</w:t>
      </w:r>
      <w:r w:rsidR="000556E5">
        <w:rPr>
          <w:rFonts w:asciiTheme="minorBidi" w:hAnsiTheme="minorBidi"/>
        </w:rPr>
        <w:t xml:space="preserve"> et</w:t>
      </w:r>
      <w:r>
        <w:rPr>
          <w:rFonts w:asciiTheme="minorBidi" w:hAnsiTheme="minorBidi"/>
        </w:rPr>
        <w:t xml:space="preserve"> propositions envisagées par les experts ne forment pas de solutions définitives ; l’objectif de la consultation d’experts n’était pas de parvenir à un accord sur tous les points de réflexion. Le</w:t>
      </w:r>
      <w:r w:rsidR="000556E5">
        <w:rPr>
          <w:rFonts w:asciiTheme="minorBidi" w:hAnsiTheme="minorBidi"/>
        </w:rPr>
        <w:t>s</w:t>
      </w:r>
      <w:r>
        <w:rPr>
          <w:rFonts w:asciiTheme="minorBidi" w:hAnsiTheme="minorBidi"/>
        </w:rPr>
        <w:t xml:space="preserve"> point</w:t>
      </w:r>
      <w:r w:rsidR="000556E5">
        <w:rPr>
          <w:rFonts w:asciiTheme="minorBidi" w:hAnsiTheme="minorBidi"/>
        </w:rPr>
        <w:t>s</w:t>
      </w:r>
      <w:r>
        <w:rPr>
          <w:rFonts w:asciiTheme="minorBidi" w:hAnsiTheme="minorBidi"/>
        </w:rPr>
        <w:t xml:space="preserve"> de vue des différents experts </w:t>
      </w:r>
      <w:r w:rsidR="000556E5">
        <w:rPr>
          <w:rFonts w:asciiTheme="minorBidi" w:hAnsiTheme="minorBidi"/>
        </w:rPr>
        <w:t xml:space="preserve">pourraient </w:t>
      </w:r>
      <w:r>
        <w:rPr>
          <w:rFonts w:asciiTheme="minorBidi" w:hAnsiTheme="minorBidi"/>
        </w:rPr>
        <w:t xml:space="preserve">cependant </w:t>
      </w:r>
      <w:r w:rsidR="000556E5">
        <w:rPr>
          <w:rFonts w:asciiTheme="minorBidi" w:hAnsiTheme="minorBidi"/>
        </w:rPr>
        <w:t>être</w:t>
      </w:r>
      <w:r>
        <w:rPr>
          <w:rFonts w:asciiTheme="minorBidi" w:hAnsiTheme="minorBidi"/>
        </w:rPr>
        <w:t xml:space="preserve"> résum</w:t>
      </w:r>
      <w:r w:rsidR="000556E5">
        <w:rPr>
          <w:rFonts w:asciiTheme="minorBidi" w:hAnsiTheme="minorBidi"/>
        </w:rPr>
        <w:t xml:space="preserve">és en </w:t>
      </w:r>
      <w:r>
        <w:rPr>
          <w:rFonts w:asciiTheme="minorBidi" w:hAnsiTheme="minorBidi"/>
        </w:rPr>
        <w:t>quatre approches :</w:t>
      </w:r>
    </w:p>
    <w:p w14:paraId="26721692" w14:textId="0BDC803E" w:rsidR="0058381D" w:rsidRDefault="0058381D" w:rsidP="007B1F36">
      <w:pPr>
        <w:spacing w:before="240"/>
        <w:ind w:left="567"/>
        <w:jc w:val="both"/>
        <w:rPr>
          <w:rFonts w:asciiTheme="minorBidi" w:hAnsiTheme="minorBidi" w:cstheme="minorBidi"/>
        </w:rPr>
      </w:pPr>
      <w:r>
        <w:rPr>
          <w:rFonts w:asciiTheme="minorBidi" w:hAnsiTheme="minorBidi"/>
        </w:rPr>
        <w:t>(</w:t>
      </w:r>
      <w:r w:rsidR="00CA1B0A">
        <w:rPr>
          <w:rFonts w:asciiTheme="minorBidi" w:hAnsiTheme="minorBidi"/>
        </w:rPr>
        <w:t>a</w:t>
      </w:r>
      <w:r>
        <w:rPr>
          <w:rFonts w:asciiTheme="minorBidi" w:hAnsiTheme="minorBidi"/>
        </w:rPr>
        <w:t>) l’approche d’« </w:t>
      </w:r>
      <w:r>
        <w:rPr>
          <w:rFonts w:asciiTheme="minorBidi" w:hAnsiTheme="minorBidi"/>
          <w:b/>
        </w:rPr>
        <w:t>ajustement</w:t>
      </w:r>
      <w:r>
        <w:rPr>
          <w:rFonts w:asciiTheme="minorBidi" w:hAnsiTheme="minorBidi"/>
        </w:rPr>
        <w:t> », qui souligne les bénéfices du système actuel d’inscription sur les listes, tout en estimant que des améliorations pourraient être apportées à l’aide d’un ensemble d’ajustements mineurs, par exemple la reformulation des critères, la révision des formulaires et la clarification de certaines procédures ;</w:t>
      </w:r>
    </w:p>
    <w:p w14:paraId="19A72E8F" w14:textId="4E3C703E" w:rsidR="0058381D" w:rsidRDefault="0058381D" w:rsidP="007B1F36">
      <w:pPr>
        <w:spacing w:before="240"/>
        <w:ind w:left="567"/>
        <w:jc w:val="both"/>
        <w:rPr>
          <w:rFonts w:asciiTheme="minorBidi" w:hAnsiTheme="minorBidi" w:cstheme="minorBidi"/>
        </w:rPr>
      </w:pPr>
      <w:r>
        <w:rPr>
          <w:rFonts w:asciiTheme="minorBidi" w:hAnsiTheme="minorBidi"/>
        </w:rPr>
        <w:t>(</w:t>
      </w:r>
      <w:r w:rsidR="00CA1B0A">
        <w:rPr>
          <w:rFonts w:asciiTheme="minorBidi" w:hAnsiTheme="minorBidi"/>
        </w:rPr>
        <w:t>b</w:t>
      </w:r>
      <w:r>
        <w:rPr>
          <w:rFonts w:asciiTheme="minorBidi" w:hAnsiTheme="minorBidi"/>
        </w:rPr>
        <w:t>) l’approche de « </w:t>
      </w:r>
      <w:r>
        <w:rPr>
          <w:rFonts w:asciiTheme="minorBidi" w:hAnsiTheme="minorBidi"/>
          <w:b/>
        </w:rPr>
        <w:t>repositionnement</w:t>
      </w:r>
      <w:r>
        <w:rPr>
          <w:rFonts w:asciiTheme="minorBidi" w:hAnsiTheme="minorBidi"/>
        </w:rPr>
        <w:t> »,</w:t>
      </w:r>
      <w:r>
        <w:rPr>
          <w:rFonts w:ascii="Arial" w:hAnsi="Arial"/>
          <w:snapToGrid w:val="0"/>
        </w:rPr>
        <w:t xml:space="preserve"> qui exige d’apporter davantage de modifications aux mécanismes d’inscription sur les listes de la Convention. Cette approche vise une clarification des rôles des deux </w:t>
      </w:r>
      <w:r w:rsidR="00BF6B16">
        <w:rPr>
          <w:rFonts w:ascii="Arial" w:hAnsi="Arial"/>
          <w:snapToGrid w:val="0"/>
        </w:rPr>
        <w:t>l</w:t>
      </w:r>
      <w:r>
        <w:rPr>
          <w:rFonts w:ascii="Arial" w:hAnsi="Arial"/>
          <w:snapToGrid w:val="0"/>
        </w:rPr>
        <w:t>istes et du Registre, et leur repositionnement les uns par rapport aux autres ;</w:t>
      </w:r>
    </w:p>
    <w:p w14:paraId="4026FD8A" w14:textId="7FAAE3A5" w:rsidR="00197B01" w:rsidRDefault="00197B01" w:rsidP="00197B01">
      <w:pPr>
        <w:spacing w:before="240"/>
        <w:ind w:left="567"/>
        <w:jc w:val="both"/>
        <w:rPr>
          <w:rFonts w:asciiTheme="minorBidi" w:hAnsiTheme="minorBidi" w:cstheme="minorBidi"/>
        </w:rPr>
      </w:pPr>
      <w:r>
        <w:rPr>
          <w:rFonts w:asciiTheme="minorBidi" w:hAnsiTheme="minorBidi"/>
        </w:rPr>
        <w:t>(c) l’approche de « </w:t>
      </w:r>
      <w:r>
        <w:rPr>
          <w:rFonts w:asciiTheme="minorBidi" w:hAnsiTheme="minorBidi"/>
          <w:b/>
        </w:rPr>
        <w:t>contrôle plus strict</w:t>
      </w:r>
      <w:r>
        <w:rPr>
          <w:rFonts w:asciiTheme="minorBidi" w:hAnsiTheme="minorBidi"/>
        </w:rPr>
        <w:t xml:space="preserve"> », qui cherche à rendre le système d’inscription sur les </w:t>
      </w:r>
      <w:r w:rsidR="00BF6B16">
        <w:rPr>
          <w:rFonts w:asciiTheme="minorBidi" w:hAnsiTheme="minorBidi"/>
        </w:rPr>
        <w:t>l</w:t>
      </w:r>
      <w:r>
        <w:rPr>
          <w:rFonts w:asciiTheme="minorBidi" w:hAnsiTheme="minorBidi"/>
        </w:rPr>
        <w:t>istes plus restrictif, avec une interprétation et application rigoureuses des critères d’inscription, étant donné que le système actuel est solide et conforme aux dispositions pertinentes de la Convention </w:t>
      </w:r>
      <w:r w:rsidR="00BF6B16">
        <w:rPr>
          <w:rFonts w:asciiTheme="minorBidi" w:hAnsiTheme="minorBidi"/>
        </w:rPr>
        <w:t>;</w:t>
      </w:r>
    </w:p>
    <w:p w14:paraId="151D37CA" w14:textId="59EC2B13" w:rsidR="00CA1B0A" w:rsidRDefault="0058381D" w:rsidP="007B1F36">
      <w:pPr>
        <w:spacing w:before="240"/>
        <w:ind w:left="567"/>
        <w:jc w:val="both"/>
        <w:rPr>
          <w:rFonts w:ascii="Arial" w:hAnsi="Arial"/>
          <w:snapToGrid w:val="0"/>
        </w:rPr>
      </w:pPr>
      <w:r>
        <w:rPr>
          <w:rFonts w:asciiTheme="minorBidi" w:hAnsiTheme="minorBidi"/>
        </w:rPr>
        <w:lastRenderedPageBreak/>
        <w:t>(d) l’approche d’« </w:t>
      </w:r>
      <w:r>
        <w:rPr>
          <w:rFonts w:asciiTheme="minorBidi" w:hAnsiTheme="minorBidi"/>
          <w:b/>
        </w:rPr>
        <w:t>inclusivité maximale</w:t>
      </w:r>
      <w:r>
        <w:rPr>
          <w:rFonts w:asciiTheme="minorBidi" w:hAnsiTheme="minorBidi"/>
        </w:rPr>
        <w:t xml:space="preserve"> », </w:t>
      </w:r>
      <w:r>
        <w:rPr>
          <w:rFonts w:ascii="Arial" w:hAnsi="Arial"/>
          <w:snapToGrid w:val="0"/>
        </w:rPr>
        <w:t>qui permettrait un nombre bien plus grand d’inscriptions sur les listes, tout particulièrement sur la Liste de sauvegarde urgente (jusqu’à plusieurs milliers d’inscriptions par an) avec demandes simultanées de financement (financement participatif) et/ou d’assistance d’experts pour les plans de sauvegarde correspondants</w:t>
      </w:r>
      <w:r w:rsidR="00BF6B16">
        <w:rPr>
          <w:rFonts w:ascii="Arial" w:hAnsi="Arial"/>
          <w:snapToGrid w:val="0"/>
        </w:rPr>
        <w:t>.</w:t>
      </w:r>
    </w:p>
    <w:p w14:paraId="6A46BBCF" w14:textId="2D158CAE" w:rsidR="00AA3A11" w:rsidRPr="004D6C17" w:rsidRDefault="00AA3A11" w:rsidP="00AA3A11">
      <w:pPr>
        <w:spacing w:before="240"/>
        <w:jc w:val="both"/>
        <w:rPr>
          <w:rFonts w:asciiTheme="minorBidi" w:hAnsiTheme="minorBidi" w:cstheme="minorBidi"/>
        </w:rPr>
      </w:pPr>
      <w:r>
        <w:rPr>
          <w:rFonts w:asciiTheme="minorBidi" w:hAnsiTheme="minorBidi"/>
        </w:rPr>
        <w:t>12. Un rapide vote à main levée à la fin de la réunion a permis d’établir une part égale du nombre d’experts en faveur d’un « ajustement » et d’un « repositionnement ». Les approches</w:t>
      </w:r>
      <w:r w:rsidR="00BF6B16">
        <w:rPr>
          <w:rFonts w:asciiTheme="minorBidi" w:hAnsiTheme="minorBidi"/>
        </w:rPr>
        <w:t xml:space="preserve"> de</w:t>
      </w:r>
      <w:r>
        <w:rPr>
          <w:rFonts w:asciiTheme="minorBidi" w:hAnsiTheme="minorBidi"/>
        </w:rPr>
        <w:t xml:space="preserve"> « contrôle plus strict » et </w:t>
      </w:r>
      <w:r w:rsidR="00BF6B16">
        <w:rPr>
          <w:rFonts w:asciiTheme="minorBidi" w:hAnsiTheme="minorBidi"/>
        </w:rPr>
        <w:t>d’</w:t>
      </w:r>
      <w:r>
        <w:rPr>
          <w:rFonts w:asciiTheme="minorBidi" w:hAnsiTheme="minorBidi"/>
        </w:rPr>
        <w:t>« inclusivité maximale » n’ont été soutenues que par un ou deux experts. Dans le même temps, la répartition des propositions entre les approches d’« ajustement » et de « repositionnement » n’a pas toujours été clairement établie, étant donné que certains experts ont soutenu un mélange de propositions relevant des deux approches.</w:t>
      </w:r>
    </w:p>
    <w:p w14:paraId="58F216EA" w14:textId="6ACF7CD0" w:rsidR="000F192A" w:rsidRPr="00243DAD" w:rsidRDefault="00627BBF" w:rsidP="004D6C17">
      <w:pPr>
        <w:spacing w:before="240"/>
        <w:jc w:val="both"/>
        <w:rPr>
          <w:rFonts w:asciiTheme="minorBidi" w:hAnsiTheme="minorBidi" w:cstheme="minorBidi"/>
        </w:rPr>
      </w:pPr>
      <w:r>
        <w:rPr>
          <w:rFonts w:asciiTheme="minorBidi" w:hAnsiTheme="minorBidi"/>
        </w:rPr>
        <w:t>13. Les propositions principales formulées par les experts ont fait l’objet d’une synthèse par l</w:t>
      </w:r>
      <w:r w:rsidR="00BF6B16">
        <w:rPr>
          <w:rFonts w:asciiTheme="minorBidi" w:hAnsiTheme="minorBidi"/>
        </w:rPr>
        <w:t>e</w:t>
      </w:r>
      <w:r>
        <w:rPr>
          <w:rFonts w:asciiTheme="minorBidi" w:hAnsiTheme="minorBidi"/>
        </w:rPr>
        <w:t xml:space="preserve"> Secrétariat dans un document de travail pour le groupe de travail intergouvernemental </w:t>
      </w:r>
      <w:r w:rsidR="00F575CF">
        <w:rPr>
          <w:rFonts w:asciiTheme="minorBidi" w:hAnsiTheme="minorBidi"/>
        </w:rPr>
        <w:t xml:space="preserve">à composition non </w:t>
      </w:r>
      <w:r w:rsidR="00F575CF" w:rsidRPr="006A4841">
        <w:rPr>
          <w:rFonts w:asciiTheme="minorBidi" w:hAnsiTheme="minorBidi"/>
        </w:rPr>
        <w:t xml:space="preserve">limitée </w:t>
      </w:r>
      <w:r w:rsidRPr="006A4841">
        <w:rPr>
          <w:rFonts w:asciiTheme="minorBidi" w:hAnsiTheme="minorBidi"/>
        </w:rPr>
        <w:t xml:space="preserve">(document </w:t>
      </w:r>
      <w:hyperlink r:id="rId26" w:history="1">
        <w:r w:rsidRPr="006A4841">
          <w:rPr>
            <w:rStyle w:val="Lienhypertexte"/>
            <w:rFonts w:asciiTheme="minorBidi" w:hAnsiTheme="minorBidi"/>
          </w:rPr>
          <w:t>LHE/21/16/COM WG/3</w:t>
        </w:r>
      </w:hyperlink>
      <w:r w:rsidRPr="006A4841">
        <w:rPr>
          <w:rFonts w:asciiTheme="minorBidi" w:hAnsiTheme="minorBidi"/>
        </w:rPr>
        <w:t>). Ce</w:t>
      </w:r>
      <w:r>
        <w:rPr>
          <w:rFonts w:asciiTheme="minorBidi" w:hAnsiTheme="minorBidi"/>
        </w:rPr>
        <w:t xml:space="preserve"> document </w:t>
      </w:r>
      <w:r w:rsidR="00F575CF">
        <w:rPr>
          <w:rFonts w:asciiTheme="minorBidi" w:hAnsiTheme="minorBidi"/>
        </w:rPr>
        <w:t xml:space="preserve">comprend </w:t>
      </w:r>
      <w:r>
        <w:rPr>
          <w:rFonts w:asciiTheme="minorBidi" w:hAnsiTheme="minorBidi"/>
        </w:rPr>
        <w:t xml:space="preserve">les effets et </w:t>
      </w:r>
      <w:r w:rsidR="00F575CF">
        <w:rPr>
          <w:rFonts w:asciiTheme="minorBidi" w:hAnsiTheme="minorBidi"/>
        </w:rPr>
        <w:t xml:space="preserve">les </w:t>
      </w:r>
      <w:r>
        <w:rPr>
          <w:rFonts w:asciiTheme="minorBidi" w:hAnsiTheme="minorBidi"/>
        </w:rPr>
        <w:t xml:space="preserve">implications possibles des deux </w:t>
      </w:r>
      <w:r w:rsidR="00F575CF">
        <w:rPr>
          <w:rFonts w:asciiTheme="minorBidi" w:hAnsiTheme="minorBidi"/>
        </w:rPr>
        <w:t xml:space="preserve">principales </w:t>
      </w:r>
      <w:r>
        <w:rPr>
          <w:rFonts w:asciiTheme="minorBidi" w:hAnsiTheme="minorBidi"/>
        </w:rPr>
        <w:t>approches. Le présent rapport est également mis à la disposition du groupe de travail intergouvernemental afin de permettre aux États parties d’étudier l’intégralité des propositions, en particulier par le biais des rapports des groupes de travail.</w:t>
      </w:r>
    </w:p>
    <w:sectPr w:rsidR="000F192A" w:rsidRPr="00243DAD" w:rsidSect="002938F2">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7951A" w14:textId="77777777" w:rsidR="00306342" w:rsidRDefault="00306342" w:rsidP="002938F2">
      <w:r>
        <w:separator/>
      </w:r>
    </w:p>
    <w:p w14:paraId="1B4FE0BD" w14:textId="77777777" w:rsidR="00306342" w:rsidRDefault="00306342"/>
  </w:endnote>
  <w:endnote w:type="continuationSeparator" w:id="0">
    <w:p w14:paraId="193F0689" w14:textId="77777777" w:rsidR="00306342" w:rsidRDefault="00306342" w:rsidP="002938F2">
      <w:r>
        <w:continuationSeparator/>
      </w:r>
    </w:p>
    <w:p w14:paraId="21EA863F" w14:textId="77777777" w:rsidR="00306342" w:rsidRDefault="00306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F227" w14:textId="77777777" w:rsidR="00306342" w:rsidRDefault="00306342" w:rsidP="002938F2">
      <w:r>
        <w:separator/>
      </w:r>
    </w:p>
    <w:p w14:paraId="24B49A36" w14:textId="77777777" w:rsidR="00306342" w:rsidRDefault="00306342"/>
  </w:footnote>
  <w:footnote w:type="continuationSeparator" w:id="0">
    <w:p w14:paraId="17B49712" w14:textId="77777777" w:rsidR="00306342" w:rsidRDefault="00306342" w:rsidP="002938F2">
      <w:r>
        <w:continuationSeparator/>
      </w:r>
    </w:p>
    <w:p w14:paraId="061452C7" w14:textId="77777777" w:rsidR="00306342" w:rsidRDefault="00306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6CD2040D" w:rsidR="00B6167A" w:rsidRPr="002B7155" w:rsidRDefault="002B7155" w:rsidP="007E4E37">
    <w:pPr>
      <w:pStyle w:val="En-tte"/>
      <w:rPr>
        <w:rFonts w:ascii="Arial" w:hAnsi="Arial" w:cs="Arial"/>
      </w:rPr>
    </w:pPr>
    <w:r>
      <w:rPr>
        <w:rFonts w:ascii="Arial" w:hAnsi="Arial"/>
        <w:sz w:val="20"/>
      </w:rPr>
      <w:t>LHE/21/16.COM EXP/7 – page </w:t>
    </w:r>
    <w:r w:rsidR="00B6167A" w:rsidRPr="00D81948">
      <w:rPr>
        <w:rStyle w:val="Numrodepage"/>
        <w:rFonts w:ascii="Arial" w:hAnsi="Arial" w:cs="Arial"/>
        <w:sz w:val="20"/>
      </w:rPr>
      <w:fldChar w:fldCharType="begin"/>
    </w:r>
    <w:r w:rsidR="00B6167A" w:rsidRPr="002B7155">
      <w:rPr>
        <w:rStyle w:val="Numrodepage"/>
        <w:rFonts w:ascii="Arial" w:hAnsi="Arial" w:cs="Arial"/>
        <w:sz w:val="20"/>
      </w:rPr>
      <w:instrText xml:space="preserve"> PAGE </w:instrText>
    </w:r>
    <w:r w:rsidR="00B6167A" w:rsidRPr="00D81948">
      <w:rPr>
        <w:rStyle w:val="Numrodepage"/>
        <w:rFonts w:ascii="Arial" w:hAnsi="Arial" w:cs="Arial"/>
        <w:sz w:val="20"/>
      </w:rPr>
      <w:fldChar w:fldCharType="separate"/>
    </w:r>
    <w:r w:rsidR="00084713" w:rsidRPr="002B7155">
      <w:rPr>
        <w:rStyle w:val="Numrodepage"/>
        <w:rFonts w:ascii="Arial" w:hAnsi="Arial" w:cs="Arial"/>
        <w:sz w:val="20"/>
      </w:rPr>
      <w:t>2</w:t>
    </w:r>
    <w:r w:rsidR="00B6167A" w:rsidRPr="00D81948">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73EFFB85" w:rsidR="00B6167A" w:rsidRPr="007E4E37" w:rsidRDefault="006A4841" w:rsidP="007250E3">
    <w:pPr>
      <w:pStyle w:val="En-tte"/>
      <w:ind w:left="2544" w:firstLine="3693"/>
      <w:jc w:val="right"/>
      <w:rPr>
        <w:rFonts w:ascii="Arial" w:hAnsi="Arial" w:cs="Arial"/>
      </w:rPr>
    </w:pPr>
    <w:r>
      <w:rPr>
        <w:rFonts w:ascii="Arial" w:hAnsi="Arial"/>
        <w:sz w:val="20"/>
      </w:rPr>
      <w:t>LHE</w:t>
    </w:r>
    <w:r w:rsidR="006C0911">
      <w:rPr>
        <w:rFonts w:ascii="Arial" w:hAnsi="Arial"/>
        <w:sz w:val="20"/>
      </w:rPr>
      <w:t>/21/16.COM EXP/7 – page </w:t>
    </w:r>
    <w:r w:rsidR="001E4EEB" w:rsidRPr="00EF563B">
      <w:rPr>
        <w:rStyle w:val="Numrodepage"/>
        <w:rFonts w:ascii="Arial" w:hAnsi="Arial" w:cs="Arial"/>
        <w:sz w:val="20"/>
      </w:rPr>
      <w:fldChar w:fldCharType="begin"/>
    </w:r>
    <w:r w:rsidR="001E4EEB" w:rsidRPr="00EF563B">
      <w:rPr>
        <w:rStyle w:val="Numrodepage"/>
        <w:rFonts w:ascii="Arial" w:hAnsi="Arial" w:cs="Arial"/>
        <w:sz w:val="20"/>
      </w:rPr>
      <w:instrText xml:space="preserve"> </w:instrText>
    </w:r>
    <w:r w:rsidR="001E4EEB">
      <w:rPr>
        <w:rStyle w:val="Numrodepage"/>
        <w:rFonts w:ascii="Arial" w:hAnsi="Arial" w:cs="Arial"/>
        <w:sz w:val="20"/>
      </w:rPr>
      <w:instrText>PAGE</w:instrText>
    </w:r>
    <w:r w:rsidR="001E4EEB" w:rsidRPr="00EF563B">
      <w:rPr>
        <w:rStyle w:val="Numrodepage"/>
        <w:rFonts w:ascii="Arial" w:hAnsi="Arial" w:cs="Arial"/>
        <w:sz w:val="20"/>
      </w:rPr>
      <w:instrText xml:space="preserve"> </w:instrText>
    </w:r>
    <w:r w:rsidR="001E4EEB" w:rsidRPr="00EF563B">
      <w:rPr>
        <w:rStyle w:val="Numrodepage"/>
        <w:rFonts w:ascii="Arial" w:hAnsi="Arial" w:cs="Arial"/>
        <w:sz w:val="20"/>
      </w:rPr>
      <w:fldChar w:fldCharType="separate"/>
    </w:r>
    <w:r w:rsidR="00CA6FEF">
      <w:rPr>
        <w:rStyle w:val="Numrodepage"/>
        <w:rFonts w:ascii="Arial" w:hAnsi="Arial" w:cs="Arial"/>
        <w:sz w:val="20"/>
      </w:rPr>
      <w:t>3</w:t>
    </w:r>
    <w:r w:rsidR="001E4EEB" w:rsidRPr="00EF563B">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77AFE48F" w:rsidR="00B6167A" w:rsidRPr="008724E5" w:rsidRDefault="00D32281">
    <w:pPr>
      <w:pStyle w:val="En-tte"/>
    </w:pPr>
    <w:r>
      <w:rPr>
        <w:noProof/>
        <w:lang w:eastAsia="ja-JP"/>
      </w:rPr>
      <w:drawing>
        <wp:anchor distT="0" distB="0" distL="114300" distR="114300" simplePos="0" relativeHeight="251659264" behindDoc="0" locked="0" layoutInCell="1" allowOverlap="1" wp14:anchorId="4D15B06C" wp14:editId="68AF0E1D">
          <wp:simplePos x="0" y="0"/>
          <wp:positionH relativeFrom="column">
            <wp:posOffset>-529534</wp:posOffset>
          </wp:positionH>
          <wp:positionV relativeFrom="paragraph">
            <wp:posOffset>-130609</wp:posOffset>
          </wp:positionV>
          <wp:extent cx="1982718" cy="1487347"/>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718" cy="1487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C81C" w14:textId="6AB075DA" w:rsidR="00B6167A" w:rsidRPr="007250E3" w:rsidRDefault="00E80745" w:rsidP="002938F2">
    <w:pPr>
      <w:pStyle w:val="En-tte"/>
      <w:spacing w:after="520"/>
      <w:jc w:val="right"/>
      <w:rPr>
        <w:rFonts w:ascii="Arial" w:eastAsiaTheme="minorEastAsia" w:hAnsi="Arial" w:cs="Arial"/>
        <w:b/>
        <w:sz w:val="44"/>
        <w:szCs w:val="44"/>
      </w:rPr>
    </w:pPr>
    <w:r>
      <w:rPr>
        <w:rFonts w:ascii="Arial" w:hAnsi="Arial"/>
        <w:b/>
        <w:sz w:val="44"/>
      </w:rPr>
      <w:t>EXP</w:t>
    </w:r>
  </w:p>
  <w:p w14:paraId="122B936C" w14:textId="22C8429A" w:rsidR="00B6167A" w:rsidRPr="00843B71" w:rsidRDefault="003F67FB" w:rsidP="002D396D">
    <w:pPr>
      <w:spacing w:after="0"/>
      <w:jc w:val="right"/>
      <w:rPr>
        <w:rFonts w:ascii="Arial" w:eastAsiaTheme="minorEastAsia" w:hAnsi="Arial" w:cs="Arial"/>
        <w:b/>
        <w:szCs w:val="22"/>
      </w:rPr>
    </w:pPr>
    <w:r>
      <w:rPr>
        <w:rFonts w:ascii="Arial" w:hAnsi="Arial"/>
        <w:b/>
      </w:rPr>
      <w:t>LHE/21/16.COM EXP/7</w:t>
    </w:r>
  </w:p>
  <w:p w14:paraId="2CC34105" w14:textId="310AFDE7" w:rsidR="00B6167A" w:rsidRPr="007250E3" w:rsidRDefault="00B6167A" w:rsidP="00C81439">
    <w:pPr>
      <w:spacing w:after="0"/>
      <w:jc w:val="right"/>
      <w:rPr>
        <w:rFonts w:ascii="Arial" w:eastAsiaTheme="minorEastAsia" w:hAnsi="Arial" w:cs="Arial"/>
        <w:b/>
        <w:szCs w:val="22"/>
      </w:rPr>
    </w:pPr>
    <w:r w:rsidRPr="00907CD8">
      <w:rPr>
        <w:rFonts w:ascii="Arial" w:hAnsi="Arial"/>
        <w:b/>
      </w:rPr>
      <w:t xml:space="preserve">Paris, le </w:t>
    </w:r>
    <w:r w:rsidR="00CF574A" w:rsidRPr="00907CD8">
      <w:rPr>
        <w:rFonts w:ascii="Arial" w:hAnsi="Arial"/>
        <w:b/>
      </w:rPr>
      <w:t>28 </w:t>
    </w:r>
    <w:r w:rsidRPr="00907CD8">
      <w:rPr>
        <w:rFonts w:ascii="Arial" w:hAnsi="Arial"/>
        <w:b/>
      </w:rPr>
      <w:t>juin 2021</w:t>
    </w:r>
  </w:p>
  <w:p w14:paraId="59A22BCA" w14:textId="64368F07" w:rsidR="00B6167A" w:rsidRPr="00D81948" w:rsidRDefault="00B6167A" w:rsidP="00C81439">
    <w:pPr>
      <w:spacing w:after="0"/>
      <w:jc w:val="right"/>
      <w:rPr>
        <w:rFonts w:ascii="Arial" w:hAnsi="Arial" w:cs="Arial"/>
        <w:b/>
        <w:szCs w:val="22"/>
      </w:rPr>
    </w:pPr>
    <w:r>
      <w:rPr>
        <w:rFonts w:ascii="Arial" w:hAnsi="Arial"/>
        <w:b/>
      </w:rPr>
      <w:t xml:space="preserve">Original : </w:t>
    </w:r>
    <w:r w:rsidR="00B70411">
      <w:rPr>
        <w:rFonts w:ascii="Arial" w:hAnsi="Arial"/>
        <w:b/>
      </w:rPr>
      <w:t>a</w:t>
    </w:r>
    <w:r>
      <w:rPr>
        <w:rFonts w:ascii="Arial" w:hAnsi="Arial"/>
        <w:b/>
      </w:rPr>
      <w:t>nglais</w:t>
    </w:r>
  </w:p>
  <w:p w14:paraId="3D76CF75"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868745F"/>
    <w:multiLevelType w:val="hybridMultilevel"/>
    <w:tmpl w:val="533EE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AB202F"/>
    <w:multiLevelType w:val="hybridMultilevel"/>
    <w:tmpl w:val="C2803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39049E"/>
    <w:multiLevelType w:val="hybridMultilevel"/>
    <w:tmpl w:val="F0BCFD8C"/>
    <w:lvl w:ilvl="0" w:tplc="0EAEAC5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D105C5E"/>
    <w:multiLevelType w:val="hybridMultilevel"/>
    <w:tmpl w:val="EA28998C"/>
    <w:lvl w:ilvl="0" w:tplc="1084F42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25900E4"/>
    <w:multiLevelType w:val="hybridMultilevel"/>
    <w:tmpl w:val="61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D32F4"/>
    <w:multiLevelType w:val="hybridMultilevel"/>
    <w:tmpl w:val="74C639B4"/>
    <w:lvl w:ilvl="0" w:tplc="F576635E">
      <w:numFmt w:val="bullet"/>
      <w:lvlText w:val="-"/>
      <w:lvlJc w:val="left"/>
      <w:pPr>
        <w:ind w:left="1074" w:hanging="360"/>
      </w:pPr>
      <w:rPr>
        <w:rFonts w:ascii="Arial" w:eastAsia="Times New Roman"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1" w15:restartNumberingAfterBreak="0">
    <w:nsid w:val="4EF84AF2"/>
    <w:multiLevelType w:val="hybridMultilevel"/>
    <w:tmpl w:val="B042717A"/>
    <w:lvl w:ilvl="0" w:tplc="04090003">
      <w:start w:val="1"/>
      <w:numFmt w:val="bullet"/>
      <w:lvlText w:val="o"/>
      <w:lvlJc w:val="left"/>
      <w:pPr>
        <w:ind w:left="1074" w:hanging="360"/>
      </w:pPr>
      <w:rPr>
        <w:rFonts w:ascii="Courier New" w:hAnsi="Courier New" w:cs="Courier New"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C82E6B"/>
    <w:multiLevelType w:val="hybridMultilevel"/>
    <w:tmpl w:val="E6529934"/>
    <w:lvl w:ilvl="0" w:tplc="74C299B2">
      <w:start w:val="3"/>
      <w:numFmt w:val="lowerRoman"/>
      <w:lvlText w:val="%1)"/>
      <w:lvlJc w:val="left"/>
      <w:pPr>
        <w:ind w:left="14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49B2853"/>
    <w:multiLevelType w:val="hybridMultilevel"/>
    <w:tmpl w:val="563A8900"/>
    <w:lvl w:ilvl="0" w:tplc="67D24B2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78262A"/>
    <w:multiLevelType w:val="hybridMultilevel"/>
    <w:tmpl w:val="B50E5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9"/>
  </w:num>
  <w:num w:numId="5">
    <w:abstractNumId w:val="13"/>
  </w:num>
  <w:num w:numId="6">
    <w:abstractNumId w:val="0"/>
  </w:num>
  <w:num w:numId="7">
    <w:abstractNumId w:val="3"/>
  </w:num>
  <w:num w:numId="8">
    <w:abstractNumId w:val="6"/>
  </w:num>
  <w:num w:numId="9">
    <w:abstractNumId w:val="14"/>
  </w:num>
  <w:num w:numId="10">
    <w:abstractNumId w:val="6"/>
    <w:lvlOverride w:ilvl="0">
      <w:startOverride w:val="1"/>
    </w:lvlOverride>
  </w:num>
  <w:num w:numId="11">
    <w:abstractNumId w:val="16"/>
  </w:num>
  <w:num w:numId="12">
    <w:abstractNumId w:val="9"/>
  </w:num>
  <w:num w:numId="13">
    <w:abstractNumId w:val="4"/>
  </w:num>
  <w:num w:numId="14">
    <w:abstractNumId w:val="11"/>
  </w:num>
  <w:num w:numId="15">
    <w:abstractNumId w:val="5"/>
  </w:num>
  <w:num w:numId="16">
    <w:abstractNumId w:val="8"/>
  </w:num>
  <w:num w:numId="17">
    <w:abstractNumId w:val="15"/>
  </w:num>
  <w:num w:numId="18">
    <w:abstractNumId w:val="18"/>
  </w:num>
  <w:num w:numId="19">
    <w:abstractNumId w:val="1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22EF"/>
    <w:rsid w:val="000047CC"/>
    <w:rsid w:val="00006D5E"/>
    <w:rsid w:val="0000759A"/>
    <w:rsid w:val="00007797"/>
    <w:rsid w:val="000120FD"/>
    <w:rsid w:val="00013D75"/>
    <w:rsid w:val="000146A5"/>
    <w:rsid w:val="00016666"/>
    <w:rsid w:val="00020AB4"/>
    <w:rsid w:val="00021831"/>
    <w:rsid w:val="000218B3"/>
    <w:rsid w:val="00024F57"/>
    <w:rsid w:val="00025822"/>
    <w:rsid w:val="00026484"/>
    <w:rsid w:val="00030C06"/>
    <w:rsid w:val="00044322"/>
    <w:rsid w:val="00047E58"/>
    <w:rsid w:val="00052973"/>
    <w:rsid w:val="000556E5"/>
    <w:rsid w:val="000618EA"/>
    <w:rsid w:val="00062ECE"/>
    <w:rsid w:val="0006510C"/>
    <w:rsid w:val="00070AC4"/>
    <w:rsid w:val="00070E13"/>
    <w:rsid w:val="00073D20"/>
    <w:rsid w:val="000755E1"/>
    <w:rsid w:val="00075796"/>
    <w:rsid w:val="000765AD"/>
    <w:rsid w:val="00084713"/>
    <w:rsid w:val="00085541"/>
    <w:rsid w:val="00093063"/>
    <w:rsid w:val="00096844"/>
    <w:rsid w:val="00096A60"/>
    <w:rsid w:val="000A34CE"/>
    <w:rsid w:val="000A3985"/>
    <w:rsid w:val="000B215B"/>
    <w:rsid w:val="000B4D32"/>
    <w:rsid w:val="000C16D2"/>
    <w:rsid w:val="000C2102"/>
    <w:rsid w:val="000C4763"/>
    <w:rsid w:val="000C65E4"/>
    <w:rsid w:val="000D42D9"/>
    <w:rsid w:val="000D513A"/>
    <w:rsid w:val="000E507B"/>
    <w:rsid w:val="000F192A"/>
    <w:rsid w:val="000F2EB4"/>
    <w:rsid w:val="000F578D"/>
    <w:rsid w:val="000F7736"/>
    <w:rsid w:val="00106B72"/>
    <w:rsid w:val="00107B91"/>
    <w:rsid w:val="00112A1A"/>
    <w:rsid w:val="0011477C"/>
    <w:rsid w:val="0011750D"/>
    <w:rsid w:val="0012084C"/>
    <w:rsid w:val="00123E95"/>
    <w:rsid w:val="001275F3"/>
    <w:rsid w:val="00133E86"/>
    <w:rsid w:val="0013520F"/>
    <w:rsid w:val="001412DE"/>
    <w:rsid w:val="00144426"/>
    <w:rsid w:val="001447D2"/>
    <w:rsid w:val="00144A4D"/>
    <w:rsid w:val="00151351"/>
    <w:rsid w:val="0015565C"/>
    <w:rsid w:val="001569FD"/>
    <w:rsid w:val="0016570A"/>
    <w:rsid w:val="00171AC2"/>
    <w:rsid w:val="001735EA"/>
    <w:rsid w:val="00174B39"/>
    <w:rsid w:val="001813E4"/>
    <w:rsid w:val="0018259E"/>
    <w:rsid w:val="0019419D"/>
    <w:rsid w:val="00196B3B"/>
    <w:rsid w:val="0019720E"/>
    <w:rsid w:val="00197B01"/>
    <w:rsid w:val="001A352E"/>
    <w:rsid w:val="001A396A"/>
    <w:rsid w:val="001A431C"/>
    <w:rsid w:val="001B2F76"/>
    <w:rsid w:val="001B37AD"/>
    <w:rsid w:val="001C41B4"/>
    <w:rsid w:val="001C63F8"/>
    <w:rsid w:val="001D00B5"/>
    <w:rsid w:val="001D3B29"/>
    <w:rsid w:val="001D59C8"/>
    <w:rsid w:val="001E0E00"/>
    <w:rsid w:val="001E4EEB"/>
    <w:rsid w:val="001E6026"/>
    <w:rsid w:val="001F3696"/>
    <w:rsid w:val="001F37CA"/>
    <w:rsid w:val="001F4FF5"/>
    <w:rsid w:val="00204B37"/>
    <w:rsid w:val="00205C6C"/>
    <w:rsid w:val="00205D99"/>
    <w:rsid w:val="00205F42"/>
    <w:rsid w:val="002119C5"/>
    <w:rsid w:val="00213BF1"/>
    <w:rsid w:val="0022756B"/>
    <w:rsid w:val="00231F48"/>
    <w:rsid w:val="00237E43"/>
    <w:rsid w:val="00240330"/>
    <w:rsid w:val="00240EEB"/>
    <w:rsid w:val="0024291A"/>
    <w:rsid w:val="00243D7C"/>
    <w:rsid w:val="00243DAD"/>
    <w:rsid w:val="00251C9B"/>
    <w:rsid w:val="00257D7C"/>
    <w:rsid w:val="00263782"/>
    <w:rsid w:val="0027162C"/>
    <w:rsid w:val="0027198B"/>
    <w:rsid w:val="00273982"/>
    <w:rsid w:val="00273FCC"/>
    <w:rsid w:val="00275029"/>
    <w:rsid w:val="0028380F"/>
    <w:rsid w:val="00283C2B"/>
    <w:rsid w:val="00286C0C"/>
    <w:rsid w:val="00290D5F"/>
    <w:rsid w:val="00292DE8"/>
    <w:rsid w:val="002936EE"/>
    <w:rsid w:val="002938F2"/>
    <w:rsid w:val="002B0103"/>
    <w:rsid w:val="002B4E91"/>
    <w:rsid w:val="002B7155"/>
    <w:rsid w:val="002C2655"/>
    <w:rsid w:val="002C5280"/>
    <w:rsid w:val="002D0050"/>
    <w:rsid w:val="002D1618"/>
    <w:rsid w:val="002D31EB"/>
    <w:rsid w:val="002D396D"/>
    <w:rsid w:val="002D520F"/>
    <w:rsid w:val="002D6161"/>
    <w:rsid w:val="002E2134"/>
    <w:rsid w:val="002E6E89"/>
    <w:rsid w:val="002F317A"/>
    <w:rsid w:val="002F63BC"/>
    <w:rsid w:val="002F6CCE"/>
    <w:rsid w:val="00300AF9"/>
    <w:rsid w:val="00301196"/>
    <w:rsid w:val="00302FBE"/>
    <w:rsid w:val="00306342"/>
    <w:rsid w:val="00323823"/>
    <w:rsid w:val="003314F5"/>
    <w:rsid w:val="00331DDE"/>
    <w:rsid w:val="00331ECD"/>
    <w:rsid w:val="003439DC"/>
    <w:rsid w:val="00344421"/>
    <w:rsid w:val="0035648A"/>
    <w:rsid w:val="00363995"/>
    <w:rsid w:val="00365B94"/>
    <w:rsid w:val="0037058D"/>
    <w:rsid w:val="00382957"/>
    <w:rsid w:val="00384C16"/>
    <w:rsid w:val="00391A3F"/>
    <w:rsid w:val="0039446E"/>
    <w:rsid w:val="003A10FF"/>
    <w:rsid w:val="003A24A0"/>
    <w:rsid w:val="003A6EA9"/>
    <w:rsid w:val="003B4668"/>
    <w:rsid w:val="003B5AE4"/>
    <w:rsid w:val="003B6028"/>
    <w:rsid w:val="003B7F1A"/>
    <w:rsid w:val="003C7065"/>
    <w:rsid w:val="003E204B"/>
    <w:rsid w:val="003E58D6"/>
    <w:rsid w:val="003F0DC4"/>
    <w:rsid w:val="003F44FC"/>
    <w:rsid w:val="003F67FB"/>
    <w:rsid w:val="00402598"/>
    <w:rsid w:val="00403783"/>
    <w:rsid w:val="00403D96"/>
    <w:rsid w:val="00404707"/>
    <w:rsid w:val="00404BB0"/>
    <w:rsid w:val="004108B6"/>
    <w:rsid w:val="0041192C"/>
    <w:rsid w:val="00416796"/>
    <w:rsid w:val="00422712"/>
    <w:rsid w:val="00424235"/>
    <w:rsid w:val="00427127"/>
    <w:rsid w:val="00434773"/>
    <w:rsid w:val="00437172"/>
    <w:rsid w:val="00447C66"/>
    <w:rsid w:val="004512A2"/>
    <w:rsid w:val="00457E88"/>
    <w:rsid w:val="0046147F"/>
    <w:rsid w:val="004621CA"/>
    <w:rsid w:val="004637D5"/>
    <w:rsid w:val="00463FD1"/>
    <w:rsid w:val="00466A1D"/>
    <w:rsid w:val="00471B34"/>
    <w:rsid w:val="00477EE6"/>
    <w:rsid w:val="004A04D4"/>
    <w:rsid w:val="004C232A"/>
    <w:rsid w:val="004C2E04"/>
    <w:rsid w:val="004C7C55"/>
    <w:rsid w:val="004D2909"/>
    <w:rsid w:val="004D54EF"/>
    <w:rsid w:val="004D6C17"/>
    <w:rsid w:val="004E056C"/>
    <w:rsid w:val="004E2817"/>
    <w:rsid w:val="004F3AFA"/>
    <w:rsid w:val="004F3C0F"/>
    <w:rsid w:val="004F6016"/>
    <w:rsid w:val="005016FB"/>
    <w:rsid w:val="00506863"/>
    <w:rsid w:val="00511D17"/>
    <w:rsid w:val="00513788"/>
    <w:rsid w:val="0051699F"/>
    <w:rsid w:val="005253FB"/>
    <w:rsid w:val="00526EEC"/>
    <w:rsid w:val="005414A1"/>
    <w:rsid w:val="00545E9C"/>
    <w:rsid w:val="0055031E"/>
    <w:rsid w:val="00561F2E"/>
    <w:rsid w:val="00563B76"/>
    <w:rsid w:val="005802CD"/>
    <w:rsid w:val="0058304E"/>
    <w:rsid w:val="0058381D"/>
    <w:rsid w:val="005908B4"/>
    <w:rsid w:val="00596680"/>
    <w:rsid w:val="005A206F"/>
    <w:rsid w:val="005B0AF7"/>
    <w:rsid w:val="005B67FF"/>
    <w:rsid w:val="005C0660"/>
    <w:rsid w:val="005C44B9"/>
    <w:rsid w:val="005F6254"/>
    <w:rsid w:val="00601DD6"/>
    <w:rsid w:val="00602158"/>
    <w:rsid w:val="00603F71"/>
    <w:rsid w:val="006255D1"/>
    <w:rsid w:val="00625785"/>
    <w:rsid w:val="00627BBF"/>
    <w:rsid w:val="00632F1A"/>
    <w:rsid w:val="00636760"/>
    <w:rsid w:val="006409E7"/>
    <w:rsid w:val="006515C9"/>
    <w:rsid w:val="00652318"/>
    <w:rsid w:val="00661723"/>
    <w:rsid w:val="0066609B"/>
    <w:rsid w:val="0067005F"/>
    <w:rsid w:val="00671EAA"/>
    <w:rsid w:val="00674012"/>
    <w:rsid w:val="006776C1"/>
    <w:rsid w:val="00680F1B"/>
    <w:rsid w:val="00685E97"/>
    <w:rsid w:val="00693274"/>
    <w:rsid w:val="00693F84"/>
    <w:rsid w:val="006A0D86"/>
    <w:rsid w:val="006A4841"/>
    <w:rsid w:val="006A49D5"/>
    <w:rsid w:val="006B7CCA"/>
    <w:rsid w:val="006C0911"/>
    <w:rsid w:val="006C56E6"/>
    <w:rsid w:val="006D3A30"/>
    <w:rsid w:val="006D46FB"/>
    <w:rsid w:val="006E2B73"/>
    <w:rsid w:val="006E2D89"/>
    <w:rsid w:val="006F2FCA"/>
    <w:rsid w:val="00705436"/>
    <w:rsid w:val="00712CBB"/>
    <w:rsid w:val="007149CB"/>
    <w:rsid w:val="007208B7"/>
    <w:rsid w:val="007250E3"/>
    <w:rsid w:val="0072603A"/>
    <w:rsid w:val="00732C5C"/>
    <w:rsid w:val="00733955"/>
    <w:rsid w:val="0073770A"/>
    <w:rsid w:val="007408BB"/>
    <w:rsid w:val="00746204"/>
    <w:rsid w:val="00747715"/>
    <w:rsid w:val="00747DD3"/>
    <w:rsid w:val="00750138"/>
    <w:rsid w:val="00752ACC"/>
    <w:rsid w:val="00753DA3"/>
    <w:rsid w:val="00754C4D"/>
    <w:rsid w:val="00764E84"/>
    <w:rsid w:val="00764F50"/>
    <w:rsid w:val="00770A92"/>
    <w:rsid w:val="00772E48"/>
    <w:rsid w:val="00780789"/>
    <w:rsid w:val="00786E33"/>
    <w:rsid w:val="00790C65"/>
    <w:rsid w:val="0079717B"/>
    <w:rsid w:val="007A1845"/>
    <w:rsid w:val="007A2901"/>
    <w:rsid w:val="007A7D45"/>
    <w:rsid w:val="007B1F36"/>
    <w:rsid w:val="007B43F7"/>
    <w:rsid w:val="007C1B00"/>
    <w:rsid w:val="007D31CE"/>
    <w:rsid w:val="007D5BB7"/>
    <w:rsid w:val="007E0621"/>
    <w:rsid w:val="007E4E37"/>
    <w:rsid w:val="007F3D57"/>
    <w:rsid w:val="007F4B07"/>
    <w:rsid w:val="00802275"/>
    <w:rsid w:val="008041EC"/>
    <w:rsid w:val="00806B4E"/>
    <w:rsid w:val="00807965"/>
    <w:rsid w:val="00832454"/>
    <w:rsid w:val="008347CC"/>
    <w:rsid w:val="0083488D"/>
    <w:rsid w:val="0083680E"/>
    <w:rsid w:val="00842B13"/>
    <w:rsid w:val="0084335D"/>
    <w:rsid w:val="00843B71"/>
    <w:rsid w:val="00844676"/>
    <w:rsid w:val="008451DA"/>
    <w:rsid w:val="008466C3"/>
    <w:rsid w:val="00846D7E"/>
    <w:rsid w:val="00851458"/>
    <w:rsid w:val="00861A47"/>
    <w:rsid w:val="00863830"/>
    <w:rsid w:val="008656D7"/>
    <w:rsid w:val="008707FF"/>
    <w:rsid w:val="008724E5"/>
    <w:rsid w:val="00880290"/>
    <w:rsid w:val="00881075"/>
    <w:rsid w:val="00885476"/>
    <w:rsid w:val="0088754C"/>
    <w:rsid w:val="00891142"/>
    <w:rsid w:val="008A0032"/>
    <w:rsid w:val="008B216E"/>
    <w:rsid w:val="008B444B"/>
    <w:rsid w:val="008B7346"/>
    <w:rsid w:val="008C07A8"/>
    <w:rsid w:val="008C5ECC"/>
    <w:rsid w:val="008D3BF7"/>
    <w:rsid w:val="008F16C6"/>
    <w:rsid w:val="008F34A1"/>
    <w:rsid w:val="009061F7"/>
    <w:rsid w:val="00907CD8"/>
    <w:rsid w:val="009121CE"/>
    <w:rsid w:val="009127D8"/>
    <w:rsid w:val="00921F65"/>
    <w:rsid w:val="00925ED9"/>
    <w:rsid w:val="00927B6F"/>
    <w:rsid w:val="00940EF7"/>
    <w:rsid w:val="00944594"/>
    <w:rsid w:val="0094767B"/>
    <w:rsid w:val="00952B95"/>
    <w:rsid w:val="009558D8"/>
    <w:rsid w:val="00957FF4"/>
    <w:rsid w:val="0096414B"/>
    <w:rsid w:val="00971CEC"/>
    <w:rsid w:val="0097349C"/>
    <w:rsid w:val="00982111"/>
    <w:rsid w:val="00987C63"/>
    <w:rsid w:val="009924B6"/>
    <w:rsid w:val="009A0D06"/>
    <w:rsid w:val="009B4F53"/>
    <w:rsid w:val="009C1C6D"/>
    <w:rsid w:val="009C376F"/>
    <w:rsid w:val="009C5EF1"/>
    <w:rsid w:val="009C7A45"/>
    <w:rsid w:val="009D4547"/>
    <w:rsid w:val="009D5E38"/>
    <w:rsid w:val="009D7A7C"/>
    <w:rsid w:val="009F34A4"/>
    <w:rsid w:val="009F3988"/>
    <w:rsid w:val="00A00D55"/>
    <w:rsid w:val="00A150C7"/>
    <w:rsid w:val="00A17F85"/>
    <w:rsid w:val="00A247E5"/>
    <w:rsid w:val="00A33931"/>
    <w:rsid w:val="00A33A0F"/>
    <w:rsid w:val="00A370C0"/>
    <w:rsid w:val="00A373A7"/>
    <w:rsid w:val="00A47BEB"/>
    <w:rsid w:val="00A50181"/>
    <w:rsid w:val="00A519A2"/>
    <w:rsid w:val="00A57D5B"/>
    <w:rsid w:val="00A61650"/>
    <w:rsid w:val="00A66696"/>
    <w:rsid w:val="00A70883"/>
    <w:rsid w:val="00A77AEB"/>
    <w:rsid w:val="00A86042"/>
    <w:rsid w:val="00A9236E"/>
    <w:rsid w:val="00A94222"/>
    <w:rsid w:val="00A94648"/>
    <w:rsid w:val="00AA0F6E"/>
    <w:rsid w:val="00AA331B"/>
    <w:rsid w:val="00AA3A11"/>
    <w:rsid w:val="00AA444A"/>
    <w:rsid w:val="00AA568A"/>
    <w:rsid w:val="00AA585C"/>
    <w:rsid w:val="00AA5A70"/>
    <w:rsid w:val="00AB1528"/>
    <w:rsid w:val="00AB4138"/>
    <w:rsid w:val="00AB4435"/>
    <w:rsid w:val="00AC3963"/>
    <w:rsid w:val="00AD65BB"/>
    <w:rsid w:val="00AD6C38"/>
    <w:rsid w:val="00AD7479"/>
    <w:rsid w:val="00AE1AA6"/>
    <w:rsid w:val="00AE1B18"/>
    <w:rsid w:val="00AE57CC"/>
    <w:rsid w:val="00AF1C32"/>
    <w:rsid w:val="00B11AE3"/>
    <w:rsid w:val="00B16C85"/>
    <w:rsid w:val="00B20439"/>
    <w:rsid w:val="00B2127C"/>
    <w:rsid w:val="00B26295"/>
    <w:rsid w:val="00B27729"/>
    <w:rsid w:val="00B44D96"/>
    <w:rsid w:val="00B55376"/>
    <w:rsid w:val="00B6167A"/>
    <w:rsid w:val="00B62917"/>
    <w:rsid w:val="00B70411"/>
    <w:rsid w:val="00B71478"/>
    <w:rsid w:val="00B841B1"/>
    <w:rsid w:val="00B8447F"/>
    <w:rsid w:val="00B85078"/>
    <w:rsid w:val="00B866CF"/>
    <w:rsid w:val="00B9243D"/>
    <w:rsid w:val="00B9315B"/>
    <w:rsid w:val="00B973B5"/>
    <w:rsid w:val="00BA06B8"/>
    <w:rsid w:val="00BA10F9"/>
    <w:rsid w:val="00BB021F"/>
    <w:rsid w:val="00BB133D"/>
    <w:rsid w:val="00BB3843"/>
    <w:rsid w:val="00BC44E1"/>
    <w:rsid w:val="00BC4EA9"/>
    <w:rsid w:val="00BD4C26"/>
    <w:rsid w:val="00BD59BD"/>
    <w:rsid w:val="00BE6317"/>
    <w:rsid w:val="00BF1DC6"/>
    <w:rsid w:val="00BF28CA"/>
    <w:rsid w:val="00BF3647"/>
    <w:rsid w:val="00BF531C"/>
    <w:rsid w:val="00BF6B16"/>
    <w:rsid w:val="00C00C90"/>
    <w:rsid w:val="00C014F9"/>
    <w:rsid w:val="00C03226"/>
    <w:rsid w:val="00C05A79"/>
    <w:rsid w:val="00C105B7"/>
    <w:rsid w:val="00C10D77"/>
    <w:rsid w:val="00C128E4"/>
    <w:rsid w:val="00C2292F"/>
    <w:rsid w:val="00C231CB"/>
    <w:rsid w:val="00C254C5"/>
    <w:rsid w:val="00C26EE2"/>
    <w:rsid w:val="00C425E3"/>
    <w:rsid w:val="00C429DD"/>
    <w:rsid w:val="00C5135B"/>
    <w:rsid w:val="00C55593"/>
    <w:rsid w:val="00C5751C"/>
    <w:rsid w:val="00C6478B"/>
    <w:rsid w:val="00C656C7"/>
    <w:rsid w:val="00C74E8E"/>
    <w:rsid w:val="00C76350"/>
    <w:rsid w:val="00C81439"/>
    <w:rsid w:val="00C91A6A"/>
    <w:rsid w:val="00C97D58"/>
    <w:rsid w:val="00CA078D"/>
    <w:rsid w:val="00CA0F31"/>
    <w:rsid w:val="00CA187F"/>
    <w:rsid w:val="00CA1B0A"/>
    <w:rsid w:val="00CA3280"/>
    <w:rsid w:val="00CA6FEF"/>
    <w:rsid w:val="00CB0219"/>
    <w:rsid w:val="00CB0DCC"/>
    <w:rsid w:val="00CB0F37"/>
    <w:rsid w:val="00CB1DE5"/>
    <w:rsid w:val="00CB500D"/>
    <w:rsid w:val="00CB644A"/>
    <w:rsid w:val="00CC1F42"/>
    <w:rsid w:val="00CC2BC6"/>
    <w:rsid w:val="00CC3C04"/>
    <w:rsid w:val="00CD78B6"/>
    <w:rsid w:val="00CE2586"/>
    <w:rsid w:val="00CE3DC4"/>
    <w:rsid w:val="00CF191E"/>
    <w:rsid w:val="00CF25A4"/>
    <w:rsid w:val="00CF568C"/>
    <w:rsid w:val="00CF574A"/>
    <w:rsid w:val="00D0020D"/>
    <w:rsid w:val="00D01B69"/>
    <w:rsid w:val="00D0441C"/>
    <w:rsid w:val="00D129A0"/>
    <w:rsid w:val="00D13A68"/>
    <w:rsid w:val="00D156D1"/>
    <w:rsid w:val="00D213E4"/>
    <w:rsid w:val="00D2160F"/>
    <w:rsid w:val="00D2797E"/>
    <w:rsid w:val="00D32281"/>
    <w:rsid w:val="00D3700B"/>
    <w:rsid w:val="00D404B7"/>
    <w:rsid w:val="00D449CA"/>
    <w:rsid w:val="00D45F26"/>
    <w:rsid w:val="00D46DD5"/>
    <w:rsid w:val="00D53298"/>
    <w:rsid w:val="00D60F1B"/>
    <w:rsid w:val="00D62ADA"/>
    <w:rsid w:val="00D64839"/>
    <w:rsid w:val="00D65DC1"/>
    <w:rsid w:val="00D740ED"/>
    <w:rsid w:val="00D75D90"/>
    <w:rsid w:val="00D809E5"/>
    <w:rsid w:val="00D81948"/>
    <w:rsid w:val="00D87A2D"/>
    <w:rsid w:val="00D9501F"/>
    <w:rsid w:val="00DA3F18"/>
    <w:rsid w:val="00DB47DE"/>
    <w:rsid w:val="00DB50D5"/>
    <w:rsid w:val="00DB55D6"/>
    <w:rsid w:val="00DB672D"/>
    <w:rsid w:val="00DC3DA3"/>
    <w:rsid w:val="00DC527C"/>
    <w:rsid w:val="00DD4890"/>
    <w:rsid w:val="00DD74D1"/>
    <w:rsid w:val="00DF272E"/>
    <w:rsid w:val="00DF3847"/>
    <w:rsid w:val="00DF3DA3"/>
    <w:rsid w:val="00E06A00"/>
    <w:rsid w:val="00E107E6"/>
    <w:rsid w:val="00E118D4"/>
    <w:rsid w:val="00E22B99"/>
    <w:rsid w:val="00E258D9"/>
    <w:rsid w:val="00E272ED"/>
    <w:rsid w:val="00E30B3E"/>
    <w:rsid w:val="00E35D71"/>
    <w:rsid w:val="00E37B70"/>
    <w:rsid w:val="00E37F24"/>
    <w:rsid w:val="00E40FD8"/>
    <w:rsid w:val="00E4204B"/>
    <w:rsid w:val="00E439CA"/>
    <w:rsid w:val="00E47D2E"/>
    <w:rsid w:val="00E5219B"/>
    <w:rsid w:val="00E6344A"/>
    <w:rsid w:val="00E64E89"/>
    <w:rsid w:val="00E70BDA"/>
    <w:rsid w:val="00E7192D"/>
    <w:rsid w:val="00E726C1"/>
    <w:rsid w:val="00E755AD"/>
    <w:rsid w:val="00E80745"/>
    <w:rsid w:val="00E824FB"/>
    <w:rsid w:val="00E83DC9"/>
    <w:rsid w:val="00E84E5D"/>
    <w:rsid w:val="00E926E2"/>
    <w:rsid w:val="00E92BFB"/>
    <w:rsid w:val="00E9673D"/>
    <w:rsid w:val="00EA198F"/>
    <w:rsid w:val="00EA2336"/>
    <w:rsid w:val="00EA367D"/>
    <w:rsid w:val="00EB01DB"/>
    <w:rsid w:val="00EC1940"/>
    <w:rsid w:val="00EC31C9"/>
    <w:rsid w:val="00EC6FA8"/>
    <w:rsid w:val="00ED2276"/>
    <w:rsid w:val="00ED56A5"/>
    <w:rsid w:val="00ED6C47"/>
    <w:rsid w:val="00EE2E67"/>
    <w:rsid w:val="00EF02F1"/>
    <w:rsid w:val="00EF0BCB"/>
    <w:rsid w:val="00EF0E74"/>
    <w:rsid w:val="00EF4102"/>
    <w:rsid w:val="00F00E8A"/>
    <w:rsid w:val="00F0434E"/>
    <w:rsid w:val="00F05D28"/>
    <w:rsid w:val="00F17A9E"/>
    <w:rsid w:val="00F17F3A"/>
    <w:rsid w:val="00F22E19"/>
    <w:rsid w:val="00F30566"/>
    <w:rsid w:val="00F30DD2"/>
    <w:rsid w:val="00F31A29"/>
    <w:rsid w:val="00F33650"/>
    <w:rsid w:val="00F35C53"/>
    <w:rsid w:val="00F412D2"/>
    <w:rsid w:val="00F47189"/>
    <w:rsid w:val="00F473CB"/>
    <w:rsid w:val="00F50113"/>
    <w:rsid w:val="00F50245"/>
    <w:rsid w:val="00F53CBB"/>
    <w:rsid w:val="00F56FCB"/>
    <w:rsid w:val="00F575CF"/>
    <w:rsid w:val="00F576FB"/>
    <w:rsid w:val="00F63DDA"/>
    <w:rsid w:val="00F67077"/>
    <w:rsid w:val="00F67C2D"/>
    <w:rsid w:val="00F70858"/>
    <w:rsid w:val="00F72287"/>
    <w:rsid w:val="00F7397F"/>
    <w:rsid w:val="00F739AB"/>
    <w:rsid w:val="00F75116"/>
    <w:rsid w:val="00F75949"/>
    <w:rsid w:val="00F75CF4"/>
    <w:rsid w:val="00F76209"/>
    <w:rsid w:val="00F76F3D"/>
    <w:rsid w:val="00F77577"/>
    <w:rsid w:val="00F82A00"/>
    <w:rsid w:val="00F83A6D"/>
    <w:rsid w:val="00F86AE5"/>
    <w:rsid w:val="00F912B8"/>
    <w:rsid w:val="00F941F0"/>
    <w:rsid w:val="00FA2857"/>
    <w:rsid w:val="00FA3014"/>
    <w:rsid w:val="00FA7290"/>
    <w:rsid w:val="00FA7647"/>
    <w:rsid w:val="00FB4492"/>
    <w:rsid w:val="00FC5C2D"/>
    <w:rsid w:val="00FD472D"/>
    <w:rsid w:val="00FD53B3"/>
    <w:rsid w:val="00FD6D5B"/>
    <w:rsid w:val="00FE135B"/>
    <w:rsid w:val="00FE3A63"/>
    <w:rsid w:val="00FF0B98"/>
    <w:rsid w:val="00FF2B1D"/>
    <w:rsid w:val="00FF3A4E"/>
    <w:rsid w:val="00FF7C0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1">
    <w:name w:val="heading 1"/>
    <w:basedOn w:val="Normal"/>
    <w:next w:val="Normal"/>
    <w:link w:val="Titre1Car"/>
    <w:qFormat/>
    <w:rsid w:val="00A94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eastAsia="en-US"/>
    </w:rPr>
  </w:style>
  <w:style w:type="character" w:styleId="Lienhypertexte">
    <w:name w:val="Hyperlink"/>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eastAsia="en-US"/>
    </w:rPr>
  </w:style>
  <w:style w:type="paragraph" w:styleId="Paragraphedeliste">
    <w:name w:val="List Paragraph"/>
    <w:basedOn w:val="Normal"/>
    <w:uiPriority w:val="34"/>
    <w:qFormat/>
    <w:rsid w:val="005908B4"/>
    <w:pPr>
      <w:ind w:left="720"/>
      <w:contextualSpacing/>
    </w:pPr>
  </w:style>
  <w:style w:type="character" w:customStyle="1" w:styleId="Titre1Car">
    <w:name w:val="Titre 1 Car"/>
    <w:basedOn w:val="Policepardfaut"/>
    <w:link w:val="Titre1"/>
    <w:rsid w:val="00A94222"/>
    <w:rPr>
      <w:rFonts w:asciiTheme="majorHAnsi" w:eastAsiaTheme="majorEastAsia" w:hAnsiTheme="majorHAnsi" w:cstheme="majorBidi"/>
      <w:color w:val="365F91" w:themeColor="accent1" w:themeShade="BF"/>
      <w:sz w:val="32"/>
      <w:szCs w:val="32"/>
      <w:lang w:val="fr-FR"/>
    </w:rPr>
  </w:style>
  <w:style w:type="paragraph" w:styleId="Rvision">
    <w:name w:val="Revision"/>
    <w:hidden/>
    <w:semiHidden/>
    <w:rsid w:val="00A94648"/>
    <w:rPr>
      <w:rFonts w:ascii="Times New Roman" w:eastAsia="Times New Roman" w:hAnsi="Times New Roman"/>
      <w:sz w:val="22"/>
      <w:szCs w:val="24"/>
    </w:rPr>
  </w:style>
  <w:style w:type="character" w:styleId="Mentionnonrsolue">
    <w:name w:val="Unresolved Mention"/>
    <w:basedOn w:val="Policepardfaut"/>
    <w:uiPriority w:val="99"/>
    <w:semiHidden/>
    <w:unhideWhenUsed/>
    <w:rsid w:val="00880290"/>
    <w:rPr>
      <w:color w:val="605E5C"/>
      <w:shd w:val="clear" w:color="auto" w:fill="E1DFDD"/>
    </w:rPr>
  </w:style>
  <w:style w:type="character" w:styleId="Lienhypertextesuivivisit">
    <w:name w:val="FollowedHyperlink"/>
    <w:basedOn w:val="Policepardfaut"/>
    <w:semiHidden/>
    <w:unhideWhenUsed/>
    <w:rsid w:val="00181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EXP-1_Rev.3.-FR.docx" TargetMode="External"/><Relationship Id="rId13" Type="http://schemas.openxmlformats.org/officeDocument/2006/relationships/hyperlink" Target="https://ich.unesco.org/doc/src/Presentation_Rieks_Smeets_FR.pdf" TargetMode="External"/><Relationship Id="rId18" Type="http://schemas.openxmlformats.org/officeDocument/2006/relationships/hyperlink" Target="https://ich.unesco.org/doc/src/LHE-21-EXP-2_Rev.4.-FR.docx" TargetMode="External"/><Relationship Id="rId26" Type="http://schemas.openxmlformats.org/officeDocument/2006/relationships/hyperlink" Target="https://ich.unesco.org/doc/src/LHE-21-16.COM_WG-3-FR.docx" TargetMode="External"/><Relationship Id="rId3" Type="http://schemas.openxmlformats.org/officeDocument/2006/relationships/styles" Target="styles.xml"/><Relationship Id="rId21" Type="http://schemas.openxmlformats.org/officeDocument/2006/relationships/hyperlink" Target="https://ich.unesco.org/doc/src/52147-FR.docx" TargetMode="External"/><Relationship Id="rId7" Type="http://schemas.openxmlformats.org/officeDocument/2006/relationships/endnotes" Target="endnotes.xml"/><Relationship Id="rId12" Type="http://schemas.openxmlformats.org/officeDocument/2006/relationships/hyperlink" Target="https://ich.unesco.org/doc/src/R%C3%A9union_d'experts_Pr%C3%A9sentation_du_Secr%C3%A9tariat-FR.pdf" TargetMode="External"/><Relationship Id="rId17" Type="http://schemas.openxmlformats.org/officeDocument/2006/relationships/hyperlink" Target="https://ich.unesco.org/doc/src/LHE-21-EXP-5-FR.docx" TargetMode="External"/><Relationship Id="rId25" Type="http://schemas.openxmlformats.org/officeDocument/2006/relationships/hyperlink" Target="https://ich.unesco.org/doc/src/52151-FR.docx" TargetMode="External"/><Relationship Id="rId2" Type="http://schemas.openxmlformats.org/officeDocument/2006/relationships/numbering" Target="numbering.xml"/><Relationship Id="rId16" Type="http://schemas.openxmlformats.org/officeDocument/2006/relationships/hyperlink" Target="https://ich.unesco.org/doc/src/LHE-21-EXP-4-FR_.docx" TargetMode="External"/><Relationship Id="rId20" Type="http://schemas.openxmlformats.org/officeDocument/2006/relationships/hyperlink" Target="https://ich.unesco.org/doc/src/52146-FR.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EXP-6_Rev.5-EN-FR.docx" TargetMode="External"/><Relationship Id="rId24" Type="http://schemas.openxmlformats.org/officeDocument/2006/relationships/hyperlink" Target="https://ich.unesco.org/doc/src/52150-FR.docx" TargetMode="External"/><Relationship Id="rId5" Type="http://schemas.openxmlformats.org/officeDocument/2006/relationships/webSettings" Target="webSettings.xml"/><Relationship Id="rId15" Type="http://schemas.openxmlformats.org/officeDocument/2006/relationships/hyperlink" Target="https://ich.unesco.org/doc/src/Pr%C3%A9sentation_d'Eva_Kuminkov%C3%A1_R%C3%A9flexion_sur_les_m%C3%A9canismes_d%E2%80%99inscription_du_point_de_vue_des_organes_consultatifs-FR.pdf" TargetMode="External"/><Relationship Id="rId23" Type="http://schemas.openxmlformats.org/officeDocument/2006/relationships/hyperlink" Target="https://ich.unesco.org/doc/src/52149-FR.docx" TargetMode="External"/><Relationship Id="rId28" Type="http://schemas.openxmlformats.org/officeDocument/2006/relationships/header" Target="header2.xml"/><Relationship Id="rId10" Type="http://schemas.openxmlformats.org/officeDocument/2006/relationships/hyperlink" Target="https://ich.unesco.org/doc/src/LHE-19-14.COM-14-FR.docx" TargetMode="External"/><Relationship Id="rId19" Type="http://schemas.openxmlformats.org/officeDocument/2006/relationships/hyperlink" Target="https://ich.unesco.org/fr/online-meeting-of-experts-category-vi-0116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EXP-2_Rev.4.-FR.docx" TargetMode="External"/><Relationship Id="rId14" Type="http://schemas.openxmlformats.org/officeDocument/2006/relationships/hyperlink" Target="https://ich.unesco.org/doc/src/LHE-21-EXP-3_Rev.-FR.docx" TargetMode="External"/><Relationship Id="rId22" Type="http://schemas.openxmlformats.org/officeDocument/2006/relationships/hyperlink" Target="https://ich.unesco.org/doc/src/52148-FR.docx"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2021-06-28T18:08:00Z</dcterms:created>
  <dcterms:modified xsi:type="dcterms:W3CDTF">2021-06-29T16:22:00Z</dcterms:modified>
</cp:coreProperties>
</file>