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D5465" w14:textId="77777777" w:rsidR="007C2199" w:rsidRPr="00293C60" w:rsidRDefault="007C2199" w:rsidP="00EC6F8D">
      <w:pPr>
        <w:spacing w:before="1440"/>
        <w:jc w:val="center"/>
        <w:rPr>
          <w:rFonts w:ascii="Arial" w:hAnsi="Arial" w:cs="Arial"/>
          <w:b/>
          <w:sz w:val="22"/>
          <w:szCs w:val="22"/>
        </w:rPr>
      </w:pPr>
      <w:r>
        <w:rPr>
          <w:rFonts w:ascii="Arial" w:hAnsi="Arial"/>
          <w:b/>
          <w:sz w:val="22"/>
        </w:rPr>
        <w:t>CONVENTION POUR LA SAUVEGARDE</w:t>
      </w:r>
      <w:r>
        <w:rPr>
          <w:rFonts w:ascii="Arial" w:hAnsi="Arial" w:cs="Arial"/>
          <w:b/>
          <w:sz w:val="22"/>
          <w:szCs w:val="22"/>
        </w:rPr>
        <w:br/>
      </w:r>
      <w:r>
        <w:rPr>
          <w:rFonts w:ascii="Arial" w:hAnsi="Arial"/>
          <w:b/>
          <w:sz w:val="22"/>
        </w:rPr>
        <w:t>DU PATRIMOINE CULTUREL IMMATÉRIEL</w:t>
      </w:r>
    </w:p>
    <w:p w14:paraId="485B7392" w14:textId="43D6C30A" w:rsidR="007C2199" w:rsidRPr="00293C60" w:rsidRDefault="00121285" w:rsidP="00EC6F8D">
      <w:pPr>
        <w:spacing w:before="1200"/>
        <w:jc w:val="center"/>
        <w:rPr>
          <w:rFonts w:ascii="Arial" w:hAnsi="Arial" w:cs="Arial"/>
          <w:b/>
          <w:sz w:val="22"/>
          <w:szCs w:val="22"/>
        </w:rPr>
      </w:pPr>
      <w:r>
        <w:rPr>
          <w:rFonts w:ascii="Arial" w:hAnsi="Arial"/>
          <w:b/>
          <w:sz w:val="22"/>
        </w:rPr>
        <w:t>COMITÉ INTERGOUVERNEMENTAL DE</w:t>
      </w:r>
      <w:r w:rsidR="007C2199">
        <w:rPr>
          <w:rFonts w:ascii="Arial" w:hAnsi="Arial" w:cs="Arial"/>
          <w:b/>
          <w:sz w:val="22"/>
          <w:szCs w:val="22"/>
        </w:rPr>
        <w:br/>
      </w:r>
      <w:r w:rsidR="007C2199">
        <w:rPr>
          <w:rFonts w:ascii="Arial" w:hAnsi="Arial"/>
          <w:b/>
          <w:sz w:val="22"/>
        </w:rPr>
        <w:t>SAUVEGARDE DU PATRIMOINE CULTUREL IMMATÉRIEL</w:t>
      </w:r>
    </w:p>
    <w:p w14:paraId="776D7746" w14:textId="77777777" w:rsidR="007C2199" w:rsidRPr="00293C60" w:rsidRDefault="007C2199" w:rsidP="00EC6F8D">
      <w:pPr>
        <w:spacing w:before="840"/>
        <w:jc w:val="center"/>
        <w:rPr>
          <w:rFonts w:ascii="Arial" w:hAnsi="Arial" w:cs="Arial"/>
          <w:b/>
          <w:sz w:val="22"/>
          <w:szCs w:val="22"/>
        </w:rPr>
      </w:pPr>
      <w:r>
        <w:rPr>
          <w:rFonts w:ascii="Arial" w:hAnsi="Arial"/>
          <w:b/>
          <w:sz w:val="22"/>
        </w:rPr>
        <w:t>Onzième session</w:t>
      </w:r>
    </w:p>
    <w:p w14:paraId="3D85A8AC" w14:textId="25F48CE2" w:rsidR="007C2199" w:rsidRDefault="00121285" w:rsidP="005E7074">
      <w:pPr>
        <w:jc w:val="center"/>
        <w:rPr>
          <w:rFonts w:ascii="Arial" w:hAnsi="Arial" w:cs="Arial"/>
          <w:b/>
          <w:sz w:val="22"/>
          <w:szCs w:val="22"/>
        </w:rPr>
      </w:pPr>
      <w:r>
        <w:rPr>
          <w:rFonts w:ascii="Arial" w:hAnsi="Arial"/>
          <w:b/>
          <w:sz w:val="22"/>
        </w:rPr>
        <w:t>Addis-Abeba, Éthiopie</w:t>
      </w:r>
    </w:p>
    <w:p w14:paraId="4BA4AC38" w14:textId="77777777" w:rsidR="007C2199" w:rsidRPr="00293C60" w:rsidRDefault="007C2199" w:rsidP="00EC6F8D">
      <w:pPr>
        <w:jc w:val="center"/>
        <w:rPr>
          <w:rFonts w:ascii="Arial" w:hAnsi="Arial" w:cs="Arial"/>
          <w:b/>
          <w:sz w:val="22"/>
          <w:szCs w:val="22"/>
        </w:rPr>
      </w:pPr>
      <w:r>
        <w:rPr>
          <w:rFonts w:ascii="Arial" w:hAnsi="Arial"/>
          <w:b/>
          <w:sz w:val="22"/>
        </w:rPr>
        <w:t>28 novembre – 2 décembre 2016</w:t>
      </w:r>
    </w:p>
    <w:p w14:paraId="076FC31A" w14:textId="77777777" w:rsidR="007C2199" w:rsidRPr="00293C60" w:rsidRDefault="007C2199" w:rsidP="00EC6F8D">
      <w:pPr>
        <w:pStyle w:val="Sansinterligne2"/>
        <w:spacing w:before="1200"/>
        <w:jc w:val="center"/>
        <w:rPr>
          <w:rFonts w:ascii="Arial" w:hAnsi="Arial" w:cs="Arial"/>
          <w:b/>
          <w:sz w:val="22"/>
          <w:szCs w:val="22"/>
        </w:rPr>
      </w:pPr>
      <w:r>
        <w:rPr>
          <w:rFonts w:ascii="Arial" w:hAnsi="Arial"/>
          <w:b/>
          <w:sz w:val="22"/>
          <w:u w:val="single"/>
        </w:rPr>
        <w:t>Point 5 de l</w:t>
      </w:r>
      <w:r w:rsidR="003C2B6A">
        <w:rPr>
          <w:rFonts w:ascii="Arial" w:hAnsi="Arial"/>
          <w:b/>
          <w:sz w:val="22"/>
          <w:u w:val="single"/>
        </w:rPr>
        <w:t>’</w:t>
      </w:r>
      <w:r>
        <w:rPr>
          <w:rFonts w:ascii="Arial" w:hAnsi="Arial"/>
          <w:b/>
          <w:sz w:val="22"/>
          <w:u w:val="single"/>
        </w:rPr>
        <w:t>ordre du jour provisoire</w:t>
      </w:r>
      <w:r>
        <w:rPr>
          <w:rFonts w:ascii="Arial" w:hAnsi="Arial"/>
          <w:b/>
          <w:sz w:val="22"/>
        </w:rPr>
        <w:t> :</w:t>
      </w:r>
    </w:p>
    <w:p w14:paraId="659C7F5B" w14:textId="77777777" w:rsidR="007C2199" w:rsidRPr="00293C60" w:rsidRDefault="007C2199" w:rsidP="00EC6F8D">
      <w:pPr>
        <w:pStyle w:val="Sansinterligne2"/>
        <w:spacing w:after="1200"/>
        <w:jc w:val="center"/>
        <w:rPr>
          <w:rFonts w:ascii="Arial" w:hAnsi="Arial" w:cs="Arial"/>
          <w:b/>
          <w:sz w:val="22"/>
          <w:szCs w:val="22"/>
        </w:rPr>
      </w:pPr>
      <w:r>
        <w:rPr>
          <w:rFonts w:ascii="Arial" w:hAnsi="Arial"/>
          <w:b/>
          <w:sz w:val="22"/>
        </w:rPr>
        <w:t>Rapport du Secrétariat sur ses activités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tblGrid>
      <w:tr w:rsidR="007C2199" w:rsidRPr="003A2FFA" w14:paraId="6F00F088" w14:textId="77777777" w:rsidTr="00543205">
        <w:trPr>
          <w:jc w:val="center"/>
        </w:trPr>
        <w:tc>
          <w:tcPr>
            <w:tcW w:w="5670" w:type="dxa"/>
            <w:vAlign w:val="center"/>
          </w:tcPr>
          <w:p w14:paraId="3FCEA7C4" w14:textId="77777777" w:rsidR="007C2199" w:rsidRPr="00293C60" w:rsidRDefault="007C2199" w:rsidP="00CA56BB">
            <w:pPr>
              <w:pStyle w:val="Sansinterligne1"/>
              <w:spacing w:before="200" w:after="200"/>
              <w:jc w:val="center"/>
              <w:rPr>
                <w:rFonts w:ascii="Arial" w:hAnsi="Arial" w:cs="Arial"/>
                <w:b/>
                <w:sz w:val="22"/>
                <w:szCs w:val="22"/>
              </w:rPr>
            </w:pPr>
            <w:r>
              <w:rPr>
                <w:rFonts w:ascii="Arial" w:hAnsi="Arial"/>
                <w:b/>
                <w:sz w:val="22"/>
              </w:rPr>
              <w:t>Résumé</w:t>
            </w:r>
          </w:p>
          <w:p w14:paraId="7606DEA5" w14:textId="77777777" w:rsidR="007C2199" w:rsidRPr="00F41D50" w:rsidRDefault="007C2199" w:rsidP="0003224C">
            <w:pPr>
              <w:pStyle w:val="Sansinterligne2"/>
              <w:spacing w:before="200" w:after="200"/>
              <w:jc w:val="both"/>
              <w:rPr>
                <w:rFonts w:ascii="Arial" w:hAnsi="Arial" w:cs="Arial"/>
                <w:sz w:val="22"/>
                <w:szCs w:val="22"/>
              </w:rPr>
            </w:pPr>
            <w:r>
              <w:rPr>
                <w:rFonts w:ascii="Arial" w:hAnsi="Arial"/>
                <w:sz w:val="22"/>
              </w:rPr>
              <w:t>Ce document présente les activités menées à bien par le Secrétariat de la Convention pour la sauvegarde du patrimoine culturel immatériel au cours des six premiers mois de l</w:t>
            </w:r>
            <w:r w:rsidR="003C2B6A">
              <w:rPr>
                <w:rFonts w:ascii="Arial" w:hAnsi="Arial"/>
                <w:sz w:val="22"/>
              </w:rPr>
              <w:t>’</w:t>
            </w:r>
            <w:r>
              <w:rPr>
                <w:rFonts w:ascii="Arial" w:hAnsi="Arial"/>
                <w:sz w:val="22"/>
              </w:rPr>
              <w:t>exercice biennal 2016-2017.</w:t>
            </w:r>
          </w:p>
          <w:p w14:paraId="009854FC" w14:textId="77777777" w:rsidR="007C2199" w:rsidRPr="00293C60" w:rsidRDefault="007C2199" w:rsidP="00CD0EDD">
            <w:pPr>
              <w:pStyle w:val="Sansinterligne2"/>
              <w:spacing w:before="200" w:after="200"/>
              <w:jc w:val="both"/>
              <w:rPr>
                <w:rFonts w:ascii="Arial" w:hAnsi="Arial" w:cs="Arial"/>
                <w:b/>
                <w:sz w:val="22"/>
                <w:szCs w:val="22"/>
              </w:rPr>
            </w:pPr>
            <w:r>
              <w:rPr>
                <w:rFonts w:ascii="Arial" w:hAnsi="Arial"/>
                <w:b/>
                <w:sz w:val="22"/>
              </w:rPr>
              <w:t xml:space="preserve">Décision requise : </w:t>
            </w:r>
            <w:r>
              <w:rPr>
                <w:rFonts w:ascii="Arial" w:hAnsi="Arial"/>
                <w:sz w:val="22"/>
              </w:rPr>
              <w:t>paragraphe 29</w:t>
            </w:r>
          </w:p>
        </w:tc>
      </w:tr>
    </w:tbl>
    <w:p w14:paraId="121878F6" w14:textId="77777777" w:rsidR="007C2199" w:rsidRPr="00FB17B8" w:rsidRDefault="007C2199" w:rsidP="00343868">
      <w:pPr>
        <w:pStyle w:val="COMPara"/>
        <w:ind w:left="567" w:hanging="567"/>
        <w:jc w:val="both"/>
      </w:pPr>
      <w:r>
        <w:br w:type="page"/>
      </w:r>
      <w:r>
        <w:lastRenderedPageBreak/>
        <w:t>Le présent rapport porte sur les activités du Secrétariat pendant les six premiers mois de l</w:t>
      </w:r>
      <w:r w:rsidR="003C2B6A">
        <w:t>’</w:t>
      </w:r>
      <w:r>
        <w:t>exercice biennal, de janvier à juin 2016. Il doit être lu conjointement avec les documents suivants : l</w:t>
      </w:r>
      <w:r w:rsidR="003C2B6A">
        <w:t>’</w:t>
      </w:r>
      <w:r>
        <w:t xml:space="preserve">état financier du Fonds de la Convention pour la sauvegarde du patrimoine culturel immatériel </w:t>
      </w:r>
      <w:r w:rsidRPr="0047302F">
        <w:t xml:space="preserve">(document </w:t>
      </w:r>
      <w:hyperlink r:id="rId8" w:history="1">
        <w:r w:rsidRPr="0047302F">
          <w:rPr>
            <w:rStyle w:val="Hyperlink"/>
            <w:rFonts w:cs="Arial"/>
          </w:rPr>
          <w:t>ITH/16/11.COM/INF.5</w:t>
        </w:r>
      </w:hyperlink>
      <w:r w:rsidRPr="0047302F">
        <w:t>),</w:t>
      </w:r>
      <w:r>
        <w:t xml:space="preserve"> le rapport du Secrétariat sur ses activités destiné à l</w:t>
      </w:r>
      <w:r w:rsidR="003C2B6A">
        <w:t>’</w:t>
      </w:r>
      <w:r>
        <w:t>Assemblée générale (</w:t>
      </w:r>
      <w:r w:rsidRPr="0047302F">
        <w:rPr>
          <w:rFonts w:cs="Times New Roman"/>
        </w:rPr>
        <w:t xml:space="preserve">document </w:t>
      </w:r>
      <w:hyperlink r:id="rId9" w:history="1">
        <w:r w:rsidRPr="0047302F">
          <w:rPr>
            <w:rStyle w:val="Hyperlink"/>
          </w:rPr>
          <w:t>ITH/16/6.GA/6</w:t>
        </w:r>
      </w:hyperlink>
      <w:r>
        <w:t>), le suivi des recommandations du rapport du Commissaire aux comptes « Rapport d</w:t>
      </w:r>
      <w:r w:rsidR="003C2B6A">
        <w:t>’</w:t>
      </w:r>
      <w:r>
        <w:t>audit de la gouvernance de l</w:t>
      </w:r>
      <w:r w:rsidR="003C2B6A">
        <w:t>’</w:t>
      </w:r>
      <w:r>
        <w:t xml:space="preserve">UNESCO et des entités, fonds et programmes rattachés » </w:t>
      </w:r>
      <w:r w:rsidRPr="0047302F">
        <w:t xml:space="preserve">(document </w:t>
      </w:r>
      <w:hyperlink r:id="rId10" w:history="1">
        <w:r w:rsidRPr="0047302F">
          <w:rPr>
            <w:rStyle w:val="Hyperlink"/>
            <w:rFonts w:cs="Arial"/>
          </w:rPr>
          <w:t>ITH/16/11.COM/7</w:t>
        </w:r>
      </w:hyperlink>
      <w:r w:rsidRPr="0047302F">
        <w:t>), et les rapports</w:t>
      </w:r>
      <w:r w:rsidR="00235C5B" w:rsidRPr="0047302F">
        <w:t xml:space="preserve"> de la Directrice générale</w:t>
      </w:r>
      <w:r w:rsidRPr="0047302F">
        <w:t xml:space="preserve"> </w:t>
      </w:r>
      <w:r w:rsidR="00235C5B" w:rsidRPr="0047302F">
        <w:t>au Conseil ex</w:t>
      </w:r>
      <w:r w:rsidR="00235C5B">
        <w:t xml:space="preserve">écutif </w:t>
      </w:r>
      <w:r>
        <w:t>sur l</w:t>
      </w:r>
      <w:r w:rsidR="003C2B6A">
        <w:t>’</w:t>
      </w:r>
      <w:r>
        <w:t>exécution du programme adopté par la Conférence générale</w:t>
      </w:r>
      <w:r w:rsidR="00235C5B">
        <w:t xml:space="preserve"> </w:t>
      </w:r>
      <w:r>
        <w:t>(EX/4).</w:t>
      </w:r>
    </w:p>
    <w:p w14:paraId="4FE5356E" w14:textId="77777777" w:rsidR="007C2199" w:rsidRDefault="007C2199" w:rsidP="001C6280">
      <w:pPr>
        <w:pStyle w:val="COMPara"/>
        <w:ind w:left="567" w:hanging="567"/>
        <w:jc w:val="both"/>
      </w:pPr>
      <w:r w:rsidRPr="00863317">
        <w:rPr>
          <w:bCs/>
        </w:rPr>
        <w:t>Ce</w:t>
      </w:r>
      <w:r>
        <w:t xml:space="preserve"> document présente une évaluation stratégique globale de la mise en œuvre du programme portant, plus précisément, sur les réalisations clés</w:t>
      </w:r>
      <w:r w:rsidR="00235C5B">
        <w:t xml:space="preserve"> et</w:t>
      </w:r>
      <w:r>
        <w:t xml:space="preserve"> les principales difficultés rencontrées </w:t>
      </w:r>
      <w:r w:rsidR="00235C5B">
        <w:t xml:space="preserve">dans la mise en œuvre ainsi que </w:t>
      </w:r>
      <w:r>
        <w:t>les actions correctives. La deuxième partie évalue les progrès accomplis par rapport aux objectifs adoptés dans le cadre du Programme et budget 2016–2017 de l</w:t>
      </w:r>
      <w:r w:rsidR="003C2B6A">
        <w:t>’</w:t>
      </w:r>
      <w:r>
        <w:t>organisation (</w:t>
      </w:r>
      <w:hyperlink r:id="rId11">
        <w:r>
          <w:rPr>
            <w:rStyle w:val="Hyperlink"/>
          </w:rPr>
          <w:t>document 38 C/5 programme et budget 2016-2017 approuvé, 2016-2017 : deuxième exercice biennal de l</w:t>
        </w:r>
        <w:r w:rsidR="003C2B6A">
          <w:rPr>
            <w:rStyle w:val="Hyperlink"/>
          </w:rPr>
          <w:t>’</w:t>
        </w:r>
        <w:r>
          <w:rPr>
            <w:rStyle w:val="Hyperlink"/>
          </w:rPr>
          <w:t>exercice quadriennal 2014-2017</w:t>
        </w:r>
      </w:hyperlink>
      <w:r>
        <w:t>) par indicateur de performance.</w:t>
      </w:r>
      <w:r w:rsidR="00F2607B" w:rsidRPr="00F2607B">
        <w:t xml:space="preserve"> </w:t>
      </w:r>
      <w:r w:rsidR="00F2607B">
        <w:t>Par ailleurs, le présent rapport contient deux annexes consacrées au suivi des audits et évaluations du Service d</w:t>
      </w:r>
      <w:r w:rsidR="003C2B6A">
        <w:t>’</w:t>
      </w:r>
      <w:r w:rsidR="00F2607B">
        <w:t>évaluation et d</w:t>
      </w:r>
      <w:r w:rsidR="003C2B6A">
        <w:t>’</w:t>
      </w:r>
      <w:r w:rsidR="00F2607B">
        <w:t>audit (IOS).</w:t>
      </w:r>
    </w:p>
    <w:p w14:paraId="273FA26A" w14:textId="77777777" w:rsidR="007C2199" w:rsidRDefault="007C2199" w:rsidP="001C6280">
      <w:pPr>
        <w:pStyle w:val="COMPara"/>
        <w:ind w:left="567" w:hanging="567"/>
        <w:jc w:val="both"/>
      </w:pPr>
      <w:r>
        <w:t>La période de rapport ne couvre que six mois (de janvier à juin 2016) pour aligner la périodicité des rapports du Secrétariat au Comité et les autres mécanismes de rapport de l</w:t>
      </w:r>
      <w:r w:rsidR="003C2B6A">
        <w:t>’</w:t>
      </w:r>
      <w:r>
        <w:t>UNESCO. L</w:t>
      </w:r>
      <w:r w:rsidR="003C2B6A">
        <w:t>’</w:t>
      </w:r>
      <w:r>
        <w:t xml:space="preserve">intention est aussi de rationaliser la période couverte par tous les </w:t>
      </w:r>
      <w:r w:rsidR="00D457E3">
        <w:t>autres rapports au Comité.</w:t>
      </w:r>
    </w:p>
    <w:p w14:paraId="4F469419" w14:textId="77777777" w:rsidR="007C2199" w:rsidRPr="00F2607B" w:rsidRDefault="007C2199" w:rsidP="0055471C">
      <w:pPr>
        <w:pStyle w:val="COMPara"/>
        <w:numPr>
          <w:ilvl w:val="0"/>
          <w:numId w:val="7"/>
        </w:numPr>
        <w:spacing w:before="360"/>
        <w:ind w:left="567" w:hanging="567"/>
        <w:jc w:val="both"/>
        <w:rPr>
          <w:b/>
        </w:rPr>
      </w:pPr>
      <w:r w:rsidRPr="00F2607B">
        <w:rPr>
          <w:b/>
        </w:rPr>
        <w:t>Évaluation stratégique globale</w:t>
      </w:r>
    </w:p>
    <w:p w14:paraId="61AC69E2" w14:textId="77777777" w:rsidR="007C2199" w:rsidRDefault="007C2199" w:rsidP="00E653FF">
      <w:pPr>
        <w:pStyle w:val="COMPara"/>
        <w:numPr>
          <w:ilvl w:val="0"/>
          <w:numId w:val="0"/>
        </w:numPr>
        <w:spacing w:before="240"/>
        <w:ind w:left="357" w:hanging="357"/>
        <w:jc w:val="both"/>
        <w:rPr>
          <w:b/>
        </w:rPr>
      </w:pPr>
      <w:r>
        <w:rPr>
          <w:b/>
        </w:rPr>
        <w:t>Réalisations clés</w:t>
      </w:r>
    </w:p>
    <w:p w14:paraId="2E66E509" w14:textId="77777777" w:rsidR="007C2199" w:rsidRDefault="007C2199" w:rsidP="00ED6936">
      <w:pPr>
        <w:pStyle w:val="COMPara"/>
        <w:ind w:left="567" w:hanging="567"/>
        <w:jc w:val="both"/>
      </w:pPr>
      <w:r>
        <w:t xml:space="preserve">Sur la période considérée, le Secrétariat a </w:t>
      </w:r>
      <w:r w:rsidR="00235C5B">
        <w:t>facilité les travaux d</w:t>
      </w:r>
      <w:r>
        <w:t xml:space="preserve">es organes directeurs </w:t>
      </w:r>
      <w:r w:rsidR="00235C5B">
        <w:t xml:space="preserve">en vue de </w:t>
      </w:r>
      <w:r>
        <w:t xml:space="preserve">prendre des décisions clés. </w:t>
      </w:r>
      <w:r w:rsidR="00235C5B">
        <w:t xml:space="preserve">Parmi les </w:t>
      </w:r>
      <w:r>
        <w:t xml:space="preserve">cinq réunions statutaires </w:t>
      </w:r>
      <w:r w:rsidR="00235C5B">
        <w:t xml:space="preserve">organisées par le Secrétariat </w:t>
      </w:r>
      <w:r>
        <w:t>entre janvier et juin 2016, la sixième session de l</w:t>
      </w:r>
      <w:r w:rsidR="003C2B6A">
        <w:t>’</w:t>
      </w:r>
      <w:r>
        <w:t xml:space="preserve">Assemblée générale </w:t>
      </w:r>
      <w:r w:rsidR="00235C5B">
        <w:t xml:space="preserve">a constitué une étape importante avec </w:t>
      </w:r>
      <w:r>
        <w:t>l</w:t>
      </w:r>
      <w:r w:rsidR="003C2B6A">
        <w:t>’</w:t>
      </w:r>
      <w:r>
        <w:t>élection de 12 nouveaux membres du Comité et l</w:t>
      </w:r>
      <w:r w:rsidR="003C2B6A">
        <w:t>’</w:t>
      </w:r>
      <w:r>
        <w:t>approbation du plan d</w:t>
      </w:r>
      <w:r w:rsidR="003C2B6A">
        <w:t>’</w:t>
      </w:r>
      <w:r>
        <w:t>utilisation des ressources du Fonds du patrimoine culturel immatériel (</w:t>
      </w:r>
      <w:hyperlink r:id="rId12">
        <w:r>
          <w:rPr>
            <w:rStyle w:val="Hyperlink"/>
          </w:rPr>
          <w:t>résolution 6.GA 9</w:t>
        </w:r>
      </w:hyperlink>
      <w:r>
        <w:t xml:space="preserve">). À cette même </w:t>
      </w:r>
      <w:r w:rsidR="00235C5B">
        <w:t>session</w:t>
      </w:r>
      <w:r>
        <w:t>, l</w:t>
      </w:r>
      <w:r w:rsidR="003C2B6A">
        <w:t>’</w:t>
      </w:r>
      <w:r>
        <w:t>Assemblée a également adopté des révisions importantes des Directives opérationnelles pour la mise en œuvre de la Convention de 2003, notamment la hausse du plafond de demandes d</w:t>
      </w:r>
      <w:r w:rsidR="003C2B6A">
        <w:t>’</w:t>
      </w:r>
      <w:r>
        <w:t>assistance internationale soumises au Bureau du Comité de 25 000 à 100 000 dollars des États-Unis, l</w:t>
      </w:r>
      <w:r w:rsidR="003C2B6A">
        <w:t>’</w:t>
      </w:r>
      <w:r>
        <w:t>adoption d</w:t>
      </w:r>
      <w:r w:rsidR="003C2B6A">
        <w:t>’</w:t>
      </w:r>
      <w:r>
        <w:t>un nouveau chapitre sur la sauvegarde du patrimoine culturel immatériel et le développement durable</w:t>
      </w:r>
      <w:r w:rsidR="00235C5B">
        <w:t>,</w:t>
      </w:r>
      <w:r>
        <w:t xml:space="preserve"> et l</w:t>
      </w:r>
      <w:r w:rsidR="003C2B6A">
        <w:t>’</w:t>
      </w:r>
      <w:r>
        <w:t>extension de l</w:t>
      </w:r>
      <w:r w:rsidR="003C2B6A">
        <w:t>’</w:t>
      </w:r>
      <w:r>
        <w:t>option de renvoi (précédemment utilisée pour la Liste représentative uniquement) à toutes les propositions d</w:t>
      </w:r>
      <w:r w:rsidR="003C2B6A">
        <w:t>’</w:t>
      </w:r>
      <w:r>
        <w:t>inscription sur les Listes, au choix des meilleures pratiques de sauvegarde et à l</w:t>
      </w:r>
      <w:r w:rsidR="003C2B6A">
        <w:t>’</w:t>
      </w:r>
      <w:r>
        <w:t>approbation des demandes d</w:t>
      </w:r>
      <w:r w:rsidR="003C2B6A">
        <w:t>’</w:t>
      </w:r>
      <w:r>
        <w:t>assistance internationale.</w:t>
      </w:r>
    </w:p>
    <w:p w14:paraId="3C6D4D42" w14:textId="77777777" w:rsidR="007C2199" w:rsidRDefault="007C2199" w:rsidP="005E1FA7">
      <w:pPr>
        <w:pStyle w:val="COMPara"/>
        <w:ind w:left="567" w:hanging="567"/>
        <w:jc w:val="both"/>
      </w:pPr>
      <w:r>
        <w:t xml:space="preserve">Cette hausse du plafond à 100 000 dollars des États-Unis </w:t>
      </w:r>
      <w:r w:rsidR="00235C5B">
        <w:t>pour les demandes d</w:t>
      </w:r>
      <w:r w:rsidR="003C2B6A">
        <w:t>’</w:t>
      </w:r>
      <w:r w:rsidR="00235C5B">
        <w:t xml:space="preserve">assistance internationale </w:t>
      </w:r>
      <w:r>
        <w:t>constitue un grand progrès, en permettant aux États parties d</w:t>
      </w:r>
      <w:r w:rsidR="003C2B6A">
        <w:t>’</w:t>
      </w:r>
      <w:r>
        <w:t>accéder plus facilement à l</w:t>
      </w:r>
      <w:r w:rsidR="003C2B6A">
        <w:t>’</w:t>
      </w:r>
      <w:r>
        <w:t>assistance internationale. En d</w:t>
      </w:r>
      <w:r w:rsidR="003C2B6A">
        <w:t>’</w:t>
      </w:r>
      <w:r>
        <w:t>autres termes, un État partie peut désormais soumettre les demandes importantes d</w:t>
      </w:r>
      <w:r w:rsidR="003C2B6A">
        <w:t>’</w:t>
      </w:r>
      <w:r>
        <w:t xml:space="preserve">assistance financière sans perdre </w:t>
      </w:r>
      <w:r w:rsidR="00235C5B">
        <w:t xml:space="preserve">son droit </w:t>
      </w:r>
      <w:r>
        <w:t>de soumettre, la même année, une candidature, une autre demande supérieure à 100 000 dollars des États-Unis ou une proposition au Comité. Ce nouveau plafond devrait inverser la tendance à la sous-utilisation du Fonds du patrimoine culturel immatériel. Pour l</w:t>
      </w:r>
      <w:r w:rsidR="003C2B6A">
        <w:t>’</w:t>
      </w:r>
      <w:r>
        <w:t>heure, la situation reste préoccupante puisque, sur la période couverte par le présent rapport, seuls cinq projets ont bénéficié d</w:t>
      </w:r>
      <w:r w:rsidR="003C2B6A">
        <w:t>’</w:t>
      </w:r>
      <w:r>
        <w:t>une assistance internationale jusqu</w:t>
      </w:r>
      <w:r w:rsidR="003C2B6A">
        <w:t>’</w:t>
      </w:r>
      <w:r>
        <w:t>à 25 000 dollars des États-Unis par le Bureau du Comité. Dans le même temps, le Secrétariat a changé la méthode de traitement des demandes d</w:t>
      </w:r>
      <w:r w:rsidR="003C2B6A">
        <w:t>’</w:t>
      </w:r>
      <w:r>
        <w:t>assistance internationale jusqu</w:t>
      </w:r>
      <w:r w:rsidR="003C2B6A">
        <w:t>’</w:t>
      </w:r>
      <w:r>
        <w:t>à 100 000 dollars des États-Unis en organisant au moins trois réunions du Bureau par an (en mars, juin et octobre) et en appelant les États soumissionnaires à respecter les délais nécessaires pour ces réunions. Dans ce contexte, le nombre de demandes d</w:t>
      </w:r>
      <w:r w:rsidR="003C2B6A">
        <w:t>’</w:t>
      </w:r>
      <w:r>
        <w:t>assistance internationale étudiées par le Bureau a augmenté (6 demandes) par rapport à la même période en 2014 (aucune demande) et 2015 (quatre demandes).</w:t>
      </w:r>
    </w:p>
    <w:p w14:paraId="48399F4A" w14:textId="77777777" w:rsidR="007C2199" w:rsidRPr="005541A9" w:rsidRDefault="007C2199" w:rsidP="00E653FF">
      <w:pPr>
        <w:pStyle w:val="COMPara"/>
        <w:ind w:left="567" w:hanging="567"/>
        <w:jc w:val="both"/>
      </w:pPr>
      <w:r>
        <w:lastRenderedPageBreak/>
        <w:t>L</w:t>
      </w:r>
      <w:r w:rsidR="003C2B6A">
        <w:t>’</w:t>
      </w:r>
      <w:r>
        <w:t xml:space="preserve">adoption du nouveau chapitre des Directives opérationnelles sur la sauvegarde du patrimoine culturel immatériel et le développement durable marque une nouvelle étape </w:t>
      </w:r>
      <w:r w:rsidR="00235C5B">
        <w:t xml:space="preserve">importante </w:t>
      </w:r>
      <w:r>
        <w:t>dans le développement de la Convention en lien avec l</w:t>
      </w:r>
      <w:r w:rsidR="003C2B6A">
        <w:t>’</w:t>
      </w:r>
      <w:r>
        <w:t>adoption, en septembre 2015, du Programme de développement durable à l</w:t>
      </w:r>
      <w:r w:rsidR="003C2B6A">
        <w:t>’</w:t>
      </w:r>
      <w:r>
        <w:t xml:space="preserve">horizon 2030 par le système des Nations Unies. Ce chapitre </w:t>
      </w:r>
      <w:r w:rsidR="00235C5B">
        <w:t xml:space="preserve">offre </w:t>
      </w:r>
      <w:r>
        <w:t xml:space="preserve">aux États parties </w:t>
      </w:r>
      <w:r w:rsidR="00235C5B">
        <w:t xml:space="preserve">des lignes directrices sur </w:t>
      </w:r>
      <w:r>
        <w:t>les mesures qu</w:t>
      </w:r>
      <w:r w:rsidR="003C2B6A">
        <w:t>’</w:t>
      </w:r>
      <w:r>
        <w:t xml:space="preserve">ils pourraient mettre en œuvre pour développer le potentiel de la Convention </w:t>
      </w:r>
      <w:r w:rsidR="00235C5B">
        <w:t>en tant qu</w:t>
      </w:r>
      <w:r w:rsidR="003C2B6A">
        <w:t>’</w:t>
      </w:r>
      <w:r w:rsidR="00235C5B">
        <w:t xml:space="preserve">outil non seulement </w:t>
      </w:r>
      <w:r>
        <w:t xml:space="preserve">pour la sauvegarde du patrimoine culturel immatériel </w:t>
      </w:r>
      <w:r w:rsidR="00235C5B">
        <w:t xml:space="preserve">mais aussi dans </w:t>
      </w:r>
      <w:r>
        <w:t>la réalisation des objectifs de développement durable à l</w:t>
      </w:r>
      <w:r w:rsidR="003C2B6A">
        <w:t>’</w:t>
      </w:r>
      <w:r>
        <w:t>horizon 2030. Le Secrétariat s</w:t>
      </w:r>
      <w:r w:rsidR="003C2B6A">
        <w:t>’</w:t>
      </w:r>
      <w:r>
        <w:t xml:space="preserve">est efforcé de traduire cette orientation dans un certain nombre de thématiques liées au développement durable et au patrimoine culturel immatériel, </w:t>
      </w:r>
      <w:r w:rsidR="00235C5B">
        <w:t xml:space="preserve">par exemple </w:t>
      </w:r>
      <w:r>
        <w:t>en contribuant à la planification stratégique de l</w:t>
      </w:r>
      <w:r w:rsidR="003C2B6A">
        <w:t>’</w:t>
      </w:r>
      <w:r>
        <w:t>UNESCO sur les questions du changement climatique et du développement urbain. L</w:t>
      </w:r>
      <w:r w:rsidR="003C2B6A">
        <w:t>’</w:t>
      </w:r>
      <w:r>
        <w:t>UNESCO est également en contact avec l</w:t>
      </w:r>
      <w:r w:rsidR="003C2B6A">
        <w:t>’</w:t>
      </w:r>
      <w:r>
        <w:t>Organisation mondiale de la Santé pour étudier des synergies potentielles entre la sauvegarde du patrimoine culturel immatériel et une approche culturelle de la santé.</w:t>
      </w:r>
    </w:p>
    <w:p w14:paraId="65A0AA34" w14:textId="77777777" w:rsidR="007C2199" w:rsidRDefault="007C2199" w:rsidP="005E1FA7">
      <w:pPr>
        <w:pStyle w:val="COMPara"/>
        <w:ind w:left="567" w:hanging="567"/>
        <w:jc w:val="both"/>
      </w:pPr>
      <w:r>
        <w:t>Une partie importante du travail du Secrétariat des organes directeurs de la Convention est liée au traitement des candidatures des deux Listes de la Convention (la Liste du patrimoine culturel immatériel nécessitant une sauvegarde urgente et la Liste représentative du patrimoine culturel immatériel de l</w:t>
      </w:r>
      <w:r w:rsidR="003C2B6A">
        <w:t>’</w:t>
      </w:r>
      <w:r>
        <w:t>humanité), des propositions au Registre des meilleures pratiques de sauvegarde, des demandes d</w:t>
      </w:r>
      <w:r w:rsidR="003C2B6A">
        <w:t>’</w:t>
      </w:r>
      <w:r>
        <w:t>assistance internationale et des rapports périodiques des États parties. Les candidatures du cycle 2017 sont actuellement traitées dans les temps, le Secrétariat ayant réussi, pour la deuxième année consécutive, à envoyer, avant la date butoir du 30 juin, des courriers demandant aux États soumissionnaires des informations complémentaires pour leurs dossiers.</w:t>
      </w:r>
    </w:p>
    <w:p w14:paraId="5FAE824D" w14:textId="77777777" w:rsidR="007C2199" w:rsidRDefault="007C2199" w:rsidP="005E1FA7">
      <w:pPr>
        <w:pStyle w:val="COMPara"/>
        <w:ind w:left="567" w:hanging="567"/>
        <w:jc w:val="both"/>
      </w:pPr>
      <w:r>
        <w:t>La bonne gouvernance de la Convention est également facilitée par l</w:t>
      </w:r>
      <w:r w:rsidR="003C2B6A">
        <w:t>’</w:t>
      </w:r>
      <w:r>
        <w:t>amélioration des services de gestion des connaissances parallèlement à l</w:t>
      </w:r>
      <w:r w:rsidR="003C2B6A">
        <w:t>’</w:t>
      </w:r>
      <w:r>
        <w:t>augmentation du nombre d</w:t>
      </w:r>
      <w:r w:rsidR="003C2B6A">
        <w:t>’</w:t>
      </w:r>
      <w:r>
        <w:t>États parties et à l</w:t>
      </w:r>
      <w:r w:rsidR="003C2B6A">
        <w:t>’</w:t>
      </w:r>
      <w:r>
        <w:t>accumulation des expériences de sauvegarde du patrimoine culturel immatériel. Le travail entrepris pendant la période couverte par le présent rapport a porté sur l</w:t>
      </w:r>
      <w:r w:rsidR="003C2B6A">
        <w:t>’</w:t>
      </w:r>
      <w:r>
        <w:t>amélioration du fonctionnement du système de gestion des connaissances de la Convention et son utilité pour les différents groupes d</w:t>
      </w:r>
      <w:r w:rsidR="003C2B6A">
        <w:t>’</w:t>
      </w:r>
      <w:r>
        <w:t xml:space="preserve">acteurs. Par exemple, </w:t>
      </w:r>
      <w:r>
        <w:rPr>
          <w:color w:val="000000"/>
        </w:rPr>
        <w:t xml:space="preserve">en mai 2016, </w:t>
      </w:r>
      <w:r>
        <w:t>l</w:t>
      </w:r>
      <w:r>
        <w:rPr>
          <w:color w:val="000000"/>
        </w:rPr>
        <w:t xml:space="preserve">e Secrétariat a lancé, </w:t>
      </w:r>
      <w:r>
        <w:t xml:space="preserve">une </w:t>
      </w:r>
      <w:hyperlink r:id="rId13">
        <w:r>
          <w:rPr>
            <w:rStyle w:val="Hyperlink"/>
          </w:rPr>
          <w:t>nouvelle interface de suivi</w:t>
        </w:r>
      </w:hyperlink>
      <w:r>
        <w:rPr>
          <w:color w:val="000000"/>
        </w:rPr>
        <w:t xml:space="preserve">, </w:t>
      </w:r>
      <w:r>
        <w:t xml:space="preserve">permettant aux utilisateurs de consulter les rapports soumis et le calendrier de soumission ainsi que de rechercher des rapports par mécanisme, </w:t>
      </w:r>
      <w:r w:rsidR="00235C5B">
        <w:t xml:space="preserve">statut </w:t>
      </w:r>
      <w:r>
        <w:t>et pays. Le Secrétariat continue à améliorer la page internet consacrée aux centres de catégorie 2 intervenant dans le domaine du patrimoine culturel immatériel (</w:t>
      </w:r>
      <w:hyperlink r:id="rId14" w:history="1">
        <w:r w:rsidRPr="00857D06">
          <w:rPr>
            <w:rStyle w:val="Hyperlink"/>
          </w:rPr>
          <w:t>http://www.unesco.org/culture/ich/fr/Categorie2/</w:t>
        </w:r>
      </w:hyperlink>
      <w:r>
        <w:t xml:space="preserve">) avec les documents clés de chacun des huit centres, comme leurs derniers plans de travail et rapports annuels. </w:t>
      </w:r>
      <w:r>
        <w:rPr>
          <w:color w:val="000000"/>
        </w:rPr>
        <w:t>Le site Internet de la Convention a également été amélioré au niveau de la navigation et de l</w:t>
      </w:r>
      <w:r w:rsidR="003C2B6A">
        <w:rPr>
          <w:color w:val="000000"/>
        </w:rPr>
        <w:t>’</w:t>
      </w:r>
      <w:r>
        <w:rPr>
          <w:color w:val="000000"/>
        </w:rPr>
        <w:t>ergonomie, de l</w:t>
      </w:r>
      <w:r w:rsidR="003C2B6A">
        <w:rPr>
          <w:color w:val="000000"/>
        </w:rPr>
        <w:t>’</w:t>
      </w:r>
      <w:r>
        <w:rPr>
          <w:color w:val="000000"/>
        </w:rPr>
        <w:t>optimisation du moteur de recherche et du contenu multilingue.</w:t>
      </w:r>
    </w:p>
    <w:p w14:paraId="44C9B603" w14:textId="77777777" w:rsidR="007C2199" w:rsidRDefault="007C2199" w:rsidP="008B3386">
      <w:pPr>
        <w:pStyle w:val="COMPara"/>
        <w:ind w:left="567" w:hanging="567"/>
        <w:jc w:val="both"/>
      </w:pPr>
      <w:r>
        <w:t>S</w:t>
      </w:r>
      <w:r w:rsidR="003C2B6A">
        <w:t>’</w:t>
      </w:r>
      <w:r>
        <w:t>agissant de la soumission des rapports périodiques, l</w:t>
      </w:r>
      <w:r w:rsidR="003C2B6A">
        <w:t>’</w:t>
      </w:r>
      <w:r>
        <w:t>importance des retards est préoccupante. Pour améliorer la participation des États parties au processus de rapport, le Secrétariat, à l</w:t>
      </w:r>
      <w:r w:rsidR="003C2B6A">
        <w:t>’</w:t>
      </w:r>
      <w:r>
        <w:t>occasion de la sixième session de l</w:t>
      </w:r>
      <w:r w:rsidR="003C2B6A">
        <w:t>’</w:t>
      </w:r>
      <w:r>
        <w:t>Assemblée générale en juin 2016, a fourni aux États parties des informations détaillées sur le mécanisme de rapport et sur la situation actuelle concernant la soumission des rapports attendus.</w:t>
      </w:r>
      <w:r w:rsidR="00235C5B">
        <w:t xml:space="preserve"> Afin de soutenir les États dans cet effort, l</w:t>
      </w:r>
      <w:r>
        <w:t xml:space="preserve">e Secrétariat a également commencé à actualiser </w:t>
      </w:r>
      <w:r w:rsidRPr="00E967C4">
        <w:t>l</w:t>
      </w:r>
      <w:r w:rsidR="003C2B6A">
        <w:t>’</w:t>
      </w:r>
      <w:r w:rsidRPr="00E967C4">
        <w:t>aide-mémoire</w:t>
      </w:r>
      <w:r>
        <w:t xml:space="preserve"> du formulaire de rapport qui vise à aider les États soumissionnaires à préparer leurs rapports.</w:t>
      </w:r>
    </w:p>
    <w:p w14:paraId="09587C77" w14:textId="77777777" w:rsidR="007C2199" w:rsidRDefault="007C2199" w:rsidP="00830244">
      <w:pPr>
        <w:pStyle w:val="COMPara"/>
        <w:ind w:left="567" w:hanging="567"/>
        <w:jc w:val="both"/>
      </w:pPr>
      <w:r>
        <w:t>Le programme de renforcement des capacités continue à grandement faciliter la mise en œuvre de la Convention en tant que soutien essentiel aux États membres pour renforcer les ressources humaines et institutionnelles consacrées à la sauvegarde du patrimoine culturel immatériel</w:t>
      </w:r>
      <w:r w:rsidR="00C2389F">
        <w:t xml:space="preserve">, y compris </w:t>
      </w:r>
      <w:r>
        <w:t xml:space="preserve">le développement de politiques et stratégies dans différents secteurs. Sur la période couverte par le présent rapport, </w:t>
      </w:r>
      <w:r w:rsidRPr="005E1FA7">
        <w:t>l</w:t>
      </w:r>
      <w:r w:rsidR="003C2B6A">
        <w:t>’</w:t>
      </w:r>
      <w:r w:rsidRPr="005E1FA7">
        <w:t>UNESCO a aidé plus de 50 pays</w:t>
      </w:r>
      <w:r>
        <w:t xml:space="preserve"> à planifier et mettre en œuvre des projets. Dans 38 </w:t>
      </w:r>
      <w:r w:rsidR="00C2389F">
        <w:t xml:space="preserve">de ces </w:t>
      </w:r>
      <w:r>
        <w:t>pays, l</w:t>
      </w:r>
      <w:r w:rsidR="003C2B6A">
        <w:t>’</w:t>
      </w:r>
      <w:r>
        <w:t>UNESCO a mis en œuvre des projets pluriannuels grâce à des ressources extrabudgétaires à travers soit les accords de fonds-en-dépôt ou les contributions affectées au Fonds du patrimoine culturel immatériel (plus d</w:t>
      </w:r>
      <w:r w:rsidR="003C2B6A">
        <w:t>’</w:t>
      </w:r>
      <w:r>
        <w:t xml:space="preserve">information est disponible sur la </w:t>
      </w:r>
      <w:hyperlink r:id="rId15" w:history="1">
        <w:r w:rsidRPr="00320F4B">
          <w:rPr>
            <w:rStyle w:val="Hyperlink"/>
            <w:rFonts w:cs="Arial"/>
          </w:rPr>
          <w:t>page Internet projet</w:t>
        </w:r>
      </w:hyperlink>
      <w:r>
        <w:t xml:space="preserve"> de la Convention). Dans 19 autres pays, l</w:t>
      </w:r>
      <w:r w:rsidR="003C2B6A">
        <w:t>’</w:t>
      </w:r>
      <w:r>
        <w:t xml:space="preserve">UNESCO a mis en œuvre des activités individuelles financées avec les faibles </w:t>
      </w:r>
      <w:r>
        <w:lastRenderedPageBreak/>
        <w:t>fonds du programme régulier de l</w:t>
      </w:r>
      <w:r w:rsidR="003C2B6A">
        <w:t>’</w:t>
      </w:r>
      <w:r>
        <w:t>UNESCO (</w:t>
      </w:r>
      <w:r w:rsidR="00C2389F">
        <w:t xml:space="preserve">soit </w:t>
      </w:r>
      <w:r>
        <w:t>des évaluations des besoins</w:t>
      </w:r>
      <w:r w:rsidR="00C2389F">
        <w:t xml:space="preserve"> ou </w:t>
      </w:r>
      <w:r>
        <w:t xml:space="preserve">un soutien </w:t>
      </w:r>
      <w:r w:rsidR="00C2389F">
        <w:t>spécifique</w:t>
      </w:r>
      <w:r>
        <w:t xml:space="preserve"> à des politiques ou encore un atelier de formation spécifique).</w:t>
      </w:r>
    </w:p>
    <w:p w14:paraId="22AB9FDF" w14:textId="77777777" w:rsidR="007C2199" w:rsidRPr="00830244" w:rsidRDefault="00C2389F" w:rsidP="001244EB">
      <w:pPr>
        <w:pStyle w:val="COMPara"/>
        <w:ind w:left="567" w:hanging="567"/>
        <w:jc w:val="both"/>
      </w:pPr>
      <w:r w:rsidRPr="005953C7">
        <w:t>Parmi</w:t>
      </w:r>
      <w:r w:rsidRPr="00D05623">
        <w:t xml:space="preserve"> les récentes </w:t>
      </w:r>
      <w:r w:rsidRPr="005953C7">
        <w:t>réalisations</w:t>
      </w:r>
      <w:r w:rsidRPr="00D05623">
        <w:t xml:space="preserve"> figurant également </w:t>
      </w:r>
      <w:r>
        <w:t>l</w:t>
      </w:r>
      <w:r w:rsidRPr="00D05623">
        <w:t>es évaluations des besoins approfondies réalisées dans dix pays qui constitue</w:t>
      </w:r>
      <w:r>
        <w:t>nt</w:t>
      </w:r>
      <w:r w:rsidRPr="00D05623">
        <w:t xml:space="preserve"> une base très solide pour la prise de </w:t>
      </w:r>
      <w:r w:rsidRPr="005953C7">
        <w:t>décision</w:t>
      </w:r>
      <w:r w:rsidRPr="00D05623">
        <w:t xml:space="preserve"> concernant des choix stratégiques et politiques futurs dans le domaine du patrimoine culturel immatériel. </w:t>
      </w:r>
      <w:r w:rsidR="007C2199">
        <w:t>En particulier, un projet pluriannuel d</w:t>
      </w:r>
      <w:r w:rsidR="003C2B6A">
        <w:t>’</w:t>
      </w:r>
      <w:r w:rsidR="007C2199">
        <w:t>évaluation des besoins a notamment été mené à bien dans sept pays d</w:t>
      </w:r>
      <w:r w:rsidR="003C2B6A">
        <w:t>’</w:t>
      </w:r>
      <w:r w:rsidR="007C2199">
        <w:t>Afrique et de la région arabe (Comores, Djibouti, Égypte, Madagascar, Palestine, Soudan du Sud et Soudan), grâce à un financement du Fonds-en-dépôt UNESCO/Autorité pour le tourisme et la culture d</w:t>
      </w:r>
      <w:r w:rsidR="003C2B6A">
        <w:t>’</w:t>
      </w:r>
      <w:r w:rsidR="007C2199">
        <w:t>Abou Dhabi, avec une étroite collaboration entre la Section du patrimoine culturel immatériel, les contreparties nationales et les collaborateurs des bureaux de l</w:t>
      </w:r>
      <w:r w:rsidR="003C2B6A">
        <w:t>’</w:t>
      </w:r>
      <w:r w:rsidR="007C2199">
        <w:t>UNESCO. Des propositions pour des projets pluriannuels ont été élaborées de manière adaptée aux besoins et contextes spécifiques des pays. L</w:t>
      </w:r>
      <w:r w:rsidR="003C2B6A">
        <w:t>’</w:t>
      </w:r>
      <w:r w:rsidR="007C2199">
        <w:t>achèvement d</w:t>
      </w:r>
      <w:r w:rsidR="003C2B6A">
        <w:t>’</w:t>
      </w:r>
      <w:r w:rsidR="007C2199">
        <w:t>un projet dans cinq pays d</w:t>
      </w:r>
      <w:r w:rsidR="003C2B6A">
        <w:t>’</w:t>
      </w:r>
      <w:r w:rsidR="007C2199">
        <w:t>Afrique lusophone (l</w:t>
      </w:r>
      <w:r w:rsidR="003C2B6A">
        <w:t>’</w:t>
      </w:r>
      <w:r w:rsidR="007C2199">
        <w:t xml:space="preserve">Angola, le Cabo Verde, la Guinée-Bissau, le Mozambique, </w:t>
      </w:r>
      <w:r w:rsidR="002869A0">
        <w:t>Sao Tomé-et-Principe</w:t>
      </w:r>
      <w:r w:rsidR="007C2199">
        <w:t>) financé par une contribution affectée au Fonds du patrimoine culturel immatériel par le Royaume de Norvège constitue un autre résultat majeur. Une évaluation a montré que des progrès significatifs ont été faits dans la mobilisation de</w:t>
      </w:r>
      <w:r w:rsidR="002869A0">
        <w:t xml:space="preserve"> tous le</w:t>
      </w:r>
      <w:r w:rsidR="007C2199">
        <w:t>s acteurs, le développement d</w:t>
      </w:r>
      <w:r w:rsidR="003C2B6A">
        <w:t>’</w:t>
      </w:r>
      <w:r w:rsidR="007C2199">
        <w:t>infrastructures institutionnelles nécessaires à la sauvegarde, la conduite d</w:t>
      </w:r>
      <w:r w:rsidR="003C2B6A">
        <w:t>’</w:t>
      </w:r>
      <w:r w:rsidR="007C2199">
        <w:t xml:space="preserve">inventaires participatifs et la </w:t>
      </w:r>
      <w:r w:rsidR="007C2199" w:rsidRPr="00D05623">
        <w:t>facilitation</w:t>
      </w:r>
      <w:r w:rsidR="007C2199" w:rsidRPr="005953C7">
        <w:t xml:space="preserve"> de</w:t>
      </w:r>
      <w:r w:rsidR="007C2199">
        <w:t xml:space="preserve"> la collaboration entre les pays du projet. Néanmoins, le projet a aussi mis en évidence le besoin d</w:t>
      </w:r>
      <w:r w:rsidR="003C2B6A">
        <w:t>’</w:t>
      </w:r>
      <w:r w:rsidR="007C2199">
        <w:t>un soutien accru pour renforcer les capacités pour l</w:t>
      </w:r>
      <w:r w:rsidR="003C2B6A">
        <w:t>’</w:t>
      </w:r>
      <w:r w:rsidR="007C2199">
        <w:t>élaboration de plans de sauvegarde et pour développer des politiques et des législations dans de nombreux secteurs ainsi que dans le contexte des stratégies de développement national.</w:t>
      </w:r>
    </w:p>
    <w:p w14:paraId="2D210228" w14:textId="77777777" w:rsidR="007C2199" w:rsidRDefault="007C2199" w:rsidP="001244EB">
      <w:pPr>
        <w:pStyle w:val="COMPara"/>
        <w:ind w:left="567" w:hanging="567"/>
        <w:jc w:val="both"/>
      </w:pPr>
      <w:r w:rsidRPr="00863317">
        <w:t xml:space="preserve">Une innovation pour </w:t>
      </w:r>
      <w:r>
        <w:t>renforcer le réseau de facilitateurs chargés de la formation et des conseils dans le cadre du programme de renforcement des capacités a été réalisée à travers le développement et la diffusion d</w:t>
      </w:r>
      <w:r w:rsidR="003C2B6A">
        <w:t>’</w:t>
      </w:r>
      <w:r>
        <w:t>un tutoriel en ligne sur l</w:t>
      </w:r>
      <w:r w:rsidR="003C2B6A">
        <w:t>’</w:t>
      </w:r>
      <w:r>
        <w:t>utilisation des supports de formation à l</w:t>
      </w:r>
      <w:r w:rsidR="003C2B6A">
        <w:t>’</w:t>
      </w:r>
      <w:r>
        <w:t>élaboration des plans de sauvegarde. Le Secrétariat a également analysé 73 rapports de facilitateurs pour consolider leur point de vue sur la mise en œuvre du programme et leurs recommandations de développement du programme. Enfin, les membres du réseau ont contribué au développement et au test d</w:t>
      </w:r>
      <w:r w:rsidR="003C2B6A">
        <w:t>’</w:t>
      </w:r>
      <w:r>
        <w:t xml:space="preserve">outils nécessaires au </w:t>
      </w:r>
      <w:r>
        <w:rPr>
          <w:rStyle w:val="hps"/>
        </w:rPr>
        <w:t>pilotage d</w:t>
      </w:r>
      <w:r w:rsidR="003C2B6A">
        <w:rPr>
          <w:rStyle w:val="hps"/>
        </w:rPr>
        <w:t>’</w:t>
      </w:r>
      <w:r>
        <w:rPr>
          <w:rStyle w:val="hps"/>
        </w:rPr>
        <w:t>une étude de suivi permettant de savoir en quoi la participation des individus au programme de renforcement des capacités a modifié leur attachement au patrimoine culturel immatériel et ce qu</w:t>
      </w:r>
      <w:r w:rsidR="003C2B6A">
        <w:rPr>
          <w:rStyle w:val="hps"/>
        </w:rPr>
        <w:t>’</w:t>
      </w:r>
      <w:r>
        <w:rPr>
          <w:rStyle w:val="hps"/>
        </w:rPr>
        <w:t>ils proposent pour améliorer le programme.</w:t>
      </w:r>
    </w:p>
    <w:p w14:paraId="665C91B2" w14:textId="77777777" w:rsidR="007C2199" w:rsidRDefault="007C2199" w:rsidP="00950085">
      <w:pPr>
        <w:pStyle w:val="COMPara"/>
        <w:ind w:left="567" w:hanging="567"/>
        <w:jc w:val="both"/>
      </w:pPr>
      <w:r>
        <w:t>L</w:t>
      </w:r>
      <w:r w:rsidR="002869A0">
        <w:t>e contenu</w:t>
      </w:r>
      <w:r>
        <w:t xml:space="preserve"> de </w:t>
      </w:r>
      <w:r w:rsidR="002869A0">
        <w:t xml:space="preserve">la stratégie de </w:t>
      </w:r>
      <w:r>
        <w:t>renforcement des capacités est constamment revu et adapté « afin de garantir qu</w:t>
      </w:r>
      <w:r w:rsidR="003C2B6A">
        <w:t>’</w:t>
      </w:r>
      <w:r>
        <w:t>elle répond aux principales difficultés de mise en œuvre au niveau national » (</w:t>
      </w:r>
      <w:hyperlink r:id="rId16">
        <w:r>
          <w:rPr>
            <w:rStyle w:val="Hyperlink"/>
          </w:rPr>
          <w:t>décision 8.COM 5.c.1</w:t>
        </w:r>
      </w:hyperlink>
      <w:r>
        <w:t>), notamment en actualisant les supports conformément aux décisions du Comité et de l</w:t>
      </w:r>
      <w:r w:rsidR="003C2B6A">
        <w:t>’</w:t>
      </w:r>
      <w:r>
        <w:t>Assemblée générale. Sur la période couverte par le rapport, de nouveaux supports de formation ont été préparés sur le développement de politiques concernant le patrimoine culturel immatériel, des supports pour la préparation des candidatures ont été revus et enrichis avec des unités thématiques sur les effets de l</w:t>
      </w:r>
      <w:r w:rsidR="003C2B6A">
        <w:t>’</w:t>
      </w:r>
      <w:r>
        <w:t>inscription et sur la soumission de rapports périodiques sur les éléments inscrits.</w:t>
      </w:r>
    </w:p>
    <w:p w14:paraId="084E395A" w14:textId="77777777" w:rsidR="007C2199" w:rsidRDefault="007C2199" w:rsidP="001244EB">
      <w:pPr>
        <w:pStyle w:val="COMPara"/>
        <w:ind w:left="567" w:hanging="567"/>
        <w:jc w:val="both"/>
      </w:pPr>
      <w:r>
        <w:t>En outre, pour appuyer les centres de catégorie 2, le Secrétariat a organisé, pour la quatrième fois, une réunion de coordination annuelle en juin 2016 au siège de l</w:t>
      </w:r>
      <w:r w:rsidR="003C2B6A">
        <w:t>’</w:t>
      </w:r>
      <w:r>
        <w:t>UNESCO, qui a permis d</w:t>
      </w:r>
      <w:r w:rsidR="003C2B6A">
        <w:t>’</w:t>
      </w:r>
      <w:r>
        <w:t>échanger des informations sur les derniers développements concernant la Convention et de discuter de nouvelles perspectives de coopération et de synergies entre les centres d</w:t>
      </w:r>
      <w:r w:rsidR="003C2B6A">
        <w:t>’</w:t>
      </w:r>
      <w:r>
        <w:t>une part, et entre les centres et l</w:t>
      </w:r>
      <w:r w:rsidR="003C2B6A">
        <w:t>’</w:t>
      </w:r>
      <w:r>
        <w:t>UNESCO d</w:t>
      </w:r>
      <w:r w:rsidR="003C2B6A">
        <w:t>’</w:t>
      </w:r>
      <w:r>
        <w:t>autre part. Sur la période couverte par le présent rapport, le Secrétariat a continué à évaluer et reconduire un certain nombre de Centres, notamment le Centre international d</w:t>
      </w:r>
      <w:r w:rsidR="003C2B6A">
        <w:t>’</w:t>
      </w:r>
      <w:r>
        <w:t>information et de travail en réseau dans la région Asie</w:t>
      </w:r>
      <w:r>
        <w:noBreakHyphen/>
        <w:t>Pacifique (ICHCAP) en République de Corée (finalisé), le Centre international de recherche sur le patrimoine culturel immatériel dans la région Asie-Pacifique (IRCI) au Japon (en cours) et le Centre international de formation sur le patrimoine culturel immatériel dans la région Asie-Pacifique en Chine (en cours).</w:t>
      </w:r>
    </w:p>
    <w:p w14:paraId="3BFAE373" w14:textId="77777777" w:rsidR="007C2199" w:rsidRDefault="007C2199" w:rsidP="00950085">
      <w:pPr>
        <w:pStyle w:val="COMPara"/>
        <w:ind w:left="567" w:hanging="567"/>
        <w:jc w:val="both"/>
      </w:pPr>
      <w:r>
        <w:t>S</w:t>
      </w:r>
      <w:r w:rsidR="003C2B6A">
        <w:t>’</w:t>
      </w:r>
      <w:r>
        <w:t>agissant du suivi et de l</w:t>
      </w:r>
      <w:r w:rsidR="003C2B6A">
        <w:t>’</w:t>
      </w:r>
      <w:r>
        <w:t>évaluation, le Secrétariat a commencé à développer un cadre global de résultats sur la Convention servant de référence pour évaluer les réalisations et difficultés de mise en œuvre de la Convention. Cette initiative répond à l</w:t>
      </w:r>
      <w:r w:rsidR="003C2B6A">
        <w:t>’</w:t>
      </w:r>
      <w:r>
        <w:t xml:space="preserve">une des demandes </w:t>
      </w:r>
      <w:r>
        <w:lastRenderedPageBreak/>
        <w:t>de l</w:t>
      </w:r>
      <w:r w:rsidR="003C2B6A">
        <w:t>’</w:t>
      </w:r>
      <w:r>
        <w:t>évaluation de 2013 de l</w:t>
      </w:r>
      <w:r w:rsidR="003C2B6A">
        <w:t>’</w:t>
      </w:r>
      <w:r>
        <w:t>IOS, validée par le Comité. Les activités menées à bien pendant la période couverte par le présent rapport incluent la préparation et l</w:t>
      </w:r>
      <w:r w:rsidR="003C2B6A">
        <w:t>’</w:t>
      </w:r>
      <w:r>
        <w:t>organisation d</w:t>
      </w:r>
      <w:r w:rsidR="003C2B6A">
        <w:t>’</w:t>
      </w:r>
      <w:r>
        <w:t>une réunion d</w:t>
      </w:r>
      <w:r w:rsidR="003C2B6A">
        <w:t>’</w:t>
      </w:r>
      <w:r>
        <w:t>experts de catégorie VI du 7 au 9 septembre 2016, généreusement financée et accueillie par la Commission nationale de la République populaire de Chine pour l</w:t>
      </w:r>
      <w:r w:rsidR="003C2B6A">
        <w:t>’</w:t>
      </w:r>
      <w:r>
        <w:t>UNESCO. Cette réunion a posé des bases de réflexion sur les objectifs globaux de la Convention et la manière de démontrer comment les résultats souhaités sont obtenus. Les conclusions de la réunion d</w:t>
      </w:r>
      <w:r w:rsidR="003C2B6A">
        <w:t>’</w:t>
      </w:r>
      <w:r>
        <w:t>experts sont présentées au point 14 de l</w:t>
      </w:r>
      <w:r w:rsidR="003C2B6A">
        <w:t>’</w:t>
      </w:r>
      <w:r>
        <w:t>ordre du jour de la présente session du Comité (</w:t>
      </w:r>
      <w:r w:rsidRPr="0047302F">
        <w:t xml:space="preserve">voir document </w:t>
      </w:r>
      <w:hyperlink r:id="rId17" w:history="1">
        <w:r w:rsidRPr="0047302F">
          <w:rPr>
            <w:rStyle w:val="Hyperlink"/>
            <w:rFonts w:cs="Arial"/>
          </w:rPr>
          <w:t>ITH/16/11.COM/14</w:t>
        </w:r>
      </w:hyperlink>
      <w:r w:rsidRPr="0047302F">
        <w:t>).</w:t>
      </w:r>
    </w:p>
    <w:p w14:paraId="22F47DA2" w14:textId="77777777" w:rsidR="007C2199" w:rsidRDefault="007C2199" w:rsidP="00950085">
      <w:pPr>
        <w:pStyle w:val="COMPara"/>
        <w:ind w:left="567" w:hanging="567"/>
        <w:jc w:val="both"/>
      </w:pPr>
      <w:r>
        <w:t>Enfin, le nombre d</w:t>
      </w:r>
      <w:r w:rsidR="003C2B6A">
        <w:t>’</w:t>
      </w:r>
      <w:r>
        <w:t>États parties à la Convention a continué à augmenter au cours du premier semestre 2016, notamment sur le continent africain, les États suivants ayant ratifié la Convention : Cabo Verde, Ghana, Guinée-Bissau, Îles Cook, Irlande, Saint-Kitts-et-Nevis et Thaïlande. Par ailleurs, les Pays-Bas ont étendu le territoire d</w:t>
      </w:r>
      <w:r w:rsidR="003C2B6A">
        <w:t>’</w:t>
      </w:r>
      <w:r>
        <w:t>application de la Convention à Curaçao. À l</w:t>
      </w:r>
      <w:r w:rsidR="003C2B6A">
        <w:t>’</w:t>
      </w:r>
      <w:r>
        <w:t>heure de préparer le présent document, le nombre total d</w:t>
      </w:r>
      <w:r w:rsidR="003C2B6A">
        <w:t>’</w:t>
      </w:r>
      <w:r>
        <w:t>États parties était égal à 170. Trois des nouveaux États parties ont bénéficié des activités de renforcement des capacités avant de ratifier la Convention.</w:t>
      </w:r>
    </w:p>
    <w:p w14:paraId="188474F0" w14:textId="77777777" w:rsidR="007C2199" w:rsidRPr="00E653FF" w:rsidRDefault="007C2199" w:rsidP="009427FC">
      <w:pPr>
        <w:pStyle w:val="COMPara"/>
        <w:numPr>
          <w:ilvl w:val="0"/>
          <w:numId w:val="0"/>
        </w:numPr>
        <w:spacing w:before="240"/>
        <w:jc w:val="both"/>
        <w:rPr>
          <w:b/>
        </w:rPr>
      </w:pPr>
      <w:r>
        <w:rPr>
          <w:b/>
        </w:rPr>
        <w:t>Défis globaux de la mise en œuvre et actions correctives</w:t>
      </w:r>
    </w:p>
    <w:p w14:paraId="2C86E0CC" w14:textId="77777777" w:rsidR="007C2199" w:rsidRDefault="007C2199" w:rsidP="001244EB">
      <w:pPr>
        <w:pStyle w:val="COMPara"/>
        <w:ind w:left="567" w:hanging="567"/>
        <w:jc w:val="both"/>
      </w:pPr>
      <w:r>
        <w:t>Dans l</w:t>
      </w:r>
      <w:r w:rsidR="003C2B6A">
        <w:t>’</w:t>
      </w:r>
      <w:r>
        <w:t>ensemble, le Secrétariat a continué à concentrer ses efforts autour de deux axes : (i) soutien à la gouvernance de la Convention (avec notamment l</w:t>
      </w:r>
      <w:r w:rsidR="003C2B6A">
        <w:t>’</w:t>
      </w:r>
      <w:r>
        <w:t>organisation de l</w:t>
      </w:r>
      <w:r w:rsidR="003C2B6A">
        <w:t>’</w:t>
      </w:r>
      <w:r>
        <w:t>Assemblée générale, du Comité intergouvernemental et de son Bureau ainsi que de l</w:t>
      </w:r>
      <w:r w:rsidR="003C2B6A">
        <w:t>’</w:t>
      </w:r>
      <w:r>
        <w:t>Organe d</w:t>
      </w:r>
      <w:r w:rsidR="003C2B6A">
        <w:t>’</w:t>
      </w:r>
      <w:r>
        <w:t>évaluation) et traitement des candidatures, demandes et rapports soumis dans le cadre des mécanismes statutaires, et (ii) extension géographique et programmatique de la stratégie de renforcement des capacités. Par ailleurs, le développement d</w:t>
      </w:r>
      <w:r w:rsidR="003C2B6A">
        <w:t>’</w:t>
      </w:r>
      <w:r>
        <w:t>un cadre global de résultats sur la Convention a encouragé le Secrétariat à réfléchir, de manière plus coordonnée, à l</w:t>
      </w:r>
      <w:r w:rsidR="003C2B6A">
        <w:t>’</w:t>
      </w:r>
      <w:r>
        <w:t>objet des différents mécanismes de la Convention, à leur impact sur le terrain et à la manière de mieux répondre aux besoins des différents acteurs.</w:t>
      </w:r>
    </w:p>
    <w:p w14:paraId="4D6AC222" w14:textId="77777777" w:rsidR="007C2199" w:rsidRDefault="007C2199" w:rsidP="009B303D">
      <w:pPr>
        <w:pStyle w:val="COMPara"/>
        <w:ind w:left="567" w:hanging="567"/>
        <w:jc w:val="both"/>
      </w:pPr>
      <w:r w:rsidRPr="00787DAC">
        <w:t>Il convient également de noter que le contexte actuel suppose de démontrer de manière claire et opérationnelle le rôle du patrimoine culturel immatériel</w:t>
      </w:r>
      <w:r>
        <w:t xml:space="preserve"> </w:t>
      </w:r>
      <w:r w:rsidR="002869A0">
        <w:t>pour la réalisation d</w:t>
      </w:r>
      <w:r w:rsidR="003C2B6A">
        <w:t>’</w:t>
      </w:r>
      <w:r w:rsidR="002869A0">
        <w:t xml:space="preserve">un </w:t>
      </w:r>
      <w:r>
        <w:t xml:space="preserve">développement humain et durable et </w:t>
      </w:r>
      <w:r w:rsidR="002869A0">
        <w:t xml:space="preserve">sa contribution à une </w:t>
      </w:r>
      <w:r>
        <w:t>paix durable. Compte tenu de la complexité de ces questions et de l</w:t>
      </w:r>
      <w:r w:rsidR="003C2B6A">
        <w:t>’</w:t>
      </w:r>
      <w:r>
        <w:t>adoption récente d</w:t>
      </w:r>
      <w:r w:rsidR="003C2B6A">
        <w:t>’</w:t>
      </w:r>
      <w:r>
        <w:t>un nouveau chapitre des Directives opérationnelles à ce sujet, le Secrétariat est conscient que les États parties souhaiteront peut-être disposer de davantage d</w:t>
      </w:r>
      <w:r w:rsidR="003C2B6A">
        <w:t>’</w:t>
      </w:r>
      <w:r>
        <w:t>informations, notamment sous forme d</w:t>
      </w:r>
      <w:r w:rsidR="003C2B6A">
        <w:t>’</w:t>
      </w:r>
      <w:r>
        <w:t>études de cas, sur le lien opérationnel entre sauvegarde du patrimoine vivant et développement durable. Le Secrétariat s</w:t>
      </w:r>
      <w:r w:rsidR="003C2B6A">
        <w:t>’</w:t>
      </w:r>
      <w:r>
        <w:t>efforce également d</w:t>
      </w:r>
      <w:r w:rsidR="003C2B6A">
        <w:t>’</w:t>
      </w:r>
      <w:r>
        <w:t>identifier des points d</w:t>
      </w:r>
      <w:r w:rsidR="003C2B6A">
        <w:t>’</w:t>
      </w:r>
      <w:r>
        <w:t xml:space="preserve">entrée </w:t>
      </w:r>
      <w:r w:rsidR="002869A0">
        <w:t xml:space="preserve">programmatiques </w:t>
      </w:r>
      <w:r>
        <w:t>avec des indicateurs particuliers des objectifs du Programme de développement durable à l</w:t>
      </w:r>
      <w:r w:rsidR="003C2B6A">
        <w:t>’</w:t>
      </w:r>
      <w:r>
        <w:t xml:space="preserve">horizon 2030. </w:t>
      </w:r>
    </w:p>
    <w:p w14:paraId="13A66BE5" w14:textId="77777777" w:rsidR="007C2199" w:rsidRPr="009427FC" w:rsidRDefault="007C2199" w:rsidP="009B303D">
      <w:pPr>
        <w:pStyle w:val="COMPara"/>
        <w:ind w:left="567" w:hanging="567"/>
        <w:jc w:val="both"/>
      </w:pPr>
      <w:r>
        <w:t>Malgré tous ses efforts, du fait des événements statutaires prévus à l</w:t>
      </w:r>
      <w:r w:rsidR="003C2B6A">
        <w:t>’</w:t>
      </w:r>
      <w:r>
        <w:t>agenda et de la charge de travail qui les accompagne, le Secrétariat ne parvient pas à consacrer suffisamment de temps à certain</w:t>
      </w:r>
      <w:r w:rsidR="002869A0">
        <w:t>e</w:t>
      </w:r>
      <w:r>
        <w:t xml:space="preserve">s </w:t>
      </w:r>
      <w:r w:rsidR="002869A0">
        <w:t xml:space="preserve">questions </w:t>
      </w:r>
      <w:r>
        <w:t>comme, par exemple, la création d</w:t>
      </w:r>
      <w:r w:rsidR="003C2B6A">
        <w:t>’</w:t>
      </w:r>
      <w:r>
        <w:t>une alternative au Registre des meilleures pratiques de sauvegarde pour partager les expériences de sauvegarde, la consolidation du réseau de facilitateurs participant au programme de renforcement des capacités et l</w:t>
      </w:r>
      <w:r w:rsidR="003C2B6A">
        <w:t>’</w:t>
      </w:r>
      <w:r>
        <w:t>amélioration de la coopération avec des organisations relevant ou non du système des Nations Unies.</w:t>
      </w:r>
    </w:p>
    <w:p w14:paraId="7285E5FD" w14:textId="77777777" w:rsidR="007C2199" w:rsidRPr="0047302F" w:rsidRDefault="007C2199" w:rsidP="006B270C">
      <w:pPr>
        <w:pStyle w:val="COMPara"/>
        <w:ind w:left="567" w:hanging="567"/>
        <w:jc w:val="both"/>
      </w:pPr>
      <w:r>
        <w:t>Dans le même ordre d</w:t>
      </w:r>
      <w:r w:rsidR="003C2B6A">
        <w:t>’</w:t>
      </w:r>
      <w:r>
        <w:t>esprit, à l</w:t>
      </w:r>
      <w:r w:rsidR="003C2B6A">
        <w:t>’</w:t>
      </w:r>
      <w:r>
        <w:t>heure où les situations d</w:t>
      </w:r>
      <w:r w:rsidR="003C2B6A">
        <w:t>’</w:t>
      </w:r>
      <w:r>
        <w:t>urgence continuent à être proéminentes, l</w:t>
      </w:r>
      <w:r w:rsidR="003C2B6A">
        <w:t>’</w:t>
      </w:r>
      <w:r>
        <w:t>UNESCO est appelée à protéger le patrimoine culturel qui fait parfois l</w:t>
      </w:r>
      <w:r w:rsidR="003C2B6A">
        <w:t>’</w:t>
      </w:r>
      <w:r>
        <w:t>objet d</w:t>
      </w:r>
      <w:r w:rsidR="003C2B6A">
        <w:t>’</w:t>
      </w:r>
      <w:r>
        <w:t xml:space="preserve">attaques délibérées. Au cours des derniers mois, le Secrétariat a été </w:t>
      </w:r>
      <w:r w:rsidR="002869A0">
        <w:t xml:space="preserve">de plus en plus </w:t>
      </w:r>
      <w:r>
        <w:t>sollicité pour contribuer à la réponse globale de l</w:t>
      </w:r>
      <w:r w:rsidR="003C2B6A">
        <w:t>’</w:t>
      </w:r>
      <w:r>
        <w:t>UNESCO à ce type de situation. Dans ce contexte et suite à l</w:t>
      </w:r>
      <w:r w:rsidR="003C2B6A">
        <w:t>’</w:t>
      </w:r>
      <w:r>
        <w:t>adoption de la stratégie pour le renforcement de l</w:t>
      </w:r>
      <w:r w:rsidR="003C2B6A">
        <w:t>’</w:t>
      </w:r>
      <w:r>
        <w:t>action de l</w:t>
      </w:r>
      <w:r w:rsidR="003C2B6A">
        <w:t>’</w:t>
      </w:r>
      <w:r>
        <w:t>UNESCO en matière de protection de la culture et de promotion du pluralisme culturel en cas de conflit armé</w:t>
      </w:r>
      <w:r w:rsidRPr="006B270C">
        <w:t xml:space="preserve"> </w:t>
      </w:r>
      <w:r>
        <w:t>par la 38ème session de la Conférence générale de l</w:t>
      </w:r>
      <w:r w:rsidR="003C2B6A">
        <w:t>’</w:t>
      </w:r>
      <w:r>
        <w:t>UNESCO en novembre 2015, une réflexion approfondie sur le rôle de la Convention de 2003 et les actions possibles de l</w:t>
      </w:r>
      <w:r w:rsidR="003C2B6A">
        <w:t>’</w:t>
      </w:r>
      <w:r>
        <w:t>UNESCO dans les situations d</w:t>
      </w:r>
      <w:r w:rsidR="003C2B6A">
        <w:t>’</w:t>
      </w:r>
      <w:r>
        <w:t xml:space="preserve">urgence est nécessaire. Le débat du Comité dans le cadre du point 15 </w:t>
      </w:r>
      <w:r w:rsidR="002869A0">
        <w:t>de l</w:t>
      </w:r>
      <w:r w:rsidR="003C2B6A">
        <w:t>’</w:t>
      </w:r>
      <w:r w:rsidR="002869A0">
        <w:t xml:space="preserve">ordre du jour de la présente session </w:t>
      </w:r>
      <w:r>
        <w:t>permettra d</w:t>
      </w:r>
      <w:r w:rsidR="003C2B6A">
        <w:t>’</w:t>
      </w:r>
      <w:r>
        <w:t xml:space="preserve">ouvrir la discussion </w:t>
      </w:r>
      <w:r w:rsidR="002869A0">
        <w:t xml:space="preserve">à ce sujet </w:t>
      </w:r>
      <w:r>
        <w:t>(</w:t>
      </w:r>
      <w:r w:rsidRPr="0047302F">
        <w:t>voir document </w:t>
      </w:r>
      <w:hyperlink r:id="rId18" w:history="1">
        <w:r w:rsidRPr="0047302F">
          <w:rPr>
            <w:rStyle w:val="Hyperlink"/>
            <w:rFonts w:cs="Arial"/>
          </w:rPr>
          <w:t>ITH/16/11.COM/15</w:t>
        </w:r>
      </w:hyperlink>
      <w:r w:rsidRPr="0047302F">
        <w:t>).</w:t>
      </w:r>
    </w:p>
    <w:p w14:paraId="15D504C9" w14:textId="77777777" w:rsidR="007C2199" w:rsidRDefault="007C2199" w:rsidP="009218EF">
      <w:pPr>
        <w:pStyle w:val="COMPara"/>
        <w:ind w:left="567" w:hanging="567"/>
        <w:jc w:val="both"/>
      </w:pPr>
      <w:r>
        <w:lastRenderedPageBreak/>
        <w:t>S</w:t>
      </w:r>
      <w:r w:rsidR="003C2B6A">
        <w:t>’</w:t>
      </w:r>
      <w:r>
        <w:t>agissant des ressources financières, il convient de rappeler qu</w:t>
      </w:r>
      <w:r w:rsidR="003C2B6A">
        <w:t>’</w:t>
      </w:r>
      <w:r>
        <w:t>une large part (65%) du budget ordinaire de l</w:t>
      </w:r>
      <w:r w:rsidR="003C2B6A">
        <w:t>’</w:t>
      </w:r>
      <w:r>
        <w:t>exercice biennal pour la Section du patrimoine culturel immatériel sert à couvrir le coût des obligations statutaires de la Convention, qui sont considérés comme des dépenses « incompressibles ». Dans ce contexte et conformément à la politique de l</w:t>
      </w:r>
      <w:r w:rsidR="003C2B6A">
        <w:t>’</w:t>
      </w:r>
      <w:r>
        <w:t>Organisation consistant à aligner strictement le Programme ordinaire et le Programme additionnel complémentaire, les efforts du Secrétariat pour la mobilisation des ressources visent essentiellement à étendre la portée et améliorer l</w:t>
      </w:r>
      <w:r w:rsidR="003C2B6A">
        <w:t>’</w:t>
      </w:r>
      <w:r>
        <w:t xml:space="preserve">efficacité de la stratégie globale de renforcement des capacités. À cet effet, le Secrétariat a préparé une </w:t>
      </w:r>
      <w:hyperlink r:id="rId19">
        <w:r>
          <w:rPr>
            <w:rStyle w:val="Hyperlink"/>
          </w:rPr>
          <w:t>note conceptuelle</w:t>
        </w:r>
      </w:hyperlink>
      <w:r>
        <w:t xml:space="preserve"> pour le Programme additionnel complémentaire 2014-2017 intitulé « Renforcement des capacités de sauvegarde du patrimoine culturel immatériel pour le développement durable », approuvée par le Comité à l</w:t>
      </w:r>
      <w:r w:rsidR="003C2B6A">
        <w:t>’</w:t>
      </w:r>
      <w:r>
        <w:t>occasion de sa neuvième session en novembre 2014 (</w:t>
      </w:r>
      <w:hyperlink r:id="rId20">
        <w:r>
          <w:rPr>
            <w:rStyle w:val="Hyperlink"/>
          </w:rPr>
          <w:t>décision 9.COM 7</w:t>
        </w:r>
      </w:hyperlink>
      <w:r>
        <w:t>), pour informer les donateurs des besoins de financement du programme global de renforcement des capacités. Malheureusement, sur la période couverte par le présent rapport, aucune ressource supplémentaire n</w:t>
      </w:r>
      <w:r w:rsidR="003C2B6A">
        <w:t>’</w:t>
      </w:r>
      <w:r>
        <w:t>a pu être mobilisée et des contributeurs de longue date n</w:t>
      </w:r>
      <w:r w:rsidR="003C2B6A">
        <w:t>’</w:t>
      </w:r>
      <w:r>
        <w:t>ont pas renouvelé leurs engagements. Cette situation est très grave car il est indispensable d</w:t>
      </w:r>
      <w:r w:rsidR="003C2B6A">
        <w:t>’</w:t>
      </w:r>
      <w:r>
        <w:t>apporter des contributions volontaires supplémentaires au Fonds du patrimoine culturel immatériel et au Fonds-en-dépôt pour que les efforts de renforcement des capacités portent leurs fruits. Le Secrétariat appelle donc à nouveau les donateurs potentiels à verser une contribution pour la Convention de 2003.</w:t>
      </w:r>
    </w:p>
    <w:p w14:paraId="28255FD3" w14:textId="77777777" w:rsidR="007C2199" w:rsidRDefault="007C2199" w:rsidP="00940723">
      <w:pPr>
        <w:pStyle w:val="COMPara"/>
        <w:ind w:left="567" w:hanging="567"/>
        <w:jc w:val="both"/>
      </w:pPr>
      <w:r>
        <w:t>La situation concernant les ressources humaines du Secrétariat reste préoccupante. Les ressources du programme ordinaire n</w:t>
      </w:r>
      <w:r w:rsidR="003C2B6A">
        <w:t>’</w:t>
      </w:r>
      <w:r>
        <w:t xml:space="preserve">étant pas suffisantes, le Fonds du patrimoine culturel immatériel doit </w:t>
      </w:r>
      <w:r w:rsidR="002869A0">
        <w:t xml:space="preserve">être utilisé pour soutenir </w:t>
      </w:r>
      <w:r>
        <w:t>la mise en œuvre de la Convention et permettre le renforcement de l</w:t>
      </w:r>
      <w:r w:rsidR="003C2B6A">
        <w:t>’</w:t>
      </w:r>
      <w:r>
        <w:t xml:space="preserve">impact et de la visibilité du travail du Comité. </w:t>
      </w:r>
      <w:r w:rsidR="002869A0">
        <w:t>Néanmoins, l</w:t>
      </w:r>
      <w:r>
        <w:t>e décalage entre les ressources humaines disponibles et l</w:t>
      </w:r>
      <w:r w:rsidR="003C2B6A">
        <w:t>’</w:t>
      </w:r>
      <w:r>
        <w:t xml:space="preserve">augmentation constante de la charge de travail et des attentes des États parties constitue un défi </w:t>
      </w:r>
      <w:r w:rsidR="002869A0">
        <w:t xml:space="preserve">majeur </w:t>
      </w:r>
      <w:r>
        <w:t>constant. Il convient de noter, à regret, que le taux de mise en œuvre du Fonds du patrimoine culturel immatériel reste très faible. La hausse à 100 000 dollars des États-Unis du plafond des demandes pouvant être examinées par le Bureau pourrait prochainement amener à davantage de demandes à l</w:t>
      </w:r>
      <w:r w:rsidR="003C2B6A">
        <w:t>’</w:t>
      </w:r>
      <w:r>
        <w:t>attention du Bureau et permettre, par conséquent, une meilleure mise en œuvre du Fonds. Dans le même temps, cette possibilité augmentera certainement la charge de travail du Secrétariat (</w:t>
      </w:r>
      <w:r w:rsidRPr="0047302F">
        <w:t xml:space="preserve">voir document </w:t>
      </w:r>
      <w:hyperlink r:id="rId21" w:history="1">
        <w:r w:rsidRPr="0047302F">
          <w:rPr>
            <w:rStyle w:val="Hyperlink"/>
            <w:rFonts w:cs="Arial"/>
          </w:rPr>
          <w:t>ITH/16/11.COM/9.c</w:t>
        </w:r>
      </w:hyperlink>
      <w:r w:rsidRPr="0047302F">
        <w:t>),</w:t>
      </w:r>
      <w:r>
        <w:t xml:space="preserve"> qui ne pourra pas être facilement absorbée avec la structure actuelle de la Section. Une solution créative devra être trouvée pour régler ce problème de personnel afin que le Secrétariat puisse davantage se consacrer à la gestion du mécanisme d</w:t>
      </w:r>
      <w:r w:rsidR="003C2B6A">
        <w:t>’</w:t>
      </w:r>
      <w:r>
        <w:t>assistance internationale et au suivi des projets financés par le Fonds du patrimoine culturel immatériel.</w:t>
      </w:r>
    </w:p>
    <w:p w14:paraId="3CD9DC19" w14:textId="77777777" w:rsidR="007C2199" w:rsidRDefault="007C2199" w:rsidP="00543205">
      <w:pPr>
        <w:pStyle w:val="COMPara"/>
        <w:keepNext/>
        <w:numPr>
          <w:ilvl w:val="0"/>
          <w:numId w:val="7"/>
        </w:numPr>
        <w:spacing w:before="360"/>
        <w:ind w:left="567" w:hanging="567"/>
        <w:jc w:val="both"/>
        <w:rPr>
          <w:b/>
        </w:rPr>
      </w:pPr>
      <w:r>
        <w:rPr>
          <w:b/>
        </w:rPr>
        <w:t>Évaluation par indicateur de performance</w:t>
      </w:r>
    </w:p>
    <w:p w14:paraId="0CDD78A3" w14:textId="77777777" w:rsidR="007C2199" w:rsidRDefault="007C2199" w:rsidP="00863317">
      <w:pPr>
        <w:pStyle w:val="COMPara"/>
        <w:ind w:left="567" w:hanging="567"/>
        <w:jc w:val="both"/>
      </w:pPr>
      <w:r>
        <w:t>Le rapport doit refléter le travail du Secrétariat par rapport aux résultats indiqués dans le document 38 C/5 et, notamment, les indicateurs de performance du résultat escompté 5 du grand programme IV, Renforcement et utilisation des capacités nationales en vue de la sauvegarde du patrimoine culturel immatériel, y compris les langues autochtones et en péril, par la mise en œuvre effective de la Convention de 2003. Les cinq indicateurs de performance tels qu</w:t>
      </w:r>
      <w:r w:rsidR="003C2B6A">
        <w:t>’</w:t>
      </w:r>
      <w:r>
        <w:t>approuvés par la Conférence générale à sa 38ème session, sont les suivants :</w:t>
      </w:r>
    </w:p>
    <w:p w14:paraId="2769B89E" w14:textId="77777777" w:rsidR="007C2199" w:rsidRDefault="007C2199" w:rsidP="001C6280">
      <w:pPr>
        <w:pStyle w:val="COMPara"/>
        <w:numPr>
          <w:ilvl w:val="0"/>
          <w:numId w:val="0"/>
        </w:numPr>
        <w:ind w:left="1418" w:hanging="851"/>
      </w:pPr>
      <w:r>
        <w:t>IP 1</w:t>
      </w:r>
      <w:r>
        <w:tab/>
        <w:t>Bonne gouvernance exercée par les organes directeurs de la Convention de 2003 grâce à l</w:t>
      </w:r>
      <w:r w:rsidR="003C2B6A">
        <w:t>’</w:t>
      </w:r>
      <w:r>
        <w:t>organisation efficace de leurs réunions statutaires</w:t>
      </w:r>
    </w:p>
    <w:p w14:paraId="1DDC501B" w14:textId="77777777" w:rsidR="007C2199" w:rsidRDefault="007C2199" w:rsidP="001C6280">
      <w:pPr>
        <w:pStyle w:val="COMPara"/>
        <w:numPr>
          <w:ilvl w:val="0"/>
          <w:numId w:val="0"/>
        </w:numPr>
        <w:ind w:left="1418" w:hanging="851"/>
      </w:pPr>
      <w:r>
        <w:t>IP 2</w:t>
      </w:r>
      <w:r>
        <w:tab/>
        <w:t>Nombre d</w:t>
      </w:r>
      <w:r w:rsidR="003C2B6A">
        <w:t>’</w:t>
      </w:r>
      <w:r>
        <w:t>États membres aidés mettant à profit les ressources humaines et institutionnelles renforcées pour le patrimoine culturel immatériel et intégrant ce dernier dans leurs politiques nationales</w:t>
      </w:r>
    </w:p>
    <w:p w14:paraId="27F9D2F5" w14:textId="77777777" w:rsidR="007C2199" w:rsidRDefault="007C2199" w:rsidP="001C6280">
      <w:pPr>
        <w:pStyle w:val="COMPara"/>
        <w:numPr>
          <w:ilvl w:val="0"/>
          <w:numId w:val="0"/>
        </w:numPr>
        <w:ind w:left="1418" w:hanging="851"/>
      </w:pPr>
      <w:r>
        <w:t>IP 3</w:t>
      </w:r>
      <w:r>
        <w:tab/>
        <w:t>Nombre de rapports périodiques sur la mise en œuvre de la Convention à l</w:t>
      </w:r>
      <w:r w:rsidR="003C2B6A">
        <w:t>’</w:t>
      </w:r>
      <w:r>
        <w:t>échelon national soumis par les États parties et examinés par le Comité, et nombre de ces rapports traitant des questions d</w:t>
      </w:r>
      <w:r w:rsidR="003C2B6A">
        <w:t>’</w:t>
      </w:r>
      <w:r>
        <w:t>égalité des genres et faisant état de politiques destinées à promouvoir un accès et une participation équilibrés à la vie culturelle</w:t>
      </w:r>
    </w:p>
    <w:p w14:paraId="361ECEDB" w14:textId="77777777" w:rsidR="007C2199" w:rsidRPr="00700B9E" w:rsidRDefault="007C2199" w:rsidP="001C6280">
      <w:pPr>
        <w:pStyle w:val="COMPara"/>
        <w:numPr>
          <w:ilvl w:val="0"/>
          <w:numId w:val="0"/>
        </w:numPr>
        <w:ind w:left="567"/>
      </w:pPr>
      <w:r>
        <w:lastRenderedPageBreak/>
        <w:t>IP 4</w:t>
      </w:r>
      <w:r>
        <w:tab/>
        <w:t>Augmentation du nombre des États parties à la Convention</w:t>
      </w:r>
    </w:p>
    <w:p w14:paraId="56F276D5" w14:textId="77777777" w:rsidR="007C2199" w:rsidRDefault="007C2199" w:rsidP="001C6280">
      <w:pPr>
        <w:pStyle w:val="COMPara"/>
        <w:numPr>
          <w:ilvl w:val="0"/>
          <w:numId w:val="0"/>
        </w:numPr>
        <w:ind w:left="1418" w:hanging="851"/>
      </w:pPr>
      <w:r>
        <w:t>IP 5</w:t>
      </w:r>
      <w:r>
        <w:tab/>
        <w:t>Nombre d</w:t>
      </w:r>
      <w:r w:rsidR="003C2B6A">
        <w:t>’</w:t>
      </w:r>
      <w:r>
        <w:t>organisations au sein et en dehors du système des Nations Unies, de la société civile et du secteur privé contribuant à l</w:t>
      </w:r>
      <w:r w:rsidR="003C2B6A">
        <w:t>’</w:t>
      </w:r>
      <w:r>
        <w:t>exécution du programme</w:t>
      </w:r>
    </w:p>
    <w:p w14:paraId="2EC5A9F6" w14:textId="77777777" w:rsidR="00F2607B" w:rsidRDefault="00F2607B" w:rsidP="00F2607B">
      <w:pPr>
        <w:pStyle w:val="COMPara"/>
        <w:ind w:left="567" w:hanging="567"/>
        <w:jc w:val="both"/>
      </w:pPr>
      <w:r>
        <w:t>Ce rapport tient également compte du cadre de résultats approuvé par le Bureau du Comité de la Convention de 2003 concernant l</w:t>
      </w:r>
      <w:r w:rsidR="003C2B6A">
        <w:t>’</w:t>
      </w:r>
      <w:r>
        <w:t>utilisation par le Secrétariat des ressources du Fonds du patrimoine culturel immatériel pour les « autres fonctions du Comité » pour la période du 1er janvier 2016 au 31 décembre 2017 (</w:t>
      </w:r>
      <w:hyperlink r:id="rId22">
        <w:r>
          <w:rPr>
            <w:rStyle w:val="Hyperlink"/>
          </w:rPr>
          <w:t>décision 11.COM 2.BUR 1</w:t>
        </w:r>
      </w:hyperlink>
      <w:r>
        <w:t>). Ce plan annule et remplace le plan approuvé par le Bureau dans sa décision 9.COM 2.BUR 1 pour les périodes du 1er janvier 2014 au 31 décembre 2015 et du 1er janvier au 30 juin 2016, conformément au Plan d</w:t>
      </w:r>
      <w:r w:rsidR="003C2B6A">
        <w:t>’</w:t>
      </w:r>
      <w:r>
        <w:t>utilisation des ressources du Fonds du patrimoine culturel immatériel et au plan budgétaire adopté par l</w:t>
      </w:r>
      <w:r w:rsidR="003C2B6A">
        <w:t>’</w:t>
      </w:r>
      <w:r>
        <w:t>Assemblée générale à l</w:t>
      </w:r>
      <w:r w:rsidR="003C2B6A">
        <w:t>’</w:t>
      </w:r>
      <w:r>
        <w:t>occasion de sa sixième session (</w:t>
      </w:r>
      <w:hyperlink r:id="rId23">
        <w:r>
          <w:rPr>
            <w:rStyle w:val="Hyperlink"/>
          </w:rPr>
          <w:t>résolution 6.GA 9</w:t>
        </w:r>
      </w:hyperlink>
      <w:r>
        <w:t>). Cette structure offre un cadre plus précis pour une catégorie importante de fonds extrabudgétaires utilisés, à savoir ceux dédiés à assister le Comité dans l</w:t>
      </w:r>
      <w:r w:rsidR="003C2B6A">
        <w:t>’</w:t>
      </w:r>
      <w:r>
        <w:t>accomplissement de sa mission.</w:t>
      </w:r>
    </w:p>
    <w:p w14:paraId="70162160" w14:textId="77777777" w:rsidR="007C2199" w:rsidRPr="00E653FF" w:rsidRDefault="007C2199" w:rsidP="001C6280">
      <w:pPr>
        <w:pStyle w:val="COMPara"/>
        <w:keepNext/>
        <w:numPr>
          <w:ilvl w:val="0"/>
          <w:numId w:val="0"/>
        </w:numPr>
        <w:spacing w:before="360"/>
        <w:jc w:val="both"/>
        <w:rPr>
          <w:b/>
        </w:rPr>
      </w:pP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9"/>
        <w:gridCol w:w="1064"/>
        <w:gridCol w:w="4761"/>
        <w:gridCol w:w="1684"/>
      </w:tblGrid>
      <w:tr w:rsidR="007C2199" w:rsidRPr="00CC11E8" w14:paraId="6BE8AE7F" w14:textId="77777777" w:rsidTr="001F3B6F">
        <w:trPr>
          <w:cantSplit/>
        </w:trPr>
        <w:tc>
          <w:tcPr>
            <w:tcW w:w="1188" w:type="pct"/>
            <w:shd w:val="clear" w:color="auto" w:fill="808080"/>
            <w:vAlign w:val="center"/>
          </w:tcPr>
          <w:p w14:paraId="1C0B4601" w14:textId="77777777" w:rsidR="007C2199" w:rsidRPr="000D6F3C" w:rsidRDefault="007C2199" w:rsidP="000D6F3C">
            <w:pPr>
              <w:keepNext/>
              <w:spacing w:before="120" w:after="120"/>
              <w:rPr>
                <w:rFonts w:ascii="Arial" w:hAnsi="Arial" w:cs="Arial"/>
                <w:b/>
                <w:bCs/>
                <w:color w:val="FFFFFF"/>
              </w:rPr>
            </w:pPr>
            <w:r w:rsidRPr="000D6F3C">
              <w:rPr>
                <w:rFonts w:ascii="Arial" w:hAnsi="Arial"/>
                <w:b/>
                <w:color w:val="FFFFFF"/>
                <w:sz w:val="22"/>
              </w:rPr>
              <w:t>Indicateur de performance 1 (38C/5)</w:t>
            </w:r>
          </w:p>
        </w:tc>
        <w:tc>
          <w:tcPr>
            <w:tcW w:w="3810" w:type="pct"/>
            <w:gridSpan w:val="3"/>
            <w:shd w:val="clear" w:color="auto" w:fill="808080"/>
            <w:vAlign w:val="center"/>
          </w:tcPr>
          <w:p w14:paraId="77895E04" w14:textId="77777777" w:rsidR="007C2199" w:rsidRPr="000D6F3C" w:rsidRDefault="007C2199" w:rsidP="000D6F3C">
            <w:pPr>
              <w:keepNext/>
              <w:spacing w:before="120" w:after="120"/>
              <w:rPr>
                <w:rFonts w:ascii="Arial" w:hAnsi="Arial" w:cs="Arial"/>
                <w:b/>
                <w:bCs/>
                <w:color w:val="FFFFFF"/>
              </w:rPr>
            </w:pPr>
            <w:r w:rsidRPr="000D6F3C">
              <w:rPr>
                <w:rFonts w:ascii="Arial" w:hAnsi="Arial"/>
                <w:b/>
                <w:color w:val="FFFFFF"/>
                <w:sz w:val="22"/>
              </w:rPr>
              <w:t>Bonne gouvernance exercée par les organes directeurs de la Convention de 2003 grâce à l</w:t>
            </w:r>
            <w:r w:rsidR="003C2B6A">
              <w:rPr>
                <w:rFonts w:ascii="Arial" w:hAnsi="Arial"/>
                <w:b/>
                <w:color w:val="FFFFFF"/>
                <w:sz w:val="22"/>
              </w:rPr>
              <w:t>’</w:t>
            </w:r>
            <w:r w:rsidRPr="000D6F3C">
              <w:rPr>
                <w:rFonts w:ascii="Arial" w:hAnsi="Arial"/>
                <w:b/>
                <w:color w:val="FFFFFF"/>
                <w:sz w:val="22"/>
              </w:rPr>
              <w:t>organisation efficace de leurs réunions statutaires</w:t>
            </w:r>
          </w:p>
        </w:tc>
      </w:tr>
      <w:tr w:rsidR="001F3B6F" w:rsidRPr="00CC11E8" w14:paraId="6E73C1A6" w14:textId="77777777" w:rsidTr="001F3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28" w:type="pct"/>
            <w:gridSpan w:val="2"/>
            <w:shd w:val="clear" w:color="auto" w:fill="D9D9D9"/>
            <w:vAlign w:val="center"/>
          </w:tcPr>
          <w:p w14:paraId="587B1F78" w14:textId="77777777" w:rsidR="007C2199" w:rsidRPr="001C6031" w:rsidRDefault="007C2199" w:rsidP="002166EB">
            <w:pPr>
              <w:spacing w:before="60" w:after="60"/>
              <w:jc w:val="center"/>
              <w:rPr>
                <w:rFonts w:ascii="Arial" w:eastAsia="Times New Roman" w:hAnsi="Arial" w:cs="Arial"/>
                <w:b/>
                <w:sz w:val="20"/>
                <w:szCs w:val="20"/>
              </w:rPr>
            </w:pPr>
            <w:r>
              <w:rPr>
                <w:rFonts w:ascii="Arial" w:hAnsi="Arial"/>
                <w:b/>
                <w:sz w:val="20"/>
              </w:rPr>
              <w:t>Objectif</w:t>
            </w:r>
          </w:p>
        </w:tc>
        <w:tc>
          <w:tcPr>
            <w:tcW w:w="2417" w:type="pct"/>
            <w:shd w:val="clear" w:color="auto" w:fill="D9D9D9"/>
            <w:vAlign w:val="center"/>
          </w:tcPr>
          <w:p w14:paraId="067316A3" w14:textId="77777777" w:rsidR="007C2199" w:rsidRPr="001C6031" w:rsidRDefault="007C2199" w:rsidP="007F4607">
            <w:pPr>
              <w:spacing w:before="60" w:after="60"/>
              <w:jc w:val="center"/>
              <w:rPr>
                <w:rFonts w:ascii="Arial" w:eastAsia="Times New Roman" w:hAnsi="Arial" w:cs="Arial"/>
                <w:b/>
                <w:sz w:val="20"/>
                <w:szCs w:val="20"/>
              </w:rPr>
            </w:pPr>
            <w:r>
              <w:rPr>
                <w:rFonts w:ascii="Arial" w:hAnsi="Arial"/>
                <w:b/>
                <w:sz w:val="20"/>
              </w:rPr>
              <w:t>Évaluation des progrès </w:t>
            </w:r>
            <w:proofErr w:type="gramStart"/>
            <w:r>
              <w:rPr>
                <w:rFonts w:ascii="Arial" w:hAnsi="Arial"/>
                <w:b/>
                <w:sz w:val="20"/>
              </w:rPr>
              <w:t>:</w:t>
            </w:r>
            <w:proofErr w:type="gramEnd"/>
            <w:r>
              <w:rPr>
                <w:rFonts w:ascii="Arial" w:eastAsia="Times New Roman" w:hAnsi="Arial" w:cs="Arial"/>
                <w:b/>
                <w:sz w:val="20"/>
                <w:szCs w:val="20"/>
              </w:rPr>
              <w:br/>
            </w:r>
            <w:r>
              <w:rPr>
                <w:rFonts w:ascii="Arial" w:hAnsi="Arial"/>
                <w:b/>
                <w:sz w:val="20"/>
              </w:rPr>
              <w:t>01/01/2016 - 30/06/2016</w:t>
            </w:r>
          </w:p>
        </w:tc>
        <w:tc>
          <w:tcPr>
            <w:tcW w:w="855" w:type="pct"/>
            <w:shd w:val="clear" w:color="auto" w:fill="D9D9D9"/>
            <w:vAlign w:val="center"/>
          </w:tcPr>
          <w:p w14:paraId="08382F1B" w14:textId="77777777" w:rsidR="007C2199" w:rsidRPr="000D6F3C" w:rsidRDefault="007C2199" w:rsidP="002455C4">
            <w:pPr>
              <w:pStyle w:val="Default"/>
              <w:jc w:val="center"/>
              <w:rPr>
                <w:rFonts w:eastAsia="Times New Roman" w:cs="Arial"/>
                <w:b/>
                <w:sz w:val="20"/>
                <w:szCs w:val="20"/>
              </w:rPr>
            </w:pPr>
            <w:r w:rsidRPr="000D6F3C">
              <w:rPr>
                <w:rFonts w:cs="Arial"/>
                <w:b/>
                <w:sz w:val="20"/>
              </w:rPr>
              <w:t>Probabilité d</w:t>
            </w:r>
            <w:r w:rsidR="003C2B6A">
              <w:rPr>
                <w:rFonts w:cs="Arial"/>
                <w:b/>
                <w:sz w:val="20"/>
              </w:rPr>
              <w:t>’</w:t>
            </w:r>
            <w:r w:rsidRPr="000D6F3C">
              <w:rPr>
                <w:rFonts w:cs="Arial"/>
                <w:b/>
                <w:sz w:val="20"/>
              </w:rPr>
              <w:t>atteindre l</w:t>
            </w:r>
            <w:r w:rsidR="003C2B6A">
              <w:rPr>
                <w:rFonts w:cs="Arial"/>
                <w:b/>
                <w:sz w:val="20"/>
              </w:rPr>
              <w:t>’</w:t>
            </w:r>
            <w:r w:rsidRPr="000D6F3C">
              <w:rPr>
                <w:rFonts w:cs="Arial"/>
                <w:b/>
                <w:sz w:val="20"/>
              </w:rPr>
              <w:t>objectif</w:t>
            </w:r>
          </w:p>
        </w:tc>
      </w:tr>
      <w:tr w:rsidR="001F3B6F" w:rsidRPr="001C6031" w14:paraId="2690A66B" w14:textId="77777777" w:rsidTr="001F3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pct"/>
            <w:gridSpan w:val="2"/>
          </w:tcPr>
          <w:p w14:paraId="69D8E8E6" w14:textId="77777777" w:rsidR="007C2199" w:rsidRDefault="007C2199" w:rsidP="00BA3A07">
            <w:pPr>
              <w:pStyle w:val="ListParagraph"/>
              <w:numPr>
                <w:ilvl w:val="0"/>
                <w:numId w:val="9"/>
              </w:numPr>
              <w:spacing w:before="60" w:beforeAutospacing="0" w:after="60" w:afterAutospacing="0"/>
              <w:ind w:left="357" w:hanging="357"/>
              <w:rPr>
                <w:rFonts w:ascii="Arial" w:eastAsia="Times New Roman" w:hAnsi="Arial" w:cs="Arial"/>
                <w:sz w:val="20"/>
                <w:szCs w:val="20"/>
              </w:rPr>
            </w:pPr>
            <w:r>
              <w:rPr>
                <w:rFonts w:ascii="Arial" w:hAnsi="Arial"/>
                <w:color w:val="000000"/>
                <w:sz w:val="20"/>
              </w:rPr>
              <w:t xml:space="preserve">Adoption de décisions offrant des orientations stratégiques et/ou un soutien financier </w:t>
            </w:r>
            <w:r>
              <w:rPr>
                <w:rFonts w:ascii="Arial" w:hAnsi="Arial"/>
                <w:sz w:val="20"/>
              </w:rPr>
              <w:t>pour la mise en œuvre de la Convention dans le cadre d</w:t>
            </w:r>
            <w:r w:rsidR="003C2B6A">
              <w:rPr>
                <w:rFonts w:ascii="Arial" w:hAnsi="Arial"/>
                <w:sz w:val="20"/>
              </w:rPr>
              <w:t>’</w:t>
            </w:r>
            <w:r>
              <w:rPr>
                <w:rFonts w:ascii="Arial" w:hAnsi="Arial"/>
                <w:sz w:val="20"/>
              </w:rPr>
              <w:t>une douzaine de réunions statutaires</w:t>
            </w:r>
            <w:r w:rsidR="001F3B6F">
              <w:rPr>
                <w:rFonts w:ascii="Arial" w:hAnsi="Arial"/>
                <w:sz w:val="20"/>
              </w:rPr>
              <w:t>.</w:t>
            </w:r>
          </w:p>
          <w:p w14:paraId="416BB977" w14:textId="77777777" w:rsidR="007C2199" w:rsidRDefault="007C2199" w:rsidP="00BA3A07">
            <w:pPr>
              <w:pStyle w:val="ListParagraph"/>
              <w:numPr>
                <w:ilvl w:val="0"/>
                <w:numId w:val="9"/>
              </w:numPr>
              <w:spacing w:before="60" w:beforeAutospacing="0" w:after="60" w:afterAutospacing="0"/>
              <w:ind w:left="357" w:hanging="357"/>
              <w:rPr>
                <w:rFonts w:ascii="Arial" w:eastAsia="Times New Roman" w:hAnsi="Arial" w:cs="Arial"/>
                <w:sz w:val="20"/>
                <w:szCs w:val="20"/>
              </w:rPr>
            </w:pPr>
            <w:r>
              <w:rPr>
                <w:rFonts w:ascii="Arial" w:hAnsi="Arial"/>
                <w:sz w:val="20"/>
              </w:rPr>
              <w:t>100 plans de sauvegarde du patrimoine culturel immatériel, y compris les langues autochtones et en péril, élaborés et/ou mis en œuvre par les États membres</w:t>
            </w:r>
            <w:r w:rsidR="001F3B6F">
              <w:rPr>
                <w:rFonts w:ascii="Arial" w:hAnsi="Arial"/>
                <w:sz w:val="20"/>
              </w:rPr>
              <w:t>.</w:t>
            </w:r>
          </w:p>
          <w:p w14:paraId="5CB6D203" w14:textId="77777777" w:rsidR="007C2199" w:rsidRPr="00DA6240" w:rsidRDefault="007C2199" w:rsidP="00BA3A07">
            <w:pPr>
              <w:pStyle w:val="ListParagraph"/>
              <w:numPr>
                <w:ilvl w:val="0"/>
                <w:numId w:val="9"/>
              </w:numPr>
              <w:spacing w:before="60" w:beforeAutospacing="0" w:after="60" w:afterAutospacing="0"/>
              <w:ind w:left="357" w:hanging="357"/>
              <w:rPr>
                <w:rFonts w:ascii="Arial" w:eastAsia="Times New Roman" w:hAnsi="Arial" w:cs="Arial"/>
                <w:sz w:val="20"/>
                <w:szCs w:val="20"/>
              </w:rPr>
            </w:pPr>
            <w:r>
              <w:rPr>
                <w:rFonts w:ascii="Arial" w:hAnsi="Arial"/>
                <w:sz w:val="20"/>
              </w:rPr>
              <w:t>30 demandes d</w:t>
            </w:r>
            <w:r w:rsidR="003C2B6A">
              <w:rPr>
                <w:rFonts w:ascii="Arial" w:hAnsi="Arial"/>
                <w:sz w:val="20"/>
              </w:rPr>
              <w:t>’</w:t>
            </w:r>
            <w:r>
              <w:rPr>
                <w:rFonts w:ascii="Arial" w:hAnsi="Arial"/>
                <w:sz w:val="20"/>
              </w:rPr>
              <w:t xml:space="preserve">assistance internationale soumises et 5 effectivement traitées par les États membres, 65 candidatures présentées par des États membres et examinées, dont un </w:t>
            </w:r>
            <w:r>
              <w:rPr>
                <w:rFonts w:ascii="Arial" w:hAnsi="Arial"/>
                <w:color w:val="000000"/>
                <w:sz w:val="20"/>
              </w:rPr>
              <w:t>projet promu et diffusé en tant que meilleure pratique de sauvegarde</w:t>
            </w:r>
            <w:r w:rsidR="001F3B6F">
              <w:rPr>
                <w:rFonts w:ascii="Arial" w:hAnsi="Arial"/>
                <w:color w:val="000000"/>
                <w:sz w:val="20"/>
              </w:rPr>
              <w:t>.</w:t>
            </w:r>
          </w:p>
        </w:tc>
        <w:tc>
          <w:tcPr>
            <w:tcW w:w="2417" w:type="pct"/>
          </w:tcPr>
          <w:p w14:paraId="6CA39760" w14:textId="77777777" w:rsidR="007C2199" w:rsidRPr="00401DFB" w:rsidRDefault="007C2199" w:rsidP="00BA3A07">
            <w:pPr>
              <w:pStyle w:val="ListParagraph"/>
              <w:numPr>
                <w:ilvl w:val="0"/>
                <w:numId w:val="9"/>
              </w:numPr>
              <w:spacing w:before="60" w:beforeAutospacing="0" w:after="60" w:afterAutospacing="0"/>
              <w:ind w:left="357" w:hanging="357"/>
              <w:rPr>
                <w:rFonts w:ascii="Arial" w:hAnsi="Arial" w:cs="Arial"/>
                <w:color w:val="000000"/>
                <w:sz w:val="20"/>
                <w:szCs w:val="20"/>
              </w:rPr>
            </w:pPr>
            <w:r w:rsidRPr="00401DFB">
              <w:rPr>
                <w:rFonts w:ascii="Arial" w:hAnsi="Arial"/>
                <w:color w:val="000000"/>
                <w:sz w:val="20"/>
              </w:rPr>
              <w:t xml:space="preserve">Organisation de 5 réunions statutaires ayant </w:t>
            </w:r>
            <w:r w:rsidR="009544DC" w:rsidRPr="00401DFB">
              <w:rPr>
                <w:rFonts w:ascii="Arial" w:hAnsi="Arial"/>
                <w:color w:val="000000"/>
                <w:sz w:val="20"/>
              </w:rPr>
              <w:t xml:space="preserve">pris des décisions sur </w:t>
            </w:r>
            <w:r w:rsidRPr="00401DFB">
              <w:rPr>
                <w:rFonts w:ascii="Arial" w:hAnsi="Arial"/>
                <w:color w:val="000000"/>
                <w:sz w:val="20"/>
              </w:rPr>
              <w:t>des orientations stratégiques et/ou un soutien financier pour la mise en œuvre de la Convention : 1 Assemblée générale (30 mai</w:t>
            </w:r>
            <w:r w:rsidR="009544DC" w:rsidRPr="00401DFB">
              <w:rPr>
                <w:rFonts w:ascii="Arial" w:hAnsi="Arial"/>
                <w:color w:val="000000"/>
                <w:sz w:val="20"/>
              </w:rPr>
              <w:t>-</w:t>
            </w:r>
            <w:r w:rsidRPr="00401DFB">
              <w:rPr>
                <w:rFonts w:ascii="Arial" w:hAnsi="Arial"/>
                <w:color w:val="000000"/>
                <w:sz w:val="20"/>
              </w:rPr>
              <w:t>1er juin 201</w:t>
            </w:r>
            <w:r w:rsidR="009544DC" w:rsidRPr="00401DFB">
              <w:rPr>
                <w:rFonts w:ascii="Arial" w:hAnsi="Arial"/>
                <w:color w:val="000000"/>
                <w:sz w:val="20"/>
              </w:rPr>
              <w:t>6</w:t>
            </w:r>
            <w:r w:rsidRPr="00401DFB">
              <w:rPr>
                <w:rFonts w:ascii="Arial" w:hAnsi="Arial"/>
                <w:color w:val="000000"/>
                <w:sz w:val="20"/>
              </w:rPr>
              <w:t>), 2 réunions de l</w:t>
            </w:r>
            <w:r w:rsidR="003C2B6A" w:rsidRPr="00401DFB">
              <w:rPr>
                <w:rFonts w:ascii="Arial" w:hAnsi="Arial"/>
                <w:color w:val="000000"/>
                <w:sz w:val="20"/>
              </w:rPr>
              <w:t>’</w:t>
            </w:r>
            <w:r w:rsidRPr="00401DFB">
              <w:rPr>
                <w:rFonts w:ascii="Arial" w:hAnsi="Arial"/>
                <w:color w:val="000000"/>
                <w:sz w:val="20"/>
              </w:rPr>
              <w:t>Organe d</w:t>
            </w:r>
            <w:r w:rsidR="003C2B6A" w:rsidRPr="00401DFB">
              <w:rPr>
                <w:rFonts w:ascii="Arial" w:hAnsi="Arial"/>
                <w:color w:val="000000"/>
                <w:sz w:val="20"/>
              </w:rPr>
              <w:t>’</w:t>
            </w:r>
            <w:r w:rsidRPr="00401DFB">
              <w:rPr>
                <w:rFonts w:ascii="Arial" w:hAnsi="Arial"/>
                <w:color w:val="000000"/>
                <w:sz w:val="20"/>
              </w:rPr>
              <w:t>évaluation (</w:t>
            </w:r>
            <w:r w:rsidR="00401DFB" w:rsidRPr="00D05623">
              <w:rPr>
                <w:rFonts w:ascii="Arial" w:hAnsi="Arial"/>
                <w:color w:val="000000"/>
                <w:sz w:val="20"/>
              </w:rPr>
              <w:t>10</w:t>
            </w:r>
            <w:r w:rsidR="009544DC" w:rsidRPr="00401DFB">
              <w:rPr>
                <w:rFonts w:ascii="Arial" w:hAnsi="Arial"/>
                <w:color w:val="000000"/>
                <w:sz w:val="20"/>
              </w:rPr>
              <w:t>-</w:t>
            </w:r>
            <w:r w:rsidR="00401DFB" w:rsidRPr="00D05623">
              <w:rPr>
                <w:rFonts w:ascii="Arial" w:hAnsi="Arial"/>
                <w:color w:val="000000"/>
                <w:sz w:val="20"/>
              </w:rPr>
              <w:t>11</w:t>
            </w:r>
            <w:r w:rsidRPr="00401DFB">
              <w:rPr>
                <w:rFonts w:ascii="Arial" w:hAnsi="Arial"/>
                <w:color w:val="000000"/>
                <w:sz w:val="20"/>
              </w:rPr>
              <w:t xml:space="preserve"> mars 201</w:t>
            </w:r>
            <w:r w:rsidR="009544DC" w:rsidRPr="00401DFB">
              <w:rPr>
                <w:rFonts w:ascii="Arial" w:hAnsi="Arial"/>
                <w:color w:val="000000"/>
                <w:sz w:val="20"/>
              </w:rPr>
              <w:t>6</w:t>
            </w:r>
            <w:r w:rsidRPr="00401DFB">
              <w:rPr>
                <w:rFonts w:ascii="Arial" w:hAnsi="Arial"/>
                <w:color w:val="000000"/>
                <w:sz w:val="20"/>
              </w:rPr>
              <w:t xml:space="preserve"> ; </w:t>
            </w:r>
            <w:r w:rsidR="00401DFB" w:rsidRPr="00D05623">
              <w:rPr>
                <w:rFonts w:ascii="Arial" w:hAnsi="Arial"/>
                <w:color w:val="000000"/>
                <w:sz w:val="20"/>
              </w:rPr>
              <w:t>20</w:t>
            </w:r>
            <w:r w:rsidR="009544DC" w:rsidRPr="00401DFB">
              <w:rPr>
                <w:rFonts w:ascii="Arial" w:hAnsi="Arial"/>
                <w:color w:val="000000"/>
                <w:sz w:val="20"/>
              </w:rPr>
              <w:t>-</w:t>
            </w:r>
            <w:r w:rsidR="00401DFB" w:rsidRPr="00D05623">
              <w:rPr>
                <w:rFonts w:ascii="Arial" w:hAnsi="Arial"/>
                <w:color w:val="000000"/>
                <w:sz w:val="20"/>
              </w:rPr>
              <w:t>24</w:t>
            </w:r>
            <w:r w:rsidRPr="00401DFB">
              <w:rPr>
                <w:rFonts w:ascii="Arial" w:hAnsi="Arial"/>
                <w:color w:val="000000"/>
                <w:sz w:val="20"/>
              </w:rPr>
              <w:t xml:space="preserve"> juin 201</w:t>
            </w:r>
            <w:r w:rsidR="009544DC" w:rsidRPr="00401DFB">
              <w:rPr>
                <w:rFonts w:ascii="Arial" w:hAnsi="Arial"/>
                <w:color w:val="000000"/>
                <w:sz w:val="20"/>
              </w:rPr>
              <w:t>6</w:t>
            </w:r>
            <w:r w:rsidRPr="00401DFB">
              <w:rPr>
                <w:rFonts w:ascii="Arial" w:hAnsi="Arial"/>
                <w:color w:val="000000"/>
                <w:sz w:val="20"/>
              </w:rPr>
              <w:t>) ; 2 consultations électroniques du Bureau du Comité (21 mars</w:t>
            </w:r>
            <w:r w:rsidR="009544DC" w:rsidRPr="00401DFB">
              <w:rPr>
                <w:rFonts w:ascii="Arial" w:hAnsi="Arial"/>
                <w:color w:val="000000"/>
                <w:sz w:val="20"/>
              </w:rPr>
              <w:t>-</w:t>
            </w:r>
            <w:r w:rsidRPr="00401DFB">
              <w:rPr>
                <w:rFonts w:ascii="Arial" w:hAnsi="Arial"/>
                <w:color w:val="000000"/>
                <w:sz w:val="20"/>
              </w:rPr>
              <w:t>15 avril 2016 ; 2</w:t>
            </w:r>
            <w:r w:rsidR="009544DC" w:rsidRPr="00401DFB">
              <w:rPr>
                <w:rFonts w:ascii="Arial" w:hAnsi="Arial"/>
                <w:color w:val="000000"/>
                <w:sz w:val="20"/>
              </w:rPr>
              <w:t>-</w:t>
            </w:r>
            <w:r w:rsidRPr="00401DFB">
              <w:rPr>
                <w:rFonts w:ascii="Arial" w:hAnsi="Arial"/>
                <w:color w:val="000000"/>
                <w:sz w:val="20"/>
              </w:rPr>
              <w:t>17 juin 2016).</w:t>
            </w:r>
          </w:p>
          <w:p w14:paraId="5AF3395B" w14:textId="77777777" w:rsidR="007C2199" w:rsidRPr="002455C4" w:rsidRDefault="007C2199" w:rsidP="00BA3A07">
            <w:pPr>
              <w:pStyle w:val="ListParagraph"/>
              <w:numPr>
                <w:ilvl w:val="0"/>
                <w:numId w:val="9"/>
              </w:numPr>
              <w:spacing w:before="60" w:beforeAutospacing="0" w:after="60" w:afterAutospacing="0"/>
              <w:ind w:left="357" w:hanging="357"/>
              <w:rPr>
                <w:rFonts w:ascii="Arial" w:hAnsi="Arial" w:cs="Arial"/>
                <w:color w:val="000000"/>
                <w:sz w:val="20"/>
                <w:szCs w:val="20"/>
              </w:rPr>
            </w:pPr>
            <w:r w:rsidRPr="00401DFB">
              <w:rPr>
                <w:rFonts w:ascii="Arial" w:hAnsi="Arial"/>
                <w:color w:val="000000"/>
                <w:sz w:val="20"/>
              </w:rPr>
              <w:t>Adoption des plans d</w:t>
            </w:r>
            <w:r w:rsidR="003C2B6A" w:rsidRPr="00401DFB">
              <w:rPr>
                <w:rFonts w:ascii="Arial" w:hAnsi="Arial"/>
                <w:color w:val="000000"/>
                <w:sz w:val="20"/>
              </w:rPr>
              <w:t>’</w:t>
            </w:r>
            <w:r w:rsidRPr="00401DFB">
              <w:rPr>
                <w:rFonts w:ascii="Arial" w:hAnsi="Arial"/>
                <w:color w:val="000000"/>
                <w:sz w:val="20"/>
              </w:rPr>
              <w:t>utilisation des ressources du Fonds</w:t>
            </w:r>
            <w:r w:rsidR="009544DC" w:rsidRPr="00401DFB">
              <w:rPr>
                <w:rFonts w:ascii="Arial" w:hAnsi="Arial"/>
                <w:color w:val="000000"/>
                <w:sz w:val="20"/>
              </w:rPr>
              <w:t> ;</w:t>
            </w:r>
            <w:r w:rsidRPr="00401DFB">
              <w:rPr>
                <w:rFonts w:ascii="Arial" w:hAnsi="Arial"/>
                <w:color w:val="000000"/>
                <w:sz w:val="20"/>
              </w:rPr>
              <w:t xml:space="preserve"> révision des Directives opérationnelles</w:t>
            </w:r>
            <w:r>
              <w:rPr>
                <w:rFonts w:ascii="Arial" w:hAnsi="Arial"/>
                <w:color w:val="000000"/>
                <w:sz w:val="20"/>
              </w:rPr>
              <w:t xml:space="preserve"> (DO) concernant l</w:t>
            </w:r>
            <w:r w:rsidR="003C2B6A">
              <w:rPr>
                <w:rFonts w:ascii="Arial" w:hAnsi="Arial"/>
                <w:color w:val="000000"/>
                <w:sz w:val="20"/>
              </w:rPr>
              <w:t>’</w:t>
            </w:r>
            <w:r>
              <w:rPr>
                <w:rFonts w:ascii="Arial" w:hAnsi="Arial"/>
                <w:color w:val="000000"/>
                <w:sz w:val="20"/>
              </w:rPr>
              <w:t>augmentation du plafond des demandes d</w:t>
            </w:r>
            <w:r w:rsidR="003C2B6A">
              <w:rPr>
                <w:rFonts w:ascii="Arial" w:hAnsi="Arial"/>
                <w:color w:val="000000"/>
                <w:sz w:val="20"/>
              </w:rPr>
              <w:t>’</w:t>
            </w:r>
            <w:r>
              <w:rPr>
                <w:rFonts w:ascii="Arial" w:hAnsi="Arial"/>
                <w:color w:val="000000"/>
                <w:sz w:val="20"/>
              </w:rPr>
              <w:t>AI examinées par le Bureau</w:t>
            </w:r>
            <w:r w:rsidR="009544DC">
              <w:rPr>
                <w:rFonts w:ascii="Arial" w:hAnsi="Arial"/>
                <w:color w:val="000000"/>
                <w:sz w:val="20"/>
              </w:rPr>
              <w:t> ;</w:t>
            </w:r>
            <w:r>
              <w:rPr>
                <w:rFonts w:ascii="Arial" w:hAnsi="Arial"/>
                <w:color w:val="000000"/>
                <w:sz w:val="20"/>
              </w:rPr>
              <w:t xml:space="preserve"> adoption d</w:t>
            </w:r>
            <w:r w:rsidR="003C2B6A">
              <w:rPr>
                <w:rFonts w:ascii="Arial" w:hAnsi="Arial"/>
                <w:color w:val="000000"/>
                <w:sz w:val="20"/>
              </w:rPr>
              <w:t>’</w:t>
            </w:r>
            <w:r>
              <w:rPr>
                <w:rFonts w:ascii="Arial" w:hAnsi="Arial"/>
                <w:color w:val="000000"/>
                <w:sz w:val="20"/>
              </w:rPr>
              <w:t>un nouveau chapitre des DO sur la sauvegarde du patrimoine culturel immatériel et le développem</w:t>
            </w:r>
            <w:r w:rsidR="001F3B6F">
              <w:rPr>
                <w:rFonts w:ascii="Arial" w:hAnsi="Arial"/>
                <w:color w:val="000000"/>
                <w:sz w:val="20"/>
              </w:rPr>
              <w:t>ent durable au niveau national.</w:t>
            </w:r>
          </w:p>
          <w:p w14:paraId="3FEC3F16" w14:textId="77777777" w:rsidR="007C2199" w:rsidRPr="00417A2D" w:rsidRDefault="009D4C72" w:rsidP="00BA3A07">
            <w:pPr>
              <w:pStyle w:val="ListParagraph"/>
              <w:numPr>
                <w:ilvl w:val="0"/>
                <w:numId w:val="9"/>
              </w:numPr>
              <w:spacing w:before="60" w:beforeAutospacing="0" w:after="60" w:afterAutospacing="0"/>
              <w:ind w:left="357" w:hanging="357"/>
              <w:rPr>
                <w:rFonts w:ascii="Arial" w:hAnsi="Arial" w:cs="Arial"/>
                <w:color w:val="000000"/>
                <w:sz w:val="20"/>
                <w:szCs w:val="20"/>
              </w:rPr>
            </w:pPr>
            <w:r>
              <w:rPr>
                <w:rFonts w:ascii="Arial" w:hAnsi="Arial"/>
                <w:color w:val="000000"/>
                <w:sz w:val="20"/>
              </w:rPr>
              <w:t xml:space="preserve">Traitement </w:t>
            </w:r>
            <w:r w:rsidR="007C2199">
              <w:rPr>
                <w:rFonts w:ascii="Arial" w:hAnsi="Arial"/>
                <w:color w:val="000000"/>
                <w:sz w:val="20"/>
              </w:rPr>
              <w:t xml:space="preserve">de 44 candidatures, </w:t>
            </w:r>
            <w:r w:rsidR="007C2199">
              <w:rPr>
                <w:rFonts w:ascii="Arial" w:hAnsi="Arial"/>
                <w:sz w:val="20"/>
              </w:rPr>
              <w:t xml:space="preserve">4 meilleures </w:t>
            </w:r>
            <w:r w:rsidR="007C2199">
              <w:rPr>
                <w:rFonts w:ascii="Arial" w:hAnsi="Arial"/>
                <w:color w:val="000000"/>
                <w:sz w:val="20"/>
              </w:rPr>
              <w:t>pratiques de sauvegarde et 4 demandes d</w:t>
            </w:r>
            <w:r w:rsidR="003C2B6A">
              <w:rPr>
                <w:rFonts w:ascii="Arial" w:hAnsi="Arial"/>
                <w:color w:val="000000"/>
                <w:sz w:val="20"/>
              </w:rPr>
              <w:t>’</w:t>
            </w:r>
            <w:r w:rsidR="007C2199">
              <w:rPr>
                <w:rFonts w:ascii="Arial" w:hAnsi="Arial"/>
                <w:color w:val="000000"/>
                <w:sz w:val="20"/>
              </w:rPr>
              <w:t>assistance internationale comportant chacune un plan de sauvegarde (cycle 2017).</w:t>
            </w:r>
          </w:p>
          <w:p w14:paraId="653CFF77" w14:textId="77777777" w:rsidR="007C2199" w:rsidRPr="00417A2D" w:rsidRDefault="007C2199" w:rsidP="00BA3A07">
            <w:pPr>
              <w:pStyle w:val="ListParagraph"/>
              <w:numPr>
                <w:ilvl w:val="0"/>
                <w:numId w:val="9"/>
              </w:numPr>
              <w:spacing w:before="60" w:beforeAutospacing="0" w:after="60" w:afterAutospacing="0"/>
              <w:ind w:left="357" w:hanging="357"/>
              <w:rPr>
                <w:rFonts w:ascii="Arial" w:hAnsi="Arial" w:cs="Arial"/>
                <w:color w:val="000000"/>
                <w:sz w:val="20"/>
                <w:szCs w:val="20"/>
              </w:rPr>
            </w:pPr>
            <w:r>
              <w:rPr>
                <w:rFonts w:ascii="Arial" w:hAnsi="Arial"/>
                <w:color w:val="000000"/>
                <w:sz w:val="20"/>
              </w:rPr>
              <w:t>Traitement et analyse de 10 demandes d</w:t>
            </w:r>
            <w:r w:rsidR="003C2B6A">
              <w:rPr>
                <w:rFonts w:ascii="Arial" w:hAnsi="Arial"/>
                <w:color w:val="000000"/>
                <w:sz w:val="20"/>
              </w:rPr>
              <w:t>’</w:t>
            </w:r>
            <w:r>
              <w:rPr>
                <w:rFonts w:ascii="Arial" w:hAnsi="Arial"/>
                <w:color w:val="000000"/>
                <w:sz w:val="20"/>
              </w:rPr>
              <w:t xml:space="preserve">assistance internationale et soumission de 5 recommandations au Bureau </w:t>
            </w:r>
            <w:r>
              <w:rPr>
                <w:rFonts w:ascii="Arial" w:hAnsi="Arial"/>
                <w:sz w:val="20"/>
              </w:rPr>
              <w:t>qui ont été</w:t>
            </w:r>
            <w:r w:rsidR="00D457E3">
              <w:rPr>
                <w:rFonts w:ascii="Arial" w:hAnsi="Arial"/>
                <w:sz w:val="20"/>
              </w:rPr>
              <w:t xml:space="preserve"> approuvées (11.COM BUR 1 &amp; 2).</w:t>
            </w:r>
          </w:p>
          <w:p w14:paraId="70215537" w14:textId="77777777" w:rsidR="007C2199" w:rsidRPr="008F74DE" w:rsidRDefault="00D4626B" w:rsidP="005953C7">
            <w:pPr>
              <w:pStyle w:val="ListParagraph"/>
              <w:numPr>
                <w:ilvl w:val="0"/>
                <w:numId w:val="9"/>
              </w:numPr>
              <w:spacing w:before="60" w:beforeAutospacing="0" w:after="60" w:afterAutospacing="0"/>
              <w:ind w:left="357" w:hanging="357"/>
              <w:rPr>
                <w:rFonts w:ascii="Arial" w:hAnsi="Arial" w:cs="Arial"/>
                <w:color w:val="000000"/>
                <w:sz w:val="20"/>
                <w:szCs w:val="20"/>
              </w:rPr>
            </w:pPr>
            <w:hyperlink r:id="rId24">
              <w:r w:rsidR="007C2199">
                <w:rPr>
                  <w:rFonts w:ascii="Arial" w:hAnsi="Arial"/>
                  <w:color w:val="000000"/>
                  <w:sz w:val="20"/>
                </w:rPr>
                <w:t>Lancement d</w:t>
              </w:r>
              <w:r w:rsidR="003C2B6A">
                <w:rPr>
                  <w:rFonts w:ascii="Arial" w:hAnsi="Arial"/>
                  <w:color w:val="000000"/>
                  <w:sz w:val="20"/>
                </w:rPr>
                <w:t>’</w:t>
              </w:r>
              <w:r w:rsidR="007C2199">
                <w:rPr>
                  <w:rFonts w:ascii="Arial" w:hAnsi="Arial"/>
                  <w:color w:val="000000"/>
                  <w:sz w:val="20"/>
                </w:rPr>
                <w:t>une nouvelle interface de suivi</w:t>
              </w:r>
            </w:hyperlink>
            <w:r w:rsidR="007C2199">
              <w:rPr>
                <w:rFonts w:ascii="Arial" w:hAnsi="Arial"/>
                <w:color w:val="000000"/>
                <w:sz w:val="20"/>
              </w:rPr>
              <w:t xml:space="preserve"> pour les rapports périodiques, permettant à tous les acteurs de consulter les rapports soumis, les calendriers de soumission et de rechercher des rapports par mécanisme, </w:t>
            </w:r>
            <w:r w:rsidR="009D4C72">
              <w:rPr>
                <w:rFonts w:ascii="Arial" w:hAnsi="Arial"/>
                <w:color w:val="000000"/>
                <w:sz w:val="20"/>
              </w:rPr>
              <w:t xml:space="preserve">statut </w:t>
            </w:r>
            <w:r w:rsidR="007C2199">
              <w:rPr>
                <w:rFonts w:ascii="Arial" w:hAnsi="Arial"/>
                <w:color w:val="000000"/>
                <w:sz w:val="20"/>
              </w:rPr>
              <w:t>et pays.</w:t>
            </w:r>
          </w:p>
        </w:tc>
        <w:tc>
          <w:tcPr>
            <w:tcW w:w="855" w:type="pct"/>
          </w:tcPr>
          <w:p w14:paraId="49CF08C7" w14:textId="77777777" w:rsidR="007C2199" w:rsidRPr="001C6031" w:rsidRDefault="007C2199" w:rsidP="00543205">
            <w:pPr>
              <w:pStyle w:val="ListParagraph"/>
              <w:spacing w:before="60" w:beforeAutospacing="0" w:after="60" w:afterAutospacing="0"/>
              <w:jc w:val="center"/>
              <w:rPr>
                <w:rFonts w:ascii="Arial" w:eastAsia="Times New Roman" w:hAnsi="Arial" w:cs="Arial"/>
                <w:sz w:val="20"/>
                <w:szCs w:val="20"/>
              </w:rPr>
            </w:pPr>
            <w:r>
              <w:rPr>
                <w:rFonts w:ascii="Arial" w:hAnsi="Arial"/>
                <w:color w:val="000000"/>
                <w:sz w:val="20"/>
              </w:rPr>
              <w:t>Élevée</w:t>
            </w:r>
          </w:p>
        </w:tc>
      </w:tr>
    </w:tbl>
    <w:p w14:paraId="164D0E79" w14:textId="77777777" w:rsidR="007C2199" w:rsidRDefault="007C2199" w:rsidP="007F4607">
      <w:pPr>
        <w:pStyle w:val="COMPara"/>
        <w:numPr>
          <w:ilvl w:val="0"/>
          <w:numId w:val="0"/>
        </w:numPr>
        <w:ind w:left="567"/>
        <w:jc w:val="both"/>
        <w:rPr>
          <w:highlight w:val="cyan"/>
        </w:rPr>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1"/>
        <w:gridCol w:w="1789"/>
        <w:gridCol w:w="4024"/>
        <w:gridCol w:w="1698"/>
      </w:tblGrid>
      <w:tr w:rsidR="007C2199" w:rsidRPr="00CC11E8" w14:paraId="5E84327D" w14:textId="77777777" w:rsidTr="001F3B6F">
        <w:trPr>
          <w:cantSplit/>
        </w:trPr>
        <w:tc>
          <w:tcPr>
            <w:tcW w:w="1188" w:type="pct"/>
            <w:shd w:val="clear" w:color="auto" w:fill="808080"/>
            <w:vAlign w:val="center"/>
          </w:tcPr>
          <w:p w14:paraId="2530E2E5" w14:textId="77777777" w:rsidR="007C2199" w:rsidRPr="000D6F3C" w:rsidRDefault="007C2199" w:rsidP="000D6F3C">
            <w:pPr>
              <w:keepNext/>
              <w:spacing w:before="120" w:after="120"/>
              <w:rPr>
                <w:rFonts w:ascii="Arial" w:hAnsi="Arial" w:cs="Arial"/>
                <w:b/>
                <w:bCs/>
                <w:color w:val="FFFFFF"/>
              </w:rPr>
            </w:pPr>
            <w:r w:rsidRPr="000D6F3C">
              <w:rPr>
                <w:rFonts w:ascii="Arial" w:hAnsi="Arial"/>
                <w:b/>
                <w:color w:val="FFFFFF"/>
                <w:sz w:val="22"/>
              </w:rPr>
              <w:lastRenderedPageBreak/>
              <w:t>Indicateur de performance 2 (38C/5)</w:t>
            </w:r>
          </w:p>
        </w:tc>
        <w:tc>
          <w:tcPr>
            <w:tcW w:w="3812" w:type="pct"/>
            <w:gridSpan w:val="3"/>
            <w:shd w:val="clear" w:color="auto" w:fill="808080"/>
            <w:vAlign w:val="center"/>
          </w:tcPr>
          <w:p w14:paraId="5F7D21BD" w14:textId="77777777" w:rsidR="007C2199" w:rsidRPr="000D6F3C" w:rsidRDefault="007C2199" w:rsidP="002455C4">
            <w:pPr>
              <w:pStyle w:val="Default"/>
              <w:rPr>
                <w:rFonts w:cs="Arial"/>
                <w:b/>
                <w:bCs/>
                <w:color w:val="FFFFFF"/>
                <w:sz w:val="22"/>
                <w:szCs w:val="22"/>
              </w:rPr>
            </w:pPr>
            <w:r w:rsidRPr="000D6F3C">
              <w:rPr>
                <w:rFonts w:cs="Arial"/>
                <w:b/>
                <w:color w:val="FFFFFF"/>
                <w:sz w:val="22"/>
              </w:rPr>
              <w:t>Nombre d</w:t>
            </w:r>
            <w:r w:rsidR="003C2B6A">
              <w:rPr>
                <w:rFonts w:cs="Arial"/>
                <w:b/>
                <w:color w:val="FFFFFF"/>
                <w:sz w:val="22"/>
              </w:rPr>
              <w:t>’</w:t>
            </w:r>
            <w:r w:rsidRPr="000D6F3C">
              <w:rPr>
                <w:rFonts w:cs="Arial"/>
                <w:b/>
                <w:color w:val="FFFFFF"/>
                <w:sz w:val="22"/>
              </w:rPr>
              <w:t>États membres aidés mettant à profit les ressources humaines et institutionnelles renforcées pour le PCI et intégrant ce dernier dans leurs politiques nationales</w:t>
            </w:r>
          </w:p>
        </w:tc>
      </w:tr>
      <w:tr w:rsidR="007C2199" w:rsidRPr="00CC11E8" w14:paraId="0251A47B" w14:textId="77777777" w:rsidTr="001F3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096" w:type="pct"/>
            <w:gridSpan w:val="2"/>
            <w:shd w:val="clear" w:color="auto" w:fill="D9D9D9"/>
            <w:vAlign w:val="center"/>
          </w:tcPr>
          <w:p w14:paraId="1091D5A8" w14:textId="77777777" w:rsidR="007C2199" w:rsidRPr="001C6031" w:rsidRDefault="007C2199" w:rsidP="002166EB">
            <w:pPr>
              <w:spacing w:before="60" w:after="60"/>
              <w:jc w:val="center"/>
              <w:rPr>
                <w:rFonts w:ascii="Arial" w:eastAsia="Times New Roman" w:hAnsi="Arial" w:cs="Arial"/>
                <w:b/>
                <w:sz w:val="20"/>
                <w:szCs w:val="20"/>
              </w:rPr>
            </w:pPr>
            <w:r>
              <w:rPr>
                <w:rFonts w:ascii="Arial" w:hAnsi="Arial"/>
                <w:b/>
                <w:sz w:val="20"/>
              </w:rPr>
              <w:t>Objectif</w:t>
            </w:r>
          </w:p>
        </w:tc>
        <w:tc>
          <w:tcPr>
            <w:tcW w:w="2042" w:type="pct"/>
            <w:shd w:val="clear" w:color="auto" w:fill="D9D9D9"/>
            <w:vAlign w:val="center"/>
          </w:tcPr>
          <w:p w14:paraId="45BE4541" w14:textId="77777777" w:rsidR="007C2199" w:rsidRPr="001C6031" w:rsidRDefault="007C2199" w:rsidP="002166EB">
            <w:pPr>
              <w:spacing w:before="60" w:after="60"/>
              <w:jc w:val="center"/>
              <w:rPr>
                <w:rFonts w:ascii="Arial" w:eastAsia="Times New Roman" w:hAnsi="Arial" w:cs="Arial"/>
                <w:b/>
                <w:sz w:val="20"/>
                <w:szCs w:val="20"/>
              </w:rPr>
            </w:pPr>
            <w:r>
              <w:rPr>
                <w:rFonts w:ascii="Arial" w:hAnsi="Arial"/>
                <w:b/>
                <w:sz w:val="20"/>
              </w:rPr>
              <w:t>Évaluation des progrès </w:t>
            </w:r>
            <w:proofErr w:type="gramStart"/>
            <w:r>
              <w:rPr>
                <w:rFonts w:ascii="Arial" w:hAnsi="Arial"/>
                <w:b/>
                <w:sz w:val="20"/>
              </w:rPr>
              <w:t>:</w:t>
            </w:r>
            <w:proofErr w:type="gramEnd"/>
            <w:r>
              <w:rPr>
                <w:rFonts w:ascii="Arial" w:eastAsia="Times New Roman" w:hAnsi="Arial" w:cs="Arial"/>
                <w:b/>
                <w:sz w:val="20"/>
                <w:szCs w:val="20"/>
              </w:rPr>
              <w:br/>
            </w:r>
            <w:r>
              <w:rPr>
                <w:rFonts w:ascii="Arial" w:hAnsi="Arial"/>
                <w:b/>
                <w:sz w:val="20"/>
              </w:rPr>
              <w:t>01/01/2016 - 30/06/2016</w:t>
            </w:r>
          </w:p>
        </w:tc>
        <w:tc>
          <w:tcPr>
            <w:tcW w:w="860" w:type="pct"/>
            <w:shd w:val="clear" w:color="auto" w:fill="D9D9D9"/>
            <w:vAlign w:val="center"/>
          </w:tcPr>
          <w:p w14:paraId="2F73A36F" w14:textId="77777777" w:rsidR="007C2199" w:rsidRPr="001C6031" w:rsidRDefault="007C2199" w:rsidP="002166EB">
            <w:pPr>
              <w:spacing w:before="60" w:after="60"/>
              <w:jc w:val="center"/>
              <w:rPr>
                <w:rFonts w:ascii="Arial" w:eastAsia="Times New Roman" w:hAnsi="Arial" w:cs="Arial"/>
                <w:b/>
                <w:sz w:val="20"/>
                <w:szCs w:val="20"/>
              </w:rPr>
            </w:pPr>
            <w:r>
              <w:rPr>
                <w:rFonts w:ascii="Arial" w:hAnsi="Arial"/>
                <w:b/>
                <w:sz w:val="20"/>
              </w:rPr>
              <w:t>Probabilité d</w:t>
            </w:r>
            <w:r w:rsidR="003C2B6A">
              <w:rPr>
                <w:rFonts w:ascii="Arial" w:hAnsi="Arial"/>
                <w:b/>
                <w:sz w:val="20"/>
              </w:rPr>
              <w:t>’</w:t>
            </w:r>
            <w:r>
              <w:rPr>
                <w:rFonts w:ascii="Arial" w:hAnsi="Arial"/>
                <w:b/>
                <w:sz w:val="20"/>
              </w:rPr>
              <w:t>atteindre l</w:t>
            </w:r>
            <w:r w:rsidR="003C2B6A">
              <w:rPr>
                <w:rFonts w:ascii="Arial" w:hAnsi="Arial"/>
                <w:b/>
                <w:sz w:val="20"/>
              </w:rPr>
              <w:t>’</w:t>
            </w:r>
            <w:r>
              <w:rPr>
                <w:rFonts w:ascii="Arial" w:hAnsi="Arial"/>
                <w:b/>
                <w:sz w:val="20"/>
              </w:rPr>
              <w:t>objectif</w:t>
            </w:r>
          </w:p>
        </w:tc>
      </w:tr>
      <w:tr w:rsidR="007C2199" w:rsidRPr="00F8691A" w14:paraId="5DB42DBD" w14:textId="77777777" w:rsidTr="001F3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pct"/>
            <w:gridSpan w:val="2"/>
          </w:tcPr>
          <w:p w14:paraId="111FBD48" w14:textId="77777777" w:rsidR="007C2199" w:rsidRPr="00F8691A" w:rsidRDefault="007C2199" w:rsidP="00BA3A07">
            <w:pPr>
              <w:pStyle w:val="ListParagraph"/>
              <w:numPr>
                <w:ilvl w:val="0"/>
                <w:numId w:val="9"/>
              </w:numPr>
              <w:spacing w:before="60" w:beforeAutospacing="0" w:after="60" w:afterAutospacing="0"/>
              <w:ind w:left="357"/>
              <w:rPr>
                <w:rFonts w:ascii="Arial" w:hAnsi="Arial" w:cs="Arial"/>
                <w:color w:val="000000"/>
                <w:sz w:val="20"/>
                <w:szCs w:val="20"/>
              </w:rPr>
            </w:pPr>
            <w:r>
              <w:rPr>
                <w:rFonts w:ascii="Arial" w:hAnsi="Arial"/>
                <w:sz w:val="20"/>
              </w:rPr>
              <w:t xml:space="preserve">Élaboration ou révision de politiques dans 15 États </w:t>
            </w:r>
            <w:r>
              <w:rPr>
                <w:rFonts w:ascii="Arial" w:hAnsi="Arial"/>
                <w:color w:val="000000"/>
                <w:sz w:val="20"/>
              </w:rPr>
              <w:t>et renforcement des ressources humaines et institutionnelles dans 25 États</w:t>
            </w:r>
            <w:r w:rsidR="001F3B6F">
              <w:rPr>
                <w:rFonts w:ascii="Arial" w:hAnsi="Arial"/>
                <w:color w:val="000000"/>
                <w:sz w:val="20"/>
              </w:rPr>
              <w:t>.</w:t>
            </w:r>
          </w:p>
          <w:p w14:paraId="09AD2849" w14:textId="77777777" w:rsidR="007C2199" w:rsidRPr="00DA6240" w:rsidRDefault="007C2199" w:rsidP="00BA3A07">
            <w:pPr>
              <w:pStyle w:val="ListParagraph"/>
              <w:numPr>
                <w:ilvl w:val="0"/>
                <w:numId w:val="9"/>
              </w:numPr>
              <w:spacing w:before="60" w:beforeAutospacing="0" w:after="60" w:afterAutospacing="0"/>
              <w:ind w:left="357"/>
              <w:rPr>
                <w:rFonts w:ascii="Arial" w:eastAsia="Times New Roman" w:hAnsi="Arial" w:cs="Arial"/>
                <w:sz w:val="20"/>
                <w:szCs w:val="20"/>
              </w:rPr>
            </w:pPr>
            <w:r>
              <w:rPr>
                <w:rFonts w:ascii="Arial" w:hAnsi="Arial"/>
                <w:color w:val="000000"/>
                <w:sz w:val="20"/>
              </w:rPr>
              <w:t>20 % des professionnelles de la culture formées par l</w:t>
            </w:r>
            <w:r w:rsidR="003C2B6A">
              <w:rPr>
                <w:rFonts w:ascii="Arial" w:hAnsi="Arial"/>
                <w:color w:val="000000"/>
                <w:sz w:val="20"/>
              </w:rPr>
              <w:t>’</w:t>
            </w:r>
            <w:r>
              <w:rPr>
                <w:rFonts w:ascii="Arial" w:hAnsi="Arial"/>
                <w:color w:val="000000"/>
                <w:sz w:val="20"/>
              </w:rPr>
              <w:t>UNESCO</w:t>
            </w:r>
            <w:r>
              <w:rPr>
                <w:rFonts w:ascii="Arial" w:hAnsi="Arial"/>
                <w:sz w:val="20"/>
              </w:rPr>
              <w:t xml:space="preserve"> contribuant aux processus décisionnels nationaux de haut niveau dans le domaine de la culture</w:t>
            </w:r>
            <w:r w:rsidR="001F3B6F">
              <w:rPr>
                <w:rFonts w:ascii="Arial" w:hAnsi="Arial"/>
                <w:sz w:val="20"/>
              </w:rPr>
              <w:t>.</w:t>
            </w:r>
          </w:p>
        </w:tc>
        <w:tc>
          <w:tcPr>
            <w:tcW w:w="2042" w:type="pct"/>
          </w:tcPr>
          <w:p w14:paraId="52EF3AAE" w14:textId="77777777" w:rsidR="007C2199" w:rsidRPr="008D4F50" w:rsidRDefault="007C2199" w:rsidP="00BA3A07">
            <w:pPr>
              <w:pStyle w:val="ListParagraph"/>
              <w:numPr>
                <w:ilvl w:val="0"/>
                <w:numId w:val="9"/>
              </w:numPr>
              <w:spacing w:before="60" w:beforeAutospacing="0" w:after="60" w:afterAutospacing="0"/>
              <w:ind w:left="357" w:hanging="357"/>
              <w:rPr>
                <w:rFonts w:ascii="Arial" w:hAnsi="Arial" w:cs="Arial"/>
                <w:color w:val="000000"/>
                <w:sz w:val="20"/>
                <w:szCs w:val="20"/>
              </w:rPr>
            </w:pPr>
            <w:r>
              <w:rPr>
                <w:rFonts w:ascii="Arial" w:hAnsi="Arial"/>
                <w:color w:val="000000"/>
                <w:sz w:val="20"/>
              </w:rPr>
              <w:t>Politiques développées ou révisées dans neuf des 37 pays bénéficiant d</w:t>
            </w:r>
            <w:r w:rsidR="003C2B6A">
              <w:rPr>
                <w:rFonts w:ascii="Arial" w:hAnsi="Arial"/>
                <w:color w:val="000000"/>
                <w:sz w:val="20"/>
              </w:rPr>
              <w:t>’</w:t>
            </w:r>
            <w:r>
              <w:rPr>
                <w:rFonts w:ascii="Arial" w:hAnsi="Arial"/>
                <w:color w:val="000000"/>
                <w:sz w:val="20"/>
              </w:rPr>
              <w:t>un soutien en politique dans le cadre du programme de renforcement des capacités. Ressources humaines et institutionnelles renforcées dans 22 pays qui ont bénéficié de projets pluriannuels. Les projets ont été achevés dans cinq de ces pays et sont en cours dans 17.</w:t>
            </w:r>
          </w:p>
          <w:p w14:paraId="3EAB0DF6" w14:textId="77777777" w:rsidR="007C2199" w:rsidRPr="003B2791" w:rsidRDefault="007C2199" w:rsidP="00BA3A07">
            <w:pPr>
              <w:pStyle w:val="ListParagraph"/>
              <w:numPr>
                <w:ilvl w:val="0"/>
                <w:numId w:val="9"/>
              </w:numPr>
              <w:spacing w:before="60" w:beforeAutospacing="0" w:after="60" w:afterAutospacing="0"/>
              <w:ind w:left="357" w:hanging="357"/>
              <w:rPr>
                <w:rFonts w:ascii="Arial" w:hAnsi="Arial" w:cs="Arial"/>
                <w:color w:val="000000"/>
                <w:sz w:val="20"/>
                <w:szCs w:val="20"/>
              </w:rPr>
            </w:pPr>
            <w:r>
              <w:rPr>
                <w:rFonts w:ascii="Arial" w:hAnsi="Arial"/>
                <w:color w:val="000000"/>
                <w:sz w:val="20"/>
              </w:rPr>
              <w:t>45 % des professionnels de la culture formés par l</w:t>
            </w:r>
            <w:r w:rsidR="003C2B6A">
              <w:rPr>
                <w:rFonts w:ascii="Arial" w:hAnsi="Arial"/>
                <w:color w:val="000000"/>
                <w:sz w:val="20"/>
              </w:rPr>
              <w:t>’</w:t>
            </w:r>
            <w:r>
              <w:rPr>
                <w:rFonts w:ascii="Arial" w:hAnsi="Arial"/>
                <w:color w:val="000000"/>
                <w:sz w:val="20"/>
              </w:rPr>
              <w:t>UNESCO sont des femmes. Aucune donnée disponible sur leur contribution à la prise de décision. Mécanisme en développement.</w:t>
            </w:r>
          </w:p>
          <w:p w14:paraId="43436DA9" w14:textId="77777777" w:rsidR="007C2199" w:rsidRPr="00CB4E79" w:rsidRDefault="007C2199" w:rsidP="00BA3A07">
            <w:pPr>
              <w:pStyle w:val="ListParagraph"/>
              <w:numPr>
                <w:ilvl w:val="0"/>
                <w:numId w:val="9"/>
              </w:numPr>
              <w:spacing w:before="60" w:beforeAutospacing="0" w:after="60" w:afterAutospacing="0"/>
              <w:ind w:left="357" w:hanging="357"/>
              <w:rPr>
                <w:rFonts w:ascii="Arial" w:hAnsi="Arial" w:cs="Arial"/>
                <w:color w:val="000000"/>
                <w:sz w:val="20"/>
                <w:szCs w:val="20"/>
              </w:rPr>
            </w:pPr>
            <w:r>
              <w:rPr>
                <w:rFonts w:ascii="Arial" w:hAnsi="Arial"/>
                <w:color w:val="000000"/>
                <w:sz w:val="20"/>
              </w:rPr>
              <w:t>Renforcement du réseau de facilitateurs avec le développement et la diffusion d</w:t>
            </w:r>
            <w:r w:rsidR="003C2B6A">
              <w:rPr>
                <w:rFonts w:ascii="Arial" w:hAnsi="Arial"/>
                <w:color w:val="000000"/>
                <w:sz w:val="20"/>
              </w:rPr>
              <w:t>’</w:t>
            </w:r>
            <w:r>
              <w:rPr>
                <w:rFonts w:ascii="Arial" w:hAnsi="Arial"/>
                <w:color w:val="000000"/>
                <w:sz w:val="20"/>
              </w:rPr>
              <w:t>un tutoriel audiovisuel sur les plans de sauvegarde.</w:t>
            </w:r>
          </w:p>
          <w:p w14:paraId="0CD2B754" w14:textId="77777777" w:rsidR="007C2199" w:rsidRPr="00D457E3" w:rsidRDefault="007C2199" w:rsidP="00D457E3">
            <w:pPr>
              <w:pStyle w:val="ListParagraph"/>
              <w:numPr>
                <w:ilvl w:val="0"/>
                <w:numId w:val="9"/>
              </w:numPr>
              <w:spacing w:before="60" w:beforeAutospacing="0" w:after="60" w:afterAutospacing="0"/>
              <w:ind w:left="357" w:hanging="357"/>
              <w:rPr>
                <w:rFonts w:ascii="Arial" w:hAnsi="Arial" w:cs="Arial"/>
                <w:color w:val="000000"/>
                <w:sz w:val="20"/>
                <w:szCs w:val="20"/>
              </w:rPr>
            </w:pPr>
            <w:r>
              <w:rPr>
                <w:rFonts w:ascii="Arial" w:hAnsi="Arial"/>
                <w:color w:val="000000"/>
                <w:sz w:val="20"/>
              </w:rPr>
              <w:t>Mise à jour des supports clés du programme suivant les décisions des réunions statutaires (20 unités, 3 langues).</w:t>
            </w:r>
          </w:p>
        </w:tc>
        <w:tc>
          <w:tcPr>
            <w:tcW w:w="860" w:type="pct"/>
          </w:tcPr>
          <w:p w14:paraId="0ACFB735" w14:textId="77777777" w:rsidR="007C2199" w:rsidRPr="001C6031" w:rsidRDefault="007C2199" w:rsidP="002166EB">
            <w:pPr>
              <w:pStyle w:val="ListParagraph"/>
              <w:spacing w:before="60" w:after="60"/>
              <w:ind w:left="19"/>
              <w:jc w:val="center"/>
              <w:rPr>
                <w:rFonts w:ascii="Arial" w:eastAsia="Times New Roman" w:hAnsi="Arial" w:cs="Arial"/>
                <w:sz w:val="20"/>
                <w:szCs w:val="20"/>
              </w:rPr>
            </w:pPr>
            <w:r>
              <w:rPr>
                <w:rFonts w:ascii="Arial" w:hAnsi="Arial"/>
                <w:sz w:val="20"/>
              </w:rPr>
              <w:t>Moyenne</w:t>
            </w:r>
          </w:p>
        </w:tc>
      </w:tr>
    </w:tbl>
    <w:p w14:paraId="644BA26B" w14:textId="77777777" w:rsidR="007C2199" w:rsidRDefault="007C2199" w:rsidP="007F4607">
      <w:pPr>
        <w:pStyle w:val="COMPara"/>
        <w:numPr>
          <w:ilvl w:val="0"/>
          <w:numId w:val="0"/>
        </w:numPr>
        <w:ind w:left="567"/>
        <w:jc w:val="both"/>
        <w:rPr>
          <w:highlight w:val="cyan"/>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4"/>
        <w:gridCol w:w="1790"/>
        <w:gridCol w:w="4025"/>
        <w:gridCol w:w="1697"/>
      </w:tblGrid>
      <w:tr w:rsidR="007C2199" w:rsidRPr="00CC11E8" w14:paraId="4D83C55E" w14:textId="77777777" w:rsidTr="001F3B6F">
        <w:trPr>
          <w:cantSplit/>
        </w:trPr>
        <w:tc>
          <w:tcPr>
            <w:tcW w:w="1189" w:type="pct"/>
            <w:shd w:val="clear" w:color="auto" w:fill="808080"/>
            <w:vAlign w:val="center"/>
          </w:tcPr>
          <w:p w14:paraId="44A2DF41" w14:textId="77777777" w:rsidR="007C2199" w:rsidRPr="000D6F3C" w:rsidRDefault="007C2199" w:rsidP="000D6F3C">
            <w:pPr>
              <w:keepNext/>
              <w:spacing w:before="120" w:after="120"/>
              <w:rPr>
                <w:rFonts w:ascii="Arial" w:hAnsi="Arial" w:cs="Arial"/>
                <w:b/>
                <w:bCs/>
                <w:color w:val="FFFFFF"/>
              </w:rPr>
            </w:pPr>
            <w:r w:rsidRPr="000D6F3C">
              <w:rPr>
                <w:rFonts w:ascii="Arial" w:hAnsi="Arial"/>
                <w:b/>
                <w:color w:val="FFFFFF"/>
                <w:sz w:val="22"/>
              </w:rPr>
              <w:t>Indicateur de performance 3 (38C/5)</w:t>
            </w:r>
          </w:p>
        </w:tc>
        <w:tc>
          <w:tcPr>
            <w:tcW w:w="3811" w:type="pct"/>
            <w:gridSpan w:val="3"/>
            <w:shd w:val="clear" w:color="auto" w:fill="808080"/>
            <w:vAlign w:val="center"/>
          </w:tcPr>
          <w:p w14:paraId="375B882C" w14:textId="77777777" w:rsidR="007C2199" w:rsidRPr="000D6F3C" w:rsidRDefault="007C2199" w:rsidP="002166EB">
            <w:pPr>
              <w:pStyle w:val="Default"/>
              <w:rPr>
                <w:rFonts w:cs="Arial"/>
                <w:b/>
                <w:bCs/>
                <w:color w:val="FFFFFF"/>
                <w:sz w:val="22"/>
                <w:szCs w:val="22"/>
              </w:rPr>
            </w:pPr>
            <w:r w:rsidRPr="000D6F3C">
              <w:rPr>
                <w:rFonts w:cs="Arial"/>
                <w:b/>
                <w:color w:val="FFFFFF"/>
                <w:sz w:val="22"/>
              </w:rPr>
              <w:t>Nombre de rapports périodiques sur la mise en œuvre de la Convention à l</w:t>
            </w:r>
            <w:r w:rsidR="003C2B6A">
              <w:rPr>
                <w:rFonts w:cs="Arial"/>
                <w:b/>
                <w:color w:val="FFFFFF"/>
                <w:sz w:val="22"/>
              </w:rPr>
              <w:t>’</w:t>
            </w:r>
            <w:r w:rsidRPr="000D6F3C">
              <w:rPr>
                <w:rFonts w:cs="Arial"/>
                <w:b/>
                <w:color w:val="FFFFFF"/>
                <w:sz w:val="22"/>
              </w:rPr>
              <w:t>échelon national soumis par les États parties et examinés par le Comité, et nombre de ces rapports traitant des questions d</w:t>
            </w:r>
            <w:r w:rsidR="003C2B6A">
              <w:rPr>
                <w:rFonts w:cs="Arial"/>
                <w:b/>
                <w:color w:val="FFFFFF"/>
                <w:sz w:val="22"/>
              </w:rPr>
              <w:t>’</w:t>
            </w:r>
            <w:r w:rsidRPr="000D6F3C">
              <w:rPr>
                <w:rFonts w:cs="Arial"/>
                <w:b/>
                <w:color w:val="FFFFFF"/>
                <w:sz w:val="22"/>
              </w:rPr>
              <w:t>égalité des genres et faisant état de politiques destinées à promouvoir un accès et une participation équilibrés à la vie culturelle</w:t>
            </w:r>
          </w:p>
        </w:tc>
      </w:tr>
      <w:tr w:rsidR="007C2199" w:rsidRPr="00CC11E8" w14:paraId="4FF75D39" w14:textId="77777777" w:rsidTr="001F3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097" w:type="pct"/>
            <w:gridSpan w:val="2"/>
            <w:shd w:val="clear" w:color="auto" w:fill="D9D9D9"/>
            <w:vAlign w:val="center"/>
          </w:tcPr>
          <w:p w14:paraId="533788A1" w14:textId="77777777" w:rsidR="007C2199" w:rsidRPr="001C6031" w:rsidRDefault="007C2199" w:rsidP="002166EB">
            <w:pPr>
              <w:spacing w:before="60" w:after="60"/>
              <w:jc w:val="center"/>
              <w:rPr>
                <w:rFonts w:ascii="Arial" w:eastAsia="Times New Roman" w:hAnsi="Arial" w:cs="Arial"/>
                <w:b/>
                <w:sz w:val="20"/>
                <w:szCs w:val="20"/>
              </w:rPr>
            </w:pPr>
            <w:r>
              <w:rPr>
                <w:rFonts w:ascii="Arial" w:hAnsi="Arial"/>
                <w:b/>
                <w:sz w:val="20"/>
              </w:rPr>
              <w:t>Objectif</w:t>
            </w:r>
          </w:p>
        </w:tc>
        <w:tc>
          <w:tcPr>
            <w:tcW w:w="2042" w:type="pct"/>
            <w:shd w:val="clear" w:color="auto" w:fill="D9D9D9"/>
            <w:vAlign w:val="center"/>
          </w:tcPr>
          <w:p w14:paraId="14816E65" w14:textId="77777777" w:rsidR="007C2199" w:rsidRPr="001C6031" w:rsidRDefault="007C2199" w:rsidP="002166EB">
            <w:pPr>
              <w:spacing w:before="60" w:after="60"/>
              <w:jc w:val="center"/>
              <w:rPr>
                <w:rFonts w:ascii="Arial" w:eastAsia="Times New Roman" w:hAnsi="Arial" w:cs="Arial"/>
                <w:b/>
                <w:sz w:val="20"/>
                <w:szCs w:val="20"/>
              </w:rPr>
            </w:pPr>
            <w:r>
              <w:rPr>
                <w:rFonts w:ascii="Arial" w:hAnsi="Arial"/>
                <w:b/>
                <w:sz w:val="20"/>
              </w:rPr>
              <w:t>Évaluation des progrès </w:t>
            </w:r>
            <w:proofErr w:type="gramStart"/>
            <w:r>
              <w:rPr>
                <w:rFonts w:ascii="Arial" w:hAnsi="Arial"/>
                <w:b/>
                <w:sz w:val="20"/>
              </w:rPr>
              <w:t>:</w:t>
            </w:r>
            <w:proofErr w:type="gramEnd"/>
            <w:r>
              <w:rPr>
                <w:rFonts w:ascii="Arial" w:eastAsia="Times New Roman" w:hAnsi="Arial" w:cs="Arial"/>
                <w:b/>
                <w:sz w:val="20"/>
                <w:szCs w:val="20"/>
              </w:rPr>
              <w:br/>
            </w:r>
            <w:r>
              <w:rPr>
                <w:rFonts w:ascii="Arial" w:hAnsi="Arial"/>
                <w:b/>
                <w:sz w:val="20"/>
              </w:rPr>
              <w:t>01/01/2016 - 30/06/2016</w:t>
            </w:r>
          </w:p>
        </w:tc>
        <w:tc>
          <w:tcPr>
            <w:tcW w:w="861" w:type="pct"/>
            <w:shd w:val="clear" w:color="auto" w:fill="D9D9D9"/>
            <w:vAlign w:val="center"/>
          </w:tcPr>
          <w:p w14:paraId="4474CD5E" w14:textId="77777777" w:rsidR="007C2199" w:rsidRPr="001C6031" w:rsidRDefault="007C2199" w:rsidP="002166EB">
            <w:pPr>
              <w:spacing w:before="60" w:after="60"/>
              <w:jc w:val="center"/>
              <w:rPr>
                <w:rFonts w:ascii="Arial" w:eastAsia="Times New Roman" w:hAnsi="Arial" w:cs="Arial"/>
                <w:b/>
                <w:sz w:val="20"/>
                <w:szCs w:val="20"/>
              </w:rPr>
            </w:pPr>
            <w:r>
              <w:rPr>
                <w:rFonts w:ascii="Arial" w:hAnsi="Arial"/>
                <w:b/>
                <w:sz w:val="20"/>
              </w:rPr>
              <w:t>Probabilité d</w:t>
            </w:r>
            <w:r w:rsidR="003C2B6A">
              <w:rPr>
                <w:rFonts w:ascii="Arial" w:hAnsi="Arial"/>
                <w:b/>
                <w:sz w:val="20"/>
              </w:rPr>
              <w:t>’</w:t>
            </w:r>
            <w:r>
              <w:rPr>
                <w:rFonts w:ascii="Arial" w:hAnsi="Arial"/>
                <w:b/>
                <w:sz w:val="20"/>
              </w:rPr>
              <w:t>atteindre l</w:t>
            </w:r>
            <w:r w:rsidR="003C2B6A">
              <w:rPr>
                <w:rFonts w:ascii="Arial" w:hAnsi="Arial"/>
                <w:b/>
                <w:sz w:val="20"/>
              </w:rPr>
              <w:t>’</w:t>
            </w:r>
            <w:r>
              <w:rPr>
                <w:rFonts w:ascii="Arial" w:hAnsi="Arial"/>
                <w:b/>
                <w:sz w:val="20"/>
              </w:rPr>
              <w:t>objectif</w:t>
            </w:r>
          </w:p>
        </w:tc>
      </w:tr>
      <w:tr w:rsidR="007C2199" w:rsidRPr="00F8691A" w14:paraId="48C3CAC9" w14:textId="77777777" w:rsidTr="001F3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7" w:type="pct"/>
            <w:gridSpan w:val="2"/>
          </w:tcPr>
          <w:p w14:paraId="5FC037E2" w14:textId="77777777" w:rsidR="007C2199" w:rsidRPr="00DA6240" w:rsidRDefault="007C2199" w:rsidP="00BA3A07">
            <w:pPr>
              <w:pStyle w:val="ListParagraph"/>
              <w:numPr>
                <w:ilvl w:val="0"/>
                <w:numId w:val="9"/>
              </w:numPr>
              <w:spacing w:before="60" w:beforeAutospacing="0" w:after="60" w:afterAutospacing="0"/>
              <w:ind w:left="360"/>
              <w:rPr>
                <w:rFonts w:ascii="Arial" w:eastAsia="Times New Roman" w:hAnsi="Arial" w:cs="Arial"/>
                <w:sz w:val="20"/>
                <w:szCs w:val="20"/>
              </w:rPr>
            </w:pPr>
            <w:r>
              <w:rPr>
                <w:rFonts w:ascii="Arial" w:hAnsi="Arial"/>
                <w:sz w:val="20"/>
              </w:rPr>
              <w:t>30 rapports, parmi lesquels 20 intégrant les questions de genre</w:t>
            </w:r>
            <w:r w:rsidR="001F3B6F">
              <w:rPr>
                <w:rFonts w:ascii="Arial" w:hAnsi="Arial"/>
                <w:sz w:val="20"/>
              </w:rPr>
              <w:t>.</w:t>
            </w:r>
          </w:p>
        </w:tc>
        <w:tc>
          <w:tcPr>
            <w:tcW w:w="2042" w:type="pct"/>
          </w:tcPr>
          <w:p w14:paraId="6C2CD3AF" w14:textId="77777777" w:rsidR="007C2199" w:rsidRPr="00CB4E79" w:rsidRDefault="007C2199" w:rsidP="00BA3A07">
            <w:pPr>
              <w:pStyle w:val="ListParagraph"/>
              <w:numPr>
                <w:ilvl w:val="0"/>
                <w:numId w:val="9"/>
              </w:numPr>
              <w:spacing w:before="60" w:beforeAutospacing="0" w:after="60" w:afterAutospacing="0"/>
              <w:ind w:left="360"/>
              <w:rPr>
                <w:rFonts w:ascii="Arial" w:hAnsi="Arial" w:cs="Arial"/>
                <w:color w:val="000000"/>
                <w:sz w:val="20"/>
                <w:szCs w:val="20"/>
              </w:rPr>
            </w:pPr>
            <w:r>
              <w:rPr>
                <w:rFonts w:ascii="Arial" w:hAnsi="Arial"/>
                <w:color w:val="000000"/>
                <w:sz w:val="20"/>
              </w:rPr>
              <w:t xml:space="preserve">Soumission de 6 </w:t>
            </w:r>
            <w:r>
              <w:rPr>
                <w:rFonts w:ascii="Arial" w:hAnsi="Arial"/>
                <w:sz w:val="20"/>
              </w:rPr>
              <w:t>rapports</w:t>
            </w:r>
            <w:r>
              <w:rPr>
                <w:rFonts w:ascii="Arial" w:hAnsi="Arial"/>
                <w:color w:val="000000"/>
                <w:sz w:val="20"/>
              </w:rPr>
              <w:t xml:space="preserve"> périodiques sur la </w:t>
            </w:r>
            <w:r>
              <w:rPr>
                <w:rFonts w:ascii="Arial" w:hAnsi="Arial"/>
                <w:sz w:val="20"/>
              </w:rPr>
              <w:t>mise en œuvre</w:t>
            </w:r>
            <w:r>
              <w:rPr>
                <w:rFonts w:ascii="Arial" w:hAnsi="Arial"/>
                <w:color w:val="000000"/>
                <w:sz w:val="20"/>
              </w:rPr>
              <w:t xml:space="preserve"> de la Convention au niveau national </w:t>
            </w:r>
            <w:r w:rsidR="009D4C72">
              <w:rPr>
                <w:rFonts w:ascii="Arial" w:hAnsi="Arial"/>
                <w:color w:val="000000"/>
                <w:sz w:val="20"/>
              </w:rPr>
              <w:t xml:space="preserve">traités par le Secrétariat </w:t>
            </w:r>
            <w:r>
              <w:rPr>
                <w:rFonts w:ascii="Arial" w:hAnsi="Arial"/>
                <w:color w:val="000000"/>
                <w:sz w:val="20"/>
              </w:rPr>
              <w:t>en vue de leur examen par le Comité à l</w:t>
            </w:r>
            <w:r w:rsidR="003C2B6A">
              <w:rPr>
                <w:rFonts w:ascii="Arial" w:hAnsi="Arial"/>
                <w:color w:val="000000"/>
                <w:sz w:val="20"/>
              </w:rPr>
              <w:t>’</w:t>
            </w:r>
            <w:r>
              <w:rPr>
                <w:rFonts w:ascii="Arial" w:hAnsi="Arial"/>
                <w:color w:val="000000"/>
                <w:sz w:val="20"/>
              </w:rPr>
              <w:t>occasion de la présente session, dont un intégrant les questions de genre.</w:t>
            </w:r>
          </w:p>
          <w:p w14:paraId="0EC1C0B6" w14:textId="77777777" w:rsidR="007C2199" w:rsidRPr="00417A2D" w:rsidRDefault="007C2199" w:rsidP="005953C7">
            <w:pPr>
              <w:pStyle w:val="ListParagraph"/>
              <w:numPr>
                <w:ilvl w:val="0"/>
                <w:numId w:val="9"/>
              </w:numPr>
              <w:spacing w:before="60" w:beforeAutospacing="0" w:after="60" w:afterAutospacing="0"/>
              <w:ind w:left="360"/>
              <w:rPr>
                <w:rFonts w:ascii="Arial" w:hAnsi="Arial" w:cs="Arial"/>
                <w:color w:val="000000"/>
                <w:sz w:val="20"/>
                <w:szCs w:val="20"/>
              </w:rPr>
            </w:pPr>
            <w:r>
              <w:rPr>
                <w:rFonts w:ascii="Arial" w:hAnsi="Arial"/>
                <w:sz w:val="20"/>
              </w:rPr>
              <w:t xml:space="preserve">Soumission de 6 rapports périodiques sur les éléments inscrits sur la Liste du patrimoine culturel immatériel nécessitant une sauvegarde urgente </w:t>
            </w:r>
            <w:r w:rsidR="009D4C72">
              <w:rPr>
                <w:rFonts w:ascii="Arial" w:hAnsi="Arial"/>
                <w:sz w:val="20"/>
              </w:rPr>
              <w:t xml:space="preserve">traités par le Secrétariat </w:t>
            </w:r>
            <w:r>
              <w:rPr>
                <w:rFonts w:ascii="Arial" w:hAnsi="Arial"/>
                <w:sz w:val="20"/>
              </w:rPr>
              <w:t>en vue de leur examen par le Comité à l</w:t>
            </w:r>
            <w:r w:rsidR="003C2B6A">
              <w:rPr>
                <w:rFonts w:ascii="Arial" w:hAnsi="Arial"/>
                <w:sz w:val="20"/>
              </w:rPr>
              <w:t>’</w:t>
            </w:r>
            <w:r>
              <w:rPr>
                <w:rFonts w:ascii="Arial" w:hAnsi="Arial"/>
                <w:sz w:val="20"/>
              </w:rPr>
              <w:t>occasion de la présente session, dont 3 intégrant les questions de genre.</w:t>
            </w:r>
          </w:p>
        </w:tc>
        <w:tc>
          <w:tcPr>
            <w:tcW w:w="861" w:type="pct"/>
          </w:tcPr>
          <w:p w14:paraId="3A0ABB64" w14:textId="77777777" w:rsidR="007C2199" w:rsidRPr="001C6031" w:rsidRDefault="007C2199" w:rsidP="002166EB">
            <w:pPr>
              <w:pStyle w:val="ListParagraph"/>
              <w:spacing w:before="60" w:after="60"/>
              <w:ind w:left="19"/>
              <w:jc w:val="center"/>
              <w:rPr>
                <w:rFonts w:ascii="Arial" w:eastAsia="Times New Roman" w:hAnsi="Arial" w:cs="Arial"/>
                <w:sz w:val="20"/>
                <w:szCs w:val="20"/>
              </w:rPr>
            </w:pPr>
            <w:r>
              <w:rPr>
                <w:rFonts w:ascii="Arial" w:hAnsi="Arial"/>
                <w:sz w:val="20"/>
              </w:rPr>
              <w:t>Moyenne</w:t>
            </w:r>
          </w:p>
        </w:tc>
      </w:tr>
      <w:tr w:rsidR="007C2199" w:rsidRPr="00CC11E8" w14:paraId="31D62CA6" w14:textId="77777777" w:rsidTr="001F3B6F">
        <w:trPr>
          <w:cantSplit/>
        </w:trPr>
        <w:tc>
          <w:tcPr>
            <w:tcW w:w="1189" w:type="pct"/>
            <w:shd w:val="clear" w:color="auto" w:fill="808080"/>
            <w:vAlign w:val="center"/>
          </w:tcPr>
          <w:p w14:paraId="1A476A99" w14:textId="77777777" w:rsidR="007C2199" w:rsidRPr="000D6F3C" w:rsidRDefault="007C2199" w:rsidP="000D6F3C">
            <w:pPr>
              <w:keepNext/>
              <w:spacing w:before="120" w:after="120"/>
              <w:rPr>
                <w:rFonts w:ascii="Arial" w:hAnsi="Arial" w:cs="Arial"/>
                <w:b/>
                <w:bCs/>
                <w:color w:val="FFFFFF"/>
              </w:rPr>
            </w:pPr>
            <w:r w:rsidRPr="000D6F3C">
              <w:rPr>
                <w:rFonts w:ascii="Arial" w:hAnsi="Arial"/>
                <w:b/>
                <w:color w:val="FFFFFF"/>
                <w:sz w:val="22"/>
              </w:rPr>
              <w:lastRenderedPageBreak/>
              <w:t>Indicateur de performance 4 (38C/5)</w:t>
            </w:r>
          </w:p>
        </w:tc>
        <w:tc>
          <w:tcPr>
            <w:tcW w:w="3811" w:type="pct"/>
            <w:gridSpan w:val="3"/>
            <w:shd w:val="clear" w:color="auto" w:fill="808080"/>
            <w:vAlign w:val="center"/>
          </w:tcPr>
          <w:p w14:paraId="40D12070" w14:textId="77777777" w:rsidR="007C2199" w:rsidRPr="000D6F3C" w:rsidRDefault="007C2199" w:rsidP="00B43AE4">
            <w:pPr>
              <w:pStyle w:val="Default"/>
              <w:rPr>
                <w:rFonts w:cs="Arial"/>
                <w:b/>
                <w:bCs/>
                <w:color w:val="FFFFFF"/>
                <w:sz w:val="22"/>
                <w:szCs w:val="22"/>
              </w:rPr>
            </w:pPr>
            <w:r w:rsidRPr="000D6F3C">
              <w:rPr>
                <w:rFonts w:cs="Arial"/>
                <w:b/>
                <w:color w:val="FFFFFF"/>
                <w:sz w:val="22"/>
              </w:rPr>
              <w:t>Augmentation du nombre des États parties à la Convention</w:t>
            </w:r>
          </w:p>
        </w:tc>
      </w:tr>
      <w:tr w:rsidR="007C2199" w:rsidRPr="00CC11E8" w14:paraId="31EF53AB" w14:textId="77777777" w:rsidTr="001F3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097" w:type="pct"/>
            <w:gridSpan w:val="2"/>
            <w:shd w:val="clear" w:color="auto" w:fill="D9D9D9"/>
            <w:vAlign w:val="center"/>
          </w:tcPr>
          <w:p w14:paraId="007BAC7B" w14:textId="77777777" w:rsidR="007C2199" w:rsidRPr="001C6031" w:rsidRDefault="007C2199" w:rsidP="002166EB">
            <w:pPr>
              <w:spacing w:before="60" w:after="60"/>
              <w:jc w:val="center"/>
              <w:rPr>
                <w:rFonts w:ascii="Arial" w:eastAsia="Times New Roman" w:hAnsi="Arial" w:cs="Arial"/>
                <w:b/>
                <w:sz w:val="20"/>
                <w:szCs w:val="20"/>
              </w:rPr>
            </w:pPr>
            <w:r>
              <w:rPr>
                <w:rFonts w:ascii="Arial" w:hAnsi="Arial"/>
                <w:b/>
                <w:sz w:val="20"/>
              </w:rPr>
              <w:t>Objectif</w:t>
            </w:r>
          </w:p>
        </w:tc>
        <w:tc>
          <w:tcPr>
            <w:tcW w:w="2042" w:type="pct"/>
            <w:shd w:val="clear" w:color="auto" w:fill="D9D9D9"/>
            <w:vAlign w:val="center"/>
          </w:tcPr>
          <w:p w14:paraId="2394ABCC" w14:textId="77777777" w:rsidR="007C2199" w:rsidRPr="001C6031" w:rsidRDefault="007C2199" w:rsidP="002166EB">
            <w:pPr>
              <w:spacing w:before="60" w:after="60"/>
              <w:jc w:val="center"/>
              <w:rPr>
                <w:rFonts w:ascii="Arial" w:eastAsia="Times New Roman" w:hAnsi="Arial" w:cs="Arial"/>
                <w:b/>
                <w:sz w:val="20"/>
                <w:szCs w:val="20"/>
              </w:rPr>
            </w:pPr>
            <w:r>
              <w:rPr>
                <w:rFonts w:ascii="Arial" w:hAnsi="Arial"/>
                <w:b/>
                <w:sz w:val="20"/>
              </w:rPr>
              <w:t>Évaluation des progrès </w:t>
            </w:r>
            <w:proofErr w:type="gramStart"/>
            <w:r>
              <w:rPr>
                <w:rFonts w:ascii="Arial" w:hAnsi="Arial"/>
                <w:b/>
                <w:sz w:val="20"/>
              </w:rPr>
              <w:t>:</w:t>
            </w:r>
            <w:proofErr w:type="gramEnd"/>
            <w:r>
              <w:rPr>
                <w:rFonts w:ascii="Arial" w:eastAsia="Times New Roman" w:hAnsi="Arial" w:cs="Arial"/>
                <w:b/>
                <w:sz w:val="20"/>
                <w:szCs w:val="20"/>
              </w:rPr>
              <w:br/>
            </w:r>
            <w:r>
              <w:rPr>
                <w:rFonts w:ascii="Arial" w:hAnsi="Arial"/>
                <w:b/>
                <w:sz w:val="20"/>
              </w:rPr>
              <w:t>01/01/2016 - 30/06/2016</w:t>
            </w:r>
          </w:p>
        </w:tc>
        <w:tc>
          <w:tcPr>
            <w:tcW w:w="860" w:type="pct"/>
            <w:shd w:val="clear" w:color="auto" w:fill="D9D9D9"/>
            <w:vAlign w:val="center"/>
          </w:tcPr>
          <w:p w14:paraId="198F8508" w14:textId="77777777" w:rsidR="007C2199" w:rsidRPr="001C6031" w:rsidRDefault="007C2199" w:rsidP="002166EB">
            <w:pPr>
              <w:spacing w:before="60" w:after="60"/>
              <w:jc w:val="center"/>
              <w:rPr>
                <w:rFonts w:ascii="Arial" w:eastAsia="Times New Roman" w:hAnsi="Arial" w:cs="Arial"/>
                <w:b/>
                <w:sz w:val="20"/>
                <w:szCs w:val="20"/>
              </w:rPr>
            </w:pPr>
            <w:r>
              <w:rPr>
                <w:rFonts w:ascii="Arial" w:hAnsi="Arial"/>
                <w:b/>
                <w:sz w:val="20"/>
              </w:rPr>
              <w:t>Probabilité d</w:t>
            </w:r>
            <w:r w:rsidR="003C2B6A">
              <w:rPr>
                <w:rFonts w:ascii="Arial" w:hAnsi="Arial"/>
                <w:b/>
                <w:sz w:val="20"/>
              </w:rPr>
              <w:t>’</w:t>
            </w:r>
            <w:r>
              <w:rPr>
                <w:rFonts w:ascii="Arial" w:hAnsi="Arial"/>
                <w:b/>
                <w:sz w:val="20"/>
              </w:rPr>
              <w:t>atteindre l</w:t>
            </w:r>
            <w:r w:rsidR="003C2B6A">
              <w:rPr>
                <w:rFonts w:ascii="Arial" w:hAnsi="Arial"/>
                <w:b/>
                <w:sz w:val="20"/>
              </w:rPr>
              <w:t>’</w:t>
            </w:r>
            <w:r>
              <w:rPr>
                <w:rFonts w:ascii="Arial" w:hAnsi="Arial"/>
                <w:b/>
                <w:sz w:val="20"/>
              </w:rPr>
              <w:t>objectif</w:t>
            </w:r>
          </w:p>
        </w:tc>
      </w:tr>
      <w:tr w:rsidR="007C2199" w:rsidRPr="00F8691A" w14:paraId="3757F970" w14:textId="77777777" w:rsidTr="001F3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7" w:type="pct"/>
            <w:gridSpan w:val="2"/>
          </w:tcPr>
          <w:p w14:paraId="45699B74" w14:textId="77777777" w:rsidR="007C2199" w:rsidRPr="00DA6240" w:rsidRDefault="007C2199" w:rsidP="00BA3A07">
            <w:pPr>
              <w:pStyle w:val="ListParagraph"/>
              <w:numPr>
                <w:ilvl w:val="0"/>
                <w:numId w:val="9"/>
              </w:numPr>
              <w:spacing w:before="60" w:beforeAutospacing="0" w:after="60" w:afterAutospacing="0"/>
              <w:ind w:left="360"/>
              <w:rPr>
                <w:rFonts w:ascii="Arial" w:eastAsia="Times New Roman" w:hAnsi="Arial" w:cs="Arial"/>
                <w:sz w:val="20"/>
                <w:szCs w:val="20"/>
              </w:rPr>
            </w:pPr>
            <w:r>
              <w:rPr>
                <w:rFonts w:ascii="Arial" w:hAnsi="Arial"/>
                <w:sz w:val="20"/>
              </w:rPr>
              <w:t>5 nouvelles ratifications, dont 2 en Afrique</w:t>
            </w:r>
            <w:r w:rsidR="001F3B6F">
              <w:rPr>
                <w:rFonts w:ascii="Arial" w:hAnsi="Arial"/>
                <w:sz w:val="20"/>
              </w:rPr>
              <w:t>.</w:t>
            </w:r>
          </w:p>
        </w:tc>
        <w:tc>
          <w:tcPr>
            <w:tcW w:w="2042" w:type="pct"/>
          </w:tcPr>
          <w:p w14:paraId="7F7D888A" w14:textId="77777777" w:rsidR="007C2199" w:rsidRPr="00B43AE4" w:rsidRDefault="007C2199" w:rsidP="00BA3A07">
            <w:pPr>
              <w:pStyle w:val="ListParagraph"/>
              <w:numPr>
                <w:ilvl w:val="0"/>
                <w:numId w:val="9"/>
              </w:numPr>
              <w:spacing w:before="60" w:beforeAutospacing="0" w:after="60" w:afterAutospacing="0"/>
              <w:ind w:left="360"/>
              <w:rPr>
                <w:rFonts w:ascii="Arial" w:eastAsia="Times New Roman" w:hAnsi="Arial" w:cs="Arial"/>
                <w:sz w:val="20"/>
                <w:szCs w:val="20"/>
              </w:rPr>
            </w:pPr>
            <w:r>
              <w:rPr>
                <w:rFonts w:ascii="Arial" w:hAnsi="Arial"/>
                <w:sz w:val="20"/>
              </w:rPr>
              <w:t>7 nouvelles ratifications (Cabo Verde, Ghana, Guinée-Bissau, Îles Cook, Irlande, Saint-Kitts-et-Nevis et Thaïlande) dont 3 en Afrique. Extension par les Pays-Bas du territoire d</w:t>
            </w:r>
            <w:r w:rsidR="003C2B6A">
              <w:rPr>
                <w:rFonts w:ascii="Arial" w:hAnsi="Arial"/>
                <w:sz w:val="20"/>
              </w:rPr>
              <w:t>’</w:t>
            </w:r>
            <w:r>
              <w:rPr>
                <w:rFonts w:ascii="Arial" w:hAnsi="Arial"/>
                <w:sz w:val="20"/>
              </w:rPr>
              <w:t>application de la Convention à Curaçao.</w:t>
            </w:r>
          </w:p>
        </w:tc>
        <w:tc>
          <w:tcPr>
            <w:tcW w:w="860" w:type="pct"/>
          </w:tcPr>
          <w:p w14:paraId="0DEC2519" w14:textId="77777777" w:rsidR="007C2199" w:rsidRPr="001C6031" w:rsidRDefault="007C2199" w:rsidP="002166EB">
            <w:pPr>
              <w:pStyle w:val="ListParagraph"/>
              <w:spacing w:before="60" w:after="60"/>
              <w:ind w:left="19"/>
              <w:jc w:val="center"/>
              <w:rPr>
                <w:rFonts w:ascii="Arial" w:eastAsia="Times New Roman" w:hAnsi="Arial" w:cs="Arial"/>
                <w:sz w:val="20"/>
                <w:szCs w:val="20"/>
              </w:rPr>
            </w:pPr>
            <w:r>
              <w:rPr>
                <w:rFonts w:ascii="Arial" w:hAnsi="Arial"/>
                <w:sz w:val="20"/>
              </w:rPr>
              <w:t>Élevée</w:t>
            </w:r>
          </w:p>
        </w:tc>
      </w:tr>
    </w:tbl>
    <w:p w14:paraId="450910DC" w14:textId="77777777" w:rsidR="007C2199" w:rsidRDefault="007C2199" w:rsidP="007F4607">
      <w:pPr>
        <w:pStyle w:val="COMPara"/>
        <w:numPr>
          <w:ilvl w:val="0"/>
          <w:numId w:val="0"/>
        </w:numPr>
        <w:ind w:left="567"/>
        <w:jc w:val="both"/>
        <w:rPr>
          <w:highlight w:val="cyan"/>
        </w:rPr>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1"/>
        <w:gridCol w:w="1789"/>
        <w:gridCol w:w="4024"/>
        <w:gridCol w:w="1698"/>
      </w:tblGrid>
      <w:tr w:rsidR="007C2199" w:rsidRPr="00CC11E8" w14:paraId="5C794730" w14:textId="77777777" w:rsidTr="001F3B6F">
        <w:trPr>
          <w:cantSplit/>
        </w:trPr>
        <w:tc>
          <w:tcPr>
            <w:tcW w:w="1188" w:type="pct"/>
            <w:shd w:val="clear" w:color="auto" w:fill="808080"/>
            <w:vAlign w:val="center"/>
          </w:tcPr>
          <w:p w14:paraId="07D8933B" w14:textId="77777777" w:rsidR="007C2199" w:rsidRPr="000D6F3C" w:rsidRDefault="007C2199" w:rsidP="000D6F3C">
            <w:pPr>
              <w:keepNext/>
              <w:spacing w:before="120" w:after="120"/>
              <w:rPr>
                <w:rFonts w:ascii="Arial" w:hAnsi="Arial" w:cs="Arial"/>
                <w:b/>
                <w:bCs/>
                <w:color w:val="FFFFFF"/>
              </w:rPr>
            </w:pPr>
            <w:r w:rsidRPr="000D6F3C">
              <w:rPr>
                <w:rFonts w:ascii="Arial" w:hAnsi="Arial"/>
                <w:b/>
                <w:color w:val="FFFFFF"/>
                <w:sz w:val="22"/>
              </w:rPr>
              <w:t>Indicateur de performance 5 (38C/5)</w:t>
            </w:r>
          </w:p>
        </w:tc>
        <w:tc>
          <w:tcPr>
            <w:tcW w:w="3812" w:type="pct"/>
            <w:gridSpan w:val="3"/>
            <w:shd w:val="clear" w:color="auto" w:fill="808080"/>
            <w:vAlign w:val="center"/>
          </w:tcPr>
          <w:p w14:paraId="1A94E09A" w14:textId="77777777" w:rsidR="007C2199" w:rsidRPr="000D6F3C" w:rsidRDefault="007C2199" w:rsidP="00B50CB1">
            <w:pPr>
              <w:pStyle w:val="Default"/>
              <w:rPr>
                <w:rFonts w:cs="Arial"/>
                <w:b/>
                <w:bCs/>
                <w:color w:val="FFFFFF"/>
                <w:sz w:val="22"/>
                <w:szCs w:val="22"/>
              </w:rPr>
            </w:pPr>
            <w:r w:rsidRPr="000D6F3C">
              <w:rPr>
                <w:rFonts w:cs="Arial"/>
                <w:b/>
                <w:color w:val="FFFFFF"/>
                <w:sz w:val="22"/>
              </w:rPr>
              <w:t>Nombre d</w:t>
            </w:r>
            <w:r w:rsidR="003C2B6A">
              <w:rPr>
                <w:rFonts w:cs="Arial"/>
                <w:b/>
                <w:color w:val="FFFFFF"/>
                <w:sz w:val="22"/>
              </w:rPr>
              <w:t>’</w:t>
            </w:r>
            <w:r w:rsidRPr="000D6F3C">
              <w:rPr>
                <w:rFonts w:cs="Arial"/>
                <w:b/>
                <w:color w:val="FFFFFF"/>
                <w:sz w:val="22"/>
              </w:rPr>
              <w:t>organisations au sein et en dehors du système des Nations Unies, de la société civile et du secteur privé contribuant à l</w:t>
            </w:r>
            <w:r w:rsidR="003C2B6A">
              <w:rPr>
                <w:rFonts w:cs="Arial"/>
                <w:b/>
                <w:color w:val="FFFFFF"/>
                <w:sz w:val="22"/>
              </w:rPr>
              <w:t>’</w:t>
            </w:r>
            <w:r w:rsidRPr="000D6F3C">
              <w:rPr>
                <w:rFonts w:cs="Arial"/>
                <w:b/>
                <w:color w:val="FFFFFF"/>
                <w:sz w:val="22"/>
              </w:rPr>
              <w:t>exécution du programme</w:t>
            </w:r>
          </w:p>
        </w:tc>
      </w:tr>
      <w:tr w:rsidR="007C2199" w:rsidRPr="00CC11E8" w14:paraId="1BFEA654" w14:textId="77777777" w:rsidTr="001F3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096" w:type="pct"/>
            <w:gridSpan w:val="2"/>
            <w:shd w:val="clear" w:color="auto" w:fill="D9D9D9"/>
            <w:vAlign w:val="center"/>
          </w:tcPr>
          <w:p w14:paraId="33ACF513" w14:textId="77777777" w:rsidR="007C2199" w:rsidRPr="001C6031" w:rsidRDefault="007C2199" w:rsidP="002166EB">
            <w:pPr>
              <w:spacing w:before="60" w:after="60"/>
              <w:jc w:val="center"/>
              <w:rPr>
                <w:rFonts w:ascii="Arial" w:eastAsia="Times New Roman" w:hAnsi="Arial" w:cs="Arial"/>
                <w:b/>
                <w:sz w:val="20"/>
                <w:szCs w:val="20"/>
              </w:rPr>
            </w:pPr>
            <w:r>
              <w:rPr>
                <w:rFonts w:ascii="Arial" w:hAnsi="Arial"/>
                <w:b/>
                <w:sz w:val="20"/>
              </w:rPr>
              <w:t>Objectif</w:t>
            </w:r>
          </w:p>
        </w:tc>
        <w:tc>
          <w:tcPr>
            <w:tcW w:w="2042" w:type="pct"/>
            <w:shd w:val="clear" w:color="auto" w:fill="D9D9D9"/>
            <w:vAlign w:val="center"/>
          </w:tcPr>
          <w:p w14:paraId="0D429E51" w14:textId="77777777" w:rsidR="007C2199" w:rsidRPr="001C6031" w:rsidRDefault="007C2199" w:rsidP="002166EB">
            <w:pPr>
              <w:spacing w:before="60" w:after="60"/>
              <w:jc w:val="center"/>
              <w:rPr>
                <w:rFonts w:ascii="Arial" w:eastAsia="Times New Roman" w:hAnsi="Arial" w:cs="Arial"/>
                <w:b/>
                <w:sz w:val="20"/>
                <w:szCs w:val="20"/>
              </w:rPr>
            </w:pPr>
            <w:r>
              <w:rPr>
                <w:rFonts w:ascii="Arial" w:hAnsi="Arial"/>
                <w:b/>
                <w:sz w:val="20"/>
              </w:rPr>
              <w:t>Évaluation des progrès </w:t>
            </w:r>
            <w:proofErr w:type="gramStart"/>
            <w:r>
              <w:rPr>
                <w:rFonts w:ascii="Arial" w:hAnsi="Arial"/>
                <w:b/>
                <w:sz w:val="20"/>
              </w:rPr>
              <w:t>:</w:t>
            </w:r>
            <w:proofErr w:type="gramEnd"/>
            <w:r>
              <w:rPr>
                <w:rFonts w:ascii="Arial" w:eastAsia="Times New Roman" w:hAnsi="Arial" w:cs="Arial"/>
                <w:b/>
                <w:sz w:val="20"/>
                <w:szCs w:val="20"/>
              </w:rPr>
              <w:br/>
            </w:r>
            <w:r>
              <w:rPr>
                <w:rFonts w:ascii="Arial" w:hAnsi="Arial"/>
                <w:b/>
                <w:sz w:val="20"/>
              </w:rPr>
              <w:t>01/01/2016 - 30/06/2016</w:t>
            </w:r>
          </w:p>
        </w:tc>
        <w:tc>
          <w:tcPr>
            <w:tcW w:w="860" w:type="pct"/>
            <w:shd w:val="clear" w:color="auto" w:fill="D9D9D9"/>
            <w:vAlign w:val="center"/>
          </w:tcPr>
          <w:p w14:paraId="4FC036AF" w14:textId="77777777" w:rsidR="007C2199" w:rsidRPr="001C6031" w:rsidRDefault="007C2199" w:rsidP="002166EB">
            <w:pPr>
              <w:spacing w:before="60" w:after="60"/>
              <w:jc w:val="center"/>
              <w:rPr>
                <w:rFonts w:ascii="Arial" w:eastAsia="Times New Roman" w:hAnsi="Arial" w:cs="Arial"/>
                <w:b/>
                <w:sz w:val="20"/>
                <w:szCs w:val="20"/>
              </w:rPr>
            </w:pPr>
            <w:r>
              <w:rPr>
                <w:rFonts w:ascii="Arial" w:hAnsi="Arial"/>
                <w:b/>
                <w:sz w:val="20"/>
              </w:rPr>
              <w:t>Probabilité d</w:t>
            </w:r>
            <w:r w:rsidR="003C2B6A">
              <w:rPr>
                <w:rFonts w:ascii="Arial" w:hAnsi="Arial"/>
                <w:b/>
                <w:sz w:val="20"/>
              </w:rPr>
              <w:t>’</w:t>
            </w:r>
            <w:r>
              <w:rPr>
                <w:rFonts w:ascii="Arial" w:hAnsi="Arial"/>
                <w:b/>
                <w:sz w:val="20"/>
              </w:rPr>
              <w:t>atteindre l</w:t>
            </w:r>
            <w:r w:rsidR="003C2B6A">
              <w:rPr>
                <w:rFonts w:ascii="Arial" w:hAnsi="Arial"/>
                <w:b/>
                <w:sz w:val="20"/>
              </w:rPr>
              <w:t>’</w:t>
            </w:r>
            <w:r>
              <w:rPr>
                <w:rFonts w:ascii="Arial" w:hAnsi="Arial"/>
                <w:b/>
                <w:sz w:val="20"/>
              </w:rPr>
              <w:t>objectif</w:t>
            </w:r>
          </w:p>
        </w:tc>
      </w:tr>
      <w:tr w:rsidR="007C2199" w:rsidRPr="00F8691A" w14:paraId="775D5DFB" w14:textId="77777777" w:rsidTr="001F3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pct"/>
            <w:gridSpan w:val="2"/>
          </w:tcPr>
          <w:p w14:paraId="133F9453" w14:textId="77777777" w:rsidR="007C2199" w:rsidRPr="00DA6240" w:rsidRDefault="007C2199" w:rsidP="00BA3A07">
            <w:pPr>
              <w:pStyle w:val="ListParagraph"/>
              <w:numPr>
                <w:ilvl w:val="0"/>
                <w:numId w:val="9"/>
              </w:numPr>
              <w:spacing w:before="60" w:beforeAutospacing="0" w:after="60" w:afterAutospacing="0"/>
              <w:ind w:left="360"/>
              <w:rPr>
                <w:rFonts w:ascii="Arial" w:eastAsia="Times New Roman" w:hAnsi="Arial" w:cs="Arial"/>
                <w:sz w:val="20"/>
                <w:szCs w:val="20"/>
              </w:rPr>
            </w:pPr>
            <w:r>
              <w:rPr>
                <w:rFonts w:ascii="Arial" w:hAnsi="Arial"/>
                <w:sz w:val="20"/>
              </w:rPr>
              <w:t xml:space="preserve">8 ONG accréditées </w:t>
            </w:r>
            <w:r>
              <w:rPr>
                <w:rFonts w:ascii="Arial" w:eastAsia="Times New Roman" w:hAnsi="Arial" w:cs="Arial"/>
                <w:sz w:val="20"/>
                <w:szCs w:val="20"/>
              </w:rPr>
              <w:br/>
            </w:r>
            <w:r>
              <w:rPr>
                <w:rFonts w:ascii="Arial" w:hAnsi="Arial"/>
                <w:sz w:val="20"/>
              </w:rPr>
              <w:t xml:space="preserve">20 ONG reconduites </w:t>
            </w:r>
            <w:r>
              <w:rPr>
                <w:rFonts w:ascii="Arial" w:eastAsia="Times New Roman" w:hAnsi="Arial" w:cs="Arial"/>
                <w:sz w:val="20"/>
                <w:szCs w:val="20"/>
              </w:rPr>
              <w:br/>
            </w:r>
            <w:r>
              <w:rPr>
                <w:rFonts w:ascii="Arial" w:hAnsi="Arial"/>
                <w:sz w:val="20"/>
              </w:rPr>
              <w:t>4 centres de catégorie 2 contribuent pleinement à soutenir le programme de l</w:t>
            </w:r>
            <w:r w:rsidR="003C2B6A">
              <w:rPr>
                <w:rFonts w:ascii="Arial" w:hAnsi="Arial"/>
                <w:sz w:val="20"/>
              </w:rPr>
              <w:t>’</w:t>
            </w:r>
            <w:r>
              <w:rPr>
                <w:rFonts w:ascii="Arial" w:hAnsi="Arial"/>
                <w:sz w:val="20"/>
              </w:rPr>
              <w:t>UNESCO en vue de la mise en œuvre effective de la Convention de 2003</w:t>
            </w:r>
            <w:r w:rsidR="001F3B6F">
              <w:rPr>
                <w:rFonts w:ascii="Arial" w:hAnsi="Arial"/>
                <w:sz w:val="20"/>
              </w:rPr>
              <w:t>.</w:t>
            </w:r>
          </w:p>
        </w:tc>
        <w:tc>
          <w:tcPr>
            <w:tcW w:w="2042" w:type="pct"/>
          </w:tcPr>
          <w:p w14:paraId="0929E349" w14:textId="77777777" w:rsidR="007C2199" w:rsidRDefault="007C2199" w:rsidP="00BA3A07">
            <w:pPr>
              <w:pStyle w:val="ListParagraph"/>
              <w:numPr>
                <w:ilvl w:val="0"/>
                <w:numId w:val="9"/>
              </w:numPr>
              <w:spacing w:before="60" w:beforeAutospacing="0" w:after="60" w:afterAutospacing="0"/>
              <w:ind w:left="360"/>
              <w:rPr>
                <w:rFonts w:ascii="Arial" w:eastAsia="Times New Roman" w:hAnsi="Arial" w:cs="Arial"/>
                <w:sz w:val="20"/>
                <w:szCs w:val="20"/>
              </w:rPr>
            </w:pPr>
            <w:r>
              <w:rPr>
                <w:rFonts w:ascii="Arial" w:hAnsi="Arial"/>
                <w:sz w:val="20"/>
              </w:rPr>
              <w:t>Facilitation de l</w:t>
            </w:r>
            <w:r w:rsidR="003C2B6A">
              <w:rPr>
                <w:rFonts w:ascii="Arial" w:hAnsi="Arial"/>
                <w:sz w:val="20"/>
              </w:rPr>
              <w:t>’</w:t>
            </w:r>
            <w:r>
              <w:rPr>
                <w:rFonts w:ascii="Arial" w:hAnsi="Arial"/>
                <w:sz w:val="20"/>
              </w:rPr>
              <w:t>accréditation de 24 ONG par la sixième session de l</w:t>
            </w:r>
            <w:r w:rsidR="003C2B6A">
              <w:rPr>
                <w:rFonts w:ascii="Arial" w:hAnsi="Arial"/>
                <w:sz w:val="20"/>
              </w:rPr>
              <w:t>’</w:t>
            </w:r>
            <w:r>
              <w:rPr>
                <w:rFonts w:ascii="Arial" w:hAnsi="Arial"/>
                <w:sz w:val="20"/>
              </w:rPr>
              <w:t>Assemblée générale et de la reco</w:t>
            </w:r>
            <w:r w:rsidR="001F3B6F">
              <w:rPr>
                <w:rFonts w:ascii="Arial" w:hAnsi="Arial"/>
                <w:sz w:val="20"/>
              </w:rPr>
              <w:t>nduction de 59 ONG accréditées.</w:t>
            </w:r>
          </w:p>
          <w:p w14:paraId="270124AA" w14:textId="77777777" w:rsidR="007C2199" w:rsidRPr="001F3B6F" w:rsidRDefault="007C2199" w:rsidP="001F3B6F">
            <w:pPr>
              <w:pStyle w:val="ListParagraph"/>
              <w:numPr>
                <w:ilvl w:val="0"/>
                <w:numId w:val="9"/>
              </w:numPr>
              <w:spacing w:before="60" w:beforeAutospacing="0" w:after="60" w:afterAutospacing="0"/>
              <w:ind w:left="360"/>
              <w:rPr>
                <w:rFonts w:ascii="Arial" w:eastAsia="Times New Roman" w:hAnsi="Arial" w:cs="Arial"/>
                <w:sz w:val="20"/>
                <w:szCs w:val="20"/>
              </w:rPr>
            </w:pPr>
            <w:r>
              <w:rPr>
                <w:rFonts w:ascii="Arial" w:hAnsi="Arial"/>
                <w:sz w:val="20"/>
              </w:rPr>
              <w:t>Plusieurs centres de catégorie 2 contribuent à certains aspects du programme de l</w:t>
            </w:r>
            <w:r w:rsidR="003C2B6A">
              <w:rPr>
                <w:rFonts w:ascii="Arial" w:hAnsi="Arial"/>
                <w:sz w:val="20"/>
              </w:rPr>
              <w:t>’</w:t>
            </w:r>
            <w:r>
              <w:rPr>
                <w:rFonts w:ascii="Arial" w:hAnsi="Arial"/>
                <w:sz w:val="20"/>
              </w:rPr>
              <w:t>UNESCO en vue de la mise en œuvre effective de la Convention de 2003</w:t>
            </w:r>
            <w:r w:rsidR="001F3B6F">
              <w:rPr>
                <w:rFonts w:ascii="Arial" w:hAnsi="Arial"/>
                <w:sz w:val="20"/>
              </w:rPr>
              <w:t>.</w:t>
            </w:r>
          </w:p>
        </w:tc>
        <w:tc>
          <w:tcPr>
            <w:tcW w:w="860" w:type="pct"/>
          </w:tcPr>
          <w:p w14:paraId="71E8499F" w14:textId="77777777" w:rsidR="007C2199" w:rsidRPr="001C6031" w:rsidRDefault="007C2199" w:rsidP="003F1ACC">
            <w:pPr>
              <w:pStyle w:val="ListParagraph"/>
              <w:spacing w:before="60" w:after="60"/>
              <w:ind w:left="19"/>
              <w:jc w:val="center"/>
              <w:rPr>
                <w:rFonts w:ascii="Arial" w:eastAsia="Times New Roman" w:hAnsi="Arial" w:cs="Arial"/>
                <w:sz w:val="20"/>
                <w:szCs w:val="20"/>
              </w:rPr>
            </w:pPr>
            <w:r>
              <w:rPr>
                <w:rFonts w:ascii="Arial" w:hAnsi="Arial"/>
                <w:sz w:val="20"/>
              </w:rPr>
              <w:t>Moyenne</w:t>
            </w:r>
          </w:p>
        </w:tc>
      </w:tr>
    </w:tbl>
    <w:p w14:paraId="53EB64E3" w14:textId="77777777" w:rsidR="007C2199" w:rsidRPr="00F41D50" w:rsidRDefault="007C2199" w:rsidP="001C6280">
      <w:pPr>
        <w:pStyle w:val="COMPara"/>
        <w:numPr>
          <w:ilvl w:val="0"/>
          <w:numId w:val="7"/>
        </w:numPr>
        <w:spacing w:before="360"/>
        <w:ind w:left="567" w:hanging="567"/>
        <w:jc w:val="both"/>
        <w:rPr>
          <w:b/>
        </w:rPr>
      </w:pPr>
      <w:r>
        <w:rPr>
          <w:b/>
        </w:rPr>
        <w:t>Missions, structures et composition du Secrétariat</w:t>
      </w:r>
    </w:p>
    <w:p w14:paraId="088A384D" w14:textId="77777777" w:rsidR="007C2199" w:rsidRPr="00F41D50" w:rsidRDefault="007C2199" w:rsidP="001C6280">
      <w:pPr>
        <w:pStyle w:val="COMPara"/>
        <w:ind w:left="567" w:hanging="567"/>
        <w:jc w:val="both"/>
      </w:pPr>
      <w:r>
        <w:t>Les principales responsabilités du Secrétariat sont d</w:t>
      </w:r>
      <w:r w:rsidR="003C2B6A">
        <w:t>’</w:t>
      </w:r>
      <w:r>
        <w:t>assister le Comité intergouvernemental de sauvegarde du patrimoine culturel immatériel et de « préparer la documentation de l</w:t>
      </w:r>
      <w:r w:rsidR="003C2B6A">
        <w:t>’</w:t>
      </w:r>
      <w:r>
        <w:t>Assemblée générale et du Comité, ainsi que l</w:t>
      </w:r>
      <w:r w:rsidR="003C2B6A">
        <w:t>’</w:t>
      </w:r>
      <w:r>
        <w:t>ordre du jour de leurs réunions et […] assurer l</w:t>
      </w:r>
      <w:r w:rsidR="003C2B6A">
        <w:t>’</w:t>
      </w:r>
      <w:r>
        <w:t>exécution de leurs décisions » (article 10 de la Convention).</w:t>
      </w:r>
    </w:p>
    <w:p w14:paraId="399EA1AA" w14:textId="77777777" w:rsidR="007C2199" w:rsidRDefault="007C2199" w:rsidP="00E47E9B">
      <w:pPr>
        <w:pStyle w:val="COMPara"/>
        <w:ind w:left="567" w:hanging="567"/>
        <w:jc w:val="both"/>
      </w:pPr>
      <w:r>
        <w:t>Depuis 2014, la Section est composée de deux unités – une Unité de la mise en œuvre du programme et une Unité du renforcement des capacités et des politiques du patrimoine. Les responsabilités régionales sont distribuées de manière transversale entre les deux unités, avec des « responsables régionaux » pour chacun des six groupes électoraux de l</w:t>
      </w:r>
      <w:r w:rsidR="003C2B6A">
        <w:t>’</w:t>
      </w:r>
      <w:r>
        <w:t>UNESCO. Les tâches confiées à ces unités sont décrites dans le rapport du Secrétariat pour la dixième session du Comité (</w:t>
      </w:r>
      <w:r w:rsidRPr="0047302F">
        <w:rPr>
          <w:rFonts w:cs="Times New Roman"/>
        </w:rPr>
        <w:t xml:space="preserve">document </w:t>
      </w:r>
      <w:hyperlink r:id="rId25" w:history="1">
        <w:r w:rsidRPr="0047302F">
          <w:rPr>
            <w:rStyle w:val="Hyperlink"/>
          </w:rPr>
          <w:t>ITH/15/10.COM 7.b</w:t>
        </w:r>
      </w:hyperlink>
      <w:r>
        <w:t>) et la sixième session de l</w:t>
      </w:r>
      <w:r w:rsidR="003C2B6A">
        <w:t>’</w:t>
      </w:r>
      <w:r>
        <w:t>Assemblée générale (</w:t>
      </w:r>
      <w:r w:rsidRPr="0047302F">
        <w:rPr>
          <w:rFonts w:cs="Times New Roman"/>
        </w:rPr>
        <w:t xml:space="preserve">document </w:t>
      </w:r>
      <w:hyperlink r:id="rId26" w:history="1">
        <w:r w:rsidRPr="0047302F">
          <w:rPr>
            <w:rStyle w:val="Hyperlink"/>
          </w:rPr>
          <w:t>ITH/16/6.GA 6</w:t>
        </w:r>
      </w:hyperlink>
      <w:r>
        <w:t>). Elles n</w:t>
      </w:r>
      <w:r w:rsidR="003C2B6A">
        <w:t>’</w:t>
      </w:r>
      <w:r>
        <w:t>ont pas changé sur la période couverte par le présent rapport. À ce jour, la Section comprend 12 postes financés par le programme ordinaire : 4 de la catégorie « services généraux » et 8 de la catégorie « professionnels ». Le Chef de la Section assure aussi les fonctions de Secrétaire de la Convention. Le début de l</w:t>
      </w:r>
      <w:r w:rsidR="003C2B6A">
        <w:t>’</w:t>
      </w:r>
      <w:r>
        <w:t>année 2016 a été marqué par l</w:t>
      </w:r>
      <w:r w:rsidR="003C2B6A">
        <w:t>’</w:t>
      </w:r>
      <w:r>
        <w:t>arrivée du nouveau Chef de section, M. Tim Curtis.</w:t>
      </w:r>
    </w:p>
    <w:p w14:paraId="15ACB95F" w14:textId="77777777" w:rsidR="007C2199" w:rsidRDefault="007C2199" w:rsidP="001C6280">
      <w:pPr>
        <w:pStyle w:val="COMPara"/>
        <w:ind w:left="567" w:hanging="567"/>
        <w:jc w:val="both"/>
      </w:pPr>
      <w:r>
        <w:t>En plus du personnel prévu au programme ordinaire, la Section s</w:t>
      </w:r>
      <w:r w:rsidR="003C2B6A">
        <w:t>’</w:t>
      </w:r>
      <w:r>
        <w:t>appuie également sur plusieurs personnes en mission temporaire :</w:t>
      </w:r>
    </w:p>
    <w:p w14:paraId="1E503759" w14:textId="77777777" w:rsidR="007C2199" w:rsidRDefault="007C2199" w:rsidP="0047302F">
      <w:pPr>
        <w:pStyle w:val="COMPara"/>
        <w:numPr>
          <w:ilvl w:val="0"/>
          <w:numId w:val="10"/>
        </w:numPr>
        <w:ind w:left="1134" w:hanging="567"/>
        <w:jc w:val="both"/>
      </w:pPr>
      <w:r>
        <w:t xml:space="preserve">Quatre postes </w:t>
      </w:r>
      <w:r w:rsidR="00865306">
        <w:t>administrateurs de</w:t>
      </w:r>
      <w:r>
        <w:t xml:space="preserve"> projet sont financés par les contributions des États parties au sous-fonds du Fonds du patrimoine culturel immatériel et deux postes </w:t>
      </w:r>
      <w:r w:rsidR="00865306">
        <w:lastRenderedPageBreak/>
        <w:t xml:space="preserve">administrateurs de </w:t>
      </w:r>
      <w:r>
        <w:t>projet sont financés grâce au soutien du Fonds pour le système de gestion des connaissances et le programme de renforcement des capacités.</w:t>
      </w:r>
    </w:p>
    <w:p w14:paraId="06680FE7" w14:textId="77777777" w:rsidR="007C2199" w:rsidRDefault="007C2199" w:rsidP="0047302F">
      <w:pPr>
        <w:pStyle w:val="COMPara"/>
        <w:numPr>
          <w:ilvl w:val="0"/>
          <w:numId w:val="10"/>
        </w:numPr>
        <w:ind w:left="1134" w:hanging="567"/>
        <w:jc w:val="both"/>
      </w:pPr>
      <w:r>
        <w:t>Deux autres postes temporaires interviennent. Le premier (</w:t>
      </w:r>
      <w:r w:rsidR="005A3206">
        <w:t>administrateur de</w:t>
      </w:r>
      <w:r>
        <w:t xml:space="preserve"> projet) a été créé en décembre 2014 grâce au financement du Fonds-en-dépôt UNESCO/Autorité pour le tourisme et la culture d</w:t>
      </w:r>
      <w:r w:rsidR="003C2B6A">
        <w:t>’</w:t>
      </w:r>
      <w:r>
        <w:t>Abou Dhabi et le second (un détachement) en mars 2015 grâce au financement du Fonds-en-dépôt UNESCO/Japon pour la sauvegarde du patrimoine culturel immatériel. En outre, un expert de la République populaire de Chine, qui a rejoint l</w:t>
      </w:r>
      <w:r w:rsidR="003C2B6A">
        <w:t>’</w:t>
      </w:r>
      <w:r>
        <w:t>équipe en janvier 2014, continue à travailler pour la Section. Une coordinatrice de projet, responsable de la gestion d</w:t>
      </w:r>
      <w:r w:rsidR="003C2B6A">
        <w:t>’</w:t>
      </w:r>
      <w:r>
        <w:t>un projet de renforcement des capacités en Afrique lusophone grâce à un financement du Fonds du patrimoine culturel immatériel avec la contribution affectée de la Norvège, a achevé sa mission en mai 2016.</w:t>
      </w:r>
    </w:p>
    <w:p w14:paraId="6136B7BB" w14:textId="77777777" w:rsidR="007C2199" w:rsidRDefault="007C2199" w:rsidP="0047302F">
      <w:pPr>
        <w:pStyle w:val="COMPara"/>
        <w:numPr>
          <w:ilvl w:val="0"/>
          <w:numId w:val="10"/>
        </w:numPr>
        <w:ind w:left="1134" w:hanging="567"/>
        <w:jc w:val="both"/>
      </w:pPr>
      <w:r>
        <w:t xml:space="preserve">Six employés temporaires, financés par le programme ordinaire, ont contribué aux missions du Secrétariat de la Convention sur </w:t>
      </w:r>
      <w:r w:rsidR="009D4C72">
        <w:t xml:space="preserve">diverses </w:t>
      </w:r>
      <w:r>
        <w:t>périodes.</w:t>
      </w:r>
    </w:p>
    <w:p w14:paraId="0B335E39" w14:textId="77777777" w:rsidR="007C2199" w:rsidRDefault="007C2199" w:rsidP="00E47E9B">
      <w:pPr>
        <w:pStyle w:val="COMPara"/>
        <w:ind w:left="567" w:hanging="567"/>
        <w:jc w:val="both"/>
      </w:pPr>
      <w:r>
        <w:t>Par ailleurs, l</w:t>
      </w:r>
      <w:r w:rsidR="003C2B6A">
        <w:t>’</w:t>
      </w:r>
      <w:r>
        <w:t xml:space="preserve">Unité des services communs des conventions, créée à la mi-2014 (voir </w:t>
      </w:r>
      <w:r w:rsidR="0047302F" w:rsidRPr="0047302F">
        <w:rPr>
          <w:rFonts w:cs="Times New Roman"/>
        </w:rPr>
        <w:t>document </w:t>
      </w:r>
      <w:hyperlink r:id="rId27" w:history="1">
        <w:r w:rsidR="0047302F" w:rsidRPr="0047302F">
          <w:rPr>
            <w:rStyle w:val="Hyperlink"/>
          </w:rPr>
          <w:t>ITH/13/9.COM/6</w:t>
        </w:r>
      </w:hyperlink>
      <w:r w:rsidRPr="0047302F">
        <w:rPr>
          <w:rStyle w:val="Hyperlink"/>
          <w:color w:val="auto"/>
          <w:u w:val="none"/>
        </w:rPr>
        <w:t>)</w:t>
      </w:r>
      <w:r>
        <w:rPr>
          <w:rStyle w:val="Hyperlink"/>
          <w:color w:val="auto"/>
          <w:u w:val="none"/>
        </w:rPr>
        <w:t xml:space="preserve">, </w:t>
      </w:r>
      <w:r>
        <w:t>a assisté la Section dans l</w:t>
      </w:r>
      <w:r w:rsidR="003C2B6A">
        <w:t>’</w:t>
      </w:r>
      <w:r>
        <w:t>organisation des réunions statutaires. Ce soutien a concerné les aspects logistiques ainsi que ceux liés au voyage des participants aux réunions, de même que les questions administratives et procédurales liées à la coopération avec les centres de catégorie 2 et au traitement des demandes de patronage et de l</w:t>
      </w:r>
      <w:r w:rsidR="003C2B6A">
        <w:t>’</w:t>
      </w:r>
      <w:r>
        <w:t>utilisation de l</w:t>
      </w:r>
      <w:r w:rsidR="003C2B6A">
        <w:t>’</w:t>
      </w:r>
      <w:r>
        <w:t>emblème de la Convention.</w:t>
      </w:r>
    </w:p>
    <w:p w14:paraId="4CB269A7" w14:textId="77777777" w:rsidR="007C2199" w:rsidRPr="00EA528C" w:rsidRDefault="007C2199" w:rsidP="00D05623">
      <w:pPr>
        <w:pStyle w:val="COMPara"/>
        <w:ind w:left="567" w:hanging="567"/>
        <w:jc w:val="both"/>
      </w:pPr>
      <w:r>
        <w:t>Le Comité souhaitera peut-être adopter la décision suivante :</w:t>
      </w:r>
    </w:p>
    <w:p w14:paraId="738C074D" w14:textId="77777777" w:rsidR="007C2199" w:rsidRPr="00FD624F" w:rsidRDefault="007C2199" w:rsidP="005B17FD">
      <w:pPr>
        <w:pStyle w:val="COMTitleDecision"/>
      </w:pPr>
      <w:r>
        <w:t>PROJET DE DÉCISION 11.COM 5</w:t>
      </w:r>
    </w:p>
    <w:p w14:paraId="5E011ACB" w14:textId="77777777" w:rsidR="007C2199" w:rsidRPr="00285BB4" w:rsidRDefault="007C2199" w:rsidP="003E5919">
      <w:pPr>
        <w:pStyle w:val="COMPreambulaDecisions"/>
      </w:pPr>
      <w:r>
        <w:t>Le Comité,</w:t>
      </w:r>
    </w:p>
    <w:p w14:paraId="6B6DC778" w14:textId="77777777" w:rsidR="007C2199" w:rsidRPr="002D3437" w:rsidRDefault="007C2199" w:rsidP="009427FC">
      <w:pPr>
        <w:pStyle w:val="COMParaDecision"/>
        <w:ind w:left="1134" w:hanging="567"/>
      </w:pPr>
      <w:r>
        <w:t>Ayant examiné</w:t>
      </w:r>
      <w:r>
        <w:rPr>
          <w:u w:val="none"/>
        </w:rPr>
        <w:t xml:space="preserve"> le document ITH/16/11.COM/5,</w:t>
      </w:r>
    </w:p>
    <w:p w14:paraId="6D8A2BBF" w14:textId="77777777" w:rsidR="007C2199" w:rsidRDefault="007C2199" w:rsidP="009427FC">
      <w:pPr>
        <w:pStyle w:val="COMParaDecision"/>
        <w:ind w:left="1134" w:hanging="567"/>
        <w:rPr>
          <w:u w:val="none"/>
        </w:rPr>
      </w:pPr>
      <w:r>
        <w:t>Salue</w:t>
      </w:r>
      <w:r w:rsidRPr="00D05623">
        <w:rPr>
          <w:u w:val="none"/>
        </w:rPr>
        <w:t xml:space="preserve"> </w:t>
      </w:r>
      <w:r>
        <w:rPr>
          <w:u w:val="none"/>
        </w:rPr>
        <w:t>le nouveau format de rapport du Secrétariat et l</w:t>
      </w:r>
      <w:r w:rsidR="003C2B6A">
        <w:rPr>
          <w:u w:val="none"/>
        </w:rPr>
        <w:t>’</w:t>
      </w:r>
      <w:r>
        <w:rPr>
          <w:u w:val="none"/>
        </w:rPr>
        <w:t>alignement de sa périodicité avec les processus de rapport de l</w:t>
      </w:r>
      <w:r w:rsidR="003C2B6A">
        <w:rPr>
          <w:u w:val="none"/>
        </w:rPr>
        <w:t>’</w:t>
      </w:r>
      <w:r w:rsidR="001F3B6F">
        <w:rPr>
          <w:u w:val="none"/>
        </w:rPr>
        <w:t>UNESCO ;</w:t>
      </w:r>
    </w:p>
    <w:p w14:paraId="68BD209E" w14:textId="77777777" w:rsidR="007C2199" w:rsidRDefault="007C2199" w:rsidP="009427FC">
      <w:pPr>
        <w:pStyle w:val="COMParaDecision"/>
        <w:ind w:left="1134" w:hanging="567"/>
        <w:rPr>
          <w:u w:val="none"/>
        </w:rPr>
      </w:pPr>
      <w:r>
        <w:t>Salue également</w:t>
      </w:r>
      <w:r>
        <w:rPr>
          <w:u w:val="none"/>
        </w:rPr>
        <w:t xml:space="preserve"> les sept États (Cabo Verde, Ghana, Guinée-Bissau, Îles Cook, Irlande, Saint-Kitts-et-Nevis et Thaïlande) qui ont ratifié la Convention depuis la dixième session du Comité et se félicite du niveau soutenu de ratification</w:t>
      </w:r>
      <w:r w:rsidR="009D4C72">
        <w:rPr>
          <w:u w:val="none"/>
        </w:rPr>
        <w:t> ;</w:t>
      </w:r>
    </w:p>
    <w:p w14:paraId="3A992C55" w14:textId="77777777" w:rsidR="007C2199" w:rsidRDefault="007C2199" w:rsidP="003E5919">
      <w:pPr>
        <w:pStyle w:val="COMParaDecision"/>
        <w:ind w:left="1134" w:hanging="567"/>
        <w:rPr>
          <w:u w:val="none"/>
        </w:rPr>
      </w:pPr>
      <w:r>
        <w:t>Félicite</w:t>
      </w:r>
      <w:r w:rsidRPr="00D05623">
        <w:rPr>
          <w:u w:val="none"/>
        </w:rPr>
        <w:t xml:space="preserve"> </w:t>
      </w:r>
      <w:r>
        <w:rPr>
          <w:u w:val="none"/>
        </w:rPr>
        <w:t>le Secrétariat pour l</w:t>
      </w:r>
      <w:r w:rsidR="003C2B6A">
        <w:rPr>
          <w:u w:val="none"/>
        </w:rPr>
        <w:t>’</w:t>
      </w:r>
      <w:r>
        <w:rPr>
          <w:u w:val="none"/>
        </w:rPr>
        <w:t>efficacité de la mise en œuvre des décisions du Comité et des résolutions de l</w:t>
      </w:r>
      <w:r w:rsidR="003C2B6A">
        <w:rPr>
          <w:u w:val="none"/>
        </w:rPr>
        <w:t>’</w:t>
      </w:r>
      <w:r>
        <w:rPr>
          <w:u w:val="none"/>
        </w:rPr>
        <w:t>Assemblée générale ainsi que pour l</w:t>
      </w:r>
      <w:r w:rsidR="003C2B6A">
        <w:rPr>
          <w:u w:val="none"/>
        </w:rPr>
        <w:t>’</w:t>
      </w:r>
      <w:r>
        <w:rPr>
          <w:u w:val="none"/>
        </w:rPr>
        <w:t>organisation des réunions statutaires ;</w:t>
      </w:r>
    </w:p>
    <w:p w14:paraId="2146980A" w14:textId="77777777" w:rsidR="007C2199" w:rsidRPr="00437ED0" w:rsidRDefault="007C2199" w:rsidP="003E5919">
      <w:pPr>
        <w:pStyle w:val="COMParaDecision"/>
        <w:ind w:left="1134" w:hanging="567"/>
        <w:rPr>
          <w:u w:val="none"/>
        </w:rPr>
      </w:pPr>
      <w:r>
        <w:t xml:space="preserve">Se félicite </w:t>
      </w:r>
      <w:r>
        <w:rPr>
          <w:u w:val="none"/>
        </w:rPr>
        <w:t>de la portée croissante et de l</w:t>
      </w:r>
      <w:r w:rsidR="003C2B6A">
        <w:rPr>
          <w:u w:val="none"/>
        </w:rPr>
        <w:t>’</w:t>
      </w:r>
      <w:r>
        <w:rPr>
          <w:u w:val="none"/>
        </w:rPr>
        <w:t xml:space="preserve">efficacité continue du programme de renforcement des capacités et </w:t>
      </w:r>
      <w:r>
        <w:t>apprécie</w:t>
      </w:r>
      <w:r w:rsidRPr="00D05623">
        <w:rPr>
          <w:u w:val="none"/>
        </w:rPr>
        <w:t xml:space="preserve"> </w:t>
      </w:r>
      <w:r w:rsidR="009D4C72">
        <w:rPr>
          <w:u w:val="none"/>
        </w:rPr>
        <w:t xml:space="preserve">aussi </w:t>
      </w:r>
      <w:r>
        <w:rPr>
          <w:u w:val="none"/>
        </w:rPr>
        <w:t xml:space="preserve">les révisions, les adaptations et les enrichissements de son contenu et de son </w:t>
      </w:r>
      <w:r w:rsidR="001F3B6F">
        <w:rPr>
          <w:u w:val="none"/>
        </w:rPr>
        <w:t xml:space="preserve">format effectués régulièrement </w:t>
      </w:r>
      <w:r>
        <w:rPr>
          <w:u w:val="none"/>
        </w:rPr>
        <w:t>dans le but de répondre de manière efficace aux principales difficultés de mise en œuvre au niveau n</w:t>
      </w:r>
      <w:r w:rsidR="001F3B6F">
        <w:rPr>
          <w:u w:val="none"/>
        </w:rPr>
        <w:t>ational ou, parfois, régional ;</w:t>
      </w:r>
    </w:p>
    <w:p w14:paraId="2C438556" w14:textId="77777777" w:rsidR="007C2199" w:rsidRPr="001437C4" w:rsidRDefault="007C2199" w:rsidP="003E5919">
      <w:pPr>
        <w:pStyle w:val="COMParaDecision"/>
        <w:ind w:left="1134" w:hanging="567"/>
        <w:rPr>
          <w:u w:val="none"/>
        </w:rPr>
      </w:pPr>
      <w:r>
        <w:t>S</w:t>
      </w:r>
      <w:r w:rsidR="003C2B6A">
        <w:t>’</w:t>
      </w:r>
      <w:r>
        <w:t>inquiète</w:t>
      </w:r>
      <w:r>
        <w:rPr>
          <w:u w:val="none"/>
        </w:rPr>
        <w:t xml:space="preserve"> de la baisse de la mobilisation des ressources et </w:t>
      </w:r>
      <w:r>
        <w:t>appelle</w:t>
      </w:r>
      <w:r>
        <w:rPr>
          <w:u w:val="none"/>
        </w:rPr>
        <w:t xml:space="preserve"> les États parties à soutenir, notamment sous forme de contributions</w:t>
      </w:r>
      <w:r w:rsidR="009D4C72">
        <w:rPr>
          <w:u w:val="none"/>
        </w:rPr>
        <w:t xml:space="preserve"> au </w:t>
      </w:r>
      <w:r>
        <w:rPr>
          <w:u w:val="none"/>
        </w:rPr>
        <w:t xml:space="preserve">sous-fonds </w:t>
      </w:r>
      <w:r w:rsidR="009D4C72">
        <w:rPr>
          <w:u w:val="none"/>
        </w:rPr>
        <w:t xml:space="preserve">pour le </w:t>
      </w:r>
      <w:r>
        <w:rPr>
          <w:u w:val="none"/>
        </w:rPr>
        <w:t xml:space="preserve">renforcement des ressources humaines du Secrétariat </w:t>
      </w:r>
      <w:r w:rsidR="009D4C72">
        <w:rPr>
          <w:u w:val="none"/>
        </w:rPr>
        <w:t xml:space="preserve">afin de </w:t>
      </w:r>
      <w:r>
        <w:rPr>
          <w:u w:val="none"/>
        </w:rPr>
        <w:t>lui permettre de répondre aux besoins liés à la mise en œuvre efficace de la Convention ;</w:t>
      </w:r>
    </w:p>
    <w:p w14:paraId="355EF595" w14:textId="77777777" w:rsidR="007C2199" w:rsidRDefault="007C2199" w:rsidP="003E5919">
      <w:pPr>
        <w:pStyle w:val="COMParaDecision"/>
        <w:ind w:left="1134" w:hanging="567"/>
        <w:rPr>
          <w:u w:val="none"/>
        </w:rPr>
      </w:pPr>
      <w:r>
        <w:t>Regrette</w:t>
      </w:r>
      <w:r>
        <w:rPr>
          <w:u w:val="none"/>
        </w:rPr>
        <w:t xml:space="preserve"> le faible taux de mise en œuvre du mécanisme d</w:t>
      </w:r>
      <w:r w:rsidR="003C2B6A">
        <w:rPr>
          <w:u w:val="none"/>
        </w:rPr>
        <w:t>’</w:t>
      </w:r>
      <w:r>
        <w:rPr>
          <w:u w:val="none"/>
        </w:rPr>
        <w:t xml:space="preserve">assistance internationale du Fonds du patrimoine culturel immatériel et </w:t>
      </w:r>
      <w:r>
        <w:t>encourage</w:t>
      </w:r>
      <w:r>
        <w:rPr>
          <w:u w:val="none"/>
        </w:rPr>
        <w:t xml:space="preserve"> les États parties à mieux l</w:t>
      </w:r>
      <w:r w:rsidR="003C2B6A">
        <w:rPr>
          <w:u w:val="none"/>
        </w:rPr>
        <w:t>’</w:t>
      </w:r>
      <w:r>
        <w:rPr>
          <w:u w:val="none"/>
        </w:rPr>
        <w:t>utiliser ;</w:t>
      </w:r>
    </w:p>
    <w:p w14:paraId="17001798" w14:textId="77777777" w:rsidR="007C2199" w:rsidRPr="00DE3235" w:rsidRDefault="007C2199" w:rsidP="003E5919">
      <w:pPr>
        <w:pStyle w:val="COMParaDecision"/>
        <w:ind w:left="1134" w:hanging="567"/>
        <w:rPr>
          <w:u w:val="none"/>
        </w:rPr>
      </w:pPr>
      <w:r>
        <w:t>Invite</w:t>
      </w:r>
      <w:r>
        <w:rPr>
          <w:u w:val="none"/>
        </w:rPr>
        <w:t xml:space="preserve"> le Secrétariat à étudier des solutions créatives pour régler le</w:t>
      </w:r>
      <w:r w:rsidR="009D4C72">
        <w:rPr>
          <w:u w:val="none"/>
        </w:rPr>
        <w:t>s difficultés</w:t>
      </w:r>
      <w:r>
        <w:rPr>
          <w:u w:val="none"/>
        </w:rPr>
        <w:t xml:space="preserve"> administrati</w:t>
      </w:r>
      <w:r w:rsidR="009D4C72">
        <w:rPr>
          <w:u w:val="none"/>
        </w:rPr>
        <w:t>ves</w:t>
      </w:r>
      <w:r>
        <w:rPr>
          <w:u w:val="none"/>
        </w:rPr>
        <w:t xml:space="preserve"> et humain</w:t>
      </w:r>
      <w:r w:rsidR="009D4C72">
        <w:rPr>
          <w:u w:val="none"/>
        </w:rPr>
        <w:t>es</w:t>
      </w:r>
      <w:r>
        <w:rPr>
          <w:u w:val="none"/>
        </w:rPr>
        <w:t xml:space="preserve"> de mise en œuvre du mécanisme d</w:t>
      </w:r>
      <w:r w:rsidR="003C2B6A">
        <w:rPr>
          <w:u w:val="none"/>
        </w:rPr>
        <w:t>’</w:t>
      </w:r>
      <w:r>
        <w:rPr>
          <w:u w:val="none"/>
        </w:rPr>
        <w:t>assistance internationale afin d</w:t>
      </w:r>
      <w:r w:rsidR="003C2B6A">
        <w:rPr>
          <w:u w:val="none"/>
        </w:rPr>
        <w:t>’</w:t>
      </w:r>
      <w:r>
        <w:rPr>
          <w:u w:val="none"/>
        </w:rPr>
        <w:t>améliorer l</w:t>
      </w:r>
      <w:r w:rsidR="003C2B6A">
        <w:rPr>
          <w:u w:val="none"/>
        </w:rPr>
        <w:t>’</w:t>
      </w:r>
      <w:r>
        <w:rPr>
          <w:u w:val="none"/>
        </w:rPr>
        <w:t>appui des pays bénéficiaires et le suivi des projets financés par le Fonds du patrimoine culturel immatériel ;</w:t>
      </w:r>
    </w:p>
    <w:p w14:paraId="7995DA1D" w14:textId="77777777" w:rsidR="007C2199" w:rsidRPr="00C4744B" w:rsidRDefault="007C2199" w:rsidP="00D86CEE">
      <w:pPr>
        <w:pStyle w:val="COMParaDecision"/>
        <w:ind w:left="1134" w:hanging="567"/>
        <w:rPr>
          <w:u w:val="none"/>
        </w:rPr>
      </w:pPr>
      <w:r>
        <w:lastRenderedPageBreak/>
        <w:t>Encourage également</w:t>
      </w:r>
      <w:r>
        <w:rPr>
          <w:u w:val="none"/>
        </w:rPr>
        <w:t xml:space="preserve"> le Secrétariat à aider les États parties à aborder un certain nombre de thématiques pour faire le lien opérationnel entre la sauvegarde du patrimoine culturel immatériel et le développement durable dans le cadre, notamment, du Programme de développement durable à l</w:t>
      </w:r>
      <w:r w:rsidR="003C2B6A">
        <w:rPr>
          <w:u w:val="none"/>
        </w:rPr>
        <w:t>’</w:t>
      </w:r>
      <w:r>
        <w:rPr>
          <w:u w:val="none"/>
        </w:rPr>
        <w:t xml:space="preserve">horizon 2030, et à rechercher </w:t>
      </w:r>
      <w:r w:rsidR="009D4C72">
        <w:rPr>
          <w:u w:val="none"/>
        </w:rPr>
        <w:t>l</w:t>
      </w:r>
      <w:r>
        <w:rPr>
          <w:u w:val="none"/>
        </w:rPr>
        <w:t xml:space="preserve">es ressources extrabudgétaires </w:t>
      </w:r>
      <w:r w:rsidR="009D4C72">
        <w:rPr>
          <w:u w:val="none"/>
        </w:rPr>
        <w:t xml:space="preserve">nécessaires </w:t>
      </w:r>
      <w:r>
        <w:rPr>
          <w:u w:val="none"/>
        </w:rPr>
        <w:t>à cet effet ;</w:t>
      </w:r>
    </w:p>
    <w:p w14:paraId="04DD77B6" w14:textId="77777777" w:rsidR="007C2199" w:rsidRPr="00437ED0" w:rsidRDefault="007C2199" w:rsidP="003E5919">
      <w:pPr>
        <w:pStyle w:val="COMParaDecision"/>
        <w:ind w:left="1134" w:hanging="567"/>
        <w:rPr>
          <w:u w:val="none"/>
        </w:rPr>
      </w:pPr>
      <w:r>
        <w:t>Reconnaît</w:t>
      </w:r>
      <w:r>
        <w:rPr>
          <w:u w:val="none"/>
        </w:rPr>
        <w:t xml:space="preserve"> que le Secrétariat a accompli des progrès notables </w:t>
      </w:r>
      <w:r w:rsidR="009D4C72">
        <w:rPr>
          <w:u w:val="none"/>
        </w:rPr>
        <w:t xml:space="preserve">en réponse aux </w:t>
      </w:r>
      <w:r>
        <w:rPr>
          <w:u w:val="none"/>
        </w:rPr>
        <w:t>des recommandations de l</w:t>
      </w:r>
      <w:r w:rsidR="003C2B6A">
        <w:rPr>
          <w:u w:val="none"/>
        </w:rPr>
        <w:t>’</w:t>
      </w:r>
      <w:r>
        <w:rPr>
          <w:u w:val="none"/>
        </w:rPr>
        <w:t>évaluation et de l</w:t>
      </w:r>
      <w:r w:rsidR="003C2B6A">
        <w:rPr>
          <w:u w:val="none"/>
        </w:rPr>
        <w:t>’</w:t>
      </w:r>
      <w:r>
        <w:rPr>
          <w:u w:val="none"/>
        </w:rPr>
        <w:t>audit de l</w:t>
      </w:r>
      <w:r w:rsidR="003C2B6A">
        <w:rPr>
          <w:u w:val="none"/>
        </w:rPr>
        <w:t>’</w:t>
      </w:r>
      <w:r>
        <w:rPr>
          <w:u w:val="none"/>
        </w:rPr>
        <w:t xml:space="preserve">IOS, et </w:t>
      </w:r>
      <w:r w:rsidR="009D4C72">
        <w:rPr>
          <w:u w:val="none"/>
        </w:rPr>
        <w:t>dans l</w:t>
      </w:r>
      <w:r w:rsidR="003C2B6A">
        <w:rPr>
          <w:u w:val="none"/>
        </w:rPr>
        <w:t>’</w:t>
      </w:r>
      <w:r w:rsidR="009D4C72">
        <w:rPr>
          <w:u w:val="none"/>
        </w:rPr>
        <w:t xml:space="preserve">application </w:t>
      </w:r>
      <w:r>
        <w:rPr>
          <w:u w:val="none"/>
        </w:rPr>
        <w:t xml:space="preserve">des décisions du Comité, et </w:t>
      </w:r>
      <w:r w:rsidRPr="005953C7">
        <w:t>demande</w:t>
      </w:r>
      <w:r w:rsidRPr="00C74404">
        <w:t xml:space="preserve"> </w:t>
      </w:r>
      <w:r w:rsidR="009D4C72" w:rsidRPr="00D05623">
        <w:t>en outre</w:t>
      </w:r>
      <w:r w:rsidR="009D4C72">
        <w:rPr>
          <w:u w:val="none"/>
        </w:rPr>
        <w:t xml:space="preserve"> </w:t>
      </w:r>
      <w:r>
        <w:rPr>
          <w:u w:val="none"/>
        </w:rPr>
        <w:t>au Secrétariat de poursuivre ses efforts comme prévu ;</w:t>
      </w:r>
    </w:p>
    <w:p w14:paraId="3F462742" w14:textId="77777777" w:rsidR="007C2199" w:rsidRDefault="007C2199" w:rsidP="003E5919">
      <w:pPr>
        <w:pStyle w:val="COMParaDecision"/>
        <w:ind w:left="1134" w:hanging="567"/>
        <w:rPr>
          <w:u w:val="none"/>
        </w:rPr>
      </w:pPr>
      <w:r>
        <w:t>Apprécie</w:t>
      </w:r>
      <w:r>
        <w:rPr>
          <w:u w:val="none"/>
        </w:rPr>
        <w:t xml:space="preserve"> les efforts déployés par le Secrétariat pour aider à la coordination du réseau de centres de catégorie 2, en pleine expansion, et stimuler le potentiel des centres afin de contribuer de manière efficace à la mise en œuvre des objectifs stratégiques de l</w:t>
      </w:r>
      <w:r w:rsidR="003C2B6A">
        <w:rPr>
          <w:u w:val="none"/>
        </w:rPr>
        <w:t>’</w:t>
      </w:r>
      <w:r>
        <w:rPr>
          <w:u w:val="none"/>
        </w:rPr>
        <w:t xml:space="preserve">UNESCO dans le domaine du patrimoine culturel immatériel ; </w:t>
      </w:r>
    </w:p>
    <w:p w14:paraId="015CD3EA" w14:textId="77777777" w:rsidR="007C2199" w:rsidRDefault="007C2199" w:rsidP="003E5919">
      <w:pPr>
        <w:pStyle w:val="COMParaDecision"/>
        <w:ind w:left="1134" w:hanging="567"/>
        <w:rPr>
          <w:u w:val="none"/>
        </w:rPr>
      </w:pPr>
      <w:r>
        <w:t>Invite également</w:t>
      </w:r>
      <w:r>
        <w:rPr>
          <w:u w:val="none"/>
        </w:rPr>
        <w:t xml:space="preserve"> le Secrétariat à renforcer la portée et la visibilité de ses activités en consolidant les réseaux et les partenariats tels que la coopération avec les chaires de l</w:t>
      </w:r>
      <w:r w:rsidR="003C2B6A">
        <w:rPr>
          <w:u w:val="none"/>
        </w:rPr>
        <w:t>’</w:t>
      </w:r>
      <w:r>
        <w:rPr>
          <w:u w:val="none"/>
        </w:rPr>
        <w:t>UNESCO, les établissements d</w:t>
      </w:r>
      <w:r w:rsidR="003C2B6A">
        <w:rPr>
          <w:u w:val="none"/>
        </w:rPr>
        <w:t>’</w:t>
      </w:r>
      <w:r>
        <w:rPr>
          <w:u w:val="none"/>
        </w:rPr>
        <w:t>enseignement et la société civile, entre autres.</w:t>
      </w:r>
    </w:p>
    <w:p w14:paraId="613A6FAE" w14:textId="77777777" w:rsidR="007C2199" w:rsidRPr="00DB42F4" w:rsidRDefault="007C2199" w:rsidP="00C4744B">
      <w:pPr>
        <w:pStyle w:val="COMParaDecision"/>
        <w:numPr>
          <w:ilvl w:val="0"/>
          <w:numId w:val="0"/>
        </w:numPr>
        <w:ind w:left="1134"/>
        <w:rPr>
          <w:u w:val="none"/>
        </w:rPr>
      </w:pPr>
    </w:p>
    <w:p w14:paraId="19DB3E7B" w14:textId="77777777" w:rsidR="007C2199" w:rsidRDefault="007C2199" w:rsidP="003E5919">
      <w:pPr>
        <w:pStyle w:val="COMParaDecision"/>
        <w:numPr>
          <w:ilvl w:val="0"/>
          <w:numId w:val="0"/>
        </w:numPr>
        <w:rPr>
          <w:highlight w:val="yellow"/>
          <w:u w:val="none"/>
        </w:rPr>
        <w:sectPr w:rsidR="007C2199" w:rsidSect="00655736">
          <w:headerReference w:type="even" r:id="rId28"/>
          <w:headerReference w:type="default" r:id="rId29"/>
          <w:headerReference w:type="first" r:id="rId30"/>
          <w:pgSz w:w="11906" w:h="16838" w:code="9"/>
          <w:pgMar w:top="1418" w:right="1134" w:bottom="1134" w:left="1134" w:header="397" w:footer="284" w:gutter="0"/>
          <w:cols w:space="708"/>
          <w:titlePg/>
          <w:docGrid w:linePitch="360"/>
        </w:sectPr>
      </w:pPr>
    </w:p>
    <w:tbl>
      <w:tblPr>
        <w:tblpPr w:leftFromText="141" w:rightFromText="141" w:vertAnchor="page" w:horzAnchor="margin" w:tblpY="1141"/>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0"/>
        <w:gridCol w:w="1986"/>
        <w:gridCol w:w="7682"/>
      </w:tblGrid>
      <w:tr w:rsidR="007C2199" w:rsidRPr="00CC11E8" w14:paraId="2B0958DE" w14:textId="77777777" w:rsidTr="00FA5645">
        <w:trPr>
          <w:cantSplit/>
        </w:trPr>
        <w:tc>
          <w:tcPr>
            <w:tcW w:w="14358" w:type="dxa"/>
            <w:gridSpan w:val="3"/>
            <w:tcBorders>
              <w:top w:val="nil"/>
              <w:left w:val="nil"/>
              <w:right w:val="nil"/>
            </w:tcBorders>
            <w:noWrap/>
            <w:tcMar>
              <w:top w:w="40" w:type="dxa"/>
              <w:left w:w="40" w:type="dxa"/>
              <w:bottom w:w="40" w:type="dxa"/>
              <w:right w:w="40" w:type="dxa"/>
            </w:tcMar>
          </w:tcPr>
          <w:p w14:paraId="0AF8B294" w14:textId="77777777" w:rsidR="007C2199" w:rsidRPr="0033405D" w:rsidRDefault="007C2199" w:rsidP="00FA5645">
            <w:pPr>
              <w:tabs>
                <w:tab w:val="left" w:pos="2640"/>
                <w:tab w:val="left" w:pos="14034"/>
              </w:tabs>
              <w:spacing w:before="120" w:after="120"/>
              <w:ind w:left="113" w:right="113"/>
              <w:jc w:val="both"/>
              <w:rPr>
                <w:rFonts w:ascii="Arial" w:hAnsi="Arial" w:cs="Arial"/>
                <w:b/>
              </w:rPr>
            </w:pPr>
            <w:r>
              <w:rPr>
                <w:rFonts w:ascii="Arial" w:hAnsi="Arial"/>
                <w:b/>
                <w:sz w:val="22"/>
              </w:rPr>
              <w:lastRenderedPageBreak/>
              <w:t>ANNEXE I</w:t>
            </w:r>
          </w:p>
          <w:p w14:paraId="01E78C98" w14:textId="77777777" w:rsidR="007C2199" w:rsidRPr="0033405D" w:rsidRDefault="007C2199" w:rsidP="00FA5645">
            <w:pPr>
              <w:tabs>
                <w:tab w:val="left" w:pos="2640"/>
                <w:tab w:val="left" w:pos="14034"/>
              </w:tabs>
              <w:spacing w:before="120" w:after="120"/>
              <w:ind w:left="113" w:right="113"/>
              <w:jc w:val="both"/>
              <w:rPr>
                <w:rFonts w:ascii="Arial" w:hAnsi="Arial" w:cs="Arial"/>
                <w:b/>
              </w:rPr>
            </w:pPr>
            <w:r>
              <w:rPr>
                <w:rFonts w:ascii="Arial" w:hAnsi="Arial"/>
                <w:b/>
                <w:sz w:val="22"/>
              </w:rPr>
              <w:t>Rapport d</w:t>
            </w:r>
            <w:r w:rsidR="003C2B6A">
              <w:rPr>
                <w:rFonts w:ascii="Arial" w:hAnsi="Arial"/>
                <w:b/>
                <w:sz w:val="22"/>
              </w:rPr>
              <w:t>’</w:t>
            </w:r>
            <w:r>
              <w:rPr>
                <w:rFonts w:ascii="Arial" w:hAnsi="Arial"/>
                <w:b/>
                <w:sz w:val="22"/>
              </w:rPr>
              <w:t>avancement sur les vingt-quatre recommandations de l</w:t>
            </w:r>
            <w:r w:rsidR="003C2B6A">
              <w:rPr>
                <w:rFonts w:ascii="Arial" w:hAnsi="Arial"/>
                <w:b/>
                <w:sz w:val="22"/>
              </w:rPr>
              <w:t>’</w:t>
            </w:r>
            <w:r>
              <w:rPr>
                <w:rFonts w:ascii="Arial" w:hAnsi="Arial"/>
                <w:b/>
                <w:sz w:val="22"/>
              </w:rPr>
              <w:t>évaluation du travail normatif de l</w:t>
            </w:r>
            <w:r w:rsidR="003C2B6A">
              <w:rPr>
                <w:rFonts w:ascii="Arial" w:hAnsi="Arial"/>
                <w:b/>
                <w:sz w:val="22"/>
              </w:rPr>
              <w:t>’</w:t>
            </w:r>
            <w:r>
              <w:rPr>
                <w:rFonts w:ascii="Arial" w:hAnsi="Arial"/>
                <w:b/>
                <w:sz w:val="22"/>
              </w:rPr>
              <w:t>UNESCO du Secteur de la culture concernant la Convention pour la sauvegarde du patrimoine culturel immatériel (jusqu</w:t>
            </w:r>
            <w:r w:rsidR="003C2B6A">
              <w:rPr>
                <w:rFonts w:ascii="Arial" w:hAnsi="Arial"/>
                <w:b/>
                <w:sz w:val="22"/>
              </w:rPr>
              <w:t>’</w:t>
            </w:r>
            <w:r>
              <w:rPr>
                <w:rFonts w:ascii="Arial" w:hAnsi="Arial"/>
                <w:b/>
                <w:sz w:val="22"/>
              </w:rPr>
              <w:t>en juin 2016)</w:t>
            </w:r>
          </w:p>
        </w:tc>
      </w:tr>
      <w:tr w:rsidR="007C2199" w:rsidRPr="00CC11E8" w14:paraId="2BF31E77" w14:textId="77777777" w:rsidTr="00FA5645">
        <w:trPr>
          <w:cantSplit/>
        </w:trPr>
        <w:tc>
          <w:tcPr>
            <w:tcW w:w="14358" w:type="dxa"/>
            <w:gridSpan w:val="3"/>
            <w:shd w:val="clear" w:color="auto" w:fill="E6E6E6"/>
            <w:noWrap/>
            <w:tcMar>
              <w:top w:w="40" w:type="dxa"/>
              <w:left w:w="40" w:type="dxa"/>
              <w:bottom w:w="40" w:type="dxa"/>
              <w:right w:w="40" w:type="dxa"/>
            </w:tcMar>
          </w:tcPr>
          <w:p w14:paraId="20A31897" w14:textId="77777777" w:rsidR="007C2199" w:rsidRPr="0033405D" w:rsidRDefault="007C2199" w:rsidP="00FA5645">
            <w:pPr>
              <w:tabs>
                <w:tab w:val="left" w:pos="2640"/>
                <w:tab w:val="left" w:pos="14034"/>
              </w:tabs>
              <w:spacing w:before="120" w:after="120"/>
              <w:ind w:left="113" w:right="113"/>
              <w:jc w:val="both"/>
              <w:rPr>
                <w:rFonts w:ascii="Arial" w:hAnsi="Arial" w:cs="Arial"/>
                <w:b/>
              </w:rPr>
            </w:pPr>
            <w:r>
              <w:rPr>
                <w:rFonts w:ascii="Arial" w:hAnsi="Arial"/>
                <w:b/>
                <w:sz w:val="22"/>
              </w:rPr>
              <w:t>Recommandation 1 : Réviser tous les documents et formulaires concernés (y compris les Directives opérationnelles, les formats de rapports périodiques et les dossiers de candidature) afin d</w:t>
            </w:r>
            <w:r w:rsidR="003C2B6A">
              <w:rPr>
                <w:rFonts w:ascii="Arial" w:hAnsi="Arial"/>
                <w:b/>
                <w:sz w:val="22"/>
              </w:rPr>
              <w:t>’</w:t>
            </w:r>
            <w:r>
              <w:rPr>
                <w:rFonts w:ascii="Arial" w:hAnsi="Arial"/>
                <w:b/>
                <w:sz w:val="22"/>
              </w:rPr>
              <w:t>y inclure des conseils et des questions spécifiques au genre.</w:t>
            </w:r>
          </w:p>
        </w:tc>
      </w:tr>
      <w:tr w:rsidR="007C2199" w:rsidRPr="00CC11E8" w14:paraId="62BF1627" w14:textId="77777777" w:rsidTr="00FA5645">
        <w:trPr>
          <w:cantSplit/>
        </w:trPr>
        <w:tc>
          <w:tcPr>
            <w:tcW w:w="14358" w:type="dxa"/>
            <w:gridSpan w:val="3"/>
            <w:shd w:val="clear" w:color="auto" w:fill="FFFFFF"/>
            <w:noWrap/>
            <w:tcMar>
              <w:top w:w="40" w:type="dxa"/>
              <w:left w:w="40" w:type="dxa"/>
              <w:bottom w:w="40" w:type="dxa"/>
              <w:right w:w="40" w:type="dxa"/>
            </w:tcMar>
          </w:tcPr>
          <w:p w14:paraId="28E48B41" w14:textId="77777777" w:rsidR="007C2199" w:rsidRPr="00427622" w:rsidRDefault="007C2199" w:rsidP="00FA5645">
            <w:pPr>
              <w:tabs>
                <w:tab w:val="left" w:pos="2640"/>
                <w:tab w:val="left" w:pos="14034"/>
              </w:tabs>
              <w:spacing w:before="120" w:after="120"/>
              <w:ind w:left="113" w:right="113"/>
              <w:jc w:val="both"/>
              <w:rPr>
                <w:rFonts w:ascii="Arial" w:hAnsi="Arial" w:cs="Arial"/>
                <w:b/>
              </w:rPr>
            </w:pPr>
            <w:r>
              <w:rPr>
                <w:rFonts w:ascii="Arial" w:hAnsi="Arial"/>
                <w:b/>
                <w:sz w:val="22"/>
              </w:rPr>
              <w:t xml:space="preserve">Réponse de la direction : </w:t>
            </w:r>
            <w:r>
              <w:rPr>
                <w:rFonts w:ascii="Arial" w:hAnsi="Arial"/>
                <w:sz w:val="22"/>
              </w:rPr>
              <w:t>Les formulaires de candidature et des rapports ont été modifiés en conséquence, et un nouveau paragraphe à inclure dans les Directives opérationnelles a été validé lors de la dixième session du Comité en décembre 2015 et approuvé à la sixième Assemblée générale en juin 2016.</w:t>
            </w:r>
          </w:p>
        </w:tc>
      </w:tr>
      <w:tr w:rsidR="007C2199" w:rsidRPr="00427622" w14:paraId="6E5AF1EC" w14:textId="77777777" w:rsidTr="00FA5645">
        <w:trPr>
          <w:cantSplit/>
        </w:trPr>
        <w:tc>
          <w:tcPr>
            <w:tcW w:w="4690" w:type="dxa"/>
            <w:noWrap/>
            <w:tcMar>
              <w:top w:w="40" w:type="dxa"/>
              <w:left w:w="40" w:type="dxa"/>
              <w:bottom w:w="40" w:type="dxa"/>
              <w:right w:w="40" w:type="dxa"/>
            </w:tcMar>
          </w:tcPr>
          <w:p w14:paraId="57C1B254" w14:textId="77777777" w:rsidR="007C2199" w:rsidRPr="00427622" w:rsidRDefault="007C2199" w:rsidP="00FA5645">
            <w:pPr>
              <w:spacing w:before="120" w:after="120"/>
              <w:jc w:val="center"/>
              <w:rPr>
                <w:rFonts w:ascii="Arial" w:hAnsi="Arial" w:cs="Arial"/>
                <w:b/>
              </w:rPr>
            </w:pPr>
            <w:r>
              <w:rPr>
                <w:rFonts w:ascii="Arial" w:hAnsi="Arial"/>
                <w:b/>
                <w:sz w:val="22"/>
              </w:rPr>
              <w:t>Actions planifiées</w:t>
            </w:r>
          </w:p>
        </w:tc>
        <w:tc>
          <w:tcPr>
            <w:tcW w:w="1986" w:type="dxa"/>
            <w:noWrap/>
            <w:tcMar>
              <w:top w:w="40" w:type="dxa"/>
              <w:left w:w="40" w:type="dxa"/>
              <w:bottom w:w="40" w:type="dxa"/>
              <w:right w:w="40" w:type="dxa"/>
            </w:tcMar>
          </w:tcPr>
          <w:p w14:paraId="3CE32A64" w14:textId="77777777" w:rsidR="007C2199" w:rsidRPr="00427622" w:rsidRDefault="007C2199" w:rsidP="00FA5645">
            <w:pPr>
              <w:spacing w:before="120" w:after="120"/>
              <w:jc w:val="center"/>
              <w:rPr>
                <w:rFonts w:ascii="Arial" w:hAnsi="Arial" w:cs="Arial"/>
                <w:b/>
              </w:rPr>
            </w:pPr>
            <w:r>
              <w:rPr>
                <w:rFonts w:ascii="Arial" w:hAnsi="Arial"/>
                <w:b/>
                <w:sz w:val="22"/>
              </w:rPr>
              <w:t>Date prévue de mise en œuvre</w:t>
            </w:r>
          </w:p>
        </w:tc>
        <w:tc>
          <w:tcPr>
            <w:tcW w:w="7682" w:type="dxa"/>
            <w:noWrap/>
            <w:tcMar>
              <w:top w:w="40" w:type="dxa"/>
              <w:left w:w="40" w:type="dxa"/>
              <w:bottom w:w="40" w:type="dxa"/>
              <w:right w:w="40" w:type="dxa"/>
            </w:tcMar>
          </w:tcPr>
          <w:p w14:paraId="71DE0B0D" w14:textId="77777777" w:rsidR="007C2199" w:rsidRPr="00427622" w:rsidRDefault="007C2199" w:rsidP="00FA5645">
            <w:pPr>
              <w:spacing w:before="120" w:after="120"/>
              <w:jc w:val="center"/>
              <w:rPr>
                <w:rFonts w:ascii="Arial" w:hAnsi="Arial" w:cs="Arial"/>
                <w:b/>
              </w:rPr>
            </w:pPr>
            <w:r>
              <w:rPr>
                <w:rFonts w:ascii="Arial" w:hAnsi="Arial"/>
                <w:b/>
                <w:sz w:val="22"/>
              </w:rPr>
              <w:t>Statut</w:t>
            </w:r>
          </w:p>
        </w:tc>
      </w:tr>
      <w:tr w:rsidR="007C2199" w:rsidRPr="00CC11E8" w14:paraId="2D9CE648" w14:textId="77777777" w:rsidTr="00FA5645">
        <w:trPr>
          <w:cantSplit/>
        </w:trPr>
        <w:tc>
          <w:tcPr>
            <w:tcW w:w="4690" w:type="dxa"/>
            <w:noWrap/>
            <w:tcMar>
              <w:top w:w="40" w:type="dxa"/>
              <w:left w:w="40" w:type="dxa"/>
              <w:bottom w:w="40" w:type="dxa"/>
              <w:right w:w="40" w:type="dxa"/>
            </w:tcMar>
          </w:tcPr>
          <w:p w14:paraId="31FFE2D8" w14:textId="77777777" w:rsidR="007C2199" w:rsidRPr="00427622" w:rsidRDefault="007C2199" w:rsidP="00FA5645">
            <w:pPr>
              <w:spacing w:before="120" w:after="120"/>
              <w:ind w:left="113" w:right="57"/>
              <w:rPr>
                <w:rFonts w:ascii="Arial" w:hAnsi="Arial" w:cs="Arial"/>
              </w:rPr>
            </w:pPr>
            <w:r>
              <w:rPr>
                <w:rFonts w:ascii="Arial" w:hAnsi="Arial"/>
                <w:sz w:val="22"/>
              </w:rPr>
              <w:t>Réviser les formulaires de candidature ICH-01 (Liste de sauvegarde urgente) et ICH-02 (Liste représentative).</w:t>
            </w:r>
          </w:p>
        </w:tc>
        <w:tc>
          <w:tcPr>
            <w:tcW w:w="1986" w:type="dxa"/>
            <w:noWrap/>
            <w:tcMar>
              <w:top w:w="40" w:type="dxa"/>
              <w:left w:w="40" w:type="dxa"/>
              <w:bottom w:w="40" w:type="dxa"/>
              <w:right w:w="40" w:type="dxa"/>
            </w:tcMar>
          </w:tcPr>
          <w:p w14:paraId="40AE58E7" w14:textId="77777777" w:rsidR="007C2199" w:rsidRPr="00427622" w:rsidRDefault="007C2199" w:rsidP="00FA5645">
            <w:pPr>
              <w:spacing w:before="120" w:after="120"/>
              <w:ind w:left="57" w:right="57"/>
              <w:rPr>
                <w:rFonts w:ascii="Arial" w:hAnsi="Arial" w:cs="Arial"/>
              </w:rPr>
            </w:pPr>
            <w:r>
              <w:rPr>
                <w:rFonts w:ascii="Arial" w:hAnsi="Arial"/>
                <w:sz w:val="22"/>
              </w:rPr>
              <w:t>Octobre 2015</w:t>
            </w:r>
          </w:p>
        </w:tc>
        <w:tc>
          <w:tcPr>
            <w:tcW w:w="7682" w:type="dxa"/>
            <w:noWrap/>
            <w:tcMar>
              <w:top w:w="40" w:type="dxa"/>
              <w:left w:w="40" w:type="dxa"/>
              <w:bottom w:w="40" w:type="dxa"/>
              <w:right w:w="40" w:type="dxa"/>
            </w:tcMar>
          </w:tcPr>
          <w:p w14:paraId="7B9566FD" w14:textId="77777777" w:rsidR="007C2199" w:rsidRDefault="007C2199" w:rsidP="00B55402">
            <w:pPr>
              <w:pStyle w:val="ListParagraph"/>
              <w:numPr>
                <w:ilvl w:val="0"/>
                <w:numId w:val="11"/>
              </w:numPr>
              <w:spacing w:before="120" w:beforeAutospacing="0" w:after="120" w:afterAutospacing="0"/>
              <w:ind w:left="470" w:hanging="357"/>
              <w:contextualSpacing/>
              <w:rPr>
                <w:rFonts w:ascii="Arial" w:hAnsi="Arial" w:cs="Arial"/>
                <w:b/>
                <w:u w:val="single"/>
              </w:rPr>
            </w:pPr>
            <w:r>
              <w:rPr>
                <w:rFonts w:ascii="Arial" w:hAnsi="Arial"/>
                <w:sz w:val="22"/>
              </w:rPr>
              <w:t>Les conseils spécifiques au genre ont été intégrés en octobre 2015 dans les formulaires de candidature ICH</w:t>
            </w:r>
            <w:r>
              <w:noBreakHyphen/>
            </w:r>
            <w:r>
              <w:rPr>
                <w:rFonts w:ascii="Arial" w:hAnsi="Arial"/>
                <w:sz w:val="22"/>
              </w:rPr>
              <w:t>01 et ICH-02 ainsi que les formulaires ICH-03 (Registre des meilleures pratiques de sauvegarde) et ICH-04 (assistance internationale) pour le cycle 2017 (</w:t>
            </w:r>
            <w:r>
              <w:rPr>
                <w:rFonts w:ascii="Arial" w:hAnsi="Arial"/>
                <w:b/>
                <w:sz w:val="22"/>
              </w:rPr>
              <w:t>action terminée</w:t>
            </w:r>
            <w:r>
              <w:rPr>
                <w:rFonts w:ascii="Arial" w:hAnsi="Arial"/>
                <w:sz w:val="22"/>
              </w:rPr>
              <w:t>).</w:t>
            </w:r>
          </w:p>
        </w:tc>
      </w:tr>
      <w:tr w:rsidR="007C2199" w:rsidRPr="00CC11E8" w14:paraId="29329FC2" w14:textId="77777777" w:rsidTr="00FA5645">
        <w:trPr>
          <w:cantSplit/>
        </w:trPr>
        <w:tc>
          <w:tcPr>
            <w:tcW w:w="4690" w:type="dxa"/>
            <w:noWrap/>
            <w:tcMar>
              <w:top w:w="40" w:type="dxa"/>
              <w:left w:w="40" w:type="dxa"/>
              <w:bottom w:w="40" w:type="dxa"/>
              <w:right w:w="40" w:type="dxa"/>
            </w:tcMar>
          </w:tcPr>
          <w:p w14:paraId="773B210F" w14:textId="77777777" w:rsidR="007C2199" w:rsidRPr="00427622" w:rsidRDefault="007C2199" w:rsidP="00FA5645">
            <w:pPr>
              <w:spacing w:before="120" w:after="120"/>
              <w:ind w:left="113" w:right="57"/>
              <w:rPr>
                <w:rFonts w:ascii="Arial" w:hAnsi="Arial" w:cs="Arial"/>
              </w:rPr>
            </w:pPr>
            <w:r>
              <w:rPr>
                <w:rFonts w:ascii="Arial" w:hAnsi="Arial"/>
                <w:sz w:val="22"/>
              </w:rPr>
              <w:t>Réviser le formulaire ICH-10 sur le rapport périodique (rapports des États parties sur la m</w:t>
            </w:r>
            <w:r w:rsidR="001F3B6F">
              <w:rPr>
                <w:rFonts w:ascii="Arial" w:hAnsi="Arial"/>
                <w:sz w:val="22"/>
              </w:rPr>
              <w:t>ise en œuvre de la Convention).</w:t>
            </w:r>
          </w:p>
        </w:tc>
        <w:tc>
          <w:tcPr>
            <w:tcW w:w="1986" w:type="dxa"/>
            <w:noWrap/>
            <w:tcMar>
              <w:top w:w="40" w:type="dxa"/>
              <w:left w:w="40" w:type="dxa"/>
              <w:bottom w:w="40" w:type="dxa"/>
              <w:right w:w="40" w:type="dxa"/>
            </w:tcMar>
          </w:tcPr>
          <w:p w14:paraId="3270328A" w14:textId="77777777" w:rsidR="007C2199" w:rsidRPr="00427622" w:rsidRDefault="007C2199" w:rsidP="00FA5645">
            <w:pPr>
              <w:spacing w:before="120" w:after="120"/>
              <w:ind w:left="57" w:right="57"/>
              <w:rPr>
                <w:rFonts w:ascii="Arial" w:hAnsi="Arial" w:cs="Arial"/>
              </w:rPr>
            </w:pPr>
            <w:r>
              <w:rPr>
                <w:rFonts w:ascii="Arial" w:hAnsi="Arial"/>
                <w:sz w:val="22"/>
              </w:rPr>
              <w:t>Décembre 2014</w:t>
            </w:r>
          </w:p>
        </w:tc>
        <w:tc>
          <w:tcPr>
            <w:tcW w:w="7682" w:type="dxa"/>
            <w:noWrap/>
            <w:tcMar>
              <w:top w:w="40" w:type="dxa"/>
              <w:left w:w="40" w:type="dxa"/>
              <w:bottom w:w="40" w:type="dxa"/>
              <w:right w:w="40" w:type="dxa"/>
            </w:tcMar>
          </w:tcPr>
          <w:p w14:paraId="154F95CD" w14:textId="77777777" w:rsidR="007C2199" w:rsidRPr="00427622" w:rsidRDefault="007C2199" w:rsidP="00C10ECF">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Formulaires ICH-10 et ICH-11 (rapports sur l</w:t>
            </w:r>
            <w:r w:rsidR="003C2B6A">
              <w:rPr>
                <w:rFonts w:ascii="Arial" w:hAnsi="Arial"/>
                <w:sz w:val="22"/>
              </w:rPr>
              <w:t>’</w:t>
            </w:r>
            <w:r>
              <w:rPr>
                <w:rFonts w:ascii="Arial" w:hAnsi="Arial"/>
                <w:sz w:val="22"/>
              </w:rPr>
              <w:t xml:space="preserve">état des éléments inscrits sur la </w:t>
            </w:r>
            <w:r w:rsidR="00C10ECF">
              <w:rPr>
                <w:rFonts w:ascii="Arial" w:hAnsi="Arial"/>
                <w:sz w:val="22"/>
              </w:rPr>
              <w:t>LSU</w:t>
            </w:r>
            <w:r>
              <w:rPr>
                <w:rFonts w:ascii="Arial" w:hAnsi="Arial"/>
                <w:sz w:val="22"/>
              </w:rPr>
              <w:t>) révisés en décembre 2014 (</w:t>
            </w:r>
            <w:r>
              <w:rPr>
                <w:rFonts w:ascii="Arial" w:hAnsi="Arial"/>
                <w:b/>
                <w:sz w:val="22"/>
              </w:rPr>
              <w:t>action terminée</w:t>
            </w:r>
            <w:r>
              <w:rPr>
                <w:rFonts w:ascii="Arial" w:hAnsi="Arial"/>
                <w:sz w:val="22"/>
              </w:rPr>
              <w:t>).</w:t>
            </w:r>
          </w:p>
        </w:tc>
      </w:tr>
      <w:tr w:rsidR="007C2199" w:rsidRPr="00CC11E8" w14:paraId="1D187FA3" w14:textId="77777777" w:rsidTr="00FA5645">
        <w:trPr>
          <w:cantSplit/>
        </w:trPr>
        <w:tc>
          <w:tcPr>
            <w:tcW w:w="4690" w:type="dxa"/>
            <w:noWrap/>
            <w:tcMar>
              <w:top w:w="40" w:type="dxa"/>
              <w:left w:w="40" w:type="dxa"/>
              <w:bottom w:w="40" w:type="dxa"/>
              <w:right w:w="40" w:type="dxa"/>
            </w:tcMar>
          </w:tcPr>
          <w:p w14:paraId="1627977E" w14:textId="77777777" w:rsidR="007C2199" w:rsidRPr="00427622" w:rsidRDefault="007C2199" w:rsidP="00FA5645">
            <w:pPr>
              <w:spacing w:before="120" w:after="120"/>
              <w:ind w:left="113" w:right="57"/>
              <w:rPr>
                <w:rFonts w:ascii="Arial" w:hAnsi="Arial" w:cs="Arial"/>
              </w:rPr>
            </w:pPr>
            <w:r>
              <w:rPr>
                <w:rFonts w:ascii="Arial" w:hAnsi="Arial"/>
                <w:sz w:val="22"/>
              </w:rPr>
              <w:t>Inclure un paragraphe concernant le genre dans le projet de Directives opérationnelles sur le développement durable.</w:t>
            </w:r>
          </w:p>
        </w:tc>
        <w:tc>
          <w:tcPr>
            <w:tcW w:w="1986" w:type="dxa"/>
            <w:noWrap/>
            <w:tcMar>
              <w:top w:w="40" w:type="dxa"/>
              <w:left w:w="40" w:type="dxa"/>
              <w:bottom w:w="40" w:type="dxa"/>
              <w:right w:w="40" w:type="dxa"/>
            </w:tcMar>
          </w:tcPr>
          <w:p w14:paraId="07EB713A" w14:textId="77777777" w:rsidR="007C2199" w:rsidRPr="00427622" w:rsidRDefault="007C2199" w:rsidP="00FA5645">
            <w:pPr>
              <w:spacing w:before="120" w:after="120"/>
              <w:ind w:left="57" w:right="57"/>
              <w:rPr>
                <w:rFonts w:ascii="Arial" w:hAnsi="Arial" w:cs="Arial"/>
              </w:rPr>
            </w:pPr>
            <w:r>
              <w:rPr>
                <w:rFonts w:ascii="Arial" w:hAnsi="Arial"/>
                <w:sz w:val="22"/>
              </w:rPr>
              <w:t>Juin 2016</w:t>
            </w:r>
          </w:p>
        </w:tc>
        <w:tc>
          <w:tcPr>
            <w:tcW w:w="7682" w:type="dxa"/>
            <w:noWrap/>
            <w:tcMar>
              <w:top w:w="40" w:type="dxa"/>
              <w:left w:w="40" w:type="dxa"/>
              <w:bottom w:w="40" w:type="dxa"/>
              <w:right w:w="40" w:type="dxa"/>
            </w:tcMar>
          </w:tcPr>
          <w:p w14:paraId="6E63773D" w14:textId="77777777" w:rsidR="007C2199" w:rsidRPr="00427622" w:rsidRDefault="007C2199" w:rsidP="00BA3A07">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En 2015, la dixième session du Comité a approuvé l</w:t>
            </w:r>
            <w:r w:rsidR="003C2B6A">
              <w:rPr>
                <w:rFonts w:ascii="Arial" w:hAnsi="Arial"/>
                <w:sz w:val="22"/>
              </w:rPr>
              <w:t>’</w:t>
            </w:r>
            <w:r>
              <w:rPr>
                <w:rFonts w:ascii="Arial" w:hAnsi="Arial"/>
                <w:sz w:val="22"/>
              </w:rPr>
              <w:t>amendement des Directives opérationnelles visant à introduire « l</w:t>
            </w:r>
            <w:r w:rsidR="003C2B6A">
              <w:rPr>
                <w:rFonts w:ascii="Arial" w:hAnsi="Arial"/>
                <w:sz w:val="22"/>
              </w:rPr>
              <w:t>’</w:t>
            </w:r>
            <w:r>
              <w:rPr>
                <w:rFonts w:ascii="Arial" w:hAnsi="Arial"/>
                <w:sz w:val="22"/>
              </w:rPr>
              <w:t xml:space="preserve">égalité des genres » dans </w:t>
            </w:r>
            <w:r w:rsidR="00956770">
              <w:rPr>
                <w:rFonts w:ascii="Arial" w:hAnsi="Arial"/>
                <w:sz w:val="22"/>
              </w:rPr>
              <w:t xml:space="preserve">le chapitre </w:t>
            </w:r>
            <w:r>
              <w:rPr>
                <w:rFonts w:ascii="Arial" w:hAnsi="Arial"/>
                <w:sz w:val="22"/>
              </w:rPr>
              <w:t>VI concernant la « Sauvegarde du patrimoine culturel immatériel et le développement durable à l</w:t>
            </w:r>
            <w:r w:rsidR="003C2B6A">
              <w:rPr>
                <w:rFonts w:ascii="Arial" w:hAnsi="Arial"/>
                <w:sz w:val="22"/>
              </w:rPr>
              <w:t>’</w:t>
            </w:r>
            <w:r>
              <w:rPr>
                <w:rFonts w:ascii="Arial" w:hAnsi="Arial"/>
                <w:sz w:val="22"/>
              </w:rPr>
              <w:t>échelle nationale » (</w:t>
            </w:r>
            <w:hyperlink r:id="rId31">
              <w:r>
                <w:rPr>
                  <w:rStyle w:val="Hyperlink"/>
                  <w:rFonts w:ascii="Arial" w:hAnsi="Arial"/>
                  <w:sz w:val="22"/>
                </w:rPr>
                <w:t>décision 10.COM 14.a</w:t>
              </w:r>
            </w:hyperlink>
            <w:r>
              <w:rPr>
                <w:rFonts w:ascii="Arial" w:hAnsi="Arial"/>
                <w:sz w:val="22"/>
              </w:rPr>
              <w:t>).</w:t>
            </w:r>
          </w:p>
          <w:p w14:paraId="78E24FB3" w14:textId="77777777" w:rsidR="007C2199" w:rsidRPr="00427622" w:rsidRDefault="007C2199" w:rsidP="005953C7">
            <w:pPr>
              <w:pStyle w:val="ListParagraph"/>
              <w:numPr>
                <w:ilvl w:val="0"/>
                <w:numId w:val="11"/>
              </w:numPr>
              <w:spacing w:before="120" w:beforeAutospacing="0" w:after="120" w:afterAutospacing="0"/>
              <w:ind w:left="470" w:hanging="357"/>
              <w:contextualSpacing/>
              <w:rPr>
                <w:rFonts w:ascii="Arial" w:hAnsi="Arial" w:cs="Arial"/>
                <w:b/>
                <w:u w:val="single"/>
              </w:rPr>
            </w:pPr>
            <w:r>
              <w:rPr>
                <w:rFonts w:ascii="Arial" w:hAnsi="Arial"/>
                <w:sz w:val="22"/>
              </w:rPr>
              <w:t>En 2016, la sixième Assemblée générale a adopté l</w:t>
            </w:r>
            <w:r w:rsidR="003C2B6A">
              <w:rPr>
                <w:rFonts w:ascii="Arial" w:hAnsi="Arial"/>
                <w:sz w:val="22"/>
              </w:rPr>
              <w:t>’</w:t>
            </w:r>
            <w:r>
              <w:rPr>
                <w:rFonts w:ascii="Arial" w:hAnsi="Arial"/>
                <w:sz w:val="22"/>
              </w:rPr>
              <w:t>article 181 l</w:t>
            </w:r>
            <w:r w:rsidR="00956770">
              <w:rPr>
                <w:rFonts w:ascii="Arial" w:hAnsi="Arial"/>
                <w:sz w:val="22"/>
              </w:rPr>
              <w:t xml:space="preserve">e chapitre </w:t>
            </w:r>
            <w:r>
              <w:rPr>
                <w:rFonts w:ascii="Arial" w:hAnsi="Arial"/>
                <w:sz w:val="22"/>
              </w:rPr>
              <w:t>VI des Directives opérationnelles concernant l</w:t>
            </w:r>
            <w:r w:rsidR="003C2B6A">
              <w:rPr>
                <w:rFonts w:ascii="Arial" w:hAnsi="Arial"/>
                <w:sz w:val="22"/>
              </w:rPr>
              <w:t>’</w:t>
            </w:r>
            <w:r>
              <w:rPr>
                <w:rFonts w:ascii="Arial" w:hAnsi="Arial"/>
                <w:sz w:val="22"/>
              </w:rPr>
              <w:t>égalité des genres (</w:t>
            </w:r>
            <w:hyperlink r:id="rId32">
              <w:r>
                <w:rPr>
                  <w:rStyle w:val="Hyperlink"/>
                  <w:rFonts w:ascii="Arial" w:hAnsi="Arial"/>
                  <w:sz w:val="22"/>
                </w:rPr>
                <w:t>résolution 6.GA 7</w:t>
              </w:r>
            </w:hyperlink>
            <w:r>
              <w:rPr>
                <w:rFonts w:ascii="Arial" w:hAnsi="Arial"/>
                <w:sz w:val="22"/>
              </w:rPr>
              <w:t>) (</w:t>
            </w:r>
            <w:r>
              <w:rPr>
                <w:rFonts w:ascii="Arial" w:hAnsi="Arial"/>
                <w:b/>
                <w:sz w:val="22"/>
              </w:rPr>
              <w:t>action terminée</w:t>
            </w:r>
            <w:r>
              <w:rPr>
                <w:rFonts w:ascii="Arial" w:hAnsi="Arial"/>
                <w:sz w:val="22"/>
              </w:rPr>
              <w:t>).</w:t>
            </w:r>
          </w:p>
        </w:tc>
      </w:tr>
    </w:tbl>
    <w:p w14:paraId="4FE5628F" w14:textId="77777777" w:rsidR="007C2199" w:rsidRPr="0033405D" w:rsidRDefault="007C2199" w:rsidP="00FA5645">
      <w:r>
        <w:br w:type="page"/>
      </w:r>
    </w:p>
    <w:tbl>
      <w:tblP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0"/>
        <w:gridCol w:w="27"/>
        <w:gridCol w:w="1959"/>
        <w:gridCol w:w="27"/>
        <w:gridCol w:w="7655"/>
      </w:tblGrid>
      <w:tr w:rsidR="00105BFD" w:rsidRPr="00CC11E8" w14:paraId="0EE1CBB2" w14:textId="77777777" w:rsidTr="00105BFD">
        <w:tc>
          <w:tcPr>
            <w:tcW w:w="14358" w:type="dxa"/>
            <w:gridSpan w:val="5"/>
            <w:shd w:val="clear" w:color="auto" w:fill="E6E6E6"/>
            <w:noWrap/>
            <w:tcMar>
              <w:top w:w="40" w:type="dxa"/>
              <w:left w:w="40" w:type="dxa"/>
              <w:bottom w:w="40" w:type="dxa"/>
              <w:right w:w="40" w:type="dxa"/>
            </w:tcMar>
          </w:tcPr>
          <w:p w14:paraId="03271F20" w14:textId="77777777" w:rsidR="00105BFD" w:rsidRPr="00427622" w:rsidRDefault="00105BFD" w:rsidP="00105BFD">
            <w:pPr>
              <w:keepNext/>
              <w:tabs>
                <w:tab w:val="left" w:pos="2640"/>
                <w:tab w:val="left" w:pos="14034"/>
              </w:tabs>
              <w:spacing w:before="120" w:after="120"/>
              <w:ind w:left="113" w:right="113"/>
              <w:jc w:val="both"/>
              <w:rPr>
                <w:rFonts w:ascii="Arial" w:hAnsi="Arial" w:cs="Arial"/>
                <w:b/>
              </w:rPr>
            </w:pPr>
            <w:r>
              <w:rPr>
                <w:rFonts w:ascii="Arial" w:hAnsi="Arial"/>
                <w:b/>
                <w:sz w:val="22"/>
              </w:rPr>
              <w:lastRenderedPageBreak/>
              <w:t>Recommandation 2 : Promouvoir une plus grande implication des ONG et des communautés dans le développement de politiques, de législations et de plans de sauvegarde et de développement durable.</w:t>
            </w:r>
          </w:p>
        </w:tc>
      </w:tr>
      <w:tr w:rsidR="00105BFD" w:rsidRPr="00CC11E8" w14:paraId="27FE2E4C" w14:textId="77777777" w:rsidTr="00105BFD">
        <w:tc>
          <w:tcPr>
            <w:tcW w:w="14358" w:type="dxa"/>
            <w:gridSpan w:val="5"/>
            <w:noWrap/>
            <w:tcMar>
              <w:top w:w="40" w:type="dxa"/>
              <w:left w:w="40" w:type="dxa"/>
              <w:bottom w:w="40" w:type="dxa"/>
              <w:right w:w="40" w:type="dxa"/>
            </w:tcMar>
          </w:tcPr>
          <w:p w14:paraId="07502092" w14:textId="77777777" w:rsidR="00105BFD" w:rsidRPr="00427622" w:rsidRDefault="00105BFD" w:rsidP="00105BFD">
            <w:pPr>
              <w:keepNext/>
              <w:spacing w:before="120" w:after="120"/>
              <w:ind w:left="113" w:right="113"/>
              <w:jc w:val="both"/>
              <w:rPr>
                <w:rFonts w:ascii="Arial" w:hAnsi="Arial" w:cs="Arial"/>
              </w:rPr>
            </w:pPr>
            <w:r>
              <w:rPr>
                <w:rFonts w:ascii="Arial" w:hAnsi="Arial"/>
                <w:b/>
                <w:sz w:val="22"/>
              </w:rPr>
              <w:t>Réponse de la direction </w:t>
            </w:r>
            <w:r>
              <w:rPr>
                <w:rFonts w:ascii="Arial" w:hAnsi="Arial"/>
                <w:sz w:val="22"/>
              </w:rPr>
              <w:t>: Cette recommandation est tout à fait conforme à la Convention et aux Directives opérationnelles. Bien que la mise en œuvre de cette recommandation soit sous la responsabilité directe des États parties, le Secrétariat utilise toutes les occasions, et notamment dans le programme de renforcement des capacités et les supports, pour rappeler l’importance d’une telle implication aux États. De plus, la sixième Assemblée générale a adopté des amendements aux Directives opérationnelles pour encourager les États parties à compléter, lors de la préparation de leur rapport périodique, les données collectées sur la mise en œuvre de la Convention avec des informations fournies par les organisations non gouvernementales pertinentes.</w:t>
            </w:r>
          </w:p>
        </w:tc>
      </w:tr>
      <w:tr w:rsidR="00105BFD" w:rsidRPr="00427622" w14:paraId="1A5876EA" w14:textId="77777777" w:rsidTr="00105BFD">
        <w:tc>
          <w:tcPr>
            <w:tcW w:w="4690" w:type="dxa"/>
            <w:noWrap/>
            <w:tcMar>
              <w:top w:w="40" w:type="dxa"/>
              <w:left w:w="40" w:type="dxa"/>
              <w:bottom w:w="40" w:type="dxa"/>
              <w:right w:w="40" w:type="dxa"/>
            </w:tcMar>
          </w:tcPr>
          <w:p w14:paraId="5D42E85C" w14:textId="77777777" w:rsidR="00105BFD" w:rsidRPr="00427622" w:rsidRDefault="00105BFD" w:rsidP="00105BFD">
            <w:pPr>
              <w:keepNext/>
              <w:spacing w:before="12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6AD8E796" w14:textId="77777777" w:rsidR="00105BFD" w:rsidRPr="00427622" w:rsidRDefault="00105BFD" w:rsidP="00105BFD">
            <w:pPr>
              <w:keepNext/>
              <w:spacing w:before="120" w:after="120"/>
              <w:jc w:val="center"/>
              <w:rPr>
                <w:rFonts w:ascii="Arial" w:hAnsi="Arial" w:cs="Arial"/>
                <w:b/>
              </w:rPr>
            </w:pPr>
            <w:r>
              <w:rPr>
                <w:rFonts w:ascii="Arial" w:hAnsi="Arial"/>
                <w:b/>
                <w:sz w:val="22"/>
              </w:rPr>
              <w:t>Date prévue de mise en œuvre</w:t>
            </w:r>
          </w:p>
        </w:tc>
        <w:tc>
          <w:tcPr>
            <w:tcW w:w="7682" w:type="dxa"/>
            <w:gridSpan w:val="2"/>
            <w:noWrap/>
            <w:tcMar>
              <w:top w:w="40" w:type="dxa"/>
              <w:left w:w="40" w:type="dxa"/>
              <w:bottom w:w="40" w:type="dxa"/>
              <w:right w:w="40" w:type="dxa"/>
            </w:tcMar>
          </w:tcPr>
          <w:p w14:paraId="1E39615A" w14:textId="77777777" w:rsidR="00105BFD" w:rsidRPr="00427622" w:rsidRDefault="00105BFD" w:rsidP="00105BFD">
            <w:pPr>
              <w:keepNext/>
              <w:spacing w:before="120"/>
              <w:jc w:val="center"/>
              <w:rPr>
                <w:rFonts w:ascii="Arial" w:hAnsi="Arial" w:cs="Arial"/>
                <w:b/>
              </w:rPr>
            </w:pPr>
            <w:r>
              <w:rPr>
                <w:rFonts w:ascii="Arial" w:hAnsi="Arial"/>
                <w:b/>
                <w:sz w:val="22"/>
              </w:rPr>
              <w:t>Statut</w:t>
            </w:r>
          </w:p>
        </w:tc>
      </w:tr>
      <w:tr w:rsidR="00105BFD" w:rsidRPr="00CC11E8" w14:paraId="5F8F059F" w14:textId="77777777" w:rsidTr="00105BFD">
        <w:tc>
          <w:tcPr>
            <w:tcW w:w="4690" w:type="dxa"/>
            <w:noWrap/>
            <w:tcMar>
              <w:top w:w="40" w:type="dxa"/>
              <w:left w:w="40" w:type="dxa"/>
              <w:bottom w:w="40" w:type="dxa"/>
              <w:right w:w="40" w:type="dxa"/>
            </w:tcMar>
          </w:tcPr>
          <w:p w14:paraId="4ED6B1D8" w14:textId="77777777" w:rsidR="00105BFD" w:rsidRPr="000D6F3C" w:rsidRDefault="00105BFD" w:rsidP="00105BFD">
            <w:pPr>
              <w:pStyle w:val="Default"/>
              <w:keepNext/>
              <w:spacing w:before="120"/>
              <w:ind w:left="113" w:right="57"/>
              <w:rPr>
                <w:rFonts w:cs="Arial"/>
                <w:sz w:val="22"/>
                <w:szCs w:val="22"/>
              </w:rPr>
            </w:pPr>
            <w:r w:rsidRPr="000D6F3C">
              <w:rPr>
                <w:rFonts w:cs="Arial"/>
                <w:sz w:val="22"/>
              </w:rPr>
              <w:t>Intégrer et/ou renforcer ces aspects dans les supports de renforcement des capacités et les ateliers de formation des formateurs.</w:t>
            </w:r>
          </w:p>
        </w:tc>
        <w:tc>
          <w:tcPr>
            <w:tcW w:w="1986" w:type="dxa"/>
            <w:gridSpan w:val="2"/>
            <w:noWrap/>
            <w:tcMar>
              <w:top w:w="40" w:type="dxa"/>
              <w:left w:w="40" w:type="dxa"/>
              <w:bottom w:w="40" w:type="dxa"/>
              <w:right w:w="40" w:type="dxa"/>
            </w:tcMar>
          </w:tcPr>
          <w:p w14:paraId="1D718636" w14:textId="77777777" w:rsidR="00105BFD" w:rsidRPr="00427622" w:rsidRDefault="00105BFD" w:rsidP="00105BFD">
            <w:pPr>
              <w:keepNext/>
              <w:spacing w:before="120" w:after="120"/>
              <w:ind w:left="57"/>
              <w:rPr>
                <w:rFonts w:ascii="Arial" w:hAnsi="Arial" w:cs="Arial"/>
              </w:rPr>
            </w:pPr>
            <w:r>
              <w:rPr>
                <w:rFonts w:ascii="Arial" w:hAnsi="Arial"/>
                <w:sz w:val="22"/>
              </w:rPr>
              <w:t>Février 2016</w:t>
            </w:r>
          </w:p>
        </w:tc>
        <w:tc>
          <w:tcPr>
            <w:tcW w:w="7682" w:type="dxa"/>
            <w:gridSpan w:val="2"/>
            <w:noWrap/>
            <w:tcMar>
              <w:top w:w="40" w:type="dxa"/>
              <w:left w:w="40" w:type="dxa"/>
              <w:bottom w:w="40" w:type="dxa"/>
              <w:right w:w="40" w:type="dxa"/>
            </w:tcMar>
          </w:tcPr>
          <w:p w14:paraId="273677D2" w14:textId="77777777" w:rsidR="00105BFD" w:rsidRPr="00427622" w:rsidRDefault="00105BFD" w:rsidP="00105BFD">
            <w:pPr>
              <w:pStyle w:val="ListParagraph"/>
              <w:keepNext/>
              <w:numPr>
                <w:ilvl w:val="0"/>
                <w:numId w:val="11"/>
              </w:numPr>
              <w:spacing w:before="120" w:beforeAutospacing="0" w:after="120" w:afterAutospacing="0"/>
              <w:ind w:left="470" w:hanging="357"/>
              <w:contextualSpacing/>
              <w:rPr>
                <w:rFonts w:ascii="Arial" w:hAnsi="Arial" w:cs="Arial"/>
              </w:rPr>
            </w:pPr>
            <w:r>
              <w:rPr>
                <w:rFonts w:ascii="Arial" w:hAnsi="Arial"/>
                <w:sz w:val="22"/>
              </w:rPr>
              <w:t>Le rôle des organisations non gouvernementales et l’implication des communautés faisaient partie de la formation des experts-facilitateurs pour l’Asie-Pacifique (janvier 2015) et l’Afrique (septembre 2015).</w:t>
            </w:r>
          </w:p>
          <w:p w14:paraId="6F9F8196" w14:textId="77777777" w:rsidR="00105BFD" w:rsidRPr="00427622" w:rsidRDefault="00105BFD" w:rsidP="00105BFD">
            <w:pPr>
              <w:pStyle w:val="ListParagraph"/>
              <w:keepNext/>
              <w:numPr>
                <w:ilvl w:val="0"/>
                <w:numId w:val="11"/>
              </w:numPr>
              <w:spacing w:before="120" w:beforeAutospacing="0" w:after="120" w:afterAutospacing="0"/>
              <w:ind w:left="470" w:hanging="357"/>
              <w:contextualSpacing/>
              <w:rPr>
                <w:rFonts w:ascii="Arial" w:hAnsi="Arial" w:cs="Arial"/>
              </w:rPr>
            </w:pPr>
            <w:r>
              <w:rPr>
                <w:rFonts w:ascii="Arial" w:hAnsi="Arial"/>
                <w:sz w:val="22"/>
              </w:rPr>
              <w:t>Une note d’orientation de l’UNESCO concernant la fourniture de services consultatifs pour l’élaboration de politiques dans le domaine du patrimoine culturel immatériel, disponible depuis juin 2015, souligne le rôle des ONG et l’implication des communautés.</w:t>
            </w:r>
          </w:p>
          <w:p w14:paraId="553B5093" w14:textId="77777777" w:rsidR="00105BFD" w:rsidRPr="00427622" w:rsidRDefault="00105BFD" w:rsidP="00105BFD">
            <w:pPr>
              <w:pStyle w:val="ListParagraph"/>
              <w:keepNext/>
              <w:numPr>
                <w:ilvl w:val="0"/>
                <w:numId w:val="11"/>
              </w:numPr>
              <w:spacing w:before="120" w:beforeAutospacing="0" w:after="120" w:afterAutospacing="0"/>
              <w:ind w:left="470" w:hanging="357"/>
              <w:contextualSpacing/>
              <w:rPr>
                <w:rFonts w:ascii="Arial" w:hAnsi="Arial" w:cs="Arial"/>
                <w:b/>
                <w:u w:val="single"/>
              </w:rPr>
            </w:pPr>
            <w:r>
              <w:rPr>
                <w:rFonts w:ascii="Arial" w:hAnsi="Arial"/>
                <w:sz w:val="22"/>
              </w:rPr>
              <w:t>Un support de formation indépendant sur l’élaboration des politiques et de la législation est disponible en anglais, en français et en espagnol depuis la mi-2016, intégrant l’importance des ONG et l’implication des communautés (</w:t>
            </w:r>
            <w:r>
              <w:rPr>
                <w:rFonts w:ascii="Arial" w:hAnsi="Arial"/>
                <w:b/>
                <w:sz w:val="22"/>
              </w:rPr>
              <w:t>action terminée</w:t>
            </w:r>
            <w:r>
              <w:rPr>
                <w:rFonts w:ascii="Arial" w:hAnsi="Arial"/>
                <w:sz w:val="22"/>
              </w:rPr>
              <w:t>).</w:t>
            </w:r>
          </w:p>
        </w:tc>
      </w:tr>
      <w:tr w:rsidR="00105BFD" w:rsidRPr="00CC11E8" w14:paraId="48BC08AE" w14:textId="77777777" w:rsidTr="00105BFD">
        <w:tc>
          <w:tcPr>
            <w:tcW w:w="4690" w:type="dxa"/>
            <w:noWrap/>
            <w:tcMar>
              <w:top w:w="40" w:type="dxa"/>
              <w:left w:w="40" w:type="dxa"/>
              <w:bottom w:w="40" w:type="dxa"/>
              <w:right w:w="40" w:type="dxa"/>
            </w:tcMar>
          </w:tcPr>
          <w:p w14:paraId="0CD78606" w14:textId="77777777" w:rsidR="00105BFD" w:rsidRPr="000D6F3C" w:rsidRDefault="00105BFD" w:rsidP="00105BFD">
            <w:pPr>
              <w:pStyle w:val="Default"/>
              <w:spacing w:before="120" w:after="120"/>
              <w:ind w:left="113" w:right="57"/>
              <w:rPr>
                <w:rFonts w:cs="Arial"/>
                <w:sz w:val="22"/>
                <w:szCs w:val="22"/>
              </w:rPr>
            </w:pPr>
            <w:r w:rsidRPr="000D6F3C">
              <w:rPr>
                <w:rFonts w:cs="Arial"/>
                <w:sz w:val="22"/>
              </w:rPr>
              <w:t>Réviser les Directives opérationnelles pour encourager les États parties, lors de la préparation de leur rapport périodique, à compléter les données collectées sur la mise en œuvre de la Convention avec des informations fournies par des organisations non gouvernementales pertinentes</w:t>
            </w:r>
          </w:p>
        </w:tc>
        <w:tc>
          <w:tcPr>
            <w:tcW w:w="1986" w:type="dxa"/>
            <w:gridSpan w:val="2"/>
            <w:noWrap/>
            <w:tcMar>
              <w:top w:w="40" w:type="dxa"/>
              <w:left w:w="40" w:type="dxa"/>
              <w:bottom w:w="40" w:type="dxa"/>
              <w:right w:w="40" w:type="dxa"/>
            </w:tcMar>
          </w:tcPr>
          <w:p w14:paraId="433D3ED0" w14:textId="77777777" w:rsidR="00105BFD" w:rsidRPr="000D6F3C" w:rsidDel="001E0618" w:rsidRDefault="00105BFD" w:rsidP="00105BFD">
            <w:pPr>
              <w:pStyle w:val="Default"/>
              <w:spacing w:before="120"/>
              <w:ind w:left="57"/>
              <w:rPr>
                <w:rFonts w:cs="Arial"/>
                <w:sz w:val="22"/>
                <w:szCs w:val="22"/>
              </w:rPr>
            </w:pPr>
            <w:r w:rsidRPr="000D6F3C">
              <w:rPr>
                <w:rFonts w:cs="Arial"/>
                <w:sz w:val="22"/>
              </w:rPr>
              <w:t>Juin 2016</w:t>
            </w:r>
          </w:p>
        </w:tc>
        <w:tc>
          <w:tcPr>
            <w:tcW w:w="7682" w:type="dxa"/>
            <w:gridSpan w:val="2"/>
            <w:noWrap/>
            <w:tcMar>
              <w:top w:w="40" w:type="dxa"/>
              <w:left w:w="40" w:type="dxa"/>
              <w:bottom w:w="40" w:type="dxa"/>
              <w:right w:w="40" w:type="dxa"/>
            </w:tcMar>
          </w:tcPr>
          <w:p w14:paraId="1F9F98F7"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En juin 2016, la sixième Assemblée générale a adopté des amendements des Directives opérationnelles encourageant les États parties, lors de la préparation de leur rapport périodique, à compléter les données collectées sur la mise en œuvre de la Convention avec des informations fournies par des organisations non gouvernementales pertinentes (</w:t>
            </w:r>
            <w:hyperlink r:id="rId33">
              <w:r>
                <w:rPr>
                  <w:rStyle w:val="Hyperlink"/>
                  <w:rFonts w:ascii="Arial" w:hAnsi="Arial"/>
                  <w:sz w:val="22"/>
                </w:rPr>
                <w:t>résolution 6.GA 7</w:t>
              </w:r>
            </w:hyperlink>
            <w:r>
              <w:rPr>
                <w:rFonts w:ascii="Arial" w:hAnsi="Arial"/>
                <w:sz w:val="22"/>
              </w:rPr>
              <w:t>) (</w:t>
            </w:r>
            <w:r>
              <w:rPr>
                <w:rFonts w:ascii="Arial" w:hAnsi="Arial"/>
                <w:b/>
                <w:sz w:val="22"/>
              </w:rPr>
              <w:t>action terminée</w:t>
            </w:r>
            <w:r>
              <w:rPr>
                <w:rFonts w:ascii="Arial" w:hAnsi="Arial"/>
                <w:sz w:val="22"/>
              </w:rPr>
              <w:t>).</w:t>
            </w:r>
          </w:p>
        </w:tc>
      </w:tr>
      <w:tr w:rsidR="00105BFD" w:rsidRPr="00CC11E8" w14:paraId="58209B27" w14:textId="77777777" w:rsidTr="00105BFD">
        <w:tc>
          <w:tcPr>
            <w:tcW w:w="4690" w:type="dxa"/>
            <w:noWrap/>
            <w:tcMar>
              <w:top w:w="40" w:type="dxa"/>
              <w:left w:w="40" w:type="dxa"/>
              <w:bottom w:w="40" w:type="dxa"/>
              <w:right w:w="40" w:type="dxa"/>
            </w:tcMar>
          </w:tcPr>
          <w:p w14:paraId="70A5E9F4" w14:textId="77777777" w:rsidR="00105BFD" w:rsidRPr="000D6F3C" w:rsidRDefault="00105BFD" w:rsidP="00105BFD">
            <w:pPr>
              <w:pStyle w:val="Default"/>
              <w:spacing w:before="120" w:after="120"/>
              <w:ind w:left="113" w:right="57"/>
              <w:rPr>
                <w:rFonts w:cs="Arial"/>
                <w:sz w:val="22"/>
                <w:szCs w:val="22"/>
              </w:rPr>
            </w:pPr>
            <w:r w:rsidRPr="000D6F3C">
              <w:rPr>
                <w:rFonts w:cs="Arial"/>
                <w:sz w:val="22"/>
              </w:rPr>
              <w:t>Intégrer ces aspects dans un aide-mémoire pour l</w:t>
            </w:r>
            <w:r>
              <w:rPr>
                <w:rFonts w:cs="Arial"/>
                <w:sz w:val="22"/>
              </w:rPr>
              <w:t>’</w:t>
            </w:r>
            <w:r w:rsidRPr="000D6F3C">
              <w:rPr>
                <w:rFonts w:cs="Arial"/>
                <w:sz w:val="22"/>
              </w:rPr>
              <w:t xml:space="preserve">élaboration des dossiers de </w:t>
            </w:r>
            <w:r w:rsidRPr="000D6F3C">
              <w:rPr>
                <w:rFonts w:cs="Arial"/>
                <w:sz w:val="22"/>
              </w:rPr>
              <w:lastRenderedPageBreak/>
              <w:t>candidature et pour les rapports périodiques.</w:t>
            </w:r>
          </w:p>
        </w:tc>
        <w:tc>
          <w:tcPr>
            <w:tcW w:w="1986" w:type="dxa"/>
            <w:gridSpan w:val="2"/>
            <w:noWrap/>
            <w:tcMar>
              <w:top w:w="40" w:type="dxa"/>
              <w:left w:w="40" w:type="dxa"/>
              <w:bottom w:w="40" w:type="dxa"/>
              <w:right w:w="40" w:type="dxa"/>
            </w:tcMar>
          </w:tcPr>
          <w:p w14:paraId="280D2150" w14:textId="77777777" w:rsidR="00105BFD" w:rsidRPr="000D6F3C" w:rsidRDefault="00105BFD" w:rsidP="00105BFD">
            <w:pPr>
              <w:pStyle w:val="Default"/>
              <w:spacing w:before="120"/>
              <w:ind w:left="57"/>
              <w:rPr>
                <w:rFonts w:cs="Arial"/>
                <w:sz w:val="22"/>
                <w:szCs w:val="22"/>
              </w:rPr>
            </w:pPr>
            <w:r>
              <w:rPr>
                <w:rFonts w:cs="Arial"/>
                <w:sz w:val="22"/>
              </w:rPr>
              <w:lastRenderedPageBreak/>
              <w:t>Novembre 2016</w:t>
            </w:r>
          </w:p>
        </w:tc>
        <w:tc>
          <w:tcPr>
            <w:tcW w:w="7682" w:type="dxa"/>
            <w:gridSpan w:val="2"/>
            <w:noWrap/>
            <w:tcMar>
              <w:top w:w="40" w:type="dxa"/>
              <w:left w:w="40" w:type="dxa"/>
              <w:bottom w:w="40" w:type="dxa"/>
              <w:right w:w="40" w:type="dxa"/>
            </w:tcMar>
          </w:tcPr>
          <w:p w14:paraId="1AC3D4A7" w14:textId="77777777" w:rsidR="00105BFD" w:rsidRPr="00427622" w:rsidRDefault="00105BFD" w:rsidP="00105BFD">
            <w:pPr>
              <w:pStyle w:val="ListParagraph"/>
              <w:numPr>
                <w:ilvl w:val="0"/>
                <w:numId w:val="11"/>
              </w:numPr>
              <w:spacing w:before="120" w:beforeAutospacing="0" w:after="120" w:afterAutospacing="0"/>
              <w:ind w:left="470" w:hanging="357"/>
              <w:contextualSpacing/>
            </w:pPr>
            <w:r>
              <w:rPr>
                <w:rFonts w:ascii="Arial" w:hAnsi="Arial"/>
                <w:sz w:val="22"/>
              </w:rPr>
              <w:t xml:space="preserve">La version de février 2015 de </w:t>
            </w:r>
            <w:r w:rsidRPr="00E967C4">
              <w:rPr>
                <w:rFonts w:ascii="Arial" w:hAnsi="Arial"/>
                <w:sz w:val="22"/>
              </w:rPr>
              <w:t>l</w:t>
            </w:r>
            <w:r>
              <w:rPr>
                <w:rFonts w:ascii="Arial" w:hAnsi="Arial"/>
                <w:sz w:val="22"/>
              </w:rPr>
              <w:t>’</w:t>
            </w:r>
            <w:r w:rsidRPr="00E967C4">
              <w:rPr>
                <w:rFonts w:ascii="Arial" w:hAnsi="Arial"/>
                <w:sz w:val="22"/>
              </w:rPr>
              <w:t>aide-mémoire</w:t>
            </w:r>
            <w:r>
              <w:rPr>
                <w:rFonts w:ascii="Arial" w:hAnsi="Arial"/>
                <w:sz w:val="22"/>
              </w:rPr>
              <w:t xml:space="preserve"> mentionne à plusieurs reprises l’importance des ONG et de l’implication des communautés.</w:t>
            </w:r>
          </w:p>
          <w:p w14:paraId="65C1D54B"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lastRenderedPageBreak/>
              <w:t xml:space="preserve">Suite à l’adoption des amendements des Directives opérationnelles par l’Assemblée générale, la mise à jour de </w:t>
            </w:r>
            <w:r w:rsidRPr="00E967C4">
              <w:rPr>
                <w:rFonts w:ascii="Arial" w:hAnsi="Arial"/>
                <w:sz w:val="22"/>
              </w:rPr>
              <w:t>l</w:t>
            </w:r>
            <w:r>
              <w:rPr>
                <w:rFonts w:ascii="Arial" w:hAnsi="Arial"/>
                <w:sz w:val="22"/>
              </w:rPr>
              <w:t>’</w:t>
            </w:r>
            <w:r w:rsidRPr="00E967C4">
              <w:rPr>
                <w:rFonts w:ascii="Arial" w:hAnsi="Arial"/>
                <w:sz w:val="22"/>
              </w:rPr>
              <w:t>aide-mémoire</w:t>
            </w:r>
            <w:r>
              <w:rPr>
                <w:rFonts w:ascii="Arial" w:hAnsi="Arial"/>
                <w:sz w:val="22"/>
              </w:rPr>
              <w:t xml:space="preserve"> sur les rapports périodiques souligne davantage le rôle des organisations non gouvernementales.</w:t>
            </w:r>
          </w:p>
        </w:tc>
      </w:tr>
      <w:tr w:rsidR="00105BFD" w:rsidRPr="00CC11E8" w14:paraId="1F1EA8FB" w14:textId="77777777" w:rsidTr="00105BFD">
        <w:tc>
          <w:tcPr>
            <w:tcW w:w="14358" w:type="dxa"/>
            <w:gridSpan w:val="5"/>
            <w:shd w:val="clear" w:color="auto" w:fill="E6E6E6"/>
            <w:noWrap/>
            <w:tcMar>
              <w:top w:w="40" w:type="dxa"/>
              <w:left w:w="40" w:type="dxa"/>
              <w:bottom w:w="40" w:type="dxa"/>
              <w:right w:w="40" w:type="dxa"/>
            </w:tcMar>
          </w:tcPr>
          <w:p w14:paraId="75ECF923" w14:textId="77777777" w:rsidR="00105BFD" w:rsidRPr="00427622" w:rsidRDefault="00105BFD" w:rsidP="00105BFD">
            <w:pPr>
              <w:tabs>
                <w:tab w:val="left" w:pos="2640"/>
                <w:tab w:val="left" w:pos="14034"/>
              </w:tabs>
              <w:spacing w:before="120" w:after="120"/>
              <w:ind w:left="113" w:right="113"/>
              <w:jc w:val="both"/>
              <w:rPr>
                <w:rFonts w:ascii="Arial" w:hAnsi="Arial" w:cs="Arial"/>
                <w:b/>
              </w:rPr>
            </w:pPr>
            <w:r>
              <w:rPr>
                <w:rFonts w:ascii="Arial" w:hAnsi="Arial"/>
                <w:b/>
                <w:sz w:val="22"/>
              </w:rPr>
              <w:lastRenderedPageBreak/>
              <w:t>Recommandation 3 : Renforcer la coopération avec les experts du développement durable pour intégrer le PCI à la législation non culturelle, au développement de politiques et à tout autre travail lié au PCI et au développement durable.</w:t>
            </w:r>
          </w:p>
        </w:tc>
      </w:tr>
      <w:tr w:rsidR="00105BFD" w:rsidRPr="00CC11E8" w14:paraId="5EF3CB38" w14:textId="77777777" w:rsidTr="00105BFD">
        <w:tc>
          <w:tcPr>
            <w:tcW w:w="14358" w:type="dxa"/>
            <w:gridSpan w:val="5"/>
            <w:noWrap/>
            <w:tcMar>
              <w:top w:w="40" w:type="dxa"/>
              <w:left w:w="40" w:type="dxa"/>
              <w:bottom w:w="40" w:type="dxa"/>
              <w:right w:w="40" w:type="dxa"/>
            </w:tcMar>
          </w:tcPr>
          <w:p w14:paraId="764562FF" w14:textId="77777777" w:rsidR="00105BFD" w:rsidRPr="00427622" w:rsidRDefault="00105BFD" w:rsidP="00105BFD">
            <w:pPr>
              <w:spacing w:before="120" w:after="120"/>
              <w:ind w:left="113" w:right="113"/>
              <w:jc w:val="both"/>
              <w:rPr>
                <w:rFonts w:ascii="Arial" w:hAnsi="Arial" w:cs="Arial"/>
              </w:rPr>
            </w:pPr>
            <w:r>
              <w:rPr>
                <w:rFonts w:ascii="Arial" w:hAnsi="Arial"/>
                <w:b/>
                <w:sz w:val="22"/>
              </w:rPr>
              <w:t>Réponse de la direction </w:t>
            </w:r>
            <w:r>
              <w:rPr>
                <w:rFonts w:ascii="Arial" w:hAnsi="Arial"/>
                <w:sz w:val="22"/>
              </w:rPr>
              <w:t>: Bien que la mise en œuvre de cette recommandation soit sous la responsabilité directe des États parties, le Secrétariat intègre ces aspects et/ou les consolide dans son système de renforcement des capacités (programme et formation des formateurs), et lors de l’élaboration de nouvelles Directives opérationnelles sur le patrimoine culturel immatériel et le développement durable.</w:t>
            </w:r>
          </w:p>
        </w:tc>
      </w:tr>
      <w:tr w:rsidR="00105BFD" w:rsidRPr="00427622" w14:paraId="7BA9368C" w14:textId="77777777" w:rsidTr="00105BFD">
        <w:tc>
          <w:tcPr>
            <w:tcW w:w="4717" w:type="dxa"/>
            <w:gridSpan w:val="2"/>
            <w:noWrap/>
            <w:tcMar>
              <w:top w:w="40" w:type="dxa"/>
              <w:left w:w="40" w:type="dxa"/>
              <w:bottom w:w="40" w:type="dxa"/>
              <w:right w:w="40" w:type="dxa"/>
            </w:tcMar>
          </w:tcPr>
          <w:p w14:paraId="49C8037A" w14:textId="77777777" w:rsidR="00105BFD" w:rsidRPr="00427622" w:rsidRDefault="00105BFD" w:rsidP="00105BFD">
            <w:pPr>
              <w:spacing w:before="120" w:after="12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193A3AE3" w14:textId="77777777" w:rsidR="00105BFD" w:rsidRPr="00427622" w:rsidRDefault="00105BFD" w:rsidP="00105BFD">
            <w:pPr>
              <w:spacing w:before="120" w:after="12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69F1C897" w14:textId="77777777" w:rsidR="00105BFD" w:rsidRPr="00427622" w:rsidRDefault="00105BFD" w:rsidP="00105BFD">
            <w:pPr>
              <w:spacing w:before="120" w:after="120"/>
              <w:jc w:val="center"/>
              <w:rPr>
                <w:rFonts w:ascii="Arial" w:hAnsi="Arial" w:cs="Arial"/>
                <w:b/>
              </w:rPr>
            </w:pPr>
            <w:r>
              <w:rPr>
                <w:rFonts w:ascii="Arial" w:hAnsi="Arial"/>
                <w:b/>
                <w:sz w:val="22"/>
              </w:rPr>
              <w:t>Statut</w:t>
            </w:r>
          </w:p>
        </w:tc>
      </w:tr>
      <w:tr w:rsidR="00105BFD" w:rsidRPr="00CC11E8" w14:paraId="39D06719" w14:textId="77777777" w:rsidTr="00105BFD">
        <w:tc>
          <w:tcPr>
            <w:tcW w:w="4717" w:type="dxa"/>
            <w:gridSpan w:val="2"/>
            <w:noWrap/>
            <w:tcMar>
              <w:top w:w="40" w:type="dxa"/>
              <w:left w:w="40" w:type="dxa"/>
              <w:bottom w:w="40" w:type="dxa"/>
              <w:right w:w="40" w:type="dxa"/>
            </w:tcMar>
          </w:tcPr>
          <w:p w14:paraId="259E9611" w14:textId="77777777" w:rsidR="00105BFD" w:rsidRPr="000D6F3C" w:rsidRDefault="00105BFD" w:rsidP="00105BFD">
            <w:pPr>
              <w:pStyle w:val="Default"/>
              <w:spacing w:before="120" w:after="120"/>
              <w:ind w:left="113" w:right="57"/>
              <w:rPr>
                <w:rFonts w:cs="Arial"/>
                <w:sz w:val="22"/>
                <w:szCs w:val="22"/>
              </w:rPr>
            </w:pPr>
            <w:r w:rsidRPr="000D6F3C">
              <w:rPr>
                <w:rFonts w:cs="Arial"/>
                <w:sz w:val="22"/>
              </w:rPr>
              <w:t xml:space="preserve">Intégrer et/ou </w:t>
            </w:r>
            <w:proofErr w:type="spellStart"/>
            <w:r w:rsidRPr="000D6F3C">
              <w:rPr>
                <w:rFonts w:cs="Arial"/>
                <w:sz w:val="22"/>
              </w:rPr>
              <w:t>consoliderces</w:t>
            </w:r>
            <w:proofErr w:type="spellEnd"/>
            <w:r w:rsidRPr="000D6F3C">
              <w:rPr>
                <w:rFonts w:cs="Arial"/>
                <w:sz w:val="22"/>
              </w:rPr>
              <w:t xml:space="preserve"> aspects dans les supports de renforcement des capacités et les ateliers de formation des formateurs.</w:t>
            </w:r>
          </w:p>
        </w:tc>
        <w:tc>
          <w:tcPr>
            <w:tcW w:w="1986" w:type="dxa"/>
            <w:gridSpan w:val="2"/>
            <w:noWrap/>
            <w:tcMar>
              <w:top w:w="40" w:type="dxa"/>
              <w:left w:w="40" w:type="dxa"/>
              <w:bottom w:w="40" w:type="dxa"/>
              <w:right w:w="40" w:type="dxa"/>
            </w:tcMar>
          </w:tcPr>
          <w:p w14:paraId="4FEFD1BB" w14:textId="77777777" w:rsidR="00105BFD" w:rsidRPr="00427622" w:rsidRDefault="00105BFD" w:rsidP="00105BFD">
            <w:pPr>
              <w:spacing w:before="120" w:after="120"/>
              <w:ind w:left="57" w:right="57"/>
              <w:rPr>
                <w:rFonts w:ascii="Arial" w:hAnsi="Arial" w:cs="Arial"/>
              </w:rPr>
            </w:pPr>
            <w:r>
              <w:rPr>
                <w:rFonts w:ascii="Arial" w:hAnsi="Arial"/>
                <w:sz w:val="22"/>
              </w:rPr>
              <w:t>En cours</w:t>
            </w:r>
          </w:p>
        </w:tc>
        <w:tc>
          <w:tcPr>
            <w:tcW w:w="7655" w:type="dxa"/>
            <w:noWrap/>
            <w:tcMar>
              <w:top w:w="40" w:type="dxa"/>
              <w:left w:w="40" w:type="dxa"/>
              <w:bottom w:w="40" w:type="dxa"/>
              <w:right w:w="40" w:type="dxa"/>
            </w:tcMar>
          </w:tcPr>
          <w:p w14:paraId="3E4DDEAE"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En ce qui concerne l’intégration du patrimoine culturel immatériel aux législations et politiques non culturelles, une coopération plus étroite avec les experts du développement durable a permis :</w:t>
            </w:r>
          </w:p>
          <w:p w14:paraId="4C649AB1" w14:textId="77777777" w:rsidR="00105BFD" w:rsidRPr="00427622" w:rsidRDefault="00105BFD" w:rsidP="00105BFD">
            <w:pPr>
              <w:pStyle w:val="ListParagraph"/>
              <w:numPr>
                <w:ilvl w:val="0"/>
                <w:numId w:val="12"/>
              </w:numPr>
              <w:spacing w:before="120" w:beforeAutospacing="0" w:after="120" w:afterAutospacing="0"/>
              <w:ind w:left="814"/>
              <w:contextualSpacing/>
              <w:rPr>
                <w:rFonts w:ascii="Arial" w:hAnsi="Arial" w:cs="Arial"/>
              </w:rPr>
            </w:pPr>
            <w:r>
              <w:rPr>
                <w:rFonts w:ascii="Arial" w:hAnsi="Arial"/>
                <w:sz w:val="22"/>
              </w:rPr>
              <w:t>l’élaboration d’un nouveau format pour le soutien politique et législatif dans le programme de renforcement des capacités ;</w:t>
            </w:r>
          </w:p>
          <w:p w14:paraId="4A8F5E34" w14:textId="77777777" w:rsidR="00105BFD" w:rsidRPr="00427622" w:rsidRDefault="00105BFD" w:rsidP="00105BFD">
            <w:pPr>
              <w:pStyle w:val="ListParagraph"/>
              <w:numPr>
                <w:ilvl w:val="0"/>
                <w:numId w:val="12"/>
              </w:numPr>
              <w:spacing w:before="120" w:beforeAutospacing="0" w:after="120" w:afterAutospacing="0"/>
              <w:ind w:left="814"/>
              <w:contextualSpacing/>
              <w:rPr>
                <w:rFonts w:ascii="Arial" w:hAnsi="Arial" w:cs="Arial"/>
              </w:rPr>
            </w:pPr>
            <w:r>
              <w:rPr>
                <w:rFonts w:ascii="Arial" w:hAnsi="Arial"/>
                <w:sz w:val="22"/>
              </w:rPr>
              <w:t>l’élaboration d’une unité (Unité 8) consacrée au patrimoine culturel immatériel et au développement durable dans le matériel de renforcement des capacités ;</w:t>
            </w:r>
          </w:p>
          <w:p w14:paraId="791DCBED" w14:textId="77777777" w:rsidR="00105BFD" w:rsidRPr="00427622" w:rsidRDefault="00105BFD" w:rsidP="00105BFD">
            <w:pPr>
              <w:pStyle w:val="ListParagraph"/>
              <w:numPr>
                <w:ilvl w:val="0"/>
                <w:numId w:val="12"/>
              </w:numPr>
              <w:spacing w:before="120" w:beforeAutospacing="0" w:after="120" w:afterAutospacing="0"/>
              <w:ind w:left="814"/>
              <w:contextualSpacing/>
              <w:rPr>
                <w:rFonts w:ascii="Arial" w:hAnsi="Arial" w:cs="Arial"/>
              </w:rPr>
            </w:pPr>
            <w:r>
              <w:rPr>
                <w:rFonts w:ascii="Arial" w:hAnsi="Arial"/>
                <w:sz w:val="22"/>
              </w:rPr>
              <w:t>l’élaboration d’une note d’orientation de l’UNESCO sur la prestation de services de conseils pour l’élaboration des politiques.</w:t>
            </w:r>
          </w:p>
          <w:p w14:paraId="0725378A"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b/>
                <w:bCs/>
                <w:i/>
                <w:iCs/>
              </w:rPr>
            </w:pPr>
            <w:r>
              <w:rPr>
                <w:rFonts w:ascii="Arial" w:hAnsi="Arial"/>
                <w:sz w:val="22"/>
              </w:rPr>
              <w:t>L’atelier régional pour les experts-facilitateurs d’Afrique (Constantine, Algérie, septembre 2015) s’est centré sur le soutien à l’élaboration de politiques dans le domaine du patrimoine culturel immatériel en Afrique et a également traité des difficultés à intégrer la politique du patrimoine culturel immatériel dans les législations et politiques non culturelles.</w:t>
            </w:r>
          </w:p>
        </w:tc>
      </w:tr>
      <w:tr w:rsidR="00105BFD" w:rsidRPr="00CC11E8" w14:paraId="0D38EF56" w14:textId="77777777" w:rsidTr="00105BFD">
        <w:tc>
          <w:tcPr>
            <w:tcW w:w="4717" w:type="dxa"/>
            <w:gridSpan w:val="2"/>
            <w:noWrap/>
            <w:tcMar>
              <w:top w:w="40" w:type="dxa"/>
              <w:left w:w="40" w:type="dxa"/>
              <w:bottom w:w="40" w:type="dxa"/>
              <w:right w:w="40" w:type="dxa"/>
            </w:tcMar>
          </w:tcPr>
          <w:p w14:paraId="0B100C3E" w14:textId="77777777" w:rsidR="00105BFD" w:rsidRPr="0033405D" w:rsidRDefault="00105BFD" w:rsidP="00105BFD">
            <w:pPr>
              <w:spacing w:before="120" w:after="120"/>
              <w:ind w:left="113" w:right="57"/>
              <w:rPr>
                <w:rFonts w:ascii="Arial" w:hAnsi="Arial" w:cs="Arial"/>
              </w:rPr>
            </w:pPr>
            <w:r>
              <w:rPr>
                <w:rFonts w:ascii="Arial" w:hAnsi="Arial"/>
                <w:sz w:val="22"/>
              </w:rPr>
              <w:t xml:space="preserve">Développer de nouvelles Directives opérationnelles pour la sauvegarde du patrimoine culturel immatériel et le </w:t>
            </w:r>
            <w:r>
              <w:rPr>
                <w:rFonts w:ascii="Arial" w:hAnsi="Arial"/>
                <w:sz w:val="22"/>
              </w:rPr>
              <w:lastRenderedPageBreak/>
              <w:t>développement durable.</w:t>
            </w:r>
          </w:p>
        </w:tc>
        <w:tc>
          <w:tcPr>
            <w:tcW w:w="1986" w:type="dxa"/>
            <w:gridSpan w:val="2"/>
            <w:noWrap/>
            <w:tcMar>
              <w:top w:w="40" w:type="dxa"/>
              <w:left w:w="40" w:type="dxa"/>
              <w:bottom w:w="40" w:type="dxa"/>
              <w:right w:w="40" w:type="dxa"/>
            </w:tcMar>
          </w:tcPr>
          <w:p w14:paraId="01B2580E" w14:textId="77777777" w:rsidR="00105BFD" w:rsidRPr="0033405D" w:rsidRDefault="00105BFD" w:rsidP="00105BFD">
            <w:pPr>
              <w:spacing w:before="120" w:after="120"/>
              <w:ind w:left="57" w:right="57"/>
              <w:rPr>
                <w:rFonts w:ascii="Arial" w:hAnsi="Arial" w:cs="Arial"/>
              </w:rPr>
            </w:pPr>
            <w:r>
              <w:rPr>
                <w:rFonts w:ascii="Arial" w:hAnsi="Arial"/>
                <w:sz w:val="22"/>
              </w:rPr>
              <w:lastRenderedPageBreak/>
              <w:t>Juin 2016</w:t>
            </w:r>
          </w:p>
        </w:tc>
        <w:tc>
          <w:tcPr>
            <w:tcW w:w="7655" w:type="dxa"/>
            <w:noWrap/>
            <w:tcMar>
              <w:top w:w="40" w:type="dxa"/>
              <w:left w:w="40" w:type="dxa"/>
              <w:bottom w:w="40" w:type="dxa"/>
              <w:right w:w="40" w:type="dxa"/>
            </w:tcMar>
          </w:tcPr>
          <w:p w14:paraId="31E8C709" w14:textId="77777777" w:rsidR="00105BFD" w:rsidRPr="0033405D"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 xml:space="preserve">Des experts du développement ont participé à l’élaboration du projet d’amendement des Directives opérationnelles sur le patrimoine culturel immatériel et le développement durable ; cet amendement a été présenté lors de la neuvième session du Comité afin d’être débattu et a </w:t>
            </w:r>
            <w:r>
              <w:rPr>
                <w:rFonts w:ascii="Arial" w:hAnsi="Arial"/>
                <w:sz w:val="22"/>
              </w:rPr>
              <w:lastRenderedPageBreak/>
              <w:t>été approuvé lors de la dixième session du Comité en 2015 (</w:t>
            </w:r>
            <w:hyperlink r:id="rId34">
              <w:r>
                <w:rPr>
                  <w:rStyle w:val="Hyperlink"/>
                  <w:rFonts w:ascii="Arial" w:hAnsi="Arial"/>
                  <w:sz w:val="22"/>
                </w:rPr>
                <w:t>décision 10.COM 14.a</w:t>
              </w:r>
            </w:hyperlink>
            <w:r>
              <w:rPr>
                <w:rFonts w:ascii="Arial" w:hAnsi="Arial"/>
                <w:sz w:val="22"/>
              </w:rPr>
              <w:t>).</w:t>
            </w:r>
          </w:p>
          <w:p w14:paraId="4A2875B8"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b/>
                <w:u w:val="single"/>
              </w:rPr>
            </w:pPr>
            <w:r>
              <w:rPr>
                <w:rFonts w:ascii="Arial" w:hAnsi="Arial"/>
                <w:sz w:val="22"/>
              </w:rPr>
              <w:t>Des Directives opérationnelles sur la sauvegarde du patrimoine culturel immatériel et le développement durable à l’échelle nationale ont été adoptées par la sixième Assemblée générale en juin 2016 (</w:t>
            </w:r>
            <w:hyperlink r:id="rId35">
              <w:r>
                <w:rPr>
                  <w:rStyle w:val="Hyperlink"/>
                  <w:rFonts w:ascii="Arial" w:hAnsi="Arial"/>
                  <w:sz w:val="22"/>
                </w:rPr>
                <w:t>résolution 6.GA 7</w:t>
              </w:r>
            </w:hyperlink>
            <w:r>
              <w:rPr>
                <w:rFonts w:ascii="Arial" w:hAnsi="Arial"/>
                <w:sz w:val="22"/>
              </w:rPr>
              <w:t>) (</w:t>
            </w:r>
            <w:r>
              <w:rPr>
                <w:rFonts w:ascii="Arial" w:hAnsi="Arial"/>
                <w:b/>
                <w:sz w:val="22"/>
              </w:rPr>
              <w:t>action terminée</w:t>
            </w:r>
            <w:r>
              <w:rPr>
                <w:rFonts w:ascii="Arial" w:hAnsi="Arial"/>
                <w:sz w:val="22"/>
              </w:rPr>
              <w:t>).</w:t>
            </w:r>
          </w:p>
        </w:tc>
      </w:tr>
      <w:tr w:rsidR="00105BFD" w:rsidRPr="00CC11E8" w14:paraId="799F77DE" w14:textId="77777777" w:rsidTr="00105BFD">
        <w:tc>
          <w:tcPr>
            <w:tcW w:w="14358" w:type="dxa"/>
            <w:gridSpan w:val="5"/>
            <w:shd w:val="clear" w:color="auto" w:fill="E6E6E6"/>
            <w:noWrap/>
            <w:tcMar>
              <w:top w:w="40" w:type="dxa"/>
              <w:left w:w="40" w:type="dxa"/>
              <w:bottom w:w="40" w:type="dxa"/>
              <w:right w:w="40" w:type="dxa"/>
            </w:tcMar>
          </w:tcPr>
          <w:p w14:paraId="5C426166" w14:textId="77777777" w:rsidR="00105BFD" w:rsidRPr="00427622" w:rsidRDefault="00105BFD" w:rsidP="00105BFD">
            <w:pPr>
              <w:tabs>
                <w:tab w:val="left" w:pos="2640"/>
              </w:tabs>
              <w:spacing w:before="120" w:after="120"/>
              <w:ind w:left="113" w:right="113"/>
              <w:jc w:val="both"/>
              <w:rPr>
                <w:rFonts w:ascii="Arial" w:hAnsi="Arial" w:cs="Arial"/>
                <w:b/>
              </w:rPr>
            </w:pPr>
            <w:r w:rsidRPr="00B55402">
              <w:rPr>
                <w:rFonts w:ascii="Arial" w:hAnsi="Arial" w:cs="Arial"/>
                <w:b/>
                <w:sz w:val="22"/>
                <w:szCs w:val="22"/>
              </w:rPr>
              <w:lastRenderedPageBreak/>
              <w:t>Recommandation 4 : Soutenir les États parties dans le développement de législations et de politiques dans le cadre du programme de renforcement des capacités en cours de la Convention de 2003 et concevoir des formats de renforcement des capacités appropriés allant dans ce sens.</w:t>
            </w:r>
          </w:p>
        </w:tc>
      </w:tr>
      <w:tr w:rsidR="00105BFD" w:rsidRPr="00427622" w14:paraId="5AA245D6" w14:textId="77777777" w:rsidTr="00105BFD">
        <w:tc>
          <w:tcPr>
            <w:tcW w:w="14358" w:type="dxa"/>
            <w:gridSpan w:val="5"/>
            <w:noWrap/>
            <w:tcMar>
              <w:top w:w="40" w:type="dxa"/>
              <w:left w:w="40" w:type="dxa"/>
              <w:bottom w:w="40" w:type="dxa"/>
              <w:right w:w="40" w:type="dxa"/>
            </w:tcMar>
          </w:tcPr>
          <w:p w14:paraId="75C67C7A" w14:textId="77777777" w:rsidR="00105BFD" w:rsidRPr="00427622" w:rsidRDefault="00105BFD" w:rsidP="00105BFD">
            <w:pPr>
              <w:spacing w:before="120" w:after="120"/>
              <w:ind w:left="113" w:right="113"/>
              <w:jc w:val="both"/>
              <w:rPr>
                <w:rFonts w:ascii="Arial" w:hAnsi="Arial" w:cs="Arial"/>
              </w:rPr>
            </w:pPr>
            <w:r>
              <w:rPr>
                <w:rFonts w:ascii="Arial" w:hAnsi="Arial"/>
                <w:b/>
                <w:sz w:val="22"/>
              </w:rPr>
              <w:t>Réponse de la direction </w:t>
            </w:r>
            <w:r>
              <w:rPr>
                <w:rFonts w:ascii="Arial" w:hAnsi="Arial"/>
                <w:sz w:val="22"/>
              </w:rPr>
              <w:t>: Le Secrétariat renforce ses services consultatifs sur les politiques et la législation dans toutes les activités de renforcement des capacités actuelles et futures. De nouveaux supports de formation doivent être développés, des formations de formateurs doivent être organisées dans ce sens.</w:t>
            </w:r>
          </w:p>
        </w:tc>
      </w:tr>
      <w:tr w:rsidR="00105BFD" w:rsidRPr="00427622" w14:paraId="42C4A5FA" w14:textId="77777777" w:rsidTr="00105BFD">
        <w:trPr>
          <w:trHeight w:val="508"/>
        </w:trPr>
        <w:tc>
          <w:tcPr>
            <w:tcW w:w="4717" w:type="dxa"/>
            <w:gridSpan w:val="2"/>
            <w:noWrap/>
            <w:tcMar>
              <w:top w:w="40" w:type="dxa"/>
              <w:left w:w="40" w:type="dxa"/>
              <w:bottom w:w="40" w:type="dxa"/>
              <w:right w:w="40" w:type="dxa"/>
            </w:tcMar>
          </w:tcPr>
          <w:p w14:paraId="1E5E03C7" w14:textId="77777777" w:rsidR="00105BFD" w:rsidRPr="00427622" w:rsidRDefault="00105BFD" w:rsidP="00105BFD">
            <w:pPr>
              <w:spacing w:before="12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17C3A563" w14:textId="77777777" w:rsidR="00105BFD" w:rsidRPr="00427622" w:rsidRDefault="00105BFD" w:rsidP="00105BFD">
            <w:pPr>
              <w:spacing w:before="120" w:after="12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47AC945E" w14:textId="77777777" w:rsidR="00105BFD" w:rsidRPr="00427622" w:rsidRDefault="00105BFD" w:rsidP="00105BFD">
            <w:pPr>
              <w:spacing w:before="120"/>
              <w:jc w:val="center"/>
              <w:rPr>
                <w:rFonts w:ascii="Arial" w:hAnsi="Arial" w:cs="Arial"/>
                <w:b/>
              </w:rPr>
            </w:pPr>
            <w:r>
              <w:rPr>
                <w:rFonts w:ascii="Arial" w:hAnsi="Arial"/>
                <w:b/>
                <w:sz w:val="22"/>
              </w:rPr>
              <w:t>Statut</w:t>
            </w:r>
          </w:p>
        </w:tc>
      </w:tr>
      <w:tr w:rsidR="00105BFD" w:rsidRPr="00CC11E8" w14:paraId="36AAB38A" w14:textId="77777777" w:rsidTr="00105BFD">
        <w:tc>
          <w:tcPr>
            <w:tcW w:w="4717" w:type="dxa"/>
            <w:gridSpan w:val="2"/>
            <w:noWrap/>
            <w:tcMar>
              <w:top w:w="40" w:type="dxa"/>
              <w:left w:w="40" w:type="dxa"/>
              <w:bottom w:w="40" w:type="dxa"/>
              <w:right w:w="40" w:type="dxa"/>
            </w:tcMar>
          </w:tcPr>
          <w:p w14:paraId="0D203AC5" w14:textId="77777777" w:rsidR="00105BFD" w:rsidRPr="00427622" w:rsidRDefault="00105BFD" w:rsidP="00105BFD">
            <w:pPr>
              <w:spacing w:before="120" w:after="120"/>
              <w:ind w:left="113" w:right="57"/>
            </w:pPr>
            <w:r>
              <w:rPr>
                <w:rFonts w:ascii="Arial" w:hAnsi="Arial"/>
                <w:sz w:val="22"/>
              </w:rPr>
              <w:t>Concevoir et utiliser de nouveaux supports pédagogiques.</w:t>
            </w:r>
          </w:p>
        </w:tc>
        <w:tc>
          <w:tcPr>
            <w:tcW w:w="1986" w:type="dxa"/>
            <w:gridSpan w:val="2"/>
            <w:noWrap/>
            <w:tcMar>
              <w:top w:w="40" w:type="dxa"/>
              <w:left w:w="40" w:type="dxa"/>
              <w:bottom w:w="40" w:type="dxa"/>
              <w:right w:w="40" w:type="dxa"/>
            </w:tcMar>
          </w:tcPr>
          <w:p w14:paraId="287B4DF7" w14:textId="77777777" w:rsidR="00105BFD" w:rsidRPr="00427622" w:rsidRDefault="00105BFD" w:rsidP="00105BFD">
            <w:pPr>
              <w:spacing w:before="120" w:after="120"/>
              <w:ind w:left="57"/>
              <w:rPr>
                <w:rFonts w:ascii="Arial" w:hAnsi="Arial" w:cs="Arial"/>
              </w:rPr>
            </w:pPr>
            <w:r>
              <w:rPr>
                <w:rFonts w:ascii="Arial" w:hAnsi="Arial"/>
                <w:sz w:val="22"/>
              </w:rPr>
              <w:t>Février 2016</w:t>
            </w:r>
          </w:p>
        </w:tc>
        <w:tc>
          <w:tcPr>
            <w:tcW w:w="7655" w:type="dxa"/>
            <w:noWrap/>
            <w:tcMar>
              <w:top w:w="40" w:type="dxa"/>
              <w:left w:w="40" w:type="dxa"/>
              <w:bottom w:w="40" w:type="dxa"/>
              <w:right w:w="40" w:type="dxa"/>
            </w:tcMar>
          </w:tcPr>
          <w:p w14:paraId="1D6AD1A0"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Un atelier sur l’élaboration d’un nouveau format pour le conseil en matière de politiques dans le programme de renforcement des capacités de la Convention s’est déroulé en juin 2014 au Siège de l’UNESCO.</w:t>
            </w:r>
          </w:p>
          <w:p w14:paraId="25F8B940"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Trois documents ont été rédigés sur les enjeux et les expériences du développement de politiques et législations relatifs au domaine du patrimoine culturel immatériel.</w:t>
            </w:r>
          </w:p>
          <w:p w14:paraId="51E782B9"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Une note d’orientation de l’UNESCO concernant l’offre de services consultatifs pour l’élaboration de politiques relatives au patrimoine culturel immatériel a été rédigée et publiée en juin 2015 en anglais et en français.</w:t>
            </w:r>
          </w:p>
          <w:p w14:paraId="398ECF12"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De nouveaux supports pédagogiques pour les ateliers organisés avec des partenaires nationaux sur l’élaboration de politiques ont été préparés et sont disponibles en ligne en anglais depuis février 2016 (</w:t>
            </w:r>
            <w:r>
              <w:rPr>
                <w:rFonts w:ascii="Arial" w:hAnsi="Arial"/>
                <w:b/>
                <w:sz w:val="22"/>
              </w:rPr>
              <w:t>action terminée</w:t>
            </w:r>
            <w:r>
              <w:rPr>
                <w:rFonts w:ascii="Arial" w:hAnsi="Arial"/>
                <w:sz w:val="22"/>
              </w:rPr>
              <w:t>).</w:t>
            </w:r>
          </w:p>
        </w:tc>
      </w:tr>
      <w:tr w:rsidR="00105BFD" w:rsidRPr="00CC11E8" w14:paraId="63D0D254" w14:textId="77777777" w:rsidTr="00105BFD">
        <w:tc>
          <w:tcPr>
            <w:tcW w:w="4717" w:type="dxa"/>
            <w:gridSpan w:val="2"/>
            <w:noWrap/>
            <w:tcMar>
              <w:top w:w="40" w:type="dxa"/>
              <w:left w:w="40" w:type="dxa"/>
              <w:bottom w:w="40" w:type="dxa"/>
              <w:right w:w="40" w:type="dxa"/>
            </w:tcMar>
          </w:tcPr>
          <w:p w14:paraId="4DB69258" w14:textId="77777777" w:rsidR="00105BFD" w:rsidRPr="000D6F3C" w:rsidRDefault="00105BFD" w:rsidP="00105BFD">
            <w:pPr>
              <w:pStyle w:val="Default"/>
              <w:spacing w:before="120" w:after="120"/>
              <w:ind w:left="113" w:right="57"/>
              <w:rPr>
                <w:rFonts w:cs="Arial"/>
                <w:sz w:val="22"/>
                <w:szCs w:val="22"/>
              </w:rPr>
            </w:pPr>
            <w:r w:rsidRPr="000D6F3C">
              <w:rPr>
                <w:rFonts w:cs="Arial"/>
                <w:sz w:val="22"/>
              </w:rPr>
              <w:t>Former les formateurs.</w:t>
            </w:r>
          </w:p>
        </w:tc>
        <w:tc>
          <w:tcPr>
            <w:tcW w:w="1986" w:type="dxa"/>
            <w:gridSpan w:val="2"/>
            <w:noWrap/>
            <w:tcMar>
              <w:top w:w="40" w:type="dxa"/>
              <w:left w:w="40" w:type="dxa"/>
              <w:bottom w:w="40" w:type="dxa"/>
              <w:right w:w="40" w:type="dxa"/>
            </w:tcMar>
          </w:tcPr>
          <w:p w14:paraId="7019124E" w14:textId="77777777" w:rsidR="00105BFD" w:rsidRPr="00427622" w:rsidRDefault="00105BFD" w:rsidP="00105BFD">
            <w:pPr>
              <w:spacing w:before="120" w:after="120"/>
              <w:ind w:left="57"/>
              <w:rPr>
                <w:rFonts w:ascii="Arial" w:hAnsi="Arial" w:cs="Arial"/>
              </w:rPr>
            </w:pPr>
            <w:r>
              <w:rPr>
                <w:rFonts w:ascii="Arial" w:hAnsi="Arial"/>
                <w:sz w:val="22"/>
              </w:rPr>
              <w:t>En cours</w:t>
            </w:r>
          </w:p>
        </w:tc>
        <w:tc>
          <w:tcPr>
            <w:tcW w:w="7655" w:type="dxa"/>
            <w:noWrap/>
            <w:tcMar>
              <w:top w:w="40" w:type="dxa"/>
              <w:left w:w="40" w:type="dxa"/>
              <w:bottom w:w="40" w:type="dxa"/>
              <w:right w:w="40" w:type="dxa"/>
            </w:tcMar>
          </w:tcPr>
          <w:p w14:paraId="0CE04076"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 xml:space="preserve">Cette question a été traitée lors de la formation des experts-facilitateurs des États arabes (mai 2014) ; Europe et Asie centrale (septembre </w:t>
            </w:r>
            <w:r>
              <w:rPr>
                <w:rFonts w:ascii="Arial" w:hAnsi="Arial"/>
                <w:sz w:val="22"/>
              </w:rPr>
              <w:lastRenderedPageBreak/>
              <w:t>2014) ; Asie et Pacifique (janvier 2015).</w:t>
            </w:r>
          </w:p>
          <w:p w14:paraId="1215A7BE"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Un atelier de formation pour les experts-facilitateurs en Afrique intitulé « Soutenir le développement de politiques dans le domaine du patrimoine culturel immatériel en Afrique » s’est déroulé en septembre 2015.</w:t>
            </w:r>
          </w:p>
        </w:tc>
      </w:tr>
      <w:tr w:rsidR="00105BFD" w:rsidRPr="00CC11E8" w14:paraId="517EB2FA" w14:textId="77777777" w:rsidTr="00105BFD">
        <w:tc>
          <w:tcPr>
            <w:tcW w:w="4717" w:type="dxa"/>
            <w:gridSpan w:val="2"/>
            <w:noWrap/>
            <w:tcMar>
              <w:top w:w="40" w:type="dxa"/>
              <w:left w:w="40" w:type="dxa"/>
              <w:bottom w:w="40" w:type="dxa"/>
              <w:right w:w="40" w:type="dxa"/>
            </w:tcMar>
          </w:tcPr>
          <w:p w14:paraId="5D21C418" w14:textId="77777777" w:rsidR="00105BFD" w:rsidRPr="000D6F3C" w:rsidRDefault="00105BFD" w:rsidP="00105BFD">
            <w:pPr>
              <w:pStyle w:val="Default"/>
              <w:spacing w:before="120" w:after="120"/>
              <w:ind w:left="113" w:right="57"/>
              <w:rPr>
                <w:rFonts w:cs="Arial"/>
                <w:sz w:val="22"/>
                <w:szCs w:val="22"/>
              </w:rPr>
            </w:pPr>
            <w:r w:rsidRPr="000D6F3C">
              <w:rPr>
                <w:rFonts w:cs="Arial"/>
                <w:sz w:val="22"/>
              </w:rPr>
              <w:lastRenderedPageBreak/>
              <w:t>Intégrer de nouveaux formateurs spécialisés dans le développement de politiques dans le réseau de formateurs.</w:t>
            </w:r>
          </w:p>
        </w:tc>
        <w:tc>
          <w:tcPr>
            <w:tcW w:w="1986" w:type="dxa"/>
            <w:gridSpan w:val="2"/>
            <w:noWrap/>
            <w:tcMar>
              <w:top w:w="40" w:type="dxa"/>
              <w:left w:w="40" w:type="dxa"/>
              <w:bottom w:w="40" w:type="dxa"/>
              <w:right w:w="40" w:type="dxa"/>
            </w:tcMar>
          </w:tcPr>
          <w:p w14:paraId="736CB5EA" w14:textId="77777777" w:rsidR="00105BFD" w:rsidRPr="00427622" w:rsidRDefault="00105BFD" w:rsidP="00105BFD">
            <w:pPr>
              <w:spacing w:before="120" w:after="120"/>
              <w:ind w:left="57"/>
              <w:rPr>
                <w:rFonts w:ascii="Arial" w:hAnsi="Arial" w:cs="Arial"/>
              </w:rPr>
            </w:pPr>
            <w:r>
              <w:rPr>
                <w:rFonts w:ascii="Arial" w:hAnsi="Arial"/>
                <w:sz w:val="22"/>
              </w:rPr>
              <w:t>En cours</w:t>
            </w:r>
          </w:p>
        </w:tc>
        <w:tc>
          <w:tcPr>
            <w:tcW w:w="7655" w:type="dxa"/>
            <w:noWrap/>
            <w:tcMar>
              <w:top w:w="40" w:type="dxa"/>
              <w:left w:w="40" w:type="dxa"/>
              <w:bottom w:w="40" w:type="dxa"/>
              <w:right w:w="40" w:type="dxa"/>
            </w:tcMar>
          </w:tcPr>
          <w:p w14:paraId="2C8BD31C"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Quatre nouveaux formateurs spécialisés dans le développement de politiques culturelles ont intégré le réseau d’experts-facilitateurs de la Convention.</w:t>
            </w:r>
          </w:p>
          <w:p w14:paraId="0B2EB1D1"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Des formateurs spécialisés en politique culturelle participent au projet pluriannuel de renforcement des capacités dans des pays d’Asie-Pacifique.</w:t>
            </w:r>
          </w:p>
          <w:p w14:paraId="19684DD5"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Les formateurs participeront aux futures activités de soutien des politiques du programme de renforcement des capacités.</w:t>
            </w:r>
          </w:p>
        </w:tc>
      </w:tr>
      <w:tr w:rsidR="00105BFD" w:rsidRPr="00CC11E8" w14:paraId="4B4D333E" w14:textId="77777777" w:rsidTr="00105BFD">
        <w:tc>
          <w:tcPr>
            <w:tcW w:w="14358" w:type="dxa"/>
            <w:gridSpan w:val="5"/>
            <w:shd w:val="clear" w:color="auto" w:fill="E6E6E6"/>
            <w:noWrap/>
            <w:tcMar>
              <w:top w:w="40" w:type="dxa"/>
              <w:left w:w="40" w:type="dxa"/>
              <w:bottom w:w="40" w:type="dxa"/>
              <w:right w:w="40" w:type="dxa"/>
            </w:tcMar>
          </w:tcPr>
          <w:p w14:paraId="04A50F6B" w14:textId="77777777" w:rsidR="00105BFD" w:rsidRPr="0033405D" w:rsidRDefault="00105BFD" w:rsidP="00105BFD">
            <w:pPr>
              <w:tabs>
                <w:tab w:val="left" w:pos="2640"/>
              </w:tabs>
              <w:spacing w:before="100" w:after="100"/>
              <w:ind w:left="113" w:right="113"/>
              <w:jc w:val="both"/>
              <w:rPr>
                <w:rFonts w:ascii="Arial" w:hAnsi="Arial" w:cs="Arial"/>
                <w:b/>
              </w:rPr>
            </w:pPr>
            <w:r>
              <w:rPr>
                <w:rFonts w:ascii="Arial" w:hAnsi="Arial"/>
                <w:b/>
                <w:sz w:val="22"/>
              </w:rPr>
              <w:t>Recommandation 5 : Coopérer avec les experts du développement durable au moment de soutenir les États parties pour intégrer le PCI dans les législations et politiques non-culturelles, et pour d’autres travaux liés au PCI et au développement durable.</w:t>
            </w:r>
          </w:p>
        </w:tc>
      </w:tr>
      <w:tr w:rsidR="00105BFD" w:rsidRPr="00CC11E8" w14:paraId="6817F111" w14:textId="77777777" w:rsidTr="00105BFD">
        <w:tc>
          <w:tcPr>
            <w:tcW w:w="14358" w:type="dxa"/>
            <w:gridSpan w:val="5"/>
            <w:noWrap/>
            <w:tcMar>
              <w:top w:w="40" w:type="dxa"/>
              <w:left w:w="40" w:type="dxa"/>
              <w:bottom w:w="40" w:type="dxa"/>
              <w:right w:w="40" w:type="dxa"/>
            </w:tcMar>
          </w:tcPr>
          <w:p w14:paraId="6BB3B447" w14:textId="77777777" w:rsidR="00105BFD" w:rsidRPr="00427622" w:rsidRDefault="00105BFD" w:rsidP="00105BFD">
            <w:pPr>
              <w:spacing w:before="100" w:after="100"/>
              <w:ind w:left="113" w:right="113"/>
              <w:jc w:val="both"/>
              <w:rPr>
                <w:rFonts w:ascii="Arial" w:hAnsi="Arial" w:cs="Arial"/>
              </w:rPr>
            </w:pPr>
            <w:r>
              <w:rPr>
                <w:rFonts w:ascii="Arial" w:hAnsi="Arial"/>
                <w:b/>
                <w:sz w:val="22"/>
              </w:rPr>
              <w:t>Réponse de la direction </w:t>
            </w:r>
            <w:r>
              <w:rPr>
                <w:rFonts w:ascii="Arial" w:hAnsi="Arial"/>
                <w:sz w:val="22"/>
              </w:rPr>
              <w:t>: Des experts du développement durable sont en train d’intégrer le réseau de formateurs sur le patrimoine culturel immatériel de l’UNESCO, en vue d’aider les experts/formateurs qui seraient moins familiarisés avec le sujet du développement au sens large. Cela devrait être considéré en parallèle avec les actions planifiées et menées à bien en réponse à la recommandation 3.</w:t>
            </w:r>
          </w:p>
        </w:tc>
      </w:tr>
      <w:tr w:rsidR="00105BFD" w:rsidRPr="00427622" w14:paraId="4595503F" w14:textId="77777777" w:rsidTr="00105BFD">
        <w:trPr>
          <w:trHeight w:val="508"/>
        </w:trPr>
        <w:tc>
          <w:tcPr>
            <w:tcW w:w="4717" w:type="dxa"/>
            <w:gridSpan w:val="2"/>
            <w:noWrap/>
            <w:tcMar>
              <w:top w:w="40" w:type="dxa"/>
              <w:left w:w="40" w:type="dxa"/>
              <w:bottom w:w="40" w:type="dxa"/>
              <w:right w:w="40" w:type="dxa"/>
            </w:tcMar>
          </w:tcPr>
          <w:p w14:paraId="7987FAF4" w14:textId="77777777" w:rsidR="00105BFD" w:rsidRPr="00427622" w:rsidRDefault="00105BFD" w:rsidP="00105BFD">
            <w:pPr>
              <w:spacing w:before="100" w:after="10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70B3646A" w14:textId="77777777" w:rsidR="00105BFD" w:rsidRPr="00427622" w:rsidRDefault="00105BFD" w:rsidP="00105BFD">
            <w:pPr>
              <w:spacing w:before="100" w:after="10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2D20276D" w14:textId="77777777" w:rsidR="00105BFD" w:rsidRPr="00427622" w:rsidRDefault="00105BFD" w:rsidP="00105BFD">
            <w:pPr>
              <w:spacing w:before="100" w:after="100"/>
              <w:jc w:val="center"/>
              <w:rPr>
                <w:rFonts w:ascii="Arial" w:hAnsi="Arial" w:cs="Arial"/>
                <w:b/>
              </w:rPr>
            </w:pPr>
            <w:r>
              <w:rPr>
                <w:rFonts w:ascii="Arial" w:hAnsi="Arial"/>
                <w:b/>
                <w:sz w:val="22"/>
              </w:rPr>
              <w:t>Statut</w:t>
            </w:r>
          </w:p>
        </w:tc>
      </w:tr>
      <w:tr w:rsidR="00105BFD" w:rsidRPr="00CC11E8" w14:paraId="0733C9F5" w14:textId="77777777" w:rsidTr="00105BFD">
        <w:tc>
          <w:tcPr>
            <w:tcW w:w="4717" w:type="dxa"/>
            <w:gridSpan w:val="2"/>
            <w:noWrap/>
            <w:tcMar>
              <w:top w:w="40" w:type="dxa"/>
              <w:left w:w="40" w:type="dxa"/>
              <w:bottom w:w="40" w:type="dxa"/>
              <w:right w:w="40" w:type="dxa"/>
            </w:tcMar>
          </w:tcPr>
          <w:p w14:paraId="0C345DF3" w14:textId="77777777" w:rsidR="00105BFD" w:rsidRPr="000D6F3C" w:rsidRDefault="00105BFD" w:rsidP="00105BFD">
            <w:pPr>
              <w:pStyle w:val="Default"/>
              <w:spacing w:before="100" w:after="100"/>
              <w:ind w:left="113" w:right="57"/>
              <w:rPr>
                <w:rFonts w:eastAsia="Times New Roman" w:cs="Arial"/>
                <w:color w:val="auto"/>
                <w:sz w:val="22"/>
                <w:szCs w:val="22"/>
              </w:rPr>
            </w:pPr>
            <w:r w:rsidRPr="000D6F3C">
              <w:rPr>
                <w:rFonts w:cs="Arial"/>
                <w:color w:val="auto"/>
                <w:sz w:val="22"/>
              </w:rPr>
              <w:t>Publier et diffuser la brochure « Patrimoine Culturel Immatériel et Développement Durable » (kit d</w:t>
            </w:r>
            <w:r>
              <w:rPr>
                <w:rFonts w:cs="Arial"/>
                <w:color w:val="auto"/>
                <w:sz w:val="22"/>
              </w:rPr>
              <w:t>’info ITH).</w:t>
            </w:r>
          </w:p>
        </w:tc>
        <w:tc>
          <w:tcPr>
            <w:tcW w:w="1986" w:type="dxa"/>
            <w:gridSpan w:val="2"/>
            <w:noWrap/>
            <w:tcMar>
              <w:top w:w="40" w:type="dxa"/>
              <w:left w:w="40" w:type="dxa"/>
              <w:bottom w:w="40" w:type="dxa"/>
              <w:right w:w="40" w:type="dxa"/>
            </w:tcMar>
          </w:tcPr>
          <w:p w14:paraId="5004FDAE" w14:textId="77777777" w:rsidR="00105BFD" w:rsidRPr="0033405D" w:rsidRDefault="00105BFD" w:rsidP="00105BFD">
            <w:pPr>
              <w:spacing w:before="100" w:after="100"/>
              <w:ind w:left="57" w:right="57"/>
              <w:rPr>
                <w:rFonts w:ascii="Arial" w:hAnsi="Arial" w:cs="Arial"/>
              </w:rPr>
            </w:pPr>
            <w:r>
              <w:rPr>
                <w:rFonts w:ascii="Arial" w:hAnsi="Arial"/>
                <w:sz w:val="22"/>
              </w:rPr>
              <w:t>Octobre 2015</w:t>
            </w:r>
          </w:p>
        </w:tc>
        <w:tc>
          <w:tcPr>
            <w:tcW w:w="7655" w:type="dxa"/>
            <w:noWrap/>
            <w:tcMar>
              <w:top w:w="40" w:type="dxa"/>
              <w:left w:w="40" w:type="dxa"/>
              <w:bottom w:w="40" w:type="dxa"/>
              <w:right w:w="40" w:type="dxa"/>
            </w:tcMar>
          </w:tcPr>
          <w:p w14:paraId="6A84E436" w14:textId="77777777" w:rsidR="00105BFD" w:rsidRPr="0033405D" w:rsidRDefault="00105BFD" w:rsidP="00105BFD">
            <w:pPr>
              <w:pStyle w:val="ListParagraph"/>
              <w:numPr>
                <w:ilvl w:val="0"/>
                <w:numId w:val="11"/>
              </w:numPr>
              <w:spacing w:beforeAutospacing="0" w:afterAutospacing="0"/>
              <w:ind w:left="470" w:hanging="357"/>
              <w:contextualSpacing/>
              <w:rPr>
                <w:rFonts w:ascii="Arial" w:hAnsi="Arial" w:cs="Arial"/>
              </w:rPr>
            </w:pPr>
            <w:r>
              <w:rPr>
                <w:rFonts w:ascii="Arial" w:hAnsi="Arial"/>
                <w:sz w:val="22"/>
              </w:rPr>
              <w:t>Une brochure a été publiée en octobre 2015 et a été diffusée lors de la dixième session du Comité ; elle continue d’être diffusée par le Secrétariat et par les bureaux hors-Siège de l’UNESCO (</w:t>
            </w:r>
            <w:r>
              <w:rPr>
                <w:rFonts w:ascii="Arial" w:hAnsi="Arial"/>
                <w:b/>
                <w:sz w:val="22"/>
              </w:rPr>
              <w:t>action terminée</w:t>
            </w:r>
            <w:r>
              <w:rPr>
                <w:rFonts w:ascii="Arial" w:hAnsi="Arial"/>
                <w:sz w:val="22"/>
              </w:rPr>
              <w:t>).</w:t>
            </w:r>
          </w:p>
        </w:tc>
      </w:tr>
      <w:tr w:rsidR="00105BFD" w:rsidRPr="00CC11E8" w14:paraId="44DD105B" w14:textId="77777777" w:rsidTr="00105BFD">
        <w:tc>
          <w:tcPr>
            <w:tcW w:w="4717" w:type="dxa"/>
            <w:gridSpan w:val="2"/>
            <w:noWrap/>
            <w:tcMar>
              <w:top w:w="40" w:type="dxa"/>
              <w:left w:w="40" w:type="dxa"/>
              <w:bottom w:w="40" w:type="dxa"/>
              <w:right w:w="40" w:type="dxa"/>
            </w:tcMar>
          </w:tcPr>
          <w:p w14:paraId="68D7636A" w14:textId="77777777" w:rsidR="00105BFD" w:rsidRPr="000D6F3C" w:rsidRDefault="00105BFD" w:rsidP="00105BFD">
            <w:pPr>
              <w:pStyle w:val="Default"/>
              <w:spacing w:before="100" w:after="100"/>
              <w:ind w:left="113" w:right="57"/>
              <w:rPr>
                <w:rFonts w:eastAsia="Times New Roman" w:cs="Arial"/>
                <w:color w:val="auto"/>
                <w:sz w:val="22"/>
                <w:szCs w:val="22"/>
              </w:rPr>
            </w:pPr>
            <w:r w:rsidRPr="000D6F3C">
              <w:rPr>
                <w:rFonts w:cs="Arial"/>
                <w:color w:val="auto"/>
                <w:sz w:val="22"/>
              </w:rPr>
              <w:t>Réviser le modèle du rapport final pour la formation afin d</w:t>
            </w:r>
            <w:r>
              <w:rPr>
                <w:rFonts w:cs="Arial"/>
                <w:color w:val="auto"/>
                <w:sz w:val="22"/>
              </w:rPr>
              <w:t>’</w:t>
            </w:r>
            <w:r w:rsidRPr="000D6F3C">
              <w:rPr>
                <w:rFonts w:cs="Arial"/>
                <w:color w:val="auto"/>
                <w:sz w:val="22"/>
              </w:rPr>
              <w:t>y inclure une question relative à la participation des experts en développement durable.</w:t>
            </w:r>
          </w:p>
        </w:tc>
        <w:tc>
          <w:tcPr>
            <w:tcW w:w="1986" w:type="dxa"/>
            <w:gridSpan w:val="2"/>
            <w:noWrap/>
            <w:tcMar>
              <w:top w:w="40" w:type="dxa"/>
              <w:left w:w="40" w:type="dxa"/>
              <w:bottom w:w="40" w:type="dxa"/>
              <w:right w:w="40" w:type="dxa"/>
            </w:tcMar>
          </w:tcPr>
          <w:p w14:paraId="2A0DC82E" w14:textId="77777777" w:rsidR="00105BFD" w:rsidRPr="0033405D" w:rsidRDefault="00105BFD" w:rsidP="00105BFD">
            <w:pPr>
              <w:spacing w:before="100" w:after="100"/>
              <w:ind w:left="57" w:right="57"/>
              <w:rPr>
                <w:rFonts w:ascii="Arial" w:hAnsi="Arial" w:cs="Arial"/>
              </w:rPr>
            </w:pPr>
            <w:r>
              <w:rPr>
                <w:rFonts w:ascii="Arial" w:hAnsi="Arial"/>
                <w:sz w:val="22"/>
              </w:rPr>
              <w:t>2016</w:t>
            </w:r>
          </w:p>
        </w:tc>
        <w:tc>
          <w:tcPr>
            <w:tcW w:w="7655" w:type="dxa"/>
            <w:noWrap/>
            <w:tcMar>
              <w:top w:w="40" w:type="dxa"/>
              <w:left w:w="40" w:type="dxa"/>
              <w:bottom w:w="40" w:type="dxa"/>
              <w:right w:w="40" w:type="dxa"/>
            </w:tcMar>
          </w:tcPr>
          <w:p w14:paraId="6DC54B0C" w14:textId="77777777" w:rsidR="00105BFD" w:rsidRPr="0033405D" w:rsidRDefault="00105BFD" w:rsidP="00105BFD">
            <w:pPr>
              <w:pStyle w:val="ListParagraph"/>
              <w:numPr>
                <w:ilvl w:val="0"/>
                <w:numId w:val="11"/>
              </w:numPr>
              <w:spacing w:beforeAutospacing="0" w:afterAutospacing="0"/>
              <w:ind w:left="470" w:hanging="357"/>
              <w:contextualSpacing/>
              <w:rPr>
                <w:rFonts w:ascii="Arial" w:hAnsi="Arial" w:cs="Arial"/>
              </w:rPr>
            </w:pPr>
            <w:r>
              <w:rPr>
                <w:rFonts w:ascii="Arial" w:hAnsi="Arial"/>
                <w:sz w:val="22"/>
              </w:rPr>
              <w:t>Le modèle du rapport pour la formation a été révisé en avril 2016 afin d’y inclure des questions concernant l’expertise dans différents domaines du développement durable. Une version électronique du modèle est en cours de développement afin de refléter ces évolutions et de faciliter la saisie, l’export et l’analyse des données.</w:t>
            </w:r>
          </w:p>
        </w:tc>
      </w:tr>
      <w:tr w:rsidR="00105BFD" w:rsidRPr="00CC11E8" w14:paraId="2DF996D2" w14:textId="77777777" w:rsidTr="00105BFD">
        <w:tc>
          <w:tcPr>
            <w:tcW w:w="4717" w:type="dxa"/>
            <w:gridSpan w:val="2"/>
            <w:noWrap/>
            <w:tcMar>
              <w:top w:w="40" w:type="dxa"/>
              <w:left w:w="40" w:type="dxa"/>
              <w:bottom w:w="40" w:type="dxa"/>
              <w:right w:w="40" w:type="dxa"/>
            </w:tcMar>
          </w:tcPr>
          <w:p w14:paraId="6FC95CC8" w14:textId="77777777" w:rsidR="00105BFD" w:rsidRPr="000D6F3C" w:rsidRDefault="00105BFD" w:rsidP="00105BFD">
            <w:pPr>
              <w:pStyle w:val="Default"/>
              <w:spacing w:before="100" w:after="100"/>
              <w:ind w:left="113" w:right="57"/>
              <w:rPr>
                <w:rFonts w:eastAsia="Times New Roman" w:cs="Arial"/>
                <w:color w:val="auto"/>
                <w:sz w:val="22"/>
                <w:szCs w:val="22"/>
              </w:rPr>
            </w:pPr>
            <w:r w:rsidRPr="000D6F3C">
              <w:rPr>
                <w:rFonts w:cs="Arial"/>
                <w:color w:val="auto"/>
                <w:sz w:val="22"/>
              </w:rPr>
              <w:lastRenderedPageBreak/>
              <w:t>Élaborer le guide destiné aux bureaux hors-Siège.</w:t>
            </w:r>
          </w:p>
        </w:tc>
        <w:tc>
          <w:tcPr>
            <w:tcW w:w="1986" w:type="dxa"/>
            <w:gridSpan w:val="2"/>
            <w:noWrap/>
            <w:tcMar>
              <w:top w:w="40" w:type="dxa"/>
              <w:left w:w="40" w:type="dxa"/>
              <w:bottom w:w="40" w:type="dxa"/>
              <w:right w:w="40" w:type="dxa"/>
            </w:tcMar>
          </w:tcPr>
          <w:p w14:paraId="1AF949D0" w14:textId="77777777" w:rsidR="00105BFD" w:rsidRPr="0033405D" w:rsidRDefault="00105BFD" w:rsidP="00105BFD">
            <w:pPr>
              <w:spacing w:before="100" w:after="100"/>
              <w:ind w:left="57" w:right="57"/>
              <w:rPr>
                <w:rFonts w:ascii="Arial" w:hAnsi="Arial" w:cs="Arial"/>
              </w:rPr>
            </w:pPr>
            <w:r>
              <w:rPr>
                <w:rFonts w:ascii="Arial" w:hAnsi="Arial"/>
                <w:sz w:val="22"/>
              </w:rPr>
              <w:t>Mars 2016</w:t>
            </w:r>
          </w:p>
        </w:tc>
        <w:tc>
          <w:tcPr>
            <w:tcW w:w="7655" w:type="dxa"/>
            <w:noWrap/>
            <w:tcMar>
              <w:top w:w="40" w:type="dxa"/>
              <w:left w:w="40" w:type="dxa"/>
              <w:bottom w:w="40" w:type="dxa"/>
              <w:right w:w="40" w:type="dxa"/>
            </w:tcMar>
          </w:tcPr>
          <w:p w14:paraId="68916C6E" w14:textId="77777777" w:rsidR="00105BFD" w:rsidRPr="0033405D" w:rsidRDefault="00105BFD" w:rsidP="00105BFD">
            <w:pPr>
              <w:pStyle w:val="ListParagraph"/>
              <w:numPr>
                <w:ilvl w:val="0"/>
                <w:numId w:val="11"/>
              </w:numPr>
              <w:spacing w:beforeAutospacing="0" w:afterAutospacing="0"/>
              <w:ind w:left="470" w:hanging="357"/>
              <w:contextualSpacing/>
              <w:rPr>
                <w:rFonts w:ascii="Arial" w:hAnsi="Arial" w:cs="Arial"/>
              </w:rPr>
            </w:pPr>
            <w:r>
              <w:rPr>
                <w:rFonts w:ascii="Arial" w:hAnsi="Arial"/>
                <w:sz w:val="22"/>
              </w:rPr>
              <w:t>La Section du patrimoine culturel immatériel, après avoir consulté les bureaux hors-Siège de l’UNESCO, a rédigé une note d’orientation qui leur a été diffusée avec la brochure susmentionnée (</w:t>
            </w:r>
            <w:r>
              <w:rPr>
                <w:rFonts w:ascii="Arial" w:hAnsi="Arial"/>
                <w:b/>
                <w:sz w:val="22"/>
              </w:rPr>
              <w:t>action terminée</w:t>
            </w:r>
            <w:r>
              <w:rPr>
                <w:rFonts w:ascii="Arial" w:hAnsi="Arial"/>
                <w:sz w:val="22"/>
              </w:rPr>
              <w:t>).</w:t>
            </w:r>
          </w:p>
        </w:tc>
      </w:tr>
      <w:tr w:rsidR="00105BFD" w:rsidRPr="00CC11E8" w14:paraId="54CD1681" w14:textId="77777777" w:rsidTr="00105BFD">
        <w:tc>
          <w:tcPr>
            <w:tcW w:w="14358" w:type="dxa"/>
            <w:gridSpan w:val="5"/>
            <w:shd w:val="clear" w:color="auto" w:fill="E6E6E6"/>
            <w:noWrap/>
            <w:tcMar>
              <w:top w:w="40" w:type="dxa"/>
              <w:left w:w="40" w:type="dxa"/>
              <w:bottom w:w="40" w:type="dxa"/>
              <w:right w:w="40" w:type="dxa"/>
            </w:tcMar>
          </w:tcPr>
          <w:p w14:paraId="5B1BCE7A" w14:textId="77777777" w:rsidR="00105BFD" w:rsidRPr="00427622" w:rsidRDefault="00105BFD" w:rsidP="00105BFD">
            <w:pPr>
              <w:tabs>
                <w:tab w:val="left" w:pos="2640"/>
              </w:tabs>
              <w:spacing w:before="100" w:after="100"/>
              <w:ind w:left="113" w:right="113"/>
              <w:jc w:val="both"/>
              <w:rPr>
                <w:rFonts w:ascii="Arial" w:hAnsi="Arial" w:cs="Arial"/>
                <w:b/>
              </w:rPr>
            </w:pPr>
            <w:r>
              <w:rPr>
                <w:rFonts w:ascii="Arial" w:hAnsi="Arial"/>
                <w:b/>
                <w:sz w:val="22"/>
              </w:rPr>
              <w:t>Recommandation 6 : Établir avec la pleine participation des bureaux hors Siège de l’UNESCO et en coopération avec les Commissions nationales de l’UNESCO, un mécanisme de suivi pour les activités de renforcement des capacités afin de rassembler des données sur leur efficacité.</w:t>
            </w:r>
          </w:p>
        </w:tc>
      </w:tr>
      <w:tr w:rsidR="00105BFD" w:rsidRPr="00CC11E8" w14:paraId="26F62FC9" w14:textId="77777777" w:rsidTr="00105BFD">
        <w:tc>
          <w:tcPr>
            <w:tcW w:w="14358" w:type="dxa"/>
            <w:gridSpan w:val="5"/>
            <w:noWrap/>
            <w:tcMar>
              <w:top w:w="40" w:type="dxa"/>
              <w:left w:w="40" w:type="dxa"/>
              <w:bottom w:w="40" w:type="dxa"/>
              <w:right w:w="40" w:type="dxa"/>
            </w:tcMar>
          </w:tcPr>
          <w:p w14:paraId="5AE53A30" w14:textId="77777777" w:rsidR="00105BFD" w:rsidRPr="00427622" w:rsidRDefault="00105BFD" w:rsidP="00105BFD">
            <w:pPr>
              <w:spacing w:before="100" w:after="100"/>
              <w:ind w:left="113" w:right="113"/>
              <w:jc w:val="both"/>
              <w:rPr>
                <w:rFonts w:ascii="Arial" w:hAnsi="Arial" w:cs="Arial"/>
              </w:rPr>
            </w:pPr>
            <w:r>
              <w:rPr>
                <w:rFonts w:ascii="Arial" w:hAnsi="Arial"/>
                <w:b/>
                <w:sz w:val="22"/>
              </w:rPr>
              <w:t>Réponse de la direction </w:t>
            </w:r>
            <w:r>
              <w:rPr>
                <w:rFonts w:ascii="Arial" w:hAnsi="Arial"/>
                <w:sz w:val="22"/>
              </w:rPr>
              <w:t>: Des consultations ont été réalisées en vue de mettre en place ce mécanisme de suivi, qui devait être mis en place dans le cadre d’un projet pilote avant la fin de l’année. La mise en place d’un mécanisme d’évaluation et de suivi du programme de renforcement des capacités de la Convention, avant d’avoir défini le cadre global de résultats de la Convention, n’a toutefois pas été jugée judicieuse pour avancer. Le Secrétariat a donc décidé d’ajourner la mise en place du mécanisme d’évaluation et de suivi du programme de renforcement des capacités jusqu’à la création du cadre global de résultats.</w:t>
            </w:r>
          </w:p>
        </w:tc>
      </w:tr>
      <w:tr w:rsidR="00105BFD" w:rsidRPr="00427622" w14:paraId="4E9992CE" w14:textId="77777777" w:rsidTr="00105BFD">
        <w:tc>
          <w:tcPr>
            <w:tcW w:w="4717" w:type="dxa"/>
            <w:gridSpan w:val="2"/>
            <w:noWrap/>
            <w:tcMar>
              <w:top w:w="40" w:type="dxa"/>
              <w:left w:w="40" w:type="dxa"/>
              <w:bottom w:w="40" w:type="dxa"/>
              <w:right w:w="40" w:type="dxa"/>
            </w:tcMar>
          </w:tcPr>
          <w:p w14:paraId="4D93FE85" w14:textId="77777777" w:rsidR="00105BFD" w:rsidRPr="00427622" w:rsidRDefault="00105BFD" w:rsidP="00105BFD">
            <w:pPr>
              <w:spacing w:before="100" w:after="10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41981F9D" w14:textId="77777777" w:rsidR="00105BFD" w:rsidRPr="00427622" w:rsidRDefault="00105BFD" w:rsidP="00105BFD">
            <w:pPr>
              <w:spacing w:before="100" w:after="10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0401A813" w14:textId="77777777" w:rsidR="00105BFD" w:rsidRPr="00427622" w:rsidRDefault="00105BFD" w:rsidP="00105BFD">
            <w:pPr>
              <w:spacing w:before="100" w:after="100"/>
              <w:jc w:val="center"/>
              <w:rPr>
                <w:rFonts w:ascii="Arial" w:hAnsi="Arial" w:cs="Arial"/>
                <w:b/>
              </w:rPr>
            </w:pPr>
            <w:r>
              <w:rPr>
                <w:rFonts w:ascii="Arial" w:hAnsi="Arial"/>
                <w:b/>
                <w:sz w:val="22"/>
              </w:rPr>
              <w:t>Statut</w:t>
            </w:r>
          </w:p>
        </w:tc>
      </w:tr>
      <w:tr w:rsidR="00105BFD" w:rsidRPr="00CC11E8" w14:paraId="5FD7CE37" w14:textId="77777777" w:rsidTr="00105BFD">
        <w:tc>
          <w:tcPr>
            <w:tcW w:w="4717" w:type="dxa"/>
            <w:gridSpan w:val="2"/>
            <w:shd w:val="clear" w:color="auto" w:fill="FFFFFF"/>
            <w:noWrap/>
            <w:tcMar>
              <w:top w:w="40" w:type="dxa"/>
              <w:left w:w="40" w:type="dxa"/>
              <w:bottom w:w="40" w:type="dxa"/>
              <w:right w:w="40" w:type="dxa"/>
            </w:tcMar>
          </w:tcPr>
          <w:p w14:paraId="74A1C1A0" w14:textId="77777777" w:rsidR="00105BFD" w:rsidRPr="000D6F3C" w:rsidRDefault="00105BFD" w:rsidP="00105BFD">
            <w:pPr>
              <w:pStyle w:val="Default"/>
              <w:spacing w:before="100" w:after="100"/>
              <w:ind w:left="113"/>
              <w:rPr>
                <w:rFonts w:cs="Arial"/>
                <w:sz w:val="22"/>
                <w:szCs w:val="22"/>
              </w:rPr>
            </w:pPr>
            <w:r w:rsidRPr="000D6F3C">
              <w:rPr>
                <w:rFonts w:cs="Arial"/>
                <w:sz w:val="22"/>
              </w:rPr>
              <w:t>Définir la méthodologie et le plan de travail pour s</w:t>
            </w:r>
            <w:r>
              <w:rPr>
                <w:rFonts w:cs="Arial"/>
                <w:sz w:val="22"/>
              </w:rPr>
              <w:t>’</w:t>
            </w:r>
            <w:r w:rsidRPr="000D6F3C">
              <w:rPr>
                <w:rFonts w:cs="Arial"/>
                <w:sz w:val="22"/>
              </w:rPr>
              <w:t>aligner sur la théorie de changement globale.</w:t>
            </w:r>
          </w:p>
        </w:tc>
        <w:tc>
          <w:tcPr>
            <w:tcW w:w="1986" w:type="dxa"/>
            <w:gridSpan w:val="2"/>
            <w:shd w:val="clear" w:color="auto" w:fill="FFFFFF"/>
            <w:noWrap/>
            <w:tcMar>
              <w:top w:w="40" w:type="dxa"/>
              <w:left w:w="40" w:type="dxa"/>
              <w:bottom w:w="40" w:type="dxa"/>
              <w:right w:w="40" w:type="dxa"/>
            </w:tcMar>
          </w:tcPr>
          <w:p w14:paraId="7C8DFA54" w14:textId="77777777" w:rsidR="00105BFD" w:rsidRPr="00427622" w:rsidRDefault="00105BFD" w:rsidP="00105BFD">
            <w:pPr>
              <w:spacing w:before="100" w:after="100"/>
              <w:ind w:left="57"/>
              <w:rPr>
                <w:rFonts w:ascii="Arial" w:hAnsi="Arial" w:cs="Arial"/>
              </w:rPr>
            </w:pPr>
            <w:r>
              <w:rPr>
                <w:rFonts w:ascii="Arial" w:hAnsi="Arial"/>
                <w:sz w:val="22"/>
              </w:rPr>
              <w:t>Juin 2015</w:t>
            </w:r>
          </w:p>
        </w:tc>
        <w:tc>
          <w:tcPr>
            <w:tcW w:w="7655" w:type="dxa"/>
            <w:shd w:val="clear" w:color="auto" w:fill="FFFFFF"/>
            <w:noWrap/>
            <w:tcMar>
              <w:top w:w="40" w:type="dxa"/>
              <w:left w:w="40" w:type="dxa"/>
              <w:bottom w:w="40" w:type="dxa"/>
              <w:right w:w="40" w:type="dxa"/>
            </w:tcMar>
          </w:tcPr>
          <w:p w14:paraId="6DC9553C" w14:textId="77777777" w:rsidR="00105BFD" w:rsidRPr="00427622" w:rsidRDefault="00105BFD" w:rsidP="00105BFD">
            <w:pPr>
              <w:pStyle w:val="ListParagraph"/>
              <w:numPr>
                <w:ilvl w:val="0"/>
                <w:numId w:val="11"/>
              </w:numPr>
              <w:spacing w:beforeAutospacing="0" w:afterAutospacing="0"/>
              <w:ind w:left="470" w:hanging="357"/>
              <w:contextualSpacing/>
              <w:rPr>
                <w:rFonts w:ascii="Arial" w:hAnsi="Arial" w:cs="Arial"/>
              </w:rPr>
            </w:pPr>
            <w:r>
              <w:rPr>
                <w:rFonts w:ascii="Arial" w:hAnsi="Arial"/>
                <w:sz w:val="22"/>
              </w:rPr>
              <w:t>La Section patrimoine culturel immatériel a consulté l’IOS, des experts-facilitateurs, certains partenaires nationaux et les bureaux hors-Siège de l’UNESCO, qui ont fourni des informations sur la méthodologie ; l’évolution du travail est définie avec une estimation budgétaire (</w:t>
            </w:r>
            <w:r>
              <w:rPr>
                <w:rFonts w:ascii="Arial" w:hAnsi="Arial"/>
                <w:b/>
                <w:sz w:val="22"/>
              </w:rPr>
              <w:t>action terminée</w:t>
            </w:r>
            <w:r>
              <w:rPr>
                <w:rFonts w:ascii="Arial" w:hAnsi="Arial"/>
                <w:sz w:val="22"/>
              </w:rPr>
              <w:t>).</w:t>
            </w:r>
          </w:p>
        </w:tc>
      </w:tr>
      <w:tr w:rsidR="00105BFD" w:rsidRPr="00CC11E8" w14:paraId="50DFFAFC" w14:textId="77777777" w:rsidTr="00105BFD">
        <w:tc>
          <w:tcPr>
            <w:tcW w:w="4717" w:type="dxa"/>
            <w:gridSpan w:val="2"/>
            <w:noWrap/>
            <w:tcMar>
              <w:top w:w="40" w:type="dxa"/>
              <w:left w:w="40" w:type="dxa"/>
              <w:bottom w:w="40" w:type="dxa"/>
              <w:right w:w="40" w:type="dxa"/>
            </w:tcMar>
          </w:tcPr>
          <w:p w14:paraId="750EF1B6" w14:textId="77777777" w:rsidR="00105BFD" w:rsidRPr="00427622" w:rsidRDefault="00105BFD" w:rsidP="00105BFD">
            <w:pPr>
              <w:spacing w:before="100" w:after="100"/>
              <w:ind w:left="113"/>
              <w:rPr>
                <w:rFonts w:ascii="Arial" w:hAnsi="Arial" w:cs="Arial"/>
              </w:rPr>
            </w:pPr>
            <w:r>
              <w:rPr>
                <w:rFonts w:ascii="Arial" w:hAnsi="Arial"/>
                <w:sz w:val="22"/>
              </w:rPr>
              <w:t>Mettre en place un mécanisme.</w:t>
            </w:r>
          </w:p>
        </w:tc>
        <w:tc>
          <w:tcPr>
            <w:tcW w:w="1986" w:type="dxa"/>
            <w:gridSpan w:val="2"/>
            <w:noWrap/>
            <w:tcMar>
              <w:top w:w="40" w:type="dxa"/>
              <w:left w:w="40" w:type="dxa"/>
              <w:bottom w:w="40" w:type="dxa"/>
              <w:right w:w="40" w:type="dxa"/>
            </w:tcMar>
          </w:tcPr>
          <w:p w14:paraId="595BDC3C" w14:textId="77777777" w:rsidR="00105BFD" w:rsidRPr="00427622" w:rsidRDefault="00105BFD" w:rsidP="00105BFD">
            <w:pPr>
              <w:spacing w:before="100" w:after="100"/>
              <w:ind w:left="57"/>
              <w:rPr>
                <w:rFonts w:ascii="Arial" w:hAnsi="Arial" w:cs="Arial"/>
              </w:rPr>
            </w:pPr>
            <w:r>
              <w:rPr>
                <w:rFonts w:ascii="Arial" w:hAnsi="Arial"/>
                <w:sz w:val="22"/>
              </w:rPr>
              <w:t>2016</w:t>
            </w:r>
          </w:p>
        </w:tc>
        <w:tc>
          <w:tcPr>
            <w:tcW w:w="7655" w:type="dxa"/>
            <w:noWrap/>
            <w:tcMar>
              <w:top w:w="40" w:type="dxa"/>
              <w:left w:w="40" w:type="dxa"/>
              <w:bottom w:w="40" w:type="dxa"/>
              <w:right w:w="40" w:type="dxa"/>
            </w:tcMar>
          </w:tcPr>
          <w:p w14:paraId="341CD339" w14:textId="77777777" w:rsidR="00105BFD" w:rsidRPr="00427622" w:rsidRDefault="00105BFD" w:rsidP="00105BFD">
            <w:pPr>
              <w:pStyle w:val="ListParagraph"/>
              <w:numPr>
                <w:ilvl w:val="0"/>
                <w:numId w:val="11"/>
              </w:numPr>
              <w:spacing w:beforeAutospacing="0" w:afterAutospacing="0"/>
              <w:ind w:left="470" w:hanging="357"/>
              <w:contextualSpacing/>
              <w:rPr>
                <w:rFonts w:ascii="Arial" w:hAnsi="Arial" w:cs="Arial"/>
              </w:rPr>
            </w:pPr>
            <w:r>
              <w:rPr>
                <w:rFonts w:ascii="Arial" w:hAnsi="Arial"/>
                <w:sz w:val="22"/>
              </w:rPr>
              <w:t>Le pilotage des études de suivi a démarré début 2016 dans un certain nombre de pays bénéficiant des activités de renforcement des capacités.</w:t>
            </w:r>
          </w:p>
        </w:tc>
      </w:tr>
      <w:tr w:rsidR="00105BFD" w:rsidRPr="00CC11E8" w14:paraId="64EE8FF5" w14:textId="77777777" w:rsidTr="00105BFD">
        <w:tc>
          <w:tcPr>
            <w:tcW w:w="14358" w:type="dxa"/>
            <w:gridSpan w:val="5"/>
            <w:shd w:val="clear" w:color="auto" w:fill="E6E6E6"/>
            <w:noWrap/>
            <w:tcMar>
              <w:top w:w="40" w:type="dxa"/>
              <w:left w:w="40" w:type="dxa"/>
              <w:bottom w:w="40" w:type="dxa"/>
              <w:right w:w="40" w:type="dxa"/>
            </w:tcMar>
          </w:tcPr>
          <w:p w14:paraId="3BAC881D" w14:textId="77777777" w:rsidR="00105BFD" w:rsidRPr="00427622" w:rsidRDefault="00105BFD" w:rsidP="00105BFD">
            <w:pPr>
              <w:keepNext/>
              <w:tabs>
                <w:tab w:val="left" w:pos="2640"/>
              </w:tabs>
              <w:spacing w:before="120" w:after="120"/>
              <w:ind w:left="113" w:right="113"/>
              <w:jc w:val="both"/>
              <w:rPr>
                <w:rFonts w:ascii="Arial" w:hAnsi="Arial" w:cs="Arial"/>
                <w:b/>
              </w:rPr>
            </w:pPr>
            <w:r>
              <w:rPr>
                <w:rFonts w:ascii="Arial" w:hAnsi="Arial"/>
                <w:b/>
                <w:sz w:val="22"/>
              </w:rPr>
              <w:t>Recommandation 7 : Revoir (et adapter si nécessaire) le contenu et le format de la stratégie de renforcement des capacités afin de s’assurer qu’elle répond aux grands défis de la mise en œuvre au niveau national.</w:t>
            </w:r>
          </w:p>
        </w:tc>
      </w:tr>
      <w:tr w:rsidR="00105BFD" w:rsidRPr="00CC11E8" w14:paraId="6A892372" w14:textId="77777777" w:rsidTr="00105BFD">
        <w:tc>
          <w:tcPr>
            <w:tcW w:w="14358" w:type="dxa"/>
            <w:gridSpan w:val="5"/>
            <w:noWrap/>
            <w:tcMar>
              <w:top w:w="40" w:type="dxa"/>
              <w:left w:w="40" w:type="dxa"/>
              <w:bottom w:w="40" w:type="dxa"/>
              <w:right w:w="40" w:type="dxa"/>
            </w:tcMar>
          </w:tcPr>
          <w:p w14:paraId="2F159886" w14:textId="77777777" w:rsidR="00105BFD" w:rsidRPr="00427622" w:rsidRDefault="00105BFD" w:rsidP="00105BFD">
            <w:pPr>
              <w:spacing w:before="120" w:after="120"/>
              <w:ind w:left="113" w:right="113"/>
              <w:jc w:val="both"/>
              <w:rPr>
                <w:rFonts w:ascii="Arial" w:hAnsi="Arial" w:cs="Arial"/>
              </w:rPr>
            </w:pPr>
            <w:r>
              <w:rPr>
                <w:rFonts w:ascii="Arial" w:hAnsi="Arial"/>
                <w:b/>
                <w:sz w:val="22"/>
              </w:rPr>
              <w:t>Réponse de la direction </w:t>
            </w:r>
            <w:r>
              <w:rPr>
                <w:rFonts w:ascii="Arial" w:hAnsi="Arial"/>
                <w:sz w:val="22"/>
              </w:rPr>
              <w:t>: Des réunions d’examen se déroulent de façon régulière afin d’évaluer le contenu et le format de la stratégie de renforcement des capacités, et notamment pour l’adapter à l’évolution des besoins au niveau national.</w:t>
            </w:r>
          </w:p>
        </w:tc>
      </w:tr>
      <w:tr w:rsidR="00105BFD" w:rsidRPr="00427622" w14:paraId="4429C627" w14:textId="77777777" w:rsidTr="00105BFD">
        <w:tc>
          <w:tcPr>
            <w:tcW w:w="4717" w:type="dxa"/>
            <w:gridSpan w:val="2"/>
            <w:noWrap/>
            <w:tcMar>
              <w:top w:w="40" w:type="dxa"/>
              <w:left w:w="40" w:type="dxa"/>
              <w:bottom w:w="40" w:type="dxa"/>
              <w:right w:w="40" w:type="dxa"/>
            </w:tcMar>
          </w:tcPr>
          <w:p w14:paraId="2A21B34B" w14:textId="77777777" w:rsidR="00105BFD" w:rsidRPr="00427622" w:rsidRDefault="00105BFD" w:rsidP="00105BFD">
            <w:pPr>
              <w:keepNext/>
              <w:spacing w:before="120" w:after="120"/>
              <w:jc w:val="center"/>
              <w:rPr>
                <w:rFonts w:ascii="Arial" w:hAnsi="Arial" w:cs="Arial"/>
                <w:b/>
                <w:bCs/>
                <w:i/>
                <w:iCs/>
              </w:rPr>
            </w:pPr>
            <w:r>
              <w:lastRenderedPageBreak/>
              <w:br w:type="page"/>
            </w:r>
            <w:r>
              <w:rPr>
                <w:rFonts w:ascii="Arial" w:hAnsi="Arial"/>
                <w:b/>
                <w:sz w:val="22"/>
              </w:rPr>
              <w:t>Actions planifiées</w:t>
            </w:r>
          </w:p>
        </w:tc>
        <w:tc>
          <w:tcPr>
            <w:tcW w:w="1986" w:type="dxa"/>
            <w:gridSpan w:val="2"/>
            <w:noWrap/>
            <w:tcMar>
              <w:top w:w="40" w:type="dxa"/>
              <w:left w:w="40" w:type="dxa"/>
              <w:bottom w:w="40" w:type="dxa"/>
              <w:right w:w="40" w:type="dxa"/>
            </w:tcMar>
          </w:tcPr>
          <w:p w14:paraId="69E806C8" w14:textId="77777777" w:rsidR="00105BFD" w:rsidRPr="00427622" w:rsidRDefault="00105BFD" w:rsidP="00105BFD">
            <w:pPr>
              <w:keepNext/>
              <w:spacing w:before="120" w:after="120"/>
              <w:jc w:val="center"/>
              <w:rPr>
                <w:rFonts w:ascii="Arial" w:hAnsi="Arial" w:cs="Arial"/>
                <w:b/>
                <w:bCs/>
                <w:i/>
                <w:iCs/>
              </w:rPr>
            </w:pPr>
            <w:r>
              <w:rPr>
                <w:rFonts w:ascii="Arial" w:hAnsi="Arial"/>
                <w:b/>
                <w:sz w:val="22"/>
              </w:rPr>
              <w:t>Date prévue de mise en œuvre</w:t>
            </w:r>
          </w:p>
        </w:tc>
        <w:tc>
          <w:tcPr>
            <w:tcW w:w="7655" w:type="dxa"/>
            <w:noWrap/>
            <w:tcMar>
              <w:top w:w="40" w:type="dxa"/>
              <w:left w:w="40" w:type="dxa"/>
              <w:bottom w:w="40" w:type="dxa"/>
              <w:right w:w="40" w:type="dxa"/>
            </w:tcMar>
          </w:tcPr>
          <w:p w14:paraId="05590BE3" w14:textId="77777777" w:rsidR="00105BFD" w:rsidRPr="00427622" w:rsidRDefault="00105BFD" w:rsidP="00105BFD">
            <w:pPr>
              <w:keepNext/>
              <w:spacing w:before="120" w:after="120"/>
              <w:jc w:val="center"/>
              <w:rPr>
                <w:rFonts w:ascii="Arial" w:hAnsi="Arial" w:cs="Arial"/>
                <w:b/>
                <w:bCs/>
                <w:i/>
                <w:iCs/>
              </w:rPr>
            </w:pPr>
            <w:r>
              <w:rPr>
                <w:rFonts w:ascii="Arial" w:hAnsi="Arial"/>
                <w:b/>
                <w:sz w:val="22"/>
              </w:rPr>
              <w:t>Statut</w:t>
            </w:r>
          </w:p>
        </w:tc>
      </w:tr>
      <w:tr w:rsidR="00105BFD" w:rsidRPr="00CC11E8" w14:paraId="3F28685C" w14:textId="77777777" w:rsidTr="00105BFD">
        <w:tc>
          <w:tcPr>
            <w:tcW w:w="4717" w:type="dxa"/>
            <w:gridSpan w:val="2"/>
            <w:noWrap/>
            <w:tcMar>
              <w:top w:w="40" w:type="dxa"/>
              <w:left w:w="40" w:type="dxa"/>
              <w:bottom w:w="40" w:type="dxa"/>
              <w:right w:w="40" w:type="dxa"/>
            </w:tcMar>
          </w:tcPr>
          <w:p w14:paraId="11A392F9" w14:textId="77777777" w:rsidR="00105BFD" w:rsidRPr="000D6F3C" w:rsidRDefault="00105BFD" w:rsidP="00105BFD">
            <w:pPr>
              <w:pStyle w:val="Default"/>
              <w:spacing w:before="120" w:after="120"/>
              <w:ind w:left="113" w:right="57"/>
              <w:rPr>
                <w:rFonts w:cs="Arial"/>
                <w:sz w:val="22"/>
                <w:szCs w:val="22"/>
              </w:rPr>
            </w:pPr>
            <w:r w:rsidRPr="000D6F3C">
              <w:rPr>
                <w:rFonts w:cs="Arial"/>
                <w:sz w:val="22"/>
              </w:rPr>
              <w:t>Prendre en compte les adaptations initiales dans le cadre logique mis à jour d</w:t>
            </w:r>
            <w:r>
              <w:rPr>
                <w:rFonts w:cs="Arial"/>
                <w:sz w:val="22"/>
              </w:rPr>
              <w:t>’</w:t>
            </w:r>
            <w:r w:rsidRPr="000D6F3C">
              <w:rPr>
                <w:rFonts w:cs="Arial"/>
                <w:sz w:val="22"/>
              </w:rPr>
              <w:t>après l</w:t>
            </w:r>
            <w:r>
              <w:rPr>
                <w:rFonts w:cs="Arial"/>
                <w:sz w:val="22"/>
              </w:rPr>
              <w:t>’</w:t>
            </w:r>
            <w:r w:rsidRPr="000D6F3C">
              <w:rPr>
                <w:rFonts w:cs="Arial"/>
                <w:sz w:val="22"/>
              </w:rPr>
              <w:t>évaluation IOS.</w:t>
            </w:r>
          </w:p>
        </w:tc>
        <w:tc>
          <w:tcPr>
            <w:tcW w:w="1986" w:type="dxa"/>
            <w:gridSpan w:val="2"/>
            <w:noWrap/>
            <w:tcMar>
              <w:top w:w="40" w:type="dxa"/>
              <w:left w:w="40" w:type="dxa"/>
              <w:bottom w:w="40" w:type="dxa"/>
              <w:right w:w="40" w:type="dxa"/>
            </w:tcMar>
          </w:tcPr>
          <w:p w14:paraId="4B4A14E7" w14:textId="77777777" w:rsidR="00105BFD" w:rsidRPr="00427622" w:rsidRDefault="00105BFD" w:rsidP="00105BFD">
            <w:pPr>
              <w:spacing w:before="120" w:after="120"/>
              <w:ind w:left="57"/>
              <w:rPr>
                <w:rFonts w:ascii="Arial" w:hAnsi="Arial" w:cs="Arial"/>
              </w:rPr>
            </w:pPr>
            <w:r>
              <w:rPr>
                <w:rFonts w:ascii="Arial" w:hAnsi="Arial"/>
                <w:sz w:val="22"/>
              </w:rPr>
              <w:t>En cours</w:t>
            </w:r>
          </w:p>
        </w:tc>
        <w:tc>
          <w:tcPr>
            <w:tcW w:w="7655" w:type="dxa"/>
            <w:noWrap/>
            <w:tcMar>
              <w:top w:w="40" w:type="dxa"/>
              <w:left w:w="40" w:type="dxa"/>
              <w:bottom w:w="40" w:type="dxa"/>
              <w:right w:w="40" w:type="dxa"/>
            </w:tcMar>
          </w:tcPr>
          <w:p w14:paraId="7410AF77" w14:textId="77777777" w:rsidR="00105BFD" w:rsidRPr="0033405D"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Les modèles des rapports d’étape et finaux des projets de renforcement des capacités ont été révisés à l’aide d’un cadre logique actualisé afin d’y inclure les informations sur les principales difficultés de mise en œuvre au niveau national.</w:t>
            </w:r>
          </w:p>
        </w:tc>
      </w:tr>
      <w:tr w:rsidR="00105BFD" w:rsidRPr="00CC11E8" w14:paraId="1FAE035C" w14:textId="77777777" w:rsidTr="00105BFD">
        <w:tc>
          <w:tcPr>
            <w:tcW w:w="4717" w:type="dxa"/>
            <w:gridSpan w:val="2"/>
            <w:noWrap/>
            <w:tcMar>
              <w:top w:w="40" w:type="dxa"/>
              <w:left w:w="40" w:type="dxa"/>
              <w:bottom w:w="40" w:type="dxa"/>
              <w:right w:w="40" w:type="dxa"/>
            </w:tcMar>
          </w:tcPr>
          <w:p w14:paraId="0C385C47" w14:textId="77777777" w:rsidR="00105BFD" w:rsidRPr="000D6F3C" w:rsidRDefault="00105BFD" w:rsidP="00105BFD">
            <w:pPr>
              <w:pStyle w:val="Default"/>
              <w:spacing w:before="120" w:after="120"/>
              <w:ind w:left="113" w:right="57"/>
              <w:rPr>
                <w:rFonts w:cs="Arial"/>
                <w:sz w:val="22"/>
                <w:szCs w:val="22"/>
              </w:rPr>
            </w:pPr>
            <w:r w:rsidRPr="000D6F3C">
              <w:rPr>
                <w:rFonts w:cs="Arial"/>
                <w:sz w:val="22"/>
              </w:rPr>
              <w:t>Réunions d</w:t>
            </w:r>
            <w:r>
              <w:rPr>
                <w:rFonts w:cs="Arial"/>
                <w:sz w:val="22"/>
              </w:rPr>
              <w:t>’</w:t>
            </w:r>
            <w:r w:rsidRPr="000D6F3C">
              <w:rPr>
                <w:rFonts w:cs="Arial"/>
                <w:sz w:val="22"/>
              </w:rPr>
              <w:t>examen et d</w:t>
            </w:r>
            <w:r>
              <w:rPr>
                <w:rFonts w:cs="Arial"/>
                <w:sz w:val="22"/>
              </w:rPr>
              <w:t>’</w:t>
            </w:r>
            <w:r w:rsidRPr="000D6F3C">
              <w:rPr>
                <w:rFonts w:cs="Arial"/>
                <w:sz w:val="22"/>
              </w:rPr>
              <w:t>actualisation des compétences avec des experts-facilitateurs et des bureaux hors-Siège.</w:t>
            </w:r>
          </w:p>
        </w:tc>
        <w:tc>
          <w:tcPr>
            <w:tcW w:w="1986" w:type="dxa"/>
            <w:gridSpan w:val="2"/>
            <w:noWrap/>
            <w:tcMar>
              <w:top w:w="40" w:type="dxa"/>
              <w:left w:w="40" w:type="dxa"/>
              <w:bottom w:w="40" w:type="dxa"/>
              <w:right w:w="40" w:type="dxa"/>
            </w:tcMar>
          </w:tcPr>
          <w:p w14:paraId="6938D4E0" w14:textId="77777777" w:rsidR="00105BFD" w:rsidRPr="00427622" w:rsidRDefault="00105BFD" w:rsidP="00105BFD">
            <w:pPr>
              <w:spacing w:before="120" w:after="120"/>
              <w:ind w:left="57"/>
              <w:rPr>
                <w:rFonts w:ascii="Arial" w:hAnsi="Arial" w:cs="Arial"/>
              </w:rPr>
            </w:pPr>
            <w:r>
              <w:rPr>
                <w:rFonts w:ascii="Arial" w:hAnsi="Arial"/>
                <w:sz w:val="22"/>
              </w:rPr>
              <w:t>En cours</w:t>
            </w:r>
          </w:p>
        </w:tc>
        <w:tc>
          <w:tcPr>
            <w:tcW w:w="7655" w:type="dxa"/>
            <w:noWrap/>
            <w:tcMar>
              <w:top w:w="40" w:type="dxa"/>
              <w:left w:w="40" w:type="dxa"/>
              <w:bottom w:w="40" w:type="dxa"/>
              <w:right w:w="40" w:type="dxa"/>
            </w:tcMar>
          </w:tcPr>
          <w:p w14:paraId="444B8159" w14:textId="77777777" w:rsidR="00105BFD" w:rsidRPr="0033405D"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Le Secrétariat a reçu des recommandations de révisions d’Afrique, des régions arabes, d’Asie-Pacifique, d’Asie centrale et d’Europe. Des réunions d’examen avec des facilitateurs et des bureaux hors-Siège ont été ou seront organisées dans des régions données notamment pour l’Afrique (septembre 2015).</w:t>
            </w:r>
          </w:p>
        </w:tc>
      </w:tr>
      <w:tr w:rsidR="00105BFD" w:rsidRPr="00CC11E8" w14:paraId="7BF14E18" w14:textId="77777777" w:rsidTr="00105BFD">
        <w:trPr>
          <w:trHeight w:val="1036"/>
        </w:trPr>
        <w:tc>
          <w:tcPr>
            <w:tcW w:w="4717" w:type="dxa"/>
            <w:gridSpan w:val="2"/>
            <w:noWrap/>
            <w:tcMar>
              <w:top w:w="40" w:type="dxa"/>
              <w:left w:w="40" w:type="dxa"/>
              <w:bottom w:w="40" w:type="dxa"/>
              <w:right w:w="40" w:type="dxa"/>
            </w:tcMar>
          </w:tcPr>
          <w:p w14:paraId="71C39398" w14:textId="77777777" w:rsidR="00105BFD" w:rsidRPr="000D6F3C" w:rsidRDefault="00105BFD" w:rsidP="00105BFD">
            <w:pPr>
              <w:pStyle w:val="Default"/>
              <w:spacing w:before="120" w:after="120"/>
              <w:ind w:left="113" w:right="57"/>
              <w:rPr>
                <w:rFonts w:cs="Arial"/>
                <w:sz w:val="22"/>
                <w:szCs w:val="22"/>
              </w:rPr>
            </w:pPr>
            <w:r w:rsidRPr="000D6F3C">
              <w:rPr>
                <w:rFonts w:cs="Arial"/>
                <w:sz w:val="22"/>
              </w:rPr>
              <w:t>Tirer des enseignements d</w:t>
            </w:r>
            <w:r>
              <w:rPr>
                <w:rFonts w:cs="Arial"/>
                <w:sz w:val="22"/>
              </w:rPr>
              <w:t>’</w:t>
            </w:r>
            <w:r w:rsidRPr="000D6F3C">
              <w:rPr>
                <w:rFonts w:cs="Arial"/>
                <w:sz w:val="22"/>
              </w:rPr>
              <w:t>une analyse consolidée de tous les rapports des experts-facilitateurs par région.</w:t>
            </w:r>
          </w:p>
        </w:tc>
        <w:tc>
          <w:tcPr>
            <w:tcW w:w="1986" w:type="dxa"/>
            <w:gridSpan w:val="2"/>
            <w:noWrap/>
            <w:tcMar>
              <w:top w:w="40" w:type="dxa"/>
              <w:left w:w="40" w:type="dxa"/>
              <w:bottom w:w="40" w:type="dxa"/>
              <w:right w:w="40" w:type="dxa"/>
            </w:tcMar>
          </w:tcPr>
          <w:p w14:paraId="770230BE" w14:textId="77777777" w:rsidR="00105BFD" w:rsidRPr="00427622" w:rsidRDefault="00105BFD" w:rsidP="00105BFD">
            <w:pPr>
              <w:spacing w:before="120" w:after="120"/>
              <w:ind w:left="57"/>
              <w:rPr>
                <w:rFonts w:ascii="Arial" w:hAnsi="Arial" w:cs="Arial"/>
              </w:rPr>
            </w:pPr>
            <w:r>
              <w:rPr>
                <w:rFonts w:ascii="Arial" w:hAnsi="Arial"/>
                <w:sz w:val="22"/>
              </w:rPr>
              <w:t>2016</w:t>
            </w:r>
          </w:p>
        </w:tc>
        <w:tc>
          <w:tcPr>
            <w:tcW w:w="7655" w:type="dxa"/>
            <w:noWrap/>
            <w:tcMar>
              <w:top w:w="40" w:type="dxa"/>
              <w:left w:w="40" w:type="dxa"/>
              <w:bottom w:w="40" w:type="dxa"/>
              <w:right w:w="40" w:type="dxa"/>
            </w:tcMar>
          </w:tcPr>
          <w:p w14:paraId="2A14D30C" w14:textId="77777777" w:rsidR="00105BFD" w:rsidRPr="0033405D" w:rsidDel="00EF4C76"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Une analyse interrégionale des rapports des experts-facilitateurs a été finalisée et communiquée aux experts-facilitateurs et bureaux hors-Siège en 2016. Ses conclusions serviront à préparer les réunions d’examen et de nouvelles activités de renforcement des capacités (</w:t>
            </w:r>
            <w:r>
              <w:rPr>
                <w:rFonts w:ascii="Arial" w:hAnsi="Arial"/>
                <w:b/>
                <w:sz w:val="22"/>
              </w:rPr>
              <w:t>action terminée</w:t>
            </w:r>
            <w:r>
              <w:rPr>
                <w:rFonts w:ascii="Arial" w:hAnsi="Arial"/>
                <w:sz w:val="22"/>
              </w:rPr>
              <w:t>).</w:t>
            </w:r>
          </w:p>
        </w:tc>
      </w:tr>
      <w:tr w:rsidR="00105BFD" w:rsidRPr="00CC11E8" w14:paraId="1A5DA66B" w14:textId="77777777" w:rsidTr="00105BFD">
        <w:tc>
          <w:tcPr>
            <w:tcW w:w="4717" w:type="dxa"/>
            <w:gridSpan w:val="2"/>
            <w:noWrap/>
            <w:tcMar>
              <w:top w:w="40" w:type="dxa"/>
              <w:left w:w="40" w:type="dxa"/>
              <w:bottom w:w="40" w:type="dxa"/>
              <w:right w:w="40" w:type="dxa"/>
            </w:tcMar>
          </w:tcPr>
          <w:p w14:paraId="734DEDA5" w14:textId="77777777" w:rsidR="00105BFD" w:rsidRPr="000D6F3C" w:rsidRDefault="00105BFD" w:rsidP="00105BFD">
            <w:pPr>
              <w:pStyle w:val="Default"/>
              <w:spacing w:before="120" w:after="120"/>
              <w:ind w:left="113" w:right="57"/>
              <w:rPr>
                <w:rFonts w:cs="Arial"/>
                <w:sz w:val="22"/>
                <w:szCs w:val="22"/>
              </w:rPr>
            </w:pPr>
            <w:r w:rsidRPr="000D6F3C">
              <w:rPr>
                <w:rFonts w:cs="Arial"/>
                <w:sz w:val="22"/>
              </w:rPr>
              <w:t>Intégrer des activités particulières et des provisions financières pour les évaluations de politiques dans le programme de renforcement des capacités.</w:t>
            </w:r>
          </w:p>
        </w:tc>
        <w:tc>
          <w:tcPr>
            <w:tcW w:w="1986" w:type="dxa"/>
            <w:gridSpan w:val="2"/>
            <w:noWrap/>
            <w:tcMar>
              <w:top w:w="40" w:type="dxa"/>
              <w:left w:w="40" w:type="dxa"/>
              <w:bottom w:w="40" w:type="dxa"/>
              <w:right w:w="40" w:type="dxa"/>
            </w:tcMar>
          </w:tcPr>
          <w:p w14:paraId="0FA2C7C2" w14:textId="77777777" w:rsidR="00105BFD" w:rsidRPr="00427622" w:rsidRDefault="00105BFD" w:rsidP="00105BFD">
            <w:pPr>
              <w:spacing w:before="120" w:after="120"/>
              <w:ind w:left="57"/>
              <w:rPr>
                <w:rFonts w:ascii="Arial" w:hAnsi="Arial" w:cs="Arial"/>
              </w:rPr>
            </w:pPr>
            <w:r>
              <w:rPr>
                <w:rFonts w:ascii="Arial" w:hAnsi="Arial"/>
                <w:sz w:val="22"/>
              </w:rPr>
              <w:t>En cours</w:t>
            </w:r>
          </w:p>
        </w:tc>
        <w:tc>
          <w:tcPr>
            <w:tcW w:w="7655" w:type="dxa"/>
            <w:noWrap/>
            <w:tcMar>
              <w:top w:w="40" w:type="dxa"/>
              <w:left w:w="40" w:type="dxa"/>
              <w:bottom w:w="40" w:type="dxa"/>
              <w:right w:w="40" w:type="dxa"/>
            </w:tcMar>
          </w:tcPr>
          <w:p w14:paraId="72D617D8" w14:textId="77777777" w:rsidR="00105BFD" w:rsidRPr="0033405D"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Le budget de nouveaux projets de renforcement des capacités inclut systématiquement des provisions pour les évaluations/le développement de politiques.</w:t>
            </w:r>
          </w:p>
        </w:tc>
      </w:tr>
      <w:tr w:rsidR="00105BFD" w:rsidRPr="00CC11E8" w14:paraId="6D298828" w14:textId="77777777" w:rsidTr="00105BFD">
        <w:tc>
          <w:tcPr>
            <w:tcW w:w="4717" w:type="dxa"/>
            <w:gridSpan w:val="2"/>
            <w:noWrap/>
            <w:tcMar>
              <w:top w:w="40" w:type="dxa"/>
              <w:left w:w="40" w:type="dxa"/>
              <w:bottom w:w="40" w:type="dxa"/>
              <w:right w:w="40" w:type="dxa"/>
            </w:tcMar>
          </w:tcPr>
          <w:p w14:paraId="15C60E8C" w14:textId="77777777" w:rsidR="00105BFD" w:rsidRPr="000D6F3C" w:rsidRDefault="00105BFD" w:rsidP="00105BFD">
            <w:pPr>
              <w:pStyle w:val="Default"/>
              <w:spacing w:before="120" w:after="120"/>
              <w:ind w:left="113" w:right="57"/>
              <w:rPr>
                <w:rFonts w:cs="Arial"/>
                <w:sz w:val="22"/>
                <w:szCs w:val="22"/>
              </w:rPr>
            </w:pPr>
            <w:r w:rsidRPr="000D6F3C">
              <w:rPr>
                <w:rFonts w:cs="Arial"/>
                <w:sz w:val="22"/>
              </w:rPr>
              <w:t>Introduire de nouvelles unités sur le genre, le développement durable et le développement des politiques.</w:t>
            </w:r>
          </w:p>
        </w:tc>
        <w:tc>
          <w:tcPr>
            <w:tcW w:w="1986" w:type="dxa"/>
            <w:gridSpan w:val="2"/>
            <w:noWrap/>
            <w:tcMar>
              <w:top w:w="40" w:type="dxa"/>
              <w:left w:w="40" w:type="dxa"/>
              <w:bottom w:w="40" w:type="dxa"/>
              <w:right w:w="40" w:type="dxa"/>
            </w:tcMar>
          </w:tcPr>
          <w:p w14:paraId="6A28C2C2" w14:textId="77777777" w:rsidR="00105BFD" w:rsidRPr="00427622" w:rsidRDefault="00105BFD" w:rsidP="00105BFD">
            <w:pPr>
              <w:spacing w:before="120" w:after="120"/>
              <w:ind w:left="57"/>
              <w:rPr>
                <w:rFonts w:ascii="Arial" w:hAnsi="Arial" w:cs="Arial"/>
              </w:rPr>
            </w:pPr>
            <w:r>
              <w:rPr>
                <w:rFonts w:ascii="Arial" w:hAnsi="Arial"/>
                <w:sz w:val="22"/>
              </w:rPr>
              <w:t>Février 2016</w:t>
            </w:r>
          </w:p>
        </w:tc>
        <w:tc>
          <w:tcPr>
            <w:tcW w:w="7655" w:type="dxa"/>
            <w:noWrap/>
            <w:tcMar>
              <w:top w:w="40" w:type="dxa"/>
              <w:left w:w="40" w:type="dxa"/>
              <w:bottom w:w="40" w:type="dxa"/>
              <w:right w:w="40" w:type="dxa"/>
            </w:tcMar>
          </w:tcPr>
          <w:p w14:paraId="38C48BA1" w14:textId="77777777" w:rsidR="00105BFD" w:rsidRPr="0033405D"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Les nouvelles unités de formation sur le genre (unités 48 et 49) ainsi qu’une brochure d’informations portant sur le sujet en question sont disponibles depuis juin 2015.</w:t>
            </w:r>
          </w:p>
          <w:p w14:paraId="672D82B1" w14:textId="77777777" w:rsidR="00105BFD" w:rsidRPr="0033405D"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Une nouvelle unité de formation relative au développement durable (unité 8) a été révisée conformément au Programme de développement durable à l’horizon 2030 des Nations Unies, et est disponible depuis février 2016.</w:t>
            </w:r>
          </w:p>
          <w:p w14:paraId="57FBAD05" w14:textId="77777777" w:rsidR="00105BFD" w:rsidRPr="0033405D"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Une unité de formation relative au développement de politiques (unité 55) a été préparée et est disponible depuis février 2016 (</w:t>
            </w:r>
            <w:r>
              <w:rPr>
                <w:rFonts w:ascii="Arial" w:hAnsi="Arial"/>
                <w:b/>
                <w:sz w:val="22"/>
              </w:rPr>
              <w:t>action terminée</w:t>
            </w:r>
            <w:r>
              <w:rPr>
                <w:rFonts w:ascii="Arial" w:hAnsi="Arial"/>
                <w:sz w:val="22"/>
              </w:rPr>
              <w:t>).</w:t>
            </w:r>
          </w:p>
        </w:tc>
      </w:tr>
      <w:tr w:rsidR="00105BFD" w:rsidRPr="00CC11E8" w14:paraId="194E517A" w14:textId="77777777" w:rsidTr="00105BFD">
        <w:tc>
          <w:tcPr>
            <w:tcW w:w="14358" w:type="dxa"/>
            <w:gridSpan w:val="5"/>
            <w:shd w:val="clear" w:color="auto" w:fill="E6E6E6"/>
            <w:noWrap/>
            <w:tcMar>
              <w:top w:w="40" w:type="dxa"/>
              <w:left w:w="40" w:type="dxa"/>
              <w:bottom w:w="40" w:type="dxa"/>
              <w:right w:w="40" w:type="dxa"/>
            </w:tcMar>
          </w:tcPr>
          <w:p w14:paraId="6D596396" w14:textId="77777777" w:rsidR="00105BFD" w:rsidRPr="0033405D" w:rsidRDefault="00105BFD" w:rsidP="00105BFD">
            <w:pPr>
              <w:tabs>
                <w:tab w:val="left" w:pos="2640"/>
              </w:tabs>
              <w:spacing w:before="120" w:after="120"/>
              <w:ind w:left="113" w:right="113"/>
              <w:jc w:val="both"/>
              <w:rPr>
                <w:rFonts w:ascii="Arial" w:hAnsi="Arial" w:cs="Arial"/>
                <w:b/>
              </w:rPr>
            </w:pPr>
            <w:r>
              <w:rPr>
                <w:rFonts w:ascii="Arial" w:hAnsi="Arial"/>
                <w:b/>
                <w:sz w:val="22"/>
              </w:rPr>
              <w:lastRenderedPageBreak/>
              <w:t>Recommandation 8 : Promouvoir la LSU en la repositionnant en tant qu’expression de l’engagement des États parties pour la sauvegarde et la mise en œuvre de la Convention, et reconnaître plus particulièrement les États parties qui soumettent des candidatures à la LSU.</w:t>
            </w:r>
          </w:p>
        </w:tc>
      </w:tr>
      <w:tr w:rsidR="00105BFD" w:rsidRPr="00CC11E8" w14:paraId="31E73E85" w14:textId="77777777" w:rsidTr="00105BFD">
        <w:tc>
          <w:tcPr>
            <w:tcW w:w="14358" w:type="dxa"/>
            <w:gridSpan w:val="5"/>
            <w:noWrap/>
            <w:tcMar>
              <w:top w:w="40" w:type="dxa"/>
              <w:left w:w="40" w:type="dxa"/>
              <w:bottom w:w="40" w:type="dxa"/>
              <w:right w:w="40" w:type="dxa"/>
            </w:tcMar>
          </w:tcPr>
          <w:p w14:paraId="6C988305" w14:textId="77777777" w:rsidR="00105BFD" w:rsidRPr="00427622" w:rsidRDefault="00105BFD" w:rsidP="00105BFD">
            <w:pPr>
              <w:spacing w:before="120" w:after="120"/>
              <w:ind w:left="113" w:right="113"/>
              <w:jc w:val="both"/>
              <w:rPr>
                <w:rFonts w:ascii="Arial" w:hAnsi="Arial" w:cs="Arial"/>
              </w:rPr>
            </w:pPr>
            <w:r>
              <w:rPr>
                <w:rFonts w:ascii="Arial" w:hAnsi="Arial"/>
                <w:b/>
                <w:sz w:val="22"/>
              </w:rPr>
              <w:t>Réponse de la direction </w:t>
            </w:r>
            <w:r>
              <w:rPr>
                <w:rFonts w:ascii="Arial" w:hAnsi="Arial"/>
                <w:sz w:val="22"/>
              </w:rPr>
              <w:t>: La publication de la version numérique de la LSU est destinée à mettre l’accent sur son importance. Toutes les opportunités de communication, média et discours sont saisies afin de souligner son importance.</w:t>
            </w:r>
          </w:p>
        </w:tc>
      </w:tr>
      <w:tr w:rsidR="00105BFD" w:rsidRPr="00427622" w14:paraId="55E24331" w14:textId="77777777" w:rsidTr="00105BFD">
        <w:tc>
          <w:tcPr>
            <w:tcW w:w="4717" w:type="dxa"/>
            <w:gridSpan w:val="2"/>
            <w:noWrap/>
            <w:tcMar>
              <w:top w:w="40" w:type="dxa"/>
              <w:left w:w="40" w:type="dxa"/>
              <w:bottom w:w="40" w:type="dxa"/>
              <w:right w:w="40" w:type="dxa"/>
            </w:tcMar>
          </w:tcPr>
          <w:p w14:paraId="0F5636C8" w14:textId="77777777" w:rsidR="00105BFD" w:rsidRPr="00427622" w:rsidRDefault="00105BFD" w:rsidP="00105BFD">
            <w:pPr>
              <w:spacing w:before="120" w:after="12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79804E8D" w14:textId="77777777" w:rsidR="00105BFD" w:rsidRPr="00427622" w:rsidRDefault="00105BFD" w:rsidP="00105BFD">
            <w:pPr>
              <w:spacing w:before="120" w:after="12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4A526465" w14:textId="77777777" w:rsidR="00105BFD" w:rsidRPr="00427622" w:rsidRDefault="00105BFD" w:rsidP="00105BFD">
            <w:pPr>
              <w:spacing w:before="120" w:after="120"/>
              <w:jc w:val="center"/>
              <w:rPr>
                <w:rFonts w:ascii="Arial" w:hAnsi="Arial" w:cs="Arial"/>
                <w:b/>
              </w:rPr>
            </w:pPr>
            <w:r>
              <w:rPr>
                <w:rFonts w:ascii="Arial" w:hAnsi="Arial"/>
                <w:b/>
                <w:sz w:val="22"/>
              </w:rPr>
              <w:t>Statut</w:t>
            </w:r>
          </w:p>
        </w:tc>
      </w:tr>
      <w:tr w:rsidR="00105BFD" w:rsidRPr="00CC11E8" w14:paraId="0059DD92" w14:textId="77777777" w:rsidTr="00105BFD">
        <w:tc>
          <w:tcPr>
            <w:tcW w:w="4717" w:type="dxa"/>
            <w:gridSpan w:val="2"/>
            <w:noWrap/>
            <w:tcMar>
              <w:top w:w="40" w:type="dxa"/>
              <w:left w:w="40" w:type="dxa"/>
              <w:bottom w:w="40" w:type="dxa"/>
              <w:right w:w="40" w:type="dxa"/>
            </w:tcMar>
          </w:tcPr>
          <w:p w14:paraId="64389A19" w14:textId="77777777" w:rsidR="00105BFD" w:rsidRPr="000D6F3C" w:rsidRDefault="00105BFD" w:rsidP="00105BFD">
            <w:pPr>
              <w:pStyle w:val="Default"/>
              <w:spacing w:before="120" w:after="120"/>
              <w:ind w:left="113" w:right="57"/>
              <w:rPr>
                <w:rFonts w:cs="Arial"/>
                <w:sz w:val="22"/>
                <w:szCs w:val="22"/>
              </w:rPr>
            </w:pPr>
            <w:r w:rsidRPr="000D6F3C">
              <w:rPr>
                <w:rFonts w:cs="Arial"/>
                <w:sz w:val="22"/>
              </w:rPr>
              <w:t>Arrêter la publication de brochures d</w:t>
            </w:r>
            <w:r>
              <w:rPr>
                <w:rFonts w:cs="Arial"/>
                <w:sz w:val="22"/>
              </w:rPr>
              <w:t>’</w:t>
            </w:r>
            <w:r w:rsidRPr="000D6F3C">
              <w:rPr>
                <w:rFonts w:cs="Arial"/>
                <w:sz w:val="22"/>
              </w:rPr>
              <w:t xml:space="preserve">éléments inscrits annuellement et publier des brochures uniquement sur la </w:t>
            </w:r>
            <w:r>
              <w:rPr>
                <w:rFonts w:cs="Arial"/>
                <w:sz w:val="22"/>
              </w:rPr>
              <w:t>LSU</w:t>
            </w:r>
            <w:r w:rsidRPr="000D6F3C">
              <w:rPr>
                <w:rFonts w:cs="Arial"/>
                <w:sz w:val="22"/>
              </w:rPr>
              <w:t xml:space="preserve"> et des meilleures pratiques de sauvegarde.</w:t>
            </w:r>
          </w:p>
        </w:tc>
        <w:tc>
          <w:tcPr>
            <w:tcW w:w="1986" w:type="dxa"/>
            <w:gridSpan w:val="2"/>
            <w:noWrap/>
            <w:tcMar>
              <w:top w:w="40" w:type="dxa"/>
              <w:left w:w="40" w:type="dxa"/>
              <w:bottom w:w="40" w:type="dxa"/>
              <w:right w:w="40" w:type="dxa"/>
            </w:tcMar>
          </w:tcPr>
          <w:p w14:paraId="6A7C8F1D" w14:textId="77777777" w:rsidR="00105BFD" w:rsidRPr="0033405D" w:rsidRDefault="00105BFD" w:rsidP="00105BFD">
            <w:pPr>
              <w:spacing w:before="120" w:after="120"/>
              <w:ind w:left="57"/>
              <w:rPr>
                <w:rFonts w:ascii="Arial" w:hAnsi="Arial" w:cs="Arial"/>
              </w:rPr>
            </w:pPr>
            <w:r>
              <w:rPr>
                <w:rFonts w:ascii="Arial" w:hAnsi="Arial"/>
                <w:sz w:val="22"/>
              </w:rPr>
              <w:t>En cours</w:t>
            </w:r>
          </w:p>
        </w:tc>
        <w:tc>
          <w:tcPr>
            <w:tcW w:w="7655" w:type="dxa"/>
            <w:noWrap/>
            <w:tcMar>
              <w:top w:w="40" w:type="dxa"/>
              <w:left w:w="40" w:type="dxa"/>
              <w:bottom w:w="40" w:type="dxa"/>
              <w:right w:w="40" w:type="dxa"/>
            </w:tcMar>
          </w:tcPr>
          <w:p w14:paraId="478B4A2A" w14:textId="77777777" w:rsidR="00105BFD" w:rsidRPr="0033405D"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La publication annuelle d’éléments inscrits a été arrêtée.</w:t>
            </w:r>
          </w:p>
          <w:p w14:paraId="45A9060C" w14:textId="77777777" w:rsidR="00105BFD" w:rsidRPr="0033405D"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 xml:space="preserve">Des brochures sur la LSU et les </w:t>
            </w:r>
            <w:r w:rsidRPr="00D05623">
              <w:rPr>
                <w:rFonts w:ascii="Arial" w:hAnsi="Arial"/>
                <w:sz w:val="22"/>
              </w:rPr>
              <w:t>meilleures pratiques de sauvegarde</w:t>
            </w:r>
            <w:r w:rsidDel="00FE4D26">
              <w:rPr>
                <w:rFonts w:ascii="Arial" w:hAnsi="Arial"/>
                <w:sz w:val="22"/>
              </w:rPr>
              <w:t xml:space="preserve"> </w:t>
            </w:r>
            <w:r>
              <w:rPr>
                <w:rFonts w:ascii="Arial" w:hAnsi="Arial"/>
                <w:sz w:val="22"/>
              </w:rPr>
              <w:t xml:space="preserve">pour les éléments et pratiques inscrits et sélectionnés en 2012 et en 2013 ont été publiées électroniquement en 2014. Les brochures électroniques sur la LSU et les </w:t>
            </w:r>
            <w:r w:rsidRPr="00D05623">
              <w:rPr>
                <w:rFonts w:ascii="Arial" w:hAnsi="Arial"/>
                <w:sz w:val="22"/>
              </w:rPr>
              <w:t>meilleures pratiques de sauvegarde</w:t>
            </w:r>
            <w:r w:rsidDel="00FE4D26">
              <w:rPr>
                <w:rFonts w:ascii="Arial" w:hAnsi="Arial"/>
                <w:sz w:val="22"/>
              </w:rPr>
              <w:t xml:space="preserve"> </w:t>
            </w:r>
            <w:r>
              <w:rPr>
                <w:rFonts w:ascii="Arial" w:hAnsi="Arial"/>
                <w:sz w:val="22"/>
              </w:rPr>
              <w:t>pour les éléments et pratiques inscrits et sélectionnés en 2014 et 2015 sont en cours de préparation.</w:t>
            </w:r>
          </w:p>
        </w:tc>
      </w:tr>
      <w:tr w:rsidR="00105BFD" w:rsidRPr="00CC11E8" w14:paraId="349B69A9" w14:textId="77777777" w:rsidTr="00105BFD">
        <w:tc>
          <w:tcPr>
            <w:tcW w:w="4717" w:type="dxa"/>
            <w:gridSpan w:val="2"/>
            <w:noWrap/>
            <w:tcMar>
              <w:top w:w="40" w:type="dxa"/>
              <w:left w:w="40" w:type="dxa"/>
              <w:bottom w:w="40" w:type="dxa"/>
              <w:right w:w="40" w:type="dxa"/>
            </w:tcMar>
          </w:tcPr>
          <w:p w14:paraId="1295CA09" w14:textId="77777777" w:rsidR="00105BFD" w:rsidRPr="00427622" w:rsidRDefault="00105BFD" w:rsidP="00105BFD">
            <w:pPr>
              <w:spacing w:before="120" w:after="120"/>
              <w:ind w:left="113" w:right="57"/>
              <w:rPr>
                <w:rFonts w:ascii="Arial" w:hAnsi="Arial" w:cs="Arial"/>
              </w:rPr>
            </w:pPr>
            <w:r>
              <w:rPr>
                <w:rFonts w:ascii="Arial" w:hAnsi="Arial"/>
                <w:sz w:val="22"/>
              </w:rPr>
              <w:t>Souligner l’objectif de la LSU, de l’AI dans les présentations, les discours, les interviews avec les médias, les kits médias, les activités de formation, etc.</w:t>
            </w:r>
          </w:p>
        </w:tc>
        <w:tc>
          <w:tcPr>
            <w:tcW w:w="1986" w:type="dxa"/>
            <w:gridSpan w:val="2"/>
            <w:noWrap/>
            <w:tcMar>
              <w:top w:w="40" w:type="dxa"/>
              <w:left w:w="40" w:type="dxa"/>
              <w:bottom w:w="40" w:type="dxa"/>
              <w:right w:w="40" w:type="dxa"/>
            </w:tcMar>
          </w:tcPr>
          <w:p w14:paraId="17748441" w14:textId="77777777" w:rsidR="00105BFD" w:rsidRPr="0033405D" w:rsidRDefault="00105BFD" w:rsidP="00105BFD">
            <w:pPr>
              <w:spacing w:before="120" w:after="120"/>
              <w:ind w:left="57"/>
              <w:rPr>
                <w:rFonts w:ascii="Arial" w:hAnsi="Arial" w:cs="Arial"/>
              </w:rPr>
            </w:pPr>
            <w:r>
              <w:rPr>
                <w:rFonts w:ascii="Arial" w:hAnsi="Arial"/>
                <w:sz w:val="22"/>
              </w:rPr>
              <w:t>En cours</w:t>
            </w:r>
          </w:p>
        </w:tc>
        <w:tc>
          <w:tcPr>
            <w:tcW w:w="7655" w:type="dxa"/>
            <w:noWrap/>
            <w:tcMar>
              <w:top w:w="40" w:type="dxa"/>
              <w:left w:w="40" w:type="dxa"/>
              <w:bottom w:w="40" w:type="dxa"/>
              <w:right w:w="40" w:type="dxa"/>
            </w:tcMar>
          </w:tcPr>
          <w:p w14:paraId="6C02704F" w14:textId="77777777" w:rsidR="00105BFD" w:rsidRPr="0033405D"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L’objectif de la LSU, de l’IA et de la LR est souligné dans la version actuelle des supports de formation, des présentations, des discours, etc.</w:t>
            </w:r>
          </w:p>
        </w:tc>
      </w:tr>
      <w:tr w:rsidR="00105BFD" w:rsidRPr="00CC11E8" w14:paraId="050CCF63" w14:textId="77777777" w:rsidTr="00105BFD">
        <w:tc>
          <w:tcPr>
            <w:tcW w:w="14358" w:type="dxa"/>
            <w:gridSpan w:val="5"/>
            <w:shd w:val="clear" w:color="auto" w:fill="E6E6E6"/>
            <w:noWrap/>
            <w:tcMar>
              <w:top w:w="40" w:type="dxa"/>
              <w:left w:w="40" w:type="dxa"/>
              <w:bottom w:w="40" w:type="dxa"/>
              <w:right w:w="40" w:type="dxa"/>
            </w:tcMar>
          </w:tcPr>
          <w:p w14:paraId="49315814" w14:textId="77777777" w:rsidR="00105BFD" w:rsidRPr="0033405D" w:rsidRDefault="00105BFD" w:rsidP="00105BFD">
            <w:pPr>
              <w:pageBreakBefore/>
              <w:tabs>
                <w:tab w:val="left" w:pos="2640"/>
              </w:tabs>
              <w:spacing w:before="120" w:after="120"/>
              <w:ind w:left="113" w:right="113"/>
              <w:jc w:val="both"/>
              <w:rPr>
                <w:rFonts w:ascii="Arial" w:hAnsi="Arial" w:cs="Arial"/>
                <w:b/>
              </w:rPr>
            </w:pPr>
            <w:r>
              <w:rPr>
                <w:rFonts w:ascii="Arial" w:hAnsi="Arial"/>
                <w:b/>
                <w:sz w:val="22"/>
              </w:rPr>
              <w:lastRenderedPageBreak/>
              <w:t>Recommandation 9 : Corriger auprès des États parties et des autres parties prenantes toutes les idées fausses sur l’objectif et l’utilisation de la Liste représentative.</w:t>
            </w:r>
          </w:p>
        </w:tc>
      </w:tr>
      <w:tr w:rsidR="00105BFD" w:rsidRPr="00427622" w14:paraId="65172696" w14:textId="77777777" w:rsidTr="00105BFD">
        <w:tc>
          <w:tcPr>
            <w:tcW w:w="14358" w:type="dxa"/>
            <w:gridSpan w:val="5"/>
            <w:noWrap/>
            <w:tcMar>
              <w:top w:w="40" w:type="dxa"/>
              <w:left w:w="40" w:type="dxa"/>
              <w:bottom w:w="40" w:type="dxa"/>
              <w:right w:w="40" w:type="dxa"/>
            </w:tcMar>
          </w:tcPr>
          <w:p w14:paraId="577CAD74" w14:textId="77777777" w:rsidR="00105BFD" w:rsidRPr="00427622" w:rsidRDefault="00105BFD" w:rsidP="00105BFD">
            <w:pPr>
              <w:spacing w:before="120" w:after="120"/>
              <w:ind w:left="113" w:right="113"/>
              <w:jc w:val="both"/>
              <w:rPr>
                <w:rFonts w:ascii="Arial" w:hAnsi="Arial" w:cs="Arial"/>
              </w:rPr>
            </w:pPr>
            <w:r>
              <w:rPr>
                <w:rFonts w:ascii="Arial" w:hAnsi="Arial"/>
                <w:b/>
                <w:sz w:val="22"/>
              </w:rPr>
              <w:t>Réponse de la direction </w:t>
            </w:r>
            <w:r>
              <w:rPr>
                <w:rFonts w:ascii="Arial" w:hAnsi="Arial"/>
                <w:sz w:val="22"/>
              </w:rPr>
              <w:t>: Toutes les opportunités de communication, média, discours et supports de renforcement des capacités sont saisies afin de souligner l’objet et l’utilisation de la Liste représentative.</w:t>
            </w:r>
          </w:p>
        </w:tc>
      </w:tr>
      <w:tr w:rsidR="00105BFD" w:rsidRPr="00427622" w14:paraId="2C232055" w14:textId="77777777" w:rsidTr="00105BFD">
        <w:trPr>
          <w:trHeight w:val="536"/>
        </w:trPr>
        <w:tc>
          <w:tcPr>
            <w:tcW w:w="4717" w:type="dxa"/>
            <w:gridSpan w:val="2"/>
            <w:noWrap/>
            <w:tcMar>
              <w:top w:w="40" w:type="dxa"/>
              <w:left w:w="40" w:type="dxa"/>
              <w:bottom w:w="40" w:type="dxa"/>
              <w:right w:w="40" w:type="dxa"/>
            </w:tcMar>
          </w:tcPr>
          <w:p w14:paraId="44303477" w14:textId="77777777" w:rsidR="00105BFD" w:rsidRPr="00427622" w:rsidRDefault="00105BFD" w:rsidP="00105BFD">
            <w:pPr>
              <w:keepNext/>
              <w:spacing w:before="120" w:after="12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08598942" w14:textId="77777777" w:rsidR="00105BFD" w:rsidRPr="00427622" w:rsidRDefault="00105BFD" w:rsidP="00105BFD">
            <w:pPr>
              <w:keepNext/>
              <w:spacing w:before="120" w:after="12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6DF35C26" w14:textId="77777777" w:rsidR="00105BFD" w:rsidRPr="00427622" w:rsidRDefault="00105BFD" w:rsidP="00105BFD">
            <w:pPr>
              <w:keepNext/>
              <w:spacing w:before="120" w:after="120"/>
              <w:jc w:val="center"/>
              <w:rPr>
                <w:rFonts w:ascii="Arial" w:hAnsi="Arial" w:cs="Arial"/>
                <w:b/>
              </w:rPr>
            </w:pPr>
            <w:r>
              <w:rPr>
                <w:rFonts w:ascii="Arial" w:hAnsi="Arial"/>
                <w:b/>
                <w:sz w:val="22"/>
              </w:rPr>
              <w:t>Statut</w:t>
            </w:r>
          </w:p>
        </w:tc>
      </w:tr>
      <w:tr w:rsidR="00105BFD" w:rsidRPr="00CC11E8" w14:paraId="0F65512E" w14:textId="77777777" w:rsidTr="00105BFD">
        <w:tc>
          <w:tcPr>
            <w:tcW w:w="4717" w:type="dxa"/>
            <w:gridSpan w:val="2"/>
            <w:noWrap/>
            <w:tcMar>
              <w:top w:w="40" w:type="dxa"/>
              <w:left w:w="40" w:type="dxa"/>
              <w:bottom w:w="40" w:type="dxa"/>
              <w:right w:w="40" w:type="dxa"/>
            </w:tcMar>
          </w:tcPr>
          <w:p w14:paraId="5A9C208A" w14:textId="77777777" w:rsidR="00105BFD" w:rsidRPr="0033405D" w:rsidRDefault="00105BFD" w:rsidP="00105BFD">
            <w:pPr>
              <w:spacing w:before="120" w:after="120"/>
              <w:ind w:left="113" w:right="57"/>
              <w:rPr>
                <w:rFonts w:ascii="Arial" w:hAnsi="Arial" w:cs="Arial"/>
              </w:rPr>
            </w:pPr>
            <w:r>
              <w:rPr>
                <w:rFonts w:ascii="Arial" w:hAnsi="Arial"/>
                <w:sz w:val="22"/>
              </w:rPr>
              <w:t>Mettre en avant l’objectif de la LSU, de l’IA et de la LR dans les présentations, discours, interviews avec les médias, kits de média, activités de formation, etc.</w:t>
            </w:r>
          </w:p>
        </w:tc>
        <w:tc>
          <w:tcPr>
            <w:tcW w:w="1986" w:type="dxa"/>
            <w:gridSpan w:val="2"/>
            <w:noWrap/>
            <w:tcMar>
              <w:top w:w="40" w:type="dxa"/>
              <w:left w:w="40" w:type="dxa"/>
              <w:bottom w:w="40" w:type="dxa"/>
              <w:right w:w="40" w:type="dxa"/>
            </w:tcMar>
          </w:tcPr>
          <w:p w14:paraId="329928CC" w14:textId="77777777" w:rsidR="00105BFD" w:rsidRPr="0033405D" w:rsidRDefault="00105BFD" w:rsidP="00105BFD">
            <w:pPr>
              <w:spacing w:before="120" w:after="120"/>
              <w:ind w:left="57"/>
              <w:rPr>
                <w:rFonts w:ascii="Arial" w:hAnsi="Arial" w:cs="Arial"/>
              </w:rPr>
            </w:pPr>
            <w:r>
              <w:rPr>
                <w:rFonts w:ascii="Arial" w:hAnsi="Arial"/>
                <w:sz w:val="22"/>
              </w:rPr>
              <w:t>En cours</w:t>
            </w:r>
          </w:p>
        </w:tc>
        <w:tc>
          <w:tcPr>
            <w:tcW w:w="7655" w:type="dxa"/>
            <w:noWrap/>
            <w:tcMar>
              <w:top w:w="40" w:type="dxa"/>
              <w:left w:w="40" w:type="dxa"/>
              <w:bottom w:w="40" w:type="dxa"/>
              <w:right w:w="40" w:type="dxa"/>
            </w:tcMar>
          </w:tcPr>
          <w:p w14:paraId="38BEEBB5" w14:textId="77777777" w:rsidR="00105BFD" w:rsidRPr="0033405D"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L’objectif la LSU, de l’AI et de la LR est souligné dans la version actuelle des supports de formation, des présentations, des discours, interviews avec les médias, kits de média, etc.</w:t>
            </w:r>
          </w:p>
        </w:tc>
      </w:tr>
      <w:tr w:rsidR="00105BFD" w:rsidRPr="00CC11E8" w14:paraId="2AFC610B" w14:textId="77777777" w:rsidTr="00105BFD">
        <w:tc>
          <w:tcPr>
            <w:tcW w:w="14358" w:type="dxa"/>
            <w:gridSpan w:val="5"/>
            <w:shd w:val="clear" w:color="auto" w:fill="E6E6E6"/>
            <w:noWrap/>
            <w:tcMar>
              <w:top w:w="40" w:type="dxa"/>
              <w:left w:w="40" w:type="dxa"/>
              <w:bottom w:w="40" w:type="dxa"/>
              <w:right w:w="40" w:type="dxa"/>
            </w:tcMar>
          </w:tcPr>
          <w:p w14:paraId="3CE7FDB2" w14:textId="77777777" w:rsidR="00105BFD" w:rsidRPr="00427622" w:rsidRDefault="00105BFD" w:rsidP="00105BFD">
            <w:pPr>
              <w:tabs>
                <w:tab w:val="left" w:pos="2640"/>
              </w:tabs>
              <w:spacing w:before="80" w:after="60"/>
              <w:ind w:left="113" w:right="113"/>
              <w:jc w:val="both"/>
              <w:rPr>
                <w:rFonts w:ascii="Arial" w:hAnsi="Arial" w:cs="Arial"/>
                <w:b/>
              </w:rPr>
            </w:pPr>
            <w:r>
              <w:rPr>
                <w:rFonts w:ascii="Arial" w:hAnsi="Arial"/>
                <w:b/>
                <w:sz w:val="22"/>
              </w:rPr>
              <w:t>Recommandation 10 : S’assurer que l’inscription des éléments sur la Liste représentative reflète plus précisément les critères et procédures indiqués au Chapitre I.2 des Directives opérationnelles de la Convention.</w:t>
            </w:r>
          </w:p>
        </w:tc>
      </w:tr>
      <w:tr w:rsidR="00105BFD" w:rsidRPr="00CC11E8" w14:paraId="07838144" w14:textId="77777777" w:rsidTr="00105BFD">
        <w:tc>
          <w:tcPr>
            <w:tcW w:w="14358" w:type="dxa"/>
            <w:gridSpan w:val="5"/>
            <w:noWrap/>
            <w:tcMar>
              <w:top w:w="40" w:type="dxa"/>
              <w:left w:w="40" w:type="dxa"/>
              <w:bottom w:w="40" w:type="dxa"/>
              <w:right w:w="40" w:type="dxa"/>
            </w:tcMar>
          </w:tcPr>
          <w:p w14:paraId="2F23B27F" w14:textId="77777777" w:rsidR="00105BFD" w:rsidRPr="00427622" w:rsidRDefault="00105BFD" w:rsidP="00105BFD">
            <w:pPr>
              <w:spacing w:before="120" w:after="60"/>
              <w:ind w:left="113" w:right="113"/>
              <w:jc w:val="both"/>
              <w:rPr>
                <w:rFonts w:ascii="Arial" w:hAnsi="Arial" w:cs="Arial"/>
              </w:rPr>
            </w:pPr>
            <w:r>
              <w:rPr>
                <w:rFonts w:ascii="Arial" w:hAnsi="Arial"/>
                <w:b/>
                <w:sz w:val="22"/>
              </w:rPr>
              <w:t>Réponse de la direction </w:t>
            </w:r>
            <w:r>
              <w:rPr>
                <w:rFonts w:ascii="Arial" w:hAnsi="Arial"/>
                <w:sz w:val="22"/>
              </w:rPr>
              <w:t>: À appliquer par le Comité et ses Organes consultatifs ; le Secrétariat inclut ce point dans les sessions de formation pour l’Organe d’évaluation.</w:t>
            </w:r>
          </w:p>
        </w:tc>
      </w:tr>
      <w:tr w:rsidR="00105BFD" w:rsidRPr="00427622" w14:paraId="6872DE08" w14:textId="77777777" w:rsidTr="00105BFD">
        <w:trPr>
          <w:trHeight w:val="586"/>
        </w:trPr>
        <w:tc>
          <w:tcPr>
            <w:tcW w:w="4717" w:type="dxa"/>
            <w:gridSpan w:val="2"/>
            <w:noWrap/>
            <w:tcMar>
              <w:top w:w="40" w:type="dxa"/>
              <w:left w:w="40" w:type="dxa"/>
              <w:bottom w:w="40" w:type="dxa"/>
              <w:right w:w="40" w:type="dxa"/>
            </w:tcMar>
          </w:tcPr>
          <w:p w14:paraId="5B02B9FC" w14:textId="77777777" w:rsidR="00105BFD" w:rsidRPr="00427622" w:rsidRDefault="00105BFD" w:rsidP="00105BFD">
            <w:pPr>
              <w:spacing w:before="80" w:after="80"/>
              <w:ind w:left="113"/>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12A5DFCD" w14:textId="77777777" w:rsidR="00105BFD" w:rsidRPr="00427622" w:rsidRDefault="00105BFD" w:rsidP="00105BFD">
            <w:pPr>
              <w:spacing w:before="120" w:after="120"/>
              <w:jc w:val="center"/>
              <w:rPr>
                <w:rFonts w:ascii="Arial" w:hAnsi="Arial" w:cs="Arial"/>
                <w:b/>
                <w:bCs/>
                <w:i/>
                <w:iCs/>
              </w:rPr>
            </w:pPr>
            <w:r>
              <w:rPr>
                <w:rFonts w:ascii="Arial" w:hAnsi="Arial"/>
                <w:b/>
                <w:sz w:val="22"/>
              </w:rPr>
              <w:t>Date prévue de mise en œuvre</w:t>
            </w:r>
          </w:p>
        </w:tc>
        <w:tc>
          <w:tcPr>
            <w:tcW w:w="7655" w:type="dxa"/>
            <w:noWrap/>
            <w:tcMar>
              <w:top w:w="40" w:type="dxa"/>
              <w:left w:w="40" w:type="dxa"/>
              <w:bottom w:w="40" w:type="dxa"/>
              <w:right w:w="40" w:type="dxa"/>
            </w:tcMar>
          </w:tcPr>
          <w:p w14:paraId="00877A7E" w14:textId="77777777" w:rsidR="00105BFD" w:rsidRPr="00427622" w:rsidRDefault="00105BFD" w:rsidP="00105BFD">
            <w:pPr>
              <w:spacing w:before="80" w:after="80"/>
              <w:ind w:left="113"/>
              <w:jc w:val="center"/>
              <w:rPr>
                <w:rFonts w:ascii="Arial" w:hAnsi="Arial" w:cs="Arial"/>
                <w:b/>
              </w:rPr>
            </w:pPr>
            <w:r>
              <w:rPr>
                <w:rFonts w:ascii="Arial" w:hAnsi="Arial"/>
                <w:b/>
                <w:sz w:val="22"/>
              </w:rPr>
              <w:t>Statut</w:t>
            </w:r>
          </w:p>
        </w:tc>
      </w:tr>
      <w:tr w:rsidR="00105BFD" w:rsidRPr="00CC11E8" w14:paraId="61FBA8FB" w14:textId="77777777" w:rsidTr="00105BFD">
        <w:tc>
          <w:tcPr>
            <w:tcW w:w="4717" w:type="dxa"/>
            <w:gridSpan w:val="2"/>
            <w:shd w:val="clear" w:color="auto" w:fill="FFFFFF"/>
            <w:noWrap/>
            <w:tcMar>
              <w:top w:w="40" w:type="dxa"/>
              <w:left w:w="40" w:type="dxa"/>
              <w:bottom w:w="40" w:type="dxa"/>
              <w:right w:w="40" w:type="dxa"/>
            </w:tcMar>
          </w:tcPr>
          <w:p w14:paraId="19BCC3D5" w14:textId="77777777" w:rsidR="00105BFD" w:rsidRPr="000D6F3C" w:rsidRDefault="00105BFD" w:rsidP="00105BFD">
            <w:pPr>
              <w:pStyle w:val="Default"/>
              <w:spacing w:before="80" w:after="80"/>
              <w:ind w:left="113" w:right="57"/>
              <w:rPr>
                <w:rFonts w:cs="Arial"/>
                <w:sz w:val="22"/>
                <w:szCs w:val="22"/>
              </w:rPr>
            </w:pPr>
            <w:r w:rsidRPr="000D6F3C">
              <w:rPr>
                <w:rFonts w:cs="Arial"/>
                <w:sz w:val="22"/>
              </w:rPr>
              <w:t>Préparer l</w:t>
            </w:r>
            <w:r>
              <w:rPr>
                <w:rFonts w:cs="Arial"/>
                <w:sz w:val="22"/>
              </w:rPr>
              <w:t>’</w:t>
            </w:r>
            <w:r w:rsidRPr="000D6F3C">
              <w:rPr>
                <w:rFonts w:cs="Arial"/>
                <w:sz w:val="22"/>
              </w:rPr>
              <w:t>évaluation de la mise en œuvre des décisions précédentes du Comité en relation avec l</w:t>
            </w:r>
            <w:r>
              <w:rPr>
                <w:rFonts w:cs="Arial"/>
                <w:sz w:val="22"/>
              </w:rPr>
              <w:t>’</w:t>
            </w:r>
            <w:r w:rsidRPr="000D6F3C">
              <w:rPr>
                <w:rFonts w:cs="Arial"/>
                <w:sz w:val="22"/>
              </w:rPr>
              <w:t>inscription d</w:t>
            </w:r>
            <w:r>
              <w:rPr>
                <w:rFonts w:cs="Arial"/>
                <w:sz w:val="22"/>
              </w:rPr>
              <w:t>’</w:t>
            </w:r>
            <w:r w:rsidRPr="000D6F3C">
              <w:rPr>
                <w:rFonts w:cs="Arial"/>
                <w:sz w:val="22"/>
              </w:rPr>
              <w:t>éléments, la sélection de propositions au Registre des meilleures pratiques de sauvegarde, et l</w:t>
            </w:r>
            <w:r>
              <w:rPr>
                <w:rFonts w:cs="Arial"/>
                <w:sz w:val="22"/>
              </w:rPr>
              <w:t>’</w:t>
            </w:r>
            <w:r w:rsidRPr="000D6F3C">
              <w:rPr>
                <w:rFonts w:cs="Arial"/>
                <w:sz w:val="22"/>
              </w:rPr>
              <w:t>approbation de demandes d</w:t>
            </w:r>
            <w:r>
              <w:rPr>
                <w:rFonts w:cs="Arial"/>
                <w:sz w:val="22"/>
              </w:rPr>
              <w:t>’</w:t>
            </w:r>
            <w:r w:rsidRPr="000D6F3C">
              <w:rPr>
                <w:rFonts w:cs="Arial"/>
                <w:sz w:val="22"/>
              </w:rPr>
              <w:t>assistance internationale.</w:t>
            </w:r>
          </w:p>
        </w:tc>
        <w:tc>
          <w:tcPr>
            <w:tcW w:w="1986" w:type="dxa"/>
            <w:gridSpan w:val="2"/>
            <w:shd w:val="clear" w:color="auto" w:fill="FFFFFF"/>
            <w:noWrap/>
            <w:tcMar>
              <w:top w:w="40" w:type="dxa"/>
              <w:left w:w="40" w:type="dxa"/>
              <w:bottom w:w="40" w:type="dxa"/>
              <w:right w:w="40" w:type="dxa"/>
            </w:tcMar>
          </w:tcPr>
          <w:p w14:paraId="79B18908" w14:textId="77777777" w:rsidR="00105BFD" w:rsidRPr="00427622" w:rsidRDefault="00105BFD" w:rsidP="00105BFD">
            <w:pPr>
              <w:spacing w:before="80" w:after="80"/>
              <w:ind w:left="57"/>
              <w:rPr>
                <w:rFonts w:ascii="Arial" w:hAnsi="Arial" w:cs="Arial"/>
              </w:rPr>
            </w:pPr>
            <w:r>
              <w:rPr>
                <w:rFonts w:ascii="Arial" w:hAnsi="Arial"/>
                <w:sz w:val="22"/>
              </w:rPr>
              <w:t>Décembre 2014</w:t>
            </w:r>
          </w:p>
        </w:tc>
        <w:tc>
          <w:tcPr>
            <w:tcW w:w="7655" w:type="dxa"/>
            <w:shd w:val="clear" w:color="auto" w:fill="FFFFFF"/>
            <w:noWrap/>
            <w:tcMar>
              <w:top w:w="40" w:type="dxa"/>
              <w:left w:w="40" w:type="dxa"/>
              <w:bottom w:w="40" w:type="dxa"/>
              <w:right w:w="40" w:type="dxa"/>
            </w:tcMar>
          </w:tcPr>
          <w:p w14:paraId="2AE30320" w14:textId="77777777" w:rsidR="00105BFD" w:rsidRPr="00427622" w:rsidRDefault="00105BFD" w:rsidP="00105BFD">
            <w:pPr>
              <w:pStyle w:val="ListParagraph"/>
              <w:numPr>
                <w:ilvl w:val="0"/>
                <w:numId w:val="11"/>
              </w:numPr>
              <w:spacing w:before="80" w:beforeAutospacing="0" w:after="80" w:afterAutospacing="0"/>
              <w:ind w:left="470" w:hanging="357"/>
              <w:contextualSpacing/>
              <w:rPr>
                <w:rFonts w:ascii="Arial" w:hAnsi="Arial" w:cs="Arial"/>
              </w:rPr>
            </w:pPr>
            <w:r>
              <w:rPr>
                <w:rFonts w:ascii="Arial" w:hAnsi="Arial"/>
                <w:sz w:val="22"/>
              </w:rPr>
              <w:t>Le Secrétariat a préparé l’évaluation et l’a présentée en tant que document de travail pour examen par le Comité lors de sa neuvième session (</w:t>
            </w:r>
            <w:r w:rsidRPr="006D6396">
              <w:rPr>
                <w:rFonts w:ascii="Arial" w:hAnsi="Arial"/>
                <w:sz w:val="22"/>
              </w:rPr>
              <w:t>document </w:t>
            </w:r>
            <w:hyperlink r:id="rId36" w:history="1">
              <w:r w:rsidRPr="006D6396">
                <w:rPr>
                  <w:rStyle w:val="Hyperlink"/>
                  <w:rFonts w:ascii="Arial" w:hAnsi="Arial"/>
                  <w:sz w:val="22"/>
                </w:rPr>
                <w:t>ITH/14/9.COM/13.d</w:t>
              </w:r>
            </w:hyperlink>
            <w:r w:rsidRPr="006D6396">
              <w:rPr>
                <w:rStyle w:val="Hyperlink"/>
                <w:rFonts w:ascii="Arial" w:hAnsi="Arial"/>
                <w:color w:val="auto"/>
                <w:sz w:val="22"/>
                <w:u w:val="none"/>
              </w:rPr>
              <w:t>)</w:t>
            </w:r>
            <w:r>
              <w:rPr>
                <w:rFonts w:ascii="Arial" w:hAnsi="Arial"/>
                <w:sz w:val="22"/>
              </w:rPr>
              <w:t xml:space="preserve"> (</w:t>
            </w:r>
            <w:r>
              <w:rPr>
                <w:rFonts w:ascii="Arial" w:hAnsi="Arial"/>
                <w:b/>
                <w:sz w:val="22"/>
              </w:rPr>
              <w:t>action terminée</w:t>
            </w:r>
            <w:r>
              <w:rPr>
                <w:rFonts w:ascii="Arial" w:hAnsi="Arial"/>
                <w:sz w:val="22"/>
              </w:rPr>
              <w:t>).</w:t>
            </w:r>
          </w:p>
        </w:tc>
      </w:tr>
      <w:tr w:rsidR="00105BFD" w:rsidRPr="00CC11E8" w14:paraId="39D6DF93" w14:textId="77777777" w:rsidTr="00105BFD">
        <w:tc>
          <w:tcPr>
            <w:tcW w:w="4717" w:type="dxa"/>
            <w:gridSpan w:val="2"/>
            <w:noWrap/>
            <w:tcMar>
              <w:top w:w="40" w:type="dxa"/>
              <w:left w:w="40" w:type="dxa"/>
              <w:bottom w:w="40" w:type="dxa"/>
              <w:right w:w="40" w:type="dxa"/>
            </w:tcMar>
          </w:tcPr>
          <w:p w14:paraId="0E8E9488" w14:textId="77777777" w:rsidR="00105BFD" w:rsidRPr="000D6F3C" w:rsidRDefault="00105BFD" w:rsidP="00105BFD">
            <w:pPr>
              <w:pStyle w:val="Default"/>
              <w:spacing w:before="80" w:after="80"/>
              <w:ind w:left="113" w:right="57"/>
              <w:rPr>
                <w:rFonts w:cs="Arial"/>
                <w:sz w:val="22"/>
                <w:szCs w:val="22"/>
              </w:rPr>
            </w:pPr>
            <w:r w:rsidRPr="000D6F3C">
              <w:rPr>
                <w:rFonts w:cs="Arial"/>
                <w:sz w:val="22"/>
              </w:rPr>
              <w:t>Le Secrétariat doit inclure ce point dans les sessions de formation pour l</w:t>
            </w:r>
            <w:r>
              <w:rPr>
                <w:rFonts w:cs="Arial"/>
                <w:sz w:val="22"/>
              </w:rPr>
              <w:t>’</w:t>
            </w:r>
            <w:r w:rsidRPr="000D6F3C">
              <w:rPr>
                <w:rFonts w:cs="Arial"/>
                <w:sz w:val="22"/>
              </w:rPr>
              <w:t>Organe d</w:t>
            </w:r>
            <w:r>
              <w:rPr>
                <w:rFonts w:cs="Arial"/>
                <w:sz w:val="22"/>
              </w:rPr>
              <w:t>’</w:t>
            </w:r>
            <w:r w:rsidRPr="000D6F3C">
              <w:rPr>
                <w:rFonts w:cs="Arial"/>
                <w:sz w:val="22"/>
              </w:rPr>
              <w:t xml:space="preserve">évaluation. </w:t>
            </w:r>
          </w:p>
        </w:tc>
        <w:tc>
          <w:tcPr>
            <w:tcW w:w="1986" w:type="dxa"/>
            <w:gridSpan w:val="2"/>
            <w:noWrap/>
            <w:tcMar>
              <w:top w:w="40" w:type="dxa"/>
              <w:left w:w="40" w:type="dxa"/>
              <w:bottom w:w="40" w:type="dxa"/>
              <w:right w:w="40" w:type="dxa"/>
            </w:tcMar>
          </w:tcPr>
          <w:p w14:paraId="0EE4D5BD" w14:textId="77777777" w:rsidR="00105BFD" w:rsidRPr="00427622" w:rsidRDefault="00105BFD" w:rsidP="00105BFD">
            <w:pPr>
              <w:spacing w:before="80" w:after="80"/>
              <w:ind w:left="57"/>
              <w:rPr>
                <w:rFonts w:ascii="Arial" w:hAnsi="Arial" w:cs="Arial"/>
              </w:rPr>
            </w:pPr>
            <w:r>
              <w:rPr>
                <w:rFonts w:ascii="Arial" w:hAnsi="Arial"/>
                <w:sz w:val="22"/>
              </w:rPr>
              <w:t>En cours</w:t>
            </w:r>
          </w:p>
        </w:tc>
        <w:tc>
          <w:tcPr>
            <w:tcW w:w="7655" w:type="dxa"/>
            <w:noWrap/>
            <w:tcMar>
              <w:top w:w="40" w:type="dxa"/>
              <w:left w:w="40" w:type="dxa"/>
              <w:bottom w:w="40" w:type="dxa"/>
              <w:right w:w="40" w:type="dxa"/>
            </w:tcMar>
          </w:tcPr>
          <w:p w14:paraId="7BE86D34" w14:textId="77777777" w:rsidR="00105BFD" w:rsidRPr="0033405D" w:rsidRDefault="00105BFD" w:rsidP="00105BFD">
            <w:pPr>
              <w:pStyle w:val="ListParagraph"/>
              <w:numPr>
                <w:ilvl w:val="0"/>
                <w:numId w:val="11"/>
              </w:numPr>
              <w:spacing w:before="80" w:beforeAutospacing="0" w:after="80" w:afterAutospacing="0"/>
              <w:ind w:left="470" w:hanging="357"/>
              <w:contextualSpacing/>
              <w:rPr>
                <w:rFonts w:ascii="Arial" w:hAnsi="Arial" w:cs="Arial"/>
              </w:rPr>
            </w:pPr>
            <w:r>
              <w:rPr>
                <w:rFonts w:ascii="Arial" w:hAnsi="Arial"/>
                <w:sz w:val="22"/>
              </w:rPr>
              <w:t>Les membres de l’Organe d’évaluation ont été formés en avril 2015 et en mars 2016.</w:t>
            </w:r>
          </w:p>
          <w:p w14:paraId="1EB250EA" w14:textId="77777777" w:rsidR="00105BFD" w:rsidRPr="00427622" w:rsidRDefault="00105BFD" w:rsidP="00105BFD">
            <w:pPr>
              <w:pStyle w:val="ListParagraph"/>
              <w:numPr>
                <w:ilvl w:val="0"/>
                <w:numId w:val="11"/>
              </w:numPr>
              <w:spacing w:before="80" w:beforeAutospacing="0" w:after="80" w:afterAutospacing="0"/>
              <w:ind w:left="470" w:hanging="357"/>
              <w:contextualSpacing/>
              <w:rPr>
                <w:rFonts w:ascii="Arial" w:hAnsi="Arial" w:cs="Arial"/>
                <w:b/>
                <w:u w:val="single"/>
              </w:rPr>
            </w:pPr>
            <w:r>
              <w:rPr>
                <w:rFonts w:ascii="Arial" w:hAnsi="Arial"/>
                <w:sz w:val="22"/>
              </w:rPr>
              <w:t>Les nouveaux membres de l’Organe d’évaluation seront formés à chaque cycle.</w:t>
            </w:r>
          </w:p>
        </w:tc>
      </w:tr>
      <w:tr w:rsidR="00105BFD" w:rsidRPr="00CC11E8" w14:paraId="0F9A260E" w14:textId="77777777" w:rsidTr="00105BFD">
        <w:tc>
          <w:tcPr>
            <w:tcW w:w="14358" w:type="dxa"/>
            <w:gridSpan w:val="5"/>
            <w:shd w:val="clear" w:color="auto" w:fill="E6E6E6"/>
            <w:noWrap/>
            <w:tcMar>
              <w:top w:w="40" w:type="dxa"/>
              <w:left w:w="40" w:type="dxa"/>
              <w:bottom w:w="40" w:type="dxa"/>
              <w:right w:w="40" w:type="dxa"/>
            </w:tcMar>
          </w:tcPr>
          <w:p w14:paraId="034BD795" w14:textId="77777777" w:rsidR="00105BFD" w:rsidRPr="00427622" w:rsidRDefault="00105BFD" w:rsidP="00105BFD">
            <w:pPr>
              <w:tabs>
                <w:tab w:val="left" w:pos="2640"/>
              </w:tabs>
              <w:spacing w:before="80" w:after="80"/>
              <w:ind w:left="113" w:right="113"/>
              <w:jc w:val="both"/>
              <w:rPr>
                <w:rFonts w:ascii="Arial" w:hAnsi="Arial" w:cs="Arial"/>
                <w:b/>
              </w:rPr>
            </w:pPr>
            <w:r>
              <w:rPr>
                <w:rFonts w:ascii="Arial" w:hAnsi="Arial"/>
                <w:b/>
                <w:sz w:val="22"/>
              </w:rPr>
              <w:lastRenderedPageBreak/>
              <w:t>Recommandation 11 : Supprimer l’Organe subsidiaire afin que toutes les candidatures soient évaluées par un organe commun et indépendant.</w:t>
            </w:r>
          </w:p>
        </w:tc>
      </w:tr>
      <w:tr w:rsidR="00105BFD" w:rsidRPr="00CC11E8" w14:paraId="0AB2458D" w14:textId="77777777" w:rsidTr="00105BFD">
        <w:tc>
          <w:tcPr>
            <w:tcW w:w="14358" w:type="dxa"/>
            <w:gridSpan w:val="5"/>
            <w:noWrap/>
            <w:tcMar>
              <w:top w:w="40" w:type="dxa"/>
              <w:left w:w="40" w:type="dxa"/>
              <w:bottom w:w="40" w:type="dxa"/>
              <w:right w:w="40" w:type="dxa"/>
            </w:tcMar>
          </w:tcPr>
          <w:p w14:paraId="27B2A009" w14:textId="77777777" w:rsidR="00105BFD" w:rsidRPr="00427622" w:rsidRDefault="00105BFD" w:rsidP="00105BFD">
            <w:pPr>
              <w:spacing w:before="80" w:after="60"/>
              <w:ind w:left="113" w:right="113"/>
              <w:jc w:val="both"/>
              <w:rPr>
                <w:rFonts w:ascii="Arial" w:hAnsi="Arial" w:cs="Arial"/>
              </w:rPr>
            </w:pPr>
            <w:r>
              <w:rPr>
                <w:rFonts w:ascii="Arial" w:hAnsi="Arial"/>
                <w:b/>
                <w:sz w:val="22"/>
              </w:rPr>
              <w:t>Réponse de la direction </w:t>
            </w:r>
            <w:r>
              <w:rPr>
                <w:rFonts w:ascii="Arial" w:hAnsi="Arial"/>
                <w:sz w:val="22"/>
              </w:rPr>
              <w:t>: Les Directives opérationnelles ont été adoptées pour un seul Organe d’évaluation et le nouvel Organe d’évaluation a débuté ses activités en 2015.</w:t>
            </w:r>
          </w:p>
        </w:tc>
      </w:tr>
      <w:tr w:rsidR="00105BFD" w:rsidRPr="00427622" w14:paraId="7D2226D7" w14:textId="77777777" w:rsidTr="00105BFD">
        <w:tc>
          <w:tcPr>
            <w:tcW w:w="4717" w:type="dxa"/>
            <w:gridSpan w:val="2"/>
            <w:noWrap/>
            <w:tcMar>
              <w:top w:w="40" w:type="dxa"/>
              <w:left w:w="40" w:type="dxa"/>
              <w:bottom w:w="40" w:type="dxa"/>
              <w:right w:w="40" w:type="dxa"/>
            </w:tcMar>
          </w:tcPr>
          <w:p w14:paraId="7422E240" w14:textId="77777777" w:rsidR="00105BFD" w:rsidRPr="00427622" w:rsidRDefault="00105BFD" w:rsidP="00105BFD">
            <w:pPr>
              <w:spacing w:before="80" w:after="8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794E9BA5" w14:textId="77777777" w:rsidR="00105BFD" w:rsidRPr="00427622" w:rsidRDefault="00105BFD" w:rsidP="00105BFD">
            <w:pPr>
              <w:spacing w:before="80" w:after="8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57B60672" w14:textId="77777777" w:rsidR="00105BFD" w:rsidRPr="00427622" w:rsidRDefault="00105BFD" w:rsidP="00105BFD">
            <w:pPr>
              <w:spacing w:before="80" w:after="80"/>
              <w:jc w:val="center"/>
              <w:rPr>
                <w:rFonts w:ascii="Arial" w:hAnsi="Arial" w:cs="Arial"/>
                <w:b/>
              </w:rPr>
            </w:pPr>
            <w:r>
              <w:rPr>
                <w:rFonts w:ascii="Arial" w:hAnsi="Arial"/>
                <w:b/>
                <w:sz w:val="22"/>
              </w:rPr>
              <w:t>Statut</w:t>
            </w:r>
          </w:p>
        </w:tc>
      </w:tr>
      <w:tr w:rsidR="00105BFD" w:rsidRPr="00CC11E8" w14:paraId="108BDAC8" w14:textId="77777777" w:rsidTr="00105BFD">
        <w:tc>
          <w:tcPr>
            <w:tcW w:w="4717" w:type="dxa"/>
            <w:gridSpan w:val="2"/>
            <w:shd w:val="clear" w:color="auto" w:fill="FFFFFF"/>
            <w:noWrap/>
            <w:tcMar>
              <w:top w:w="40" w:type="dxa"/>
              <w:left w:w="40" w:type="dxa"/>
              <w:bottom w:w="40" w:type="dxa"/>
              <w:right w:w="40" w:type="dxa"/>
            </w:tcMar>
          </w:tcPr>
          <w:p w14:paraId="223907BC" w14:textId="77777777" w:rsidR="00105BFD" w:rsidRPr="00427622" w:rsidRDefault="00105BFD" w:rsidP="00105BFD">
            <w:pPr>
              <w:spacing w:before="80" w:after="80"/>
              <w:ind w:left="113" w:right="57"/>
              <w:rPr>
                <w:rFonts w:ascii="Arial" w:hAnsi="Arial" w:cs="Arial"/>
              </w:rPr>
            </w:pPr>
            <w:r>
              <w:rPr>
                <w:rFonts w:ascii="Arial" w:hAnsi="Arial"/>
                <w:sz w:val="22"/>
              </w:rPr>
              <w:t>Directives opérationnelles adoptées pour un seul Organe d’évaluation.</w:t>
            </w:r>
          </w:p>
        </w:tc>
        <w:tc>
          <w:tcPr>
            <w:tcW w:w="1986" w:type="dxa"/>
            <w:gridSpan w:val="2"/>
            <w:shd w:val="clear" w:color="auto" w:fill="FFFFFF"/>
            <w:noWrap/>
            <w:tcMar>
              <w:top w:w="40" w:type="dxa"/>
              <w:left w:w="40" w:type="dxa"/>
              <w:bottom w:w="40" w:type="dxa"/>
              <w:right w:w="40" w:type="dxa"/>
            </w:tcMar>
          </w:tcPr>
          <w:p w14:paraId="00EA7411" w14:textId="77777777" w:rsidR="00105BFD" w:rsidRPr="00427622" w:rsidRDefault="00105BFD" w:rsidP="00105BFD">
            <w:pPr>
              <w:spacing w:before="80" w:after="80"/>
              <w:ind w:left="57"/>
              <w:rPr>
                <w:rFonts w:ascii="Arial" w:hAnsi="Arial" w:cs="Arial"/>
              </w:rPr>
            </w:pPr>
            <w:r>
              <w:rPr>
                <w:rFonts w:ascii="Arial" w:hAnsi="Arial"/>
                <w:sz w:val="22"/>
              </w:rPr>
              <w:t>Juin 2014</w:t>
            </w:r>
          </w:p>
        </w:tc>
        <w:tc>
          <w:tcPr>
            <w:tcW w:w="7655" w:type="dxa"/>
            <w:shd w:val="clear" w:color="auto" w:fill="FFFFFF"/>
            <w:noWrap/>
            <w:tcMar>
              <w:top w:w="40" w:type="dxa"/>
              <w:left w:w="40" w:type="dxa"/>
              <w:bottom w:w="40" w:type="dxa"/>
              <w:right w:w="40" w:type="dxa"/>
            </w:tcMar>
          </w:tcPr>
          <w:p w14:paraId="3D736F91" w14:textId="77777777" w:rsidR="00105BFD" w:rsidRPr="0033405D" w:rsidRDefault="00105BFD" w:rsidP="00105BFD">
            <w:pPr>
              <w:pStyle w:val="ListParagraph"/>
              <w:numPr>
                <w:ilvl w:val="0"/>
                <w:numId w:val="11"/>
              </w:numPr>
              <w:spacing w:before="80" w:beforeAutospacing="0" w:after="80" w:afterAutospacing="0"/>
              <w:ind w:left="470" w:hanging="357"/>
              <w:contextualSpacing/>
              <w:rPr>
                <w:rFonts w:ascii="Arial" w:hAnsi="Arial" w:cs="Arial"/>
              </w:rPr>
            </w:pPr>
            <w:r>
              <w:rPr>
                <w:rFonts w:ascii="Arial" w:hAnsi="Arial"/>
                <w:sz w:val="22"/>
              </w:rPr>
              <w:t>L’Assemblée générale, durant sa cinquième session, a décidé (</w:t>
            </w:r>
            <w:hyperlink r:id="rId37">
              <w:r>
                <w:rPr>
                  <w:rStyle w:val="Hyperlink"/>
                  <w:rFonts w:ascii="Arial" w:hAnsi="Arial"/>
                  <w:sz w:val="22"/>
                </w:rPr>
                <w:t>résolution 5.GA 5.1</w:t>
              </w:r>
            </w:hyperlink>
            <w:r>
              <w:rPr>
                <w:rFonts w:ascii="Arial" w:hAnsi="Arial"/>
                <w:sz w:val="22"/>
              </w:rPr>
              <w:t>) que « l’évaluation [de dossiers] est effectuée par un organe consultatif du Comité établi conformément à l’article 8.3 de la Convention, dénommé l’« Organe d’évaluation » (paragraphe 27 des Directives opérationnelles) (</w:t>
            </w:r>
            <w:r>
              <w:rPr>
                <w:rFonts w:ascii="Arial" w:hAnsi="Arial"/>
                <w:b/>
                <w:sz w:val="22"/>
              </w:rPr>
              <w:t>action terminée</w:t>
            </w:r>
            <w:r>
              <w:rPr>
                <w:rFonts w:ascii="Arial" w:hAnsi="Arial"/>
                <w:sz w:val="22"/>
              </w:rPr>
              <w:t>).</w:t>
            </w:r>
          </w:p>
        </w:tc>
      </w:tr>
      <w:tr w:rsidR="00105BFD" w:rsidRPr="00CC11E8" w14:paraId="10FF57C3" w14:textId="77777777" w:rsidTr="00105BFD">
        <w:tc>
          <w:tcPr>
            <w:tcW w:w="4717" w:type="dxa"/>
            <w:gridSpan w:val="2"/>
            <w:shd w:val="clear" w:color="auto" w:fill="FFFFFF"/>
            <w:noWrap/>
            <w:tcMar>
              <w:top w:w="40" w:type="dxa"/>
              <w:left w:w="40" w:type="dxa"/>
              <w:bottom w:w="40" w:type="dxa"/>
              <w:right w:w="40" w:type="dxa"/>
            </w:tcMar>
          </w:tcPr>
          <w:p w14:paraId="6054E613" w14:textId="77777777" w:rsidR="00105BFD" w:rsidRPr="00427622" w:rsidRDefault="00105BFD" w:rsidP="00105BFD">
            <w:pPr>
              <w:spacing w:before="80" w:after="80"/>
              <w:ind w:left="113" w:right="57"/>
              <w:rPr>
                <w:rFonts w:ascii="Arial" w:hAnsi="Arial" w:cs="Arial"/>
              </w:rPr>
            </w:pPr>
            <w:r>
              <w:rPr>
                <w:rFonts w:ascii="Arial" w:hAnsi="Arial"/>
                <w:sz w:val="22"/>
              </w:rPr>
              <w:t>Un seul Organe d’évaluation opérationnel.</w:t>
            </w:r>
          </w:p>
        </w:tc>
        <w:tc>
          <w:tcPr>
            <w:tcW w:w="1986" w:type="dxa"/>
            <w:gridSpan w:val="2"/>
            <w:shd w:val="clear" w:color="auto" w:fill="FFFFFF"/>
            <w:noWrap/>
            <w:tcMar>
              <w:top w:w="40" w:type="dxa"/>
              <w:left w:w="40" w:type="dxa"/>
              <w:bottom w:w="40" w:type="dxa"/>
              <w:right w:w="40" w:type="dxa"/>
            </w:tcMar>
          </w:tcPr>
          <w:p w14:paraId="340B4251" w14:textId="77777777" w:rsidR="00105BFD" w:rsidRPr="00427622" w:rsidRDefault="00105BFD" w:rsidP="00105BFD">
            <w:pPr>
              <w:spacing w:before="80" w:after="80"/>
              <w:ind w:left="57"/>
              <w:rPr>
                <w:rFonts w:ascii="Arial" w:hAnsi="Arial" w:cs="Arial"/>
              </w:rPr>
            </w:pPr>
            <w:r>
              <w:rPr>
                <w:rFonts w:ascii="Arial" w:hAnsi="Arial"/>
                <w:sz w:val="22"/>
              </w:rPr>
              <w:t>Octobre 2015</w:t>
            </w:r>
          </w:p>
        </w:tc>
        <w:tc>
          <w:tcPr>
            <w:tcW w:w="7655" w:type="dxa"/>
            <w:shd w:val="clear" w:color="auto" w:fill="FFFFFF"/>
            <w:noWrap/>
            <w:tcMar>
              <w:top w:w="40" w:type="dxa"/>
              <w:left w:w="40" w:type="dxa"/>
              <w:bottom w:w="40" w:type="dxa"/>
              <w:right w:w="40" w:type="dxa"/>
            </w:tcMar>
          </w:tcPr>
          <w:p w14:paraId="2EFBE7FB" w14:textId="77777777" w:rsidR="00105BFD" w:rsidRPr="00427622" w:rsidRDefault="00105BFD" w:rsidP="00105BFD">
            <w:pPr>
              <w:pStyle w:val="ListParagraph"/>
              <w:numPr>
                <w:ilvl w:val="0"/>
                <w:numId w:val="11"/>
              </w:numPr>
              <w:spacing w:before="80" w:beforeAutospacing="0" w:after="80" w:afterAutospacing="0"/>
              <w:ind w:left="470" w:hanging="357"/>
              <w:contextualSpacing/>
              <w:rPr>
                <w:rFonts w:ascii="Arial" w:hAnsi="Arial" w:cs="Arial"/>
                <w:b/>
                <w:u w:val="single"/>
              </w:rPr>
            </w:pPr>
            <w:r>
              <w:rPr>
                <w:rFonts w:ascii="Arial" w:hAnsi="Arial"/>
                <w:sz w:val="22"/>
              </w:rPr>
              <w:t>Un seul Organe d’évaluation évalue tous les dossiers depuis le cycle 2015 (</w:t>
            </w:r>
            <w:r>
              <w:rPr>
                <w:rFonts w:ascii="Arial" w:hAnsi="Arial"/>
                <w:b/>
                <w:sz w:val="22"/>
              </w:rPr>
              <w:t>action terminée</w:t>
            </w:r>
            <w:r>
              <w:rPr>
                <w:rFonts w:ascii="Arial" w:hAnsi="Arial"/>
                <w:sz w:val="22"/>
              </w:rPr>
              <w:t>).</w:t>
            </w:r>
          </w:p>
        </w:tc>
      </w:tr>
      <w:tr w:rsidR="00105BFD" w:rsidRPr="00427622" w14:paraId="76824690" w14:textId="77777777" w:rsidTr="00105BFD">
        <w:tc>
          <w:tcPr>
            <w:tcW w:w="14358" w:type="dxa"/>
            <w:gridSpan w:val="5"/>
            <w:shd w:val="clear" w:color="auto" w:fill="E6E6E6"/>
            <w:noWrap/>
            <w:tcMar>
              <w:top w:w="40" w:type="dxa"/>
              <w:left w:w="40" w:type="dxa"/>
              <w:bottom w:w="40" w:type="dxa"/>
              <w:right w:w="40" w:type="dxa"/>
            </w:tcMar>
          </w:tcPr>
          <w:p w14:paraId="2ED68392" w14:textId="77777777" w:rsidR="00105BFD" w:rsidRPr="00427622" w:rsidRDefault="00105BFD" w:rsidP="00105BFD">
            <w:pPr>
              <w:tabs>
                <w:tab w:val="left" w:pos="2640"/>
              </w:tabs>
              <w:spacing w:before="60" w:after="60"/>
              <w:ind w:left="113" w:right="113"/>
              <w:jc w:val="both"/>
              <w:rPr>
                <w:rFonts w:ascii="Arial" w:hAnsi="Arial" w:cs="Arial"/>
                <w:b/>
              </w:rPr>
            </w:pPr>
            <w:r>
              <w:rPr>
                <w:rFonts w:ascii="Arial" w:hAnsi="Arial"/>
                <w:b/>
                <w:sz w:val="22"/>
              </w:rPr>
              <w:t>Recommandation 12 : Revoir et compléter le Registre des meilleures pratiques de sauvegarde en développant d’autres moyens plus légers pour partager les expériences de sauvegarde tels que des sites web dédiés, des bulletins d’information électroniques, des forums en ligne, etc. (Cette recommandation est liée à la recommandation 19).</w:t>
            </w:r>
          </w:p>
        </w:tc>
      </w:tr>
      <w:tr w:rsidR="00105BFD" w:rsidRPr="00CC11E8" w14:paraId="08F07E1F" w14:textId="77777777" w:rsidTr="00105BFD">
        <w:tc>
          <w:tcPr>
            <w:tcW w:w="14358" w:type="dxa"/>
            <w:gridSpan w:val="5"/>
            <w:noWrap/>
            <w:tcMar>
              <w:top w:w="40" w:type="dxa"/>
              <w:left w:w="40" w:type="dxa"/>
              <w:bottom w:w="40" w:type="dxa"/>
              <w:right w:w="40" w:type="dxa"/>
            </w:tcMar>
          </w:tcPr>
          <w:p w14:paraId="7ED9E9EF" w14:textId="77777777" w:rsidR="00105BFD" w:rsidRPr="00427622" w:rsidRDefault="00105BFD" w:rsidP="00105BFD">
            <w:pPr>
              <w:spacing w:before="60" w:after="60"/>
              <w:ind w:left="113" w:right="113"/>
              <w:jc w:val="both"/>
              <w:rPr>
                <w:rFonts w:ascii="Arial" w:hAnsi="Arial" w:cs="Arial"/>
              </w:rPr>
            </w:pPr>
            <w:r>
              <w:rPr>
                <w:rFonts w:ascii="Arial" w:hAnsi="Arial"/>
                <w:b/>
                <w:sz w:val="22"/>
              </w:rPr>
              <w:t>Réponse de la direction </w:t>
            </w:r>
            <w:r>
              <w:rPr>
                <w:rFonts w:ascii="Arial" w:hAnsi="Arial"/>
                <w:sz w:val="22"/>
              </w:rPr>
              <w:t>: Différentes parties prenantes, et en particulier le forum des ONG, devront être consultées sur d’autres moyens plus légers. Les bonnes pratiques peuvent être identifiées moyennant l’analyse de rapports périodiques. Compte tenu des ressources financières et humaines limitées, des actions plus importantes visant à promouvoir les exemples de bonnes pratiques de sauvegarde n’ont pas pu être initiées.</w:t>
            </w:r>
          </w:p>
        </w:tc>
      </w:tr>
      <w:tr w:rsidR="00105BFD" w:rsidRPr="00427622" w14:paraId="67A8A777" w14:textId="77777777" w:rsidTr="00105BFD">
        <w:tc>
          <w:tcPr>
            <w:tcW w:w="4717" w:type="dxa"/>
            <w:gridSpan w:val="2"/>
            <w:noWrap/>
            <w:tcMar>
              <w:top w:w="40" w:type="dxa"/>
              <w:left w:w="40" w:type="dxa"/>
              <w:bottom w:w="40" w:type="dxa"/>
              <w:right w:w="40" w:type="dxa"/>
            </w:tcMar>
          </w:tcPr>
          <w:p w14:paraId="0D232E53" w14:textId="77777777" w:rsidR="00105BFD" w:rsidRPr="00427622" w:rsidRDefault="00105BFD" w:rsidP="00105BFD">
            <w:pPr>
              <w:spacing w:before="60" w:after="6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19B4EF6F" w14:textId="77777777" w:rsidR="00105BFD" w:rsidRPr="00427622" w:rsidRDefault="00105BFD" w:rsidP="00105BFD">
            <w:pPr>
              <w:spacing w:before="60" w:after="6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4D524187" w14:textId="77777777" w:rsidR="00105BFD" w:rsidRPr="00427622" w:rsidRDefault="00105BFD" w:rsidP="00105BFD">
            <w:pPr>
              <w:spacing w:before="60" w:after="60"/>
              <w:jc w:val="center"/>
              <w:rPr>
                <w:rFonts w:ascii="Arial" w:hAnsi="Arial" w:cs="Arial"/>
                <w:b/>
              </w:rPr>
            </w:pPr>
            <w:r>
              <w:rPr>
                <w:rFonts w:ascii="Arial" w:hAnsi="Arial"/>
                <w:b/>
                <w:sz w:val="22"/>
              </w:rPr>
              <w:t>Statut</w:t>
            </w:r>
          </w:p>
        </w:tc>
      </w:tr>
      <w:tr w:rsidR="00105BFD" w:rsidRPr="00CC11E8" w14:paraId="648A85EA" w14:textId="77777777" w:rsidTr="00105BFD">
        <w:tc>
          <w:tcPr>
            <w:tcW w:w="4717" w:type="dxa"/>
            <w:gridSpan w:val="2"/>
            <w:shd w:val="clear" w:color="auto" w:fill="FFFFFF"/>
            <w:noWrap/>
            <w:tcMar>
              <w:top w:w="40" w:type="dxa"/>
              <w:left w:w="40" w:type="dxa"/>
              <w:bottom w:w="40" w:type="dxa"/>
              <w:right w:w="40" w:type="dxa"/>
            </w:tcMar>
          </w:tcPr>
          <w:p w14:paraId="4C2D6EC0" w14:textId="77777777" w:rsidR="00105BFD" w:rsidRPr="00427622" w:rsidRDefault="00105BFD" w:rsidP="00105BFD">
            <w:pPr>
              <w:spacing w:before="60" w:after="60"/>
              <w:ind w:left="113" w:right="57"/>
              <w:rPr>
                <w:rFonts w:ascii="Arial" w:hAnsi="Arial" w:cs="Arial"/>
              </w:rPr>
            </w:pPr>
            <w:r>
              <w:rPr>
                <w:rFonts w:ascii="Arial" w:hAnsi="Arial"/>
                <w:sz w:val="22"/>
              </w:rPr>
              <w:t>Consulter différentes parties prenantes, en particulier le forum des ONG, sur d’autres moyens plus légers.</w:t>
            </w:r>
          </w:p>
        </w:tc>
        <w:tc>
          <w:tcPr>
            <w:tcW w:w="1986" w:type="dxa"/>
            <w:gridSpan w:val="2"/>
            <w:shd w:val="clear" w:color="auto" w:fill="FFFFFF"/>
            <w:noWrap/>
            <w:tcMar>
              <w:top w:w="40" w:type="dxa"/>
              <w:left w:w="40" w:type="dxa"/>
              <w:bottom w:w="40" w:type="dxa"/>
              <w:right w:w="40" w:type="dxa"/>
            </w:tcMar>
          </w:tcPr>
          <w:p w14:paraId="05FE9285" w14:textId="77777777" w:rsidR="00105BFD" w:rsidRPr="00427622" w:rsidRDefault="00105BFD" w:rsidP="00105BFD">
            <w:pPr>
              <w:spacing w:before="60" w:after="60"/>
              <w:ind w:left="57"/>
              <w:rPr>
                <w:rFonts w:ascii="Arial" w:hAnsi="Arial" w:cs="Arial"/>
              </w:rPr>
            </w:pPr>
            <w:r>
              <w:rPr>
                <w:rFonts w:ascii="Arial" w:hAnsi="Arial"/>
                <w:sz w:val="22"/>
              </w:rPr>
              <w:t>Octobre 2014</w:t>
            </w:r>
          </w:p>
        </w:tc>
        <w:tc>
          <w:tcPr>
            <w:tcW w:w="7655" w:type="dxa"/>
            <w:shd w:val="clear" w:color="auto" w:fill="FFFFFF"/>
            <w:noWrap/>
            <w:tcMar>
              <w:top w:w="40" w:type="dxa"/>
              <w:left w:w="40" w:type="dxa"/>
              <w:bottom w:w="40" w:type="dxa"/>
              <w:right w:w="40" w:type="dxa"/>
            </w:tcMar>
          </w:tcPr>
          <w:p w14:paraId="1247B8D5" w14:textId="77777777" w:rsidR="00105BFD" w:rsidRPr="00427622" w:rsidRDefault="00105BFD" w:rsidP="00105BFD">
            <w:pPr>
              <w:pStyle w:val="ListParagraph"/>
              <w:numPr>
                <w:ilvl w:val="0"/>
                <w:numId w:val="11"/>
              </w:numPr>
              <w:spacing w:before="60" w:beforeAutospacing="0" w:after="60" w:afterAutospacing="0"/>
              <w:ind w:left="470" w:hanging="357"/>
              <w:contextualSpacing/>
              <w:rPr>
                <w:rFonts w:ascii="Arial" w:hAnsi="Arial" w:cs="Arial"/>
              </w:rPr>
            </w:pPr>
            <w:r>
              <w:rPr>
                <w:rFonts w:ascii="Arial" w:hAnsi="Arial"/>
                <w:sz w:val="22"/>
              </w:rPr>
              <w:t>Les représentants du forum des ONG ont été consultés en décembre 2013, les membres de l’Organe consultatif en septembre 2014 et les centres de catégorie 2 en octobre 2014 (</w:t>
            </w:r>
            <w:r>
              <w:rPr>
                <w:rFonts w:ascii="Arial" w:hAnsi="Arial"/>
                <w:b/>
                <w:sz w:val="22"/>
              </w:rPr>
              <w:t>action terminée</w:t>
            </w:r>
            <w:r>
              <w:rPr>
                <w:rFonts w:ascii="Arial" w:hAnsi="Arial"/>
                <w:sz w:val="22"/>
              </w:rPr>
              <w:t>).</w:t>
            </w:r>
          </w:p>
        </w:tc>
      </w:tr>
      <w:tr w:rsidR="00105BFD" w:rsidRPr="00CC11E8" w14:paraId="705A8DA8" w14:textId="77777777" w:rsidTr="00105BFD">
        <w:tc>
          <w:tcPr>
            <w:tcW w:w="4717" w:type="dxa"/>
            <w:gridSpan w:val="2"/>
            <w:noWrap/>
            <w:tcMar>
              <w:top w:w="40" w:type="dxa"/>
              <w:left w:w="40" w:type="dxa"/>
              <w:bottom w:w="40" w:type="dxa"/>
              <w:right w:w="40" w:type="dxa"/>
            </w:tcMar>
          </w:tcPr>
          <w:p w14:paraId="3140473D" w14:textId="77777777" w:rsidR="00105BFD" w:rsidRPr="00427622" w:rsidRDefault="00105BFD" w:rsidP="00105BFD">
            <w:pPr>
              <w:spacing w:before="60" w:after="60"/>
              <w:ind w:left="113" w:right="57"/>
              <w:rPr>
                <w:rFonts w:ascii="Arial" w:hAnsi="Arial" w:cs="Arial"/>
              </w:rPr>
            </w:pPr>
            <w:r>
              <w:rPr>
                <w:rFonts w:ascii="Arial" w:hAnsi="Arial"/>
                <w:sz w:val="22"/>
              </w:rPr>
              <w:t>Identifier les bonnes pratiques au moyen d’analyses de rapports périodiques.</w:t>
            </w:r>
          </w:p>
        </w:tc>
        <w:tc>
          <w:tcPr>
            <w:tcW w:w="1986" w:type="dxa"/>
            <w:gridSpan w:val="2"/>
            <w:noWrap/>
            <w:tcMar>
              <w:top w:w="40" w:type="dxa"/>
              <w:left w:w="40" w:type="dxa"/>
              <w:bottom w:w="40" w:type="dxa"/>
              <w:right w:w="40" w:type="dxa"/>
            </w:tcMar>
          </w:tcPr>
          <w:p w14:paraId="09F9B1DA" w14:textId="77777777" w:rsidR="00105BFD" w:rsidRPr="00427622" w:rsidRDefault="00105BFD" w:rsidP="00105BFD">
            <w:pPr>
              <w:spacing w:before="60" w:after="60"/>
              <w:ind w:left="57"/>
              <w:rPr>
                <w:rFonts w:ascii="Arial" w:hAnsi="Arial" w:cs="Arial"/>
              </w:rPr>
            </w:pPr>
            <w:r>
              <w:rPr>
                <w:rFonts w:ascii="Arial" w:hAnsi="Arial"/>
                <w:sz w:val="22"/>
              </w:rPr>
              <w:t>En cours</w:t>
            </w:r>
          </w:p>
        </w:tc>
        <w:tc>
          <w:tcPr>
            <w:tcW w:w="7655" w:type="dxa"/>
            <w:noWrap/>
            <w:tcMar>
              <w:top w:w="40" w:type="dxa"/>
              <w:left w:w="40" w:type="dxa"/>
              <w:bottom w:w="40" w:type="dxa"/>
              <w:right w:w="40" w:type="dxa"/>
            </w:tcMar>
          </w:tcPr>
          <w:p w14:paraId="4B289EA2" w14:textId="77777777" w:rsidR="00105BFD" w:rsidRPr="00427622" w:rsidRDefault="00105BFD" w:rsidP="00105BFD">
            <w:pPr>
              <w:pStyle w:val="ListParagraph"/>
              <w:numPr>
                <w:ilvl w:val="0"/>
                <w:numId w:val="11"/>
              </w:numPr>
              <w:spacing w:before="60" w:beforeAutospacing="0" w:after="60" w:afterAutospacing="0"/>
              <w:ind w:left="470" w:hanging="357"/>
              <w:contextualSpacing/>
              <w:rPr>
                <w:rFonts w:ascii="Arial" w:hAnsi="Arial" w:cs="Arial"/>
                <w:b/>
                <w:bCs/>
                <w:i/>
                <w:iCs/>
                <w:u w:val="single"/>
              </w:rPr>
            </w:pPr>
            <w:r>
              <w:rPr>
                <w:rFonts w:ascii="Arial" w:hAnsi="Arial"/>
                <w:sz w:val="22"/>
              </w:rPr>
              <w:t>Les synthèses des 57 rapports périodiques soumis pour examen par le Comité depuis sa neuvième session contiennent des informations sur les pratiques de sauvegarde.</w:t>
            </w:r>
          </w:p>
        </w:tc>
      </w:tr>
      <w:tr w:rsidR="00105BFD" w:rsidRPr="00CC11E8" w14:paraId="64FC72C0" w14:textId="77777777" w:rsidTr="00105BFD">
        <w:tc>
          <w:tcPr>
            <w:tcW w:w="14358" w:type="dxa"/>
            <w:gridSpan w:val="5"/>
            <w:shd w:val="clear" w:color="auto" w:fill="E6E6E6"/>
            <w:noWrap/>
            <w:tcMar>
              <w:top w:w="40" w:type="dxa"/>
              <w:left w:w="40" w:type="dxa"/>
              <w:bottom w:w="40" w:type="dxa"/>
              <w:right w:w="40" w:type="dxa"/>
            </w:tcMar>
          </w:tcPr>
          <w:p w14:paraId="5CF959F2" w14:textId="77777777" w:rsidR="00105BFD" w:rsidRPr="0033405D" w:rsidRDefault="00105BFD" w:rsidP="00105BFD">
            <w:pPr>
              <w:tabs>
                <w:tab w:val="left" w:pos="2640"/>
              </w:tabs>
              <w:spacing w:before="60" w:after="60"/>
              <w:ind w:left="113" w:right="113"/>
              <w:jc w:val="both"/>
              <w:rPr>
                <w:rFonts w:ascii="Arial" w:hAnsi="Arial" w:cs="Arial"/>
                <w:b/>
              </w:rPr>
            </w:pPr>
            <w:r>
              <w:rPr>
                <w:rFonts w:ascii="Arial" w:hAnsi="Arial"/>
                <w:b/>
                <w:sz w:val="22"/>
              </w:rPr>
              <w:lastRenderedPageBreak/>
              <w:t>Recommandation 13 : Donner la priorité aux demandes d’assistance internationale en respectant le nombre maximum de dossiers dans le cadre des mécanismes de la Convention.</w:t>
            </w:r>
          </w:p>
        </w:tc>
      </w:tr>
      <w:tr w:rsidR="00105BFD" w:rsidRPr="00CC11E8" w14:paraId="63C22368" w14:textId="77777777" w:rsidTr="00105BFD">
        <w:tc>
          <w:tcPr>
            <w:tcW w:w="14358" w:type="dxa"/>
            <w:gridSpan w:val="5"/>
            <w:noWrap/>
            <w:tcMar>
              <w:top w:w="40" w:type="dxa"/>
              <w:left w:w="40" w:type="dxa"/>
              <w:bottom w:w="40" w:type="dxa"/>
              <w:right w:w="40" w:type="dxa"/>
            </w:tcMar>
          </w:tcPr>
          <w:p w14:paraId="43CB27C9" w14:textId="77777777" w:rsidR="00105BFD" w:rsidRPr="00427622" w:rsidRDefault="00105BFD" w:rsidP="00105BFD">
            <w:pPr>
              <w:spacing w:before="60" w:after="60"/>
              <w:ind w:left="113" w:right="113"/>
              <w:jc w:val="both"/>
              <w:rPr>
                <w:rFonts w:ascii="Arial" w:hAnsi="Arial" w:cs="Arial"/>
              </w:rPr>
            </w:pPr>
            <w:r>
              <w:rPr>
                <w:rFonts w:ascii="Arial" w:hAnsi="Arial"/>
                <w:b/>
                <w:sz w:val="22"/>
              </w:rPr>
              <w:t>Réponse de la direction </w:t>
            </w:r>
            <w:r>
              <w:rPr>
                <w:rFonts w:ascii="Arial" w:hAnsi="Arial"/>
                <w:sz w:val="22"/>
              </w:rPr>
              <w:t>: Ceci a été proposé par le Secrétariat au Comité lors de sa huitième session (</w:t>
            </w:r>
            <w:r w:rsidRPr="006D6396">
              <w:rPr>
                <w:rFonts w:ascii="Arial" w:hAnsi="Arial"/>
                <w:sz w:val="22"/>
              </w:rPr>
              <w:t>document </w:t>
            </w:r>
            <w:hyperlink r:id="rId38" w:history="1">
              <w:r w:rsidRPr="006D6396">
                <w:rPr>
                  <w:rStyle w:val="Hyperlink"/>
                  <w:rFonts w:ascii="Arial" w:hAnsi="Arial"/>
                  <w:sz w:val="22"/>
                </w:rPr>
                <w:t>ITH/13/8.COM/5.c</w:t>
              </w:r>
            </w:hyperlink>
            <w:r>
              <w:rPr>
                <w:rFonts w:ascii="Arial" w:hAnsi="Arial"/>
                <w:sz w:val="22"/>
              </w:rPr>
              <w:t>) mais a été refusé par ce dernier. Le Secrétariat offre, malgré tout, un important soutien au mécanisme et suivi des demandes d’assistance internationale.</w:t>
            </w:r>
          </w:p>
        </w:tc>
      </w:tr>
      <w:tr w:rsidR="00105BFD" w:rsidRPr="00427622" w14:paraId="0FFC0D3F" w14:textId="77777777" w:rsidTr="00105BFD">
        <w:tc>
          <w:tcPr>
            <w:tcW w:w="4717" w:type="dxa"/>
            <w:gridSpan w:val="2"/>
            <w:noWrap/>
            <w:tcMar>
              <w:top w:w="40" w:type="dxa"/>
              <w:left w:w="40" w:type="dxa"/>
              <w:bottom w:w="40" w:type="dxa"/>
              <w:right w:w="40" w:type="dxa"/>
            </w:tcMar>
          </w:tcPr>
          <w:p w14:paraId="29D5415F" w14:textId="77777777" w:rsidR="00105BFD" w:rsidRPr="00427622" w:rsidRDefault="00105BFD" w:rsidP="00105BFD">
            <w:pPr>
              <w:spacing w:before="60" w:after="6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7539A543" w14:textId="77777777" w:rsidR="00105BFD" w:rsidRPr="00427622" w:rsidRDefault="00105BFD" w:rsidP="00105BFD">
            <w:pPr>
              <w:spacing w:before="60" w:after="6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3F85EDAE" w14:textId="77777777" w:rsidR="00105BFD" w:rsidRPr="00427622" w:rsidRDefault="00105BFD" w:rsidP="00105BFD">
            <w:pPr>
              <w:spacing w:before="60" w:after="60"/>
              <w:jc w:val="center"/>
              <w:rPr>
                <w:rFonts w:ascii="Arial" w:hAnsi="Arial" w:cs="Arial"/>
                <w:b/>
              </w:rPr>
            </w:pPr>
            <w:r>
              <w:rPr>
                <w:rFonts w:ascii="Arial" w:hAnsi="Arial"/>
                <w:b/>
                <w:sz w:val="22"/>
              </w:rPr>
              <w:t>Statut</w:t>
            </w:r>
          </w:p>
        </w:tc>
      </w:tr>
      <w:tr w:rsidR="00105BFD" w:rsidRPr="00CC11E8" w14:paraId="0FF53DBD" w14:textId="77777777" w:rsidTr="00105BFD">
        <w:tc>
          <w:tcPr>
            <w:tcW w:w="4717" w:type="dxa"/>
            <w:gridSpan w:val="2"/>
            <w:noWrap/>
            <w:tcMar>
              <w:top w:w="40" w:type="dxa"/>
              <w:left w:w="40" w:type="dxa"/>
              <w:bottom w:w="40" w:type="dxa"/>
              <w:right w:w="40" w:type="dxa"/>
            </w:tcMar>
          </w:tcPr>
          <w:p w14:paraId="5394E5FA" w14:textId="77777777" w:rsidR="00105BFD" w:rsidRPr="0033405D" w:rsidRDefault="00105BFD" w:rsidP="00105BFD">
            <w:pPr>
              <w:spacing w:before="60" w:after="60"/>
              <w:ind w:left="113" w:right="57"/>
              <w:rPr>
                <w:rFonts w:ascii="Arial" w:hAnsi="Arial" w:cs="Arial"/>
              </w:rPr>
            </w:pPr>
            <w:r>
              <w:rPr>
                <w:rFonts w:ascii="Arial" w:hAnsi="Arial"/>
                <w:sz w:val="22"/>
              </w:rPr>
              <w:t>Proposer un amendement aux Directives opérationnelles pour augmenter la limite des demandes d’assistance internationale susceptibles d’être approuvées par le Bureau (actuellement jusqu’à 25 000 dollars des États-Unis).</w:t>
            </w:r>
          </w:p>
        </w:tc>
        <w:tc>
          <w:tcPr>
            <w:tcW w:w="1986" w:type="dxa"/>
            <w:gridSpan w:val="2"/>
            <w:noWrap/>
            <w:tcMar>
              <w:top w:w="40" w:type="dxa"/>
              <w:left w:w="40" w:type="dxa"/>
              <w:bottom w:w="40" w:type="dxa"/>
              <w:right w:w="40" w:type="dxa"/>
            </w:tcMar>
          </w:tcPr>
          <w:p w14:paraId="12479B96" w14:textId="77777777" w:rsidR="00105BFD" w:rsidRPr="0033405D" w:rsidRDefault="00105BFD" w:rsidP="00105BFD">
            <w:pPr>
              <w:spacing w:before="60" w:after="60"/>
              <w:ind w:left="57"/>
              <w:rPr>
                <w:rFonts w:ascii="Arial" w:hAnsi="Arial" w:cs="Arial"/>
              </w:rPr>
            </w:pPr>
            <w:r>
              <w:rPr>
                <w:rFonts w:ascii="Arial" w:hAnsi="Arial"/>
                <w:sz w:val="22"/>
              </w:rPr>
              <w:t>Décembre 2015</w:t>
            </w:r>
          </w:p>
        </w:tc>
        <w:tc>
          <w:tcPr>
            <w:tcW w:w="7655" w:type="dxa"/>
            <w:noWrap/>
            <w:tcMar>
              <w:top w:w="40" w:type="dxa"/>
              <w:left w:w="40" w:type="dxa"/>
              <w:bottom w:w="40" w:type="dxa"/>
              <w:right w:w="40" w:type="dxa"/>
            </w:tcMar>
          </w:tcPr>
          <w:p w14:paraId="60289551" w14:textId="77777777" w:rsidR="00105BFD" w:rsidRPr="0033405D" w:rsidRDefault="00105BFD" w:rsidP="00105BFD">
            <w:pPr>
              <w:pStyle w:val="ListParagraph"/>
              <w:numPr>
                <w:ilvl w:val="0"/>
                <w:numId w:val="11"/>
              </w:numPr>
              <w:spacing w:before="60" w:beforeAutospacing="0" w:after="60" w:afterAutospacing="0"/>
              <w:ind w:left="470" w:hanging="357"/>
              <w:contextualSpacing/>
              <w:rPr>
                <w:rFonts w:ascii="Arial" w:hAnsi="Arial" w:cs="Arial"/>
                <w:b/>
                <w:u w:val="single"/>
              </w:rPr>
            </w:pPr>
            <w:r>
              <w:rPr>
                <w:rFonts w:ascii="Arial" w:hAnsi="Arial"/>
                <w:sz w:val="22"/>
              </w:rPr>
              <w:t xml:space="preserve">La proposition d’augmenter le plafond à 100 000 dollars des États-Unis a été approuvée par le Comité lors de sa dixième session </w:t>
            </w:r>
            <w:r w:rsidRPr="006D6396">
              <w:rPr>
                <w:rFonts w:ascii="Arial" w:hAnsi="Arial"/>
                <w:sz w:val="22"/>
                <w:szCs w:val="22"/>
              </w:rPr>
              <w:t>(</w:t>
            </w:r>
            <w:hyperlink r:id="rId39">
              <w:r w:rsidRPr="006D6396">
                <w:rPr>
                  <w:rStyle w:val="Hyperlink"/>
                  <w:rFonts w:ascii="Arial" w:eastAsia="Times New Roman" w:hAnsi="Arial" w:cs="Arial"/>
                  <w:sz w:val="22"/>
                  <w:szCs w:val="22"/>
                </w:rPr>
                <w:t>décision 10.COM 15.c</w:t>
              </w:r>
            </w:hyperlink>
            <w:r w:rsidRPr="006D6396">
              <w:rPr>
                <w:rFonts w:ascii="Arial" w:hAnsi="Arial"/>
                <w:sz w:val="22"/>
                <w:szCs w:val="22"/>
              </w:rPr>
              <w:t>)</w:t>
            </w:r>
            <w:r>
              <w:rPr>
                <w:rFonts w:ascii="Arial" w:hAnsi="Arial"/>
                <w:sz w:val="22"/>
              </w:rPr>
              <w:t xml:space="preserve"> (</w:t>
            </w:r>
            <w:r>
              <w:rPr>
                <w:rFonts w:ascii="Arial" w:hAnsi="Arial"/>
                <w:b/>
                <w:sz w:val="22"/>
              </w:rPr>
              <w:t>action terminée</w:t>
            </w:r>
            <w:r>
              <w:rPr>
                <w:rFonts w:ascii="Arial" w:hAnsi="Arial"/>
                <w:sz w:val="22"/>
              </w:rPr>
              <w:t>).</w:t>
            </w:r>
          </w:p>
        </w:tc>
      </w:tr>
      <w:tr w:rsidR="00105BFD" w:rsidRPr="00CC11E8" w14:paraId="7100B730" w14:textId="77777777" w:rsidTr="00105BFD">
        <w:tc>
          <w:tcPr>
            <w:tcW w:w="4717" w:type="dxa"/>
            <w:gridSpan w:val="2"/>
            <w:noWrap/>
            <w:tcMar>
              <w:top w:w="40" w:type="dxa"/>
              <w:left w:w="40" w:type="dxa"/>
              <w:bottom w:w="40" w:type="dxa"/>
              <w:right w:w="40" w:type="dxa"/>
            </w:tcMar>
          </w:tcPr>
          <w:p w14:paraId="4E4E320F" w14:textId="77777777" w:rsidR="00105BFD" w:rsidRPr="00427622" w:rsidDel="00ED20A1" w:rsidRDefault="00105BFD" w:rsidP="00105BFD">
            <w:pPr>
              <w:spacing w:before="60" w:after="60"/>
              <w:ind w:left="113" w:right="57"/>
              <w:rPr>
                <w:rFonts w:ascii="Arial" w:hAnsi="Arial" w:cs="Arial"/>
              </w:rPr>
            </w:pPr>
            <w:r>
              <w:rPr>
                <w:rFonts w:ascii="Arial" w:hAnsi="Arial"/>
                <w:sz w:val="22"/>
              </w:rPr>
              <w:t>Présenter à l’Assemblée générale un amendement aux Directives opérationnelles pour augmenter la limite des demandes d’assistance internationale susceptibles d’être approuvées par le Bureau (actuellement jusqu’à 25 000 dollars des États-Unis).</w:t>
            </w:r>
          </w:p>
        </w:tc>
        <w:tc>
          <w:tcPr>
            <w:tcW w:w="1986" w:type="dxa"/>
            <w:gridSpan w:val="2"/>
            <w:noWrap/>
            <w:tcMar>
              <w:top w:w="40" w:type="dxa"/>
              <w:left w:w="40" w:type="dxa"/>
              <w:bottom w:w="40" w:type="dxa"/>
              <w:right w:w="40" w:type="dxa"/>
            </w:tcMar>
          </w:tcPr>
          <w:p w14:paraId="28E33E58" w14:textId="77777777" w:rsidR="00105BFD" w:rsidRPr="0033405D" w:rsidDel="00ED20A1" w:rsidRDefault="00105BFD" w:rsidP="00105BFD">
            <w:pPr>
              <w:spacing w:before="60" w:after="60"/>
              <w:ind w:left="57"/>
              <w:rPr>
                <w:rFonts w:ascii="Arial" w:hAnsi="Arial" w:cs="Arial"/>
              </w:rPr>
            </w:pPr>
            <w:r>
              <w:rPr>
                <w:rFonts w:ascii="Arial" w:hAnsi="Arial"/>
                <w:sz w:val="22"/>
              </w:rPr>
              <w:t>Juin 2016</w:t>
            </w:r>
          </w:p>
        </w:tc>
        <w:tc>
          <w:tcPr>
            <w:tcW w:w="7655" w:type="dxa"/>
            <w:noWrap/>
            <w:tcMar>
              <w:top w:w="40" w:type="dxa"/>
              <w:left w:w="40" w:type="dxa"/>
              <w:bottom w:w="40" w:type="dxa"/>
              <w:right w:w="40" w:type="dxa"/>
            </w:tcMar>
          </w:tcPr>
          <w:p w14:paraId="30DB8817" w14:textId="77777777" w:rsidR="00105BFD" w:rsidRPr="00427622" w:rsidDel="00ED20A1" w:rsidRDefault="00105BFD" w:rsidP="00105BFD">
            <w:pPr>
              <w:pStyle w:val="ListParagraph"/>
              <w:numPr>
                <w:ilvl w:val="0"/>
                <w:numId w:val="11"/>
              </w:numPr>
              <w:spacing w:before="60" w:beforeAutospacing="0" w:after="60" w:afterAutospacing="0"/>
              <w:ind w:left="470" w:hanging="357"/>
              <w:contextualSpacing/>
              <w:rPr>
                <w:rFonts w:ascii="Arial" w:hAnsi="Arial" w:cs="Arial"/>
                <w:b/>
                <w:bCs/>
                <w:i/>
                <w:iCs/>
              </w:rPr>
            </w:pPr>
            <w:r>
              <w:rPr>
                <w:rFonts w:ascii="Arial" w:hAnsi="Arial"/>
                <w:sz w:val="22"/>
              </w:rPr>
              <w:t>L’Assemblée générale a approuvé, lors de la sixième session en 2016, les amendements aux Directives opérationnelles (chapitres I.8, I.10, I.14 et I.15) afin d’augmenter la limite des demandes d’assistance internationale susceptibles d’être approuvées par le Bureau à 100 000 dollars des États-Unis (</w:t>
            </w:r>
            <w:hyperlink r:id="rId40">
              <w:r>
                <w:rPr>
                  <w:rStyle w:val="Hyperlink"/>
                  <w:rFonts w:ascii="Arial" w:hAnsi="Arial"/>
                  <w:sz w:val="22"/>
                </w:rPr>
                <w:t>résolution 6.GA 7</w:t>
              </w:r>
            </w:hyperlink>
            <w:r>
              <w:rPr>
                <w:rFonts w:ascii="Arial" w:hAnsi="Arial"/>
                <w:sz w:val="22"/>
              </w:rPr>
              <w:t>) (</w:t>
            </w:r>
            <w:r>
              <w:rPr>
                <w:rFonts w:ascii="Arial" w:hAnsi="Arial"/>
                <w:b/>
                <w:sz w:val="22"/>
              </w:rPr>
              <w:t>action terminée</w:t>
            </w:r>
            <w:r>
              <w:rPr>
                <w:rFonts w:ascii="Arial" w:hAnsi="Arial"/>
                <w:sz w:val="22"/>
              </w:rPr>
              <w:t>).</w:t>
            </w:r>
          </w:p>
        </w:tc>
      </w:tr>
      <w:tr w:rsidR="00105BFD" w:rsidRPr="00CC11E8" w14:paraId="3AB97DE9" w14:textId="77777777" w:rsidTr="00105BFD">
        <w:tc>
          <w:tcPr>
            <w:tcW w:w="14358" w:type="dxa"/>
            <w:gridSpan w:val="5"/>
            <w:shd w:val="clear" w:color="auto" w:fill="E6E6E6"/>
            <w:noWrap/>
            <w:tcMar>
              <w:top w:w="40" w:type="dxa"/>
              <w:left w:w="40" w:type="dxa"/>
              <w:bottom w:w="40" w:type="dxa"/>
              <w:right w:w="40" w:type="dxa"/>
            </w:tcMar>
          </w:tcPr>
          <w:p w14:paraId="4380AEAA" w14:textId="77777777" w:rsidR="00105BFD" w:rsidRPr="0033405D" w:rsidRDefault="00105BFD" w:rsidP="00105BFD">
            <w:pPr>
              <w:pageBreakBefore/>
              <w:tabs>
                <w:tab w:val="left" w:pos="2640"/>
              </w:tabs>
              <w:spacing w:before="120" w:after="120"/>
              <w:ind w:left="113" w:right="113"/>
              <w:jc w:val="both"/>
              <w:rPr>
                <w:rFonts w:ascii="Arial" w:hAnsi="Arial" w:cs="Arial"/>
                <w:b/>
              </w:rPr>
            </w:pPr>
            <w:r>
              <w:rPr>
                <w:rFonts w:ascii="Arial" w:hAnsi="Arial"/>
                <w:b/>
                <w:sz w:val="22"/>
              </w:rPr>
              <w:lastRenderedPageBreak/>
              <w:t>Recommandation 14 : Promouvoir l’assistance internationale en tant que mécanisme de renforcement des capacités pour les États parties.</w:t>
            </w:r>
          </w:p>
        </w:tc>
      </w:tr>
      <w:tr w:rsidR="00105BFD" w:rsidRPr="00CC11E8" w14:paraId="5F56040F" w14:textId="77777777" w:rsidTr="00105BFD">
        <w:tc>
          <w:tcPr>
            <w:tcW w:w="14358" w:type="dxa"/>
            <w:gridSpan w:val="5"/>
            <w:noWrap/>
            <w:tcMar>
              <w:top w:w="40" w:type="dxa"/>
              <w:left w:w="40" w:type="dxa"/>
              <w:bottom w:w="40" w:type="dxa"/>
              <w:right w:w="40" w:type="dxa"/>
            </w:tcMar>
          </w:tcPr>
          <w:p w14:paraId="7920186D" w14:textId="77777777" w:rsidR="00105BFD" w:rsidRPr="00427622" w:rsidRDefault="00105BFD" w:rsidP="00105BFD">
            <w:pPr>
              <w:spacing w:before="120" w:after="120"/>
              <w:ind w:left="113" w:right="113"/>
              <w:jc w:val="both"/>
              <w:rPr>
                <w:rFonts w:ascii="Arial" w:hAnsi="Arial" w:cs="Arial"/>
              </w:rPr>
            </w:pPr>
            <w:r>
              <w:rPr>
                <w:rFonts w:ascii="Arial" w:hAnsi="Arial"/>
                <w:b/>
                <w:sz w:val="22"/>
              </w:rPr>
              <w:t>Réponse de la direction </w:t>
            </w:r>
            <w:r>
              <w:rPr>
                <w:rFonts w:ascii="Arial" w:hAnsi="Arial"/>
                <w:sz w:val="22"/>
              </w:rPr>
              <w:t>: Le Secrétariat fournit des retours importants et fréquents sur les demandes d’assistance internationale, y compris l’assistance technique, et intègre ce travail comme un exercice de renforcement des capacités.</w:t>
            </w:r>
          </w:p>
        </w:tc>
      </w:tr>
      <w:tr w:rsidR="00105BFD" w:rsidRPr="00427622" w14:paraId="12E2174B" w14:textId="77777777" w:rsidTr="00105BFD">
        <w:tc>
          <w:tcPr>
            <w:tcW w:w="4717" w:type="dxa"/>
            <w:gridSpan w:val="2"/>
            <w:noWrap/>
            <w:tcMar>
              <w:top w:w="40" w:type="dxa"/>
              <w:left w:w="40" w:type="dxa"/>
              <w:bottom w:w="40" w:type="dxa"/>
              <w:right w:w="40" w:type="dxa"/>
            </w:tcMar>
          </w:tcPr>
          <w:p w14:paraId="01E69409" w14:textId="77777777" w:rsidR="00105BFD" w:rsidRPr="00427622" w:rsidRDefault="00105BFD" w:rsidP="00105BFD">
            <w:pPr>
              <w:spacing w:before="120" w:after="12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05C9D5EB" w14:textId="77777777" w:rsidR="00105BFD" w:rsidRPr="00427622" w:rsidRDefault="00105BFD" w:rsidP="00105BFD">
            <w:pPr>
              <w:spacing w:before="120" w:after="12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2B205824" w14:textId="77777777" w:rsidR="00105BFD" w:rsidRPr="00427622" w:rsidRDefault="00105BFD" w:rsidP="00105BFD">
            <w:pPr>
              <w:spacing w:before="120" w:after="120"/>
              <w:jc w:val="center"/>
              <w:rPr>
                <w:rFonts w:ascii="Arial" w:hAnsi="Arial" w:cs="Arial"/>
                <w:b/>
              </w:rPr>
            </w:pPr>
            <w:r>
              <w:rPr>
                <w:rFonts w:ascii="Arial" w:hAnsi="Arial"/>
                <w:b/>
                <w:sz w:val="22"/>
              </w:rPr>
              <w:t>Statut</w:t>
            </w:r>
          </w:p>
        </w:tc>
      </w:tr>
      <w:tr w:rsidR="00105BFD" w:rsidRPr="00CC11E8" w14:paraId="4938F961" w14:textId="77777777" w:rsidTr="00105BFD">
        <w:tc>
          <w:tcPr>
            <w:tcW w:w="4717" w:type="dxa"/>
            <w:gridSpan w:val="2"/>
            <w:noWrap/>
            <w:tcMar>
              <w:top w:w="40" w:type="dxa"/>
              <w:left w:w="40" w:type="dxa"/>
              <w:bottom w:w="40" w:type="dxa"/>
              <w:right w:w="40" w:type="dxa"/>
            </w:tcMar>
          </w:tcPr>
          <w:p w14:paraId="06A441A6" w14:textId="77777777" w:rsidR="00105BFD" w:rsidRPr="0033405D" w:rsidRDefault="00105BFD" w:rsidP="00105BFD">
            <w:pPr>
              <w:spacing w:before="120" w:after="120"/>
              <w:ind w:left="113" w:right="57"/>
              <w:rPr>
                <w:rFonts w:ascii="Arial" w:hAnsi="Arial" w:cs="Arial"/>
              </w:rPr>
            </w:pPr>
            <w:r>
              <w:rPr>
                <w:rFonts w:ascii="Arial" w:hAnsi="Arial"/>
                <w:sz w:val="22"/>
              </w:rPr>
              <w:t>Fournir une assistance technique appropriée pour l’élaboration d’assistances internationales et promouvoir d’autres formes d’assistance que les simples dons.</w:t>
            </w:r>
          </w:p>
        </w:tc>
        <w:tc>
          <w:tcPr>
            <w:tcW w:w="1986" w:type="dxa"/>
            <w:gridSpan w:val="2"/>
            <w:noWrap/>
            <w:tcMar>
              <w:top w:w="40" w:type="dxa"/>
              <w:left w:w="40" w:type="dxa"/>
              <w:bottom w:w="40" w:type="dxa"/>
              <w:right w:w="40" w:type="dxa"/>
            </w:tcMar>
          </w:tcPr>
          <w:p w14:paraId="66772B45" w14:textId="77777777" w:rsidR="00105BFD" w:rsidRPr="0033405D" w:rsidRDefault="00105BFD" w:rsidP="00105BFD">
            <w:pPr>
              <w:spacing w:before="120" w:after="120"/>
              <w:ind w:left="57"/>
              <w:rPr>
                <w:rFonts w:ascii="Arial" w:hAnsi="Arial" w:cs="Arial"/>
              </w:rPr>
            </w:pPr>
            <w:r>
              <w:rPr>
                <w:rFonts w:ascii="Arial" w:hAnsi="Arial"/>
                <w:sz w:val="22"/>
              </w:rPr>
              <w:t>En cours</w:t>
            </w:r>
          </w:p>
        </w:tc>
        <w:tc>
          <w:tcPr>
            <w:tcW w:w="7655" w:type="dxa"/>
            <w:noWrap/>
            <w:tcMar>
              <w:top w:w="40" w:type="dxa"/>
              <w:left w:w="40" w:type="dxa"/>
              <w:bottom w:w="40" w:type="dxa"/>
              <w:right w:w="40" w:type="dxa"/>
            </w:tcMar>
          </w:tcPr>
          <w:p w14:paraId="04C3F3D6" w14:textId="77777777" w:rsidR="00105BFD" w:rsidRPr="006D6396"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sidRPr="006D6396">
              <w:rPr>
                <w:rFonts w:ascii="Arial" w:hAnsi="Arial"/>
                <w:sz w:val="22"/>
              </w:rPr>
              <w:t>Suite à la demande du Comité, le Secrétariat offre « une assistance technique, à travers la mise à disposition d’experts, telle que décrite à l’article 21 de la Convention, aux États parties souhaitant élaborer une demande d’assistance internationale » (</w:t>
            </w:r>
            <w:hyperlink r:id="rId41">
              <w:r w:rsidRPr="006D6396">
                <w:rPr>
                  <w:rStyle w:val="Hyperlink"/>
                  <w:rFonts w:ascii="Arial" w:hAnsi="Arial"/>
                  <w:sz w:val="22"/>
                </w:rPr>
                <w:t>décision 8.COM 7.c</w:t>
              </w:r>
            </w:hyperlink>
            <w:r w:rsidRPr="006D6396">
              <w:rPr>
                <w:rFonts w:ascii="Arial" w:hAnsi="Arial"/>
                <w:sz w:val="22"/>
              </w:rPr>
              <w:t>).</w:t>
            </w:r>
            <w:r>
              <w:rPr>
                <w:rFonts w:ascii="Arial" w:hAnsi="Arial"/>
                <w:sz w:val="22"/>
              </w:rPr>
              <w:br/>
            </w:r>
            <w:r w:rsidRPr="006D6396">
              <w:rPr>
                <w:rFonts w:ascii="Arial" w:hAnsi="Arial"/>
                <w:sz w:val="22"/>
              </w:rPr>
              <w:t>Neuf pays ont déjà bénéficié de ce mécanisme.</w:t>
            </w:r>
          </w:p>
          <w:p w14:paraId="6C6E1AFA"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Un aide-mémoire pour la préparation d’une demande d’assistance internationale a été développé en anglais (2015) et en français (2016).</w:t>
            </w:r>
          </w:p>
          <w:p w14:paraId="570DD88A" w14:textId="77777777" w:rsidR="00105BFD" w:rsidRPr="0033405D" w:rsidRDefault="00105BFD" w:rsidP="00105BFD">
            <w:pPr>
              <w:pStyle w:val="ListParagraph"/>
              <w:numPr>
                <w:ilvl w:val="0"/>
                <w:numId w:val="11"/>
              </w:numPr>
              <w:spacing w:before="120" w:beforeAutospacing="0" w:after="120" w:afterAutospacing="0"/>
              <w:ind w:left="470" w:hanging="357"/>
              <w:contextualSpacing/>
              <w:rPr>
                <w:rFonts w:ascii="Arial" w:hAnsi="Arial" w:cs="Arial"/>
                <w:b/>
                <w:u w:val="single"/>
              </w:rPr>
            </w:pPr>
            <w:r>
              <w:rPr>
                <w:rFonts w:ascii="Arial" w:hAnsi="Arial"/>
                <w:sz w:val="22"/>
              </w:rPr>
              <w:t>Le Secrétariat a favorisé l’utilisation de l’assistance internationale sous d’autres formes que les simples dons, conformément à l’article 21 de la Convention (</w:t>
            </w:r>
            <w:r w:rsidRPr="00961954">
              <w:rPr>
                <w:rFonts w:ascii="Arial" w:hAnsi="Arial"/>
                <w:sz w:val="22"/>
              </w:rPr>
              <w:t>document </w:t>
            </w:r>
            <w:hyperlink r:id="rId42" w:history="1">
              <w:r w:rsidRPr="00961954">
                <w:rPr>
                  <w:rStyle w:val="Hyperlink"/>
                  <w:rFonts w:ascii="Arial" w:hAnsi="Arial"/>
                  <w:sz w:val="22"/>
                </w:rPr>
                <w:t>ITH/15/10.COM/8</w:t>
              </w:r>
            </w:hyperlink>
            <w:r>
              <w:rPr>
                <w:rFonts w:ascii="Arial" w:hAnsi="Arial"/>
                <w:sz w:val="22"/>
              </w:rPr>
              <w:t>). Suite à la décision du Comité en 2015 (</w:t>
            </w:r>
            <w:hyperlink r:id="rId43">
              <w:r>
                <w:rPr>
                  <w:rStyle w:val="Hyperlink"/>
                  <w:rFonts w:ascii="Arial" w:hAnsi="Arial"/>
                  <w:sz w:val="22"/>
                </w:rPr>
                <w:t>décision 10.COM 8</w:t>
              </w:r>
            </w:hyperlink>
            <w:r>
              <w:rPr>
                <w:rFonts w:ascii="Arial" w:hAnsi="Arial"/>
                <w:sz w:val="22"/>
              </w:rPr>
              <w:t>), le formulaire ICH-04 doit être revu conformément aux dispositions de l’article 21 de la Convention concernant les formes d’assistance internationale.</w:t>
            </w:r>
          </w:p>
        </w:tc>
      </w:tr>
      <w:tr w:rsidR="00105BFD" w:rsidRPr="00CC11E8" w14:paraId="5432CAC2" w14:textId="77777777" w:rsidTr="00105BFD">
        <w:tc>
          <w:tcPr>
            <w:tcW w:w="4717" w:type="dxa"/>
            <w:gridSpan w:val="2"/>
            <w:noWrap/>
            <w:tcMar>
              <w:top w:w="40" w:type="dxa"/>
              <w:left w:w="40" w:type="dxa"/>
              <w:bottom w:w="40" w:type="dxa"/>
              <w:right w:w="40" w:type="dxa"/>
            </w:tcMar>
          </w:tcPr>
          <w:p w14:paraId="29C3D083" w14:textId="77777777" w:rsidR="00105BFD" w:rsidRPr="00427622" w:rsidRDefault="00105BFD" w:rsidP="00105BFD">
            <w:pPr>
              <w:spacing w:before="120" w:after="120"/>
              <w:ind w:left="113" w:right="57"/>
              <w:rPr>
                <w:rFonts w:ascii="Arial" w:hAnsi="Arial" w:cs="Arial"/>
              </w:rPr>
            </w:pPr>
            <w:r>
              <w:rPr>
                <w:rFonts w:ascii="Arial" w:hAnsi="Arial"/>
                <w:sz w:val="22"/>
              </w:rPr>
              <w:t>Intégrer et suivre les formations relatives à l’élaboration de l’assistance internationale au sein des projets CAP.</w:t>
            </w:r>
          </w:p>
        </w:tc>
        <w:tc>
          <w:tcPr>
            <w:tcW w:w="1986" w:type="dxa"/>
            <w:gridSpan w:val="2"/>
            <w:noWrap/>
            <w:tcMar>
              <w:top w:w="40" w:type="dxa"/>
              <w:left w:w="40" w:type="dxa"/>
              <w:bottom w:w="40" w:type="dxa"/>
              <w:right w:w="40" w:type="dxa"/>
            </w:tcMar>
          </w:tcPr>
          <w:p w14:paraId="5822F600" w14:textId="77777777" w:rsidR="00105BFD" w:rsidRPr="0033405D" w:rsidRDefault="00105BFD" w:rsidP="00105BFD">
            <w:pPr>
              <w:keepNext/>
              <w:spacing w:before="120" w:after="120"/>
              <w:ind w:left="57"/>
              <w:outlineLvl w:val="1"/>
              <w:rPr>
                <w:rFonts w:ascii="Arial" w:hAnsi="Arial" w:cs="Arial"/>
              </w:rPr>
            </w:pPr>
            <w:r>
              <w:rPr>
                <w:rFonts w:ascii="Arial" w:hAnsi="Arial"/>
                <w:sz w:val="22"/>
              </w:rPr>
              <w:t>2016</w:t>
            </w:r>
          </w:p>
        </w:tc>
        <w:tc>
          <w:tcPr>
            <w:tcW w:w="7655" w:type="dxa"/>
            <w:noWrap/>
            <w:tcMar>
              <w:top w:w="40" w:type="dxa"/>
              <w:left w:w="40" w:type="dxa"/>
              <w:bottom w:w="40" w:type="dxa"/>
              <w:right w:w="40" w:type="dxa"/>
            </w:tcMar>
          </w:tcPr>
          <w:p w14:paraId="5044319F"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L’assistance internationale a été intégrée aux différents thèmes des ateliers (sauvegarde, candidatures, etc.).</w:t>
            </w:r>
          </w:p>
          <w:p w14:paraId="63306F82"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De nouveaux supports approfondis de formation sur l’élaboration de l’assistance internationale ont été demandés et développés.</w:t>
            </w:r>
          </w:p>
        </w:tc>
      </w:tr>
      <w:tr w:rsidR="00105BFD" w:rsidRPr="00CC11E8" w14:paraId="02B7929A" w14:textId="77777777" w:rsidTr="00105BFD">
        <w:tc>
          <w:tcPr>
            <w:tcW w:w="14358" w:type="dxa"/>
            <w:gridSpan w:val="5"/>
            <w:shd w:val="clear" w:color="auto" w:fill="E6E6E6"/>
            <w:noWrap/>
            <w:tcMar>
              <w:top w:w="40" w:type="dxa"/>
              <w:left w:w="40" w:type="dxa"/>
              <w:bottom w:w="40" w:type="dxa"/>
              <w:right w:w="40" w:type="dxa"/>
            </w:tcMar>
          </w:tcPr>
          <w:p w14:paraId="3B9949F8" w14:textId="77777777" w:rsidR="00105BFD" w:rsidRPr="0033405D" w:rsidRDefault="00105BFD" w:rsidP="00105BFD">
            <w:pPr>
              <w:pageBreakBefore/>
              <w:tabs>
                <w:tab w:val="left" w:pos="2640"/>
              </w:tabs>
              <w:spacing w:before="120" w:after="120"/>
              <w:ind w:left="113" w:right="113"/>
              <w:jc w:val="both"/>
              <w:rPr>
                <w:rFonts w:ascii="Arial" w:hAnsi="Arial" w:cs="Arial"/>
                <w:b/>
              </w:rPr>
            </w:pPr>
            <w:r>
              <w:rPr>
                <w:rFonts w:ascii="Arial" w:hAnsi="Arial"/>
                <w:b/>
                <w:sz w:val="22"/>
              </w:rPr>
              <w:lastRenderedPageBreak/>
              <w:t>Recommandation 15 : Renforcer la coopération de longue date entre l’UNESCO et l’OMPI sur les savoirs et la culture traditionnels afin d’assurer un échange et un apprentissage continus entre les deux organisations et leurs États membres, en particulier dans le contexte des discussions actuelles de l’OMPI au sujet d’un nouvel instrument normatif international pour la protection des droits de propriété intellectuelle des communautés.</w:t>
            </w:r>
          </w:p>
        </w:tc>
      </w:tr>
      <w:tr w:rsidR="00105BFD" w:rsidRPr="00CC11E8" w14:paraId="5ED3DF6C" w14:textId="77777777" w:rsidTr="00105BFD">
        <w:tc>
          <w:tcPr>
            <w:tcW w:w="14358" w:type="dxa"/>
            <w:gridSpan w:val="5"/>
            <w:noWrap/>
            <w:tcMar>
              <w:top w:w="40" w:type="dxa"/>
              <w:left w:w="40" w:type="dxa"/>
              <w:bottom w:w="40" w:type="dxa"/>
              <w:right w:w="40" w:type="dxa"/>
            </w:tcMar>
          </w:tcPr>
          <w:p w14:paraId="577FD9D0" w14:textId="77777777" w:rsidR="00105BFD" w:rsidRPr="00427622" w:rsidRDefault="00105BFD" w:rsidP="00105BFD">
            <w:pPr>
              <w:spacing w:before="120" w:after="120"/>
              <w:ind w:left="113" w:right="113"/>
              <w:jc w:val="both"/>
              <w:rPr>
                <w:rFonts w:ascii="Arial" w:hAnsi="Arial" w:cs="Arial"/>
              </w:rPr>
            </w:pPr>
            <w:r>
              <w:rPr>
                <w:rFonts w:ascii="Arial" w:hAnsi="Arial"/>
                <w:b/>
                <w:sz w:val="22"/>
              </w:rPr>
              <w:t>Réponse de la direction </w:t>
            </w:r>
            <w:r>
              <w:rPr>
                <w:rFonts w:ascii="Arial" w:hAnsi="Arial"/>
                <w:sz w:val="22"/>
              </w:rPr>
              <w:t>: Dans la mesure du possible au vu de ses ressources humaines, le Secrétariat renforcera sa coopération avec l’OMPI, en particulier dans l’organisation de réunions/événements communs et dans la participation aux réunions des organes directeurs de l’OMPI en tant qu’observateurs.</w:t>
            </w:r>
          </w:p>
        </w:tc>
      </w:tr>
      <w:tr w:rsidR="00105BFD" w:rsidRPr="00427622" w14:paraId="2125A543" w14:textId="77777777" w:rsidTr="00105BFD">
        <w:tc>
          <w:tcPr>
            <w:tcW w:w="4717" w:type="dxa"/>
            <w:gridSpan w:val="2"/>
            <w:noWrap/>
            <w:tcMar>
              <w:top w:w="40" w:type="dxa"/>
              <w:left w:w="40" w:type="dxa"/>
              <w:bottom w:w="40" w:type="dxa"/>
              <w:right w:w="40" w:type="dxa"/>
            </w:tcMar>
          </w:tcPr>
          <w:p w14:paraId="012F216F" w14:textId="77777777" w:rsidR="00105BFD" w:rsidRPr="0033405D" w:rsidRDefault="00105BFD" w:rsidP="00105BFD">
            <w:pPr>
              <w:spacing w:before="120" w:after="12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082241B8" w14:textId="77777777" w:rsidR="00105BFD" w:rsidRPr="0033405D" w:rsidRDefault="00105BFD" w:rsidP="00105BFD">
            <w:pPr>
              <w:spacing w:before="120" w:after="12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253FF1A2" w14:textId="77777777" w:rsidR="00105BFD" w:rsidRPr="00427622" w:rsidRDefault="00105BFD" w:rsidP="00105BFD">
            <w:pPr>
              <w:spacing w:before="120" w:after="120"/>
              <w:jc w:val="center"/>
              <w:rPr>
                <w:rFonts w:ascii="Arial" w:hAnsi="Arial" w:cs="Arial"/>
                <w:b/>
              </w:rPr>
            </w:pPr>
            <w:r>
              <w:rPr>
                <w:rFonts w:ascii="Arial" w:hAnsi="Arial"/>
                <w:b/>
                <w:sz w:val="22"/>
              </w:rPr>
              <w:t>Statut</w:t>
            </w:r>
          </w:p>
        </w:tc>
      </w:tr>
      <w:tr w:rsidR="00105BFD" w:rsidRPr="00CC11E8" w14:paraId="2B0DF9C3" w14:textId="77777777" w:rsidTr="00105BFD">
        <w:tc>
          <w:tcPr>
            <w:tcW w:w="4717" w:type="dxa"/>
            <w:gridSpan w:val="2"/>
            <w:noWrap/>
            <w:tcMar>
              <w:top w:w="40" w:type="dxa"/>
              <w:left w:w="40" w:type="dxa"/>
              <w:bottom w:w="40" w:type="dxa"/>
              <w:right w:w="40" w:type="dxa"/>
            </w:tcMar>
          </w:tcPr>
          <w:p w14:paraId="3C41CF86" w14:textId="77777777" w:rsidR="00105BFD" w:rsidRPr="0033405D" w:rsidRDefault="00105BFD" w:rsidP="00105BFD">
            <w:pPr>
              <w:spacing w:before="120" w:after="120"/>
              <w:ind w:left="113" w:right="57"/>
              <w:rPr>
                <w:rFonts w:ascii="Arial" w:hAnsi="Arial" w:cs="Arial"/>
              </w:rPr>
            </w:pPr>
            <w:r>
              <w:rPr>
                <w:rFonts w:ascii="Arial" w:hAnsi="Arial"/>
                <w:sz w:val="22"/>
              </w:rPr>
              <w:t>Renforcer la coopération de l’UNESCO avec l’OMPI pour assurer un échange et un apprentissage continus entre les deux organisations et leurs États membres en ce qui concerne les connaissances traditionnelles et l’expression culturelle.</w:t>
            </w:r>
          </w:p>
        </w:tc>
        <w:tc>
          <w:tcPr>
            <w:tcW w:w="1986" w:type="dxa"/>
            <w:gridSpan w:val="2"/>
            <w:noWrap/>
            <w:tcMar>
              <w:top w:w="40" w:type="dxa"/>
              <w:left w:w="40" w:type="dxa"/>
              <w:bottom w:w="40" w:type="dxa"/>
              <w:right w:w="40" w:type="dxa"/>
            </w:tcMar>
          </w:tcPr>
          <w:p w14:paraId="43C31126" w14:textId="77777777" w:rsidR="00105BFD" w:rsidRPr="0033405D" w:rsidRDefault="00105BFD" w:rsidP="00105BFD">
            <w:pPr>
              <w:spacing w:before="120" w:after="120"/>
              <w:ind w:left="57"/>
              <w:rPr>
                <w:rFonts w:ascii="Arial" w:hAnsi="Arial" w:cs="Arial"/>
              </w:rPr>
            </w:pPr>
            <w:r>
              <w:rPr>
                <w:rFonts w:ascii="Arial" w:hAnsi="Arial"/>
                <w:sz w:val="22"/>
              </w:rPr>
              <w:t>En cours</w:t>
            </w:r>
          </w:p>
        </w:tc>
        <w:tc>
          <w:tcPr>
            <w:tcW w:w="7655" w:type="dxa"/>
            <w:noWrap/>
            <w:tcMar>
              <w:top w:w="40" w:type="dxa"/>
              <w:left w:w="40" w:type="dxa"/>
              <w:bottom w:w="40" w:type="dxa"/>
              <w:right w:w="40" w:type="dxa"/>
            </w:tcMar>
          </w:tcPr>
          <w:p w14:paraId="2D75A949"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Afin d’assurer le renforcement de la coopération de l’UNESCO avec l’OMPI, le Bureau du Comité a approuvé des fonds à cet égard dans les plans de dépenses 2014-2015 et 2016-2017 pour l’utilisation du Fonds du PCI dédié aux « autres fonctions du Comité ».</w:t>
            </w:r>
          </w:p>
          <w:p w14:paraId="15EC1E21"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Le Secrétariat de la Convention de 2003 a participé à une réunion d’experts tenue en juin 2014 par le Rapporteur Spécial des Nations Unies sur « l’impact des régimes de propriété intellectuelle sur l’exercice du droit à la science et à la culture ».</w:t>
            </w:r>
          </w:p>
          <w:p w14:paraId="1E4C8BD7"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Le Secrétariat a collaboré avec l’OMPI à l’organisation d’une conférence sur « la propriété intellectuelle, le patrimoine culturel immatériel et la médecine traditionnelle dans le cadre des politiques pour la sauvegarde du patrimoine culturel immatériel dans des pays de l’Europe du Sud-Est » accueillie par le Centre Régional pour la sauvegarde du patrimoine culturel immatériel en Europe du Sud-Est à Sofia, en Bulgarie, en avril 2015.</w:t>
            </w:r>
          </w:p>
          <w:p w14:paraId="799D8541" w14:textId="77777777" w:rsidR="00105BFD" w:rsidRPr="007C566C" w:rsidRDefault="00105BFD" w:rsidP="00105BFD">
            <w:pPr>
              <w:pStyle w:val="ListParagraph"/>
              <w:numPr>
                <w:ilvl w:val="0"/>
                <w:numId w:val="11"/>
              </w:numPr>
              <w:spacing w:before="120" w:beforeAutospacing="0" w:after="120" w:afterAutospacing="0"/>
              <w:ind w:left="470" w:hanging="357"/>
              <w:contextualSpacing/>
              <w:rPr>
                <w:rFonts w:ascii="Arial" w:hAnsi="Arial" w:cs="Arial"/>
                <w:b/>
                <w:u w:val="single"/>
              </w:rPr>
            </w:pPr>
            <w:r>
              <w:rPr>
                <w:rFonts w:ascii="Arial" w:hAnsi="Arial"/>
                <w:sz w:val="22"/>
              </w:rPr>
              <w:t>Le Secrétariat a participé à un séminaire organisé par l’OMPI en juin 2015 sur « la propriété intellectuelle et les ressources génétiques, le savoir traditionnel et le folklore » afin de discuter de la protection effective des expressions de culture traditionnelle, du savoir et des ressources génétiques, en se penchant sur des idées initiales pour que cette coopération puisse créer des synergies avec des instruments normatifs pertinents, y compris la Convention de 2003.</w:t>
            </w:r>
          </w:p>
        </w:tc>
      </w:tr>
      <w:tr w:rsidR="00105BFD" w:rsidRPr="00CC11E8" w14:paraId="1C790070" w14:textId="77777777" w:rsidTr="00105BFD">
        <w:tc>
          <w:tcPr>
            <w:tcW w:w="14358" w:type="dxa"/>
            <w:gridSpan w:val="5"/>
            <w:shd w:val="clear" w:color="auto" w:fill="E6E6E6"/>
            <w:noWrap/>
            <w:tcMar>
              <w:top w:w="40" w:type="dxa"/>
              <w:left w:w="40" w:type="dxa"/>
              <w:bottom w:w="40" w:type="dxa"/>
              <w:right w:w="40" w:type="dxa"/>
            </w:tcMar>
          </w:tcPr>
          <w:p w14:paraId="52337E16" w14:textId="77777777" w:rsidR="00105BFD" w:rsidRPr="0033405D" w:rsidRDefault="00105BFD" w:rsidP="00105BFD">
            <w:pPr>
              <w:tabs>
                <w:tab w:val="left" w:pos="2640"/>
              </w:tabs>
              <w:spacing w:before="60" w:after="60"/>
              <w:ind w:left="113" w:right="113"/>
              <w:jc w:val="both"/>
              <w:rPr>
                <w:rFonts w:ascii="Arial" w:hAnsi="Arial" w:cs="Arial"/>
                <w:b/>
                <w:spacing w:val="-2"/>
              </w:rPr>
            </w:pPr>
            <w:r>
              <w:rPr>
                <w:rFonts w:ascii="Arial" w:hAnsi="Arial"/>
                <w:b/>
                <w:spacing w:val="-2"/>
                <w:sz w:val="22"/>
              </w:rPr>
              <w:lastRenderedPageBreak/>
              <w:t>Recommandation 16 : Créer des occasions de réflexion commune, d’échange d’expériences, de coopération et de synergies entre les conventions culturelles de l’UNESCO de 1972, 2003 et 2005 et établir des mécanismes appropriés dans ce sens.</w:t>
            </w:r>
          </w:p>
        </w:tc>
      </w:tr>
      <w:tr w:rsidR="00105BFD" w:rsidRPr="00CC11E8" w14:paraId="0970B80C" w14:textId="77777777" w:rsidTr="00105BFD">
        <w:tc>
          <w:tcPr>
            <w:tcW w:w="14358" w:type="dxa"/>
            <w:gridSpan w:val="5"/>
            <w:noWrap/>
            <w:tcMar>
              <w:top w:w="40" w:type="dxa"/>
              <w:left w:w="40" w:type="dxa"/>
              <w:bottom w:w="40" w:type="dxa"/>
              <w:right w:w="40" w:type="dxa"/>
            </w:tcMar>
          </w:tcPr>
          <w:p w14:paraId="6912987C" w14:textId="77777777" w:rsidR="00105BFD" w:rsidRPr="00427622" w:rsidRDefault="00105BFD" w:rsidP="00105BFD">
            <w:pPr>
              <w:spacing w:before="60" w:after="60"/>
              <w:ind w:left="113" w:right="113"/>
              <w:jc w:val="both"/>
              <w:rPr>
                <w:rFonts w:ascii="Arial" w:hAnsi="Arial" w:cs="Arial"/>
                <w:spacing w:val="-2"/>
              </w:rPr>
            </w:pPr>
            <w:r>
              <w:rPr>
                <w:rFonts w:ascii="Arial" w:hAnsi="Arial"/>
                <w:b/>
                <w:spacing w:val="-2"/>
                <w:sz w:val="22"/>
              </w:rPr>
              <w:t>Réponse de la direction </w:t>
            </w:r>
            <w:r>
              <w:rPr>
                <w:rFonts w:ascii="Arial" w:hAnsi="Arial"/>
                <w:spacing w:val="-2"/>
                <w:sz w:val="22"/>
              </w:rPr>
              <w:t>: Le groupe de liaison des conventions culturelles, comprenant les Secrétariats des conventions respectives et l’équipe dirigeante du Secteur de la culture, se réunit fréquemment pour partager des informations. Des sous-groupes sur différents sujets (rapports périodiques, assistance internationale, etc.) partagent également des ressources et méthodologies.</w:t>
            </w:r>
          </w:p>
        </w:tc>
      </w:tr>
      <w:tr w:rsidR="00105BFD" w:rsidRPr="00427622" w14:paraId="2C328A87" w14:textId="77777777" w:rsidTr="00105BFD">
        <w:tc>
          <w:tcPr>
            <w:tcW w:w="4717" w:type="dxa"/>
            <w:gridSpan w:val="2"/>
            <w:noWrap/>
            <w:tcMar>
              <w:top w:w="40" w:type="dxa"/>
              <w:left w:w="40" w:type="dxa"/>
              <w:bottom w:w="40" w:type="dxa"/>
              <w:right w:w="40" w:type="dxa"/>
            </w:tcMar>
          </w:tcPr>
          <w:p w14:paraId="44516685" w14:textId="77777777" w:rsidR="00105BFD" w:rsidRPr="0033405D" w:rsidRDefault="00105BFD" w:rsidP="00105BFD">
            <w:pPr>
              <w:jc w:val="center"/>
              <w:rPr>
                <w:rFonts w:ascii="Arial" w:hAnsi="Arial" w:cs="Arial"/>
                <w:b/>
                <w:spacing w:val="-2"/>
              </w:rPr>
            </w:pPr>
            <w:r>
              <w:rPr>
                <w:rFonts w:ascii="Arial" w:hAnsi="Arial"/>
                <w:b/>
                <w:spacing w:val="-2"/>
                <w:sz w:val="22"/>
              </w:rPr>
              <w:t>Actions planifiées</w:t>
            </w:r>
          </w:p>
        </w:tc>
        <w:tc>
          <w:tcPr>
            <w:tcW w:w="1986" w:type="dxa"/>
            <w:gridSpan w:val="2"/>
            <w:noWrap/>
            <w:tcMar>
              <w:top w:w="40" w:type="dxa"/>
              <w:left w:w="40" w:type="dxa"/>
              <w:bottom w:w="40" w:type="dxa"/>
              <w:right w:w="40" w:type="dxa"/>
            </w:tcMar>
          </w:tcPr>
          <w:p w14:paraId="01D6E512" w14:textId="77777777" w:rsidR="00105BFD" w:rsidRPr="0033405D" w:rsidRDefault="00105BFD" w:rsidP="00105BFD">
            <w:pPr>
              <w:jc w:val="center"/>
              <w:rPr>
                <w:rFonts w:ascii="Arial" w:hAnsi="Arial" w:cs="Arial"/>
                <w:b/>
                <w:spacing w:val="-2"/>
              </w:rPr>
            </w:pPr>
            <w:r>
              <w:rPr>
                <w:rFonts w:ascii="Arial" w:hAnsi="Arial"/>
                <w:b/>
                <w:spacing w:val="-2"/>
                <w:sz w:val="22"/>
              </w:rPr>
              <w:t>Date prévue de mise en œuvre</w:t>
            </w:r>
          </w:p>
        </w:tc>
        <w:tc>
          <w:tcPr>
            <w:tcW w:w="7655" w:type="dxa"/>
            <w:noWrap/>
            <w:tcMar>
              <w:top w:w="40" w:type="dxa"/>
              <w:left w:w="40" w:type="dxa"/>
              <w:bottom w:w="40" w:type="dxa"/>
              <w:right w:w="40" w:type="dxa"/>
            </w:tcMar>
          </w:tcPr>
          <w:p w14:paraId="2C1E9478" w14:textId="77777777" w:rsidR="00105BFD" w:rsidRPr="0033405D" w:rsidRDefault="00105BFD" w:rsidP="00105BFD">
            <w:pPr>
              <w:jc w:val="center"/>
              <w:rPr>
                <w:rFonts w:ascii="Arial" w:hAnsi="Arial" w:cs="Arial"/>
                <w:b/>
                <w:spacing w:val="-2"/>
              </w:rPr>
            </w:pPr>
            <w:r>
              <w:rPr>
                <w:rFonts w:ascii="Arial" w:hAnsi="Arial"/>
                <w:b/>
                <w:spacing w:val="-2"/>
                <w:sz w:val="22"/>
              </w:rPr>
              <w:t>Statut</w:t>
            </w:r>
          </w:p>
        </w:tc>
      </w:tr>
      <w:tr w:rsidR="00105BFD" w:rsidRPr="00CC11E8" w14:paraId="2C3BFF24" w14:textId="77777777" w:rsidTr="00105BFD">
        <w:tc>
          <w:tcPr>
            <w:tcW w:w="4717" w:type="dxa"/>
            <w:gridSpan w:val="2"/>
            <w:noWrap/>
            <w:tcMar>
              <w:top w:w="40" w:type="dxa"/>
              <w:left w:w="40" w:type="dxa"/>
              <w:bottom w:w="40" w:type="dxa"/>
              <w:right w:w="40" w:type="dxa"/>
            </w:tcMar>
          </w:tcPr>
          <w:p w14:paraId="29F919BD" w14:textId="77777777" w:rsidR="00105BFD" w:rsidRPr="00427622" w:rsidRDefault="00105BFD" w:rsidP="00105BFD">
            <w:pPr>
              <w:ind w:left="113" w:right="57"/>
              <w:rPr>
                <w:rFonts w:ascii="Arial" w:hAnsi="Arial" w:cs="Arial"/>
                <w:spacing w:val="-2"/>
              </w:rPr>
            </w:pPr>
            <w:r>
              <w:rPr>
                <w:rFonts w:ascii="Arial" w:hAnsi="Arial"/>
                <w:spacing w:val="-2"/>
                <w:sz w:val="22"/>
              </w:rPr>
              <w:t xml:space="preserve">Participer au CCLG regroupant les secrétariats des conventions et l’équipe dirigeante du Secteur de la culture. </w:t>
            </w:r>
          </w:p>
        </w:tc>
        <w:tc>
          <w:tcPr>
            <w:tcW w:w="1986" w:type="dxa"/>
            <w:gridSpan w:val="2"/>
            <w:noWrap/>
            <w:tcMar>
              <w:top w:w="40" w:type="dxa"/>
              <w:left w:w="40" w:type="dxa"/>
              <w:bottom w:w="40" w:type="dxa"/>
              <w:right w:w="40" w:type="dxa"/>
            </w:tcMar>
          </w:tcPr>
          <w:p w14:paraId="545D2015" w14:textId="77777777" w:rsidR="00105BFD" w:rsidRPr="00427622" w:rsidRDefault="00105BFD" w:rsidP="00105BFD">
            <w:pPr>
              <w:ind w:left="57"/>
              <w:rPr>
                <w:rFonts w:ascii="Arial" w:hAnsi="Arial" w:cs="Arial"/>
                <w:spacing w:val="-2"/>
              </w:rPr>
            </w:pPr>
            <w:r>
              <w:rPr>
                <w:rFonts w:ascii="Arial" w:hAnsi="Arial"/>
                <w:spacing w:val="-2"/>
                <w:sz w:val="22"/>
              </w:rPr>
              <w:t>En cours</w:t>
            </w:r>
          </w:p>
        </w:tc>
        <w:tc>
          <w:tcPr>
            <w:tcW w:w="7655" w:type="dxa"/>
            <w:noWrap/>
            <w:tcMar>
              <w:top w:w="40" w:type="dxa"/>
              <w:left w:w="40" w:type="dxa"/>
              <w:bottom w:w="40" w:type="dxa"/>
              <w:right w:w="40" w:type="dxa"/>
            </w:tcMar>
          </w:tcPr>
          <w:p w14:paraId="13A496DB" w14:textId="77777777" w:rsidR="00105BFD" w:rsidRPr="00427622" w:rsidRDefault="00105BFD" w:rsidP="00105BFD">
            <w:pPr>
              <w:pStyle w:val="ListParagraph"/>
              <w:numPr>
                <w:ilvl w:val="0"/>
                <w:numId w:val="11"/>
              </w:numPr>
              <w:spacing w:before="0" w:beforeAutospacing="0" w:after="0" w:afterAutospacing="0"/>
              <w:ind w:left="470" w:hanging="357"/>
              <w:contextualSpacing/>
              <w:rPr>
                <w:rFonts w:ascii="Arial" w:hAnsi="Arial" w:cs="Arial"/>
                <w:spacing w:val="-2"/>
              </w:rPr>
            </w:pPr>
            <w:r>
              <w:rPr>
                <w:rFonts w:ascii="Arial" w:hAnsi="Arial"/>
                <w:spacing w:val="-2"/>
                <w:sz w:val="22"/>
              </w:rPr>
              <w:t>Le Secrétariat a informé le Comité des progrès accomplis lors de sa neuvième session (</w:t>
            </w:r>
            <w:r w:rsidRPr="00961954">
              <w:rPr>
                <w:rFonts w:ascii="Arial" w:hAnsi="Arial"/>
                <w:spacing w:val="-2"/>
                <w:sz w:val="22"/>
              </w:rPr>
              <w:t>document </w:t>
            </w:r>
            <w:hyperlink r:id="rId44" w:history="1">
              <w:r w:rsidRPr="00961954">
                <w:rPr>
                  <w:rStyle w:val="Hyperlink"/>
                  <w:rFonts w:ascii="Arial" w:hAnsi="Arial"/>
                  <w:spacing w:val="-2"/>
                  <w:sz w:val="22"/>
                </w:rPr>
                <w:t>ITH/14/9.COM/13.h</w:t>
              </w:r>
            </w:hyperlink>
            <w:r>
              <w:rPr>
                <w:rFonts w:ascii="Arial" w:hAnsi="Arial"/>
                <w:spacing w:val="-2"/>
                <w:sz w:val="22"/>
              </w:rPr>
              <w:t xml:space="preserve"> et </w:t>
            </w:r>
            <w:hyperlink r:id="rId45">
              <w:r>
                <w:rPr>
                  <w:rStyle w:val="Hyperlink"/>
                  <w:rFonts w:ascii="Arial" w:hAnsi="Arial"/>
                  <w:spacing w:val="-2"/>
                  <w:sz w:val="22"/>
                </w:rPr>
                <w:t>décision 9.COM 13.h</w:t>
              </w:r>
            </w:hyperlink>
            <w:r>
              <w:rPr>
                <w:rFonts w:ascii="Arial" w:hAnsi="Arial"/>
                <w:spacing w:val="-2"/>
                <w:sz w:val="22"/>
              </w:rPr>
              <w:t>).</w:t>
            </w:r>
          </w:p>
        </w:tc>
      </w:tr>
      <w:tr w:rsidR="00105BFD" w:rsidRPr="00CC11E8" w14:paraId="149A979A" w14:textId="77777777" w:rsidTr="00105BFD">
        <w:tc>
          <w:tcPr>
            <w:tcW w:w="4717" w:type="dxa"/>
            <w:gridSpan w:val="2"/>
            <w:noWrap/>
            <w:tcMar>
              <w:top w:w="40" w:type="dxa"/>
              <w:left w:w="40" w:type="dxa"/>
              <w:bottom w:w="40" w:type="dxa"/>
              <w:right w:w="40" w:type="dxa"/>
            </w:tcMar>
          </w:tcPr>
          <w:p w14:paraId="14B7C8AB" w14:textId="77777777" w:rsidR="00105BFD" w:rsidRPr="00427622" w:rsidRDefault="00105BFD" w:rsidP="00105BFD">
            <w:pPr>
              <w:ind w:left="113" w:right="57"/>
              <w:rPr>
                <w:rFonts w:ascii="Arial" w:hAnsi="Arial" w:cs="Arial"/>
                <w:spacing w:val="-2"/>
              </w:rPr>
            </w:pPr>
            <w:r>
              <w:rPr>
                <w:rFonts w:ascii="Arial" w:hAnsi="Arial"/>
                <w:spacing w:val="-2"/>
                <w:sz w:val="22"/>
              </w:rPr>
              <w:t>Faciliter la réflexion sur les synergies entre les conventions de 2003 et 2005 dans le domaine du renforcement des capacités.</w:t>
            </w:r>
          </w:p>
        </w:tc>
        <w:tc>
          <w:tcPr>
            <w:tcW w:w="1986" w:type="dxa"/>
            <w:gridSpan w:val="2"/>
            <w:noWrap/>
            <w:tcMar>
              <w:top w:w="40" w:type="dxa"/>
              <w:left w:w="40" w:type="dxa"/>
              <w:bottom w:w="40" w:type="dxa"/>
              <w:right w:w="40" w:type="dxa"/>
            </w:tcMar>
          </w:tcPr>
          <w:p w14:paraId="699A11A0" w14:textId="77777777" w:rsidR="00105BFD" w:rsidRPr="00427622" w:rsidRDefault="00105BFD" w:rsidP="00105BFD">
            <w:pPr>
              <w:ind w:left="57"/>
              <w:rPr>
                <w:rFonts w:ascii="Arial" w:hAnsi="Arial" w:cs="Arial"/>
                <w:spacing w:val="-2"/>
              </w:rPr>
            </w:pPr>
            <w:r>
              <w:rPr>
                <w:rFonts w:ascii="Arial" w:hAnsi="Arial"/>
                <w:spacing w:val="-2"/>
                <w:sz w:val="22"/>
              </w:rPr>
              <w:t>En cours</w:t>
            </w:r>
          </w:p>
        </w:tc>
        <w:tc>
          <w:tcPr>
            <w:tcW w:w="7655" w:type="dxa"/>
            <w:noWrap/>
            <w:tcMar>
              <w:top w:w="40" w:type="dxa"/>
              <w:left w:w="40" w:type="dxa"/>
              <w:bottom w:w="40" w:type="dxa"/>
              <w:right w:w="40" w:type="dxa"/>
            </w:tcMar>
          </w:tcPr>
          <w:p w14:paraId="56A3083B" w14:textId="77777777" w:rsidR="00105BFD" w:rsidRPr="00427622" w:rsidRDefault="00105BFD" w:rsidP="00105BFD">
            <w:pPr>
              <w:pStyle w:val="ListParagraph"/>
              <w:numPr>
                <w:ilvl w:val="0"/>
                <w:numId w:val="11"/>
              </w:numPr>
              <w:spacing w:before="0" w:beforeAutospacing="0" w:after="0" w:afterAutospacing="0"/>
              <w:ind w:left="470" w:hanging="357"/>
              <w:contextualSpacing/>
              <w:rPr>
                <w:rFonts w:ascii="Arial" w:hAnsi="Arial" w:cs="Arial"/>
                <w:spacing w:val="-2"/>
              </w:rPr>
            </w:pPr>
            <w:r>
              <w:rPr>
                <w:rFonts w:ascii="Arial" w:hAnsi="Arial"/>
                <w:spacing w:val="-2"/>
                <w:sz w:val="22"/>
              </w:rPr>
              <w:t>Le Secrétariat a exposé au Comité les progrès accomplis durant sa neuvième session (</w:t>
            </w:r>
            <w:r w:rsidRPr="00961954">
              <w:rPr>
                <w:rFonts w:ascii="Arial" w:hAnsi="Arial"/>
                <w:spacing w:val="-2"/>
                <w:sz w:val="22"/>
              </w:rPr>
              <w:t>document </w:t>
            </w:r>
            <w:hyperlink r:id="rId46" w:history="1">
              <w:r w:rsidRPr="00961954">
                <w:rPr>
                  <w:rStyle w:val="Hyperlink"/>
                  <w:rFonts w:ascii="Arial" w:hAnsi="Arial"/>
                  <w:spacing w:val="-2"/>
                  <w:sz w:val="22"/>
                </w:rPr>
                <w:t>ITH/14/9.COM/13.h</w:t>
              </w:r>
            </w:hyperlink>
            <w:r>
              <w:rPr>
                <w:rFonts w:ascii="Arial" w:hAnsi="Arial"/>
                <w:spacing w:val="-2"/>
                <w:sz w:val="22"/>
              </w:rPr>
              <w:t xml:space="preserve"> et </w:t>
            </w:r>
            <w:hyperlink r:id="rId47">
              <w:r>
                <w:rPr>
                  <w:rStyle w:val="Hyperlink"/>
                  <w:rFonts w:ascii="Arial" w:hAnsi="Arial"/>
                  <w:spacing w:val="-2"/>
                  <w:sz w:val="22"/>
                </w:rPr>
                <w:t>décision 9.COM 13.h</w:t>
              </w:r>
            </w:hyperlink>
            <w:r>
              <w:rPr>
                <w:rFonts w:ascii="Arial" w:hAnsi="Arial"/>
                <w:spacing w:val="-2"/>
                <w:sz w:val="22"/>
              </w:rPr>
              <w:t>).</w:t>
            </w:r>
          </w:p>
          <w:p w14:paraId="477FA8DC" w14:textId="77777777" w:rsidR="00105BFD" w:rsidRPr="00427622" w:rsidRDefault="00105BFD" w:rsidP="00105BFD">
            <w:pPr>
              <w:pStyle w:val="ListParagraph"/>
              <w:numPr>
                <w:ilvl w:val="0"/>
                <w:numId w:val="11"/>
              </w:numPr>
              <w:spacing w:before="0" w:beforeAutospacing="0" w:after="0" w:afterAutospacing="0"/>
              <w:ind w:left="470" w:hanging="357"/>
              <w:contextualSpacing/>
              <w:rPr>
                <w:rFonts w:ascii="Arial" w:hAnsi="Arial" w:cs="Arial"/>
                <w:spacing w:val="-2"/>
              </w:rPr>
            </w:pPr>
            <w:r>
              <w:rPr>
                <w:rFonts w:ascii="Arial" w:hAnsi="Arial"/>
                <w:spacing w:val="-2"/>
                <w:sz w:val="22"/>
              </w:rPr>
              <w:t>Depuis la neuvième session du Comité, le Secrétariat :</w:t>
            </w:r>
          </w:p>
          <w:p w14:paraId="077DC935" w14:textId="77777777" w:rsidR="00105BFD" w:rsidRPr="00427622" w:rsidRDefault="00105BFD" w:rsidP="00105BFD">
            <w:pPr>
              <w:pStyle w:val="ListParagraph"/>
              <w:numPr>
                <w:ilvl w:val="1"/>
                <w:numId w:val="13"/>
              </w:numPr>
              <w:spacing w:before="0" w:beforeAutospacing="0" w:after="0" w:afterAutospacing="0"/>
              <w:ind w:left="809" w:hanging="425"/>
              <w:contextualSpacing/>
              <w:rPr>
                <w:rFonts w:ascii="Arial" w:hAnsi="Arial" w:cs="Arial"/>
                <w:spacing w:val="-2"/>
              </w:rPr>
            </w:pPr>
            <w:r>
              <w:rPr>
                <w:rFonts w:ascii="Arial" w:hAnsi="Arial"/>
                <w:spacing w:val="-2"/>
                <w:sz w:val="22"/>
              </w:rPr>
              <w:t>a organisé un atelier intitulé « Comment conseiller efficacement en matière de politique ? » avec la participation des secrétariats des Conventions de 2003 et 2005 ;</w:t>
            </w:r>
          </w:p>
          <w:p w14:paraId="7F9C9C17" w14:textId="77777777" w:rsidR="00105BFD" w:rsidRPr="00427622" w:rsidRDefault="00105BFD" w:rsidP="00105BFD">
            <w:pPr>
              <w:pStyle w:val="ListParagraph"/>
              <w:numPr>
                <w:ilvl w:val="1"/>
                <w:numId w:val="13"/>
              </w:numPr>
              <w:spacing w:before="0" w:beforeAutospacing="0" w:after="0" w:afterAutospacing="0"/>
              <w:ind w:left="809" w:hanging="425"/>
              <w:contextualSpacing/>
              <w:rPr>
                <w:rFonts w:ascii="Arial" w:hAnsi="Arial" w:cs="Arial"/>
                <w:spacing w:val="-2"/>
              </w:rPr>
            </w:pPr>
            <w:r>
              <w:rPr>
                <w:rFonts w:ascii="Arial" w:hAnsi="Arial"/>
                <w:spacing w:val="-2"/>
                <w:sz w:val="22"/>
              </w:rPr>
              <w:t>a adapté le format des conseils en politique du programme de renforcement des capacités de la Convention de 2003 afin de promouvoir la synergie ;</w:t>
            </w:r>
          </w:p>
          <w:p w14:paraId="361D1425" w14:textId="77777777" w:rsidR="00105BFD" w:rsidRPr="00427622" w:rsidRDefault="00105BFD" w:rsidP="00105BFD">
            <w:pPr>
              <w:pStyle w:val="ListParagraph"/>
              <w:numPr>
                <w:ilvl w:val="1"/>
                <w:numId w:val="13"/>
              </w:numPr>
              <w:spacing w:before="0" w:beforeAutospacing="0" w:after="0" w:afterAutospacing="0"/>
              <w:ind w:left="809" w:hanging="425"/>
              <w:contextualSpacing/>
              <w:rPr>
                <w:rFonts w:ascii="Arial" w:hAnsi="Arial" w:cs="Arial"/>
                <w:spacing w:val="-2"/>
              </w:rPr>
            </w:pPr>
            <w:r>
              <w:rPr>
                <w:rFonts w:ascii="Arial" w:hAnsi="Arial"/>
                <w:spacing w:val="-2"/>
                <w:sz w:val="22"/>
              </w:rPr>
              <w:t>a organisé un atelier pour experts-facilitateurs sur la fourniture d’un soutien politique efficace en Afrique comprenant des experts de la Convention de 2005.</w:t>
            </w:r>
          </w:p>
        </w:tc>
      </w:tr>
      <w:tr w:rsidR="00105BFD" w:rsidRPr="00CC11E8" w14:paraId="1D6DEF66" w14:textId="77777777" w:rsidTr="00105BFD">
        <w:tc>
          <w:tcPr>
            <w:tcW w:w="4717" w:type="dxa"/>
            <w:gridSpan w:val="2"/>
            <w:noWrap/>
            <w:tcMar>
              <w:top w:w="40" w:type="dxa"/>
              <w:left w:w="40" w:type="dxa"/>
              <w:bottom w:w="40" w:type="dxa"/>
              <w:right w:w="40" w:type="dxa"/>
            </w:tcMar>
          </w:tcPr>
          <w:p w14:paraId="09B69F5A" w14:textId="77777777" w:rsidR="00105BFD" w:rsidRPr="00427622" w:rsidRDefault="00105BFD" w:rsidP="00105BFD">
            <w:pPr>
              <w:ind w:left="113" w:right="57"/>
              <w:rPr>
                <w:rFonts w:ascii="Arial" w:hAnsi="Arial" w:cs="Arial"/>
                <w:spacing w:val="-2"/>
              </w:rPr>
            </w:pPr>
            <w:r>
              <w:rPr>
                <w:rFonts w:ascii="Arial" w:hAnsi="Arial"/>
                <w:spacing w:val="-2"/>
                <w:sz w:val="22"/>
              </w:rPr>
              <w:t>Intégrer efficacement les services de CLT/CCS au travail de la Section.</w:t>
            </w:r>
          </w:p>
        </w:tc>
        <w:tc>
          <w:tcPr>
            <w:tcW w:w="1986" w:type="dxa"/>
            <w:gridSpan w:val="2"/>
            <w:noWrap/>
            <w:tcMar>
              <w:top w:w="40" w:type="dxa"/>
              <w:left w:w="40" w:type="dxa"/>
              <w:bottom w:w="40" w:type="dxa"/>
              <w:right w:w="40" w:type="dxa"/>
            </w:tcMar>
          </w:tcPr>
          <w:p w14:paraId="3E0C0036" w14:textId="77777777" w:rsidR="00105BFD" w:rsidRPr="00427622" w:rsidRDefault="00105BFD" w:rsidP="00105BFD">
            <w:pPr>
              <w:ind w:left="57"/>
              <w:rPr>
                <w:rFonts w:ascii="Arial" w:hAnsi="Arial" w:cs="Arial"/>
                <w:spacing w:val="-2"/>
              </w:rPr>
            </w:pPr>
            <w:r>
              <w:rPr>
                <w:rFonts w:ascii="Arial" w:hAnsi="Arial"/>
                <w:spacing w:val="-2"/>
                <w:sz w:val="22"/>
              </w:rPr>
              <w:t>En cours</w:t>
            </w:r>
          </w:p>
        </w:tc>
        <w:tc>
          <w:tcPr>
            <w:tcW w:w="7655" w:type="dxa"/>
            <w:noWrap/>
            <w:tcMar>
              <w:top w:w="40" w:type="dxa"/>
              <w:left w:w="40" w:type="dxa"/>
              <w:bottom w:w="40" w:type="dxa"/>
              <w:right w:w="40" w:type="dxa"/>
            </w:tcMar>
          </w:tcPr>
          <w:p w14:paraId="6D70DA27" w14:textId="77777777" w:rsidR="00105BFD" w:rsidRPr="00427622" w:rsidRDefault="00105BFD" w:rsidP="00105BFD">
            <w:pPr>
              <w:pStyle w:val="ListParagraph"/>
              <w:numPr>
                <w:ilvl w:val="0"/>
                <w:numId w:val="11"/>
              </w:numPr>
              <w:spacing w:before="0" w:beforeAutospacing="0" w:after="0" w:afterAutospacing="0"/>
              <w:ind w:left="470" w:hanging="357"/>
              <w:contextualSpacing/>
              <w:rPr>
                <w:rFonts w:ascii="Arial" w:hAnsi="Arial" w:cs="Arial"/>
                <w:b/>
                <w:spacing w:val="-2"/>
                <w:u w:val="single"/>
              </w:rPr>
            </w:pPr>
            <w:r>
              <w:rPr>
                <w:rFonts w:ascii="Arial" w:hAnsi="Arial"/>
                <w:spacing w:val="-2"/>
                <w:sz w:val="22"/>
              </w:rPr>
              <w:t>L’Unité des services communs des conventions (CLT/CCS) a apporté son soutien logistique à l’organisation de la sixième session de l’Assemblée générale et des neuvième et dixième sessions du Comité.</w:t>
            </w:r>
          </w:p>
        </w:tc>
      </w:tr>
      <w:tr w:rsidR="00105BFD" w:rsidRPr="00CC11E8" w14:paraId="4E3E1401" w14:textId="77777777" w:rsidTr="00105BFD">
        <w:tc>
          <w:tcPr>
            <w:tcW w:w="4717" w:type="dxa"/>
            <w:gridSpan w:val="2"/>
            <w:noWrap/>
            <w:tcMar>
              <w:top w:w="40" w:type="dxa"/>
              <w:left w:w="40" w:type="dxa"/>
              <w:bottom w:w="40" w:type="dxa"/>
              <w:right w:w="40" w:type="dxa"/>
            </w:tcMar>
          </w:tcPr>
          <w:p w14:paraId="1D85DED1" w14:textId="77777777" w:rsidR="00105BFD" w:rsidRPr="00427622" w:rsidRDefault="00105BFD" w:rsidP="00105BFD">
            <w:pPr>
              <w:ind w:left="113" w:right="57"/>
              <w:rPr>
                <w:rFonts w:ascii="Arial" w:hAnsi="Arial" w:cs="Arial"/>
                <w:spacing w:val="-2"/>
              </w:rPr>
            </w:pPr>
            <w:r>
              <w:rPr>
                <w:rFonts w:ascii="Arial" w:hAnsi="Arial"/>
                <w:spacing w:val="-2"/>
                <w:sz w:val="22"/>
              </w:rPr>
              <w:t>Faciliter des réunions entre les présidents des six conventions culturelles de l’UNESCO.</w:t>
            </w:r>
          </w:p>
        </w:tc>
        <w:tc>
          <w:tcPr>
            <w:tcW w:w="1986" w:type="dxa"/>
            <w:gridSpan w:val="2"/>
            <w:noWrap/>
            <w:tcMar>
              <w:top w:w="40" w:type="dxa"/>
              <w:left w:w="40" w:type="dxa"/>
              <w:bottom w:w="40" w:type="dxa"/>
              <w:right w:w="40" w:type="dxa"/>
            </w:tcMar>
          </w:tcPr>
          <w:p w14:paraId="33C1CBB2" w14:textId="77777777" w:rsidR="00105BFD" w:rsidRPr="00427622" w:rsidRDefault="00105BFD" w:rsidP="00105BFD">
            <w:pPr>
              <w:ind w:left="57"/>
              <w:rPr>
                <w:rFonts w:ascii="Arial" w:hAnsi="Arial" w:cs="Arial"/>
                <w:spacing w:val="-2"/>
              </w:rPr>
            </w:pPr>
            <w:r>
              <w:rPr>
                <w:rFonts w:ascii="Arial" w:hAnsi="Arial"/>
                <w:spacing w:val="-2"/>
                <w:sz w:val="22"/>
              </w:rPr>
              <w:t>En cours</w:t>
            </w:r>
          </w:p>
        </w:tc>
        <w:tc>
          <w:tcPr>
            <w:tcW w:w="7655" w:type="dxa"/>
            <w:noWrap/>
            <w:tcMar>
              <w:top w:w="40" w:type="dxa"/>
              <w:left w:w="40" w:type="dxa"/>
              <w:bottom w:w="40" w:type="dxa"/>
              <w:right w:w="40" w:type="dxa"/>
            </w:tcMar>
          </w:tcPr>
          <w:p w14:paraId="2CB0485A" w14:textId="77777777" w:rsidR="00105BFD" w:rsidRPr="00427622" w:rsidRDefault="00105BFD" w:rsidP="00105BFD">
            <w:pPr>
              <w:pStyle w:val="ListParagraph"/>
              <w:numPr>
                <w:ilvl w:val="0"/>
                <w:numId w:val="11"/>
              </w:numPr>
              <w:spacing w:before="0" w:beforeAutospacing="0" w:after="0" w:afterAutospacing="0"/>
              <w:ind w:left="470" w:hanging="357"/>
              <w:contextualSpacing/>
              <w:rPr>
                <w:rFonts w:ascii="Arial" w:hAnsi="Arial" w:cs="Arial"/>
                <w:spacing w:val="-2"/>
              </w:rPr>
            </w:pPr>
            <w:r>
              <w:rPr>
                <w:rFonts w:ascii="Arial" w:hAnsi="Arial"/>
                <w:spacing w:val="-2"/>
                <w:sz w:val="22"/>
              </w:rPr>
              <w:t>En juin 2015, au cours de la trente-neuvième session du Comité du patrimoine mondial à Bonn, en Allemagne, les présidents des six conventions culturelles de l’UNESCO se sont retrouvés pour la première fois pour discuter de la façon de travailler ensemble plus efficacement.</w:t>
            </w:r>
          </w:p>
          <w:p w14:paraId="01D472A0" w14:textId="77777777" w:rsidR="00105BFD" w:rsidRPr="00A75804" w:rsidRDefault="00105BFD" w:rsidP="00105BFD">
            <w:pPr>
              <w:pStyle w:val="ListParagraph"/>
              <w:numPr>
                <w:ilvl w:val="0"/>
                <w:numId w:val="11"/>
              </w:numPr>
              <w:spacing w:before="0" w:beforeAutospacing="0" w:after="0" w:afterAutospacing="0"/>
              <w:ind w:left="470" w:hanging="357"/>
              <w:contextualSpacing/>
              <w:rPr>
                <w:rFonts w:ascii="Arial" w:hAnsi="Arial" w:cs="Arial"/>
                <w:spacing w:val="-2"/>
              </w:rPr>
            </w:pPr>
            <w:r>
              <w:rPr>
                <w:rFonts w:ascii="Arial" w:hAnsi="Arial"/>
                <w:spacing w:val="-2"/>
                <w:sz w:val="22"/>
              </w:rPr>
              <w:t xml:space="preserve">Les Présidents ont présenté une déclaration soulignant la nécessité d’une volonté politique renouvelée pour soutenir les six conventions culturelles de l’UNESCO dans leur ensemble et encourageant les Nations Unies à </w:t>
            </w:r>
            <w:r>
              <w:rPr>
                <w:rFonts w:ascii="Arial" w:hAnsi="Arial"/>
                <w:spacing w:val="-2"/>
                <w:sz w:val="22"/>
              </w:rPr>
              <w:lastRenderedPageBreak/>
              <w:t>veiller à ce que la protection, la sauvegarde et la compréhension du patrimoine culturel et naturel, la diversité culturelle et l’expression créative dans le monde entier soient reconnues comme des questions transversales dans la mise en œuvre des objectifs interdépendants de l’Agenda du développement post-2015.</w:t>
            </w:r>
          </w:p>
        </w:tc>
      </w:tr>
      <w:tr w:rsidR="00105BFD" w:rsidRPr="00CC11E8" w14:paraId="0CB4030B" w14:textId="77777777" w:rsidTr="00105BFD">
        <w:tc>
          <w:tcPr>
            <w:tcW w:w="14358" w:type="dxa"/>
            <w:gridSpan w:val="5"/>
            <w:shd w:val="clear" w:color="auto" w:fill="E6E6E6"/>
            <w:noWrap/>
            <w:tcMar>
              <w:top w:w="40" w:type="dxa"/>
              <w:left w:w="40" w:type="dxa"/>
              <w:bottom w:w="40" w:type="dxa"/>
              <w:right w:w="40" w:type="dxa"/>
            </w:tcMar>
          </w:tcPr>
          <w:p w14:paraId="3E9246D4" w14:textId="77777777" w:rsidR="00105BFD" w:rsidRPr="0033405D" w:rsidRDefault="00105BFD" w:rsidP="00105BFD">
            <w:pPr>
              <w:keepNext/>
              <w:tabs>
                <w:tab w:val="left" w:pos="2640"/>
              </w:tabs>
              <w:spacing w:before="120" w:after="120"/>
              <w:ind w:left="113" w:right="113"/>
              <w:jc w:val="both"/>
              <w:rPr>
                <w:rFonts w:ascii="Arial" w:hAnsi="Arial" w:cs="Arial"/>
                <w:b/>
              </w:rPr>
            </w:pPr>
            <w:r>
              <w:rPr>
                <w:rFonts w:ascii="Arial" w:hAnsi="Arial"/>
                <w:b/>
                <w:sz w:val="22"/>
              </w:rPr>
              <w:lastRenderedPageBreak/>
              <w:t>Recommandation 17 : Encourager les représentants des ONG accréditées à participer aux débats du CIG avant de voter sur les points à l’ordre du jour et inclure les résultats des forums des ONG (tels que les déclarations des ONG) à l’ordre du jour du Comité.</w:t>
            </w:r>
          </w:p>
        </w:tc>
      </w:tr>
      <w:tr w:rsidR="00105BFD" w:rsidRPr="00CC11E8" w14:paraId="2D0D2426" w14:textId="77777777" w:rsidTr="00105BFD">
        <w:tc>
          <w:tcPr>
            <w:tcW w:w="14358" w:type="dxa"/>
            <w:gridSpan w:val="5"/>
            <w:noWrap/>
            <w:tcMar>
              <w:top w:w="40" w:type="dxa"/>
              <w:left w:w="40" w:type="dxa"/>
              <w:bottom w:w="40" w:type="dxa"/>
              <w:right w:w="40" w:type="dxa"/>
            </w:tcMar>
          </w:tcPr>
          <w:p w14:paraId="70E5702B" w14:textId="77777777" w:rsidR="00105BFD" w:rsidRPr="00427622" w:rsidRDefault="00105BFD" w:rsidP="00105BFD">
            <w:pPr>
              <w:keepNext/>
              <w:keepLines/>
              <w:spacing w:before="120" w:after="120"/>
              <w:ind w:left="113" w:right="113"/>
              <w:jc w:val="both"/>
              <w:rPr>
                <w:rFonts w:ascii="Arial" w:hAnsi="Arial" w:cs="Arial"/>
              </w:rPr>
            </w:pPr>
            <w:r>
              <w:rPr>
                <w:rFonts w:ascii="Arial" w:hAnsi="Arial"/>
                <w:b/>
                <w:sz w:val="22"/>
              </w:rPr>
              <w:t>Réponse de la direction </w:t>
            </w:r>
            <w:r>
              <w:rPr>
                <w:rFonts w:ascii="Arial" w:hAnsi="Arial"/>
                <w:sz w:val="22"/>
              </w:rPr>
              <w:t>: Le rapport du forum des ONG est déjà inscrit à l’ordre du jour des sessions du Comité, depuis sa neuvième session de 2014, et les ONG se sont exprimées, sur demande, sur plusieurs points de l’ordre du jour à l’occasion des sessions du Comité et de l’Assemblée générale.</w:t>
            </w:r>
          </w:p>
        </w:tc>
      </w:tr>
      <w:tr w:rsidR="00105BFD" w:rsidRPr="00427622" w14:paraId="70A1458B" w14:textId="77777777" w:rsidTr="00105BFD">
        <w:tc>
          <w:tcPr>
            <w:tcW w:w="4717" w:type="dxa"/>
            <w:gridSpan w:val="2"/>
            <w:noWrap/>
            <w:tcMar>
              <w:top w:w="40" w:type="dxa"/>
              <w:left w:w="40" w:type="dxa"/>
              <w:bottom w:w="40" w:type="dxa"/>
              <w:right w:w="40" w:type="dxa"/>
            </w:tcMar>
          </w:tcPr>
          <w:p w14:paraId="6C308976" w14:textId="77777777" w:rsidR="00105BFD" w:rsidRPr="0033405D" w:rsidRDefault="00105BFD" w:rsidP="00105BFD">
            <w:pPr>
              <w:keepNext/>
              <w:keepLines/>
              <w:spacing w:before="120" w:after="120"/>
              <w:ind w:left="113" w:right="57"/>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1D1674E5" w14:textId="77777777" w:rsidR="00105BFD" w:rsidRPr="0033405D" w:rsidRDefault="00105BFD" w:rsidP="00105BFD">
            <w:pPr>
              <w:spacing w:before="120" w:after="120"/>
              <w:ind w:left="57" w:right="57"/>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018F46F1" w14:textId="77777777" w:rsidR="00105BFD" w:rsidRPr="0033405D" w:rsidRDefault="00105BFD" w:rsidP="00105BFD">
            <w:pPr>
              <w:spacing w:before="120" w:after="120"/>
              <w:ind w:left="113" w:right="57"/>
              <w:jc w:val="center"/>
              <w:rPr>
                <w:rFonts w:ascii="Arial" w:hAnsi="Arial" w:cs="Arial"/>
                <w:b/>
              </w:rPr>
            </w:pPr>
            <w:r>
              <w:rPr>
                <w:rFonts w:ascii="Arial" w:hAnsi="Arial"/>
                <w:b/>
                <w:sz w:val="22"/>
              </w:rPr>
              <w:t>Statut</w:t>
            </w:r>
          </w:p>
        </w:tc>
      </w:tr>
      <w:tr w:rsidR="00105BFD" w:rsidRPr="00CC11E8" w14:paraId="4A6D4DA8" w14:textId="77777777" w:rsidTr="00105BFD">
        <w:tc>
          <w:tcPr>
            <w:tcW w:w="4717" w:type="dxa"/>
            <w:gridSpan w:val="2"/>
            <w:noWrap/>
            <w:tcMar>
              <w:top w:w="40" w:type="dxa"/>
              <w:left w:w="40" w:type="dxa"/>
              <w:bottom w:w="40" w:type="dxa"/>
              <w:right w:w="40" w:type="dxa"/>
            </w:tcMar>
          </w:tcPr>
          <w:p w14:paraId="75F5D5F6" w14:textId="77777777" w:rsidR="00105BFD" w:rsidRPr="000D6F3C" w:rsidRDefault="00105BFD" w:rsidP="00105BFD">
            <w:pPr>
              <w:pStyle w:val="Default"/>
              <w:spacing w:before="120" w:after="120"/>
              <w:ind w:left="113" w:right="57"/>
              <w:rPr>
                <w:rFonts w:cs="Arial"/>
                <w:sz w:val="22"/>
                <w:szCs w:val="22"/>
              </w:rPr>
            </w:pPr>
            <w:r w:rsidRPr="000D6F3C">
              <w:rPr>
                <w:rFonts w:cs="Arial"/>
                <w:sz w:val="22"/>
              </w:rPr>
              <w:t>Intégrer la déclaration des ONG dans l</w:t>
            </w:r>
            <w:r>
              <w:rPr>
                <w:rFonts w:cs="Arial"/>
                <w:sz w:val="22"/>
              </w:rPr>
              <w:t>’ordre du jour.</w:t>
            </w:r>
          </w:p>
          <w:p w14:paraId="731E3C78" w14:textId="77777777" w:rsidR="00105BFD" w:rsidRPr="000D6F3C" w:rsidRDefault="00105BFD" w:rsidP="00105BFD">
            <w:pPr>
              <w:pStyle w:val="Default"/>
              <w:spacing w:before="120" w:after="120"/>
              <w:ind w:left="113" w:right="57"/>
              <w:rPr>
                <w:rFonts w:cs="Arial"/>
              </w:rPr>
            </w:pPr>
            <w:r w:rsidRPr="000D6F3C">
              <w:rPr>
                <w:rFonts w:cs="Arial"/>
                <w:sz w:val="22"/>
              </w:rPr>
              <w:t>Encourager les ONG à préparer leurs interventions avant la session.</w:t>
            </w:r>
          </w:p>
        </w:tc>
        <w:tc>
          <w:tcPr>
            <w:tcW w:w="1986" w:type="dxa"/>
            <w:gridSpan w:val="2"/>
            <w:noWrap/>
            <w:tcMar>
              <w:top w:w="40" w:type="dxa"/>
              <w:left w:w="40" w:type="dxa"/>
              <w:bottom w:w="40" w:type="dxa"/>
              <w:right w:w="40" w:type="dxa"/>
            </w:tcMar>
          </w:tcPr>
          <w:p w14:paraId="6A02BC68" w14:textId="77777777" w:rsidR="00105BFD" w:rsidRPr="00427622" w:rsidRDefault="00105BFD" w:rsidP="00105BFD">
            <w:pPr>
              <w:spacing w:before="120" w:after="120"/>
              <w:ind w:left="57" w:right="57"/>
              <w:rPr>
                <w:rFonts w:ascii="Arial" w:hAnsi="Arial" w:cs="Arial"/>
              </w:rPr>
            </w:pPr>
            <w:r>
              <w:rPr>
                <w:rFonts w:ascii="Arial" w:hAnsi="Arial"/>
                <w:sz w:val="22"/>
              </w:rPr>
              <w:t>En cours</w:t>
            </w:r>
          </w:p>
        </w:tc>
        <w:tc>
          <w:tcPr>
            <w:tcW w:w="7655" w:type="dxa"/>
            <w:noWrap/>
            <w:tcMar>
              <w:top w:w="40" w:type="dxa"/>
              <w:left w:w="40" w:type="dxa"/>
              <w:bottom w:w="40" w:type="dxa"/>
              <w:right w:w="40" w:type="dxa"/>
            </w:tcMar>
          </w:tcPr>
          <w:p w14:paraId="0602C284" w14:textId="77777777" w:rsidR="00105BFD" w:rsidRPr="00DB5451" w:rsidRDefault="00105BFD" w:rsidP="00105BFD">
            <w:pPr>
              <w:pStyle w:val="ListParagraph"/>
              <w:numPr>
                <w:ilvl w:val="0"/>
                <w:numId w:val="11"/>
              </w:numPr>
              <w:spacing w:before="120" w:beforeAutospacing="0" w:after="120" w:afterAutospacing="0"/>
              <w:ind w:left="470" w:right="57" w:hanging="357"/>
              <w:contextualSpacing/>
              <w:rPr>
                <w:rFonts w:ascii="Arial" w:hAnsi="Arial" w:cs="Arial"/>
              </w:rPr>
            </w:pPr>
            <w:r>
              <w:rPr>
                <w:rFonts w:ascii="Arial" w:hAnsi="Arial"/>
                <w:sz w:val="22"/>
              </w:rPr>
              <w:t xml:space="preserve">La déclaration des ONG a été intégrée au calendrier </w:t>
            </w:r>
            <w:proofErr w:type="gramStart"/>
            <w:r>
              <w:rPr>
                <w:rFonts w:ascii="Arial" w:hAnsi="Arial"/>
                <w:sz w:val="22"/>
              </w:rPr>
              <w:t>des neuvième</w:t>
            </w:r>
            <w:proofErr w:type="gramEnd"/>
            <w:r>
              <w:rPr>
                <w:rFonts w:ascii="Arial" w:hAnsi="Arial"/>
                <w:sz w:val="22"/>
              </w:rPr>
              <w:t xml:space="preserve"> et dixième sessions du Comité.</w:t>
            </w:r>
          </w:p>
          <w:p w14:paraId="32ED0889" w14:textId="77777777" w:rsidR="00105BFD" w:rsidRPr="00427622" w:rsidRDefault="00105BFD" w:rsidP="00105BFD">
            <w:pPr>
              <w:pStyle w:val="ListParagraph"/>
              <w:widowControl w:val="0"/>
              <w:numPr>
                <w:ilvl w:val="0"/>
                <w:numId w:val="11"/>
              </w:numPr>
              <w:spacing w:before="120" w:beforeAutospacing="0" w:after="120" w:afterAutospacing="0"/>
              <w:ind w:left="470" w:right="57" w:hanging="357"/>
              <w:contextualSpacing/>
              <w:rPr>
                <w:rFonts w:ascii="Arial" w:hAnsi="Arial" w:cs="Arial"/>
                <w:b/>
                <w:u w:val="single"/>
              </w:rPr>
            </w:pPr>
            <w:r>
              <w:rPr>
                <w:rFonts w:ascii="Arial" w:hAnsi="Arial"/>
                <w:sz w:val="22"/>
              </w:rPr>
              <w:t>La déclaration des ONG continuera d’être intégrée au calendrier des sessions du Comité.</w:t>
            </w:r>
          </w:p>
        </w:tc>
      </w:tr>
      <w:tr w:rsidR="00105BFD" w:rsidRPr="00CC11E8" w14:paraId="2F39DA75" w14:textId="77777777" w:rsidTr="00105BFD">
        <w:tc>
          <w:tcPr>
            <w:tcW w:w="14358" w:type="dxa"/>
            <w:gridSpan w:val="5"/>
            <w:shd w:val="clear" w:color="auto" w:fill="E6E6E6"/>
            <w:noWrap/>
            <w:tcMar>
              <w:top w:w="40" w:type="dxa"/>
              <w:left w:w="40" w:type="dxa"/>
              <w:bottom w:w="40" w:type="dxa"/>
              <w:right w:w="40" w:type="dxa"/>
            </w:tcMar>
          </w:tcPr>
          <w:p w14:paraId="5E48F05C" w14:textId="77777777" w:rsidR="00105BFD" w:rsidRPr="0033405D" w:rsidRDefault="00105BFD" w:rsidP="00105BFD">
            <w:pPr>
              <w:tabs>
                <w:tab w:val="left" w:pos="2640"/>
              </w:tabs>
              <w:spacing w:before="120" w:after="120"/>
              <w:ind w:left="113" w:right="113"/>
              <w:jc w:val="both"/>
              <w:rPr>
                <w:rFonts w:ascii="Arial" w:hAnsi="Arial" w:cs="Arial"/>
                <w:b/>
              </w:rPr>
            </w:pPr>
            <w:r>
              <w:br w:type="page"/>
            </w:r>
            <w:r>
              <w:rPr>
                <w:rFonts w:ascii="Arial" w:hAnsi="Arial"/>
                <w:b/>
                <w:sz w:val="22"/>
              </w:rPr>
              <w:t>Recommandation 18 : Réviser le processus et les critères d’accréditation des ONG afin de s’assurer que toutes les ONG accréditées disposent de l’expérience et des capacités requises pour fournir des services consultatifs au Comité</w:t>
            </w:r>
          </w:p>
        </w:tc>
      </w:tr>
      <w:tr w:rsidR="00105BFD" w:rsidRPr="00CC11E8" w14:paraId="639898FB" w14:textId="77777777" w:rsidTr="00105BFD">
        <w:tc>
          <w:tcPr>
            <w:tcW w:w="14358" w:type="dxa"/>
            <w:gridSpan w:val="5"/>
            <w:noWrap/>
            <w:tcMar>
              <w:top w:w="40" w:type="dxa"/>
              <w:left w:w="40" w:type="dxa"/>
              <w:bottom w:w="40" w:type="dxa"/>
              <w:right w:w="40" w:type="dxa"/>
            </w:tcMar>
          </w:tcPr>
          <w:p w14:paraId="597E7698" w14:textId="77777777" w:rsidR="00105BFD" w:rsidRPr="00427622" w:rsidRDefault="00105BFD" w:rsidP="00105BFD">
            <w:pPr>
              <w:spacing w:before="120" w:after="120"/>
              <w:ind w:left="113" w:right="113"/>
              <w:jc w:val="both"/>
              <w:rPr>
                <w:rFonts w:ascii="Arial" w:hAnsi="Arial" w:cs="Arial"/>
              </w:rPr>
            </w:pPr>
            <w:r>
              <w:rPr>
                <w:rFonts w:ascii="Arial" w:hAnsi="Arial"/>
                <w:b/>
                <w:sz w:val="22"/>
              </w:rPr>
              <w:t>Réponse de la direction </w:t>
            </w:r>
            <w:r>
              <w:rPr>
                <w:rFonts w:ascii="Arial" w:hAnsi="Arial"/>
                <w:sz w:val="22"/>
              </w:rPr>
              <w:t>: L’Assemblée générale, lors de sa cinquième session en juin 2014, a rejeté les projets de Directives préparés par le Secrétariat révisant les critères d’accréditation des ONG afin de s’assurer que toutes les ONG accréditées ont l’expérience et les capacités requises pour fournir des services consultatifs au Comité.</w:t>
            </w:r>
          </w:p>
        </w:tc>
      </w:tr>
      <w:tr w:rsidR="00105BFD" w:rsidRPr="00427622" w14:paraId="11B9087E" w14:textId="77777777" w:rsidTr="00105BFD">
        <w:tc>
          <w:tcPr>
            <w:tcW w:w="4717" w:type="dxa"/>
            <w:gridSpan w:val="2"/>
            <w:noWrap/>
            <w:tcMar>
              <w:top w:w="40" w:type="dxa"/>
              <w:left w:w="40" w:type="dxa"/>
              <w:bottom w:w="40" w:type="dxa"/>
              <w:right w:w="40" w:type="dxa"/>
            </w:tcMar>
          </w:tcPr>
          <w:p w14:paraId="7031C75F" w14:textId="77777777" w:rsidR="00105BFD" w:rsidRPr="0033405D" w:rsidRDefault="00105BFD" w:rsidP="00105BFD">
            <w:pPr>
              <w:spacing w:before="120" w:after="120"/>
              <w:ind w:left="113" w:right="57"/>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40BA80D2" w14:textId="77777777" w:rsidR="00105BFD" w:rsidRPr="0033405D" w:rsidRDefault="00105BFD" w:rsidP="00105BFD">
            <w:pPr>
              <w:spacing w:before="120" w:after="120"/>
              <w:ind w:left="57" w:right="57"/>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4DECD520" w14:textId="77777777" w:rsidR="00105BFD" w:rsidRPr="0033405D" w:rsidRDefault="00105BFD" w:rsidP="00105BFD">
            <w:pPr>
              <w:spacing w:before="120" w:after="120"/>
              <w:ind w:left="113" w:right="57"/>
              <w:jc w:val="center"/>
              <w:rPr>
                <w:rFonts w:ascii="Arial" w:hAnsi="Arial" w:cs="Arial"/>
                <w:b/>
              </w:rPr>
            </w:pPr>
            <w:r>
              <w:rPr>
                <w:rFonts w:ascii="Arial" w:hAnsi="Arial"/>
                <w:b/>
                <w:sz w:val="22"/>
              </w:rPr>
              <w:t>Statut</w:t>
            </w:r>
          </w:p>
        </w:tc>
      </w:tr>
      <w:tr w:rsidR="00105BFD" w:rsidRPr="00427622" w14:paraId="6F5344D0" w14:textId="77777777" w:rsidTr="00105BFD">
        <w:tc>
          <w:tcPr>
            <w:tcW w:w="4717" w:type="dxa"/>
            <w:gridSpan w:val="2"/>
            <w:noWrap/>
            <w:tcMar>
              <w:top w:w="40" w:type="dxa"/>
              <w:left w:w="40" w:type="dxa"/>
              <w:bottom w:w="40" w:type="dxa"/>
              <w:right w:w="40" w:type="dxa"/>
            </w:tcMar>
          </w:tcPr>
          <w:p w14:paraId="0287716A" w14:textId="77777777" w:rsidR="00105BFD" w:rsidRPr="00427622" w:rsidRDefault="00105BFD" w:rsidP="00105BFD">
            <w:pPr>
              <w:spacing w:before="120" w:after="120"/>
              <w:ind w:left="113" w:right="57"/>
              <w:rPr>
                <w:rFonts w:ascii="Arial" w:hAnsi="Arial" w:cs="Arial"/>
              </w:rPr>
            </w:pPr>
            <w:r>
              <w:rPr>
                <w:rFonts w:ascii="Arial" w:hAnsi="Arial"/>
                <w:sz w:val="22"/>
              </w:rPr>
              <w:t xml:space="preserve">L’Assemblée générale, lors de sa cinquième session en juin 2014, a rejeté les projets de Directives opérationnelles préparés par le Secrétariat révisant les critères </w:t>
            </w:r>
            <w:r>
              <w:rPr>
                <w:rFonts w:ascii="Arial" w:hAnsi="Arial"/>
                <w:sz w:val="22"/>
              </w:rPr>
              <w:lastRenderedPageBreak/>
              <w:t>d’accréditation (</w:t>
            </w:r>
            <w:r w:rsidRPr="00961954">
              <w:rPr>
                <w:rFonts w:ascii="Arial" w:hAnsi="Arial"/>
                <w:sz w:val="22"/>
              </w:rPr>
              <w:t>document </w:t>
            </w:r>
            <w:hyperlink r:id="rId48" w:history="1">
              <w:r w:rsidRPr="00961954">
                <w:rPr>
                  <w:rStyle w:val="Hyperlink"/>
                  <w:rFonts w:ascii="Arial" w:hAnsi="Arial"/>
                  <w:sz w:val="22"/>
                </w:rPr>
                <w:t>ITH/14/5.GA/5.1</w:t>
              </w:r>
            </w:hyperlink>
            <w:r w:rsidRPr="00961954">
              <w:rPr>
                <w:rStyle w:val="Hyperlink"/>
                <w:rFonts w:ascii="Arial" w:hAnsi="Arial"/>
                <w:color w:val="auto"/>
                <w:sz w:val="22"/>
                <w:u w:val="none"/>
              </w:rPr>
              <w:t>)</w:t>
            </w:r>
            <w:r>
              <w:t>.</w:t>
            </w:r>
          </w:p>
        </w:tc>
        <w:tc>
          <w:tcPr>
            <w:tcW w:w="1986" w:type="dxa"/>
            <w:gridSpan w:val="2"/>
            <w:noWrap/>
            <w:tcMar>
              <w:top w:w="40" w:type="dxa"/>
              <w:left w:w="40" w:type="dxa"/>
              <w:bottom w:w="40" w:type="dxa"/>
              <w:right w:w="40" w:type="dxa"/>
            </w:tcMar>
          </w:tcPr>
          <w:p w14:paraId="2116A65C" w14:textId="77777777" w:rsidR="00105BFD" w:rsidRPr="00427622" w:rsidRDefault="00105BFD" w:rsidP="00105BFD">
            <w:pPr>
              <w:spacing w:before="120" w:after="120"/>
              <w:ind w:left="113" w:right="57"/>
              <w:rPr>
                <w:rFonts w:ascii="Arial" w:hAnsi="Arial" w:cs="Arial"/>
              </w:rPr>
            </w:pPr>
          </w:p>
        </w:tc>
        <w:tc>
          <w:tcPr>
            <w:tcW w:w="7655" w:type="dxa"/>
            <w:noWrap/>
            <w:tcMar>
              <w:top w:w="40" w:type="dxa"/>
              <w:left w:w="40" w:type="dxa"/>
              <w:bottom w:w="40" w:type="dxa"/>
              <w:right w:w="40" w:type="dxa"/>
            </w:tcMar>
          </w:tcPr>
          <w:p w14:paraId="7CF8C966" w14:textId="77777777" w:rsidR="00105BFD" w:rsidRPr="00427622" w:rsidRDefault="00105BFD" w:rsidP="00105BFD">
            <w:pPr>
              <w:spacing w:before="120" w:after="120"/>
              <w:ind w:left="113" w:right="57"/>
              <w:rPr>
                <w:rFonts w:ascii="Arial" w:hAnsi="Arial" w:cs="Arial"/>
              </w:rPr>
            </w:pPr>
            <w:r>
              <w:rPr>
                <w:rFonts w:ascii="Arial" w:hAnsi="Arial"/>
                <w:sz w:val="22"/>
              </w:rPr>
              <w:t>Néant</w:t>
            </w:r>
          </w:p>
        </w:tc>
      </w:tr>
      <w:tr w:rsidR="00105BFD" w:rsidRPr="00CC11E8" w14:paraId="259C7A6B" w14:textId="77777777" w:rsidTr="00105BFD">
        <w:tc>
          <w:tcPr>
            <w:tcW w:w="14358" w:type="dxa"/>
            <w:gridSpan w:val="5"/>
            <w:shd w:val="clear" w:color="auto" w:fill="E6E6E6"/>
            <w:noWrap/>
            <w:tcMar>
              <w:top w:w="40" w:type="dxa"/>
              <w:left w:w="40" w:type="dxa"/>
              <w:bottom w:w="40" w:type="dxa"/>
              <w:right w:w="40" w:type="dxa"/>
            </w:tcMar>
          </w:tcPr>
          <w:p w14:paraId="6883DC04" w14:textId="77777777" w:rsidR="00105BFD" w:rsidRPr="0033405D" w:rsidRDefault="00105BFD" w:rsidP="00105BFD">
            <w:pPr>
              <w:tabs>
                <w:tab w:val="left" w:pos="2640"/>
              </w:tabs>
              <w:spacing w:before="120" w:after="120"/>
              <w:ind w:left="113" w:right="113"/>
              <w:jc w:val="both"/>
              <w:rPr>
                <w:rFonts w:ascii="Arial" w:hAnsi="Arial" w:cs="Arial"/>
                <w:b/>
              </w:rPr>
            </w:pPr>
            <w:r>
              <w:rPr>
                <w:rFonts w:ascii="Arial" w:hAnsi="Arial"/>
                <w:b/>
                <w:sz w:val="22"/>
              </w:rPr>
              <w:lastRenderedPageBreak/>
              <w:t>Recommandation 19 : Encourager le débat sur le rôle du secteur privé et des partenariats privés/publics dans la sauvegarde du PCI à tous les niveaux (national, régional et international) afin de mieux définir leur potentiel de coopération et d’implication.</w:t>
            </w:r>
          </w:p>
        </w:tc>
      </w:tr>
      <w:tr w:rsidR="00105BFD" w:rsidRPr="00CC11E8" w14:paraId="4F7C7A2E" w14:textId="77777777" w:rsidTr="00105BFD">
        <w:tc>
          <w:tcPr>
            <w:tcW w:w="14358" w:type="dxa"/>
            <w:gridSpan w:val="5"/>
            <w:noWrap/>
            <w:tcMar>
              <w:top w:w="40" w:type="dxa"/>
              <w:left w:w="40" w:type="dxa"/>
              <w:bottom w:w="40" w:type="dxa"/>
              <w:right w:w="40" w:type="dxa"/>
            </w:tcMar>
          </w:tcPr>
          <w:p w14:paraId="7F112319" w14:textId="77777777" w:rsidR="00105BFD" w:rsidRPr="00427622" w:rsidRDefault="00105BFD" w:rsidP="00105BFD">
            <w:pPr>
              <w:spacing w:before="120" w:after="120"/>
              <w:ind w:left="113" w:right="113"/>
              <w:jc w:val="both"/>
              <w:rPr>
                <w:rFonts w:ascii="Arial" w:hAnsi="Arial" w:cs="Arial"/>
              </w:rPr>
            </w:pPr>
            <w:r>
              <w:rPr>
                <w:rFonts w:ascii="Arial" w:hAnsi="Arial"/>
                <w:b/>
                <w:sz w:val="22"/>
              </w:rPr>
              <w:t>Réponse de la direction </w:t>
            </w:r>
            <w:r>
              <w:rPr>
                <w:rFonts w:ascii="Arial" w:hAnsi="Arial"/>
                <w:sz w:val="22"/>
              </w:rPr>
              <w:t>: À mettre en œuvre au niveau du Secteur de la culture.</w:t>
            </w:r>
          </w:p>
        </w:tc>
      </w:tr>
      <w:tr w:rsidR="00105BFD" w:rsidRPr="00427622" w14:paraId="3A260E6E" w14:textId="77777777" w:rsidTr="00105BFD">
        <w:tc>
          <w:tcPr>
            <w:tcW w:w="4717" w:type="dxa"/>
            <w:gridSpan w:val="2"/>
            <w:noWrap/>
            <w:tcMar>
              <w:top w:w="40" w:type="dxa"/>
              <w:left w:w="40" w:type="dxa"/>
              <w:bottom w:w="40" w:type="dxa"/>
              <w:right w:w="40" w:type="dxa"/>
            </w:tcMar>
          </w:tcPr>
          <w:p w14:paraId="7568198A" w14:textId="77777777" w:rsidR="00105BFD" w:rsidRPr="0033405D" w:rsidRDefault="00105BFD" w:rsidP="00105BFD">
            <w:pPr>
              <w:spacing w:before="120" w:after="12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35A8B360" w14:textId="77777777" w:rsidR="00105BFD" w:rsidRPr="0033405D" w:rsidRDefault="00105BFD" w:rsidP="00105BFD">
            <w:pPr>
              <w:spacing w:before="120" w:after="12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23F6479D" w14:textId="77777777" w:rsidR="00105BFD" w:rsidRPr="0033405D" w:rsidRDefault="00105BFD" w:rsidP="00105BFD">
            <w:pPr>
              <w:spacing w:before="120" w:after="120"/>
              <w:jc w:val="center"/>
              <w:rPr>
                <w:rFonts w:ascii="Arial" w:hAnsi="Arial" w:cs="Arial"/>
                <w:b/>
              </w:rPr>
            </w:pPr>
            <w:r>
              <w:rPr>
                <w:rFonts w:ascii="Arial" w:hAnsi="Arial"/>
                <w:b/>
                <w:sz w:val="22"/>
              </w:rPr>
              <w:t>Statut</w:t>
            </w:r>
          </w:p>
        </w:tc>
      </w:tr>
      <w:tr w:rsidR="00105BFD" w:rsidRPr="00CC11E8" w14:paraId="4474CBDA" w14:textId="77777777" w:rsidTr="00105BFD">
        <w:tc>
          <w:tcPr>
            <w:tcW w:w="4717" w:type="dxa"/>
            <w:gridSpan w:val="2"/>
            <w:noWrap/>
            <w:tcMar>
              <w:top w:w="40" w:type="dxa"/>
              <w:left w:w="40" w:type="dxa"/>
              <w:bottom w:w="40" w:type="dxa"/>
              <w:right w:w="40" w:type="dxa"/>
            </w:tcMar>
          </w:tcPr>
          <w:p w14:paraId="610454DF" w14:textId="77777777" w:rsidR="00105BFD" w:rsidRPr="00427622" w:rsidRDefault="00105BFD" w:rsidP="00105BFD">
            <w:pPr>
              <w:spacing w:before="60" w:after="60"/>
              <w:ind w:left="113" w:right="57"/>
              <w:rPr>
                <w:rFonts w:ascii="Arial" w:hAnsi="Arial" w:cs="Arial"/>
              </w:rPr>
            </w:pPr>
            <w:r>
              <w:rPr>
                <w:rFonts w:ascii="Arial" w:hAnsi="Arial"/>
                <w:sz w:val="22"/>
              </w:rPr>
              <w:t>Identifier des stratégies spécifiques de collecte de fonds pour la Convention de 2003 à intégrer dans la stratégie générale de collecte de fonds du Secteur de la culture.</w:t>
            </w:r>
          </w:p>
          <w:p w14:paraId="7E38D0B7" w14:textId="77777777" w:rsidR="00105BFD" w:rsidRPr="00427622" w:rsidRDefault="00105BFD" w:rsidP="00105BFD">
            <w:pPr>
              <w:spacing w:before="60" w:after="60"/>
              <w:ind w:left="113" w:right="57"/>
              <w:rPr>
                <w:rFonts w:ascii="Arial" w:hAnsi="Arial" w:cs="Arial"/>
              </w:rPr>
            </w:pPr>
            <w:r>
              <w:rPr>
                <w:rFonts w:ascii="Arial" w:hAnsi="Arial"/>
                <w:sz w:val="22"/>
              </w:rPr>
              <w:t>Envisager des options à intégrer aux activités CAP et se faire conseiller pour une méthodologie potentielle.</w:t>
            </w:r>
          </w:p>
          <w:p w14:paraId="64ABF749" w14:textId="77777777" w:rsidR="00105BFD" w:rsidRPr="00961954" w:rsidRDefault="00105BFD" w:rsidP="00105BFD">
            <w:pPr>
              <w:spacing w:before="60" w:after="60"/>
              <w:ind w:left="113" w:right="57"/>
            </w:pPr>
            <w:r>
              <w:rPr>
                <w:rFonts w:ascii="Arial" w:hAnsi="Arial"/>
                <w:sz w:val="22"/>
              </w:rPr>
              <w:t>Coordonner avec la stratégie générale de collecte de fonds du Secteur de la culture.</w:t>
            </w:r>
          </w:p>
        </w:tc>
        <w:tc>
          <w:tcPr>
            <w:tcW w:w="1986" w:type="dxa"/>
            <w:gridSpan w:val="2"/>
            <w:noWrap/>
            <w:tcMar>
              <w:top w:w="40" w:type="dxa"/>
              <w:left w:w="40" w:type="dxa"/>
              <w:bottom w:w="40" w:type="dxa"/>
              <w:right w:w="40" w:type="dxa"/>
            </w:tcMar>
          </w:tcPr>
          <w:p w14:paraId="343AA0A2" w14:textId="77777777" w:rsidR="00105BFD" w:rsidRPr="00427622" w:rsidRDefault="00105BFD" w:rsidP="00105BFD">
            <w:pPr>
              <w:spacing w:before="120" w:after="120"/>
              <w:ind w:left="57"/>
              <w:rPr>
                <w:rFonts w:ascii="Arial" w:hAnsi="Arial" w:cs="Arial"/>
              </w:rPr>
            </w:pPr>
            <w:r>
              <w:rPr>
                <w:rFonts w:ascii="Arial" w:hAnsi="Arial"/>
                <w:sz w:val="22"/>
              </w:rPr>
              <w:t>En cours</w:t>
            </w:r>
          </w:p>
        </w:tc>
        <w:tc>
          <w:tcPr>
            <w:tcW w:w="7655" w:type="dxa"/>
            <w:noWrap/>
            <w:tcMar>
              <w:top w:w="40" w:type="dxa"/>
              <w:left w:w="40" w:type="dxa"/>
              <w:bottom w:w="40" w:type="dxa"/>
              <w:right w:w="40" w:type="dxa"/>
            </w:tcMar>
          </w:tcPr>
          <w:p w14:paraId="48313D05" w14:textId="77777777" w:rsidR="00105BFD" w:rsidRPr="00A75804" w:rsidRDefault="00105BFD" w:rsidP="00105BFD">
            <w:pPr>
              <w:pStyle w:val="ListParagraph"/>
              <w:numPr>
                <w:ilvl w:val="0"/>
                <w:numId w:val="11"/>
              </w:numPr>
              <w:spacing w:before="120" w:after="120"/>
              <w:ind w:left="530" w:hanging="426"/>
              <w:contextualSpacing/>
              <w:rPr>
                <w:rFonts w:ascii="Arial" w:hAnsi="Arial" w:cs="Arial"/>
              </w:rPr>
            </w:pPr>
            <w:r>
              <w:rPr>
                <w:rFonts w:ascii="Arial" w:hAnsi="Arial"/>
                <w:sz w:val="22"/>
              </w:rPr>
              <w:t>Le CCS de l’Unité des services communs des conventions (CLT/CCS) a préparé un document sur les principes de mobilisation des ressources, présentant les principes de base, les approches et outils intégrés dans une stratégie commune de mobilisation des ressources pour les conventions culturelles. Le document a été soumis aux Secrétariats des conventions de 2003 et 2005 et sera discuté avec le BSP/CFS avant finalisation.</w:t>
            </w:r>
          </w:p>
          <w:p w14:paraId="23FEBE50" w14:textId="77777777" w:rsidR="00105BFD" w:rsidRPr="00A75804" w:rsidRDefault="00105BFD" w:rsidP="00105BFD">
            <w:pPr>
              <w:pStyle w:val="ListParagraph"/>
              <w:numPr>
                <w:ilvl w:val="0"/>
                <w:numId w:val="11"/>
              </w:numPr>
              <w:spacing w:before="120" w:after="120"/>
              <w:ind w:left="530" w:hanging="426"/>
              <w:contextualSpacing/>
              <w:rPr>
                <w:rFonts w:ascii="Arial" w:hAnsi="Arial" w:cs="Arial"/>
              </w:rPr>
            </w:pPr>
            <w:r>
              <w:rPr>
                <w:rFonts w:ascii="Arial" w:hAnsi="Arial"/>
                <w:sz w:val="22"/>
              </w:rPr>
              <w:t>Le tableau synthétique du CCS présentant les différents objectifs et obligations de chaque Convention en termes de mobilisation des ressources et le potentiel de chaque Convention à attirer des financements a été actualisé avec les derniers développements.</w:t>
            </w:r>
          </w:p>
          <w:p w14:paraId="7ED7C033" w14:textId="77777777" w:rsidR="00105BFD" w:rsidRPr="00A75804" w:rsidRDefault="00105BFD" w:rsidP="00105BFD">
            <w:pPr>
              <w:pStyle w:val="ListParagraph"/>
              <w:numPr>
                <w:ilvl w:val="0"/>
                <w:numId w:val="11"/>
              </w:numPr>
              <w:spacing w:before="120" w:after="120"/>
              <w:ind w:left="530" w:hanging="426"/>
              <w:contextualSpacing/>
              <w:rPr>
                <w:rFonts w:ascii="Arial" w:hAnsi="Arial" w:cs="Arial"/>
              </w:rPr>
            </w:pPr>
            <w:r>
              <w:rPr>
                <w:rFonts w:ascii="Arial" w:hAnsi="Arial"/>
                <w:sz w:val="22"/>
              </w:rPr>
              <w:t>Les flux de travaux proposés par le CCS concernant la mobilisation de ressources du secteur privé sont en cours de révision en tenant compte de l’expérience acquise depuis la mise en place de l’Unité CCS.</w:t>
            </w:r>
          </w:p>
          <w:p w14:paraId="35F56D1F" w14:textId="77777777" w:rsidR="00105BFD" w:rsidRPr="00A75804" w:rsidRDefault="00105BFD" w:rsidP="00105BFD">
            <w:pPr>
              <w:pStyle w:val="ListParagraph"/>
              <w:numPr>
                <w:ilvl w:val="0"/>
                <w:numId w:val="11"/>
              </w:numPr>
              <w:spacing w:before="120" w:beforeAutospacing="0" w:after="120" w:afterAutospacing="0"/>
              <w:ind w:left="530" w:hanging="426"/>
              <w:contextualSpacing/>
              <w:rPr>
                <w:rFonts w:ascii="Arial" w:hAnsi="Arial" w:cs="Arial"/>
              </w:rPr>
            </w:pPr>
            <w:r>
              <w:rPr>
                <w:rFonts w:ascii="Arial" w:hAnsi="Arial"/>
                <w:sz w:val="22"/>
              </w:rPr>
              <w:t>Le CCS recherche des partenaires du secteur privé intéressant éventuellement l’ITH, afin d’identifier cinq à sept partenaires potentiels au cours du présent exercice biennal.</w:t>
            </w:r>
          </w:p>
          <w:p w14:paraId="23681D33" w14:textId="77777777" w:rsidR="00105BFD" w:rsidRPr="00A75804" w:rsidRDefault="00105BFD" w:rsidP="00105BFD">
            <w:pPr>
              <w:pStyle w:val="ListParagraph"/>
              <w:numPr>
                <w:ilvl w:val="0"/>
                <w:numId w:val="11"/>
              </w:numPr>
              <w:spacing w:before="120" w:beforeAutospacing="0" w:after="120" w:afterAutospacing="0"/>
              <w:ind w:left="530" w:hanging="426"/>
              <w:contextualSpacing/>
              <w:rPr>
                <w:rFonts w:ascii="Arial" w:hAnsi="Arial" w:cs="Arial"/>
              </w:rPr>
            </w:pPr>
            <w:r>
              <w:rPr>
                <w:rFonts w:ascii="Arial" w:hAnsi="Arial"/>
                <w:sz w:val="22"/>
              </w:rPr>
              <w:t>Afin de renforcer le rayonnement et le partenariat, le Bureau du Comité a approuvé des fonds à cet égard dans le plan de dépenses 2016-2017 pour l’utilisation du Fonds du patrimoine culturel immatériel dédié aux « autres fonctions du Comité ».</w:t>
            </w:r>
          </w:p>
          <w:p w14:paraId="6C34E652" w14:textId="77777777" w:rsidR="00105BFD" w:rsidRPr="00427622" w:rsidRDefault="00105BFD" w:rsidP="00105BFD">
            <w:pPr>
              <w:pStyle w:val="ListParagraph"/>
              <w:numPr>
                <w:ilvl w:val="0"/>
                <w:numId w:val="11"/>
              </w:numPr>
              <w:spacing w:before="120" w:beforeAutospacing="0" w:after="120" w:afterAutospacing="0"/>
              <w:ind w:left="470" w:hanging="357"/>
              <w:contextualSpacing/>
              <w:rPr>
                <w:b/>
                <w:u w:val="single"/>
              </w:rPr>
            </w:pPr>
            <w:r>
              <w:rPr>
                <w:rFonts w:ascii="Arial" w:hAnsi="Arial"/>
                <w:sz w:val="22"/>
              </w:rPr>
              <w:t>Le développement d’un cadre global de résultats prévu à l’occasion de la réunion d’experts de Beijing (Chine), en septembre 2016, doit contribuer à la stratégie de collecte de fonds.</w:t>
            </w:r>
          </w:p>
        </w:tc>
      </w:tr>
      <w:tr w:rsidR="00105BFD" w:rsidRPr="00CC11E8" w14:paraId="2CFE86E3" w14:textId="77777777" w:rsidTr="00105BFD">
        <w:tc>
          <w:tcPr>
            <w:tcW w:w="14358" w:type="dxa"/>
            <w:gridSpan w:val="5"/>
            <w:shd w:val="clear" w:color="auto" w:fill="E6E6E6"/>
            <w:noWrap/>
            <w:tcMar>
              <w:top w:w="40" w:type="dxa"/>
              <w:left w:w="40" w:type="dxa"/>
              <w:bottom w:w="40" w:type="dxa"/>
              <w:right w:w="40" w:type="dxa"/>
            </w:tcMar>
          </w:tcPr>
          <w:p w14:paraId="4FBD51F8" w14:textId="77777777" w:rsidR="00105BFD" w:rsidRPr="0033405D" w:rsidRDefault="00105BFD" w:rsidP="00105BFD">
            <w:pPr>
              <w:tabs>
                <w:tab w:val="left" w:pos="3390"/>
              </w:tabs>
              <w:spacing w:before="120" w:after="120"/>
              <w:ind w:left="113" w:right="113"/>
              <w:rPr>
                <w:rFonts w:ascii="Arial" w:hAnsi="Arial" w:cs="Arial"/>
                <w:b/>
              </w:rPr>
            </w:pPr>
            <w:r>
              <w:rPr>
                <w:rFonts w:ascii="Arial" w:hAnsi="Arial"/>
                <w:b/>
                <w:sz w:val="22"/>
              </w:rPr>
              <w:lastRenderedPageBreak/>
              <w:t>Recommandation 20 : Renforcer le partage informel des exemples de travail intéressants et novateurs sur la Convention, y compris sur la sauvegarde du PCI, le développement de politiques et législations, le développement durable et le PCI, les partenariats innovants etc.</w:t>
            </w:r>
          </w:p>
        </w:tc>
      </w:tr>
      <w:tr w:rsidR="00105BFD" w:rsidRPr="00427622" w14:paraId="26E3DD7E" w14:textId="77777777" w:rsidTr="00105BFD">
        <w:tc>
          <w:tcPr>
            <w:tcW w:w="14358" w:type="dxa"/>
            <w:gridSpan w:val="5"/>
            <w:noWrap/>
            <w:tcMar>
              <w:top w:w="40" w:type="dxa"/>
              <w:left w:w="40" w:type="dxa"/>
              <w:bottom w:w="40" w:type="dxa"/>
              <w:right w:w="40" w:type="dxa"/>
            </w:tcMar>
          </w:tcPr>
          <w:p w14:paraId="3B898C9B" w14:textId="77777777" w:rsidR="00105BFD" w:rsidRPr="00427622" w:rsidRDefault="00105BFD" w:rsidP="00105BFD">
            <w:pPr>
              <w:spacing w:before="120" w:after="120"/>
              <w:ind w:left="113" w:right="113"/>
              <w:rPr>
                <w:rFonts w:ascii="Arial" w:hAnsi="Arial" w:cs="Arial"/>
              </w:rPr>
            </w:pPr>
            <w:r>
              <w:rPr>
                <w:rFonts w:ascii="Arial" w:hAnsi="Arial"/>
                <w:b/>
                <w:sz w:val="22"/>
              </w:rPr>
              <w:t>Réponse de la direction </w:t>
            </w:r>
            <w:r>
              <w:rPr>
                <w:rFonts w:ascii="Arial" w:hAnsi="Arial"/>
                <w:sz w:val="22"/>
              </w:rPr>
              <w:t>: Voir actions des recommandations 12 et 19</w:t>
            </w:r>
          </w:p>
        </w:tc>
      </w:tr>
      <w:tr w:rsidR="00105BFD" w:rsidRPr="00427622" w14:paraId="4B592CD7" w14:textId="77777777" w:rsidTr="00105BFD">
        <w:tc>
          <w:tcPr>
            <w:tcW w:w="4717" w:type="dxa"/>
            <w:gridSpan w:val="2"/>
            <w:noWrap/>
            <w:tcMar>
              <w:top w:w="40" w:type="dxa"/>
              <w:left w:w="40" w:type="dxa"/>
              <w:bottom w:w="40" w:type="dxa"/>
              <w:right w:w="40" w:type="dxa"/>
            </w:tcMar>
          </w:tcPr>
          <w:p w14:paraId="0EB4F3AF" w14:textId="77777777" w:rsidR="00105BFD" w:rsidRPr="0033405D" w:rsidRDefault="00105BFD" w:rsidP="00105BFD">
            <w:pPr>
              <w:spacing w:before="120" w:after="12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4EF529EF" w14:textId="77777777" w:rsidR="00105BFD" w:rsidRPr="0033405D" w:rsidRDefault="00105BFD" w:rsidP="00105BFD">
            <w:pPr>
              <w:spacing w:before="120" w:after="12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2E5699DB" w14:textId="77777777" w:rsidR="00105BFD" w:rsidRPr="0033405D" w:rsidRDefault="00105BFD" w:rsidP="00105BFD">
            <w:pPr>
              <w:spacing w:before="120" w:after="120"/>
              <w:jc w:val="center"/>
              <w:rPr>
                <w:rFonts w:ascii="Arial" w:hAnsi="Arial" w:cs="Arial"/>
                <w:b/>
              </w:rPr>
            </w:pPr>
            <w:r>
              <w:rPr>
                <w:rFonts w:ascii="Arial" w:hAnsi="Arial"/>
                <w:b/>
                <w:sz w:val="22"/>
              </w:rPr>
              <w:t>Statut</w:t>
            </w:r>
          </w:p>
        </w:tc>
      </w:tr>
      <w:tr w:rsidR="00105BFD" w:rsidRPr="00CC11E8" w14:paraId="1ADF58BE" w14:textId="77777777" w:rsidTr="00105BFD">
        <w:tc>
          <w:tcPr>
            <w:tcW w:w="4717" w:type="dxa"/>
            <w:gridSpan w:val="2"/>
            <w:noWrap/>
            <w:tcMar>
              <w:top w:w="40" w:type="dxa"/>
              <w:left w:w="40" w:type="dxa"/>
              <w:bottom w:w="40" w:type="dxa"/>
              <w:right w:w="40" w:type="dxa"/>
            </w:tcMar>
            <w:vAlign w:val="center"/>
          </w:tcPr>
          <w:p w14:paraId="371A1C7B" w14:textId="77777777" w:rsidR="00105BFD" w:rsidRPr="0033405D" w:rsidRDefault="00105BFD" w:rsidP="00105BFD">
            <w:pPr>
              <w:spacing w:before="120" w:after="120"/>
              <w:ind w:left="113"/>
              <w:rPr>
                <w:rFonts w:ascii="Arial" w:hAnsi="Arial" w:cs="Arial"/>
              </w:rPr>
            </w:pPr>
            <w:r>
              <w:rPr>
                <w:rFonts w:ascii="Arial" w:hAnsi="Arial"/>
                <w:sz w:val="22"/>
              </w:rPr>
              <w:t>Voir actions des recommandations 12 et 19.</w:t>
            </w:r>
          </w:p>
        </w:tc>
        <w:tc>
          <w:tcPr>
            <w:tcW w:w="1986" w:type="dxa"/>
            <w:gridSpan w:val="2"/>
            <w:noWrap/>
            <w:tcMar>
              <w:top w:w="40" w:type="dxa"/>
              <w:left w:w="40" w:type="dxa"/>
              <w:bottom w:w="40" w:type="dxa"/>
              <w:right w:w="40" w:type="dxa"/>
            </w:tcMar>
            <w:vAlign w:val="center"/>
          </w:tcPr>
          <w:p w14:paraId="7FC3757E" w14:textId="77777777" w:rsidR="00105BFD" w:rsidRPr="0033405D" w:rsidRDefault="00105BFD" w:rsidP="00105BFD">
            <w:pPr>
              <w:spacing w:before="120" w:after="120"/>
              <w:rPr>
                <w:rFonts w:ascii="Arial" w:hAnsi="Arial" w:cs="Arial"/>
              </w:rPr>
            </w:pPr>
          </w:p>
        </w:tc>
        <w:tc>
          <w:tcPr>
            <w:tcW w:w="7655" w:type="dxa"/>
            <w:noWrap/>
            <w:tcMar>
              <w:top w:w="40" w:type="dxa"/>
              <w:left w:w="40" w:type="dxa"/>
              <w:bottom w:w="40" w:type="dxa"/>
              <w:right w:w="40" w:type="dxa"/>
            </w:tcMar>
            <w:vAlign w:val="center"/>
          </w:tcPr>
          <w:p w14:paraId="087F68AD" w14:textId="77777777" w:rsidR="00105BFD" w:rsidRPr="0033405D" w:rsidRDefault="00105BFD" w:rsidP="00105BFD">
            <w:pPr>
              <w:spacing w:before="120" w:after="120"/>
              <w:rPr>
                <w:rFonts w:ascii="Arial" w:hAnsi="Arial" w:cs="Arial"/>
                <w:b/>
                <w:u w:val="single"/>
              </w:rPr>
            </w:pPr>
          </w:p>
        </w:tc>
      </w:tr>
      <w:tr w:rsidR="00105BFD" w:rsidRPr="00CC11E8" w14:paraId="3AF9B3C9" w14:textId="77777777" w:rsidTr="00105BFD">
        <w:tc>
          <w:tcPr>
            <w:tcW w:w="14358" w:type="dxa"/>
            <w:gridSpan w:val="5"/>
            <w:shd w:val="clear" w:color="auto" w:fill="E6E6E6"/>
            <w:noWrap/>
            <w:tcMar>
              <w:top w:w="40" w:type="dxa"/>
              <w:left w:w="40" w:type="dxa"/>
              <w:bottom w:w="40" w:type="dxa"/>
              <w:right w:w="40" w:type="dxa"/>
            </w:tcMar>
          </w:tcPr>
          <w:p w14:paraId="055C24BA" w14:textId="77777777" w:rsidR="00105BFD" w:rsidRPr="0033405D" w:rsidRDefault="00105BFD" w:rsidP="00105BFD">
            <w:pPr>
              <w:tabs>
                <w:tab w:val="left" w:pos="2640"/>
              </w:tabs>
              <w:spacing w:before="60" w:after="60"/>
              <w:ind w:left="113" w:right="113"/>
              <w:jc w:val="both"/>
              <w:rPr>
                <w:rFonts w:ascii="Arial" w:hAnsi="Arial" w:cs="Arial"/>
                <w:b/>
              </w:rPr>
            </w:pPr>
            <w:r>
              <w:rPr>
                <w:rFonts w:ascii="Arial" w:hAnsi="Arial"/>
                <w:b/>
                <w:sz w:val="22"/>
              </w:rPr>
              <w:t>Recommandation 21 : Réviser les formulaires des rapports périodiques afin d’y inclure des questions spécifiques sur la politique, la législation et le genre, et s’assurer que les rapports se concentrent sur les résultats plutôt que sur les activités.</w:t>
            </w:r>
          </w:p>
        </w:tc>
      </w:tr>
      <w:tr w:rsidR="00105BFD" w:rsidRPr="00CC11E8" w14:paraId="0CE2E2B6" w14:textId="77777777" w:rsidTr="00105BFD">
        <w:tc>
          <w:tcPr>
            <w:tcW w:w="14358" w:type="dxa"/>
            <w:gridSpan w:val="5"/>
            <w:noWrap/>
            <w:tcMar>
              <w:top w:w="40" w:type="dxa"/>
              <w:left w:w="40" w:type="dxa"/>
              <w:bottom w:w="40" w:type="dxa"/>
              <w:right w:w="40" w:type="dxa"/>
            </w:tcMar>
          </w:tcPr>
          <w:p w14:paraId="1872F30C" w14:textId="77777777" w:rsidR="00105BFD" w:rsidRPr="00427622" w:rsidRDefault="00105BFD" w:rsidP="00105BFD">
            <w:pPr>
              <w:spacing w:before="60" w:after="60"/>
              <w:ind w:left="113" w:right="113"/>
              <w:jc w:val="both"/>
              <w:rPr>
                <w:rFonts w:ascii="Arial" w:hAnsi="Arial" w:cs="Arial"/>
              </w:rPr>
            </w:pPr>
            <w:r>
              <w:rPr>
                <w:rFonts w:ascii="Arial" w:hAnsi="Arial"/>
                <w:b/>
                <w:sz w:val="22"/>
              </w:rPr>
              <w:t>Réponse de la direction </w:t>
            </w:r>
            <w:r>
              <w:rPr>
                <w:rFonts w:ascii="Arial" w:hAnsi="Arial"/>
                <w:sz w:val="22"/>
              </w:rPr>
              <w:t>: Les formulaires des rapports périodiques ont été modifiés afin d’y inclure les questions spécifiques sur la politique, la législation et le genre. La révision des Directives opérationnelles a été adoptée à l’occasion de la sixième session de l’Assemblée générale (juin 2016).</w:t>
            </w:r>
          </w:p>
        </w:tc>
      </w:tr>
      <w:tr w:rsidR="00105BFD" w:rsidRPr="00427622" w14:paraId="5AF4928B" w14:textId="77777777" w:rsidTr="00105BFD">
        <w:tc>
          <w:tcPr>
            <w:tcW w:w="4717" w:type="dxa"/>
            <w:gridSpan w:val="2"/>
            <w:noWrap/>
            <w:tcMar>
              <w:top w:w="40" w:type="dxa"/>
              <w:left w:w="40" w:type="dxa"/>
              <w:bottom w:w="40" w:type="dxa"/>
              <w:right w:w="40" w:type="dxa"/>
            </w:tcMar>
          </w:tcPr>
          <w:p w14:paraId="7720214D" w14:textId="77777777" w:rsidR="00105BFD" w:rsidRPr="0033405D" w:rsidRDefault="00105BFD" w:rsidP="00105BFD">
            <w:pPr>
              <w:spacing w:before="60" w:after="6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26AA883A" w14:textId="77777777" w:rsidR="00105BFD" w:rsidRPr="0033405D" w:rsidRDefault="00105BFD" w:rsidP="00105BFD">
            <w:pPr>
              <w:spacing w:before="60" w:after="6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7738D948" w14:textId="77777777" w:rsidR="00105BFD" w:rsidRPr="0033405D" w:rsidRDefault="00105BFD" w:rsidP="00105BFD">
            <w:pPr>
              <w:spacing w:before="60" w:after="60"/>
              <w:jc w:val="center"/>
              <w:rPr>
                <w:rFonts w:ascii="Arial" w:hAnsi="Arial" w:cs="Arial"/>
                <w:b/>
              </w:rPr>
            </w:pPr>
            <w:r>
              <w:rPr>
                <w:rFonts w:ascii="Arial" w:hAnsi="Arial"/>
                <w:b/>
                <w:sz w:val="22"/>
              </w:rPr>
              <w:t>Statut</w:t>
            </w:r>
          </w:p>
        </w:tc>
      </w:tr>
      <w:tr w:rsidR="00105BFD" w:rsidRPr="00CC11E8" w14:paraId="1A3E5074" w14:textId="77777777" w:rsidTr="00105BFD">
        <w:tc>
          <w:tcPr>
            <w:tcW w:w="4717" w:type="dxa"/>
            <w:gridSpan w:val="2"/>
            <w:noWrap/>
            <w:tcMar>
              <w:top w:w="40" w:type="dxa"/>
              <w:left w:w="40" w:type="dxa"/>
              <w:bottom w:w="40" w:type="dxa"/>
              <w:right w:w="40" w:type="dxa"/>
            </w:tcMar>
          </w:tcPr>
          <w:p w14:paraId="73A6D435" w14:textId="77777777" w:rsidR="00105BFD" w:rsidRPr="00427622" w:rsidRDefault="00105BFD" w:rsidP="00105BFD">
            <w:pPr>
              <w:spacing w:before="60" w:after="60"/>
              <w:ind w:left="113" w:right="57"/>
              <w:rPr>
                <w:rFonts w:ascii="Arial" w:hAnsi="Arial" w:cs="Arial"/>
              </w:rPr>
            </w:pPr>
            <w:r>
              <w:rPr>
                <w:rFonts w:ascii="Arial" w:hAnsi="Arial"/>
                <w:sz w:val="22"/>
              </w:rPr>
              <w:t>Réviser le formulaire ICH-10 (rapports des États parties sur la mise en œuvre de la Convention).</w:t>
            </w:r>
          </w:p>
        </w:tc>
        <w:tc>
          <w:tcPr>
            <w:tcW w:w="1986" w:type="dxa"/>
            <w:gridSpan w:val="2"/>
            <w:noWrap/>
            <w:tcMar>
              <w:top w:w="40" w:type="dxa"/>
              <w:left w:w="40" w:type="dxa"/>
              <w:bottom w:w="40" w:type="dxa"/>
              <w:right w:w="40" w:type="dxa"/>
            </w:tcMar>
          </w:tcPr>
          <w:p w14:paraId="6227DCCE" w14:textId="77777777" w:rsidR="00105BFD" w:rsidRPr="00427622" w:rsidRDefault="00105BFD" w:rsidP="00105BFD">
            <w:pPr>
              <w:spacing w:before="60" w:after="60"/>
              <w:ind w:left="57"/>
              <w:rPr>
                <w:rFonts w:ascii="Arial" w:hAnsi="Arial" w:cs="Arial"/>
              </w:rPr>
            </w:pPr>
            <w:r>
              <w:rPr>
                <w:rFonts w:ascii="Arial" w:hAnsi="Arial"/>
                <w:sz w:val="22"/>
              </w:rPr>
              <w:t>Décembre 2014</w:t>
            </w:r>
          </w:p>
        </w:tc>
        <w:tc>
          <w:tcPr>
            <w:tcW w:w="7655" w:type="dxa"/>
            <w:noWrap/>
            <w:tcMar>
              <w:top w:w="40" w:type="dxa"/>
              <w:left w:w="40" w:type="dxa"/>
              <w:bottom w:w="40" w:type="dxa"/>
              <w:right w:w="40" w:type="dxa"/>
            </w:tcMar>
          </w:tcPr>
          <w:p w14:paraId="2E4EA5E0" w14:textId="77777777" w:rsidR="00105BFD" w:rsidRPr="00427622" w:rsidRDefault="00105BFD" w:rsidP="00105BFD">
            <w:pPr>
              <w:pStyle w:val="ListParagraph"/>
              <w:numPr>
                <w:ilvl w:val="0"/>
                <w:numId w:val="11"/>
              </w:numPr>
              <w:spacing w:before="60" w:beforeAutospacing="0" w:after="60" w:afterAutospacing="0"/>
              <w:ind w:left="470" w:hanging="357"/>
              <w:contextualSpacing/>
              <w:rPr>
                <w:rFonts w:ascii="Arial" w:hAnsi="Arial" w:cs="Arial"/>
              </w:rPr>
            </w:pPr>
            <w:r>
              <w:rPr>
                <w:rFonts w:ascii="Arial" w:hAnsi="Arial"/>
                <w:sz w:val="22"/>
              </w:rPr>
              <w:t>Le formulaire ICH-10 (rapports des États parties sur la mise en œuvre de la Convention) a été révisé en décembre 2014 (</w:t>
            </w:r>
            <w:r>
              <w:rPr>
                <w:rFonts w:ascii="Arial" w:hAnsi="Arial"/>
                <w:b/>
                <w:sz w:val="22"/>
              </w:rPr>
              <w:t>action terminée</w:t>
            </w:r>
            <w:r>
              <w:rPr>
                <w:rFonts w:ascii="Arial" w:hAnsi="Arial"/>
                <w:sz w:val="22"/>
              </w:rPr>
              <w:t>).</w:t>
            </w:r>
          </w:p>
        </w:tc>
      </w:tr>
      <w:tr w:rsidR="00105BFD" w:rsidRPr="00CC11E8" w14:paraId="327AAF9D" w14:textId="77777777" w:rsidTr="00105BFD">
        <w:tc>
          <w:tcPr>
            <w:tcW w:w="4717" w:type="dxa"/>
            <w:gridSpan w:val="2"/>
            <w:noWrap/>
            <w:tcMar>
              <w:top w:w="40" w:type="dxa"/>
              <w:left w:w="40" w:type="dxa"/>
              <w:bottom w:w="40" w:type="dxa"/>
              <w:right w:w="40" w:type="dxa"/>
            </w:tcMar>
          </w:tcPr>
          <w:p w14:paraId="63A12FF4" w14:textId="77777777" w:rsidR="00105BFD" w:rsidRPr="00427622" w:rsidRDefault="00105BFD" w:rsidP="00105BFD">
            <w:pPr>
              <w:spacing w:before="60" w:after="60"/>
              <w:ind w:left="113" w:right="57"/>
              <w:rPr>
                <w:rFonts w:ascii="Arial" w:hAnsi="Arial" w:cs="Arial"/>
              </w:rPr>
            </w:pPr>
            <w:r>
              <w:rPr>
                <w:rFonts w:ascii="Arial" w:hAnsi="Arial"/>
                <w:sz w:val="22"/>
              </w:rPr>
              <w:t>Proposer un projet de Directives opérationnelles afin de s’assurer que les rapports périodiques traitent de ces questions</w:t>
            </w:r>
          </w:p>
        </w:tc>
        <w:tc>
          <w:tcPr>
            <w:tcW w:w="1986" w:type="dxa"/>
            <w:gridSpan w:val="2"/>
            <w:noWrap/>
            <w:tcMar>
              <w:top w:w="40" w:type="dxa"/>
              <w:left w:w="40" w:type="dxa"/>
              <w:bottom w:w="40" w:type="dxa"/>
              <w:right w:w="40" w:type="dxa"/>
            </w:tcMar>
          </w:tcPr>
          <w:p w14:paraId="39B99E39" w14:textId="77777777" w:rsidR="00105BFD" w:rsidRPr="00427622" w:rsidRDefault="00105BFD" w:rsidP="00105BFD">
            <w:pPr>
              <w:spacing w:before="60" w:after="60"/>
              <w:ind w:left="57"/>
              <w:rPr>
                <w:rFonts w:ascii="Arial" w:hAnsi="Arial" w:cs="Arial"/>
              </w:rPr>
            </w:pPr>
            <w:r>
              <w:rPr>
                <w:rFonts w:ascii="Arial" w:hAnsi="Arial"/>
                <w:sz w:val="22"/>
              </w:rPr>
              <w:t>Juin 2016</w:t>
            </w:r>
          </w:p>
        </w:tc>
        <w:tc>
          <w:tcPr>
            <w:tcW w:w="7655" w:type="dxa"/>
            <w:noWrap/>
            <w:tcMar>
              <w:top w:w="40" w:type="dxa"/>
              <w:left w:w="40" w:type="dxa"/>
              <w:bottom w:w="40" w:type="dxa"/>
              <w:right w:w="40" w:type="dxa"/>
            </w:tcMar>
          </w:tcPr>
          <w:p w14:paraId="20F7D0D8" w14:textId="77777777" w:rsidR="00105BFD" w:rsidRPr="00427622" w:rsidRDefault="00105BFD" w:rsidP="00105BFD">
            <w:pPr>
              <w:pStyle w:val="ListParagraph"/>
              <w:numPr>
                <w:ilvl w:val="0"/>
                <w:numId w:val="11"/>
              </w:numPr>
              <w:spacing w:before="60" w:beforeAutospacing="0" w:after="60" w:afterAutospacing="0"/>
              <w:ind w:left="470" w:hanging="357"/>
              <w:contextualSpacing/>
              <w:rPr>
                <w:rFonts w:ascii="Arial" w:hAnsi="Arial" w:cs="Arial"/>
              </w:rPr>
            </w:pPr>
            <w:r>
              <w:rPr>
                <w:rFonts w:ascii="Arial" w:hAnsi="Arial"/>
                <w:sz w:val="22"/>
              </w:rPr>
              <w:t>Le Comité, lors de sa neuvième session, a discuté et a approuvé le projet d’amendements des Directives opérationnelles sur les rapports périodiques et a recommandé à l’Assemblée générale d’approuver ces amendements (</w:t>
            </w:r>
            <w:hyperlink r:id="rId49">
              <w:r>
                <w:rPr>
                  <w:rStyle w:val="Hyperlink"/>
                  <w:rFonts w:ascii="Arial" w:hAnsi="Arial"/>
                  <w:sz w:val="22"/>
                </w:rPr>
                <w:t>décision 9.COM 13.a</w:t>
              </w:r>
            </w:hyperlink>
            <w:r>
              <w:rPr>
                <w:rFonts w:ascii="Arial" w:hAnsi="Arial"/>
                <w:sz w:val="22"/>
              </w:rPr>
              <w:t>).</w:t>
            </w:r>
          </w:p>
          <w:p w14:paraId="5E13A3AB" w14:textId="77777777" w:rsidR="00105BFD" w:rsidRPr="00427622" w:rsidRDefault="00105BFD" w:rsidP="00105BFD">
            <w:pPr>
              <w:pStyle w:val="ListParagraph"/>
              <w:numPr>
                <w:ilvl w:val="0"/>
                <w:numId w:val="11"/>
              </w:numPr>
              <w:spacing w:before="60" w:beforeAutospacing="0" w:after="60" w:afterAutospacing="0"/>
              <w:ind w:left="470" w:hanging="357"/>
              <w:contextualSpacing/>
              <w:rPr>
                <w:rFonts w:ascii="Arial" w:hAnsi="Arial" w:cs="Arial"/>
              </w:rPr>
            </w:pPr>
            <w:r>
              <w:rPr>
                <w:rFonts w:ascii="Arial" w:hAnsi="Arial"/>
                <w:sz w:val="22"/>
              </w:rPr>
              <w:t>Les amendements des Directives opérationnelles ont été approuvés à la sixième session de l’Assemblée générale en juin 2016 (</w:t>
            </w:r>
            <w:hyperlink r:id="rId50">
              <w:r>
                <w:rPr>
                  <w:rStyle w:val="Hyperlink"/>
                  <w:rFonts w:ascii="Arial" w:hAnsi="Arial"/>
                  <w:sz w:val="22"/>
                </w:rPr>
                <w:t>résolution 6.GA</w:t>
              </w:r>
              <w:r w:rsidRPr="00A918D9">
                <w:rPr>
                  <w:rStyle w:val="Hyperlink"/>
                  <w:rFonts w:ascii="Arial" w:hAnsi="Arial"/>
                  <w:sz w:val="22"/>
                </w:rPr>
                <w:t> </w:t>
              </w:r>
              <w:r>
                <w:rPr>
                  <w:rStyle w:val="Hyperlink"/>
                  <w:rFonts w:ascii="Arial" w:hAnsi="Arial"/>
                  <w:sz w:val="22"/>
                </w:rPr>
                <w:t>7</w:t>
              </w:r>
            </w:hyperlink>
            <w:r>
              <w:rPr>
                <w:rFonts w:ascii="Arial" w:hAnsi="Arial"/>
                <w:sz w:val="22"/>
              </w:rPr>
              <w:t>) (</w:t>
            </w:r>
            <w:r>
              <w:rPr>
                <w:rFonts w:ascii="Arial" w:hAnsi="Arial"/>
                <w:b/>
                <w:sz w:val="22"/>
              </w:rPr>
              <w:t>action terminée</w:t>
            </w:r>
            <w:r>
              <w:rPr>
                <w:rFonts w:ascii="Arial" w:hAnsi="Arial"/>
                <w:sz w:val="22"/>
              </w:rPr>
              <w:t>).</w:t>
            </w:r>
          </w:p>
        </w:tc>
      </w:tr>
      <w:tr w:rsidR="00105BFD" w:rsidRPr="00CC11E8" w14:paraId="2165A9FE" w14:textId="77777777" w:rsidTr="00105BFD">
        <w:tc>
          <w:tcPr>
            <w:tcW w:w="14358" w:type="dxa"/>
            <w:gridSpan w:val="5"/>
            <w:shd w:val="clear" w:color="auto" w:fill="E6E6E6"/>
            <w:noWrap/>
            <w:tcMar>
              <w:top w:w="40" w:type="dxa"/>
              <w:left w:w="40" w:type="dxa"/>
              <w:bottom w:w="40" w:type="dxa"/>
              <w:right w:w="40" w:type="dxa"/>
            </w:tcMar>
          </w:tcPr>
          <w:p w14:paraId="27AFE15E" w14:textId="77777777" w:rsidR="00105BFD" w:rsidRPr="0033405D" w:rsidRDefault="00105BFD" w:rsidP="00105BFD">
            <w:pPr>
              <w:pageBreakBefore/>
              <w:tabs>
                <w:tab w:val="left" w:pos="2640"/>
              </w:tabs>
              <w:spacing w:before="60" w:after="60"/>
              <w:ind w:left="113" w:right="113"/>
              <w:rPr>
                <w:rFonts w:ascii="Arial" w:hAnsi="Arial" w:cs="Arial"/>
                <w:b/>
              </w:rPr>
            </w:pPr>
            <w:r>
              <w:rPr>
                <w:rFonts w:ascii="Arial" w:hAnsi="Arial"/>
                <w:b/>
                <w:sz w:val="22"/>
              </w:rPr>
              <w:lastRenderedPageBreak/>
              <w:t>Recommandation 22 : Élaborer un cadre global de résultats pour la Convention, associé à une théorie de changement de la Convention et incluant des objectifs clairs et précis, des calendriers, des indicateurs et des repères.</w:t>
            </w:r>
          </w:p>
        </w:tc>
      </w:tr>
      <w:tr w:rsidR="00105BFD" w:rsidRPr="00CC11E8" w14:paraId="66229CE4" w14:textId="77777777" w:rsidTr="00105BFD">
        <w:tc>
          <w:tcPr>
            <w:tcW w:w="14358" w:type="dxa"/>
            <w:gridSpan w:val="5"/>
            <w:noWrap/>
            <w:tcMar>
              <w:top w:w="40" w:type="dxa"/>
              <w:left w:w="40" w:type="dxa"/>
              <w:bottom w:w="40" w:type="dxa"/>
              <w:right w:w="40" w:type="dxa"/>
            </w:tcMar>
          </w:tcPr>
          <w:p w14:paraId="54373CC1" w14:textId="77777777" w:rsidR="00105BFD" w:rsidRPr="00427622" w:rsidRDefault="00105BFD" w:rsidP="00105BFD">
            <w:pPr>
              <w:spacing w:before="60" w:after="60"/>
              <w:ind w:left="113" w:right="113"/>
              <w:rPr>
                <w:rFonts w:ascii="Arial" w:hAnsi="Arial" w:cs="Arial"/>
              </w:rPr>
            </w:pPr>
            <w:r>
              <w:rPr>
                <w:rFonts w:ascii="Arial" w:hAnsi="Arial"/>
                <w:b/>
                <w:sz w:val="22"/>
              </w:rPr>
              <w:t>Réponse de la direction </w:t>
            </w:r>
            <w:r>
              <w:rPr>
                <w:rFonts w:ascii="Arial" w:hAnsi="Arial"/>
                <w:sz w:val="22"/>
              </w:rPr>
              <w:t>: Étant donné l’importance pour toutes les parties prenantes d’adhérer à un cadre global de résultats pour la Convention, un groupe de travail ouvert du Comité devrait être organisé afin de discuter du cadre de résultats ; un financement extrabudgétaire pour un tel groupe de travail devrait être mobilisé.</w:t>
            </w:r>
          </w:p>
        </w:tc>
      </w:tr>
      <w:tr w:rsidR="00105BFD" w:rsidRPr="00427622" w14:paraId="4B8176C6" w14:textId="77777777" w:rsidTr="00105BFD">
        <w:tc>
          <w:tcPr>
            <w:tcW w:w="4717" w:type="dxa"/>
            <w:gridSpan w:val="2"/>
            <w:noWrap/>
            <w:tcMar>
              <w:top w:w="40" w:type="dxa"/>
              <w:left w:w="40" w:type="dxa"/>
              <w:bottom w:w="40" w:type="dxa"/>
              <w:right w:w="40" w:type="dxa"/>
            </w:tcMar>
          </w:tcPr>
          <w:p w14:paraId="58E9BC6E" w14:textId="77777777" w:rsidR="00105BFD" w:rsidRPr="0033405D" w:rsidRDefault="00105BFD" w:rsidP="00105BFD">
            <w:pPr>
              <w:spacing w:before="60" w:after="6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19EEAD7E" w14:textId="77777777" w:rsidR="00105BFD" w:rsidRPr="0033405D" w:rsidRDefault="00105BFD" w:rsidP="00105BFD">
            <w:pPr>
              <w:spacing w:before="60" w:after="6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748272F7" w14:textId="77777777" w:rsidR="00105BFD" w:rsidRPr="0033405D" w:rsidRDefault="00105BFD" w:rsidP="00105BFD">
            <w:pPr>
              <w:spacing w:before="60" w:after="60"/>
              <w:jc w:val="center"/>
              <w:rPr>
                <w:rFonts w:ascii="Arial" w:hAnsi="Arial" w:cs="Arial"/>
                <w:b/>
              </w:rPr>
            </w:pPr>
            <w:r>
              <w:rPr>
                <w:rFonts w:ascii="Arial" w:hAnsi="Arial"/>
                <w:b/>
                <w:sz w:val="22"/>
              </w:rPr>
              <w:t>Statut</w:t>
            </w:r>
          </w:p>
        </w:tc>
      </w:tr>
      <w:tr w:rsidR="00105BFD" w:rsidRPr="00CC11E8" w14:paraId="4F496817" w14:textId="77777777" w:rsidTr="00105BFD">
        <w:tc>
          <w:tcPr>
            <w:tcW w:w="4717" w:type="dxa"/>
            <w:gridSpan w:val="2"/>
            <w:noWrap/>
            <w:tcMar>
              <w:top w:w="40" w:type="dxa"/>
              <w:left w:w="40" w:type="dxa"/>
              <w:bottom w:w="40" w:type="dxa"/>
              <w:right w:w="40" w:type="dxa"/>
            </w:tcMar>
          </w:tcPr>
          <w:p w14:paraId="40B66C50" w14:textId="77777777" w:rsidR="00105BFD" w:rsidRPr="00427622" w:rsidRDefault="00105BFD" w:rsidP="00105BFD">
            <w:pPr>
              <w:spacing w:before="60" w:after="60"/>
              <w:ind w:left="113"/>
              <w:rPr>
                <w:rFonts w:ascii="Arial" w:hAnsi="Arial" w:cs="Arial"/>
              </w:rPr>
            </w:pPr>
            <w:r>
              <w:rPr>
                <w:rFonts w:ascii="Arial" w:hAnsi="Arial"/>
                <w:sz w:val="22"/>
              </w:rPr>
              <w:t>Organiser un groupe de travail du Comité pour discuter du cadre de résultats.</w:t>
            </w:r>
          </w:p>
          <w:p w14:paraId="3165FF7F" w14:textId="77777777" w:rsidR="00105BFD" w:rsidRPr="0033405D" w:rsidRDefault="00105BFD" w:rsidP="00105BFD">
            <w:pPr>
              <w:spacing w:before="60" w:after="60"/>
              <w:ind w:left="113"/>
              <w:rPr>
                <w:rFonts w:ascii="Arial" w:hAnsi="Arial" w:cs="Arial"/>
              </w:rPr>
            </w:pPr>
            <w:r>
              <w:rPr>
                <w:rFonts w:ascii="Arial" w:hAnsi="Arial"/>
                <w:sz w:val="22"/>
              </w:rPr>
              <w:t>Mobiliser un financement extrabudgétaire pour un tel groupe de travail.</w:t>
            </w:r>
          </w:p>
        </w:tc>
        <w:tc>
          <w:tcPr>
            <w:tcW w:w="1986" w:type="dxa"/>
            <w:gridSpan w:val="2"/>
            <w:noWrap/>
            <w:tcMar>
              <w:top w:w="40" w:type="dxa"/>
              <w:left w:w="40" w:type="dxa"/>
              <w:bottom w:w="40" w:type="dxa"/>
              <w:right w:w="40" w:type="dxa"/>
            </w:tcMar>
          </w:tcPr>
          <w:p w14:paraId="31077B16" w14:textId="77777777" w:rsidR="00105BFD" w:rsidRPr="0033405D" w:rsidRDefault="00105BFD" w:rsidP="00105BFD">
            <w:pPr>
              <w:keepNext/>
              <w:spacing w:before="60" w:after="60"/>
              <w:ind w:left="57"/>
              <w:outlineLvl w:val="1"/>
              <w:rPr>
                <w:rFonts w:ascii="Arial" w:hAnsi="Arial" w:cs="Arial"/>
              </w:rPr>
            </w:pPr>
            <w:r>
              <w:rPr>
                <w:rFonts w:ascii="Arial" w:hAnsi="Arial"/>
                <w:sz w:val="22"/>
              </w:rPr>
              <w:t>2016-2017</w:t>
            </w:r>
          </w:p>
        </w:tc>
        <w:tc>
          <w:tcPr>
            <w:tcW w:w="7655" w:type="dxa"/>
            <w:noWrap/>
            <w:tcMar>
              <w:top w:w="40" w:type="dxa"/>
              <w:left w:w="40" w:type="dxa"/>
              <w:bottom w:w="40" w:type="dxa"/>
              <w:right w:w="40" w:type="dxa"/>
            </w:tcMar>
          </w:tcPr>
          <w:p w14:paraId="0709CD91" w14:textId="77777777" w:rsidR="00105BFD" w:rsidRPr="0033405D" w:rsidRDefault="00105BFD" w:rsidP="00105BFD">
            <w:pPr>
              <w:pStyle w:val="ListParagraph"/>
              <w:numPr>
                <w:ilvl w:val="0"/>
                <w:numId w:val="11"/>
              </w:numPr>
              <w:spacing w:before="60" w:beforeAutospacing="0" w:after="60" w:afterAutospacing="0"/>
              <w:ind w:left="470" w:hanging="357"/>
              <w:contextualSpacing/>
              <w:rPr>
                <w:rFonts w:ascii="Arial" w:hAnsi="Arial" w:cs="Arial"/>
              </w:rPr>
            </w:pPr>
            <w:r>
              <w:rPr>
                <w:rFonts w:ascii="Arial" w:hAnsi="Arial"/>
                <w:sz w:val="22"/>
              </w:rPr>
              <w:t>Lors de sa neuvième session, le Comité a décidé de convoquer un groupe de travail intergouvernemental ouvert courant 2016 afin d’examiner les recommandations préliminaires relatives à d’éventuelles directives, sous réserve que des contributions supplémentaires volontaires au Fonds du patrimoine culturel immatériel soient reçues en temps utile (</w:t>
            </w:r>
            <w:hyperlink r:id="rId51">
              <w:r>
                <w:rPr>
                  <w:rStyle w:val="Hyperlink"/>
                  <w:rFonts w:ascii="Arial" w:hAnsi="Arial"/>
                  <w:sz w:val="22"/>
                </w:rPr>
                <w:t>décision 9.COM 13.e</w:t>
              </w:r>
            </w:hyperlink>
            <w:r>
              <w:rPr>
                <w:rFonts w:ascii="Arial" w:hAnsi="Arial"/>
                <w:sz w:val="22"/>
              </w:rPr>
              <w:t>).</w:t>
            </w:r>
          </w:p>
          <w:p w14:paraId="1E1FED99" w14:textId="77777777" w:rsidR="00105BFD" w:rsidRDefault="00105BFD" w:rsidP="00105BFD">
            <w:pPr>
              <w:pStyle w:val="ListParagraph"/>
              <w:numPr>
                <w:ilvl w:val="0"/>
                <w:numId w:val="11"/>
              </w:numPr>
              <w:spacing w:before="60" w:beforeAutospacing="0" w:after="60" w:afterAutospacing="0"/>
              <w:ind w:left="470" w:hanging="357"/>
              <w:contextualSpacing/>
              <w:rPr>
                <w:rFonts w:ascii="Arial" w:hAnsi="Arial" w:cs="Arial"/>
              </w:rPr>
            </w:pPr>
            <w:r>
              <w:rPr>
                <w:rFonts w:ascii="Arial" w:hAnsi="Arial"/>
                <w:sz w:val="22"/>
              </w:rPr>
              <w:t>Le Comité a approuvé lors de sa dixième session la proposition de la Chine pour soutenir l’organisation, en 2016, d’une réunion d’experts sur l’élaboration d’un cadre global de résultats pour la Convention (</w:t>
            </w:r>
            <w:hyperlink r:id="rId52">
              <w:r>
                <w:rPr>
                  <w:rStyle w:val="Hyperlink"/>
                  <w:rFonts w:ascii="Arial" w:hAnsi="Arial"/>
                  <w:sz w:val="22"/>
                </w:rPr>
                <w:t>décision 10.COM 9</w:t>
              </w:r>
            </w:hyperlink>
            <w:r>
              <w:rPr>
                <w:rFonts w:ascii="Arial" w:hAnsi="Arial"/>
                <w:sz w:val="22"/>
              </w:rPr>
              <w:t>).</w:t>
            </w:r>
          </w:p>
          <w:p w14:paraId="49EAC9B8" w14:textId="77777777" w:rsidR="00105BFD" w:rsidRPr="0033405D" w:rsidRDefault="00105BFD" w:rsidP="00105BFD">
            <w:pPr>
              <w:pStyle w:val="ListParagraph"/>
              <w:keepNext/>
              <w:numPr>
                <w:ilvl w:val="0"/>
                <w:numId w:val="11"/>
              </w:numPr>
              <w:spacing w:before="60" w:beforeAutospacing="0" w:after="60" w:afterAutospacing="0"/>
              <w:ind w:left="470" w:hanging="357"/>
              <w:contextualSpacing/>
              <w:outlineLvl w:val="1"/>
              <w:rPr>
                <w:rFonts w:ascii="Arial" w:hAnsi="Arial" w:cs="Arial"/>
              </w:rPr>
            </w:pPr>
            <w:r>
              <w:rPr>
                <w:rFonts w:ascii="Arial" w:hAnsi="Arial"/>
                <w:sz w:val="22"/>
              </w:rPr>
              <w:t>Un groupe de travail intergouvernemental ouvert sera mis en place en 2017 selon la mobilisation de fonds extrabudgétaires.</w:t>
            </w:r>
          </w:p>
        </w:tc>
      </w:tr>
      <w:tr w:rsidR="00105BFD" w:rsidRPr="00CC11E8" w14:paraId="68C91045" w14:textId="77777777" w:rsidTr="00105BFD">
        <w:tc>
          <w:tcPr>
            <w:tcW w:w="14358" w:type="dxa"/>
            <w:gridSpan w:val="5"/>
            <w:shd w:val="clear" w:color="auto" w:fill="E6E6E6"/>
            <w:noWrap/>
            <w:tcMar>
              <w:top w:w="40" w:type="dxa"/>
              <w:left w:w="40" w:type="dxa"/>
              <w:bottom w:w="40" w:type="dxa"/>
              <w:right w:w="40" w:type="dxa"/>
            </w:tcMar>
          </w:tcPr>
          <w:p w14:paraId="4E2B28CD" w14:textId="77777777" w:rsidR="00105BFD" w:rsidRPr="0033405D" w:rsidRDefault="00105BFD" w:rsidP="00105BFD">
            <w:pPr>
              <w:tabs>
                <w:tab w:val="left" w:pos="2640"/>
              </w:tabs>
              <w:spacing w:before="120" w:after="120"/>
              <w:ind w:left="113" w:right="113"/>
              <w:jc w:val="both"/>
              <w:rPr>
                <w:rFonts w:ascii="Arial" w:hAnsi="Arial" w:cs="Arial"/>
                <w:b/>
              </w:rPr>
            </w:pPr>
            <w:r>
              <w:rPr>
                <w:rFonts w:ascii="Arial" w:hAnsi="Arial"/>
                <w:b/>
                <w:sz w:val="22"/>
              </w:rPr>
              <w:t>Recommandation 23 : Compléter les données rassemblées sur la mise en œuvre de la Convention via les rapports périodiques soumis par les États parties avec les informations fournies par les ONG.</w:t>
            </w:r>
          </w:p>
        </w:tc>
      </w:tr>
      <w:tr w:rsidR="00105BFD" w:rsidRPr="00CC11E8" w14:paraId="0CFBD857" w14:textId="77777777" w:rsidTr="00105BFD">
        <w:tc>
          <w:tcPr>
            <w:tcW w:w="14358" w:type="dxa"/>
            <w:gridSpan w:val="5"/>
            <w:noWrap/>
            <w:tcMar>
              <w:top w:w="40" w:type="dxa"/>
              <w:left w:w="40" w:type="dxa"/>
              <w:bottom w:w="40" w:type="dxa"/>
              <w:right w:w="40" w:type="dxa"/>
            </w:tcMar>
          </w:tcPr>
          <w:p w14:paraId="04821211" w14:textId="77777777" w:rsidR="00105BFD" w:rsidRPr="00427622" w:rsidRDefault="00105BFD" w:rsidP="00105BFD">
            <w:pPr>
              <w:spacing w:before="120" w:after="120"/>
              <w:ind w:left="113" w:right="113"/>
              <w:jc w:val="both"/>
              <w:rPr>
                <w:rFonts w:ascii="Arial" w:hAnsi="Arial" w:cs="Arial"/>
              </w:rPr>
            </w:pPr>
            <w:r>
              <w:rPr>
                <w:rFonts w:ascii="Arial" w:hAnsi="Arial"/>
                <w:b/>
                <w:sz w:val="22"/>
              </w:rPr>
              <w:t>Réponse de la direction </w:t>
            </w:r>
            <w:r>
              <w:rPr>
                <w:rFonts w:ascii="Arial" w:hAnsi="Arial"/>
                <w:sz w:val="22"/>
              </w:rPr>
              <w:t>: Le formulaire ICH-10 des rapports périodiques a été révisé le 15 décembre 2014. Les États soumettant leur rapport en 2016 pourront intégrer ces contributions. Les Directives opérationnelles ont été révisées, en juin 2016, pour intégrer cette recommandation.</w:t>
            </w:r>
          </w:p>
        </w:tc>
      </w:tr>
      <w:tr w:rsidR="00105BFD" w:rsidRPr="00427622" w14:paraId="4B8B055C" w14:textId="77777777" w:rsidTr="00105BFD">
        <w:tc>
          <w:tcPr>
            <w:tcW w:w="4717" w:type="dxa"/>
            <w:gridSpan w:val="2"/>
            <w:noWrap/>
            <w:tcMar>
              <w:top w:w="40" w:type="dxa"/>
              <w:left w:w="40" w:type="dxa"/>
              <w:bottom w:w="40" w:type="dxa"/>
              <w:right w:w="40" w:type="dxa"/>
            </w:tcMar>
          </w:tcPr>
          <w:p w14:paraId="34A743FE" w14:textId="77777777" w:rsidR="00105BFD" w:rsidRPr="0033405D" w:rsidRDefault="00105BFD" w:rsidP="00105BFD">
            <w:pPr>
              <w:spacing w:before="120" w:after="12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0FE83E91" w14:textId="77777777" w:rsidR="00105BFD" w:rsidRPr="0033405D" w:rsidRDefault="00105BFD" w:rsidP="00105BFD">
            <w:pPr>
              <w:spacing w:before="120" w:after="12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5BB50B9A" w14:textId="77777777" w:rsidR="00105BFD" w:rsidRPr="0033405D" w:rsidRDefault="00105BFD" w:rsidP="00105BFD">
            <w:pPr>
              <w:spacing w:before="120" w:after="120"/>
              <w:jc w:val="center"/>
              <w:rPr>
                <w:rFonts w:ascii="Arial" w:hAnsi="Arial" w:cs="Arial"/>
                <w:b/>
              </w:rPr>
            </w:pPr>
            <w:r>
              <w:rPr>
                <w:rFonts w:ascii="Arial" w:hAnsi="Arial"/>
                <w:b/>
                <w:sz w:val="22"/>
              </w:rPr>
              <w:t>Statut</w:t>
            </w:r>
          </w:p>
        </w:tc>
      </w:tr>
      <w:tr w:rsidR="00105BFD" w:rsidRPr="00CC11E8" w14:paraId="0F808067" w14:textId="77777777" w:rsidTr="00105BFD">
        <w:tc>
          <w:tcPr>
            <w:tcW w:w="4717" w:type="dxa"/>
            <w:gridSpan w:val="2"/>
            <w:shd w:val="clear" w:color="auto" w:fill="FFFFFF"/>
            <w:noWrap/>
            <w:tcMar>
              <w:top w:w="40" w:type="dxa"/>
              <w:left w:w="40" w:type="dxa"/>
              <w:bottom w:w="40" w:type="dxa"/>
              <w:right w:w="40" w:type="dxa"/>
            </w:tcMar>
          </w:tcPr>
          <w:p w14:paraId="2F598246" w14:textId="77777777" w:rsidR="00105BFD" w:rsidRPr="00427622" w:rsidRDefault="00105BFD" w:rsidP="00105BFD">
            <w:pPr>
              <w:spacing w:before="120" w:after="120"/>
              <w:ind w:left="113" w:right="57"/>
              <w:rPr>
                <w:rFonts w:ascii="Arial" w:hAnsi="Arial" w:cs="Arial"/>
              </w:rPr>
            </w:pPr>
            <w:r>
              <w:rPr>
                <w:rFonts w:ascii="Arial" w:hAnsi="Arial"/>
                <w:sz w:val="22"/>
              </w:rPr>
              <w:t xml:space="preserve">Encourager les États à compléter les données rassemblées sur la mise en œuvre de la Convention avec les informations fournies par des organisations non </w:t>
            </w:r>
            <w:r>
              <w:rPr>
                <w:rFonts w:ascii="Arial" w:hAnsi="Arial"/>
                <w:sz w:val="22"/>
              </w:rPr>
              <w:lastRenderedPageBreak/>
              <w:t>gouvernementales pertinentes.</w:t>
            </w:r>
          </w:p>
          <w:p w14:paraId="17E787D5" w14:textId="77777777" w:rsidR="00105BFD" w:rsidRPr="00427622" w:rsidRDefault="00105BFD" w:rsidP="00105BFD">
            <w:pPr>
              <w:spacing w:before="120" w:after="120"/>
              <w:ind w:left="113" w:right="57"/>
              <w:rPr>
                <w:rFonts w:ascii="Arial" w:hAnsi="Arial" w:cs="Arial"/>
              </w:rPr>
            </w:pPr>
            <w:r>
              <w:rPr>
                <w:rFonts w:ascii="Arial" w:hAnsi="Arial"/>
                <w:sz w:val="22"/>
              </w:rPr>
              <w:t>Réviser les formulaires des rapports périodiques en conséquence.</w:t>
            </w:r>
          </w:p>
        </w:tc>
        <w:tc>
          <w:tcPr>
            <w:tcW w:w="1986" w:type="dxa"/>
            <w:gridSpan w:val="2"/>
            <w:shd w:val="clear" w:color="auto" w:fill="FFFFFF"/>
            <w:noWrap/>
            <w:tcMar>
              <w:top w:w="40" w:type="dxa"/>
              <w:left w:w="40" w:type="dxa"/>
              <w:bottom w:w="40" w:type="dxa"/>
              <w:right w:w="40" w:type="dxa"/>
            </w:tcMar>
          </w:tcPr>
          <w:p w14:paraId="2852A609" w14:textId="77777777" w:rsidR="00105BFD" w:rsidRPr="00427622" w:rsidRDefault="00105BFD" w:rsidP="00105BFD">
            <w:pPr>
              <w:spacing w:before="120" w:after="120"/>
              <w:ind w:left="57"/>
              <w:rPr>
                <w:rFonts w:ascii="Arial" w:hAnsi="Arial" w:cs="Arial"/>
              </w:rPr>
            </w:pPr>
            <w:r>
              <w:rPr>
                <w:rFonts w:ascii="Arial" w:hAnsi="Arial"/>
                <w:sz w:val="22"/>
              </w:rPr>
              <w:lastRenderedPageBreak/>
              <w:t>Décembre 2014</w:t>
            </w:r>
          </w:p>
        </w:tc>
        <w:tc>
          <w:tcPr>
            <w:tcW w:w="7655" w:type="dxa"/>
            <w:shd w:val="clear" w:color="auto" w:fill="FFFFFF"/>
            <w:noWrap/>
            <w:tcMar>
              <w:top w:w="40" w:type="dxa"/>
              <w:left w:w="40" w:type="dxa"/>
              <w:bottom w:w="40" w:type="dxa"/>
              <w:right w:w="40" w:type="dxa"/>
            </w:tcMar>
          </w:tcPr>
          <w:p w14:paraId="05B86ED4" w14:textId="77777777" w:rsidR="00105BFD" w:rsidRPr="00427622" w:rsidRDefault="00105BFD" w:rsidP="00105BFD">
            <w:pPr>
              <w:pStyle w:val="ListParagraph"/>
              <w:numPr>
                <w:ilvl w:val="0"/>
                <w:numId w:val="11"/>
              </w:numPr>
              <w:spacing w:before="120" w:beforeAutospacing="0" w:after="120" w:afterAutospacing="0"/>
              <w:ind w:left="470" w:hanging="357"/>
              <w:contextualSpacing/>
              <w:rPr>
                <w:rFonts w:ascii="Arial" w:hAnsi="Arial" w:cs="Arial"/>
                <w:b/>
                <w:u w:val="single"/>
              </w:rPr>
            </w:pPr>
            <w:r>
              <w:rPr>
                <w:rFonts w:ascii="Arial" w:hAnsi="Arial"/>
                <w:sz w:val="22"/>
              </w:rPr>
              <w:t>Formulaire ICH-10 révisé en décembre 2014 (</w:t>
            </w:r>
            <w:r>
              <w:rPr>
                <w:rFonts w:ascii="Arial" w:hAnsi="Arial"/>
                <w:b/>
                <w:sz w:val="22"/>
              </w:rPr>
              <w:t>action terminée</w:t>
            </w:r>
            <w:r>
              <w:rPr>
                <w:rFonts w:ascii="Arial" w:hAnsi="Arial"/>
                <w:sz w:val="22"/>
              </w:rPr>
              <w:t>).</w:t>
            </w:r>
          </w:p>
        </w:tc>
      </w:tr>
      <w:tr w:rsidR="00105BFD" w:rsidRPr="00CC11E8" w14:paraId="038C46C2" w14:textId="77777777" w:rsidTr="00105BFD">
        <w:tc>
          <w:tcPr>
            <w:tcW w:w="4717" w:type="dxa"/>
            <w:gridSpan w:val="2"/>
            <w:shd w:val="clear" w:color="auto" w:fill="FFFFFF"/>
            <w:noWrap/>
            <w:tcMar>
              <w:top w:w="40" w:type="dxa"/>
              <w:left w:w="40" w:type="dxa"/>
              <w:bottom w:w="40" w:type="dxa"/>
              <w:right w:w="40" w:type="dxa"/>
            </w:tcMar>
          </w:tcPr>
          <w:p w14:paraId="4FCAAA89" w14:textId="77777777" w:rsidR="00105BFD" w:rsidRPr="00427622" w:rsidRDefault="00105BFD" w:rsidP="00105BFD">
            <w:pPr>
              <w:spacing w:before="120" w:after="120"/>
              <w:ind w:left="113" w:right="57"/>
              <w:rPr>
                <w:rFonts w:ascii="Arial" w:hAnsi="Arial" w:cs="Arial"/>
              </w:rPr>
            </w:pPr>
            <w:r>
              <w:rPr>
                <w:rFonts w:ascii="Arial" w:hAnsi="Arial"/>
                <w:sz w:val="22"/>
              </w:rPr>
              <w:lastRenderedPageBreak/>
              <w:t>Proposer un projet de Directives opérationnelles encourageant les États parties à faire participer les ONG à la préparation des rapports périodiques.</w:t>
            </w:r>
          </w:p>
        </w:tc>
        <w:tc>
          <w:tcPr>
            <w:tcW w:w="1986" w:type="dxa"/>
            <w:gridSpan w:val="2"/>
            <w:shd w:val="clear" w:color="auto" w:fill="FFFFFF"/>
            <w:noWrap/>
            <w:tcMar>
              <w:top w:w="40" w:type="dxa"/>
              <w:left w:w="40" w:type="dxa"/>
              <w:bottom w:w="40" w:type="dxa"/>
              <w:right w:w="40" w:type="dxa"/>
            </w:tcMar>
          </w:tcPr>
          <w:p w14:paraId="2CFD2FAC" w14:textId="77777777" w:rsidR="00105BFD" w:rsidRPr="00427622" w:rsidRDefault="00105BFD" w:rsidP="00105BFD">
            <w:pPr>
              <w:spacing w:before="120" w:after="120"/>
              <w:ind w:left="57"/>
              <w:rPr>
                <w:rFonts w:ascii="Arial" w:hAnsi="Arial" w:cs="Arial"/>
              </w:rPr>
            </w:pPr>
            <w:r>
              <w:rPr>
                <w:rFonts w:ascii="Arial" w:hAnsi="Arial"/>
                <w:sz w:val="22"/>
              </w:rPr>
              <w:t>Juin 2016</w:t>
            </w:r>
          </w:p>
        </w:tc>
        <w:tc>
          <w:tcPr>
            <w:tcW w:w="7655" w:type="dxa"/>
            <w:shd w:val="clear" w:color="auto" w:fill="FFFFFF"/>
            <w:noWrap/>
            <w:tcMar>
              <w:top w:w="40" w:type="dxa"/>
              <w:left w:w="40" w:type="dxa"/>
              <w:bottom w:w="40" w:type="dxa"/>
              <w:right w:w="40" w:type="dxa"/>
            </w:tcMar>
          </w:tcPr>
          <w:p w14:paraId="081AB487" w14:textId="77777777" w:rsidR="00105BFD" w:rsidRPr="00427622" w:rsidRDefault="00105BFD" w:rsidP="00105BFD">
            <w:pPr>
              <w:pStyle w:val="ListParagraph"/>
              <w:numPr>
                <w:ilvl w:val="0"/>
                <w:numId w:val="11"/>
              </w:numPr>
              <w:spacing w:before="60" w:beforeAutospacing="0" w:after="60" w:afterAutospacing="0"/>
              <w:ind w:left="470" w:hanging="357"/>
              <w:contextualSpacing/>
              <w:rPr>
                <w:rFonts w:ascii="Arial" w:hAnsi="Arial" w:cs="Arial"/>
              </w:rPr>
            </w:pPr>
            <w:r>
              <w:rPr>
                <w:rFonts w:ascii="Arial" w:hAnsi="Arial"/>
                <w:sz w:val="22"/>
              </w:rPr>
              <w:t>Les amendements des Directives opérationnelles ont été approuvés à la sixième session de l’Assemblée générale en juin 2016 (</w:t>
            </w:r>
            <w:r>
              <w:rPr>
                <w:rFonts w:ascii="Arial" w:hAnsi="Arial"/>
                <w:b/>
                <w:sz w:val="22"/>
              </w:rPr>
              <w:t>action terminée</w:t>
            </w:r>
            <w:r>
              <w:rPr>
                <w:rFonts w:ascii="Arial" w:hAnsi="Arial"/>
                <w:sz w:val="22"/>
              </w:rPr>
              <w:t>).</w:t>
            </w:r>
          </w:p>
        </w:tc>
      </w:tr>
      <w:tr w:rsidR="00105BFD" w:rsidRPr="00CC11E8" w14:paraId="40F99777" w14:textId="77777777" w:rsidTr="00105BFD">
        <w:tc>
          <w:tcPr>
            <w:tcW w:w="14358" w:type="dxa"/>
            <w:gridSpan w:val="5"/>
            <w:shd w:val="clear" w:color="auto" w:fill="E6E6E6"/>
            <w:noWrap/>
            <w:tcMar>
              <w:top w:w="40" w:type="dxa"/>
              <w:left w:w="40" w:type="dxa"/>
              <w:bottom w:w="40" w:type="dxa"/>
              <w:right w:w="40" w:type="dxa"/>
            </w:tcMar>
          </w:tcPr>
          <w:p w14:paraId="37833E4B" w14:textId="77777777" w:rsidR="00105BFD" w:rsidRPr="0033405D" w:rsidRDefault="00105BFD" w:rsidP="00105BFD">
            <w:pPr>
              <w:tabs>
                <w:tab w:val="left" w:pos="2640"/>
              </w:tabs>
              <w:spacing w:before="120" w:after="120"/>
              <w:ind w:left="113" w:right="113"/>
              <w:jc w:val="both"/>
              <w:rPr>
                <w:rFonts w:ascii="Arial" w:hAnsi="Arial" w:cs="Arial"/>
                <w:b/>
              </w:rPr>
            </w:pPr>
            <w:r>
              <w:rPr>
                <w:rFonts w:ascii="Arial" w:hAnsi="Arial"/>
                <w:b/>
                <w:sz w:val="22"/>
              </w:rPr>
              <w:t>Recommandation 24 : Renforcer le suivi et l’évaluation de la mise en œuvre de la Convention au niveau national.</w:t>
            </w:r>
          </w:p>
        </w:tc>
      </w:tr>
      <w:tr w:rsidR="00105BFD" w:rsidRPr="00CC11E8" w14:paraId="75931B58" w14:textId="77777777" w:rsidTr="00105BFD">
        <w:tc>
          <w:tcPr>
            <w:tcW w:w="14358" w:type="dxa"/>
            <w:gridSpan w:val="5"/>
            <w:noWrap/>
            <w:tcMar>
              <w:top w:w="40" w:type="dxa"/>
              <w:left w:w="40" w:type="dxa"/>
              <w:bottom w:w="40" w:type="dxa"/>
              <w:right w:w="40" w:type="dxa"/>
            </w:tcMar>
          </w:tcPr>
          <w:p w14:paraId="4234905D" w14:textId="77777777" w:rsidR="00105BFD" w:rsidRPr="0033405D" w:rsidRDefault="00105BFD" w:rsidP="00105BFD">
            <w:pPr>
              <w:spacing w:before="120" w:after="120"/>
              <w:ind w:left="113" w:right="113"/>
              <w:jc w:val="both"/>
              <w:rPr>
                <w:rFonts w:ascii="Arial" w:hAnsi="Arial" w:cs="Arial"/>
              </w:rPr>
            </w:pPr>
            <w:r>
              <w:rPr>
                <w:rFonts w:ascii="Arial" w:hAnsi="Arial"/>
                <w:b/>
                <w:sz w:val="22"/>
              </w:rPr>
              <w:t>Réponse de la direction </w:t>
            </w:r>
            <w:r>
              <w:rPr>
                <w:rFonts w:ascii="Arial" w:hAnsi="Arial"/>
                <w:sz w:val="22"/>
              </w:rPr>
              <w:t xml:space="preserve">: Bien que cela s’adresse aux États parties, le Secrétariat abordera cette recommandation et intègrera et/ou renforcera ces aspects dans les supports de renforcement des capacités et les ateliers de formation des formateurs ainsi que dans </w:t>
            </w:r>
            <w:r w:rsidRPr="00E967C4">
              <w:rPr>
                <w:rFonts w:ascii="Arial" w:hAnsi="Arial"/>
                <w:sz w:val="22"/>
              </w:rPr>
              <w:t>l</w:t>
            </w:r>
            <w:r>
              <w:rPr>
                <w:rFonts w:ascii="Arial" w:hAnsi="Arial"/>
                <w:sz w:val="22"/>
              </w:rPr>
              <w:t>’</w:t>
            </w:r>
            <w:r w:rsidRPr="00E967C4">
              <w:rPr>
                <w:rFonts w:ascii="Arial" w:hAnsi="Arial"/>
                <w:sz w:val="22"/>
              </w:rPr>
              <w:t>aide-mémoire</w:t>
            </w:r>
            <w:r>
              <w:rPr>
                <w:rFonts w:ascii="Arial" w:hAnsi="Arial"/>
                <w:sz w:val="22"/>
              </w:rPr>
              <w:t xml:space="preserve"> des rapports périodiques.</w:t>
            </w:r>
          </w:p>
        </w:tc>
      </w:tr>
      <w:tr w:rsidR="00105BFD" w:rsidRPr="00427622" w14:paraId="57755DB3" w14:textId="77777777" w:rsidTr="00105BFD">
        <w:tc>
          <w:tcPr>
            <w:tcW w:w="4717" w:type="dxa"/>
            <w:gridSpan w:val="2"/>
            <w:noWrap/>
            <w:tcMar>
              <w:top w:w="40" w:type="dxa"/>
              <w:left w:w="40" w:type="dxa"/>
              <w:bottom w:w="40" w:type="dxa"/>
              <w:right w:w="40" w:type="dxa"/>
            </w:tcMar>
          </w:tcPr>
          <w:p w14:paraId="278CFDD3" w14:textId="77777777" w:rsidR="00105BFD" w:rsidRPr="0033405D" w:rsidRDefault="00105BFD" w:rsidP="00105BFD">
            <w:pPr>
              <w:spacing w:before="120" w:after="120"/>
              <w:jc w:val="center"/>
              <w:rPr>
                <w:rFonts w:ascii="Arial" w:hAnsi="Arial" w:cs="Arial"/>
                <w:b/>
              </w:rPr>
            </w:pPr>
            <w:r>
              <w:rPr>
                <w:rFonts w:ascii="Arial" w:hAnsi="Arial"/>
                <w:b/>
                <w:sz w:val="22"/>
              </w:rPr>
              <w:t>Actions planifiées</w:t>
            </w:r>
          </w:p>
        </w:tc>
        <w:tc>
          <w:tcPr>
            <w:tcW w:w="1986" w:type="dxa"/>
            <w:gridSpan w:val="2"/>
            <w:noWrap/>
            <w:tcMar>
              <w:top w:w="40" w:type="dxa"/>
              <w:left w:w="40" w:type="dxa"/>
              <w:bottom w:w="40" w:type="dxa"/>
              <w:right w:w="40" w:type="dxa"/>
            </w:tcMar>
          </w:tcPr>
          <w:p w14:paraId="66F24F0F" w14:textId="77777777" w:rsidR="00105BFD" w:rsidRPr="0033405D" w:rsidRDefault="00105BFD" w:rsidP="00105BFD">
            <w:pPr>
              <w:spacing w:before="120" w:after="120"/>
              <w:jc w:val="center"/>
              <w:rPr>
                <w:rFonts w:ascii="Arial" w:hAnsi="Arial" w:cs="Arial"/>
                <w:b/>
              </w:rPr>
            </w:pPr>
            <w:r>
              <w:rPr>
                <w:rFonts w:ascii="Arial" w:hAnsi="Arial"/>
                <w:b/>
                <w:sz w:val="22"/>
              </w:rPr>
              <w:t>Date prévue de mise en œuvre</w:t>
            </w:r>
          </w:p>
        </w:tc>
        <w:tc>
          <w:tcPr>
            <w:tcW w:w="7655" w:type="dxa"/>
            <w:noWrap/>
            <w:tcMar>
              <w:top w:w="40" w:type="dxa"/>
              <w:left w:w="40" w:type="dxa"/>
              <w:bottom w:w="40" w:type="dxa"/>
              <w:right w:w="40" w:type="dxa"/>
            </w:tcMar>
          </w:tcPr>
          <w:p w14:paraId="78CFD042" w14:textId="77777777" w:rsidR="00105BFD" w:rsidRPr="0033405D" w:rsidRDefault="00105BFD" w:rsidP="00105BFD">
            <w:pPr>
              <w:spacing w:before="120" w:after="120"/>
              <w:jc w:val="center"/>
              <w:rPr>
                <w:rFonts w:ascii="Arial" w:hAnsi="Arial" w:cs="Arial"/>
                <w:b/>
              </w:rPr>
            </w:pPr>
            <w:r>
              <w:rPr>
                <w:rFonts w:ascii="Arial" w:hAnsi="Arial"/>
                <w:b/>
                <w:sz w:val="22"/>
              </w:rPr>
              <w:t>Statut</w:t>
            </w:r>
          </w:p>
        </w:tc>
      </w:tr>
      <w:tr w:rsidR="00105BFD" w:rsidRPr="00CC11E8" w14:paraId="6A78BB06" w14:textId="77777777" w:rsidTr="00105BFD">
        <w:tc>
          <w:tcPr>
            <w:tcW w:w="4717" w:type="dxa"/>
            <w:gridSpan w:val="2"/>
            <w:noWrap/>
            <w:tcMar>
              <w:top w:w="40" w:type="dxa"/>
              <w:left w:w="40" w:type="dxa"/>
              <w:bottom w:w="40" w:type="dxa"/>
              <w:right w:w="40" w:type="dxa"/>
            </w:tcMar>
          </w:tcPr>
          <w:p w14:paraId="4C988141" w14:textId="77777777" w:rsidR="00105BFD" w:rsidRPr="000D6F3C" w:rsidRDefault="00105BFD" w:rsidP="00105BFD">
            <w:pPr>
              <w:pStyle w:val="Default"/>
              <w:spacing w:before="120" w:after="120"/>
              <w:ind w:left="113" w:right="57"/>
              <w:contextualSpacing/>
              <w:rPr>
                <w:rFonts w:cs="Arial"/>
                <w:sz w:val="22"/>
                <w:szCs w:val="22"/>
              </w:rPr>
            </w:pPr>
            <w:r w:rsidRPr="000D6F3C">
              <w:rPr>
                <w:rFonts w:cs="Arial"/>
                <w:sz w:val="22"/>
              </w:rPr>
              <w:t>Intégrer et/ou renforcer ces aspects dans les supports de renforcement des capacités et les ateliers de formation des formateurs.</w:t>
            </w:r>
          </w:p>
          <w:p w14:paraId="11A383AA" w14:textId="77777777" w:rsidR="00105BFD" w:rsidRPr="0033405D" w:rsidRDefault="00105BFD" w:rsidP="00105BFD">
            <w:pPr>
              <w:spacing w:before="120" w:after="120"/>
              <w:ind w:left="113" w:right="57"/>
              <w:contextualSpacing/>
              <w:rPr>
                <w:rFonts w:ascii="Arial" w:hAnsi="Arial" w:cs="Arial"/>
              </w:rPr>
            </w:pPr>
            <w:r>
              <w:rPr>
                <w:rFonts w:ascii="Arial" w:hAnsi="Arial"/>
                <w:sz w:val="22"/>
              </w:rPr>
              <w:t xml:space="preserve">Intégrer ces aspects à </w:t>
            </w:r>
            <w:r w:rsidRPr="00E967C4">
              <w:rPr>
                <w:rFonts w:ascii="Arial" w:hAnsi="Arial"/>
                <w:sz w:val="22"/>
              </w:rPr>
              <w:t>l</w:t>
            </w:r>
            <w:r>
              <w:rPr>
                <w:rFonts w:ascii="Arial" w:hAnsi="Arial"/>
                <w:sz w:val="22"/>
              </w:rPr>
              <w:t>’</w:t>
            </w:r>
            <w:r w:rsidRPr="00E967C4">
              <w:rPr>
                <w:rFonts w:ascii="Arial" w:hAnsi="Arial"/>
                <w:sz w:val="22"/>
              </w:rPr>
              <w:t>aide-mémoire</w:t>
            </w:r>
            <w:r>
              <w:rPr>
                <w:rFonts w:ascii="Arial" w:hAnsi="Arial"/>
                <w:sz w:val="22"/>
              </w:rPr>
              <w:t>.</w:t>
            </w:r>
          </w:p>
        </w:tc>
        <w:tc>
          <w:tcPr>
            <w:tcW w:w="1986" w:type="dxa"/>
            <w:gridSpan w:val="2"/>
            <w:noWrap/>
            <w:tcMar>
              <w:top w:w="40" w:type="dxa"/>
              <w:left w:w="40" w:type="dxa"/>
              <w:bottom w:w="40" w:type="dxa"/>
              <w:right w:w="40" w:type="dxa"/>
            </w:tcMar>
          </w:tcPr>
          <w:p w14:paraId="48FEDD8F" w14:textId="77777777" w:rsidR="00105BFD" w:rsidRPr="0033405D" w:rsidRDefault="00105BFD" w:rsidP="00105BFD">
            <w:pPr>
              <w:spacing w:before="120" w:after="120"/>
              <w:ind w:left="57"/>
              <w:rPr>
                <w:rFonts w:ascii="Arial" w:hAnsi="Arial" w:cs="Arial"/>
              </w:rPr>
            </w:pPr>
            <w:r>
              <w:rPr>
                <w:rFonts w:ascii="Arial" w:hAnsi="Arial"/>
                <w:sz w:val="22"/>
              </w:rPr>
              <w:t>2017/2018</w:t>
            </w:r>
          </w:p>
        </w:tc>
        <w:tc>
          <w:tcPr>
            <w:tcW w:w="7655" w:type="dxa"/>
            <w:noWrap/>
            <w:tcMar>
              <w:top w:w="40" w:type="dxa"/>
              <w:left w:w="40" w:type="dxa"/>
              <w:bottom w:w="40" w:type="dxa"/>
              <w:right w:w="40" w:type="dxa"/>
            </w:tcMar>
          </w:tcPr>
          <w:p w14:paraId="748697C1" w14:textId="77777777" w:rsidR="00105BFD" w:rsidRPr="0033405D" w:rsidRDefault="00105BFD" w:rsidP="00105BFD">
            <w:pPr>
              <w:pStyle w:val="ListParagraph"/>
              <w:numPr>
                <w:ilvl w:val="0"/>
                <w:numId w:val="11"/>
              </w:numPr>
              <w:spacing w:before="120" w:beforeAutospacing="0" w:after="120" w:afterAutospacing="0"/>
              <w:ind w:left="470" w:hanging="357"/>
              <w:contextualSpacing/>
              <w:rPr>
                <w:rFonts w:ascii="Arial" w:hAnsi="Arial" w:cs="Arial"/>
              </w:rPr>
            </w:pPr>
            <w:r>
              <w:rPr>
                <w:rFonts w:ascii="Arial" w:hAnsi="Arial"/>
                <w:sz w:val="22"/>
              </w:rPr>
              <w:t xml:space="preserve">Développement des supports de formation et actualisation de </w:t>
            </w:r>
            <w:r w:rsidRPr="00E967C4">
              <w:rPr>
                <w:rFonts w:ascii="Arial" w:hAnsi="Arial"/>
                <w:sz w:val="22"/>
              </w:rPr>
              <w:t>l</w:t>
            </w:r>
            <w:r>
              <w:rPr>
                <w:rFonts w:ascii="Arial" w:hAnsi="Arial"/>
                <w:sz w:val="22"/>
              </w:rPr>
              <w:t>’</w:t>
            </w:r>
            <w:r w:rsidRPr="00E967C4">
              <w:rPr>
                <w:rFonts w:ascii="Arial" w:hAnsi="Arial"/>
                <w:sz w:val="22"/>
              </w:rPr>
              <w:t>aide-mémoire</w:t>
            </w:r>
            <w:r>
              <w:rPr>
                <w:rFonts w:ascii="Arial" w:hAnsi="Arial"/>
                <w:sz w:val="22"/>
              </w:rPr>
              <w:t xml:space="preserve"> dès que le cadre global de résultats de la Convention sera disponible (voir recommandation 22).</w:t>
            </w:r>
          </w:p>
        </w:tc>
      </w:tr>
    </w:tbl>
    <w:p w14:paraId="73CBEDE2" w14:textId="2F786014" w:rsidR="007C2199" w:rsidRDefault="007C2199" w:rsidP="00FA5645"/>
    <w:p w14:paraId="380AAAF2" w14:textId="77777777" w:rsidR="00105BFD" w:rsidRPr="0033405D" w:rsidRDefault="00105BFD" w:rsidP="00FA5645"/>
    <w:p w14:paraId="7171DFD9" w14:textId="77777777" w:rsidR="007C2199" w:rsidRPr="00427622" w:rsidRDefault="007C2199" w:rsidP="00FA5645">
      <w:pPr>
        <w:pStyle w:val="GAParaResolution"/>
        <w:ind w:left="0" w:firstLine="0"/>
        <w:rPr>
          <w:u w:val="none"/>
        </w:rPr>
        <w:sectPr w:rsidR="007C2199" w:rsidRPr="00427622" w:rsidSect="00FA5645">
          <w:headerReference w:type="even" r:id="rId53"/>
          <w:headerReference w:type="default" r:id="rId54"/>
          <w:headerReference w:type="first" r:id="rId55"/>
          <w:pgSz w:w="16838" w:h="11906" w:orient="landscape" w:code="9"/>
          <w:pgMar w:top="1134" w:right="1134" w:bottom="1134" w:left="1418" w:header="397" w:footer="284" w:gutter="0"/>
          <w:cols w:space="708"/>
          <w:titlePg/>
          <w:docGrid w:linePitch="360"/>
        </w:sectPr>
      </w:pPr>
    </w:p>
    <w:tbl>
      <w:tblP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9"/>
        <w:gridCol w:w="1985"/>
        <w:gridCol w:w="142"/>
        <w:gridCol w:w="7512"/>
      </w:tblGrid>
      <w:tr w:rsidR="007C2199" w:rsidRPr="00CC11E8" w14:paraId="6827A44F" w14:textId="77777777" w:rsidTr="00FA5645">
        <w:trPr>
          <w:cantSplit/>
          <w:trHeight w:val="1084"/>
        </w:trPr>
        <w:tc>
          <w:tcPr>
            <w:tcW w:w="14358" w:type="dxa"/>
            <w:gridSpan w:val="4"/>
            <w:tcBorders>
              <w:top w:val="nil"/>
              <w:left w:val="nil"/>
              <w:right w:val="nil"/>
            </w:tcBorders>
            <w:noWrap/>
            <w:tcMar>
              <w:top w:w="40" w:type="dxa"/>
              <w:left w:w="40" w:type="dxa"/>
              <w:bottom w:w="40" w:type="dxa"/>
              <w:right w:w="40" w:type="dxa"/>
            </w:tcMar>
          </w:tcPr>
          <w:p w14:paraId="38A585A3" w14:textId="77777777" w:rsidR="007C2199" w:rsidRPr="00427622" w:rsidRDefault="007C2199" w:rsidP="00FA5645">
            <w:pPr>
              <w:autoSpaceDE w:val="0"/>
              <w:autoSpaceDN w:val="0"/>
              <w:adjustRightInd w:val="0"/>
              <w:spacing w:before="120" w:after="120"/>
              <w:ind w:left="113" w:right="113"/>
              <w:jc w:val="both"/>
              <w:rPr>
                <w:rFonts w:ascii="Arial" w:hAnsi="Arial" w:cs="Arial"/>
                <w:b/>
              </w:rPr>
            </w:pPr>
            <w:r>
              <w:rPr>
                <w:rFonts w:ascii="Arial" w:hAnsi="Arial"/>
                <w:b/>
                <w:sz w:val="22"/>
              </w:rPr>
              <w:lastRenderedPageBreak/>
              <w:t>ANNEXE II</w:t>
            </w:r>
          </w:p>
          <w:p w14:paraId="41049728" w14:textId="77777777" w:rsidR="007C2199" w:rsidRPr="00427622" w:rsidRDefault="007C2199" w:rsidP="00FA5645">
            <w:pPr>
              <w:autoSpaceDE w:val="0"/>
              <w:autoSpaceDN w:val="0"/>
              <w:adjustRightInd w:val="0"/>
              <w:spacing w:before="120" w:after="120"/>
              <w:ind w:left="113" w:right="113"/>
              <w:jc w:val="both"/>
              <w:rPr>
                <w:rFonts w:ascii="Arial" w:hAnsi="Arial" w:cs="Arial"/>
                <w:b/>
              </w:rPr>
            </w:pPr>
            <w:r>
              <w:rPr>
                <w:rFonts w:ascii="Arial" w:hAnsi="Arial"/>
                <w:b/>
                <w:sz w:val="22"/>
              </w:rPr>
              <w:t>Rapport d</w:t>
            </w:r>
            <w:r w:rsidR="003C2B6A">
              <w:rPr>
                <w:rFonts w:ascii="Arial" w:hAnsi="Arial"/>
                <w:b/>
                <w:sz w:val="22"/>
              </w:rPr>
              <w:t>’</w:t>
            </w:r>
            <w:r>
              <w:rPr>
                <w:rFonts w:ascii="Arial" w:hAnsi="Arial"/>
                <w:b/>
                <w:sz w:val="22"/>
              </w:rPr>
              <w:t>avancement sur le suivi des quatre recommandations du rapport d</w:t>
            </w:r>
            <w:r w:rsidR="003C2B6A">
              <w:rPr>
                <w:rFonts w:ascii="Arial" w:hAnsi="Arial"/>
                <w:b/>
                <w:sz w:val="22"/>
              </w:rPr>
              <w:t>’</w:t>
            </w:r>
            <w:r>
              <w:rPr>
                <w:rFonts w:ascii="Arial" w:hAnsi="Arial"/>
                <w:b/>
                <w:sz w:val="22"/>
              </w:rPr>
              <w:t>audit des méthodes de travail des six conventions culturelles</w:t>
            </w:r>
          </w:p>
        </w:tc>
      </w:tr>
      <w:tr w:rsidR="007C2199" w:rsidRPr="00CC11E8" w14:paraId="1CC04F87" w14:textId="77777777" w:rsidTr="00FA5645">
        <w:trPr>
          <w:cantSplit/>
          <w:trHeight w:val="3210"/>
        </w:trPr>
        <w:tc>
          <w:tcPr>
            <w:tcW w:w="14358" w:type="dxa"/>
            <w:gridSpan w:val="4"/>
            <w:shd w:val="clear" w:color="auto" w:fill="E6E6E6"/>
            <w:noWrap/>
            <w:tcMar>
              <w:top w:w="40" w:type="dxa"/>
              <w:left w:w="40" w:type="dxa"/>
              <w:bottom w:w="40" w:type="dxa"/>
              <w:right w:w="40" w:type="dxa"/>
            </w:tcMar>
          </w:tcPr>
          <w:p w14:paraId="53D74F2D" w14:textId="77777777" w:rsidR="007C2199" w:rsidRPr="0033405D" w:rsidRDefault="007C2199" w:rsidP="00FA5645">
            <w:pPr>
              <w:autoSpaceDE w:val="0"/>
              <w:autoSpaceDN w:val="0"/>
              <w:adjustRightInd w:val="0"/>
              <w:spacing w:before="120" w:after="120"/>
              <w:ind w:left="113" w:right="113"/>
              <w:jc w:val="both"/>
              <w:rPr>
                <w:rFonts w:ascii="Arial" w:hAnsi="Arial" w:cs="Arial"/>
                <w:b/>
              </w:rPr>
            </w:pPr>
            <w:r>
              <w:rPr>
                <w:rFonts w:ascii="Arial" w:hAnsi="Arial"/>
                <w:b/>
                <w:sz w:val="22"/>
              </w:rPr>
              <w:t>Recommandation 1 : Nous recommandons aux secrétariats des conventions de formuler des propositions et de les présenter aux organes directeurs de l</w:t>
            </w:r>
            <w:r w:rsidR="003C2B6A">
              <w:rPr>
                <w:rFonts w:ascii="Arial" w:hAnsi="Arial"/>
                <w:b/>
                <w:sz w:val="22"/>
              </w:rPr>
              <w:t>’</w:t>
            </w:r>
            <w:r>
              <w:rPr>
                <w:rFonts w:ascii="Arial" w:hAnsi="Arial"/>
                <w:b/>
                <w:sz w:val="22"/>
              </w:rPr>
              <w:t>UNESCO et/ou d</w:t>
            </w:r>
            <w:r w:rsidR="00FD3694">
              <w:rPr>
                <w:rFonts w:ascii="Arial" w:hAnsi="Arial"/>
                <w:b/>
                <w:sz w:val="22"/>
              </w:rPr>
              <w:t>e la (des) convention(s) afin :</w:t>
            </w:r>
          </w:p>
          <w:p w14:paraId="06056172" w14:textId="77777777" w:rsidR="007C2199" w:rsidRPr="0033405D" w:rsidRDefault="007C2199" w:rsidP="00BA3A07">
            <w:pPr>
              <w:numPr>
                <w:ilvl w:val="0"/>
                <w:numId w:val="14"/>
              </w:numPr>
              <w:tabs>
                <w:tab w:val="left" w:pos="495"/>
                <w:tab w:val="left" w:pos="2640"/>
              </w:tabs>
              <w:spacing w:before="120" w:after="120"/>
              <w:ind w:left="778" w:right="113"/>
              <w:contextualSpacing/>
              <w:jc w:val="both"/>
              <w:rPr>
                <w:rFonts w:ascii="Arial" w:hAnsi="Arial" w:cs="Arial"/>
              </w:rPr>
            </w:pPr>
            <w:r>
              <w:rPr>
                <w:rFonts w:ascii="Arial" w:hAnsi="Arial"/>
                <w:sz w:val="22"/>
              </w:rPr>
              <w:t>de compléter la structure actuelle de financement par des fonds-en-dépôt généraux alimentés par des contributions versées par les parties (États) contractant(e)s, à titre obligatoire ou volontaire, pour financer les dépenses ordinaires des secrétariats, y compris la dotation en effectifs, les dépenses administratives, l</w:t>
            </w:r>
            <w:r w:rsidR="003C2B6A">
              <w:rPr>
                <w:rFonts w:ascii="Arial" w:hAnsi="Arial"/>
                <w:sz w:val="22"/>
              </w:rPr>
              <w:t>’</w:t>
            </w:r>
            <w:r>
              <w:rPr>
                <w:rFonts w:ascii="Arial" w:hAnsi="Arial"/>
                <w:sz w:val="22"/>
              </w:rPr>
              <w:t>élaboration et la traduction des documents ;</w:t>
            </w:r>
          </w:p>
          <w:p w14:paraId="1777FBB4" w14:textId="77777777" w:rsidR="007C2199" w:rsidRPr="0033405D" w:rsidRDefault="007C2199" w:rsidP="00BA3A07">
            <w:pPr>
              <w:numPr>
                <w:ilvl w:val="0"/>
                <w:numId w:val="14"/>
              </w:numPr>
              <w:tabs>
                <w:tab w:val="left" w:pos="495"/>
                <w:tab w:val="left" w:pos="2640"/>
              </w:tabs>
              <w:spacing w:before="120" w:after="120"/>
              <w:ind w:left="778" w:right="113"/>
              <w:contextualSpacing/>
              <w:jc w:val="both"/>
              <w:rPr>
                <w:rFonts w:ascii="Arial" w:hAnsi="Arial" w:cs="Arial"/>
              </w:rPr>
            </w:pPr>
            <w:r>
              <w:rPr>
                <w:rFonts w:ascii="Arial" w:hAnsi="Arial"/>
                <w:sz w:val="22"/>
              </w:rPr>
              <w:t>d</w:t>
            </w:r>
            <w:r w:rsidR="003C2B6A">
              <w:rPr>
                <w:rFonts w:ascii="Arial" w:hAnsi="Arial"/>
                <w:sz w:val="22"/>
              </w:rPr>
              <w:t>’</w:t>
            </w:r>
            <w:r>
              <w:rPr>
                <w:rFonts w:ascii="Arial" w:hAnsi="Arial"/>
                <w:sz w:val="22"/>
              </w:rPr>
              <w:t>établir un ordre de priorité dans l</w:t>
            </w:r>
            <w:r w:rsidR="003C2B6A">
              <w:rPr>
                <w:rFonts w:ascii="Arial" w:hAnsi="Arial"/>
                <w:sz w:val="22"/>
              </w:rPr>
              <w:t>’</w:t>
            </w:r>
            <w:r>
              <w:rPr>
                <w:rFonts w:ascii="Arial" w:hAnsi="Arial"/>
                <w:sz w:val="22"/>
              </w:rPr>
              <w:t>actuelle charge de travail des secrétariats des conventions afin de l</w:t>
            </w:r>
            <w:r w:rsidR="003C2B6A">
              <w:rPr>
                <w:rFonts w:ascii="Arial" w:hAnsi="Arial"/>
                <w:sz w:val="22"/>
              </w:rPr>
              <w:t>’</w:t>
            </w:r>
            <w:r>
              <w:rPr>
                <w:rFonts w:ascii="Arial" w:hAnsi="Arial"/>
                <w:sz w:val="22"/>
              </w:rPr>
              <w:t>adapter aux ressources disponibles ;</w:t>
            </w:r>
          </w:p>
          <w:p w14:paraId="70FFDF16" w14:textId="77777777" w:rsidR="007C2199" w:rsidRPr="0033405D" w:rsidRDefault="007C2199" w:rsidP="00BA3A07">
            <w:pPr>
              <w:numPr>
                <w:ilvl w:val="0"/>
                <w:numId w:val="14"/>
              </w:numPr>
              <w:tabs>
                <w:tab w:val="left" w:pos="495"/>
                <w:tab w:val="left" w:pos="2640"/>
              </w:tabs>
              <w:spacing w:before="120" w:after="120"/>
              <w:ind w:left="778" w:right="113"/>
              <w:contextualSpacing/>
              <w:jc w:val="both"/>
              <w:rPr>
                <w:rFonts w:ascii="Arial" w:hAnsi="Arial" w:cs="Arial"/>
              </w:rPr>
            </w:pPr>
            <w:r>
              <w:rPr>
                <w:rFonts w:ascii="Arial" w:hAnsi="Arial"/>
                <w:sz w:val="22"/>
              </w:rPr>
              <w:t>de réduire la fréquence des réunions des États parties, si possible, de limiter leur durée et leur ordre du jour et ceux des Comités intergouvernementaux, et de synchroniser les réunions des États parties aux conventions, lorsque des gains d</w:t>
            </w:r>
            <w:r w:rsidR="003C2B6A">
              <w:rPr>
                <w:rFonts w:ascii="Arial" w:hAnsi="Arial"/>
                <w:sz w:val="22"/>
              </w:rPr>
              <w:t>’</w:t>
            </w:r>
            <w:r>
              <w:rPr>
                <w:rFonts w:ascii="Arial" w:hAnsi="Arial"/>
                <w:sz w:val="22"/>
              </w:rPr>
              <w:t>efficacité sont réalisables ;</w:t>
            </w:r>
          </w:p>
          <w:p w14:paraId="231E3FC3" w14:textId="77777777" w:rsidR="007C2199" w:rsidRPr="0033405D" w:rsidRDefault="007C2199" w:rsidP="00BA3A07">
            <w:pPr>
              <w:numPr>
                <w:ilvl w:val="0"/>
                <w:numId w:val="14"/>
              </w:numPr>
              <w:tabs>
                <w:tab w:val="left" w:pos="495"/>
                <w:tab w:val="left" w:pos="2640"/>
              </w:tabs>
              <w:spacing w:before="120" w:after="120"/>
              <w:ind w:left="778" w:right="113"/>
              <w:contextualSpacing/>
              <w:jc w:val="both"/>
              <w:rPr>
                <w:rFonts w:ascii="Arial" w:hAnsi="Arial" w:cs="Arial"/>
              </w:rPr>
            </w:pPr>
            <w:r>
              <w:rPr>
                <w:rFonts w:ascii="Arial" w:hAnsi="Arial"/>
                <w:sz w:val="22"/>
              </w:rPr>
              <w:t>d</w:t>
            </w:r>
            <w:r w:rsidR="003C2B6A">
              <w:rPr>
                <w:rFonts w:ascii="Arial" w:hAnsi="Arial"/>
                <w:sz w:val="22"/>
              </w:rPr>
              <w:t>’</w:t>
            </w:r>
            <w:r>
              <w:rPr>
                <w:rFonts w:ascii="Arial" w:hAnsi="Arial"/>
                <w:sz w:val="22"/>
              </w:rPr>
              <w:t>harmoniser les exigences des réunions des conventions en matière de traduction et d</w:t>
            </w:r>
            <w:r w:rsidR="003C2B6A">
              <w:rPr>
                <w:rFonts w:ascii="Arial" w:hAnsi="Arial"/>
                <w:sz w:val="22"/>
              </w:rPr>
              <w:t>’</w:t>
            </w:r>
            <w:r>
              <w:rPr>
                <w:rFonts w:ascii="Arial" w:hAnsi="Arial"/>
                <w:sz w:val="22"/>
              </w:rPr>
              <w:t>interprétation et de solliciter des fonds extrabudgétaires pour des langues supplémentaires ;</w:t>
            </w:r>
          </w:p>
          <w:p w14:paraId="5A80DD8D" w14:textId="77777777" w:rsidR="007C2199" w:rsidRPr="0033405D" w:rsidRDefault="007C2199" w:rsidP="00BA3A07">
            <w:pPr>
              <w:numPr>
                <w:ilvl w:val="0"/>
                <w:numId w:val="14"/>
              </w:numPr>
              <w:tabs>
                <w:tab w:val="left" w:pos="495"/>
                <w:tab w:val="left" w:pos="2640"/>
              </w:tabs>
              <w:spacing w:before="120" w:after="120"/>
              <w:ind w:left="778" w:right="113"/>
              <w:contextualSpacing/>
              <w:jc w:val="both"/>
              <w:rPr>
                <w:rFonts w:ascii="Arial" w:hAnsi="Arial" w:cs="Arial"/>
              </w:rPr>
            </w:pPr>
            <w:r>
              <w:rPr>
                <w:rFonts w:ascii="Arial" w:hAnsi="Arial"/>
                <w:sz w:val="22"/>
              </w:rPr>
              <w:t>de modifier le Règlement financier et les Règles d</w:t>
            </w:r>
            <w:r w:rsidR="003C2B6A">
              <w:rPr>
                <w:rFonts w:ascii="Arial" w:hAnsi="Arial"/>
                <w:sz w:val="22"/>
              </w:rPr>
              <w:t>’</w:t>
            </w:r>
            <w:r>
              <w:rPr>
                <w:rFonts w:ascii="Arial" w:hAnsi="Arial"/>
                <w:sz w:val="22"/>
              </w:rPr>
              <w:t>administration financière, si nécessaire, afin de permettre d</w:t>
            </w:r>
            <w:r w:rsidR="003C2B6A">
              <w:rPr>
                <w:rFonts w:ascii="Arial" w:hAnsi="Arial"/>
                <w:sz w:val="22"/>
              </w:rPr>
              <w:t>’</w:t>
            </w:r>
            <w:r>
              <w:rPr>
                <w:rFonts w:ascii="Arial" w:hAnsi="Arial"/>
                <w:sz w:val="22"/>
              </w:rPr>
              <w:t>appliquer la politique de recouvrement des coûts.</w:t>
            </w:r>
          </w:p>
        </w:tc>
      </w:tr>
      <w:tr w:rsidR="007C2199" w:rsidRPr="00427622" w14:paraId="74CF0737" w14:textId="77777777" w:rsidTr="00FA5645">
        <w:trPr>
          <w:cantSplit/>
        </w:trPr>
        <w:tc>
          <w:tcPr>
            <w:tcW w:w="4719" w:type="dxa"/>
            <w:noWrap/>
            <w:tcMar>
              <w:top w:w="40" w:type="dxa"/>
              <w:left w:w="40" w:type="dxa"/>
              <w:bottom w:w="40" w:type="dxa"/>
              <w:right w:w="40" w:type="dxa"/>
            </w:tcMar>
          </w:tcPr>
          <w:p w14:paraId="18B7B7B3" w14:textId="77777777" w:rsidR="007C2199" w:rsidRPr="0033405D" w:rsidRDefault="007C2199" w:rsidP="00FA5645">
            <w:pPr>
              <w:spacing w:before="120" w:after="120"/>
              <w:jc w:val="center"/>
              <w:rPr>
                <w:rFonts w:ascii="Arial" w:hAnsi="Arial" w:cs="Arial"/>
                <w:b/>
              </w:rPr>
            </w:pPr>
            <w:r>
              <w:rPr>
                <w:rFonts w:ascii="Arial" w:hAnsi="Arial"/>
                <w:b/>
                <w:sz w:val="22"/>
              </w:rPr>
              <w:t>Actions planifiées</w:t>
            </w:r>
          </w:p>
        </w:tc>
        <w:tc>
          <w:tcPr>
            <w:tcW w:w="1985" w:type="dxa"/>
            <w:noWrap/>
            <w:tcMar>
              <w:top w:w="40" w:type="dxa"/>
              <w:left w:w="40" w:type="dxa"/>
              <w:bottom w:w="40" w:type="dxa"/>
              <w:right w:w="40" w:type="dxa"/>
            </w:tcMar>
          </w:tcPr>
          <w:p w14:paraId="5B0F16B5" w14:textId="77777777" w:rsidR="007C2199" w:rsidRPr="0033405D" w:rsidRDefault="007C2199" w:rsidP="00FA5645">
            <w:pPr>
              <w:spacing w:before="120" w:after="120"/>
              <w:jc w:val="center"/>
              <w:rPr>
                <w:rFonts w:ascii="Arial" w:hAnsi="Arial" w:cs="Arial"/>
                <w:b/>
              </w:rPr>
            </w:pPr>
            <w:r>
              <w:rPr>
                <w:rFonts w:ascii="Arial" w:hAnsi="Arial"/>
                <w:b/>
                <w:sz w:val="22"/>
              </w:rPr>
              <w:t>Date prévue de mise en œuvre</w:t>
            </w:r>
          </w:p>
        </w:tc>
        <w:tc>
          <w:tcPr>
            <w:tcW w:w="7654" w:type="dxa"/>
            <w:gridSpan w:val="2"/>
            <w:noWrap/>
            <w:tcMar>
              <w:top w:w="40" w:type="dxa"/>
              <w:left w:w="40" w:type="dxa"/>
              <w:bottom w:w="40" w:type="dxa"/>
              <w:right w:w="40" w:type="dxa"/>
            </w:tcMar>
          </w:tcPr>
          <w:p w14:paraId="6CE6FEEF" w14:textId="77777777" w:rsidR="007C2199" w:rsidRPr="0033405D" w:rsidRDefault="007C2199" w:rsidP="00FA5645">
            <w:pPr>
              <w:spacing w:before="120" w:after="120"/>
              <w:jc w:val="center"/>
              <w:rPr>
                <w:rFonts w:ascii="Arial" w:hAnsi="Arial" w:cs="Arial"/>
                <w:b/>
              </w:rPr>
            </w:pPr>
            <w:r>
              <w:rPr>
                <w:rFonts w:ascii="Arial" w:hAnsi="Arial"/>
                <w:b/>
                <w:sz w:val="22"/>
              </w:rPr>
              <w:t>Statut</w:t>
            </w:r>
          </w:p>
        </w:tc>
      </w:tr>
      <w:tr w:rsidR="007C2199" w:rsidRPr="00CC11E8" w14:paraId="5AC29581" w14:textId="77777777" w:rsidTr="00FA5645">
        <w:trPr>
          <w:cantSplit/>
        </w:trPr>
        <w:tc>
          <w:tcPr>
            <w:tcW w:w="4719" w:type="dxa"/>
            <w:noWrap/>
            <w:tcMar>
              <w:top w:w="40" w:type="dxa"/>
              <w:left w:w="40" w:type="dxa"/>
              <w:bottom w:w="40" w:type="dxa"/>
              <w:right w:w="40" w:type="dxa"/>
            </w:tcMar>
          </w:tcPr>
          <w:p w14:paraId="4554B481" w14:textId="77777777" w:rsidR="007C2199" w:rsidRPr="0033405D" w:rsidRDefault="007C2199" w:rsidP="00FA5645">
            <w:pPr>
              <w:spacing w:before="120" w:after="120"/>
              <w:ind w:left="113" w:right="57"/>
              <w:rPr>
                <w:rFonts w:ascii="Arial" w:hAnsi="Arial" w:cs="Arial"/>
                <w:bCs/>
              </w:rPr>
            </w:pPr>
            <w:r>
              <w:rPr>
                <w:rFonts w:ascii="Arial" w:hAnsi="Arial"/>
                <w:sz w:val="22"/>
              </w:rPr>
              <w:t>(a) Rappeler régulièrement aux États l</w:t>
            </w:r>
            <w:r w:rsidR="003C2B6A">
              <w:rPr>
                <w:rFonts w:ascii="Arial" w:hAnsi="Arial"/>
                <w:sz w:val="22"/>
              </w:rPr>
              <w:t>’</w:t>
            </w:r>
            <w:r>
              <w:rPr>
                <w:rFonts w:ascii="Arial" w:hAnsi="Arial"/>
                <w:sz w:val="22"/>
              </w:rPr>
              <w:t xml:space="preserve">existence </w:t>
            </w:r>
            <w:r w:rsidR="00FD3694">
              <w:rPr>
                <w:rFonts w:ascii="Arial" w:hAnsi="Arial"/>
                <w:sz w:val="22"/>
              </w:rPr>
              <w:t>du sous-fonds de la Convention.</w:t>
            </w:r>
          </w:p>
        </w:tc>
        <w:tc>
          <w:tcPr>
            <w:tcW w:w="1985" w:type="dxa"/>
            <w:noWrap/>
            <w:tcMar>
              <w:top w:w="40" w:type="dxa"/>
              <w:left w:w="40" w:type="dxa"/>
              <w:bottom w:w="40" w:type="dxa"/>
              <w:right w:w="40" w:type="dxa"/>
            </w:tcMar>
          </w:tcPr>
          <w:p w14:paraId="5D9D8583" w14:textId="77777777" w:rsidR="007C2199" w:rsidRPr="0033405D" w:rsidRDefault="007C2199" w:rsidP="00FA5645">
            <w:pPr>
              <w:spacing w:before="120" w:after="120"/>
              <w:ind w:left="57"/>
              <w:rPr>
                <w:rFonts w:ascii="Arial" w:hAnsi="Arial" w:cs="Arial"/>
              </w:rPr>
            </w:pPr>
            <w:r>
              <w:rPr>
                <w:rFonts w:ascii="Arial" w:hAnsi="Arial"/>
                <w:sz w:val="22"/>
              </w:rPr>
              <w:t>En cours</w:t>
            </w:r>
          </w:p>
        </w:tc>
        <w:tc>
          <w:tcPr>
            <w:tcW w:w="7654" w:type="dxa"/>
            <w:gridSpan w:val="2"/>
            <w:noWrap/>
            <w:tcMar>
              <w:top w:w="40" w:type="dxa"/>
              <w:left w:w="40" w:type="dxa"/>
              <w:bottom w:w="40" w:type="dxa"/>
              <w:right w:w="40" w:type="dxa"/>
            </w:tcMar>
          </w:tcPr>
          <w:p w14:paraId="6BABCEA3" w14:textId="4F04388F" w:rsidR="00D4626B" w:rsidRPr="00D4626B" w:rsidRDefault="00D4626B" w:rsidP="00D4626B">
            <w:pPr>
              <w:pStyle w:val="ListParagraph"/>
              <w:numPr>
                <w:ilvl w:val="0"/>
                <w:numId w:val="11"/>
              </w:numPr>
              <w:spacing w:before="120" w:beforeAutospacing="0" w:after="120" w:afterAutospacing="0"/>
              <w:ind w:left="470" w:right="57" w:hanging="357"/>
              <w:rPr>
                <w:rFonts w:ascii="Arial" w:hAnsi="Arial" w:cs="Arial"/>
                <w:b/>
                <w:u w:val="single"/>
              </w:rPr>
            </w:pPr>
            <w:r>
              <w:rPr>
                <w:rFonts w:ascii="Arial" w:hAnsi="Arial"/>
                <w:sz w:val="22"/>
              </w:rPr>
              <w:t>L</w:t>
            </w:r>
            <w:r>
              <w:rPr>
                <w:rFonts w:ascii="Arial" w:hAnsi="Arial"/>
                <w:sz w:val="22"/>
              </w:rPr>
              <w:t>ors de ses neuvième et dixième sessions</w:t>
            </w:r>
            <w:r>
              <w:rPr>
                <w:rFonts w:ascii="Arial" w:hAnsi="Arial"/>
                <w:sz w:val="22"/>
              </w:rPr>
              <w:t>,</w:t>
            </w:r>
            <w:r>
              <w:rPr>
                <w:rFonts w:ascii="Arial" w:hAnsi="Arial"/>
                <w:sz w:val="22"/>
              </w:rPr>
              <w:t xml:space="preserve"> </w:t>
            </w:r>
            <w:r>
              <w:rPr>
                <w:rFonts w:ascii="Arial" w:hAnsi="Arial"/>
                <w:sz w:val="22"/>
              </w:rPr>
              <w:t>l</w:t>
            </w:r>
            <w:r w:rsidRPr="00D4626B">
              <w:rPr>
                <w:rFonts w:ascii="Arial" w:hAnsi="Arial"/>
                <w:sz w:val="22"/>
              </w:rPr>
              <w:t xml:space="preserve">’existence du sous-fonds de la Convention </w:t>
            </w:r>
            <w:r>
              <w:rPr>
                <w:rFonts w:ascii="Arial" w:hAnsi="Arial"/>
                <w:sz w:val="22"/>
              </w:rPr>
              <w:t xml:space="preserve">a été rappelée au Comité qui </w:t>
            </w:r>
            <w:r w:rsidRPr="00BB445C">
              <w:rPr>
                <w:rFonts w:ascii="Arial" w:hAnsi="Arial"/>
                <w:sz w:val="22"/>
              </w:rPr>
              <w:t>a encouragé les États à contribuer</w:t>
            </w:r>
            <w:r>
              <w:rPr>
                <w:rFonts w:ascii="Arial" w:hAnsi="Arial"/>
                <w:sz w:val="22"/>
              </w:rPr>
              <w:t>,</w:t>
            </w:r>
            <w:r w:rsidRPr="00BB445C" w:rsidDel="005953C7">
              <w:rPr>
                <w:rFonts w:ascii="Arial" w:hAnsi="Arial"/>
                <w:sz w:val="22"/>
              </w:rPr>
              <w:t xml:space="preserve"> </w:t>
            </w:r>
            <w:r w:rsidRPr="00BB445C">
              <w:rPr>
                <w:rFonts w:ascii="Arial" w:hAnsi="Arial"/>
                <w:sz w:val="22"/>
              </w:rPr>
              <w:t xml:space="preserve">tel qu’indiqué dans la </w:t>
            </w:r>
            <w:hyperlink r:id="rId56">
              <w:r w:rsidRPr="00BB445C">
                <w:rPr>
                  <w:rStyle w:val="Hyperlink"/>
                  <w:rFonts w:ascii="Arial" w:hAnsi="Arial"/>
                  <w:sz w:val="22"/>
                </w:rPr>
                <w:t>décision 9.COM 7</w:t>
              </w:r>
            </w:hyperlink>
            <w:r w:rsidRPr="00BB445C">
              <w:rPr>
                <w:rFonts w:ascii="Arial" w:hAnsi="Arial"/>
                <w:sz w:val="22"/>
              </w:rPr>
              <w:t xml:space="preserve"> et la </w:t>
            </w:r>
            <w:hyperlink r:id="rId57">
              <w:r w:rsidRPr="00BB445C">
                <w:rPr>
                  <w:rStyle w:val="Hyperlink"/>
                  <w:rFonts w:ascii="Arial" w:hAnsi="Arial"/>
                  <w:sz w:val="22"/>
                </w:rPr>
                <w:t>décision 10.COM 9</w:t>
              </w:r>
            </w:hyperlink>
            <w:r w:rsidRPr="00BB445C">
              <w:rPr>
                <w:rFonts w:ascii="Arial" w:hAnsi="Arial"/>
                <w:sz w:val="22"/>
              </w:rPr>
              <w:t>.</w:t>
            </w:r>
            <w:bookmarkStart w:id="0" w:name="_GoBack"/>
            <w:bookmarkEnd w:id="0"/>
          </w:p>
          <w:p w14:paraId="53BED372" w14:textId="77777777" w:rsidR="007C2199" w:rsidRPr="0033405D" w:rsidRDefault="007C2199" w:rsidP="00BA3A07">
            <w:pPr>
              <w:pStyle w:val="ListParagraph"/>
              <w:numPr>
                <w:ilvl w:val="0"/>
                <w:numId w:val="11"/>
              </w:numPr>
              <w:spacing w:before="120" w:beforeAutospacing="0" w:after="120" w:afterAutospacing="0"/>
              <w:ind w:left="470" w:right="57" w:hanging="357"/>
              <w:contextualSpacing/>
              <w:rPr>
                <w:rFonts w:ascii="Arial" w:hAnsi="Arial" w:cs="Arial"/>
              </w:rPr>
            </w:pPr>
            <w:r>
              <w:rPr>
                <w:rFonts w:ascii="Arial" w:hAnsi="Arial"/>
                <w:sz w:val="22"/>
              </w:rPr>
              <w:t>Pour l</w:t>
            </w:r>
            <w:r w:rsidR="003C2B6A">
              <w:rPr>
                <w:rFonts w:ascii="Arial" w:hAnsi="Arial"/>
                <w:sz w:val="22"/>
              </w:rPr>
              <w:t>’</w:t>
            </w:r>
            <w:r>
              <w:rPr>
                <w:rFonts w:ascii="Arial" w:hAnsi="Arial"/>
                <w:sz w:val="22"/>
              </w:rPr>
              <w:t>exercice biennal 2014-2015, le Secrétariat a reçu des contributions volontaires pour un montant total de 417 345 dollars des États-Unis, c.à.d. moins d</w:t>
            </w:r>
            <w:r w:rsidR="003C2B6A">
              <w:rPr>
                <w:rFonts w:ascii="Arial" w:hAnsi="Arial"/>
                <w:sz w:val="22"/>
              </w:rPr>
              <w:t>’</w:t>
            </w:r>
            <w:r>
              <w:rPr>
                <w:rFonts w:ascii="Arial" w:hAnsi="Arial"/>
                <w:sz w:val="22"/>
              </w:rPr>
              <w:t>un quart de l</w:t>
            </w:r>
            <w:r w:rsidR="003C2B6A">
              <w:rPr>
                <w:rFonts w:ascii="Arial" w:hAnsi="Arial"/>
                <w:sz w:val="22"/>
              </w:rPr>
              <w:t>’</w:t>
            </w:r>
            <w:r>
              <w:rPr>
                <w:rFonts w:ascii="Arial" w:hAnsi="Arial"/>
                <w:sz w:val="22"/>
              </w:rPr>
              <w:t>objectif de 2 200 000 dollars des États-Unis fixé par exercice biennal.</w:t>
            </w:r>
          </w:p>
        </w:tc>
      </w:tr>
      <w:tr w:rsidR="007C2199" w:rsidRPr="00CC11E8" w14:paraId="054E9803" w14:textId="77777777" w:rsidTr="00FA5645">
        <w:trPr>
          <w:cantSplit/>
          <w:trHeight w:val="1823"/>
        </w:trPr>
        <w:tc>
          <w:tcPr>
            <w:tcW w:w="4719" w:type="dxa"/>
            <w:tcBorders>
              <w:bottom w:val="nil"/>
            </w:tcBorders>
            <w:noWrap/>
            <w:tcMar>
              <w:top w:w="40" w:type="dxa"/>
              <w:left w:w="40" w:type="dxa"/>
              <w:bottom w:w="40" w:type="dxa"/>
              <w:right w:w="40" w:type="dxa"/>
            </w:tcMar>
          </w:tcPr>
          <w:p w14:paraId="75EE4E93" w14:textId="77777777" w:rsidR="007C2199" w:rsidRPr="0033405D" w:rsidRDefault="007C2199" w:rsidP="00FA5645">
            <w:pPr>
              <w:spacing w:before="120" w:after="120"/>
              <w:ind w:left="113" w:right="57"/>
              <w:rPr>
                <w:rFonts w:ascii="Arial" w:hAnsi="Arial" w:cs="Arial"/>
              </w:rPr>
            </w:pPr>
            <w:r>
              <w:rPr>
                <w:rFonts w:ascii="Arial" w:hAnsi="Arial"/>
                <w:sz w:val="22"/>
              </w:rPr>
              <w:lastRenderedPageBreak/>
              <w:t>(b) Appliquer les décisions du Comité concernant la limitation du nombre de dossiers traités chaque année par le Secrétariat afin de conserver suffisamment de ressources pour traiter les autres demandes des États parties en matière d</w:t>
            </w:r>
            <w:r w:rsidR="003C2B6A">
              <w:rPr>
                <w:rFonts w:ascii="Arial" w:hAnsi="Arial"/>
                <w:sz w:val="22"/>
              </w:rPr>
              <w:t>’</w:t>
            </w:r>
            <w:r>
              <w:rPr>
                <w:rFonts w:ascii="Arial" w:hAnsi="Arial"/>
                <w:sz w:val="22"/>
              </w:rPr>
              <w:t xml:space="preserve">assistance internationale, de renforcement des capacités ainsi que les questions transversales. </w:t>
            </w:r>
          </w:p>
        </w:tc>
        <w:tc>
          <w:tcPr>
            <w:tcW w:w="1985" w:type="dxa"/>
            <w:tcBorders>
              <w:bottom w:val="nil"/>
            </w:tcBorders>
            <w:noWrap/>
            <w:tcMar>
              <w:top w:w="40" w:type="dxa"/>
              <w:left w:w="40" w:type="dxa"/>
              <w:bottom w:w="40" w:type="dxa"/>
              <w:right w:w="40" w:type="dxa"/>
            </w:tcMar>
          </w:tcPr>
          <w:p w14:paraId="52496000" w14:textId="77777777" w:rsidR="007C2199" w:rsidRPr="0033405D" w:rsidRDefault="007C2199" w:rsidP="00FA5645">
            <w:pPr>
              <w:spacing w:before="120" w:after="120"/>
              <w:ind w:left="57"/>
              <w:rPr>
                <w:rFonts w:ascii="Arial" w:hAnsi="Arial" w:cs="Arial"/>
              </w:rPr>
            </w:pPr>
            <w:r>
              <w:rPr>
                <w:rFonts w:ascii="Arial" w:hAnsi="Arial"/>
                <w:sz w:val="22"/>
              </w:rPr>
              <w:t>En cours</w:t>
            </w:r>
          </w:p>
        </w:tc>
        <w:tc>
          <w:tcPr>
            <w:tcW w:w="7654" w:type="dxa"/>
            <w:gridSpan w:val="2"/>
            <w:tcBorders>
              <w:bottom w:val="nil"/>
            </w:tcBorders>
            <w:noWrap/>
            <w:tcMar>
              <w:top w:w="40" w:type="dxa"/>
              <w:left w:w="40" w:type="dxa"/>
              <w:bottom w:w="40" w:type="dxa"/>
              <w:right w:w="40" w:type="dxa"/>
            </w:tcMar>
          </w:tcPr>
          <w:p w14:paraId="63F4D0EA" w14:textId="77777777" w:rsidR="007C2199" w:rsidRPr="00C11A34" w:rsidRDefault="007C2199" w:rsidP="00BA3A07">
            <w:pPr>
              <w:pStyle w:val="ListParagraph"/>
              <w:numPr>
                <w:ilvl w:val="0"/>
                <w:numId w:val="11"/>
              </w:numPr>
              <w:spacing w:before="120" w:beforeAutospacing="0" w:after="120" w:afterAutospacing="0"/>
              <w:ind w:left="470" w:right="57" w:hanging="357"/>
              <w:rPr>
                <w:rFonts w:ascii="Arial" w:hAnsi="Arial" w:cs="Arial"/>
              </w:rPr>
            </w:pPr>
            <w:r>
              <w:rPr>
                <w:rFonts w:ascii="Arial" w:hAnsi="Arial"/>
                <w:sz w:val="22"/>
              </w:rPr>
              <w:t>Le Comité a prévu 50 dossiers par cycle pour les exercices 2016-2017 (</w:t>
            </w:r>
            <w:hyperlink r:id="rId58">
              <w:r>
                <w:rPr>
                  <w:rStyle w:val="Hyperlink"/>
                  <w:rFonts w:ascii="Arial" w:hAnsi="Arial"/>
                  <w:sz w:val="22"/>
                </w:rPr>
                <w:t>décision 9.COM 12</w:t>
              </w:r>
            </w:hyperlink>
            <w:r>
              <w:rPr>
                <w:rFonts w:ascii="Arial" w:hAnsi="Arial"/>
                <w:sz w:val="22"/>
              </w:rPr>
              <w:t>) et 2017-2018 (</w:t>
            </w:r>
            <w:hyperlink r:id="rId59">
              <w:r>
                <w:rPr>
                  <w:rStyle w:val="Hyperlink"/>
                  <w:rFonts w:ascii="Arial" w:hAnsi="Arial"/>
                  <w:sz w:val="22"/>
                </w:rPr>
                <w:t>décision 10.COM 13</w:t>
              </w:r>
            </w:hyperlink>
            <w:r>
              <w:rPr>
                <w:rFonts w:ascii="Arial" w:hAnsi="Arial"/>
                <w:sz w:val="22"/>
              </w:rPr>
              <w:t>).</w:t>
            </w:r>
          </w:p>
          <w:p w14:paraId="41FF96F2" w14:textId="77777777" w:rsidR="007C2199" w:rsidRPr="0033405D" w:rsidRDefault="007C2199" w:rsidP="00BA3A07">
            <w:pPr>
              <w:pStyle w:val="ListParagraph"/>
              <w:numPr>
                <w:ilvl w:val="0"/>
                <w:numId w:val="11"/>
              </w:numPr>
              <w:spacing w:before="120" w:beforeAutospacing="0" w:after="120" w:afterAutospacing="0"/>
              <w:ind w:left="470" w:right="57" w:hanging="357"/>
              <w:rPr>
                <w:rFonts w:ascii="Arial" w:hAnsi="Arial" w:cs="Arial"/>
              </w:rPr>
            </w:pPr>
            <w:r>
              <w:rPr>
                <w:rFonts w:ascii="Arial" w:hAnsi="Arial"/>
                <w:sz w:val="22"/>
              </w:rPr>
              <w:t>Il n</w:t>
            </w:r>
            <w:r w:rsidR="003C2B6A">
              <w:rPr>
                <w:rFonts w:ascii="Arial" w:hAnsi="Arial"/>
                <w:sz w:val="22"/>
              </w:rPr>
              <w:t>’</w:t>
            </w:r>
            <w:r>
              <w:rPr>
                <w:rFonts w:ascii="Arial" w:hAnsi="Arial"/>
                <w:sz w:val="22"/>
              </w:rPr>
              <w:t>y a pas eu de point sur l</w:t>
            </w:r>
            <w:r w:rsidR="003C2B6A">
              <w:rPr>
                <w:rFonts w:ascii="Arial" w:hAnsi="Arial"/>
                <w:sz w:val="22"/>
              </w:rPr>
              <w:t>’</w:t>
            </w:r>
            <w:r>
              <w:rPr>
                <w:rFonts w:ascii="Arial" w:hAnsi="Arial"/>
                <w:sz w:val="22"/>
              </w:rPr>
              <w:t>accréditation des organisations non gouvernementales à l</w:t>
            </w:r>
            <w:r w:rsidR="003C2B6A">
              <w:rPr>
                <w:rFonts w:ascii="Arial" w:hAnsi="Arial"/>
                <w:sz w:val="22"/>
              </w:rPr>
              <w:t>’</w:t>
            </w:r>
            <w:r>
              <w:rPr>
                <w:rFonts w:ascii="Arial" w:hAnsi="Arial"/>
                <w:sz w:val="22"/>
              </w:rPr>
              <w:t>ordre du jour de la neuvième session du Comité, mais le Comité l</w:t>
            </w:r>
            <w:r w:rsidR="003C2B6A">
              <w:rPr>
                <w:rFonts w:ascii="Arial" w:hAnsi="Arial"/>
                <w:sz w:val="22"/>
              </w:rPr>
              <w:t>’</w:t>
            </w:r>
            <w:r>
              <w:rPr>
                <w:rFonts w:ascii="Arial" w:hAnsi="Arial"/>
                <w:sz w:val="22"/>
              </w:rPr>
              <w:t>a examiné lors de sa dixième session. Ce point sera désormais examiné tous les deux ans.</w:t>
            </w:r>
          </w:p>
        </w:tc>
      </w:tr>
      <w:tr w:rsidR="007C2199" w:rsidRPr="00CC11E8" w14:paraId="3B620DF7" w14:textId="77777777" w:rsidTr="00FA5645">
        <w:trPr>
          <w:cantSplit/>
        </w:trPr>
        <w:tc>
          <w:tcPr>
            <w:tcW w:w="4719" w:type="dxa"/>
            <w:tcBorders>
              <w:top w:val="nil"/>
            </w:tcBorders>
            <w:noWrap/>
            <w:tcMar>
              <w:top w:w="40" w:type="dxa"/>
              <w:left w:w="40" w:type="dxa"/>
              <w:bottom w:w="40" w:type="dxa"/>
              <w:right w:w="40" w:type="dxa"/>
            </w:tcMar>
          </w:tcPr>
          <w:p w14:paraId="332A5341" w14:textId="77777777" w:rsidR="007C2199" w:rsidRPr="0033405D" w:rsidRDefault="007C2199" w:rsidP="00FA5645">
            <w:pPr>
              <w:spacing w:before="120" w:after="120"/>
              <w:ind w:left="113" w:right="57"/>
              <w:rPr>
                <w:rFonts w:ascii="Arial" w:hAnsi="Arial" w:cs="Arial"/>
              </w:rPr>
            </w:pPr>
            <w:r>
              <w:rPr>
                <w:rFonts w:ascii="Arial" w:hAnsi="Arial"/>
                <w:sz w:val="22"/>
              </w:rPr>
              <w:t>Développer des mécanismes et outils afin de faciliter et harmoniser le soutien fourni par le Secrétariat aux États parties.</w:t>
            </w:r>
          </w:p>
        </w:tc>
        <w:tc>
          <w:tcPr>
            <w:tcW w:w="1985" w:type="dxa"/>
            <w:tcBorders>
              <w:top w:val="nil"/>
            </w:tcBorders>
            <w:noWrap/>
            <w:tcMar>
              <w:top w:w="40" w:type="dxa"/>
              <w:left w:w="40" w:type="dxa"/>
              <w:bottom w:w="40" w:type="dxa"/>
              <w:right w:w="40" w:type="dxa"/>
            </w:tcMar>
          </w:tcPr>
          <w:p w14:paraId="79C8A5DF" w14:textId="77777777" w:rsidR="007C2199" w:rsidRPr="0033405D" w:rsidRDefault="007C2199" w:rsidP="00FA5645">
            <w:pPr>
              <w:spacing w:before="120" w:after="120"/>
              <w:ind w:left="57"/>
              <w:rPr>
                <w:rFonts w:ascii="Arial" w:hAnsi="Arial" w:cs="Arial"/>
              </w:rPr>
            </w:pPr>
            <w:r>
              <w:rPr>
                <w:rFonts w:ascii="Arial" w:hAnsi="Arial"/>
                <w:sz w:val="22"/>
              </w:rPr>
              <w:t>En cours</w:t>
            </w:r>
          </w:p>
        </w:tc>
        <w:tc>
          <w:tcPr>
            <w:tcW w:w="7654" w:type="dxa"/>
            <w:gridSpan w:val="2"/>
            <w:tcBorders>
              <w:top w:val="nil"/>
            </w:tcBorders>
            <w:noWrap/>
            <w:tcMar>
              <w:top w:w="40" w:type="dxa"/>
              <w:left w:w="40" w:type="dxa"/>
              <w:bottom w:w="40" w:type="dxa"/>
              <w:right w:w="40" w:type="dxa"/>
            </w:tcMar>
          </w:tcPr>
          <w:p w14:paraId="2190643C" w14:textId="77777777" w:rsidR="007C2199" w:rsidRPr="0033405D" w:rsidRDefault="007C2199" w:rsidP="00BA3A07">
            <w:pPr>
              <w:pStyle w:val="ListParagraph"/>
              <w:numPr>
                <w:ilvl w:val="0"/>
                <w:numId w:val="11"/>
              </w:numPr>
              <w:spacing w:before="120" w:beforeAutospacing="0" w:after="120" w:afterAutospacing="0"/>
              <w:ind w:left="470" w:right="57" w:hanging="357"/>
              <w:contextualSpacing/>
              <w:rPr>
                <w:rFonts w:ascii="Arial" w:hAnsi="Arial" w:cs="Arial"/>
              </w:rPr>
            </w:pPr>
            <w:r>
              <w:rPr>
                <w:rFonts w:ascii="Arial" w:hAnsi="Arial"/>
                <w:sz w:val="22"/>
              </w:rPr>
              <w:t>À titre expérimental, l</w:t>
            </w:r>
            <w:r w:rsidR="003C2B6A">
              <w:rPr>
                <w:rFonts w:ascii="Arial" w:hAnsi="Arial"/>
                <w:sz w:val="22"/>
              </w:rPr>
              <w:t>’</w:t>
            </w:r>
            <w:r>
              <w:rPr>
                <w:rFonts w:ascii="Arial" w:hAnsi="Arial"/>
                <w:sz w:val="22"/>
              </w:rPr>
              <w:t>assistance technique aux États parties souhaitant élaborer une demande d</w:t>
            </w:r>
            <w:r w:rsidR="003C2B6A">
              <w:rPr>
                <w:rFonts w:ascii="Arial" w:hAnsi="Arial"/>
                <w:sz w:val="22"/>
              </w:rPr>
              <w:t>’</w:t>
            </w:r>
            <w:r>
              <w:rPr>
                <w:rFonts w:ascii="Arial" w:hAnsi="Arial"/>
                <w:sz w:val="22"/>
              </w:rPr>
              <w:t>assistance internationale a été introduite (</w:t>
            </w:r>
            <w:hyperlink r:id="rId60">
              <w:r>
                <w:rPr>
                  <w:rStyle w:val="Hyperlink"/>
                  <w:rFonts w:ascii="Arial" w:hAnsi="Arial"/>
                  <w:sz w:val="22"/>
                </w:rPr>
                <w:t>décision 8.COM 7.c</w:t>
              </w:r>
            </w:hyperlink>
            <w:r>
              <w:rPr>
                <w:rFonts w:ascii="Arial" w:hAnsi="Arial"/>
                <w:sz w:val="22"/>
              </w:rPr>
              <w:t>).</w:t>
            </w:r>
          </w:p>
        </w:tc>
      </w:tr>
      <w:tr w:rsidR="007C2199" w:rsidRPr="00CC11E8" w14:paraId="527D88E5" w14:textId="77777777" w:rsidTr="00FD3694">
        <w:tc>
          <w:tcPr>
            <w:tcW w:w="4719" w:type="dxa"/>
            <w:noWrap/>
            <w:tcMar>
              <w:top w:w="40" w:type="dxa"/>
              <w:left w:w="40" w:type="dxa"/>
              <w:bottom w:w="40" w:type="dxa"/>
              <w:right w:w="40" w:type="dxa"/>
            </w:tcMar>
          </w:tcPr>
          <w:p w14:paraId="3BBE911A" w14:textId="77777777" w:rsidR="007C2199" w:rsidRPr="0033405D" w:rsidRDefault="007C2199" w:rsidP="00FA5645">
            <w:pPr>
              <w:spacing w:before="120" w:after="120"/>
              <w:ind w:left="113" w:right="57"/>
              <w:rPr>
                <w:rFonts w:ascii="Arial" w:hAnsi="Arial" w:cs="Arial"/>
              </w:rPr>
            </w:pPr>
            <w:r>
              <w:rPr>
                <w:rFonts w:ascii="Arial" w:hAnsi="Arial"/>
                <w:sz w:val="22"/>
              </w:rPr>
              <w:t>(c) Réduire le calendrier des sessions du Comité.</w:t>
            </w:r>
          </w:p>
        </w:tc>
        <w:tc>
          <w:tcPr>
            <w:tcW w:w="1985" w:type="dxa"/>
            <w:noWrap/>
            <w:tcMar>
              <w:top w:w="40" w:type="dxa"/>
              <w:left w:w="40" w:type="dxa"/>
              <w:bottom w:w="40" w:type="dxa"/>
              <w:right w:w="40" w:type="dxa"/>
            </w:tcMar>
          </w:tcPr>
          <w:p w14:paraId="18D15A28" w14:textId="77777777" w:rsidR="007C2199" w:rsidRPr="0033405D" w:rsidRDefault="007C2199" w:rsidP="00FA5645">
            <w:pPr>
              <w:spacing w:before="120" w:after="120"/>
              <w:ind w:left="57"/>
              <w:rPr>
                <w:rFonts w:ascii="Arial" w:hAnsi="Arial" w:cs="Arial"/>
              </w:rPr>
            </w:pPr>
            <w:r>
              <w:rPr>
                <w:rFonts w:ascii="Arial" w:hAnsi="Arial"/>
                <w:sz w:val="22"/>
              </w:rPr>
              <w:t>En cours</w:t>
            </w:r>
          </w:p>
        </w:tc>
        <w:tc>
          <w:tcPr>
            <w:tcW w:w="7654" w:type="dxa"/>
            <w:gridSpan w:val="2"/>
            <w:noWrap/>
            <w:tcMar>
              <w:top w:w="40" w:type="dxa"/>
              <w:left w:w="40" w:type="dxa"/>
              <w:bottom w:w="40" w:type="dxa"/>
              <w:right w:w="40" w:type="dxa"/>
            </w:tcMar>
          </w:tcPr>
          <w:p w14:paraId="327C5D7D" w14:textId="77777777" w:rsidR="007C2199" w:rsidRPr="0033405D" w:rsidRDefault="007C2199" w:rsidP="00BA3A07">
            <w:pPr>
              <w:pStyle w:val="ListParagraph"/>
              <w:numPr>
                <w:ilvl w:val="0"/>
                <w:numId w:val="11"/>
              </w:numPr>
              <w:spacing w:before="120" w:beforeAutospacing="0" w:after="120" w:afterAutospacing="0"/>
              <w:ind w:left="470" w:right="57" w:hanging="357"/>
              <w:rPr>
                <w:rFonts w:ascii="Arial" w:hAnsi="Arial" w:cs="Arial"/>
              </w:rPr>
            </w:pPr>
            <w:r>
              <w:rPr>
                <w:rFonts w:ascii="Arial" w:hAnsi="Arial"/>
                <w:sz w:val="22"/>
              </w:rPr>
              <w:t xml:space="preserve">Le Comité, lors de sa neuvième session, par sa </w:t>
            </w:r>
            <w:hyperlink r:id="rId61">
              <w:r>
                <w:rPr>
                  <w:rStyle w:val="Hyperlink"/>
                  <w:rFonts w:ascii="Arial" w:hAnsi="Arial"/>
                  <w:sz w:val="22"/>
                </w:rPr>
                <w:t>décision 9.COM 13.g</w:t>
              </w:r>
            </w:hyperlink>
            <w:r>
              <w:rPr>
                <w:rFonts w:ascii="Arial" w:hAnsi="Arial"/>
                <w:sz w:val="22"/>
              </w:rPr>
              <w:t>, a encouragé le Secrétariat à intensifier ses efforts quant à la coordination de réunions des États parties pour les différentes conventions, en veillant plus particulièrement à les programmer bien à l</w:t>
            </w:r>
            <w:r w:rsidR="003C2B6A">
              <w:rPr>
                <w:rFonts w:ascii="Arial" w:hAnsi="Arial"/>
                <w:sz w:val="22"/>
              </w:rPr>
              <w:t>’</w:t>
            </w:r>
            <w:r>
              <w:rPr>
                <w:rFonts w:ascii="Arial" w:hAnsi="Arial"/>
                <w:sz w:val="22"/>
              </w:rPr>
              <w:t>avance et en laissant suffisamment de temps entre elles, contrairement aux recommandations du Commissaire aux comptes.</w:t>
            </w:r>
          </w:p>
          <w:p w14:paraId="681B5DA6" w14:textId="77777777" w:rsidR="007C2199" w:rsidRPr="0053397A" w:rsidRDefault="007C2199" w:rsidP="00BA3A07">
            <w:pPr>
              <w:pStyle w:val="ListParagraph"/>
              <w:numPr>
                <w:ilvl w:val="0"/>
                <w:numId w:val="11"/>
              </w:numPr>
              <w:spacing w:before="120" w:beforeAutospacing="0" w:after="120" w:afterAutospacing="0"/>
              <w:ind w:left="470" w:right="57" w:hanging="357"/>
              <w:rPr>
                <w:rFonts w:ascii="Arial" w:hAnsi="Arial" w:cs="Arial"/>
              </w:rPr>
            </w:pPr>
            <w:r>
              <w:rPr>
                <w:rFonts w:ascii="Arial" w:hAnsi="Arial"/>
                <w:sz w:val="22"/>
              </w:rPr>
              <w:t xml:space="preserve">Les neuvième et dixième sessions du Comité ont duré 5 jours </w:t>
            </w:r>
            <w:r w:rsidR="004A1734">
              <w:rPr>
                <w:rFonts w:ascii="Arial" w:hAnsi="Arial"/>
                <w:sz w:val="22"/>
              </w:rPr>
              <w:t xml:space="preserve">(soit un jour de moins que </w:t>
            </w:r>
            <w:r>
              <w:rPr>
                <w:rFonts w:ascii="Arial" w:hAnsi="Arial"/>
                <w:sz w:val="22"/>
              </w:rPr>
              <w:t>la huitième session</w:t>
            </w:r>
            <w:r w:rsidR="004A1734">
              <w:rPr>
                <w:rFonts w:ascii="Arial" w:hAnsi="Arial"/>
                <w:sz w:val="22"/>
              </w:rPr>
              <w:t>)</w:t>
            </w:r>
            <w:r>
              <w:rPr>
                <w:rFonts w:ascii="Arial" w:hAnsi="Arial"/>
                <w:sz w:val="22"/>
              </w:rPr>
              <w:t>.</w:t>
            </w:r>
          </w:p>
          <w:p w14:paraId="7CE48FF4" w14:textId="77777777" w:rsidR="007C2199" w:rsidRPr="0053397A" w:rsidRDefault="007C2199" w:rsidP="00BA3A07">
            <w:pPr>
              <w:pStyle w:val="ListParagraph"/>
              <w:numPr>
                <w:ilvl w:val="0"/>
                <w:numId w:val="11"/>
              </w:numPr>
              <w:spacing w:before="120" w:beforeAutospacing="0" w:after="120" w:afterAutospacing="0"/>
              <w:ind w:left="470" w:right="57" w:hanging="357"/>
              <w:rPr>
                <w:rFonts w:ascii="Arial" w:hAnsi="Arial" w:cs="Arial"/>
              </w:rPr>
            </w:pPr>
            <w:r>
              <w:rPr>
                <w:rFonts w:ascii="Arial" w:hAnsi="Arial"/>
                <w:sz w:val="22"/>
              </w:rPr>
              <w:t>La sixième session de l</w:t>
            </w:r>
            <w:r w:rsidR="003C2B6A">
              <w:rPr>
                <w:rFonts w:ascii="Arial" w:hAnsi="Arial"/>
                <w:sz w:val="22"/>
              </w:rPr>
              <w:t>’</w:t>
            </w:r>
            <w:r>
              <w:rPr>
                <w:rFonts w:ascii="Arial" w:hAnsi="Arial"/>
                <w:sz w:val="22"/>
              </w:rPr>
              <w:t>Assemblée générale a duré trois jours</w:t>
            </w:r>
            <w:r w:rsidR="004A1734">
              <w:rPr>
                <w:rFonts w:ascii="Arial" w:hAnsi="Arial"/>
                <w:sz w:val="22"/>
              </w:rPr>
              <w:t xml:space="preserve"> (</w:t>
            </w:r>
            <w:r>
              <w:rPr>
                <w:rFonts w:ascii="Arial" w:hAnsi="Arial"/>
                <w:sz w:val="22"/>
              </w:rPr>
              <w:t>soit un jour de moins que la cinquième session et deux jours de moins que la quatrième session</w:t>
            </w:r>
            <w:r w:rsidR="004A1734">
              <w:rPr>
                <w:rFonts w:ascii="Arial" w:hAnsi="Arial"/>
                <w:sz w:val="22"/>
              </w:rPr>
              <w:t>)</w:t>
            </w:r>
            <w:r>
              <w:rPr>
                <w:rFonts w:ascii="Arial" w:hAnsi="Arial"/>
                <w:sz w:val="22"/>
              </w:rPr>
              <w:t>.</w:t>
            </w:r>
          </w:p>
          <w:p w14:paraId="67737DFF" w14:textId="77777777" w:rsidR="007C2199" w:rsidRPr="00633FD7" w:rsidRDefault="007C2199" w:rsidP="00BA3A07">
            <w:pPr>
              <w:pStyle w:val="ListParagraph"/>
              <w:numPr>
                <w:ilvl w:val="0"/>
                <w:numId w:val="11"/>
              </w:numPr>
              <w:spacing w:before="120" w:beforeAutospacing="0" w:after="120" w:afterAutospacing="0"/>
              <w:ind w:left="470" w:right="57" w:hanging="357"/>
              <w:rPr>
                <w:b/>
                <w:bCs/>
              </w:rPr>
            </w:pPr>
            <w:r>
              <w:rPr>
                <w:rFonts w:ascii="Arial" w:hAnsi="Arial"/>
                <w:sz w:val="22"/>
              </w:rPr>
              <w:t>À l</w:t>
            </w:r>
            <w:r w:rsidR="003C2B6A">
              <w:rPr>
                <w:rFonts w:ascii="Arial" w:hAnsi="Arial"/>
                <w:sz w:val="22"/>
              </w:rPr>
              <w:t>’</w:t>
            </w:r>
            <w:r>
              <w:rPr>
                <w:rFonts w:ascii="Arial" w:hAnsi="Arial"/>
                <w:sz w:val="22"/>
              </w:rPr>
              <w:t xml:space="preserve">occasion de sa </w:t>
            </w:r>
            <w:r w:rsidR="004A1734">
              <w:rPr>
                <w:rFonts w:ascii="Arial" w:hAnsi="Arial"/>
                <w:sz w:val="22"/>
              </w:rPr>
              <w:t xml:space="preserve">sixième </w:t>
            </w:r>
            <w:r>
              <w:rPr>
                <w:rFonts w:ascii="Arial" w:hAnsi="Arial"/>
                <w:sz w:val="22"/>
              </w:rPr>
              <w:t>session, l</w:t>
            </w:r>
            <w:r w:rsidR="003C2B6A">
              <w:rPr>
                <w:rFonts w:ascii="Arial" w:hAnsi="Arial"/>
                <w:sz w:val="22"/>
              </w:rPr>
              <w:t>’</w:t>
            </w:r>
            <w:r>
              <w:rPr>
                <w:rFonts w:ascii="Arial" w:hAnsi="Arial"/>
                <w:sz w:val="22"/>
              </w:rPr>
              <w:t>Assemblée générale a révisé les Directives opérationnelles concernant le calendrier d</w:t>
            </w:r>
            <w:r w:rsidR="003C2B6A">
              <w:rPr>
                <w:rFonts w:ascii="Arial" w:hAnsi="Arial"/>
                <w:sz w:val="22"/>
              </w:rPr>
              <w:t>’</w:t>
            </w:r>
            <w:r>
              <w:rPr>
                <w:rFonts w:ascii="Arial" w:hAnsi="Arial"/>
                <w:sz w:val="22"/>
              </w:rPr>
              <w:t>accréditation des organisations non gouvernementales. Suite à ces révisions, les demandes seront reçues par le Secrétariat et examinées par le Comité les années impaires et non plus tous les ans (</w:t>
            </w:r>
            <w:hyperlink r:id="rId62">
              <w:r>
                <w:rPr>
                  <w:rStyle w:val="Hyperlink"/>
                  <w:rFonts w:ascii="Arial" w:hAnsi="Arial"/>
                  <w:sz w:val="22"/>
                </w:rPr>
                <w:t>résolution 6.GA 7</w:t>
              </w:r>
            </w:hyperlink>
            <w:r>
              <w:rPr>
                <w:rFonts w:ascii="Arial" w:hAnsi="Arial"/>
                <w:sz w:val="22"/>
              </w:rPr>
              <w:t>).</w:t>
            </w:r>
          </w:p>
          <w:p w14:paraId="54B5914D" w14:textId="77777777" w:rsidR="007C2199" w:rsidRPr="00633FD7" w:rsidRDefault="007C2199" w:rsidP="00BA3A07">
            <w:pPr>
              <w:pStyle w:val="ListParagraph"/>
              <w:numPr>
                <w:ilvl w:val="0"/>
                <w:numId w:val="11"/>
              </w:numPr>
              <w:spacing w:before="120" w:beforeAutospacing="0" w:after="120" w:afterAutospacing="0"/>
              <w:ind w:left="470" w:right="57" w:hanging="357"/>
              <w:rPr>
                <w:b/>
                <w:bCs/>
              </w:rPr>
            </w:pPr>
            <w:r>
              <w:rPr>
                <w:rFonts w:ascii="Arial" w:hAnsi="Arial"/>
                <w:sz w:val="22"/>
              </w:rPr>
              <w:t>Par ailleurs, pour garder du temps pour les autres points à l</w:t>
            </w:r>
            <w:r w:rsidR="003C2B6A">
              <w:rPr>
                <w:rFonts w:ascii="Arial" w:hAnsi="Arial"/>
                <w:sz w:val="22"/>
              </w:rPr>
              <w:t>’</w:t>
            </w:r>
            <w:r>
              <w:rPr>
                <w:rFonts w:ascii="Arial" w:hAnsi="Arial"/>
                <w:sz w:val="22"/>
              </w:rPr>
              <w:t>ordre du jour, le Comité délègue à son Bureau un certain nombre de décisions telles que l</w:t>
            </w:r>
            <w:r w:rsidR="003C2B6A">
              <w:rPr>
                <w:rFonts w:ascii="Arial" w:hAnsi="Arial"/>
                <w:sz w:val="22"/>
              </w:rPr>
              <w:t>’</w:t>
            </w:r>
            <w:r>
              <w:rPr>
                <w:rFonts w:ascii="Arial" w:hAnsi="Arial"/>
                <w:sz w:val="22"/>
              </w:rPr>
              <w:t>approbation des demandes d</w:t>
            </w:r>
            <w:r w:rsidR="003C2B6A">
              <w:rPr>
                <w:rFonts w:ascii="Arial" w:hAnsi="Arial"/>
                <w:sz w:val="22"/>
              </w:rPr>
              <w:t>’</w:t>
            </w:r>
            <w:r>
              <w:rPr>
                <w:rFonts w:ascii="Arial" w:hAnsi="Arial"/>
                <w:sz w:val="22"/>
              </w:rPr>
              <w:t>assistance internationale jusqu</w:t>
            </w:r>
            <w:r w:rsidR="003C2B6A">
              <w:rPr>
                <w:rFonts w:ascii="Arial" w:hAnsi="Arial"/>
                <w:sz w:val="22"/>
              </w:rPr>
              <w:t>’</w:t>
            </w:r>
            <w:r>
              <w:rPr>
                <w:rFonts w:ascii="Arial" w:hAnsi="Arial"/>
                <w:sz w:val="22"/>
              </w:rPr>
              <w:t>à 100 000 dollars des États-Unis et l</w:t>
            </w:r>
            <w:r w:rsidR="003C2B6A">
              <w:rPr>
                <w:rFonts w:ascii="Arial" w:hAnsi="Arial"/>
                <w:sz w:val="22"/>
              </w:rPr>
              <w:t>’</w:t>
            </w:r>
            <w:r>
              <w:rPr>
                <w:rFonts w:ascii="Arial" w:hAnsi="Arial"/>
                <w:sz w:val="22"/>
              </w:rPr>
              <w:t>utilisation de 20 % des ressources du Fonds du patrimoine culturel immatériel pour les « autres fonctions du Comité ».</w:t>
            </w:r>
          </w:p>
          <w:p w14:paraId="549425DE" w14:textId="77777777" w:rsidR="007C2199" w:rsidRPr="0033405D" w:rsidRDefault="007C2199" w:rsidP="00BA3A07">
            <w:pPr>
              <w:pStyle w:val="ListParagraph"/>
              <w:keepNext/>
              <w:numPr>
                <w:ilvl w:val="0"/>
                <w:numId w:val="11"/>
              </w:numPr>
              <w:spacing w:before="120" w:beforeAutospacing="0" w:after="120" w:afterAutospacing="0"/>
              <w:ind w:left="470" w:right="57" w:hanging="357"/>
              <w:contextualSpacing/>
              <w:outlineLvl w:val="1"/>
              <w:rPr>
                <w:rFonts w:ascii="Arial" w:hAnsi="Arial" w:cs="Arial"/>
              </w:rPr>
            </w:pPr>
            <w:r>
              <w:rPr>
                <w:rFonts w:ascii="Arial" w:hAnsi="Arial"/>
                <w:sz w:val="22"/>
              </w:rPr>
              <w:lastRenderedPageBreak/>
              <w:t>À l</w:t>
            </w:r>
            <w:r w:rsidR="003C2B6A">
              <w:rPr>
                <w:rFonts w:ascii="Arial" w:hAnsi="Arial"/>
                <w:sz w:val="22"/>
              </w:rPr>
              <w:t>’</w:t>
            </w:r>
            <w:r>
              <w:rPr>
                <w:rFonts w:ascii="Arial" w:hAnsi="Arial"/>
                <w:sz w:val="22"/>
              </w:rPr>
              <w:t>occasion de sa dixième session, le Comité a adopté une nouvelle méthode de travail permettant d</w:t>
            </w:r>
            <w:r w:rsidR="003C2B6A">
              <w:rPr>
                <w:rFonts w:ascii="Arial" w:hAnsi="Arial"/>
                <w:sz w:val="22"/>
              </w:rPr>
              <w:t>’</w:t>
            </w:r>
            <w:r>
              <w:rPr>
                <w:rFonts w:ascii="Arial" w:hAnsi="Arial"/>
                <w:sz w:val="22"/>
              </w:rPr>
              <w:t>adopter l</w:t>
            </w:r>
            <w:r w:rsidR="003C2B6A">
              <w:rPr>
                <w:rFonts w:ascii="Arial" w:hAnsi="Arial"/>
                <w:sz w:val="22"/>
              </w:rPr>
              <w:t>’</w:t>
            </w:r>
            <w:r>
              <w:rPr>
                <w:rFonts w:ascii="Arial" w:hAnsi="Arial"/>
                <w:sz w:val="22"/>
              </w:rPr>
              <w:t>ensemble des décisions relatives aux candidatures, propositions et demandes sans débat, suivant la recommandation de l</w:t>
            </w:r>
            <w:r w:rsidR="003C2B6A">
              <w:rPr>
                <w:rFonts w:ascii="Arial" w:hAnsi="Arial"/>
                <w:sz w:val="22"/>
              </w:rPr>
              <w:t>’</w:t>
            </w:r>
            <w:r>
              <w:rPr>
                <w:rFonts w:ascii="Arial" w:hAnsi="Arial"/>
                <w:sz w:val="22"/>
              </w:rPr>
              <w:t>Organe d</w:t>
            </w:r>
            <w:r w:rsidR="003C2B6A">
              <w:rPr>
                <w:rFonts w:ascii="Arial" w:hAnsi="Arial"/>
                <w:sz w:val="22"/>
              </w:rPr>
              <w:t>’</w:t>
            </w:r>
            <w:r>
              <w:rPr>
                <w:rFonts w:ascii="Arial" w:hAnsi="Arial"/>
                <w:sz w:val="22"/>
              </w:rPr>
              <w:t>évaluation, et non paragraphe par paragraphe, sauf pour les décisions pour lesquelles un membre du Comité demande spécifiquement un débat.</w:t>
            </w:r>
          </w:p>
        </w:tc>
      </w:tr>
      <w:tr w:rsidR="007C2199" w:rsidRPr="00CC11E8" w14:paraId="51C897F6" w14:textId="77777777" w:rsidTr="00FA5645">
        <w:trPr>
          <w:cantSplit/>
        </w:trPr>
        <w:tc>
          <w:tcPr>
            <w:tcW w:w="4719" w:type="dxa"/>
            <w:noWrap/>
            <w:tcMar>
              <w:top w:w="40" w:type="dxa"/>
              <w:left w:w="40" w:type="dxa"/>
              <w:bottom w:w="40" w:type="dxa"/>
              <w:right w:w="40" w:type="dxa"/>
            </w:tcMar>
          </w:tcPr>
          <w:p w14:paraId="34F98B77" w14:textId="77777777" w:rsidR="007C2199" w:rsidRPr="0033405D" w:rsidRDefault="007C2199" w:rsidP="00FA5645">
            <w:pPr>
              <w:spacing w:before="120" w:after="120"/>
              <w:ind w:left="113" w:right="57"/>
              <w:rPr>
                <w:rFonts w:ascii="Arial" w:hAnsi="Arial" w:cs="Arial"/>
              </w:rPr>
            </w:pPr>
            <w:r>
              <w:rPr>
                <w:rFonts w:ascii="Arial" w:hAnsi="Arial"/>
                <w:sz w:val="22"/>
              </w:rPr>
              <w:lastRenderedPageBreak/>
              <w:t>(d) Rappeler aux États que davantage de langues seront proposées seulement si un financement extrabudgétaire est accordé.</w:t>
            </w:r>
          </w:p>
        </w:tc>
        <w:tc>
          <w:tcPr>
            <w:tcW w:w="1985" w:type="dxa"/>
            <w:noWrap/>
            <w:tcMar>
              <w:top w:w="40" w:type="dxa"/>
              <w:left w:w="40" w:type="dxa"/>
              <w:bottom w:w="40" w:type="dxa"/>
              <w:right w:w="40" w:type="dxa"/>
            </w:tcMar>
          </w:tcPr>
          <w:p w14:paraId="646818A3" w14:textId="77777777" w:rsidR="007C2199" w:rsidRPr="0033405D" w:rsidRDefault="007C2199" w:rsidP="00FA5645">
            <w:pPr>
              <w:spacing w:before="120" w:after="120"/>
              <w:ind w:left="57"/>
              <w:rPr>
                <w:rFonts w:ascii="Arial" w:hAnsi="Arial" w:cs="Arial"/>
              </w:rPr>
            </w:pPr>
            <w:r>
              <w:rPr>
                <w:rFonts w:ascii="Arial" w:hAnsi="Arial"/>
                <w:sz w:val="22"/>
              </w:rPr>
              <w:t>En cours</w:t>
            </w:r>
          </w:p>
        </w:tc>
        <w:tc>
          <w:tcPr>
            <w:tcW w:w="7654" w:type="dxa"/>
            <w:gridSpan w:val="2"/>
            <w:noWrap/>
            <w:tcMar>
              <w:top w:w="40" w:type="dxa"/>
              <w:left w:w="40" w:type="dxa"/>
              <w:bottom w:w="40" w:type="dxa"/>
              <w:right w:w="40" w:type="dxa"/>
            </w:tcMar>
          </w:tcPr>
          <w:p w14:paraId="08861F34" w14:textId="77777777" w:rsidR="007C2199" w:rsidRPr="0033405D" w:rsidRDefault="007C2199" w:rsidP="00BA3A07">
            <w:pPr>
              <w:pStyle w:val="ListParagraph"/>
              <w:numPr>
                <w:ilvl w:val="0"/>
                <w:numId w:val="11"/>
              </w:numPr>
              <w:spacing w:before="120" w:beforeAutospacing="0" w:after="120" w:afterAutospacing="0"/>
              <w:ind w:left="470" w:right="57" w:hanging="357"/>
              <w:rPr>
                <w:rFonts w:ascii="Arial" w:hAnsi="Arial" w:cs="Arial"/>
                <w:b/>
                <w:u w:val="single"/>
              </w:rPr>
            </w:pPr>
            <w:r>
              <w:rPr>
                <w:rFonts w:ascii="Arial" w:hAnsi="Arial"/>
                <w:sz w:val="22"/>
              </w:rPr>
              <w:t xml:space="preserve">Il a été rappelé aux États arabophones et hispanophones avant </w:t>
            </w:r>
            <w:proofErr w:type="gramStart"/>
            <w:r>
              <w:rPr>
                <w:rFonts w:ascii="Arial" w:hAnsi="Arial"/>
                <w:sz w:val="22"/>
              </w:rPr>
              <w:t>les neuvième</w:t>
            </w:r>
            <w:proofErr w:type="gramEnd"/>
            <w:r>
              <w:rPr>
                <w:rFonts w:ascii="Arial" w:hAnsi="Arial"/>
                <w:sz w:val="22"/>
              </w:rPr>
              <w:t xml:space="preserve"> et dixième sessions du Comité que des interprétations dans des langues additionnelles seraient proposées si un financement extrabudgétaire était accordé.</w:t>
            </w:r>
          </w:p>
          <w:p w14:paraId="1C67B648" w14:textId="77777777" w:rsidR="007C2199" w:rsidRPr="0033405D" w:rsidRDefault="007C2199" w:rsidP="00BA3A07">
            <w:pPr>
              <w:pStyle w:val="ListParagraph"/>
              <w:numPr>
                <w:ilvl w:val="0"/>
                <w:numId w:val="11"/>
              </w:numPr>
              <w:spacing w:before="120" w:beforeAutospacing="0" w:after="120" w:afterAutospacing="0"/>
              <w:ind w:left="470" w:right="57" w:hanging="357"/>
              <w:contextualSpacing/>
              <w:rPr>
                <w:rFonts w:ascii="Arial" w:hAnsi="Arial" w:cs="Arial"/>
                <w:b/>
                <w:u w:val="single"/>
              </w:rPr>
            </w:pPr>
            <w:r>
              <w:rPr>
                <w:rFonts w:ascii="Arial" w:hAnsi="Arial"/>
                <w:sz w:val="22"/>
              </w:rPr>
              <w:t>L</w:t>
            </w:r>
            <w:r w:rsidR="003C2B6A">
              <w:rPr>
                <w:rFonts w:ascii="Arial" w:hAnsi="Arial"/>
                <w:sz w:val="22"/>
              </w:rPr>
              <w:t>’</w:t>
            </w:r>
            <w:r>
              <w:rPr>
                <w:rFonts w:ascii="Arial" w:hAnsi="Arial"/>
                <w:sz w:val="22"/>
              </w:rPr>
              <w:t>Arabie Saoudite a généreusement financé l</w:t>
            </w:r>
            <w:r w:rsidR="003C2B6A">
              <w:rPr>
                <w:rFonts w:ascii="Arial" w:hAnsi="Arial"/>
                <w:sz w:val="22"/>
              </w:rPr>
              <w:t>’</w:t>
            </w:r>
            <w:r>
              <w:rPr>
                <w:rFonts w:ascii="Arial" w:hAnsi="Arial"/>
                <w:sz w:val="22"/>
              </w:rPr>
              <w:t>interprétation en arabe de la neuvième session du Comité.</w:t>
            </w:r>
          </w:p>
        </w:tc>
      </w:tr>
      <w:tr w:rsidR="007C2199" w:rsidRPr="00CC11E8" w14:paraId="74E83390" w14:textId="77777777" w:rsidTr="00FA5645">
        <w:trPr>
          <w:cantSplit/>
        </w:trPr>
        <w:tc>
          <w:tcPr>
            <w:tcW w:w="4719" w:type="dxa"/>
            <w:shd w:val="clear" w:color="auto" w:fill="FFFFFF"/>
            <w:noWrap/>
            <w:tcMar>
              <w:top w:w="40" w:type="dxa"/>
              <w:left w:w="40" w:type="dxa"/>
              <w:bottom w:w="40" w:type="dxa"/>
              <w:right w:w="40" w:type="dxa"/>
            </w:tcMar>
          </w:tcPr>
          <w:p w14:paraId="177A8DDD" w14:textId="77777777" w:rsidR="007C2199" w:rsidRPr="0033405D" w:rsidRDefault="007C2199" w:rsidP="00FA5645">
            <w:pPr>
              <w:spacing w:before="120" w:after="120"/>
              <w:ind w:left="113" w:right="57"/>
              <w:rPr>
                <w:rFonts w:ascii="Arial" w:hAnsi="Arial" w:cs="Arial"/>
              </w:rPr>
            </w:pPr>
            <w:r>
              <w:rPr>
                <w:rFonts w:ascii="Arial" w:hAnsi="Arial"/>
                <w:sz w:val="22"/>
              </w:rPr>
              <w:t>(e) Les règles et règlements financiers existants de l</w:t>
            </w:r>
            <w:r w:rsidR="003C2B6A">
              <w:rPr>
                <w:rFonts w:ascii="Arial" w:hAnsi="Arial"/>
                <w:sz w:val="22"/>
              </w:rPr>
              <w:t>’</w:t>
            </w:r>
            <w:r>
              <w:rPr>
                <w:rFonts w:ascii="Arial" w:hAnsi="Arial"/>
                <w:sz w:val="22"/>
              </w:rPr>
              <w:t>Organisation et du Fonds du patrimoine culturel immatériel permettent l</w:t>
            </w:r>
            <w:r w:rsidR="003C2B6A">
              <w:rPr>
                <w:rFonts w:ascii="Arial" w:hAnsi="Arial"/>
                <w:sz w:val="22"/>
              </w:rPr>
              <w:t>’</w:t>
            </w:r>
            <w:r>
              <w:rPr>
                <w:rFonts w:ascii="Arial" w:hAnsi="Arial"/>
                <w:sz w:val="22"/>
              </w:rPr>
              <w:t>application de la politique de recouvrement des coûts.</w:t>
            </w:r>
          </w:p>
        </w:tc>
        <w:tc>
          <w:tcPr>
            <w:tcW w:w="1985" w:type="dxa"/>
            <w:shd w:val="clear" w:color="auto" w:fill="FFFFFF"/>
            <w:noWrap/>
            <w:tcMar>
              <w:top w:w="40" w:type="dxa"/>
              <w:left w:w="40" w:type="dxa"/>
              <w:bottom w:w="40" w:type="dxa"/>
              <w:right w:w="40" w:type="dxa"/>
            </w:tcMar>
          </w:tcPr>
          <w:p w14:paraId="53A1146D" w14:textId="77777777" w:rsidR="007C2199" w:rsidRPr="0033405D" w:rsidRDefault="007C2199" w:rsidP="00FA5645">
            <w:pPr>
              <w:spacing w:before="120" w:after="120"/>
              <w:rPr>
                <w:rFonts w:ascii="Arial" w:hAnsi="Arial" w:cs="Arial"/>
              </w:rPr>
            </w:pPr>
          </w:p>
        </w:tc>
        <w:tc>
          <w:tcPr>
            <w:tcW w:w="7654" w:type="dxa"/>
            <w:gridSpan w:val="2"/>
            <w:shd w:val="clear" w:color="auto" w:fill="FFFFFF"/>
            <w:noWrap/>
            <w:tcMar>
              <w:top w:w="40" w:type="dxa"/>
              <w:left w:w="40" w:type="dxa"/>
              <w:bottom w:w="40" w:type="dxa"/>
              <w:right w:w="40" w:type="dxa"/>
            </w:tcMar>
          </w:tcPr>
          <w:p w14:paraId="65997BD4" w14:textId="77777777" w:rsidR="007C2199" w:rsidRPr="0033405D" w:rsidRDefault="007C2199" w:rsidP="00BA3A07">
            <w:pPr>
              <w:pStyle w:val="ListParagraph"/>
              <w:numPr>
                <w:ilvl w:val="0"/>
                <w:numId w:val="11"/>
              </w:numPr>
              <w:spacing w:before="120" w:beforeAutospacing="0" w:after="120" w:afterAutospacing="0"/>
              <w:ind w:left="470" w:right="57" w:hanging="357"/>
              <w:rPr>
                <w:rFonts w:ascii="Arial" w:hAnsi="Arial" w:cs="Arial"/>
              </w:rPr>
            </w:pPr>
            <w:r>
              <w:rPr>
                <w:rFonts w:ascii="Arial" w:hAnsi="Arial"/>
                <w:sz w:val="22"/>
              </w:rPr>
              <w:t>Le Comité, au cours de la huitième session, a pris note « de la politique de recouvrement des coûts de l</w:t>
            </w:r>
            <w:r w:rsidR="003C2B6A">
              <w:rPr>
                <w:rFonts w:ascii="Arial" w:hAnsi="Arial"/>
                <w:sz w:val="22"/>
              </w:rPr>
              <w:t>’</w:t>
            </w:r>
            <w:r>
              <w:rPr>
                <w:rFonts w:ascii="Arial" w:hAnsi="Arial"/>
                <w:sz w:val="22"/>
              </w:rPr>
              <w:t>Organisation (Manuel administratif, point 5.9) ; et [a demandé] au Secrétariat d</w:t>
            </w:r>
            <w:r w:rsidR="003C2B6A">
              <w:rPr>
                <w:rFonts w:ascii="Arial" w:hAnsi="Arial"/>
                <w:sz w:val="22"/>
              </w:rPr>
              <w:t>’</w:t>
            </w:r>
            <w:r>
              <w:rPr>
                <w:rFonts w:ascii="Arial" w:hAnsi="Arial"/>
                <w:sz w:val="22"/>
              </w:rPr>
              <w:t>appliquer la politique de manière cohérente dans le cadre de l</w:t>
            </w:r>
            <w:r w:rsidR="003C2B6A">
              <w:rPr>
                <w:rFonts w:ascii="Arial" w:hAnsi="Arial"/>
                <w:sz w:val="22"/>
              </w:rPr>
              <w:t>’</w:t>
            </w:r>
            <w:r>
              <w:rPr>
                <w:rFonts w:ascii="Arial" w:hAnsi="Arial"/>
                <w:sz w:val="22"/>
              </w:rPr>
              <w:t>utilisation des ressources du Fonds [du patrimoine culturel immatériel] » (</w:t>
            </w:r>
            <w:hyperlink r:id="rId63">
              <w:r>
                <w:rPr>
                  <w:rStyle w:val="Hyperlink"/>
                  <w:rFonts w:ascii="Arial" w:hAnsi="Arial"/>
                  <w:sz w:val="22"/>
                </w:rPr>
                <w:t>décision 8.COM 11</w:t>
              </w:r>
            </w:hyperlink>
            <w:r>
              <w:rPr>
                <w:rFonts w:ascii="Arial" w:hAnsi="Arial"/>
                <w:sz w:val="22"/>
              </w:rPr>
              <w:t>).</w:t>
            </w:r>
          </w:p>
          <w:p w14:paraId="4C3052E0" w14:textId="77777777" w:rsidR="007C2199" w:rsidRPr="0033405D" w:rsidRDefault="007C2199" w:rsidP="00BA3A07">
            <w:pPr>
              <w:pStyle w:val="ListParagraph"/>
              <w:numPr>
                <w:ilvl w:val="0"/>
                <w:numId w:val="11"/>
              </w:numPr>
              <w:spacing w:before="120" w:beforeAutospacing="0" w:after="120" w:afterAutospacing="0"/>
              <w:ind w:left="470" w:right="57" w:hanging="357"/>
              <w:contextualSpacing/>
              <w:rPr>
                <w:rFonts w:ascii="Arial" w:hAnsi="Arial" w:cs="Arial"/>
                <w:b/>
                <w:u w:val="single"/>
              </w:rPr>
            </w:pPr>
            <w:r>
              <w:rPr>
                <w:rFonts w:ascii="Arial" w:hAnsi="Arial"/>
                <w:sz w:val="22"/>
              </w:rPr>
              <w:t>Le Secrétariat applique le recouvrement des coûts sur les Fonds alloués à l</w:t>
            </w:r>
            <w:r w:rsidR="003C2B6A">
              <w:rPr>
                <w:rFonts w:ascii="Arial" w:hAnsi="Arial"/>
                <w:sz w:val="22"/>
              </w:rPr>
              <w:t>’</w:t>
            </w:r>
            <w:r>
              <w:rPr>
                <w:rFonts w:ascii="Arial" w:hAnsi="Arial"/>
                <w:sz w:val="22"/>
              </w:rPr>
              <w:t>Assistance financière du Fonds du patrimoine culturel immatériel (</w:t>
            </w:r>
            <w:r>
              <w:rPr>
                <w:rFonts w:ascii="Arial" w:hAnsi="Arial"/>
                <w:b/>
                <w:sz w:val="22"/>
              </w:rPr>
              <w:t>action terminée</w:t>
            </w:r>
            <w:r>
              <w:rPr>
                <w:rFonts w:ascii="Arial" w:hAnsi="Arial"/>
                <w:sz w:val="22"/>
              </w:rPr>
              <w:t>).</w:t>
            </w:r>
          </w:p>
        </w:tc>
      </w:tr>
      <w:tr w:rsidR="007C2199" w:rsidRPr="00CC11E8" w14:paraId="5C6BD676" w14:textId="77777777" w:rsidTr="00FA5645">
        <w:trPr>
          <w:cantSplit/>
        </w:trPr>
        <w:tc>
          <w:tcPr>
            <w:tcW w:w="14358" w:type="dxa"/>
            <w:gridSpan w:val="4"/>
            <w:shd w:val="clear" w:color="auto" w:fill="E6E6E6"/>
            <w:noWrap/>
            <w:tcMar>
              <w:top w:w="40" w:type="dxa"/>
              <w:left w:w="40" w:type="dxa"/>
              <w:bottom w:w="40" w:type="dxa"/>
              <w:right w:w="40" w:type="dxa"/>
            </w:tcMar>
          </w:tcPr>
          <w:p w14:paraId="0B0F1380" w14:textId="77777777" w:rsidR="007C2199" w:rsidRPr="0033405D" w:rsidRDefault="007C2199" w:rsidP="00A918D9">
            <w:pPr>
              <w:pageBreakBefore/>
              <w:autoSpaceDE w:val="0"/>
              <w:autoSpaceDN w:val="0"/>
              <w:adjustRightInd w:val="0"/>
              <w:spacing w:before="120" w:after="120"/>
              <w:ind w:left="113" w:right="113"/>
              <w:jc w:val="both"/>
              <w:rPr>
                <w:rFonts w:ascii="Arial" w:hAnsi="Arial" w:cs="Arial"/>
                <w:b/>
              </w:rPr>
            </w:pPr>
            <w:r>
              <w:rPr>
                <w:rFonts w:ascii="Arial" w:hAnsi="Arial"/>
                <w:b/>
                <w:sz w:val="22"/>
              </w:rPr>
              <w:lastRenderedPageBreak/>
              <w:t>Recommandation 2 : Nous recommandons aux secrétariats des Conventions d</w:t>
            </w:r>
            <w:r w:rsidR="003C2B6A">
              <w:rPr>
                <w:rFonts w:ascii="Arial" w:hAnsi="Arial"/>
                <w:b/>
                <w:sz w:val="22"/>
              </w:rPr>
              <w:t>’</w:t>
            </w:r>
            <w:r>
              <w:rPr>
                <w:rFonts w:ascii="Arial" w:hAnsi="Arial"/>
                <w:b/>
                <w:sz w:val="22"/>
              </w:rPr>
              <w:t>étudier le cas échéant des moyens plus efficaces d</w:t>
            </w:r>
            <w:r w:rsidR="003C2B6A">
              <w:rPr>
                <w:rFonts w:ascii="Arial" w:hAnsi="Arial"/>
                <w:b/>
                <w:sz w:val="22"/>
              </w:rPr>
              <w:t>’</w:t>
            </w:r>
            <w:r>
              <w:rPr>
                <w:rFonts w:ascii="Arial" w:hAnsi="Arial"/>
                <w:b/>
                <w:sz w:val="22"/>
              </w:rPr>
              <w:t>obtenir des services consultatifs et d</w:t>
            </w:r>
            <w:r w:rsidR="003C2B6A">
              <w:rPr>
                <w:rFonts w:ascii="Arial" w:hAnsi="Arial"/>
                <w:b/>
                <w:sz w:val="22"/>
              </w:rPr>
              <w:t>’</w:t>
            </w:r>
            <w:r>
              <w:rPr>
                <w:rFonts w:ascii="Arial" w:hAnsi="Arial"/>
                <w:b/>
                <w:sz w:val="22"/>
              </w:rPr>
              <w:t>envisager d</w:t>
            </w:r>
            <w:r w:rsidR="003C2B6A">
              <w:rPr>
                <w:rFonts w:ascii="Arial" w:hAnsi="Arial"/>
                <w:b/>
                <w:sz w:val="22"/>
              </w:rPr>
              <w:t>’</w:t>
            </w:r>
            <w:r>
              <w:rPr>
                <w:rFonts w:ascii="Arial" w:hAnsi="Arial"/>
                <w:b/>
                <w:sz w:val="22"/>
              </w:rPr>
              <w:t xml:space="preserve">éventuels mécanismes de </w:t>
            </w:r>
            <w:proofErr w:type="spellStart"/>
            <w:r>
              <w:rPr>
                <w:rFonts w:ascii="Arial" w:hAnsi="Arial"/>
                <w:b/>
                <w:sz w:val="22"/>
              </w:rPr>
              <w:t>rétrofacturation</w:t>
            </w:r>
            <w:proofErr w:type="spellEnd"/>
            <w:r>
              <w:rPr>
                <w:rFonts w:ascii="Arial" w:hAnsi="Arial"/>
                <w:b/>
                <w:sz w:val="22"/>
              </w:rPr>
              <w:t xml:space="preserve"> aux États parties soumettant des candidatures et/ou un fonds spécial, de formuler à l</w:t>
            </w:r>
            <w:r w:rsidR="003C2B6A">
              <w:rPr>
                <w:rFonts w:ascii="Arial" w:hAnsi="Arial"/>
                <w:b/>
                <w:sz w:val="22"/>
              </w:rPr>
              <w:t>’</w:t>
            </w:r>
            <w:r>
              <w:rPr>
                <w:rFonts w:ascii="Arial" w:hAnsi="Arial"/>
                <w:b/>
                <w:sz w:val="22"/>
              </w:rPr>
              <w:t>intention de leurs organes directeurs respectifs des propositions d</w:t>
            </w:r>
            <w:r w:rsidR="003C2B6A">
              <w:rPr>
                <w:rFonts w:ascii="Arial" w:hAnsi="Arial"/>
                <w:b/>
                <w:sz w:val="22"/>
              </w:rPr>
              <w:t>’</w:t>
            </w:r>
            <w:r>
              <w:rPr>
                <w:rFonts w:ascii="Arial" w:hAnsi="Arial"/>
                <w:b/>
                <w:sz w:val="22"/>
              </w:rPr>
              <w:t>économies possibles et de leur présenter des options financières durablement supportables pour les honoraires versés au titre des services consultatifs.</w:t>
            </w:r>
          </w:p>
        </w:tc>
      </w:tr>
      <w:tr w:rsidR="007C2199" w:rsidRPr="00427622" w14:paraId="27876738" w14:textId="77777777" w:rsidTr="00FA5645">
        <w:trPr>
          <w:cantSplit/>
        </w:trPr>
        <w:tc>
          <w:tcPr>
            <w:tcW w:w="4719" w:type="dxa"/>
            <w:noWrap/>
            <w:tcMar>
              <w:top w:w="40" w:type="dxa"/>
              <w:left w:w="40" w:type="dxa"/>
              <w:bottom w:w="40" w:type="dxa"/>
              <w:right w:w="40" w:type="dxa"/>
            </w:tcMar>
          </w:tcPr>
          <w:p w14:paraId="300F5937" w14:textId="77777777" w:rsidR="007C2199" w:rsidRPr="0033405D" w:rsidRDefault="007C2199" w:rsidP="00FA5645">
            <w:pPr>
              <w:spacing w:before="120" w:after="120"/>
              <w:jc w:val="center"/>
              <w:rPr>
                <w:rFonts w:ascii="Arial" w:hAnsi="Arial" w:cs="Arial"/>
                <w:b/>
              </w:rPr>
            </w:pPr>
            <w:r>
              <w:rPr>
                <w:rFonts w:ascii="Arial" w:hAnsi="Arial"/>
                <w:b/>
                <w:sz w:val="22"/>
              </w:rPr>
              <w:t>Actions planifiées</w:t>
            </w:r>
          </w:p>
        </w:tc>
        <w:tc>
          <w:tcPr>
            <w:tcW w:w="2127" w:type="dxa"/>
            <w:gridSpan w:val="2"/>
            <w:noWrap/>
            <w:tcMar>
              <w:top w:w="40" w:type="dxa"/>
              <w:left w:w="40" w:type="dxa"/>
              <w:bottom w:w="40" w:type="dxa"/>
              <w:right w:w="40" w:type="dxa"/>
            </w:tcMar>
          </w:tcPr>
          <w:p w14:paraId="57DE5F7B" w14:textId="77777777" w:rsidR="007C2199" w:rsidRPr="0033405D" w:rsidRDefault="007C2199" w:rsidP="00FA5645">
            <w:pPr>
              <w:spacing w:before="120" w:after="120"/>
              <w:jc w:val="center"/>
              <w:rPr>
                <w:rFonts w:ascii="Arial" w:hAnsi="Arial" w:cs="Arial"/>
                <w:b/>
              </w:rPr>
            </w:pPr>
            <w:r>
              <w:rPr>
                <w:rFonts w:ascii="Arial" w:hAnsi="Arial"/>
                <w:b/>
                <w:sz w:val="22"/>
              </w:rPr>
              <w:t>Date prévue de mise en œuvre</w:t>
            </w:r>
          </w:p>
        </w:tc>
        <w:tc>
          <w:tcPr>
            <w:tcW w:w="7512" w:type="dxa"/>
            <w:noWrap/>
            <w:tcMar>
              <w:top w:w="40" w:type="dxa"/>
              <w:left w:w="40" w:type="dxa"/>
              <w:bottom w:w="40" w:type="dxa"/>
              <w:right w:w="40" w:type="dxa"/>
            </w:tcMar>
          </w:tcPr>
          <w:p w14:paraId="0901DCFC" w14:textId="77777777" w:rsidR="007C2199" w:rsidRPr="0033405D" w:rsidRDefault="007C2199" w:rsidP="00FA5645">
            <w:pPr>
              <w:spacing w:before="120" w:after="120"/>
              <w:jc w:val="center"/>
              <w:rPr>
                <w:rFonts w:ascii="Arial" w:hAnsi="Arial" w:cs="Arial"/>
                <w:b/>
              </w:rPr>
            </w:pPr>
            <w:r>
              <w:rPr>
                <w:rFonts w:ascii="Arial" w:hAnsi="Arial"/>
                <w:b/>
                <w:sz w:val="22"/>
              </w:rPr>
              <w:t>Statut</w:t>
            </w:r>
          </w:p>
        </w:tc>
      </w:tr>
      <w:tr w:rsidR="007C2199" w:rsidRPr="00CC11E8" w14:paraId="0CDDAC66" w14:textId="77777777" w:rsidTr="00FA5645">
        <w:trPr>
          <w:cantSplit/>
        </w:trPr>
        <w:tc>
          <w:tcPr>
            <w:tcW w:w="4719" w:type="dxa"/>
            <w:shd w:val="clear" w:color="auto" w:fill="FFFFFF"/>
            <w:noWrap/>
            <w:tcMar>
              <w:top w:w="40" w:type="dxa"/>
              <w:left w:w="40" w:type="dxa"/>
              <w:bottom w:w="40" w:type="dxa"/>
              <w:right w:w="40" w:type="dxa"/>
            </w:tcMar>
          </w:tcPr>
          <w:p w14:paraId="108FA79D" w14:textId="77777777" w:rsidR="007C2199" w:rsidRPr="0033405D" w:rsidRDefault="007C2199" w:rsidP="00FA5645">
            <w:pPr>
              <w:spacing w:before="120" w:after="120"/>
              <w:ind w:left="113" w:right="57"/>
              <w:rPr>
                <w:rFonts w:ascii="Arial" w:hAnsi="Arial" w:cs="Arial"/>
              </w:rPr>
            </w:pPr>
            <w:r>
              <w:rPr>
                <w:rFonts w:ascii="Arial" w:hAnsi="Arial"/>
                <w:sz w:val="22"/>
              </w:rPr>
              <w:t>(e) Durant sa sixième session le Comité a pris note que « la consolidation de l</w:t>
            </w:r>
            <w:r w:rsidR="003C2B6A">
              <w:rPr>
                <w:rFonts w:ascii="Arial" w:hAnsi="Arial"/>
                <w:sz w:val="22"/>
              </w:rPr>
              <w:t>’</w:t>
            </w:r>
            <w:r>
              <w:rPr>
                <w:rFonts w:ascii="Arial" w:hAnsi="Arial"/>
                <w:sz w:val="22"/>
              </w:rPr>
              <w:t>évaluation de toutes les candidatures au sein d</w:t>
            </w:r>
            <w:r w:rsidR="003C2B6A">
              <w:rPr>
                <w:rFonts w:ascii="Arial" w:hAnsi="Arial"/>
                <w:sz w:val="22"/>
              </w:rPr>
              <w:t>’</w:t>
            </w:r>
            <w:r>
              <w:rPr>
                <w:rFonts w:ascii="Arial" w:hAnsi="Arial"/>
                <w:sz w:val="22"/>
              </w:rPr>
              <w:t>un seul organe permettrait de réaliser d</w:t>
            </w:r>
            <w:r w:rsidR="003C2B6A">
              <w:rPr>
                <w:rFonts w:ascii="Arial" w:hAnsi="Arial"/>
                <w:sz w:val="22"/>
              </w:rPr>
              <w:t>’</w:t>
            </w:r>
            <w:r>
              <w:rPr>
                <w:rFonts w:ascii="Arial" w:hAnsi="Arial"/>
                <w:sz w:val="22"/>
              </w:rPr>
              <w:t>importantes économies tout en offrant d</w:t>
            </w:r>
            <w:r w:rsidR="003C2B6A">
              <w:rPr>
                <w:rFonts w:ascii="Arial" w:hAnsi="Arial"/>
                <w:sz w:val="22"/>
              </w:rPr>
              <w:t>’</w:t>
            </w:r>
            <w:r>
              <w:rPr>
                <w:rFonts w:ascii="Arial" w:hAnsi="Arial"/>
                <w:sz w:val="22"/>
              </w:rPr>
              <w:t xml:space="preserve">autres avantages ; [a] </w:t>
            </w:r>
            <w:proofErr w:type="spellStart"/>
            <w:r>
              <w:rPr>
                <w:rFonts w:ascii="Arial" w:hAnsi="Arial"/>
                <w:sz w:val="22"/>
              </w:rPr>
              <w:t>réaffirm</w:t>
            </w:r>
            <w:proofErr w:type="spellEnd"/>
            <w:r>
              <w:rPr>
                <w:rFonts w:ascii="Arial" w:hAnsi="Arial"/>
                <w:sz w:val="22"/>
              </w:rPr>
              <w:t>[é] sa recommandation à l</w:t>
            </w:r>
            <w:r w:rsidR="003C2B6A">
              <w:rPr>
                <w:rFonts w:ascii="Arial" w:hAnsi="Arial"/>
                <w:sz w:val="22"/>
              </w:rPr>
              <w:t>’</w:t>
            </w:r>
            <w:r>
              <w:rPr>
                <w:rFonts w:ascii="Arial" w:hAnsi="Arial"/>
                <w:sz w:val="22"/>
              </w:rPr>
              <w:t xml:space="preserve">Assemblée générale en ce sens (décision 6.COM 15) ; et [a] </w:t>
            </w:r>
            <w:proofErr w:type="spellStart"/>
            <w:r>
              <w:rPr>
                <w:rFonts w:ascii="Arial" w:hAnsi="Arial"/>
                <w:sz w:val="22"/>
              </w:rPr>
              <w:t>considér</w:t>
            </w:r>
            <w:proofErr w:type="spellEnd"/>
            <w:r>
              <w:rPr>
                <w:rFonts w:ascii="Arial" w:hAnsi="Arial"/>
                <w:sz w:val="22"/>
              </w:rPr>
              <w:t>[é] en outre que d</w:t>
            </w:r>
            <w:r w:rsidR="003C2B6A">
              <w:rPr>
                <w:rFonts w:ascii="Arial" w:hAnsi="Arial"/>
                <w:sz w:val="22"/>
              </w:rPr>
              <w:t>’</w:t>
            </w:r>
            <w:r>
              <w:rPr>
                <w:rFonts w:ascii="Arial" w:hAnsi="Arial"/>
                <w:sz w:val="22"/>
              </w:rPr>
              <w:t xml:space="preserve">éventuels mécanismes de </w:t>
            </w:r>
            <w:proofErr w:type="spellStart"/>
            <w:r>
              <w:rPr>
                <w:rFonts w:ascii="Arial" w:hAnsi="Arial"/>
                <w:sz w:val="22"/>
              </w:rPr>
              <w:t>rétrofacturation</w:t>
            </w:r>
            <w:proofErr w:type="spellEnd"/>
            <w:r>
              <w:rPr>
                <w:rFonts w:ascii="Arial" w:hAnsi="Arial"/>
                <w:sz w:val="22"/>
              </w:rPr>
              <w:t xml:space="preserve"> aux États parties soumettant des candidatures et/ou des fonds spéciaux affectés à cette fin, tels que suggérés dans la Recommandation 2, ne seraient par conséquent pas nécessaires. » (décision 8.COM 5.c.2).</w:t>
            </w:r>
          </w:p>
        </w:tc>
        <w:tc>
          <w:tcPr>
            <w:tcW w:w="2127" w:type="dxa"/>
            <w:gridSpan w:val="2"/>
            <w:shd w:val="clear" w:color="auto" w:fill="FFFFFF"/>
            <w:noWrap/>
            <w:tcMar>
              <w:top w:w="40" w:type="dxa"/>
              <w:left w:w="40" w:type="dxa"/>
              <w:bottom w:w="40" w:type="dxa"/>
              <w:right w:w="40" w:type="dxa"/>
            </w:tcMar>
          </w:tcPr>
          <w:p w14:paraId="721DE476" w14:textId="77777777" w:rsidR="007C2199" w:rsidRPr="0033405D" w:rsidRDefault="007C2199" w:rsidP="00FA5645">
            <w:pPr>
              <w:spacing w:before="120" w:after="120"/>
              <w:ind w:left="57"/>
              <w:rPr>
                <w:rFonts w:ascii="Arial" w:hAnsi="Arial" w:cs="Arial"/>
              </w:rPr>
            </w:pPr>
            <w:r>
              <w:rPr>
                <w:rFonts w:ascii="Arial" w:hAnsi="Arial"/>
                <w:sz w:val="22"/>
              </w:rPr>
              <w:t>Novembre 2014</w:t>
            </w:r>
          </w:p>
        </w:tc>
        <w:tc>
          <w:tcPr>
            <w:tcW w:w="7512" w:type="dxa"/>
            <w:shd w:val="clear" w:color="auto" w:fill="FFFFFF"/>
            <w:noWrap/>
            <w:tcMar>
              <w:top w:w="40" w:type="dxa"/>
              <w:left w:w="40" w:type="dxa"/>
              <w:bottom w:w="40" w:type="dxa"/>
              <w:right w:w="40" w:type="dxa"/>
            </w:tcMar>
          </w:tcPr>
          <w:p w14:paraId="7FD26612" w14:textId="77777777" w:rsidR="007C2199" w:rsidRPr="0033405D" w:rsidRDefault="007C2199" w:rsidP="00BA3A07">
            <w:pPr>
              <w:pStyle w:val="ListParagraph"/>
              <w:numPr>
                <w:ilvl w:val="0"/>
                <w:numId w:val="11"/>
              </w:numPr>
              <w:spacing w:before="120" w:beforeAutospacing="0" w:after="120" w:afterAutospacing="0"/>
              <w:ind w:left="470" w:right="57" w:hanging="357"/>
              <w:rPr>
                <w:rFonts w:ascii="Arial" w:hAnsi="Arial" w:cs="Arial"/>
              </w:rPr>
            </w:pPr>
            <w:r>
              <w:rPr>
                <w:rFonts w:ascii="Arial" w:hAnsi="Arial"/>
                <w:sz w:val="22"/>
              </w:rPr>
              <w:t>L</w:t>
            </w:r>
            <w:r w:rsidR="003C2B6A">
              <w:rPr>
                <w:rFonts w:ascii="Arial" w:hAnsi="Arial"/>
                <w:sz w:val="22"/>
              </w:rPr>
              <w:t>’</w:t>
            </w:r>
            <w:r>
              <w:rPr>
                <w:rFonts w:ascii="Arial" w:hAnsi="Arial"/>
                <w:sz w:val="22"/>
              </w:rPr>
              <w:t>Assemblée générale, lors de sa cinquième session, a adopté des amendements aux Directives opérationnelles afin d</w:t>
            </w:r>
            <w:r w:rsidR="003C2B6A">
              <w:rPr>
                <w:rFonts w:ascii="Arial" w:hAnsi="Arial"/>
                <w:sz w:val="22"/>
              </w:rPr>
              <w:t>’</w:t>
            </w:r>
            <w:r>
              <w:rPr>
                <w:rFonts w:ascii="Arial" w:hAnsi="Arial"/>
                <w:sz w:val="22"/>
              </w:rPr>
              <w:t>établir un seul Organe d</w:t>
            </w:r>
            <w:r w:rsidR="003C2B6A">
              <w:rPr>
                <w:rFonts w:ascii="Arial" w:hAnsi="Arial"/>
                <w:sz w:val="22"/>
              </w:rPr>
              <w:t>’</w:t>
            </w:r>
            <w:r>
              <w:rPr>
                <w:rFonts w:ascii="Arial" w:hAnsi="Arial"/>
                <w:sz w:val="22"/>
              </w:rPr>
              <w:t>évaluation (</w:t>
            </w:r>
            <w:hyperlink r:id="rId64">
              <w:r>
                <w:rPr>
                  <w:rStyle w:val="Hyperlink"/>
                  <w:rFonts w:ascii="Arial" w:hAnsi="Arial"/>
                  <w:sz w:val="22"/>
                </w:rPr>
                <w:t>résolution 5.GA 5.1</w:t>
              </w:r>
            </w:hyperlink>
            <w:r>
              <w:rPr>
                <w:rFonts w:ascii="Arial" w:hAnsi="Arial"/>
                <w:sz w:val="22"/>
              </w:rPr>
              <w:t>).</w:t>
            </w:r>
          </w:p>
          <w:p w14:paraId="45A2AD43" w14:textId="77777777" w:rsidR="007C2199" w:rsidRPr="0033405D" w:rsidRDefault="007C2199" w:rsidP="00BA3A07">
            <w:pPr>
              <w:pStyle w:val="ListParagraph"/>
              <w:numPr>
                <w:ilvl w:val="0"/>
                <w:numId w:val="11"/>
              </w:numPr>
              <w:spacing w:before="120" w:beforeAutospacing="0" w:after="120" w:afterAutospacing="0"/>
              <w:ind w:left="470" w:hanging="357"/>
              <w:contextualSpacing/>
              <w:rPr>
                <w:rFonts w:ascii="Arial" w:hAnsi="Arial" w:cs="Arial"/>
                <w:b/>
                <w:u w:val="single"/>
              </w:rPr>
            </w:pPr>
            <w:r>
              <w:rPr>
                <w:rFonts w:ascii="Arial" w:hAnsi="Arial"/>
                <w:sz w:val="22"/>
              </w:rPr>
              <w:t>Établi en novembre 2014 (</w:t>
            </w:r>
            <w:hyperlink r:id="rId65">
              <w:r>
                <w:rPr>
                  <w:rStyle w:val="Hyperlink"/>
                  <w:rFonts w:ascii="Arial" w:hAnsi="Arial"/>
                  <w:sz w:val="22"/>
                </w:rPr>
                <w:t>décision 9.COM 11</w:t>
              </w:r>
            </w:hyperlink>
            <w:r>
              <w:rPr>
                <w:rFonts w:ascii="Arial" w:hAnsi="Arial"/>
                <w:sz w:val="22"/>
              </w:rPr>
              <w:t>), le premier Organe d</w:t>
            </w:r>
            <w:r w:rsidR="003C2B6A">
              <w:rPr>
                <w:rFonts w:ascii="Arial" w:hAnsi="Arial"/>
                <w:sz w:val="22"/>
              </w:rPr>
              <w:t>’</w:t>
            </w:r>
            <w:r>
              <w:rPr>
                <w:rFonts w:ascii="Arial" w:hAnsi="Arial"/>
                <w:sz w:val="22"/>
              </w:rPr>
              <w:t>évaluation a évalué les dossiers du cycle 2015 (</w:t>
            </w:r>
            <w:r>
              <w:rPr>
                <w:rFonts w:ascii="Arial" w:hAnsi="Arial"/>
                <w:b/>
                <w:sz w:val="22"/>
              </w:rPr>
              <w:t>action terminée</w:t>
            </w:r>
            <w:r>
              <w:rPr>
                <w:rFonts w:ascii="Arial" w:hAnsi="Arial"/>
                <w:sz w:val="22"/>
              </w:rPr>
              <w:t>).</w:t>
            </w:r>
          </w:p>
        </w:tc>
      </w:tr>
      <w:tr w:rsidR="007C2199" w:rsidRPr="00CC11E8" w14:paraId="324E647C" w14:textId="77777777" w:rsidTr="00FA5645">
        <w:trPr>
          <w:cantSplit/>
        </w:trPr>
        <w:tc>
          <w:tcPr>
            <w:tcW w:w="14358" w:type="dxa"/>
            <w:gridSpan w:val="4"/>
            <w:shd w:val="clear" w:color="auto" w:fill="E6E6E6"/>
            <w:noWrap/>
            <w:tcMar>
              <w:top w:w="40" w:type="dxa"/>
              <w:left w:w="40" w:type="dxa"/>
              <w:bottom w:w="40" w:type="dxa"/>
              <w:right w:w="40" w:type="dxa"/>
            </w:tcMar>
          </w:tcPr>
          <w:p w14:paraId="2F2B7C5A" w14:textId="77777777" w:rsidR="007C2199" w:rsidRPr="0033405D" w:rsidRDefault="007C2199" w:rsidP="00D7164E">
            <w:pPr>
              <w:autoSpaceDE w:val="0"/>
              <w:autoSpaceDN w:val="0"/>
              <w:adjustRightInd w:val="0"/>
              <w:spacing w:before="120" w:after="120"/>
              <w:ind w:left="113" w:right="113"/>
              <w:jc w:val="both"/>
              <w:rPr>
                <w:rFonts w:ascii="Arial" w:hAnsi="Arial" w:cs="Arial"/>
                <w:b/>
              </w:rPr>
            </w:pPr>
            <w:r>
              <w:rPr>
                <w:rFonts w:ascii="Arial" w:hAnsi="Arial"/>
                <w:b/>
                <w:sz w:val="22"/>
              </w:rPr>
              <w:t>Recommandation 3 : Nous recommandons au Secteur CLT d</w:t>
            </w:r>
            <w:r w:rsidR="003C2B6A">
              <w:rPr>
                <w:rFonts w:ascii="Arial" w:hAnsi="Arial"/>
                <w:b/>
                <w:sz w:val="22"/>
              </w:rPr>
              <w:t>’</w:t>
            </w:r>
            <w:r>
              <w:rPr>
                <w:rFonts w:ascii="Arial" w:hAnsi="Arial"/>
                <w:b/>
                <w:sz w:val="22"/>
              </w:rPr>
              <w:t>élargir son unité logistique commune pour y inclure des services supplémentaires apportant une valeur ajoutée et offrant des solutions économiquement rationnelles afin d</w:t>
            </w:r>
            <w:r w:rsidR="003C2B6A">
              <w:rPr>
                <w:rFonts w:ascii="Arial" w:hAnsi="Arial"/>
                <w:b/>
                <w:sz w:val="22"/>
              </w:rPr>
              <w:t>’</w:t>
            </w:r>
            <w:r>
              <w:rPr>
                <w:rFonts w:ascii="Arial" w:hAnsi="Arial"/>
                <w:b/>
                <w:sz w:val="22"/>
              </w:rPr>
              <w:t>appuyer le travail de tous les secrétariats des conventions. La plate-forme peut fonctionner sous la conduite du Groupe de liaison des conventions culturelles.</w:t>
            </w:r>
          </w:p>
        </w:tc>
      </w:tr>
      <w:tr w:rsidR="007C2199" w:rsidRPr="00427622" w14:paraId="55EDBF23" w14:textId="77777777" w:rsidTr="00FA5645">
        <w:trPr>
          <w:cantSplit/>
        </w:trPr>
        <w:tc>
          <w:tcPr>
            <w:tcW w:w="4719" w:type="dxa"/>
            <w:noWrap/>
            <w:tcMar>
              <w:top w:w="40" w:type="dxa"/>
              <w:left w:w="40" w:type="dxa"/>
              <w:bottom w:w="40" w:type="dxa"/>
              <w:right w:w="40" w:type="dxa"/>
            </w:tcMar>
          </w:tcPr>
          <w:p w14:paraId="0471B015" w14:textId="77777777" w:rsidR="007C2199" w:rsidRPr="0033405D" w:rsidRDefault="007C2199" w:rsidP="00FA5645">
            <w:pPr>
              <w:spacing w:before="120" w:after="120"/>
              <w:jc w:val="center"/>
              <w:rPr>
                <w:rFonts w:ascii="Arial" w:hAnsi="Arial" w:cs="Arial"/>
                <w:b/>
              </w:rPr>
            </w:pPr>
            <w:r>
              <w:rPr>
                <w:rFonts w:ascii="Arial" w:hAnsi="Arial"/>
                <w:b/>
                <w:sz w:val="22"/>
              </w:rPr>
              <w:t>Actions planifiées</w:t>
            </w:r>
          </w:p>
        </w:tc>
        <w:tc>
          <w:tcPr>
            <w:tcW w:w="2127" w:type="dxa"/>
            <w:gridSpan w:val="2"/>
            <w:noWrap/>
            <w:tcMar>
              <w:top w:w="40" w:type="dxa"/>
              <w:left w:w="40" w:type="dxa"/>
              <w:bottom w:w="40" w:type="dxa"/>
              <w:right w:w="40" w:type="dxa"/>
            </w:tcMar>
          </w:tcPr>
          <w:p w14:paraId="187CD09A" w14:textId="77777777" w:rsidR="007C2199" w:rsidRPr="0033405D" w:rsidRDefault="007C2199" w:rsidP="00FA5645">
            <w:pPr>
              <w:spacing w:before="120" w:after="120"/>
              <w:jc w:val="center"/>
              <w:rPr>
                <w:rFonts w:ascii="Arial" w:hAnsi="Arial" w:cs="Arial"/>
                <w:b/>
              </w:rPr>
            </w:pPr>
            <w:r>
              <w:rPr>
                <w:rFonts w:ascii="Arial" w:hAnsi="Arial"/>
                <w:b/>
                <w:sz w:val="22"/>
              </w:rPr>
              <w:t>Date prévue de mise en œuvre</w:t>
            </w:r>
          </w:p>
        </w:tc>
        <w:tc>
          <w:tcPr>
            <w:tcW w:w="7512" w:type="dxa"/>
            <w:noWrap/>
            <w:tcMar>
              <w:top w:w="40" w:type="dxa"/>
              <w:left w:w="40" w:type="dxa"/>
              <w:bottom w:w="40" w:type="dxa"/>
              <w:right w:w="40" w:type="dxa"/>
            </w:tcMar>
          </w:tcPr>
          <w:p w14:paraId="075B558D" w14:textId="77777777" w:rsidR="007C2199" w:rsidRPr="0033405D" w:rsidRDefault="007C2199" w:rsidP="00FA5645">
            <w:pPr>
              <w:spacing w:before="120" w:after="120"/>
              <w:jc w:val="center"/>
              <w:rPr>
                <w:rFonts w:ascii="Arial" w:hAnsi="Arial" w:cs="Arial"/>
                <w:b/>
              </w:rPr>
            </w:pPr>
            <w:r>
              <w:rPr>
                <w:rFonts w:ascii="Arial" w:hAnsi="Arial"/>
                <w:b/>
                <w:sz w:val="22"/>
              </w:rPr>
              <w:t>Statut</w:t>
            </w:r>
          </w:p>
        </w:tc>
      </w:tr>
      <w:tr w:rsidR="007C2199" w:rsidRPr="00CC11E8" w14:paraId="068AAB55" w14:textId="77777777" w:rsidTr="00FA5645">
        <w:trPr>
          <w:cantSplit/>
        </w:trPr>
        <w:tc>
          <w:tcPr>
            <w:tcW w:w="4719" w:type="dxa"/>
            <w:shd w:val="clear" w:color="auto" w:fill="FFFFFF"/>
            <w:noWrap/>
            <w:tcMar>
              <w:top w:w="40" w:type="dxa"/>
              <w:left w:w="40" w:type="dxa"/>
              <w:bottom w:w="40" w:type="dxa"/>
              <w:right w:w="40" w:type="dxa"/>
            </w:tcMar>
          </w:tcPr>
          <w:p w14:paraId="1CCA9568" w14:textId="77777777" w:rsidR="007C2199" w:rsidRPr="0033405D" w:rsidRDefault="007C2199" w:rsidP="00FA5645">
            <w:pPr>
              <w:spacing w:before="120" w:after="120"/>
              <w:rPr>
                <w:rFonts w:ascii="Arial" w:hAnsi="Arial" w:cs="Arial"/>
              </w:rPr>
            </w:pPr>
            <w:r>
              <w:rPr>
                <w:rFonts w:ascii="Arial" w:hAnsi="Arial"/>
                <w:sz w:val="22"/>
              </w:rPr>
              <w:t>Établir une plate-forme des services commu</w:t>
            </w:r>
            <w:r w:rsidR="00FD3694">
              <w:rPr>
                <w:rFonts w:ascii="Arial" w:hAnsi="Arial"/>
                <w:sz w:val="22"/>
              </w:rPr>
              <w:t>ns des conventions culturelles.</w:t>
            </w:r>
          </w:p>
        </w:tc>
        <w:tc>
          <w:tcPr>
            <w:tcW w:w="2127" w:type="dxa"/>
            <w:gridSpan w:val="2"/>
            <w:shd w:val="clear" w:color="auto" w:fill="FFFFFF"/>
            <w:noWrap/>
            <w:tcMar>
              <w:top w:w="40" w:type="dxa"/>
              <w:left w:w="40" w:type="dxa"/>
              <w:bottom w:w="40" w:type="dxa"/>
              <w:right w:w="40" w:type="dxa"/>
            </w:tcMar>
          </w:tcPr>
          <w:p w14:paraId="22D27BA4" w14:textId="77777777" w:rsidR="007C2199" w:rsidRPr="0033405D" w:rsidRDefault="007C2199" w:rsidP="00FA5645">
            <w:pPr>
              <w:spacing w:before="120" w:after="120"/>
              <w:rPr>
                <w:rFonts w:ascii="Arial" w:hAnsi="Arial" w:cs="Arial"/>
              </w:rPr>
            </w:pPr>
            <w:r>
              <w:rPr>
                <w:rFonts w:ascii="Arial" w:hAnsi="Arial"/>
                <w:sz w:val="22"/>
              </w:rPr>
              <w:t>Juillet 2014</w:t>
            </w:r>
          </w:p>
        </w:tc>
        <w:tc>
          <w:tcPr>
            <w:tcW w:w="7512" w:type="dxa"/>
            <w:shd w:val="clear" w:color="auto" w:fill="FFFFFF"/>
            <w:noWrap/>
            <w:tcMar>
              <w:top w:w="40" w:type="dxa"/>
              <w:left w:w="40" w:type="dxa"/>
              <w:bottom w:w="40" w:type="dxa"/>
              <w:right w:w="40" w:type="dxa"/>
            </w:tcMar>
          </w:tcPr>
          <w:p w14:paraId="7FDE19A4" w14:textId="77777777" w:rsidR="007C2199" w:rsidRPr="0033405D" w:rsidRDefault="007C2199" w:rsidP="00BA3A07">
            <w:pPr>
              <w:pStyle w:val="ListParagraph"/>
              <w:numPr>
                <w:ilvl w:val="0"/>
                <w:numId w:val="11"/>
              </w:numPr>
              <w:spacing w:before="120" w:beforeAutospacing="0" w:after="120" w:afterAutospacing="0"/>
              <w:ind w:left="470" w:hanging="357"/>
              <w:contextualSpacing/>
              <w:rPr>
                <w:rFonts w:ascii="Arial" w:hAnsi="Arial" w:cs="Arial"/>
                <w:b/>
                <w:u w:val="single"/>
              </w:rPr>
            </w:pPr>
            <w:r>
              <w:rPr>
                <w:rFonts w:ascii="Arial" w:hAnsi="Arial"/>
                <w:sz w:val="22"/>
              </w:rPr>
              <w:t>Unité des services communs établie en juillet 2014 (</w:t>
            </w:r>
            <w:r>
              <w:rPr>
                <w:rFonts w:ascii="Arial" w:hAnsi="Arial"/>
                <w:b/>
                <w:sz w:val="22"/>
                <w:u w:val="single"/>
              </w:rPr>
              <w:t>action terminée).</w:t>
            </w:r>
          </w:p>
        </w:tc>
      </w:tr>
      <w:tr w:rsidR="007C2199" w:rsidRPr="00CC11E8" w14:paraId="51E3AA0F" w14:textId="77777777" w:rsidTr="00FA5645">
        <w:trPr>
          <w:cantSplit/>
        </w:trPr>
        <w:tc>
          <w:tcPr>
            <w:tcW w:w="14358" w:type="dxa"/>
            <w:gridSpan w:val="4"/>
            <w:shd w:val="clear" w:color="auto" w:fill="E6E6E6"/>
            <w:noWrap/>
            <w:tcMar>
              <w:top w:w="40" w:type="dxa"/>
              <w:left w:w="40" w:type="dxa"/>
              <w:bottom w:w="40" w:type="dxa"/>
              <w:right w:w="40" w:type="dxa"/>
            </w:tcMar>
          </w:tcPr>
          <w:p w14:paraId="10DB8E02" w14:textId="77777777" w:rsidR="007C2199" w:rsidRPr="0033405D" w:rsidRDefault="007C2199" w:rsidP="00A918D9">
            <w:pPr>
              <w:pageBreakBefore/>
              <w:autoSpaceDE w:val="0"/>
              <w:autoSpaceDN w:val="0"/>
              <w:adjustRightInd w:val="0"/>
              <w:spacing w:before="120" w:after="120"/>
              <w:ind w:left="113" w:right="113"/>
              <w:jc w:val="both"/>
              <w:rPr>
                <w:rFonts w:ascii="Arial" w:hAnsi="Arial" w:cs="Arial"/>
                <w:b/>
              </w:rPr>
            </w:pPr>
            <w:r>
              <w:rPr>
                <w:rFonts w:ascii="Arial" w:hAnsi="Arial"/>
                <w:b/>
                <w:sz w:val="22"/>
              </w:rPr>
              <w:lastRenderedPageBreak/>
              <w:t>Recommandation 4 : Nous recommandons au Secteur de la culture d</w:t>
            </w:r>
            <w:r w:rsidR="003C2B6A">
              <w:rPr>
                <w:rFonts w:ascii="Arial" w:hAnsi="Arial"/>
                <w:b/>
                <w:sz w:val="22"/>
              </w:rPr>
              <w:t>’</w:t>
            </w:r>
            <w:r>
              <w:rPr>
                <w:rFonts w:ascii="Arial" w:hAnsi="Arial"/>
                <w:b/>
                <w:sz w:val="22"/>
              </w:rPr>
              <w:t>établir, en consultation avec BSP/CFS, une stratégie coordonnée de collecte de fonds pour tous les secrétariats des conventions et de constituer une équipe commune de mobilisation des ressources.</w:t>
            </w:r>
          </w:p>
        </w:tc>
      </w:tr>
      <w:tr w:rsidR="007C2199" w:rsidRPr="00427622" w14:paraId="298FCBF0" w14:textId="77777777" w:rsidTr="00FA5645">
        <w:trPr>
          <w:cantSplit/>
        </w:trPr>
        <w:tc>
          <w:tcPr>
            <w:tcW w:w="4719" w:type="dxa"/>
            <w:noWrap/>
            <w:tcMar>
              <w:top w:w="40" w:type="dxa"/>
              <w:left w:w="40" w:type="dxa"/>
              <w:bottom w:w="40" w:type="dxa"/>
              <w:right w:w="40" w:type="dxa"/>
            </w:tcMar>
          </w:tcPr>
          <w:p w14:paraId="25FFD84B" w14:textId="77777777" w:rsidR="007C2199" w:rsidRPr="0033405D" w:rsidRDefault="007C2199" w:rsidP="00FA5645">
            <w:pPr>
              <w:spacing w:before="120" w:after="120"/>
              <w:jc w:val="center"/>
              <w:rPr>
                <w:rFonts w:ascii="Arial" w:hAnsi="Arial" w:cs="Arial"/>
                <w:b/>
              </w:rPr>
            </w:pPr>
            <w:r>
              <w:rPr>
                <w:rFonts w:ascii="Arial" w:hAnsi="Arial"/>
                <w:b/>
                <w:sz w:val="22"/>
              </w:rPr>
              <w:t>Actions planifiées</w:t>
            </w:r>
          </w:p>
        </w:tc>
        <w:tc>
          <w:tcPr>
            <w:tcW w:w="2127" w:type="dxa"/>
            <w:gridSpan w:val="2"/>
            <w:noWrap/>
            <w:tcMar>
              <w:top w:w="40" w:type="dxa"/>
              <w:left w:w="40" w:type="dxa"/>
              <w:bottom w:w="40" w:type="dxa"/>
              <w:right w:w="40" w:type="dxa"/>
            </w:tcMar>
          </w:tcPr>
          <w:p w14:paraId="63197CBA" w14:textId="77777777" w:rsidR="007C2199" w:rsidRPr="0033405D" w:rsidRDefault="007C2199" w:rsidP="00A75804">
            <w:pPr>
              <w:keepNext/>
              <w:spacing w:before="120" w:after="120"/>
              <w:jc w:val="center"/>
              <w:rPr>
                <w:rFonts w:ascii="Arial" w:hAnsi="Arial" w:cs="Arial"/>
                <w:b/>
              </w:rPr>
            </w:pPr>
            <w:r>
              <w:rPr>
                <w:rFonts w:ascii="Arial" w:hAnsi="Arial"/>
                <w:b/>
                <w:sz w:val="22"/>
              </w:rPr>
              <w:t>Date prévue de mise en œuvre</w:t>
            </w:r>
          </w:p>
        </w:tc>
        <w:tc>
          <w:tcPr>
            <w:tcW w:w="7512" w:type="dxa"/>
            <w:noWrap/>
            <w:tcMar>
              <w:top w:w="40" w:type="dxa"/>
              <w:left w:w="40" w:type="dxa"/>
              <w:bottom w:w="40" w:type="dxa"/>
              <w:right w:w="40" w:type="dxa"/>
            </w:tcMar>
          </w:tcPr>
          <w:p w14:paraId="63D2D059" w14:textId="77777777" w:rsidR="007C2199" w:rsidRPr="0033405D" w:rsidRDefault="007C2199" w:rsidP="00FA5645">
            <w:pPr>
              <w:spacing w:before="120" w:after="120"/>
              <w:jc w:val="center"/>
              <w:rPr>
                <w:rFonts w:ascii="Arial" w:hAnsi="Arial" w:cs="Arial"/>
                <w:b/>
              </w:rPr>
            </w:pPr>
            <w:r>
              <w:rPr>
                <w:rFonts w:ascii="Arial" w:hAnsi="Arial"/>
                <w:b/>
                <w:sz w:val="22"/>
              </w:rPr>
              <w:t>Statut</w:t>
            </w:r>
          </w:p>
        </w:tc>
      </w:tr>
      <w:tr w:rsidR="007C2199" w:rsidRPr="00CC11E8" w14:paraId="79C9D5EC" w14:textId="77777777" w:rsidTr="00A75804">
        <w:tc>
          <w:tcPr>
            <w:tcW w:w="4719" w:type="dxa"/>
            <w:noWrap/>
            <w:tcMar>
              <w:top w:w="40" w:type="dxa"/>
              <w:left w:w="40" w:type="dxa"/>
              <w:bottom w:w="40" w:type="dxa"/>
              <w:right w:w="40" w:type="dxa"/>
            </w:tcMar>
          </w:tcPr>
          <w:p w14:paraId="0C8F755B" w14:textId="77777777" w:rsidR="007C2199" w:rsidRPr="0033405D" w:rsidRDefault="007C2199" w:rsidP="00FA5645">
            <w:pPr>
              <w:spacing w:before="120" w:after="120"/>
              <w:ind w:left="113" w:right="57"/>
              <w:rPr>
                <w:rFonts w:ascii="Arial" w:hAnsi="Arial" w:cs="Arial"/>
              </w:rPr>
            </w:pPr>
            <w:r>
              <w:rPr>
                <w:rFonts w:ascii="Arial" w:hAnsi="Arial"/>
                <w:sz w:val="22"/>
              </w:rPr>
              <w:t>L</w:t>
            </w:r>
            <w:r w:rsidR="003C2B6A">
              <w:rPr>
                <w:rFonts w:ascii="Arial" w:hAnsi="Arial"/>
                <w:sz w:val="22"/>
              </w:rPr>
              <w:t>’</w:t>
            </w:r>
            <w:r>
              <w:rPr>
                <w:rFonts w:ascii="Arial" w:hAnsi="Arial"/>
                <w:sz w:val="22"/>
              </w:rPr>
              <w:t>Unité des services communs des conventions devra se charger de la mise en œuvre d</w:t>
            </w:r>
            <w:r w:rsidR="003C2B6A">
              <w:rPr>
                <w:rFonts w:ascii="Arial" w:hAnsi="Arial"/>
                <w:sz w:val="22"/>
              </w:rPr>
              <w:t>’</w:t>
            </w:r>
            <w:r>
              <w:rPr>
                <w:rFonts w:ascii="Arial" w:hAnsi="Arial"/>
                <w:sz w:val="22"/>
              </w:rPr>
              <w:t>une stratégie coordonnée de collecte de fonds pour toutes les conventions et mobilisations de ressources.</w:t>
            </w:r>
          </w:p>
        </w:tc>
        <w:tc>
          <w:tcPr>
            <w:tcW w:w="2127" w:type="dxa"/>
            <w:gridSpan w:val="2"/>
            <w:noWrap/>
            <w:tcMar>
              <w:top w:w="40" w:type="dxa"/>
              <w:left w:w="40" w:type="dxa"/>
              <w:bottom w:w="40" w:type="dxa"/>
              <w:right w:w="40" w:type="dxa"/>
            </w:tcMar>
          </w:tcPr>
          <w:p w14:paraId="7695DC40" w14:textId="77777777" w:rsidR="007C2199" w:rsidRPr="0033405D" w:rsidRDefault="007C2199" w:rsidP="00FA5645">
            <w:pPr>
              <w:spacing w:before="120" w:after="120"/>
              <w:ind w:left="57"/>
              <w:rPr>
                <w:rFonts w:ascii="Arial" w:hAnsi="Arial" w:cs="Arial"/>
              </w:rPr>
            </w:pPr>
            <w:r>
              <w:rPr>
                <w:rFonts w:ascii="Arial" w:hAnsi="Arial"/>
                <w:sz w:val="22"/>
              </w:rPr>
              <w:t>2016-2017</w:t>
            </w:r>
          </w:p>
        </w:tc>
        <w:tc>
          <w:tcPr>
            <w:tcW w:w="7512" w:type="dxa"/>
            <w:noWrap/>
            <w:tcMar>
              <w:top w:w="40" w:type="dxa"/>
              <w:left w:w="40" w:type="dxa"/>
              <w:bottom w:w="40" w:type="dxa"/>
              <w:right w:w="40" w:type="dxa"/>
            </w:tcMar>
          </w:tcPr>
          <w:p w14:paraId="6E2F8C4B" w14:textId="77777777" w:rsidR="007C2199" w:rsidRPr="00A75804" w:rsidRDefault="007C2199" w:rsidP="00A75804">
            <w:pPr>
              <w:pStyle w:val="ListParagraph"/>
              <w:widowControl w:val="0"/>
              <w:numPr>
                <w:ilvl w:val="0"/>
                <w:numId w:val="11"/>
              </w:numPr>
              <w:spacing w:before="120" w:beforeAutospacing="0" w:after="120" w:afterAutospacing="0"/>
              <w:ind w:left="470" w:right="57" w:hanging="357"/>
              <w:rPr>
                <w:rFonts w:ascii="Arial" w:hAnsi="Arial" w:cs="Arial"/>
              </w:rPr>
            </w:pPr>
            <w:r>
              <w:rPr>
                <w:rFonts w:ascii="Arial" w:hAnsi="Arial"/>
                <w:sz w:val="22"/>
              </w:rPr>
              <w:t>Le CCS a préparé un document sur les principes de mobilisation des ressources, présentant les principes de base, les approches et outils intégrés dans une stratégie commune de mobilisation des ressources pour les conventions culturelles. Le document a été soumis aux Secrétariats des conventions de 2003 et 2005 et sera discuté avec</w:t>
            </w:r>
            <w:r w:rsidR="00FD3694">
              <w:rPr>
                <w:rFonts w:ascii="Arial" w:hAnsi="Arial"/>
                <w:sz w:val="22"/>
              </w:rPr>
              <w:t xml:space="preserve"> le BSP/CFS avant finalisation.</w:t>
            </w:r>
          </w:p>
          <w:p w14:paraId="3125FBA1" w14:textId="77777777" w:rsidR="007C2199" w:rsidRPr="00A75804" w:rsidRDefault="007C2199" w:rsidP="00A75804">
            <w:pPr>
              <w:pStyle w:val="ListParagraph"/>
              <w:widowControl w:val="0"/>
              <w:numPr>
                <w:ilvl w:val="0"/>
                <w:numId w:val="11"/>
              </w:numPr>
              <w:spacing w:before="120" w:beforeAutospacing="0" w:after="120" w:afterAutospacing="0"/>
              <w:ind w:left="470" w:right="57" w:hanging="357"/>
              <w:rPr>
                <w:rFonts w:ascii="Arial" w:hAnsi="Arial" w:cs="Arial"/>
              </w:rPr>
            </w:pPr>
            <w:r>
              <w:rPr>
                <w:rFonts w:ascii="Arial" w:hAnsi="Arial"/>
                <w:sz w:val="22"/>
              </w:rPr>
              <w:t>Le tableau synthétique du CCS présentant les différents objectifs et obligations de chaque Convention en termes de mobilisation des ressources et le potentiel de chaque Convention à attirer des financements a été actualisé avec les derniers développements.</w:t>
            </w:r>
          </w:p>
          <w:p w14:paraId="19331600" w14:textId="77777777" w:rsidR="007C2199" w:rsidRPr="00A75804" w:rsidRDefault="007C2199" w:rsidP="00A75804">
            <w:pPr>
              <w:pStyle w:val="ListParagraph"/>
              <w:widowControl w:val="0"/>
              <w:numPr>
                <w:ilvl w:val="0"/>
                <w:numId w:val="11"/>
              </w:numPr>
              <w:spacing w:before="120" w:beforeAutospacing="0" w:after="120" w:afterAutospacing="0"/>
              <w:ind w:left="470" w:right="57" w:hanging="357"/>
              <w:rPr>
                <w:rFonts w:ascii="Arial" w:hAnsi="Arial" w:cs="Arial"/>
              </w:rPr>
            </w:pPr>
            <w:r>
              <w:rPr>
                <w:rFonts w:ascii="Arial" w:hAnsi="Arial"/>
                <w:sz w:val="22"/>
              </w:rPr>
              <w:t>Les flux de travaux proposés par le CCS concernant la mobilisation de ressources du secteur privé sont révisés en tenant compte de l</w:t>
            </w:r>
            <w:r w:rsidR="003C2B6A">
              <w:rPr>
                <w:rFonts w:ascii="Arial" w:hAnsi="Arial"/>
                <w:sz w:val="22"/>
              </w:rPr>
              <w:t>’</w:t>
            </w:r>
            <w:r>
              <w:rPr>
                <w:rFonts w:ascii="Arial" w:hAnsi="Arial"/>
                <w:sz w:val="22"/>
              </w:rPr>
              <w:t>expérience acquise depuis la mise en place de l</w:t>
            </w:r>
            <w:r w:rsidR="003C2B6A">
              <w:rPr>
                <w:rFonts w:ascii="Arial" w:hAnsi="Arial"/>
                <w:sz w:val="22"/>
              </w:rPr>
              <w:t>’</w:t>
            </w:r>
            <w:r>
              <w:rPr>
                <w:rFonts w:ascii="Arial" w:hAnsi="Arial"/>
                <w:sz w:val="22"/>
              </w:rPr>
              <w:t>Unité CCS.</w:t>
            </w:r>
          </w:p>
          <w:p w14:paraId="57DFAE8D" w14:textId="77777777" w:rsidR="007C2199" w:rsidRPr="00A75804" w:rsidRDefault="007C2199" w:rsidP="00A75804">
            <w:pPr>
              <w:pStyle w:val="ListParagraph"/>
              <w:widowControl w:val="0"/>
              <w:numPr>
                <w:ilvl w:val="0"/>
                <w:numId w:val="11"/>
              </w:numPr>
              <w:spacing w:before="120" w:beforeAutospacing="0" w:after="120" w:afterAutospacing="0"/>
              <w:ind w:left="470" w:right="57" w:hanging="357"/>
              <w:rPr>
                <w:rFonts w:ascii="Arial" w:hAnsi="Arial" w:cs="Arial"/>
              </w:rPr>
            </w:pPr>
            <w:r>
              <w:rPr>
                <w:rFonts w:ascii="Arial" w:hAnsi="Arial"/>
                <w:sz w:val="22"/>
              </w:rPr>
              <w:t>Le CCS développe une stratégie de communications et de diffusion en collaboration avec ITH.</w:t>
            </w:r>
          </w:p>
          <w:p w14:paraId="3B384C09" w14:textId="77777777" w:rsidR="007C2199" w:rsidRPr="0033405D" w:rsidRDefault="007C2199" w:rsidP="00C74404">
            <w:pPr>
              <w:pStyle w:val="ListParagraph"/>
              <w:widowControl w:val="0"/>
              <w:numPr>
                <w:ilvl w:val="0"/>
                <w:numId w:val="11"/>
              </w:numPr>
              <w:spacing w:before="120" w:beforeAutospacing="0" w:after="120" w:afterAutospacing="0"/>
              <w:ind w:left="470" w:right="57" w:hanging="357"/>
              <w:rPr>
                <w:rFonts w:ascii="Arial" w:hAnsi="Arial" w:cs="Arial"/>
              </w:rPr>
            </w:pPr>
            <w:r>
              <w:rPr>
                <w:rFonts w:ascii="Arial" w:hAnsi="Arial"/>
                <w:sz w:val="22"/>
              </w:rPr>
              <w:t>Le CCS recherche des partenaires du secteur privé qui pourraient éventuellement intéresser ITH, afin d</w:t>
            </w:r>
            <w:r w:rsidR="003C2B6A">
              <w:rPr>
                <w:rFonts w:ascii="Arial" w:hAnsi="Arial"/>
                <w:sz w:val="22"/>
              </w:rPr>
              <w:t>’</w:t>
            </w:r>
            <w:r>
              <w:rPr>
                <w:rFonts w:ascii="Arial" w:hAnsi="Arial"/>
                <w:sz w:val="22"/>
              </w:rPr>
              <w:t>identifier cinq à sept partenaires potentiels au cours du présent exercice biennal.</w:t>
            </w:r>
          </w:p>
        </w:tc>
      </w:tr>
    </w:tbl>
    <w:p w14:paraId="4F20CB13" w14:textId="77777777" w:rsidR="007C2199" w:rsidRPr="00776A37" w:rsidRDefault="007C2199" w:rsidP="002437F6">
      <w:pPr>
        <w:pStyle w:val="COMParaDecision"/>
        <w:numPr>
          <w:ilvl w:val="0"/>
          <w:numId w:val="0"/>
        </w:numPr>
        <w:rPr>
          <w:highlight w:val="yellow"/>
          <w:u w:val="none"/>
        </w:rPr>
      </w:pPr>
    </w:p>
    <w:sectPr w:rsidR="007C2199" w:rsidRPr="00776A37" w:rsidSect="002437F6">
      <w:headerReference w:type="first" r:id="rId66"/>
      <w:pgSz w:w="16838" w:h="11906" w:orient="landscape" w:code="9"/>
      <w:pgMar w:top="709" w:right="1134" w:bottom="709" w:left="1418"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707CD" w14:textId="77777777" w:rsidR="0047302F" w:rsidRDefault="0047302F" w:rsidP="00655736">
      <w:r>
        <w:separator/>
      </w:r>
    </w:p>
  </w:endnote>
  <w:endnote w:type="continuationSeparator" w:id="0">
    <w:p w14:paraId="7D5173B9" w14:textId="77777777" w:rsidR="0047302F" w:rsidRDefault="0047302F" w:rsidP="00655736">
      <w:r>
        <w:continuationSeparator/>
      </w:r>
    </w:p>
  </w:endnote>
  <w:endnote w:type="continuationNotice" w:id="1">
    <w:p w14:paraId="56410473" w14:textId="77777777" w:rsidR="0047302F" w:rsidRDefault="00473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FE261" w14:textId="77777777" w:rsidR="0047302F" w:rsidRDefault="0047302F" w:rsidP="00655736">
      <w:r>
        <w:separator/>
      </w:r>
    </w:p>
  </w:footnote>
  <w:footnote w:type="continuationSeparator" w:id="0">
    <w:p w14:paraId="58FCD26B" w14:textId="77777777" w:rsidR="0047302F" w:rsidRDefault="0047302F" w:rsidP="00655736">
      <w:r>
        <w:continuationSeparator/>
      </w:r>
    </w:p>
  </w:footnote>
  <w:footnote w:type="continuationNotice" w:id="1">
    <w:p w14:paraId="751B6CFD" w14:textId="77777777" w:rsidR="0047302F" w:rsidRDefault="004730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F22B" w14:textId="00193D29" w:rsidR="0047302F" w:rsidRPr="00C23A97" w:rsidRDefault="0047302F" w:rsidP="00834CCB">
    <w:pPr>
      <w:pStyle w:val="Header"/>
      <w:jc w:val="right"/>
      <w:rPr>
        <w:rFonts w:ascii="Arial" w:hAnsi="Arial" w:cs="Arial"/>
      </w:rPr>
    </w:pPr>
    <w:r>
      <w:rPr>
        <w:rFonts w:ascii="Arial" w:hAnsi="Arial"/>
      </w:rPr>
      <w:t xml:space="preserve">ITH/16/11.COM/5 – page </w:t>
    </w:r>
    <w:r w:rsidRPr="00C23A97">
      <w:rPr>
        <w:rStyle w:val="PageNumber"/>
        <w:rFonts w:ascii="Arial" w:hAnsi="Arial" w:cs="Arial"/>
      </w:rPr>
      <w:fldChar w:fldCharType="begin"/>
    </w:r>
    <w:r w:rsidRPr="00C23A97">
      <w:rPr>
        <w:rStyle w:val="PageNumber"/>
        <w:rFonts w:ascii="Arial" w:hAnsi="Arial" w:cs="Arial"/>
      </w:rPr>
      <w:instrText xml:space="preserve"> PAGE </w:instrText>
    </w:r>
    <w:r w:rsidRPr="00C23A97">
      <w:rPr>
        <w:rStyle w:val="PageNumber"/>
        <w:rFonts w:ascii="Arial" w:hAnsi="Arial" w:cs="Arial"/>
      </w:rPr>
      <w:fldChar w:fldCharType="separate"/>
    </w:r>
    <w:r w:rsidR="00D4626B">
      <w:rPr>
        <w:rStyle w:val="PageNumber"/>
        <w:rFonts w:ascii="Arial" w:hAnsi="Arial" w:cs="Arial"/>
        <w:noProof/>
      </w:rPr>
      <w:t>10</w:t>
    </w:r>
    <w:r w:rsidRPr="00C23A97">
      <w:rPr>
        <w:rStyle w:val="PageNumbe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3596" w14:textId="775E99DA" w:rsidR="0047302F" w:rsidRPr="0063300C" w:rsidRDefault="0047302F" w:rsidP="00834CCB">
    <w:pPr>
      <w:pStyle w:val="Header"/>
      <w:rPr>
        <w:rFonts w:ascii="Arial" w:hAnsi="Arial" w:cs="Arial"/>
      </w:rPr>
    </w:pPr>
    <w:r>
      <w:rPr>
        <w:rFonts w:ascii="Arial" w:hAnsi="Arial"/>
      </w:rPr>
      <w:t xml:space="preserve">ITH/16/11.COM/5 – page </w:t>
    </w:r>
    <w:r w:rsidRPr="0063300C">
      <w:rPr>
        <w:rStyle w:val="PageNumber"/>
        <w:rFonts w:ascii="Arial" w:hAnsi="Arial" w:cs="Arial"/>
      </w:rPr>
      <w:fldChar w:fldCharType="begin"/>
    </w:r>
    <w:r w:rsidRPr="0063300C">
      <w:rPr>
        <w:rStyle w:val="PageNumber"/>
        <w:rFonts w:ascii="Arial" w:hAnsi="Arial" w:cs="Arial"/>
      </w:rPr>
      <w:instrText xml:space="preserve"> PAGE </w:instrText>
    </w:r>
    <w:r w:rsidRPr="0063300C">
      <w:rPr>
        <w:rStyle w:val="PageNumber"/>
        <w:rFonts w:ascii="Arial" w:hAnsi="Arial" w:cs="Arial"/>
      </w:rPr>
      <w:fldChar w:fldCharType="separate"/>
    </w:r>
    <w:r w:rsidR="00D4626B">
      <w:rPr>
        <w:rStyle w:val="PageNumber"/>
        <w:rFonts w:ascii="Arial" w:hAnsi="Arial" w:cs="Arial"/>
        <w:noProof/>
      </w:rPr>
      <w:t>11</w:t>
    </w:r>
    <w:r w:rsidRPr="0063300C">
      <w:rPr>
        <w:rStyle w:val="PageNumbe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8E779" w14:textId="77777777" w:rsidR="0047302F" w:rsidRPr="00F32C23" w:rsidRDefault="0047302F">
    <w:pPr>
      <w:pStyle w:val="Header"/>
    </w:pPr>
    <w:r>
      <w:rPr>
        <w:noProof/>
      </w:rPr>
      <w:drawing>
        <wp:anchor distT="0" distB="0" distL="114300" distR="114300" simplePos="0" relativeHeight="251661824" behindDoc="0" locked="0" layoutInCell="1" allowOverlap="1" wp14:anchorId="13F94DF3" wp14:editId="733B6E9D">
          <wp:simplePos x="0" y="0"/>
          <wp:positionH relativeFrom="column">
            <wp:posOffset>-377190</wp:posOffset>
          </wp:positionH>
          <wp:positionV relativeFrom="page">
            <wp:posOffset>255905</wp:posOffset>
          </wp:positionV>
          <wp:extent cx="2037600" cy="15336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3600"/>
                  </a:xfrm>
                  <a:prstGeom prst="rect">
                    <a:avLst/>
                  </a:prstGeom>
                  <a:noFill/>
                </pic:spPr>
              </pic:pic>
            </a:graphicData>
          </a:graphic>
          <wp14:sizeRelH relativeFrom="page">
            <wp14:pctWidth>0</wp14:pctWidth>
          </wp14:sizeRelH>
          <wp14:sizeRelV relativeFrom="page">
            <wp14:pctHeight>0</wp14:pctHeight>
          </wp14:sizeRelV>
        </wp:anchor>
      </w:drawing>
    </w:r>
  </w:p>
  <w:p w14:paraId="222507D7" w14:textId="77777777" w:rsidR="0047302F" w:rsidRPr="00634D03" w:rsidRDefault="0047302F" w:rsidP="00655736">
    <w:pPr>
      <w:pStyle w:val="Header"/>
      <w:spacing w:after="520"/>
      <w:jc w:val="right"/>
      <w:rPr>
        <w:rFonts w:ascii="Arial" w:hAnsi="Arial" w:cs="Arial"/>
        <w:b/>
        <w:sz w:val="44"/>
        <w:szCs w:val="44"/>
        <w:lang w:val="pt-BR"/>
      </w:rPr>
    </w:pPr>
    <w:r w:rsidRPr="00634D03">
      <w:rPr>
        <w:rFonts w:ascii="Arial" w:hAnsi="Arial"/>
        <w:b/>
        <w:sz w:val="44"/>
        <w:lang w:val="pt-BR"/>
      </w:rPr>
      <w:t>11 COM</w:t>
    </w:r>
  </w:p>
  <w:p w14:paraId="01AA98C1" w14:textId="77777777" w:rsidR="0047302F" w:rsidRPr="00634D03" w:rsidRDefault="0047302F" w:rsidP="00655736">
    <w:pPr>
      <w:jc w:val="right"/>
      <w:rPr>
        <w:rFonts w:ascii="Arial" w:hAnsi="Arial" w:cs="Arial"/>
        <w:b/>
        <w:sz w:val="22"/>
        <w:szCs w:val="22"/>
        <w:lang w:val="pt-BR"/>
      </w:rPr>
    </w:pPr>
    <w:r w:rsidRPr="00634D03">
      <w:rPr>
        <w:rFonts w:ascii="Arial" w:hAnsi="Arial"/>
        <w:b/>
        <w:sz w:val="22"/>
        <w:lang w:val="pt-BR"/>
      </w:rPr>
      <w:t>ITH/</w:t>
    </w:r>
    <w:proofErr w:type="gramStart"/>
    <w:r w:rsidRPr="00634D03">
      <w:rPr>
        <w:rFonts w:ascii="Arial" w:hAnsi="Arial"/>
        <w:b/>
        <w:sz w:val="22"/>
        <w:lang w:val="pt-BR"/>
      </w:rPr>
      <w:t>16/11.</w:t>
    </w:r>
    <w:proofErr w:type="gramEnd"/>
    <w:r w:rsidRPr="00634D03">
      <w:rPr>
        <w:rFonts w:ascii="Arial" w:hAnsi="Arial"/>
        <w:b/>
        <w:sz w:val="22"/>
        <w:lang w:val="pt-BR"/>
      </w:rPr>
      <w:t>COM/5</w:t>
    </w:r>
  </w:p>
  <w:p w14:paraId="08B2C8D5" w14:textId="3A796B4E" w:rsidR="0047302F" w:rsidRPr="00634D03" w:rsidRDefault="0047302F" w:rsidP="00655736">
    <w:pPr>
      <w:jc w:val="right"/>
      <w:rPr>
        <w:rFonts w:ascii="Arial" w:hAnsi="Arial" w:cs="Arial"/>
        <w:b/>
        <w:sz w:val="22"/>
        <w:szCs w:val="22"/>
        <w:lang w:val="pt-BR"/>
      </w:rPr>
    </w:pPr>
    <w:r w:rsidRPr="00634D03">
      <w:rPr>
        <w:rFonts w:ascii="Arial" w:hAnsi="Arial"/>
        <w:b/>
        <w:sz w:val="22"/>
        <w:lang w:val="pt-BR"/>
      </w:rPr>
      <w:t xml:space="preserve">Paris, </w:t>
    </w:r>
    <w:proofErr w:type="spellStart"/>
    <w:proofErr w:type="gramStart"/>
    <w:r w:rsidRPr="00634D03">
      <w:rPr>
        <w:rFonts w:ascii="Arial" w:hAnsi="Arial"/>
        <w:b/>
        <w:sz w:val="22"/>
        <w:lang w:val="pt-BR"/>
      </w:rPr>
      <w:t>le</w:t>
    </w:r>
    <w:proofErr w:type="spellEnd"/>
    <w:proofErr w:type="gramEnd"/>
    <w:r w:rsidRPr="00634D03">
      <w:rPr>
        <w:rFonts w:ascii="Arial" w:hAnsi="Arial"/>
        <w:b/>
        <w:sz w:val="22"/>
        <w:lang w:val="pt-BR"/>
      </w:rPr>
      <w:t xml:space="preserve"> </w:t>
    </w:r>
    <w:r w:rsidR="00121285">
      <w:rPr>
        <w:rFonts w:ascii="Arial" w:hAnsi="Arial"/>
        <w:b/>
        <w:sz w:val="22"/>
        <w:lang w:val="pt-BR"/>
      </w:rPr>
      <w:t xml:space="preserve">31 </w:t>
    </w:r>
    <w:proofErr w:type="spellStart"/>
    <w:r w:rsidR="00121285">
      <w:rPr>
        <w:rFonts w:ascii="Arial" w:hAnsi="Arial"/>
        <w:b/>
        <w:sz w:val="22"/>
        <w:lang w:val="pt-BR"/>
      </w:rPr>
      <w:t>octobre</w:t>
    </w:r>
    <w:proofErr w:type="spellEnd"/>
    <w:r w:rsidRPr="00634D03">
      <w:rPr>
        <w:rFonts w:ascii="Arial" w:hAnsi="Arial"/>
        <w:b/>
        <w:sz w:val="22"/>
        <w:lang w:val="pt-BR"/>
      </w:rPr>
      <w:t> 2016</w:t>
    </w:r>
  </w:p>
  <w:p w14:paraId="23E3E7F8" w14:textId="0502C9F4" w:rsidR="0047302F" w:rsidRPr="00D05623" w:rsidRDefault="0047302F" w:rsidP="00A918D9">
    <w:pPr>
      <w:jc w:val="right"/>
      <w:rPr>
        <w:lang w:val="pt-BR"/>
      </w:rPr>
    </w:pPr>
    <w:proofErr w:type="gramStart"/>
    <w:r w:rsidRPr="00D05623">
      <w:rPr>
        <w:rFonts w:ascii="Arial" w:hAnsi="Arial"/>
        <w:b/>
        <w:sz w:val="22"/>
        <w:lang w:val="pt-BR"/>
      </w:rPr>
      <w:t>Original :</w:t>
    </w:r>
    <w:proofErr w:type="gramEnd"/>
    <w:r w:rsidRPr="00D05623">
      <w:rPr>
        <w:rFonts w:ascii="Arial" w:hAnsi="Arial"/>
        <w:b/>
        <w:sz w:val="22"/>
        <w:lang w:val="pt-BR"/>
      </w:rPr>
      <w:t xml:space="preserve"> </w:t>
    </w:r>
    <w:proofErr w:type="spellStart"/>
    <w:r w:rsidRPr="00D05623">
      <w:rPr>
        <w:rFonts w:ascii="Arial" w:hAnsi="Arial"/>
        <w:b/>
        <w:sz w:val="22"/>
        <w:lang w:val="pt-BR"/>
      </w:rPr>
      <w:t>anglais</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57188" w14:textId="0F873C0B" w:rsidR="0047302F" w:rsidRPr="0063300C" w:rsidRDefault="0047302F" w:rsidP="00FA5645">
    <w:pPr>
      <w:pStyle w:val="Header"/>
      <w:jc w:val="right"/>
      <w:rPr>
        <w:rFonts w:ascii="Arial" w:hAnsi="Arial" w:cs="Arial"/>
      </w:rPr>
    </w:pPr>
    <w:r>
      <w:rPr>
        <w:rFonts w:ascii="Arial" w:hAnsi="Arial"/>
      </w:rPr>
      <w:t xml:space="preserve">ITH/16/11.COM/5 – page </w:t>
    </w:r>
    <w:r w:rsidRPr="0063300C">
      <w:rPr>
        <w:rStyle w:val="PageNumber"/>
        <w:rFonts w:ascii="Arial" w:hAnsi="Arial" w:cs="Arial"/>
      </w:rPr>
      <w:fldChar w:fldCharType="begin"/>
    </w:r>
    <w:r w:rsidRPr="0063300C">
      <w:rPr>
        <w:rStyle w:val="PageNumber"/>
        <w:rFonts w:ascii="Arial" w:hAnsi="Arial" w:cs="Arial"/>
      </w:rPr>
      <w:instrText xml:space="preserve"> PAGE </w:instrText>
    </w:r>
    <w:r w:rsidRPr="0063300C">
      <w:rPr>
        <w:rStyle w:val="PageNumber"/>
        <w:rFonts w:ascii="Arial" w:hAnsi="Arial" w:cs="Arial"/>
      </w:rPr>
      <w:fldChar w:fldCharType="separate"/>
    </w:r>
    <w:r w:rsidR="00D4626B">
      <w:rPr>
        <w:rStyle w:val="PageNumber"/>
        <w:rFonts w:ascii="Arial" w:hAnsi="Arial" w:cs="Arial"/>
        <w:noProof/>
      </w:rPr>
      <w:t>32</w:t>
    </w:r>
    <w:r w:rsidRPr="0063300C">
      <w:rPr>
        <w:rStyle w:val="PageNumber"/>
        <w:rFonts w:ascii="Arial" w:hAnsi="Arial" w:cs="Arial"/>
      </w:rPr>
      <w:fldChar w:fldCharType="end"/>
    </w:r>
  </w:p>
  <w:p w14:paraId="64F12FD1" w14:textId="77777777" w:rsidR="0047302F" w:rsidRPr="00C23A97" w:rsidRDefault="0047302F">
    <w:pPr>
      <w:pStyle w:val="Head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2F0FB" w14:textId="2CAF9992" w:rsidR="0047302F" w:rsidRPr="0063300C" w:rsidRDefault="0047302F" w:rsidP="00FA5645">
    <w:pPr>
      <w:pStyle w:val="Header"/>
      <w:rPr>
        <w:rFonts w:ascii="Arial" w:hAnsi="Arial" w:cs="Arial"/>
      </w:rPr>
    </w:pPr>
    <w:r>
      <w:rPr>
        <w:rFonts w:ascii="Arial" w:hAnsi="Arial"/>
      </w:rPr>
      <w:t xml:space="preserve">ITH/16/11.COM/5 – page </w:t>
    </w:r>
    <w:r w:rsidRPr="0063300C">
      <w:rPr>
        <w:rStyle w:val="PageNumber"/>
        <w:rFonts w:ascii="Arial" w:hAnsi="Arial" w:cs="Arial"/>
      </w:rPr>
      <w:fldChar w:fldCharType="begin"/>
    </w:r>
    <w:r w:rsidRPr="0063300C">
      <w:rPr>
        <w:rStyle w:val="PageNumber"/>
        <w:rFonts w:ascii="Arial" w:hAnsi="Arial" w:cs="Arial"/>
      </w:rPr>
      <w:instrText xml:space="preserve"> PAGE </w:instrText>
    </w:r>
    <w:r w:rsidRPr="0063300C">
      <w:rPr>
        <w:rStyle w:val="PageNumber"/>
        <w:rFonts w:ascii="Arial" w:hAnsi="Arial" w:cs="Arial"/>
      </w:rPr>
      <w:fldChar w:fldCharType="separate"/>
    </w:r>
    <w:r w:rsidR="00D4626B">
      <w:rPr>
        <w:rStyle w:val="PageNumber"/>
        <w:rFonts w:ascii="Arial" w:hAnsi="Arial" w:cs="Arial"/>
        <w:noProof/>
      </w:rPr>
      <w:t>35</w:t>
    </w:r>
    <w:r w:rsidRPr="0063300C">
      <w:rPr>
        <w:rStyle w:val="PageNumber"/>
        <w:rFonts w:ascii="Arial" w:hAnsi="Arial" w:cs="Aria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F60FD" w14:textId="79059E29" w:rsidR="0047302F" w:rsidRPr="00FA5645" w:rsidRDefault="0047302F" w:rsidP="00FA5645">
    <w:pPr>
      <w:pStyle w:val="Header"/>
      <w:jc w:val="right"/>
      <w:rPr>
        <w:rFonts w:ascii="Arial" w:hAnsi="Arial" w:cs="Arial"/>
      </w:rPr>
    </w:pPr>
    <w:r>
      <w:rPr>
        <w:rFonts w:ascii="Arial" w:hAnsi="Arial"/>
      </w:rPr>
      <w:t xml:space="preserve">ITH/16/11.COM/5 – page </w:t>
    </w:r>
    <w:r w:rsidRPr="0063300C">
      <w:rPr>
        <w:rStyle w:val="PageNumber"/>
        <w:rFonts w:ascii="Arial" w:hAnsi="Arial" w:cs="Arial"/>
      </w:rPr>
      <w:fldChar w:fldCharType="begin"/>
    </w:r>
    <w:r w:rsidRPr="0063300C">
      <w:rPr>
        <w:rStyle w:val="PageNumber"/>
        <w:rFonts w:ascii="Arial" w:hAnsi="Arial" w:cs="Arial"/>
      </w:rPr>
      <w:instrText xml:space="preserve"> PAGE </w:instrText>
    </w:r>
    <w:r w:rsidRPr="0063300C">
      <w:rPr>
        <w:rStyle w:val="PageNumber"/>
        <w:rFonts w:ascii="Arial" w:hAnsi="Arial" w:cs="Arial"/>
      </w:rPr>
      <w:fldChar w:fldCharType="separate"/>
    </w:r>
    <w:r w:rsidR="00D4626B">
      <w:rPr>
        <w:rStyle w:val="PageNumber"/>
        <w:rFonts w:ascii="Arial" w:hAnsi="Arial" w:cs="Arial"/>
        <w:noProof/>
      </w:rPr>
      <w:t>12</w:t>
    </w:r>
    <w:r w:rsidRPr="0063300C">
      <w:rPr>
        <w:rStyle w:val="PageNumber"/>
        <w:rFonts w:ascii="Arial" w:hAnsi="Arial" w:cs="Aria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67D3" w14:textId="17C1E255" w:rsidR="0047302F" w:rsidRPr="00C23A97" w:rsidRDefault="0047302F" w:rsidP="00834CCB">
    <w:pPr>
      <w:pStyle w:val="Header"/>
      <w:rPr>
        <w:rFonts w:ascii="Arial" w:hAnsi="Arial" w:cs="Arial"/>
      </w:rPr>
    </w:pPr>
    <w:r>
      <w:rPr>
        <w:rFonts w:ascii="Arial" w:hAnsi="Arial"/>
      </w:rPr>
      <w:t xml:space="preserve">ITH/16/11.COM/5 – page </w:t>
    </w:r>
    <w:r w:rsidRPr="00C23A97">
      <w:rPr>
        <w:rStyle w:val="PageNumber"/>
        <w:rFonts w:ascii="Arial" w:hAnsi="Arial" w:cs="Arial"/>
      </w:rPr>
      <w:fldChar w:fldCharType="begin"/>
    </w:r>
    <w:r w:rsidRPr="00C23A97">
      <w:rPr>
        <w:rStyle w:val="PageNumber"/>
        <w:rFonts w:ascii="Arial" w:hAnsi="Arial" w:cs="Arial"/>
      </w:rPr>
      <w:instrText xml:space="preserve"> PAGE </w:instrText>
    </w:r>
    <w:r w:rsidRPr="00C23A97">
      <w:rPr>
        <w:rStyle w:val="PageNumber"/>
        <w:rFonts w:ascii="Arial" w:hAnsi="Arial" w:cs="Arial"/>
      </w:rPr>
      <w:fldChar w:fldCharType="separate"/>
    </w:r>
    <w:r w:rsidR="00D4626B">
      <w:rPr>
        <w:rStyle w:val="PageNumber"/>
        <w:rFonts w:ascii="Arial" w:hAnsi="Arial" w:cs="Arial"/>
        <w:noProof/>
      </w:rPr>
      <w:t>31</w:t>
    </w:r>
    <w:r w:rsidRPr="00C23A97">
      <w:rPr>
        <w:rStyle w:val="PageNumber"/>
        <w:rFonts w:ascii="Arial" w:hAnsi="Arial" w:cs="Arial"/>
      </w:rPr>
      <w:fldChar w:fldCharType="end"/>
    </w:r>
  </w:p>
  <w:p w14:paraId="3E28F70C" w14:textId="77777777" w:rsidR="0047302F" w:rsidRPr="00F32C23" w:rsidRDefault="0047302F" w:rsidP="00834CCB">
    <w:pPr>
      <w:jc w:val="right"/>
    </w:pPr>
  </w:p>
  <w:p w14:paraId="449A68B1" w14:textId="77777777" w:rsidR="0047302F" w:rsidRDefault="004730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4E5A62"/>
    <w:lvl w:ilvl="0">
      <w:start w:val="1"/>
      <w:numFmt w:val="bullet"/>
      <w:lvlText w:val=""/>
      <w:lvlJc w:val="left"/>
      <w:pPr>
        <w:tabs>
          <w:tab w:val="num" w:pos="360"/>
        </w:tabs>
        <w:ind w:left="360" w:hanging="360"/>
      </w:pPr>
      <w:rPr>
        <w:rFonts w:ascii="Symbol" w:hAnsi="Symbol" w:hint="default"/>
      </w:rPr>
    </w:lvl>
  </w:abstractNum>
  <w:abstractNum w:abstractNumId="1">
    <w:nsid w:val="04927785"/>
    <w:multiLevelType w:val="hybridMultilevel"/>
    <w:tmpl w:val="F3860446"/>
    <w:lvl w:ilvl="0" w:tplc="42E600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F114B2"/>
    <w:multiLevelType w:val="hybridMultilevel"/>
    <w:tmpl w:val="4F28107C"/>
    <w:lvl w:ilvl="0" w:tplc="040C0001">
      <w:start w:val="1"/>
      <w:numFmt w:val="bullet"/>
      <w:lvlText w:val=""/>
      <w:lvlJc w:val="left"/>
      <w:pPr>
        <w:ind w:left="720" w:hanging="360"/>
      </w:pPr>
      <w:rPr>
        <w:rFonts w:ascii="Symbol" w:hAnsi="Symbol" w:hint="default"/>
      </w:rPr>
    </w:lvl>
    <w:lvl w:ilvl="1" w:tplc="42E600F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8A7F8F"/>
    <w:multiLevelType w:val="hybridMultilevel"/>
    <w:tmpl w:val="64662A7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cs="Times New Roman"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232D2344"/>
    <w:multiLevelType w:val="hybridMultilevel"/>
    <w:tmpl w:val="3A9244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32786873"/>
    <w:multiLevelType w:val="hybridMultilevel"/>
    <w:tmpl w:val="5E50B0B2"/>
    <w:lvl w:ilvl="0" w:tplc="24AC31DA">
      <w:start w:val="1"/>
      <w:numFmt w:val="lowerLetter"/>
      <w:lvlText w:val="(%1)"/>
      <w:lvlJc w:val="left"/>
      <w:pPr>
        <w:ind w:left="855" w:hanging="495"/>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35F07BFE"/>
    <w:multiLevelType w:val="hybridMultilevel"/>
    <w:tmpl w:val="E24AD55A"/>
    <w:lvl w:ilvl="0" w:tplc="76CAC304">
      <w:start w:val="1"/>
      <w:numFmt w:val="decimal"/>
      <w:pStyle w:val="COMPara"/>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8">
    <w:nsid w:val="38F54C01"/>
    <w:multiLevelType w:val="hybridMultilevel"/>
    <w:tmpl w:val="F1A04292"/>
    <w:lvl w:ilvl="0" w:tplc="3624500A">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97A4DB1"/>
    <w:multiLevelType w:val="hybridMultilevel"/>
    <w:tmpl w:val="1F36D964"/>
    <w:lvl w:ilvl="0" w:tplc="918ACE6A">
      <w:start w:val="1"/>
      <w:numFmt w:val="decimal"/>
      <w:pStyle w:val="COMParaDecision"/>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10">
    <w:nsid w:val="3AC30BD2"/>
    <w:multiLevelType w:val="hybridMultilevel"/>
    <w:tmpl w:val="2F02E984"/>
    <w:lvl w:ilvl="0" w:tplc="DFC65752">
      <w:start w:val="1"/>
      <w:numFmt w:val="upperRoman"/>
      <w:pStyle w:val="Heading4"/>
      <w:lvlText w:val="%1."/>
      <w:lvlJc w:val="right"/>
      <w:pPr>
        <w:ind w:left="720" w:hanging="360"/>
      </w:pPr>
      <w:rPr>
        <w:rFonts w:cs="Times New Roman" w:hint="default"/>
        <w:b/>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40CE7015"/>
    <w:multiLevelType w:val="hybridMultilevel"/>
    <w:tmpl w:val="F4BC6402"/>
    <w:lvl w:ilvl="0" w:tplc="2EC0D8EC">
      <w:start w:val="1"/>
      <w:numFmt w:val="decimal"/>
      <w:pStyle w:val="Para"/>
      <w:lvlText w:val="%1."/>
      <w:lvlJc w:val="left"/>
      <w:pPr>
        <w:ind w:left="502" w:hanging="360"/>
      </w:pPr>
      <w:rPr>
        <w:rFonts w:cs="Times New Roman" w:hint="default"/>
        <w:b w:val="0"/>
      </w:rPr>
    </w:lvl>
    <w:lvl w:ilvl="1" w:tplc="04090019">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2">
    <w:nsid w:val="47140D93"/>
    <w:multiLevelType w:val="hybridMultilevel"/>
    <w:tmpl w:val="C34CED34"/>
    <w:lvl w:ilvl="0" w:tplc="8092E936">
      <w:start w:val="1"/>
      <w:numFmt w:val="decimal"/>
      <w:pStyle w:val="5GAparabodytext"/>
      <w:lvlText w:val="%1."/>
      <w:lvlJc w:val="left"/>
      <w:pPr>
        <w:ind w:left="1287" w:hanging="360"/>
      </w:pPr>
      <w:rPr>
        <w:rFonts w:cs="Times New Roman"/>
        <w:b w:val="0"/>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13">
    <w:nsid w:val="5DC778C2"/>
    <w:multiLevelType w:val="hybridMultilevel"/>
    <w:tmpl w:val="08B2D8F0"/>
    <w:lvl w:ilvl="0" w:tplc="24D08236">
      <w:start w:val="1"/>
      <w:numFmt w:val="decimal"/>
      <w:pStyle w:val="Paragraph"/>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7C756EDD"/>
    <w:multiLevelType w:val="hybridMultilevel"/>
    <w:tmpl w:val="884C7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7"/>
  </w:num>
  <w:num w:numId="5">
    <w:abstractNumId w:val="9"/>
  </w:num>
  <w:num w:numId="6">
    <w:abstractNumId w:val="10"/>
  </w:num>
  <w:num w:numId="7">
    <w:abstractNumId w:val="8"/>
  </w:num>
  <w:num w:numId="8">
    <w:abstractNumId w:val="12"/>
  </w:num>
  <w:num w:numId="9">
    <w:abstractNumId w:val="3"/>
  </w:num>
  <w:num w:numId="10">
    <w:abstractNumId w:val="5"/>
  </w:num>
  <w:num w:numId="11">
    <w:abstractNumId w:val="14"/>
  </w:num>
  <w:num w:numId="12">
    <w:abstractNumId w:val="1"/>
  </w:num>
  <w:num w:numId="13">
    <w:abstractNumId w:val="2"/>
  </w:num>
  <w:num w:numId="14">
    <w:abstractNumId w:val="6"/>
  </w:num>
  <w:num w:numId="15">
    <w:abstractNumId w:val="13"/>
  </w:num>
  <w:num w:numId="16">
    <w:abstractNumId w:val="11"/>
  </w:num>
  <w:num w:numId="17">
    <w:abstractNumId w:val="7"/>
  </w:num>
  <w:num w:numId="18">
    <w:abstractNumId w:val="7"/>
  </w:num>
  <w:num w:numId="19">
    <w:abstractNumId w:val="7"/>
  </w:num>
  <w:num w:numId="20">
    <w:abstractNumId w:val="7"/>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2956"/>
    <w:rsid w:val="00002FBA"/>
    <w:rsid w:val="000048ED"/>
    <w:rsid w:val="00005DCC"/>
    <w:rsid w:val="000071B1"/>
    <w:rsid w:val="00014C32"/>
    <w:rsid w:val="00020182"/>
    <w:rsid w:val="0002372D"/>
    <w:rsid w:val="00024C5E"/>
    <w:rsid w:val="00025638"/>
    <w:rsid w:val="00026688"/>
    <w:rsid w:val="00032059"/>
    <w:rsid w:val="0003224C"/>
    <w:rsid w:val="0003291B"/>
    <w:rsid w:val="00033546"/>
    <w:rsid w:val="00034739"/>
    <w:rsid w:val="000375D8"/>
    <w:rsid w:val="00041A66"/>
    <w:rsid w:val="00041D15"/>
    <w:rsid w:val="0005176E"/>
    <w:rsid w:val="000566B1"/>
    <w:rsid w:val="000576DA"/>
    <w:rsid w:val="00070E1E"/>
    <w:rsid w:val="000765F7"/>
    <w:rsid w:val="00077AB7"/>
    <w:rsid w:val="00077DA4"/>
    <w:rsid w:val="00081CD8"/>
    <w:rsid w:val="00082E35"/>
    <w:rsid w:val="00086CCD"/>
    <w:rsid w:val="00094AA2"/>
    <w:rsid w:val="000A7F0E"/>
    <w:rsid w:val="000B0E52"/>
    <w:rsid w:val="000B1C8F"/>
    <w:rsid w:val="000B26DE"/>
    <w:rsid w:val="000B7917"/>
    <w:rsid w:val="000C0D61"/>
    <w:rsid w:val="000C1078"/>
    <w:rsid w:val="000C4C85"/>
    <w:rsid w:val="000C5465"/>
    <w:rsid w:val="000D6F3C"/>
    <w:rsid w:val="000E3443"/>
    <w:rsid w:val="000E3789"/>
    <w:rsid w:val="000F3A3F"/>
    <w:rsid w:val="000F4CD3"/>
    <w:rsid w:val="000F67AC"/>
    <w:rsid w:val="00102557"/>
    <w:rsid w:val="00105BFD"/>
    <w:rsid w:val="00105FBF"/>
    <w:rsid w:val="001065C6"/>
    <w:rsid w:val="0011172B"/>
    <w:rsid w:val="00121285"/>
    <w:rsid w:val="00122DB3"/>
    <w:rsid w:val="00124135"/>
    <w:rsid w:val="001244EB"/>
    <w:rsid w:val="00130F64"/>
    <w:rsid w:val="00133CD5"/>
    <w:rsid w:val="00137E60"/>
    <w:rsid w:val="0014074F"/>
    <w:rsid w:val="00141C70"/>
    <w:rsid w:val="001437C4"/>
    <w:rsid w:val="00150310"/>
    <w:rsid w:val="00157548"/>
    <w:rsid w:val="00163BC7"/>
    <w:rsid w:val="00164D56"/>
    <w:rsid w:val="00167B10"/>
    <w:rsid w:val="0017402F"/>
    <w:rsid w:val="00182241"/>
    <w:rsid w:val="0018225F"/>
    <w:rsid w:val="0018484B"/>
    <w:rsid w:val="00193DAA"/>
    <w:rsid w:val="00196C1B"/>
    <w:rsid w:val="001A2D50"/>
    <w:rsid w:val="001B0F73"/>
    <w:rsid w:val="001B516E"/>
    <w:rsid w:val="001B6B7B"/>
    <w:rsid w:val="001C2DB7"/>
    <w:rsid w:val="001C414B"/>
    <w:rsid w:val="001C6031"/>
    <w:rsid w:val="001C6280"/>
    <w:rsid w:val="001D5C04"/>
    <w:rsid w:val="001D72DE"/>
    <w:rsid w:val="001E0618"/>
    <w:rsid w:val="001E11B5"/>
    <w:rsid w:val="001E3B84"/>
    <w:rsid w:val="001E5663"/>
    <w:rsid w:val="001E759C"/>
    <w:rsid w:val="001F11B6"/>
    <w:rsid w:val="001F26CF"/>
    <w:rsid w:val="001F3B6F"/>
    <w:rsid w:val="00201B3F"/>
    <w:rsid w:val="00204BDB"/>
    <w:rsid w:val="00210EFB"/>
    <w:rsid w:val="002166EB"/>
    <w:rsid w:val="002211FC"/>
    <w:rsid w:val="00222A2D"/>
    <w:rsid w:val="00223029"/>
    <w:rsid w:val="00224E80"/>
    <w:rsid w:val="002268B6"/>
    <w:rsid w:val="00234745"/>
    <w:rsid w:val="00235C5B"/>
    <w:rsid w:val="002407AF"/>
    <w:rsid w:val="002437F6"/>
    <w:rsid w:val="002455C4"/>
    <w:rsid w:val="00256630"/>
    <w:rsid w:val="00257014"/>
    <w:rsid w:val="00263E84"/>
    <w:rsid w:val="0027466B"/>
    <w:rsid w:val="002838A5"/>
    <w:rsid w:val="00284411"/>
    <w:rsid w:val="00285BB4"/>
    <w:rsid w:val="002869A0"/>
    <w:rsid w:val="002876DD"/>
    <w:rsid w:val="00293C60"/>
    <w:rsid w:val="0029771F"/>
    <w:rsid w:val="002A2A19"/>
    <w:rsid w:val="002B32CE"/>
    <w:rsid w:val="002C09E3"/>
    <w:rsid w:val="002C23B2"/>
    <w:rsid w:val="002C35A5"/>
    <w:rsid w:val="002D3437"/>
    <w:rsid w:val="002E318D"/>
    <w:rsid w:val="002E35E7"/>
    <w:rsid w:val="002F47A3"/>
    <w:rsid w:val="002F7990"/>
    <w:rsid w:val="00300911"/>
    <w:rsid w:val="00303A48"/>
    <w:rsid w:val="00317408"/>
    <w:rsid w:val="00320F4B"/>
    <w:rsid w:val="003216CE"/>
    <w:rsid w:val="0032331B"/>
    <w:rsid w:val="00324459"/>
    <w:rsid w:val="00326112"/>
    <w:rsid w:val="00332B83"/>
    <w:rsid w:val="0033405D"/>
    <w:rsid w:val="00336D24"/>
    <w:rsid w:val="00343868"/>
    <w:rsid w:val="00344880"/>
    <w:rsid w:val="00344B58"/>
    <w:rsid w:val="0034539A"/>
    <w:rsid w:val="00345CB4"/>
    <w:rsid w:val="003524FD"/>
    <w:rsid w:val="00352840"/>
    <w:rsid w:val="00357B83"/>
    <w:rsid w:val="003636D3"/>
    <w:rsid w:val="00371E8F"/>
    <w:rsid w:val="00374239"/>
    <w:rsid w:val="00375D42"/>
    <w:rsid w:val="0038549B"/>
    <w:rsid w:val="0039147D"/>
    <w:rsid w:val="00392E62"/>
    <w:rsid w:val="00396AC8"/>
    <w:rsid w:val="00397EC9"/>
    <w:rsid w:val="003A2FFA"/>
    <w:rsid w:val="003A594F"/>
    <w:rsid w:val="003A6322"/>
    <w:rsid w:val="003B2791"/>
    <w:rsid w:val="003B42AE"/>
    <w:rsid w:val="003B5C72"/>
    <w:rsid w:val="003C0109"/>
    <w:rsid w:val="003C2B6A"/>
    <w:rsid w:val="003C35C3"/>
    <w:rsid w:val="003D069C"/>
    <w:rsid w:val="003D2320"/>
    <w:rsid w:val="003D46CA"/>
    <w:rsid w:val="003D7646"/>
    <w:rsid w:val="003E5919"/>
    <w:rsid w:val="003F113A"/>
    <w:rsid w:val="003F1ACC"/>
    <w:rsid w:val="003F3E63"/>
    <w:rsid w:val="00401070"/>
    <w:rsid w:val="00401DFB"/>
    <w:rsid w:val="00407480"/>
    <w:rsid w:val="00414643"/>
    <w:rsid w:val="00414680"/>
    <w:rsid w:val="0041720B"/>
    <w:rsid w:val="00417A2D"/>
    <w:rsid w:val="004217A2"/>
    <w:rsid w:val="00422ACD"/>
    <w:rsid w:val="004263FC"/>
    <w:rsid w:val="00427622"/>
    <w:rsid w:val="004304DD"/>
    <w:rsid w:val="00432335"/>
    <w:rsid w:val="00437ED0"/>
    <w:rsid w:val="004421E5"/>
    <w:rsid w:val="00445A78"/>
    <w:rsid w:val="00446540"/>
    <w:rsid w:val="00452284"/>
    <w:rsid w:val="00457C8E"/>
    <w:rsid w:val="00462563"/>
    <w:rsid w:val="0047302F"/>
    <w:rsid w:val="0047368A"/>
    <w:rsid w:val="004856CA"/>
    <w:rsid w:val="00485F3C"/>
    <w:rsid w:val="00487E67"/>
    <w:rsid w:val="0049211C"/>
    <w:rsid w:val="0049705E"/>
    <w:rsid w:val="004A1734"/>
    <w:rsid w:val="004A34A0"/>
    <w:rsid w:val="004A4C3B"/>
    <w:rsid w:val="004A5484"/>
    <w:rsid w:val="004A5868"/>
    <w:rsid w:val="004A5FE7"/>
    <w:rsid w:val="004B0D3E"/>
    <w:rsid w:val="004B45B2"/>
    <w:rsid w:val="004C4707"/>
    <w:rsid w:val="004D1524"/>
    <w:rsid w:val="004D32BE"/>
    <w:rsid w:val="004D4E48"/>
    <w:rsid w:val="004D57F2"/>
    <w:rsid w:val="004E10BA"/>
    <w:rsid w:val="004F5F19"/>
    <w:rsid w:val="004F7612"/>
    <w:rsid w:val="005008A8"/>
    <w:rsid w:val="00515C6A"/>
    <w:rsid w:val="005261AD"/>
    <w:rsid w:val="00526B7B"/>
    <w:rsid w:val="005308CE"/>
    <w:rsid w:val="00531076"/>
    <w:rsid w:val="0053397A"/>
    <w:rsid w:val="0053615F"/>
    <w:rsid w:val="00536A74"/>
    <w:rsid w:val="00543205"/>
    <w:rsid w:val="00544CC4"/>
    <w:rsid w:val="005468FB"/>
    <w:rsid w:val="00552D14"/>
    <w:rsid w:val="005541A9"/>
    <w:rsid w:val="0055471C"/>
    <w:rsid w:val="00557625"/>
    <w:rsid w:val="00561F7A"/>
    <w:rsid w:val="00566167"/>
    <w:rsid w:val="0057439C"/>
    <w:rsid w:val="0057570F"/>
    <w:rsid w:val="0057684B"/>
    <w:rsid w:val="00584854"/>
    <w:rsid w:val="005862C7"/>
    <w:rsid w:val="00594962"/>
    <w:rsid w:val="005953C7"/>
    <w:rsid w:val="00596805"/>
    <w:rsid w:val="005A3206"/>
    <w:rsid w:val="005A4CCB"/>
    <w:rsid w:val="005A5B74"/>
    <w:rsid w:val="005B0127"/>
    <w:rsid w:val="005B17FD"/>
    <w:rsid w:val="005B23F8"/>
    <w:rsid w:val="005B7A35"/>
    <w:rsid w:val="005C4B73"/>
    <w:rsid w:val="005C579D"/>
    <w:rsid w:val="005D24B6"/>
    <w:rsid w:val="005E1D2B"/>
    <w:rsid w:val="005E1FA7"/>
    <w:rsid w:val="005E3440"/>
    <w:rsid w:val="005E7074"/>
    <w:rsid w:val="005F04AF"/>
    <w:rsid w:val="005F1FA5"/>
    <w:rsid w:val="005F2BAF"/>
    <w:rsid w:val="00600D93"/>
    <w:rsid w:val="00605640"/>
    <w:rsid w:val="006059DB"/>
    <w:rsid w:val="006104F3"/>
    <w:rsid w:val="006106BB"/>
    <w:rsid w:val="00611190"/>
    <w:rsid w:val="00617D8F"/>
    <w:rsid w:val="00632C1B"/>
    <w:rsid w:val="0063300C"/>
    <w:rsid w:val="00633A04"/>
    <w:rsid w:val="00633FD7"/>
    <w:rsid w:val="00634D03"/>
    <w:rsid w:val="006377B4"/>
    <w:rsid w:val="00637F3F"/>
    <w:rsid w:val="00644160"/>
    <w:rsid w:val="00651992"/>
    <w:rsid w:val="00652D85"/>
    <w:rsid w:val="00654AEA"/>
    <w:rsid w:val="00655736"/>
    <w:rsid w:val="00656E21"/>
    <w:rsid w:val="0065717C"/>
    <w:rsid w:val="00663B8D"/>
    <w:rsid w:val="00665171"/>
    <w:rsid w:val="006679C0"/>
    <w:rsid w:val="00672CA1"/>
    <w:rsid w:val="00680451"/>
    <w:rsid w:val="00682AD2"/>
    <w:rsid w:val="006846D2"/>
    <w:rsid w:val="00696C8D"/>
    <w:rsid w:val="006A0781"/>
    <w:rsid w:val="006A0F0A"/>
    <w:rsid w:val="006A2AC2"/>
    <w:rsid w:val="006A3617"/>
    <w:rsid w:val="006A70AC"/>
    <w:rsid w:val="006B1B44"/>
    <w:rsid w:val="006B270C"/>
    <w:rsid w:val="006B4249"/>
    <w:rsid w:val="006C1184"/>
    <w:rsid w:val="006D6396"/>
    <w:rsid w:val="006D7E28"/>
    <w:rsid w:val="006E0F08"/>
    <w:rsid w:val="006E1B58"/>
    <w:rsid w:val="006E1C4E"/>
    <w:rsid w:val="006E3069"/>
    <w:rsid w:val="006E46E4"/>
    <w:rsid w:val="006E5D8A"/>
    <w:rsid w:val="006E5EC5"/>
    <w:rsid w:val="006E6199"/>
    <w:rsid w:val="006E62A0"/>
    <w:rsid w:val="00700B9E"/>
    <w:rsid w:val="00702851"/>
    <w:rsid w:val="00704DB7"/>
    <w:rsid w:val="00713040"/>
    <w:rsid w:val="00716226"/>
    <w:rsid w:val="00717DA5"/>
    <w:rsid w:val="00723BA8"/>
    <w:rsid w:val="007241E0"/>
    <w:rsid w:val="00744484"/>
    <w:rsid w:val="00744E32"/>
    <w:rsid w:val="00746C31"/>
    <w:rsid w:val="00747566"/>
    <w:rsid w:val="00752E7F"/>
    <w:rsid w:val="007563AC"/>
    <w:rsid w:val="00757C34"/>
    <w:rsid w:val="007633A2"/>
    <w:rsid w:val="00771970"/>
    <w:rsid w:val="00773188"/>
    <w:rsid w:val="00776A37"/>
    <w:rsid w:val="00777DC1"/>
    <w:rsid w:val="00783782"/>
    <w:rsid w:val="00784465"/>
    <w:rsid w:val="00784B8C"/>
    <w:rsid w:val="007879E1"/>
    <w:rsid w:val="00787DAC"/>
    <w:rsid w:val="00794FB5"/>
    <w:rsid w:val="00797B54"/>
    <w:rsid w:val="007A263D"/>
    <w:rsid w:val="007B3460"/>
    <w:rsid w:val="007C173B"/>
    <w:rsid w:val="007C2199"/>
    <w:rsid w:val="007C566C"/>
    <w:rsid w:val="007C6439"/>
    <w:rsid w:val="007D08BD"/>
    <w:rsid w:val="007D17B2"/>
    <w:rsid w:val="007D712B"/>
    <w:rsid w:val="007E1535"/>
    <w:rsid w:val="007E40CA"/>
    <w:rsid w:val="007E5BA3"/>
    <w:rsid w:val="007F4607"/>
    <w:rsid w:val="007F727A"/>
    <w:rsid w:val="00811294"/>
    <w:rsid w:val="008123A6"/>
    <w:rsid w:val="00823A11"/>
    <w:rsid w:val="00824891"/>
    <w:rsid w:val="00830244"/>
    <w:rsid w:val="00834CCB"/>
    <w:rsid w:val="008409E5"/>
    <w:rsid w:val="00840E9C"/>
    <w:rsid w:val="00842297"/>
    <w:rsid w:val="00842516"/>
    <w:rsid w:val="00844173"/>
    <w:rsid w:val="008474DB"/>
    <w:rsid w:val="00851B1C"/>
    <w:rsid w:val="0085405E"/>
    <w:rsid w:val="0085414A"/>
    <w:rsid w:val="00857D06"/>
    <w:rsid w:val="0086269D"/>
    <w:rsid w:val="00863317"/>
    <w:rsid w:val="00865306"/>
    <w:rsid w:val="0086543A"/>
    <w:rsid w:val="008707CD"/>
    <w:rsid w:val="008724E5"/>
    <w:rsid w:val="0087254F"/>
    <w:rsid w:val="0087386D"/>
    <w:rsid w:val="008742C0"/>
    <w:rsid w:val="00881BC7"/>
    <w:rsid w:val="00884A9D"/>
    <w:rsid w:val="0088512B"/>
    <w:rsid w:val="00885C51"/>
    <w:rsid w:val="0088645B"/>
    <w:rsid w:val="00891783"/>
    <w:rsid w:val="00893C1A"/>
    <w:rsid w:val="008A08BB"/>
    <w:rsid w:val="008A1948"/>
    <w:rsid w:val="008A2401"/>
    <w:rsid w:val="008A2B2D"/>
    <w:rsid w:val="008A4E1E"/>
    <w:rsid w:val="008A7328"/>
    <w:rsid w:val="008B3386"/>
    <w:rsid w:val="008B5204"/>
    <w:rsid w:val="008B65E7"/>
    <w:rsid w:val="008C296C"/>
    <w:rsid w:val="008D4305"/>
    <w:rsid w:val="008D4F50"/>
    <w:rsid w:val="008D5F1A"/>
    <w:rsid w:val="008D7A24"/>
    <w:rsid w:val="008E144A"/>
    <w:rsid w:val="008E1A85"/>
    <w:rsid w:val="008E6AA0"/>
    <w:rsid w:val="008F2D6F"/>
    <w:rsid w:val="008F4FC2"/>
    <w:rsid w:val="008F74DE"/>
    <w:rsid w:val="00902B3F"/>
    <w:rsid w:val="00902F43"/>
    <w:rsid w:val="0090435C"/>
    <w:rsid w:val="00910F9B"/>
    <w:rsid w:val="00914EEC"/>
    <w:rsid w:val="009163A7"/>
    <w:rsid w:val="00920852"/>
    <w:rsid w:val="009218EF"/>
    <w:rsid w:val="0092735F"/>
    <w:rsid w:val="00930D05"/>
    <w:rsid w:val="00937AD9"/>
    <w:rsid w:val="00940723"/>
    <w:rsid w:val="00940998"/>
    <w:rsid w:val="009427FC"/>
    <w:rsid w:val="00944537"/>
    <w:rsid w:val="00946193"/>
    <w:rsid w:val="00946D0B"/>
    <w:rsid w:val="00950085"/>
    <w:rsid w:val="009544DC"/>
    <w:rsid w:val="00955877"/>
    <w:rsid w:val="00955F29"/>
    <w:rsid w:val="00956770"/>
    <w:rsid w:val="00961954"/>
    <w:rsid w:val="00961F80"/>
    <w:rsid w:val="00964410"/>
    <w:rsid w:val="009650FC"/>
    <w:rsid w:val="0096571E"/>
    <w:rsid w:val="00976BB6"/>
    <w:rsid w:val="009770FB"/>
    <w:rsid w:val="00977A7B"/>
    <w:rsid w:val="00980D41"/>
    <w:rsid w:val="009833E0"/>
    <w:rsid w:val="00990D37"/>
    <w:rsid w:val="0099186A"/>
    <w:rsid w:val="00991D12"/>
    <w:rsid w:val="0099547D"/>
    <w:rsid w:val="009A18CD"/>
    <w:rsid w:val="009B303D"/>
    <w:rsid w:val="009D4C72"/>
    <w:rsid w:val="009D5428"/>
    <w:rsid w:val="009E4DF6"/>
    <w:rsid w:val="009E55CC"/>
    <w:rsid w:val="009F5DE6"/>
    <w:rsid w:val="00A07171"/>
    <w:rsid w:val="00A10105"/>
    <w:rsid w:val="00A12558"/>
    <w:rsid w:val="00A13903"/>
    <w:rsid w:val="00A240B3"/>
    <w:rsid w:val="00A25FBC"/>
    <w:rsid w:val="00A272DA"/>
    <w:rsid w:val="00A34ED5"/>
    <w:rsid w:val="00A40DB9"/>
    <w:rsid w:val="00A45DBF"/>
    <w:rsid w:val="00A46FE5"/>
    <w:rsid w:val="00A501C2"/>
    <w:rsid w:val="00A519AF"/>
    <w:rsid w:val="00A5241E"/>
    <w:rsid w:val="00A60DC2"/>
    <w:rsid w:val="00A61F50"/>
    <w:rsid w:val="00A660B1"/>
    <w:rsid w:val="00A672C4"/>
    <w:rsid w:val="00A738D4"/>
    <w:rsid w:val="00A746CB"/>
    <w:rsid w:val="00A755A2"/>
    <w:rsid w:val="00A75804"/>
    <w:rsid w:val="00A75C24"/>
    <w:rsid w:val="00A76D55"/>
    <w:rsid w:val="00A85BBE"/>
    <w:rsid w:val="00A9076B"/>
    <w:rsid w:val="00A918D9"/>
    <w:rsid w:val="00A9486E"/>
    <w:rsid w:val="00A976AA"/>
    <w:rsid w:val="00AA6660"/>
    <w:rsid w:val="00AB1BD5"/>
    <w:rsid w:val="00AB23CF"/>
    <w:rsid w:val="00AB2C36"/>
    <w:rsid w:val="00AB41C1"/>
    <w:rsid w:val="00AB47A5"/>
    <w:rsid w:val="00AB6DDE"/>
    <w:rsid w:val="00AB70B6"/>
    <w:rsid w:val="00AC0661"/>
    <w:rsid w:val="00AC42A2"/>
    <w:rsid w:val="00AC451E"/>
    <w:rsid w:val="00AD1A86"/>
    <w:rsid w:val="00AE05CB"/>
    <w:rsid w:val="00AE103E"/>
    <w:rsid w:val="00AE39A8"/>
    <w:rsid w:val="00AE6609"/>
    <w:rsid w:val="00AF0A07"/>
    <w:rsid w:val="00AF42C6"/>
    <w:rsid w:val="00AF45C9"/>
    <w:rsid w:val="00AF4710"/>
    <w:rsid w:val="00AF4AEC"/>
    <w:rsid w:val="00AF5325"/>
    <w:rsid w:val="00AF625E"/>
    <w:rsid w:val="00B02A93"/>
    <w:rsid w:val="00B02F24"/>
    <w:rsid w:val="00B04AAC"/>
    <w:rsid w:val="00B06A32"/>
    <w:rsid w:val="00B135B1"/>
    <w:rsid w:val="00B23456"/>
    <w:rsid w:val="00B350D5"/>
    <w:rsid w:val="00B35A9A"/>
    <w:rsid w:val="00B43AE4"/>
    <w:rsid w:val="00B43F4D"/>
    <w:rsid w:val="00B47EE9"/>
    <w:rsid w:val="00B50CB1"/>
    <w:rsid w:val="00B55402"/>
    <w:rsid w:val="00B7046A"/>
    <w:rsid w:val="00B8060D"/>
    <w:rsid w:val="00B85570"/>
    <w:rsid w:val="00B9565E"/>
    <w:rsid w:val="00BA11DA"/>
    <w:rsid w:val="00BA3A07"/>
    <w:rsid w:val="00BB04AF"/>
    <w:rsid w:val="00BB25DC"/>
    <w:rsid w:val="00BB445C"/>
    <w:rsid w:val="00BC5FAB"/>
    <w:rsid w:val="00BD0B13"/>
    <w:rsid w:val="00BD14DB"/>
    <w:rsid w:val="00BD3E3A"/>
    <w:rsid w:val="00BD52C9"/>
    <w:rsid w:val="00BE6354"/>
    <w:rsid w:val="00BE7D04"/>
    <w:rsid w:val="00C01E78"/>
    <w:rsid w:val="00C039ED"/>
    <w:rsid w:val="00C050EC"/>
    <w:rsid w:val="00C10ECF"/>
    <w:rsid w:val="00C11A34"/>
    <w:rsid w:val="00C138D1"/>
    <w:rsid w:val="00C14030"/>
    <w:rsid w:val="00C14DC4"/>
    <w:rsid w:val="00C16C0A"/>
    <w:rsid w:val="00C2389F"/>
    <w:rsid w:val="00C23A97"/>
    <w:rsid w:val="00C423F1"/>
    <w:rsid w:val="00C444AB"/>
    <w:rsid w:val="00C4744B"/>
    <w:rsid w:val="00C51E1C"/>
    <w:rsid w:val="00C542B6"/>
    <w:rsid w:val="00C64855"/>
    <w:rsid w:val="00C70EA7"/>
    <w:rsid w:val="00C74404"/>
    <w:rsid w:val="00C7516E"/>
    <w:rsid w:val="00C75770"/>
    <w:rsid w:val="00C83E59"/>
    <w:rsid w:val="00C97314"/>
    <w:rsid w:val="00C97496"/>
    <w:rsid w:val="00C97923"/>
    <w:rsid w:val="00CA16EF"/>
    <w:rsid w:val="00CA56BB"/>
    <w:rsid w:val="00CA5E2E"/>
    <w:rsid w:val="00CB0542"/>
    <w:rsid w:val="00CB1FCF"/>
    <w:rsid w:val="00CB4E79"/>
    <w:rsid w:val="00CB644B"/>
    <w:rsid w:val="00CC11E8"/>
    <w:rsid w:val="00CC6082"/>
    <w:rsid w:val="00CD0EDD"/>
    <w:rsid w:val="00CD1B9F"/>
    <w:rsid w:val="00CD20A4"/>
    <w:rsid w:val="00CD21DB"/>
    <w:rsid w:val="00CD3E0E"/>
    <w:rsid w:val="00CD45D9"/>
    <w:rsid w:val="00CE1C2E"/>
    <w:rsid w:val="00CE1D35"/>
    <w:rsid w:val="00CE7E63"/>
    <w:rsid w:val="00CF31C8"/>
    <w:rsid w:val="00D00B2B"/>
    <w:rsid w:val="00D05623"/>
    <w:rsid w:val="00D12CCE"/>
    <w:rsid w:val="00D14A95"/>
    <w:rsid w:val="00D20269"/>
    <w:rsid w:val="00D22891"/>
    <w:rsid w:val="00D24307"/>
    <w:rsid w:val="00D24877"/>
    <w:rsid w:val="00D413FB"/>
    <w:rsid w:val="00D457E3"/>
    <w:rsid w:val="00D4626B"/>
    <w:rsid w:val="00D500E7"/>
    <w:rsid w:val="00D527D0"/>
    <w:rsid w:val="00D57B13"/>
    <w:rsid w:val="00D6090D"/>
    <w:rsid w:val="00D7164E"/>
    <w:rsid w:val="00D805F7"/>
    <w:rsid w:val="00D8250F"/>
    <w:rsid w:val="00D86CEE"/>
    <w:rsid w:val="00D91C9B"/>
    <w:rsid w:val="00D922F6"/>
    <w:rsid w:val="00D95013"/>
    <w:rsid w:val="00D9594F"/>
    <w:rsid w:val="00D95C4C"/>
    <w:rsid w:val="00DA152D"/>
    <w:rsid w:val="00DA15BD"/>
    <w:rsid w:val="00DA209F"/>
    <w:rsid w:val="00DA36ED"/>
    <w:rsid w:val="00DA4C27"/>
    <w:rsid w:val="00DA4CFF"/>
    <w:rsid w:val="00DA6240"/>
    <w:rsid w:val="00DB0973"/>
    <w:rsid w:val="00DB42F4"/>
    <w:rsid w:val="00DB5451"/>
    <w:rsid w:val="00DC6212"/>
    <w:rsid w:val="00DD1604"/>
    <w:rsid w:val="00DD42A3"/>
    <w:rsid w:val="00DE3235"/>
    <w:rsid w:val="00DE34F1"/>
    <w:rsid w:val="00DE6160"/>
    <w:rsid w:val="00DF0779"/>
    <w:rsid w:val="00DF0A44"/>
    <w:rsid w:val="00DF4942"/>
    <w:rsid w:val="00DF4FA2"/>
    <w:rsid w:val="00DF517F"/>
    <w:rsid w:val="00DF57DB"/>
    <w:rsid w:val="00E03306"/>
    <w:rsid w:val="00E12852"/>
    <w:rsid w:val="00E17AB3"/>
    <w:rsid w:val="00E202BD"/>
    <w:rsid w:val="00E225CC"/>
    <w:rsid w:val="00E244E1"/>
    <w:rsid w:val="00E279BF"/>
    <w:rsid w:val="00E33B04"/>
    <w:rsid w:val="00E40D9F"/>
    <w:rsid w:val="00E42E32"/>
    <w:rsid w:val="00E458C8"/>
    <w:rsid w:val="00E472DF"/>
    <w:rsid w:val="00E47E9B"/>
    <w:rsid w:val="00E52226"/>
    <w:rsid w:val="00E556B0"/>
    <w:rsid w:val="00E56179"/>
    <w:rsid w:val="00E627B1"/>
    <w:rsid w:val="00E653FF"/>
    <w:rsid w:val="00E66C4F"/>
    <w:rsid w:val="00E70169"/>
    <w:rsid w:val="00E71F61"/>
    <w:rsid w:val="00E7492A"/>
    <w:rsid w:val="00E875BF"/>
    <w:rsid w:val="00E9376C"/>
    <w:rsid w:val="00E967C4"/>
    <w:rsid w:val="00EA047F"/>
    <w:rsid w:val="00EA335E"/>
    <w:rsid w:val="00EA528C"/>
    <w:rsid w:val="00EA580C"/>
    <w:rsid w:val="00EB1798"/>
    <w:rsid w:val="00EC6F8D"/>
    <w:rsid w:val="00ED11AC"/>
    <w:rsid w:val="00ED1DCE"/>
    <w:rsid w:val="00ED20A1"/>
    <w:rsid w:val="00ED6936"/>
    <w:rsid w:val="00EE1EAD"/>
    <w:rsid w:val="00EE49F4"/>
    <w:rsid w:val="00EF24D7"/>
    <w:rsid w:val="00EF34E2"/>
    <w:rsid w:val="00EF4A18"/>
    <w:rsid w:val="00EF4C76"/>
    <w:rsid w:val="00F01E27"/>
    <w:rsid w:val="00F02A0F"/>
    <w:rsid w:val="00F02F3D"/>
    <w:rsid w:val="00F15F32"/>
    <w:rsid w:val="00F2607B"/>
    <w:rsid w:val="00F30DC6"/>
    <w:rsid w:val="00F32C23"/>
    <w:rsid w:val="00F358A1"/>
    <w:rsid w:val="00F37188"/>
    <w:rsid w:val="00F41D50"/>
    <w:rsid w:val="00F448D3"/>
    <w:rsid w:val="00F51569"/>
    <w:rsid w:val="00F53DE9"/>
    <w:rsid w:val="00F576CB"/>
    <w:rsid w:val="00F7035D"/>
    <w:rsid w:val="00F71A02"/>
    <w:rsid w:val="00F732D0"/>
    <w:rsid w:val="00F77379"/>
    <w:rsid w:val="00F81AEE"/>
    <w:rsid w:val="00F84B16"/>
    <w:rsid w:val="00F85466"/>
    <w:rsid w:val="00F8691A"/>
    <w:rsid w:val="00F93ED4"/>
    <w:rsid w:val="00F95FC2"/>
    <w:rsid w:val="00F97547"/>
    <w:rsid w:val="00F97CFF"/>
    <w:rsid w:val="00FA0D63"/>
    <w:rsid w:val="00FA0F3A"/>
    <w:rsid w:val="00FA5645"/>
    <w:rsid w:val="00FA721B"/>
    <w:rsid w:val="00FB0F4C"/>
    <w:rsid w:val="00FB17B8"/>
    <w:rsid w:val="00FB4613"/>
    <w:rsid w:val="00FC4C48"/>
    <w:rsid w:val="00FC73DF"/>
    <w:rsid w:val="00FD1226"/>
    <w:rsid w:val="00FD1627"/>
    <w:rsid w:val="00FD3694"/>
    <w:rsid w:val="00FD4531"/>
    <w:rsid w:val="00FD624F"/>
    <w:rsid w:val="00FD7123"/>
    <w:rsid w:val="00FE4D26"/>
    <w:rsid w:val="00FF287F"/>
    <w:rsid w:val="00FF3B86"/>
    <w:rsid w:val="00FF4830"/>
    <w:rsid w:val="00FF6C8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8C6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B4"/>
    <w:rPr>
      <w:rFonts w:ascii="Times New Roman" w:hAnsi="Times New Roman"/>
      <w:sz w:val="24"/>
      <w:szCs w:val="24"/>
    </w:rPr>
  </w:style>
  <w:style w:type="paragraph" w:styleId="Heading2">
    <w:name w:val="heading 2"/>
    <w:basedOn w:val="Normal"/>
    <w:next w:val="Normal"/>
    <w:link w:val="Heading2Char"/>
    <w:uiPriority w:val="99"/>
    <w:qFormat/>
    <w:rsid w:val="0092735F"/>
    <w:pPr>
      <w:keepNext/>
      <w:spacing w:before="240" w:after="60"/>
      <w:outlineLvl w:val="1"/>
    </w:pPr>
    <w:rPr>
      <w:rFonts w:ascii="Cambria" w:hAnsi="Cambria"/>
      <w:b/>
      <w:bCs/>
      <w:i/>
      <w:iCs/>
      <w:sz w:val="28"/>
      <w:szCs w:val="28"/>
    </w:rPr>
  </w:style>
  <w:style w:type="paragraph" w:styleId="Heading4">
    <w:name w:val="heading 4"/>
    <w:aliases w:val="COM Heading,GA Heading"/>
    <w:basedOn w:val="Normal"/>
    <w:next w:val="Normal"/>
    <w:link w:val="Heading4Char"/>
    <w:uiPriority w:val="99"/>
    <w:qFormat/>
    <w:rsid w:val="00F71A02"/>
    <w:pPr>
      <w:keepNext/>
      <w:keepLines/>
      <w:numPr>
        <w:numId w:val="6"/>
      </w:numPr>
      <w:tabs>
        <w:tab w:val="left" w:pos="567"/>
      </w:tabs>
      <w:snapToGrid w:val="0"/>
      <w:spacing w:after="240"/>
      <w:ind w:left="567" w:hanging="567"/>
      <w:outlineLvl w:val="3"/>
    </w:pPr>
    <w:rPr>
      <w:rFonts w:ascii="Arial" w:hAnsi="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735F"/>
    <w:rPr>
      <w:rFonts w:ascii="Cambria" w:hAnsi="Cambria" w:cs="Times New Roman"/>
      <w:b/>
      <w:i/>
      <w:sz w:val="28"/>
    </w:rPr>
  </w:style>
  <w:style w:type="character" w:customStyle="1" w:styleId="Heading4Char">
    <w:name w:val="Heading 4 Char"/>
    <w:aliases w:val="COM Heading Char,GA Heading Char"/>
    <w:basedOn w:val="DefaultParagraphFont"/>
    <w:link w:val="Heading4"/>
    <w:uiPriority w:val="99"/>
    <w:locked/>
    <w:rsid w:val="00F71A02"/>
    <w:rPr>
      <w:rFonts w:ascii="Arial" w:hAnsi="Arial"/>
      <w:b/>
      <w:bCs/>
      <w:szCs w:val="24"/>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rPr>
  </w:style>
  <w:style w:type="character" w:customStyle="1" w:styleId="HeaderChar">
    <w:name w:val="Header Char"/>
    <w:basedOn w:val="DefaultParagraphFont"/>
    <w:link w:val="Header"/>
    <w:uiPriority w:val="99"/>
    <w:locked/>
    <w:rsid w:val="008724E5"/>
    <w:rPr>
      <w:rFonts w:cs="Times New Roman"/>
      <w:lang w:val="fr-FR"/>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rPr>
  </w:style>
  <w:style w:type="character" w:customStyle="1" w:styleId="FooterChar">
    <w:name w:val="Footer Char"/>
    <w:basedOn w:val="DefaultParagraphFont"/>
    <w:link w:val="Footer"/>
    <w:uiPriority w:val="99"/>
    <w:locked/>
    <w:rsid w:val="008724E5"/>
    <w:rPr>
      <w:rFonts w:cs="Times New Roman"/>
      <w:lang w:val="fr-FR"/>
    </w:rPr>
  </w:style>
  <w:style w:type="paragraph" w:styleId="BalloonText">
    <w:name w:val="Balloon Text"/>
    <w:basedOn w:val="Normal"/>
    <w:link w:val="BalloonTextChar"/>
    <w:uiPriority w:val="99"/>
    <w:semiHidden/>
    <w:rsid w:val="008724E5"/>
    <w:rPr>
      <w:rFonts w:ascii="Tahoma" w:hAnsi="Tahoma"/>
      <w:sz w:val="16"/>
      <w:szCs w:val="16"/>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fr-FR"/>
    </w:rPr>
  </w:style>
  <w:style w:type="paragraph" w:customStyle="1" w:styleId="Sansinterligne2">
    <w:name w:val="Sans interligne2"/>
    <w:uiPriority w:val="99"/>
    <w:rsid w:val="0092735F"/>
    <w:rPr>
      <w:rFonts w:ascii="Times New Roman" w:hAnsi="Times New Roman"/>
      <w:sz w:val="24"/>
      <w:szCs w:val="24"/>
    </w:rPr>
  </w:style>
  <w:style w:type="table" w:styleId="TableGrid">
    <w:name w:val="Table Grid"/>
    <w:basedOn w:val="TableNormal"/>
    <w:uiPriority w:val="99"/>
    <w:rsid w:val="0092735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92735F"/>
    <w:rPr>
      <w:rFonts w:cs="Times New Roman"/>
    </w:rPr>
  </w:style>
  <w:style w:type="paragraph" w:customStyle="1" w:styleId="ColorfulList-Accent11">
    <w:name w:val="Colorful List - Accent 11"/>
    <w:basedOn w:val="Normal"/>
    <w:uiPriority w:val="99"/>
    <w:rsid w:val="0092735F"/>
    <w:pPr>
      <w:ind w:left="720"/>
      <w:contextualSpacing/>
    </w:pPr>
  </w:style>
  <w:style w:type="paragraph" w:customStyle="1" w:styleId="b">
    <w:name w:val="(b)"/>
    <w:basedOn w:val="Normal"/>
    <w:uiPriority w:val="99"/>
    <w:rsid w:val="0092735F"/>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uiPriority w:val="99"/>
    <w:rsid w:val="0092735F"/>
    <w:pPr>
      <w:tabs>
        <w:tab w:val="left" w:pos="567"/>
      </w:tabs>
      <w:snapToGrid w:val="0"/>
      <w:spacing w:after="240"/>
      <w:ind w:firstLine="567"/>
      <w:jc w:val="both"/>
    </w:pPr>
    <w:rPr>
      <w:rFonts w:ascii="Arial" w:hAnsi="Arial"/>
      <w:sz w:val="22"/>
    </w:rPr>
  </w:style>
  <w:style w:type="paragraph" w:customStyle="1" w:styleId="Marge">
    <w:name w:val="Marge"/>
    <w:basedOn w:val="Par"/>
    <w:link w:val="MargeChar"/>
    <w:uiPriority w:val="99"/>
    <w:rsid w:val="0092735F"/>
    <w:pPr>
      <w:ind w:firstLine="0"/>
    </w:pPr>
  </w:style>
  <w:style w:type="character" w:customStyle="1" w:styleId="MargeChar">
    <w:name w:val="Marge Char"/>
    <w:basedOn w:val="DefaultParagraphFont"/>
    <w:link w:val="Marge"/>
    <w:uiPriority w:val="99"/>
    <w:locked/>
    <w:rsid w:val="00FA5645"/>
    <w:rPr>
      <w:rFonts w:ascii="Arial" w:hAnsi="Arial" w:cs="Times New Roman"/>
      <w:sz w:val="24"/>
      <w:szCs w:val="24"/>
      <w:lang w:eastAsia="fr-FR"/>
    </w:rPr>
  </w:style>
  <w:style w:type="paragraph" w:customStyle="1" w:styleId="TIRETbul1cm">
    <w:name w:val="TIRET bul 1cm"/>
    <w:basedOn w:val="Normal"/>
    <w:uiPriority w:val="99"/>
    <w:rsid w:val="0092735F"/>
    <w:pPr>
      <w:numPr>
        <w:numId w:val="3"/>
      </w:numPr>
      <w:tabs>
        <w:tab w:val="left" w:pos="851"/>
      </w:tabs>
      <w:adjustRightInd w:val="0"/>
      <w:snapToGrid w:val="0"/>
      <w:spacing w:after="240"/>
      <w:jc w:val="both"/>
    </w:pPr>
    <w:rPr>
      <w:rFonts w:ascii="Arial" w:hAnsi="Arial"/>
      <w:sz w:val="22"/>
    </w:rPr>
  </w:style>
  <w:style w:type="character" w:customStyle="1" w:styleId="apple-style-span">
    <w:name w:val="apple-style-span"/>
    <w:basedOn w:val="DefaultParagraphFont"/>
    <w:uiPriority w:val="99"/>
    <w:rsid w:val="0092735F"/>
    <w:rPr>
      <w:rFonts w:cs="Times New Roman"/>
    </w:rPr>
  </w:style>
  <w:style w:type="character" w:customStyle="1" w:styleId="apple-converted-space">
    <w:name w:val="apple-converted-space"/>
    <w:basedOn w:val="DefaultParagraphFont"/>
    <w:uiPriority w:val="99"/>
    <w:rsid w:val="0092735F"/>
    <w:rPr>
      <w:rFonts w:cs="Times New Roman"/>
    </w:rPr>
  </w:style>
  <w:style w:type="paragraph" w:customStyle="1" w:styleId="Sansinterligne1">
    <w:name w:val="Sans interligne1"/>
    <w:uiPriority w:val="99"/>
    <w:rsid w:val="0057439C"/>
    <w:rPr>
      <w:rFonts w:ascii="Times New Roman" w:hAnsi="Times New Roman"/>
      <w:sz w:val="24"/>
      <w:szCs w:val="24"/>
    </w:rPr>
  </w:style>
  <w:style w:type="paragraph" w:customStyle="1" w:styleId="COMPara">
    <w:name w:val="COM Para"/>
    <w:uiPriority w:val="99"/>
    <w:rsid w:val="00345CB4"/>
    <w:pPr>
      <w:numPr>
        <w:numId w:val="4"/>
      </w:numPr>
      <w:spacing w:after="120"/>
    </w:pPr>
    <w:rPr>
      <w:rFonts w:ascii="Arial" w:hAnsi="Arial" w:cs="Arial"/>
    </w:rPr>
  </w:style>
  <w:style w:type="paragraph" w:customStyle="1" w:styleId="COMTitleDecision">
    <w:name w:val="COM Title Decision"/>
    <w:basedOn w:val="Normal"/>
    <w:uiPriority w:val="99"/>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uiPriority w:val="99"/>
    <w:rsid w:val="00041A66"/>
    <w:pPr>
      <w:keepNext/>
      <w:spacing w:after="120"/>
      <w:ind w:left="567"/>
      <w:jc w:val="both"/>
    </w:pPr>
    <w:rPr>
      <w:rFonts w:ascii="Arial" w:hAnsi="Arial" w:cs="Arial"/>
      <w:sz w:val="22"/>
      <w:szCs w:val="22"/>
    </w:rPr>
  </w:style>
  <w:style w:type="paragraph" w:customStyle="1" w:styleId="COMParaDecision">
    <w:name w:val="COM Para Decision"/>
    <w:basedOn w:val="Normal"/>
    <w:uiPriority w:val="99"/>
    <w:rsid w:val="00345CB4"/>
    <w:pPr>
      <w:numPr>
        <w:numId w:val="5"/>
      </w:numPr>
      <w:autoSpaceDE w:val="0"/>
      <w:autoSpaceDN w:val="0"/>
      <w:adjustRightInd w:val="0"/>
      <w:spacing w:after="120"/>
      <w:jc w:val="both"/>
    </w:pPr>
    <w:rPr>
      <w:rFonts w:ascii="Arial" w:hAnsi="Arial" w:cs="Arial"/>
      <w:sz w:val="22"/>
      <w:szCs w:val="22"/>
      <w:u w:val="single"/>
    </w:rPr>
  </w:style>
  <w:style w:type="character" w:customStyle="1" w:styleId="textview">
    <w:name w:val="textview"/>
    <w:basedOn w:val="DefaultParagraphFont"/>
    <w:uiPriority w:val="99"/>
    <w:rsid w:val="0003224C"/>
    <w:rPr>
      <w:rFonts w:cs="Times New Roman"/>
    </w:rPr>
  </w:style>
  <w:style w:type="character" w:styleId="Hyperlink">
    <w:name w:val="Hyperlink"/>
    <w:basedOn w:val="DefaultParagraphFont"/>
    <w:uiPriority w:val="99"/>
    <w:rsid w:val="00824891"/>
    <w:rPr>
      <w:rFonts w:cs="Times New Roman"/>
      <w:color w:val="0000FF"/>
      <w:u w:val="single"/>
    </w:rPr>
  </w:style>
  <w:style w:type="character" w:customStyle="1" w:styleId="hps">
    <w:name w:val="hps"/>
    <w:uiPriority w:val="99"/>
    <w:rsid w:val="007563AC"/>
  </w:style>
  <w:style w:type="character" w:styleId="CommentReference">
    <w:name w:val="annotation reference"/>
    <w:basedOn w:val="DefaultParagraphFont"/>
    <w:uiPriority w:val="99"/>
    <w:semiHidden/>
    <w:rsid w:val="007563AC"/>
    <w:rPr>
      <w:rFonts w:cs="Times New Roman"/>
      <w:sz w:val="16"/>
      <w:szCs w:val="16"/>
    </w:rPr>
  </w:style>
  <w:style w:type="paragraph" w:styleId="CommentText">
    <w:name w:val="annotation text"/>
    <w:basedOn w:val="Normal"/>
    <w:link w:val="CommentTextChar"/>
    <w:uiPriority w:val="99"/>
    <w:rsid w:val="007563AC"/>
    <w:rPr>
      <w:sz w:val="20"/>
      <w:szCs w:val="20"/>
    </w:rPr>
  </w:style>
  <w:style w:type="character" w:customStyle="1" w:styleId="CommentTextChar">
    <w:name w:val="Comment Text Char"/>
    <w:basedOn w:val="DefaultParagraphFont"/>
    <w:link w:val="CommentText"/>
    <w:uiPriority w:val="99"/>
    <w:locked/>
    <w:rsid w:val="007563AC"/>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7563AC"/>
    <w:rPr>
      <w:b/>
      <w:bCs/>
    </w:rPr>
  </w:style>
  <w:style w:type="character" w:customStyle="1" w:styleId="CommentSubjectChar">
    <w:name w:val="Comment Subject Char"/>
    <w:basedOn w:val="CommentTextChar"/>
    <w:link w:val="CommentSubject"/>
    <w:uiPriority w:val="99"/>
    <w:semiHidden/>
    <w:locked/>
    <w:rsid w:val="007563AC"/>
    <w:rPr>
      <w:rFonts w:ascii="Times New Roman" w:hAnsi="Times New Roman" w:cs="Times New Roman"/>
      <w:b/>
      <w:bCs/>
    </w:rPr>
  </w:style>
  <w:style w:type="character" w:styleId="FollowedHyperlink">
    <w:name w:val="FollowedHyperlink"/>
    <w:basedOn w:val="DefaultParagraphFont"/>
    <w:uiPriority w:val="99"/>
    <w:semiHidden/>
    <w:rsid w:val="00300911"/>
    <w:rPr>
      <w:rFonts w:cs="Times New Roman"/>
      <w:color w:val="800080"/>
      <w:u w:val="single"/>
    </w:rPr>
  </w:style>
  <w:style w:type="paragraph" w:styleId="ListParagraph">
    <w:name w:val="List Paragraph"/>
    <w:basedOn w:val="Normal"/>
    <w:uiPriority w:val="99"/>
    <w:qFormat/>
    <w:rsid w:val="007D712B"/>
    <w:pPr>
      <w:spacing w:before="100" w:beforeAutospacing="1" w:after="100" w:afterAutospacing="1"/>
    </w:pPr>
  </w:style>
  <w:style w:type="paragraph" w:customStyle="1" w:styleId="GAParaResolution">
    <w:name w:val="GA Para Resolution"/>
    <w:basedOn w:val="Normal"/>
    <w:uiPriority w:val="99"/>
    <w:rsid w:val="002D3437"/>
    <w:pPr>
      <w:autoSpaceDE w:val="0"/>
      <w:autoSpaceDN w:val="0"/>
      <w:adjustRightInd w:val="0"/>
      <w:spacing w:after="120"/>
      <w:ind w:left="1287" w:hanging="360"/>
      <w:jc w:val="both"/>
    </w:pPr>
    <w:rPr>
      <w:rFonts w:ascii="Arial" w:hAnsi="Arial" w:cs="Arial"/>
      <w:sz w:val="22"/>
      <w:szCs w:val="22"/>
      <w:u w:val="single"/>
    </w:rPr>
  </w:style>
  <w:style w:type="paragraph" w:customStyle="1" w:styleId="5GAparabodytext">
    <w:name w:val="5GA para body text"/>
    <w:basedOn w:val="Marge"/>
    <w:autoRedefine/>
    <w:uiPriority w:val="99"/>
    <w:rsid w:val="00E653FF"/>
    <w:pPr>
      <w:numPr>
        <w:numId w:val="8"/>
      </w:numPr>
      <w:spacing w:after="120"/>
      <w:ind w:left="567" w:hanging="567"/>
    </w:pPr>
    <w:rPr>
      <w:rFonts w:cs="Arial"/>
      <w:bCs/>
      <w:szCs w:val="22"/>
    </w:rPr>
  </w:style>
  <w:style w:type="character" w:styleId="IntenseEmphasis">
    <w:name w:val="Intense Emphasis"/>
    <w:aliases w:val="Texte"/>
    <w:basedOn w:val="DefaultParagraphFont"/>
    <w:uiPriority w:val="99"/>
    <w:qFormat/>
    <w:rsid w:val="007F4607"/>
    <w:rPr>
      <w:rFonts w:ascii="Arial" w:hAnsi="Arial"/>
      <w:sz w:val="22"/>
    </w:rPr>
  </w:style>
  <w:style w:type="paragraph" w:styleId="FootnoteText">
    <w:name w:val="footnote text"/>
    <w:basedOn w:val="Normal"/>
    <w:link w:val="FootnoteTextChar"/>
    <w:uiPriority w:val="99"/>
    <w:rsid w:val="007F4607"/>
    <w:pPr>
      <w:spacing w:before="60" w:after="60"/>
      <w:jc w:val="both"/>
    </w:pPr>
    <w:rPr>
      <w:rFonts w:ascii="Arial" w:hAnsi="Arial"/>
      <w:sz w:val="20"/>
      <w:szCs w:val="20"/>
    </w:rPr>
  </w:style>
  <w:style w:type="character" w:customStyle="1" w:styleId="FootnoteTextChar">
    <w:name w:val="Footnote Text Char"/>
    <w:basedOn w:val="DefaultParagraphFont"/>
    <w:link w:val="FootnoteText"/>
    <w:uiPriority w:val="99"/>
    <w:locked/>
    <w:rsid w:val="007F4607"/>
    <w:rPr>
      <w:rFonts w:ascii="Arial" w:hAnsi="Arial" w:cs="Times New Roman"/>
      <w:sz w:val="20"/>
      <w:szCs w:val="20"/>
      <w:lang w:val="fr-FR"/>
    </w:rPr>
  </w:style>
  <w:style w:type="character" w:styleId="FootnoteReference">
    <w:name w:val="footnote reference"/>
    <w:basedOn w:val="DefaultParagraphFont"/>
    <w:uiPriority w:val="99"/>
    <w:rsid w:val="007F4607"/>
    <w:rPr>
      <w:rFonts w:cs="Times New Roman"/>
      <w:vertAlign w:val="superscript"/>
    </w:rPr>
  </w:style>
  <w:style w:type="paragraph" w:customStyle="1" w:styleId="Default">
    <w:name w:val="Default"/>
    <w:link w:val="DefaultChar"/>
    <w:uiPriority w:val="99"/>
    <w:rsid w:val="000566B1"/>
    <w:pPr>
      <w:autoSpaceDE w:val="0"/>
      <w:autoSpaceDN w:val="0"/>
      <w:adjustRightInd w:val="0"/>
    </w:pPr>
    <w:rPr>
      <w:rFonts w:ascii="Arial" w:hAnsi="Arial"/>
      <w:color w:val="000000"/>
      <w:sz w:val="24"/>
      <w:szCs w:val="24"/>
    </w:rPr>
  </w:style>
  <w:style w:type="character" w:customStyle="1" w:styleId="DefaultChar">
    <w:name w:val="Default Char"/>
    <w:link w:val="Default"/>
    <w:uiPriority w:val="99"/>
    <w:locked/>
    <w:rsid w:val="004C4707"/>
    <w:rPr>
      <w:rFonts w:ascii="Arial" w:hAnsi="Arial"/>
      <w:color w:val="000000"/>
      <w:sz w:val="24"/>
    </w:rPr>
  </w:style>
  <w:style w:type="paragraph" w:styleId="Revision">
    <w:name w:val="Revision"/>
    <w:hidden/>
    <w:uiPriority w:val="99"/>
    <w:semiHidden/>
    <w:rsid w:val="0090435C"/>
    <w:rPr>
      <w:rFonts w:ascii="Times New Roman" w:hAnsi="Times New Roman"/>
      <w:sz w:val="24"/>
      <w:szCs w:val="24"/>
    </w:rPr>
  </w:style>
  <w:style w:type="paragraph" w:customStyle="1" w:styleId="GAPara">
    <w:name w:val="GA Para"/>
    <w:uiPriority w:val="99"/>
    <w:rsid w:val="00FA5645"/>
    <w:pPr>
      <w:spacing w:after="120"/>
      <w:ind w:left="567" w:hanging="567"/>
    </w:pPr>
    <w:rPr>
      <w:rFonts w:ascii="Arial" w:hAnsi="Arial" w:cs="Arial"/>
    </w:rPr>
  </w:style>
  <w:style w:type="paragraph" w:customStyle="1" w:styleId="GATitleResolution">
    <w:name w:val="GA Title Resolution"/>
    <w:basedOn w:val="Normal"/>
    <w:uiPriority w:val="99"/>
    <w:rsid w:val="00FA5645"/>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uiPriority w:val="99"/>
    <w:rsid w:val="00FA5645"/>
    <w:pPr>
      <w:keepNext/>
      <w:spacing w:after="120"/>
      <w:ind w:left="567"/>
      <w:jc w:val="both"/>
    </w:pPr>
    <w:rPr>
      <w:rFonts w:ascii="Arial" w:hAnsi="Arial" w:cs="Arial"/>
      <w:sz w:val="22"/>
      <w:szCs w:val="22"/>
    </w:rPr>
  </w:style>
  <w:style w:type="character" w:styleId="Strong">
    <w:name w:val="Strong"/>
    <w:basedOn w:val="DefaultParagraphFont"/>
    <w:uiPriority w:val="99"/>
    <w:qFormat/>
    <w:locked/>
    <w:rsid w:val="00FA5645"/>
    <w:rPr>
      <w:rFonts w:cs="Times New Roman"/>
      <w:b/>
      <w:bCs/>
    </w:rPr>
  </w:style>
  <w:style w:type="paragraph" w:styleId="ListBullet">
    <w:name w:val="List Bullet"/>
    <w:basedOn w:val="Normal"/>
    <w:uiPriority w:val="99"/>
    <w:rsid w:val="00FA5645"/>
    <w:pPr>
      <w:tabs>
        <w:tab w:val="num" w:pos="360"/>
      </w:tabs>
      <w:spacing w:before="120" w:after="120" w:line="240" w:lineRule="exact"/>
      <w:ind w:left="360" w:hanging="360"/>
      <w:contextualSpacing/>
    </w:pPr>
    <w:rPr>
      <w:rFonts w:ascii="Calibri" w:hAnsi="Calibri" w:cs="Arial"/>
      <w:sz w:val="22"/>
      <w:szCs w:val="22"/>
    </w:rPr>
  </w:style>
  <w:style w:type="paragraph" w:customStyle="1" w:styleId="DocMain">
    <w:name w:val="Doc_Main"/>
    <w:basedOn w:val="Normal"/>
    <w:uiPriority w:val="99"/>
    <w:rsid w:val="00FA5645"/>
    <w:pPr>
      <w:spacing w:before="240" w:after="240"/>
      <w:ind w:left="720" w:hanging="360"/>
      <w:jc w:val="both"/>
    </w:pPr>
    <w:rPr>
      <w:rFonts w:ascii="Arial" w:hAnsi="Arial" w:cs="Arial"/>
      <w:sz w:val="22"/>
      <w:szCs w:val="22"/>
    </w:rPr>
  </w:style>
  <w:style w:type="paragraph" w:customStyle="1" w:styleId="Paragraph">
    <w:name w:val="Paragraph"/>
    <w:basedOn w:val="Normal"/>
    <w:link w:val="ParagraphChar"/>
    <w:uiPriority w:val="99"/>
    <w:rsid w:val="00FA5645"/>
    <w:pPr>
      <w:numPr>
        <w:numId w:val="15"/>
      </w:numPr>
      <w:spacing w:before="240"/>
      <w:ind w:left="567" w:hanging="567"/>
      <w:jc w:val="both"/>
    </w:pPr>
    <w:rPr>
      <w:rFonts w:ascii="Arial" w:hAnsi="Arial"/>
      <w:sz w:val="20"/>
      <w:szCs w:val="20"/>
    </w:rPr>
  </w:style>
  <w:style w:type="character" w:customStyle="1" w:styleId="ParagraphChar">
    <w:name w:val="Paragraph Char"/>
    <w:link w:val="Paragraph"/>
    <w:uiPriority w:val="99"/>
    <w:locked/>
    <w:rsid w:val="00FA5645"/>
    <w:rPr>
      <w:rFonts w:ascii="Arial" w:hAnsi="Arial"/>
      <w:sz w:val="20"/>
      <w:szCs w:val="20"/>
    </w:rPr>
  </w:style>
  <w:style w:type="paragraph" w:customStyle="1" w:styleId="Para">
    <w:name w:val="Para"/>
    <w:basedOn w:val="Normal"/>
    <w:link w:val="ParaChar"/>
    <w:uiPriority w:val="99"/>
    <w:rsid w:val="00FA5645"/>
    <w:pPr>
      <w:numPr>
        <w:numId w:val="16"/>
      </w:numPr>
      <w:spacing w:after="120" w:line="240" w:lineRule="exact"/>
      <w:jc w:val="both"/>
    </w:pPr>
    <w:rPr>
      <w:rFonts w:ascii="Arial" w:hAnsi="Arial"/>
      <w:sz w:val="20"/>
      <w:szCs w:val="20"/>
    </w:rPr>
  </w:style>
  <w:style w:type="character" w:customStyle="1" w:styleId="ParaChar">
    <w:name w:val="Para Char"/>
    <w:link w:val="Para"/>
    <w:uiPriority w:val="99"/>
    <w:locked/>
    <w:rsid w:val="00FA5645"/>
    <w:rPr>
      <w:rFonts w:ascii="Arial" w:hAnsi="Arial"/>
      <w:sz w:val="20"/>
      <w:szCs w:val="20"/>
    </w:rPr>
  </w:style>
  <w:style w:type="character" w:customStyle="1" w:styleId="EndnoteTextChar">
    <w:name w:val="Endnote Text Char"/>
    <w:basedOn w:val="DefaultParagraphFont"/>
    <w:link w:val="EndnoteText"/>
    <w:uiPriority w:val="99"/>
    <w:semiHidden/>
    <w:locked/>
    <w:rsid w:val="00FA5645"/>
    <w:rPr>
      <w:rFonts w:ascii="Times New Roman" w:hAnsi="Times New Roman" w:cs="Times New Roman"/>
      <w:sz w:val="20"/>
      <w:szCs w:val="20"/>
    </w:rPr>
  </w:style>
  <w:style w:type="paragraph" w:styleId="EndnoteText">
    <w:name w:val="endnote text"/>
    <w:basedOn w:val="Normal"/>
    <w:link w:val="EndnoteTextChar"/>
    <w:uiPriority w:val="99"/>
    <w:semiHidden/>
    <w:rsid w:val="00FA5645"/>
    <w:rPr>
      <w:sz w:val="20"/>
      <w:szCs w:val="20"/>
    </w:rPr>
  </w:style>
  <w:style w:type="character" w:customStyle="1" w:styleId="EndnoteTextChar1">
    <w:name w:val="Endnote Text Char1"/>
    <w:basedOn w:val="DefaultParagraphFont"/>
    <w:uiPriority w:val="99"/>
    <w:semiHidden/>
    <w:rsid w:val="003F6D37"/>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B4"/>
    <w:rPr>
      <w:rFonts w:ascii="Times New Roman" w:hAnsi="Times New Roman"/>
      <w:sz w:val="24"/>
      <w:szCs w:val="24"/>
    </w:rPr>
  </w:style>
  <w:style w:type="paragraph" w:styleId="Heading2">
    <w:name w:val="heading 2"/>
    <w:basedOn w:val="Normal"/>
    <w:next w:val="Normal"/>
    <w:link w:val="Heading2Char"/>
    <w:uiPriority w:val="99"/>
    <w:qFormat/>
    <w:rsid w:val="0092735F"/>
    <w:pPr>
      <w:keepNext/>
      <w:spacing w:before="240" w:after="60"/>
      <w:outlineLvl w:val="1"/>
    </w:pPr>
    <w:rPr>
      <w:rFonts w:ascii="Cambria" w:hAnsi="Cambria"/>
      <w:b/>
      <w:bCs/>
      <w:i/>
      <w:iCs/>
      <w:sz w:val="28"/>
      <w:szCs w:val="28"/>
    </w:rPr>
  </w:style>
  <w:style w:type="paragraph" w:styleId="Heading4">
    <w:name w:val="heading 4"/>
    <w:aliases w:val="COM Heading,GA Heading"/>
    <w:basedOn w:val="Normal"/>
    <w:next w:val="Normal"/>
    <w:link w:val="Heading4Char"/>
    <w:uiPriority w:val="99"/>
    <w:qFormat/>
    <w:rsid w:val="00F71A02"/>
    <w:pPr>
      <w:keepNext/>
      <w:keepLines/>
      <w:numPr>
        <w:numId w:val="6"/>
      </w:numPr>
      <w:tabs>
        <w:tab w:val="left" w:pos="567"/>
      </w:tabs>
      <w:snapToGrid w:val="0"/>
      <w:spacing w:after="240"/>
      <w:ind w:left="567" w:hanging="567"/>
      <w:outlineLvl w:val="3"/>
    </w:pPr>
    <w:rPr>
      <w:rFonts w:ascii="Arial" w:hAnsi="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735F"/>
    <w:rPr>
      <w:rFonts w:ascii="Cambria" w:hAnsi="Cambria" w:cs="Times New Roman"/>
      <w:b/>
      <w:i/>
      <w:sz w:val="28"/>
    </w:rPr>
  </w:style>
  <w:style w:type="character" w:customStyle="1" w:styleId="Heading4Char">
    <w:name w:val="Heading 4 Char"/>
    <w:aliases w:val="COM Heading Char,GA Heading Char"/>
    <w:basedOn w:val="DefaultParagraphFont"/>
    <w:link w:val="Heading4"/>
    <w:uiPriority w:val="99"/>
    <w:locked/>
    <w:rsid w:val="00F71A02"/>
    <w:rPr>
      <w:rFonts w:ascii="Arial" w:hAnsi="Arial"/>
      <w:b/>
      <w:bCs/>
      <w:szCs w:val="24"/>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rPr>
  </w:style>
  <w:style w:type="character" w:customStyle="1" w:styleId="HeaderChar">
    <w:name w:val="Header Char"/>
    <w:basedOn w:val="DefaultParagraphFont"/>
    <w:link w:val="Header"/>
    <w:uiPriority w:val="99"/>
    <w:locked/>
    <w:rsid w:val="008724E5"/>
    <w:rPr>
      <w:rFonts w:cs="Times New Roman"/>
      <w:lang w:val="fr-FR"/>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rPr>
  </w:style>
  <w:style w:type="character" w:customStyle="1" w:styleId="FooterChar">
    <w:name w:val="Footer Char"/>
    <w:basedOn w:val="DefaultParagraphFont"/>
    <w:link w:val="Footer"/>
    <w:uiPriority w:val="99"/>
    <w:locked/>
    <w:rsid w:val="008724E5"/>
    <w:rPr>
      <w:rFonts w:cs="Times New Roman"/>
      <w:lang w:val="fr-FR"/>
    </w:rPr>
  </w:style>
  <w:style w:type="paragraph" w:styleId="BalloonText">
    <w:name w:val="Balloon Text"/>
    <w:basedOn w:val="Normal"/>
    <w:link w:val="BalloonTextChar"/>
    <w:uiPriority w:val="99"/>
    <w:semiHidden/>
    <w:rsid w:val="008724E5"/>
    <w:rPr>
      <w:rFonts w:ascii="Tahoma" w:hAnsi="Tahoma"/>
      <w:sz w:val="16"/>
      <w:szCs w:val="16"/>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fr-FR"/>
    </w:rPr>
  </w:style>
  <w:style w:type="paragraph" w:customStyle="1" w:styleId="Sansinterligne2">
    <w:name w:val="Sans interligne2"/>
    <w:uiPriority w:val="99"/>
    <w:rsid w:val="0092735F"/>
    <w:rPr>
      <w:rFonts w:ascii="Times New Roman" w:hAnsi="Times New Roman"/>
      <w:sz w:val="24"/>
      <w:szCs w:val="24"/>
    </w:rPr>
  </w:style>
  <w:style w:type="table" w:styleId="TableGrid">
    <w:name w:val="Table Grid"/>
    <w:basedOn w:val="TableNormal"/>
    <w:uiPriority w:val="99"/>
    <w:rsid w:val="0092735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92735F"/>
    <w:rPr>
      <w:rFonts w:cs="Times New Roman"/>
    </w:rPr>
  </w:style>
  <w:style w:type="paragraph" w:customStyle="1" w:styleId="ColorfulList-Accent11">
    <w:name w:val="Colorful List - Accent 11"/>
    <w:basedOn w:val="Normal"/>
    <w:uiPriority w:val="99"/>
    <w:rsid w:val="0092735F"/>
    <w:pPr>
      <w:ind w:left="720"/>
      <w:contextualSpacing/>
    </w:pPr>
  </w:style>
  <w:style w:type="paragraph" w:customStyle="1" w:styleId="b">
    <w:name w:val="(b)"/>
    <w:basedOn w:val="Normal"/>
    <w:uiPriority w:val="99"/>
    <w:rsid w:val="0092735F"/>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uiPriority w:val="99"/>
    <w:rsid w:val="0092735F"/>
    <w:pPr>
      <w:tabs>
        <w:tab w:val="left" w:pos="567"/>
      </w:tabs>
      <w:snapToGrid w:val="0"/>
      <w:spacing w:after="240"/>
      <w:ind w:firstLine="567"/>
      <w:jc w:val="both"/>
    </w:pPr>
    <w:rPr>
      <w:rFonts w:ascii="Arial" w:hAnsi="Arial"/>
      <w:sz w:val="22"/>
    </w:rPr>
  </w:style>
  <w:style w:type="paragraph" w:customStyle="1" w:styleId="Marge">
    <w:name w:val="Marge"/>
    <w:basedOn w:val="Par"/>
    <w:link w:val="MargeChar"/>
    <w:uiPriority w:val="99"/>
    <w:rsid w:val="0092735F"/>
    <w:pPr>
      <w:ind w:firstLine="0"/>
    </w:pPr>
  </w:style>
  <w:style w:type="character" w:customStyle="1" w:styleId="MargeChar">
    <w:name w:val="Marge Char"/>
    <w:basedOn w:val="DefaultParagraphFont"/>
    <w:link w:val="Marge"/>
    <w:uiPriority w:val="99"/>
    <w:locked/>
    <w:rsid w:val="00FA5645"/>
    <w:rPr>
      <w:rFonts w:ascii="Arial" w:hAnsi="Arial" w:cs="Times New Roman"/>
      <w:sz w:val="24"/>
      <w:szCs w:val="24"/>
      <w:lang w:eastAsia="fr-FR"/>
    </w:rPr>
  </w:style>
  <w:style w:type="paragraph" w:customStyle="1" w:styleId="TIRETbul1cm">
    <w:name w:val="TIRET bul 1cm"/>
    <w:basedOn w:val="Normal"/>
    <w:uiPriority w:val="99"/>
    <w:rsid w:val="0092735F"/>
    <w:pPr>
      <w:numPr>
        <w:numId w:val="3"/>
      </w:numPr>
      <w:tabs>
        <w:tab w:val="left" w:pos="851"/>
      </w:tabs>
      <w:adjustRightInd w:val="0"/>
      <w:snapToGrid w:val="0"/>
      <w:spacing w:after="240"/>
      <w:jc w:val="both"/>
    </w:pPr>
    <w:rPr>
      <w:rFonts w:ascii="Arial" w:hAnsi="Arial"/>
      <w:sz w:val="22"/>
    </w:rPr>
  </w:style>
  <w:style w:type="character" w:customStyle="1" w:styleId="apple-style-span">
    <w:name w:val="apple-style-span"/>
    <w:basedOn w:val="DefaultParagraphFont"/>
    <w:uiPriority w:val="99"/>
    <w:rsid w:val="0092735F"/>
    <w:rPr>
      <w:rFonts w:cs="Times New Roman"/>
    </w:rPr>
  </w:style>
  <w:style w:type="character" w:customStyle="1" w:styleId="apple-converted-space">
    <w:name w:val="apple-converted-space"/>
    <w:basedOn w:val="DefaultParagraphFont"/>
    <w:uiPriority w:val="99"/>
    <w:rsid w:val="0092735F"/>
    <w:rPr>
      <w:rFonts w:cs="Times New Roman"/>
    </w:rPr>
  </w:style>
  <w:style w:type="paragraph" w:customStyle="1" w:styleId="Sansinterligne1">
    <w:name w:val="Sans interligne1"/>
    <w:uiPriority w:val="99"/>
    <w:rsid w:val="0057439C"/>
    <w:rPr>
      <w:rFonts w:ascii="Times New Roman" w:hAnsi="Times New Roman"/>
      <w:sz w:val="24"/>
      <w:szCs w:val="24"/>
    </w:rPr>
  </w:style>
  <w:style w:type="paragraph" w:customStyle="1" w:styleId="COMPara">
    <w:name w:val="COM Para"/>
    <w:uiPriority w:val="99"/>
    <w:rsid w:val="00345CB4"/>
    <w:pPr>
      <w:numPr>
        <w:numId w:val="4"/>
      </w:numPr>
      <w:spacing w:after="120"/>
    </w:pPr>
    <w:rPr>
      <w:rFonts w:ascii="Arial" w:hAnsi="Arial" w:cs="Arial"/>
    </w:rPr>
  </w:style>
  <w:style w:type="paragraph" w:customStyle="1" w:styleId="COMTitleDecision">
    <w:name w:val="COM Title Decision"/>
    <w:basedOn w:val="Normal"/>
    <w:uiPriority w:val="99"/>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uiPriority w:val="99"/>
    <w:rsid w:val="00041A66"/>
    <w:pPr>
      <w:keepNext/>
      <w:spacing w:after="120"/>
      <w:ind w:left="567"/>
      <w:jc w:val="both"/>
    </w:pPr>
    <w:rPr>
      <w:rFonts w:ascii="Arial" w:hAnsi="Arial" w:cs="Arial"/>
      <w:sz w:val="22"/>
      <w:szCs w:val="22"/>
    </w:rPr>
  </w:style>
  <w:style w:type="paragraph" w:customStyle="1" w:styleId="COMParaDecision">
    <w:name w:val="COM Para Decision"/>
    <w:basedOn w:val="Normal"/>
    <w:uiPriority w:val="99"/>
    <w:rsid w:val="00345CB4"/>
    <w:pPr>
      <w:numPr>
        <w:numId w:val="5"/>
      </w:numPr>
      <w:autoSpaceDE w:val="0"/>
      <w:autoSpaceDN w:val="0"/>
      <w:adjustRightInd w:val="0"/>
      <w:spacing w:after="120"/>
      <w:jc w:val="both"/>
    </w:pPr>
    <w:rPr>
      <w:rFonts w:ascii="Arial" w:hAnsi="Arial" w:cs="Arial"/>
      <w:sz w:val="22"/>
      <w:szCs w:val="22"/>
      <w:u w:val="single"/>
    </w:rPr>
  </w:style>
  <w:style w:type="character" w:customStyle="1" w:styleId="textview">
    <w:name w:val="textview"/>
    <w:basedOn w:val="DefaultParagraphFont"/>
    <w:uiPriority w:val="99"/>
    <w:rsid w:val="0003224C"/>
    <w:rPr>
      <w:rFonts w:cs="Times New Roman"/>
    </w:rPr>
  </w:style>
  <w:style w:type="character" w:styleId="Hyperlink">
    <w:name w:val="Hyperlink"/>
    <w:basedOn w:val="DefaultParagraphFont"/>
    <w:uiPriority w:val="99"/>
    <w:rsid w:val="00824891"/>
    <w:rPr>
      <w:rFonts w:cs="Times New Roman"/>
      <w:color w:val="0000FF"/>
      <w:u w:val="single"/>
    </w:rPr>
  </w:style>
  <w:style w:type="character" w:customStyle="1" w:styleId="hps">
    <w:name w:val="hps"/>
    <w:uiPriority w:val="99"/>
    <w:rsid w:val="007563AC"/>
  </w:style>
  <w:style w:type="character" w:styleId="CommentReference">
    <w:name w:val="annotation reference"/>
    <w:basedOn w:val="DefaultParagraphFont"/>
    <w:uiPriority w:val="99"/>
    <w:semiHidden/>
    <w:rsid w:val="007563AC"/>
    <w:rPr>
      <w:rFonts w:cs="Times New Roman"/>
      <w:sz w:val="16"/>
      <w:szCs w:val="16"/>
    </w:rPr>
  </w:style>
  <w:style w:type="paragraph" w:styleId="CommentText">
    <w:name w:val="annotation text"/>
    <w:basedOn w:val="Normal"/>
    <w:link w:val="CommentTextChar"/>
    <w:uiPriority w:val="99"/>
    <w:rsid w:val="007563AC"/>
    <w:rPr>
      <w:sz w:val="20"/>
      <w:szCs w:val="20"/>
    </w:rPr>
  </w:style>
  <w:style w:type="character" w:customStyle="1" w:styleId="CommentTextChar">
    <w:name w:val="Comment Text Char"/>
    <w:basedOn w:val="DefaultParagraphFont"/>
    <w:link w:val="CommentText"/>
    <w:uiPriority w:val="99"/>
    <w:locked/>
    <w:rsid w:val="007563AC"/>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7563AC"/>
    <w:rPr>
      <w:b/>
      <w:bCs/>
    </w:rPr>
  </w:style>
  <w:style w:type="character" w:customStyle="1" w:styleId="CommentSubjectChar">
    <w:name w:val="Comment Subject Char"/>
    <w:basedOn w:val="CommentTextChar"/>
    <w:link w:val="CommentSubject"/>
    <w:uiPriority w:val="99"/>
    <w:semiHidden/>
    <w:locked/>
    <w:rsid w:val="007563AC"/>
    <w:rPr>
      <w:rFonts w:ascii="Times New Roman" w:hAnsi="Times New Roman" w:cs="Times New Roman"/>
      <w:b/>
      <w:bCs/>
    </w:rPr>
  </w:style>
  <w:style w:type="character" w:styleId="FollowedHyperlink">
    <w:name w:val="FollowedHyperlink"/>
    <w:basedOn w:val="DefaultParagraphFont"/>
    <w:uiPriority w:val="99"/>
    <w:semiHidden/>
    <w:rsid w:val="00300911"/>
    <w:rPr>
      <w:rFonts w:cs="Times New Roman"/>
      <w:color w:val="800080"/>
      <w:u w:val="single"/>
    </w:rPr>
  </w:style>
  <w:style w:type="paragraph" w:styleId="ListParagraph">
    <w:name w:val="List Paragraph"/>
    <w:basedOn w:val="Normal"/>
    <w:uiPriority w:val="99"/>
    <w:qFormat/>
    <w:rsid w:val="007D712B"/>
    <w:pPr>
      <w:spacing w:before="100" w:beforeAutospacing="1" w:after="100" w:afterAutospacing="1"/>
    </w:pPr>
  </w:style>
  <w:style w:type="paragraph" w:customStyle="1" w:styleId="GAParaResolution">
    <w:name w:val="GA Para Resolution"/>
    <w:basedOn w:val="Normal"/>
    <w:uiPriority w:val="99"/>
    <w:rsid w:val="002D3437"/>
    <w:pPr>
      <w:autoSpaceDE w:val="0"/>
      <w:autoSpaceDN w:val="0"/>
      <w:adjustRightInd w:val="0"/>
      <w:spacing w:after="120"/>
      <w:ind w:left="1287" w:hanging="360"/>
      <w:jc w:val="both"/>
    </w:pPr>
    <w:rPr>
      <w:rFonts w:ascii="Arial" w:hAnsi="Arial" w:cs="Arial"/>
      <w:sz w:val="22"/>
      <w:szCs w:val="22"/>
      <w:u w:val="single"/>
    </w:rPr>
  </w:style>
  <w:style w:type="paragraph" w:customStyle="1" w:styleId="5GAparabodytext">
    <w:name w:val="5GA para body text"/>
    <w:basedOn w:val="Marge"/>
    <w:autoRedefine/>
    <w:uiPriority w:val="99"/>
    <w:rsid w:val="00E653FF"/>
    <w:pPr>
      <w:numPr>
        <w:numId w:val="8"/>
      </w:numPr>
      <w:spacing w:after="120"/>
      <w:ind w:left="567" w:hanging="567"/>
    </w:pPr>
    <w:rPr>
      <w:rFonts w:cs="Arial"/>
      <w:bCs/>
      <w:szCs w:val="22"/>
    </w:rPr>
  </w:style>
  <w:style w:type="character" w:styleId="IntenseEmphasis">
    <w:name w:val="Intense Emphasis"/>
    <w:aliases w:val="Texte"/>
    <w:basedOn w:val="DefaultParagraphFont"/>
    <w:uiPriority w:val="99"/>
    <w:qFormat/>
    <w:rsid w:val="007F4607"/>
    <w:rPr>
      <w:rFonts w:ascii="Arial" w:hAnsi="Arial"/>
      <w:sz w:val="22"/>
    </w:rPr>
  </w:style>
  <w:style w:type="paragraph" w:styleId="FootnoteText">
    <w:name w:val="footnote text"/>
    <w:basedOn w:val="Normal"/>
    <w:link w:val="FootnoteTextChar"/>
    <w:uiPriority w:val="99"/>
    <w:rsid w:val="007F4607"/>
    <w:pPr>
      <w:spacing w:before="60" w:after="60"/>
      <w:jc w:val="both"/>
    </w:pPr>
    <w:rPr>
      <w:rFonts w:ascii="Arial" w:hAnsi="Arial"/>
      <w:sz w:val="20"/>
      <w:szCs w:val="20"/>
    </w:rPr>
  </w:style>
  <w:style w:type="character" w:customStyle="1" w:styleId="FootnoteTextChar">
    <w:name w:val="Footnote Text Char"/>
    <w:basedOn w:val="DefaultParagraphFont"/>
    <w:link w:val="FootnoteText"/>
    <w:uiPriority w:val="99"/>
    <w:locked/>
    <w:rsid w:val="007F4607"/>
    <w:rPr>
      <w:rFonts w:ascii="Arial" w:hAnsi="Arial" w:cs="Times New Roman"/>
      <w:sz w:val="20"/>
      <w:szCs w:val="20"/>
      <w:lang w:val="fr-FR"/>
    </w:rPr>
  </w:style>
  <w:style w:type="character" w:styleId="FootnoteReference">
    <w:name w:val="footnote reference"/>
    <w:basedOn w:val="DefaultParagraphFont"/>
    <w:uiPriority w:val="99"/>
    <w:rsid w:val="007F4607"/>
    <w:rPr>
      <w:rFonts w:cs="Times New Roman"/>
      <w:vertAlign w:val="superscript"/>
    </w:rPr>
  </w:style>
  <w:style w:type="paragraph" w:customStyle="1" w:styleId="Default">
    <w:name w:val="Default"/>
    <w:link w:val="DefaultChar"/>
    <w:uiPriority w:val="99"/>
    <w:rsid w:val="000566B1"/>
    <w:pPr>
      <w:autoSpaceDE w:val="0"/>
      <w:autoSpaceDN w:val="0"/>
      <w:adjustRightInd w:val="0"/>
    </w:pPr>
    <w:rPr>
      <w:rFonts w:ascii="Arial" w:hAnsi="Arial"/>
      <w:color w:val="000000"/>
      <w:sz w:val="24"/>
      <w:szCs w:val="24"/>
    </w:rPr>
  </w:style>
  <w:style w:type="character" w:customStyle="1" w:styleId="DefaultChar">
    <w:name w:val="Default Char"/>
    <w:link w:val="Default"/>
    <w:uiPriority w:val="99"/>
    <w:locked/>
    <w:rsid w:val="004C4707"/>
    <w:rPr>
      <w:rFonts w:ascii="Arial" w:hAnsi="Arial"/>
      <w:color w:val="000000"/>
      <w:sz w:val="24"/>
    </w:rPr>
  </w:style>
  <w:style w:type="paragraph" w:styleId="Revision">
    <w:name w:val="Revision"/>
    <w:hidden/>
    <w:uiPriority w:val="99"/>
    <w:semiHidden/>
    <w:rsid w:val="0090435C"/>
    <w:rPr>
      <w:rFonts w:ascii="Times New Roman" w:hAnsi="Times New Roman"/>
      <w:sz w:val="24"/>
      <w:szCs w:val="24"/>
    </w:rPr>
  </w:style>
  <w:style w:type="paragraph" w:customStyle="1" w:styleId="GAPara">
    <w:name w:val="GA Para"/>
    <w:uiPriority w:val="99"/>
    <w:rsid w:val="00FA5645"/>
    <w:pPr>
      <w:spacing w:after="120"/>
      <w:ind w:left="567" w:hanging="567"/>
    </w:pPr>
    <w:rPr>
      <w:rFonts w:ascii="Arial" w:hAnsi="Arial" w:cs="Arial"/>
    </w:rPr>
  </w:style>
  <w:style w:type="paragraph" w:customStyle="1" w:styleId="GATitleResolution">
    <w:name w:val="GA Title Resolution"/>
    <w:basedOn w:val="Normal"/>
    <w:uiPriority w:val="99"/>
    <w:rsid w:val="00FA5645"/>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uiPriority w:val="99"/>
    <w:rsid w:val="00FA5645"/>
    <w:pPr>
      <w:keepNext/>
      <w:spacing w:after="120"/>
      <w:ind w:left="567"/>
      <w:jc w:val="both"/>
    </w:pPr>
    <w:rPr>
      <w:rFonts w:ascii="Arial" w:hAnsi="Arial" w:cs="Arial"/>
      <w:sz w:val="22"/>
      <w:szCs w:val="22"/>
    </w:rPr>
  </w:style>
  <w:style w:type="character" w:styleId="Strong">
    <w:name w:val="Strong"/>
    <w:basedOn w:val="DefaultParagraphFont"/>
    <w:uiPriority w:val="99"/>
    <w:qFormat/>
    <w:locked/>
    <w:rsid w:val="00FA5645"/>
    <w:rPr>
      <w:rFonts w:cs="Times New Roman"/>
      <w:b/>
      <w:bCs/>
    </w:rPr>
  </w:style>
  <w:style w:type="paragraph" w:styleId="ListBullet">
    <w:name w:val="List Bullet"/>
    <w:basedOn w:val="Normal"/>
    <w:uiPriority w:val="99"/>
    <w:rsid w:val="00FA5645"/>
    <w:pPr>
      <w:tabs>
        <w:tab w:val="num" w:pos="360"/>
      </w:tabs>
      <w:spacing w:before="120" w:after="120" w:line="240" w:lineRule="exact"/>
      <w:ind w:left="360" w:hanging="360"/>
      <w:contextualSpacing/>
    </w:pPr>
    <w:rPr>
      <w:rFonts w:ascii="Calibri" w:hAnsi="Calibri" w:cs="Arial"/>
      <w:sz w:val="22"/>
      <w:szCs w:val="22"/>
    </w:rPr>
  </w:style>
  <w:style w:type="paragraph" w:customStyle="1" w:styleId="DocMain">
    <w:name w:val="Doc_Main"/>
    <w:basedOn w:val="Normal"/>
    <w:uiPriority w:val="99"/>
    <w:rsid w:val="00FA5645"/>
    <w:pPr>
      <w:spacing w:before="240" w:after="240"/>
      <w:ind w:left="720" w:hanging="360"/>
      <w:jc w:val="both"/>
    </w:pPr>
    <w:rPr>
      <w:rFonts w:ascii="Arial" w:hAnsi="Arial" w:cs="Arial"/>
      <w:sz w:val="22"/>
      <w:szCs w:val="22"/>
    </w:rPr>
  </w:style>
  <w:style w:type="paragraph" w:customStyle="1" w:styleId="Paragraph">
    <w:name w:val="Paragraph"/>
    <w:basedOn w:val="Normal"/>
    <w:link w:val="ParagraphChar"/>
    <w:uiPriority w:val="99"/>
    <w:rsid w:val="00FA5645"/>
    <w:pPr>
      <w:numPr>
        <w:numId w:val="15"/>
      </w:numPr>
      <w:spacing w:before="240"/>
      <w:ind w:left="567" w:hanging="567"/>
      <w:jc w:val="both"/>
    </w:pPr>
    <w:rPr>
      <w:rFonts w:ascii="Arial" w:hAnsi="Arial"/>
      <w:sz w:val="20"/>
      <w:szCs w:val="20"/>
    </w:rPr>
  </w:style>
  <w:style w:type="character" w:customStyle="1" w:styleId="ParagraphChar">
    <w:name w:val="Paragraph Char"/>
    <w:link w:val="Paragraph"/>
    <w:uiPriority w:val="99"/>
    <w:locked/>
    <w:rsid w:val="00FA5645"/>
    <w:rPr>
      <w:rFonts w:ascii="Arial" w:hAnsi="Arial"/>
      <w:sz w:val="20"/>
      <w:szCs w:val="20"/>
    </w:rPr>
  </w:style>
  <w:style w:type="paragraph" w:customStyle="1" w:styleId="Para">
    <w:name w:val="Para"/>
    <w:basedOn w:val="Normal"/>
    <w:link w:val="ParaChar"/>
    <w:uiPriority w:val="99"/>
    <w:rsid w:val="00FA5645"/>
    <w:pPr>
      <w:numPr>
        <w:numId w:val="16"/>
      </w:numPr>
      <w:spacing w:after="120" w:line="240" w:lineRule="exact"/>
      <w:jc w:val="both"/>
    </w:pPr>
    <w:rPr>
      <w:rFonts w:ascii="Arial" w:hAnsi="Arial"/>
      <w:sz w:val="20"/>
      <w:szCs w:val="20"/>
    </w:rPr>
  </w:style>
  <w:style w:type="character" w:customStyle="1" w:styleId="ParaChar">
    <w:name w:val="Para Char"/>
    <w:link w:val="Para"/>
    <w:uiPriority w:val="99"/>
    <w:locked/>
    <w:rsid w:val="00FA5645"/>
    <w:rPr>
      <w:rFonts w:ascii="Arial" w:hAnsi="Arial"/>
      <w:sz w:val="20"/>
      <w:szCs w:val="20"/>
    </w:rPr>
  </w:style>
  <w:style w:type="character" w:customStyle="1" w:styleId="EndnoteTextChar">
    <w:name w:val="Endnote Text Char"/>
    <w:basedOn w:val="DefaultParagraphFont"/>
    <w:link w:val="EndnoteText"/>
    <w:uiPriority w:val="99"/>
    <w:semiHidden/>
    <w:locked/>
    <w:rsid w:val="00FA5645"/>
    <w:rPr>
      <w:rFonts w:ascii="Times New Roman" w:hAnsi="Times New Roman" w:cs="Times New Roman"/>
      <w:sz w:val="20"/>
      <w:szCs w:val="20"/>
    </w:rPr>
  </w:style>
  <w:style w:type="paragraph" w:styleId="EndnoteText">
    <w:name w:val="endnote text"/>
    <w:basedOn w:val="Normal"/>
    <w:link w:val="EndnoteTextChar"/>
    <w:uiPriority w:val="99"/>
    <w:semiHidden/>
    <w:rsid w:val="00FA5645"/>
    <w:rPr>
      <w:sz w:val="20"/>
      <w:szCs w:val="20"/>
    </w:rPr>
  </w:style>
  <w:style w:type="character" w:customStyle="1" w:styleId="EndnoteTextChar1">
    <w:name w:val="Endnote Text Char1"/>
    <w:basedOn w:val="DefaultParagraphFont"/>
    <w:uiPriority w:val="99"/>
    <w:semiHidden/>
    <w:rsid w:val="003F6D37"/>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6310">
      <w:marLeft w:val="0"/>
      <w:marRight w:val="0"/>
      <w:marTop w:val="0"/>
      <w:marBottom w:val="0"/>
      <w:divBdr>
        <w:top w:val="none" w:sz="0" w:space="0" w:color="auto"/>
        <w:left w:val="none" w:sz="0" w:space="0" w:color="auto"/>
        <w:bottom w:val="none" w:sz="0" w:space="0" w:color="auto"/>
        <w:right w:val="none" w:sz="0" w:space="0" w:color="auto"/>
      </w:divBdr>
    </w:div>
    <w:div w:id="183906311">
      <w:marLeft w:val="0"/>
      <w:marRight w:val="0"/>
      <w:marTop w:val="0"/>
      <w:marBottom w:val="0"/>
      <w:divBdr>
        <w:top w:val="none" w:sz="0" w:space="0" w:color="auto"/>
        <w:left w:val="none" w:sz="0" w:space="0" w:color="auto"/>
        <w:bottom w:val="none" w:sz="0" w:space="0" w:color="auto"/>
        <w:right w:val="none" w:sz="0" w:space="0" w:color="auto"/>
      </w:divBdr>
    </w:div>
    <w:div w:id="183906312">
      <w:marLeft w:val="0"/>
      <w:marRight w:val="0"/>
      <w:marTop w:val="0"/>
      <w:marBottom w:val="0"/>
      <w:divBdr>
        <w:top w:val="none" w:sz="0" w:space="0" w:color="auto"/>
        <w:left w:val="none" w:sz="0" w:space="0" w:color="auto"/>
        <w:bottom w:val="none" w:sz="0" w:space="0" w:color="auto"/>
        <w:right w:val="none" w:sz="0" w:space="0" w:color="auto"/>
      </w:divBdr>
    </w:div>
    <w:div w:id="183906313">
      <w:marLeft w:val="0"/>
      <w:marRight w:val="0"/>
      <w:marTop w:val="0"/>
      <w:marBottom w:val="0"/>
      <w:divBdr>
        <w:top w:val="none" w:sz="0" w:space="0" w:color="auto"/>
        <w:left w:val="none" w:sz="0" w:space="0" w:color="auto"/>
        <w:bottom w:val="none" w:sz="0" w:space="0" w:color="auto"/>
        <w:right w:val="none" w:sz="0" w:space="0" w:color="auto"/>
      </w:divBdr>
    </w:div>
    <w:div w:id="183906314">
      <w:marLeft w:val="0"/>
      <w:marRight w:val="0"/>
      <w:marTop w:val="0"/>
      <w:marBottom w:val="0"/>
      <w:divBdr>
        <w:top w:val="none" w:sz="0" w:space="0" w:color="auto"/>
        <w:left w:val="none" w:sz="0" w:space="0" w:color="auto"/>
        <w:bottom w:val="none" w:sz="0" w:space="0" w:color="auto"/>
        <w:right w:val="none" w:sz="0" w:space="0" w:color="auto"/>
      </w:divBdr>
    </w:div>
    <w:div w:id="183906315">
      <w:marLeft w:val="0"/>
      <w:marRight w:val="0"/>
      <w:marTop w:val="0"/>
      <w:marBottom w:val="0"/>
      <w:divBdr>
        <w:top w:val="none" w:sz="0" w:space="0" w:color="auto"/>
        <w:left w:val="none" w:sz="0" w:space="0" w:color="auto"/>
        <w:bottom w:val="none" w:sz="0" w:space="0" w:color="auto"/>
        <w:right w:val="none" w:sz="0" w:space="0" w:color="auto"/>
      </w:divBdr>
    </w:div>
    <w:div w:id="183906316">
      <w:marLeft w:val="0"/>
      <w:marRight w:val="0"/>
      <w:marTop w:val="0"/>
      <w:marBottom w:val="0"/>
      <w:divBdr>
        <w:top w:val="none" w:sz="0" w:space="0" w:color="auto"/>
        <w:left w:val="none" w:sz="0" w:space="0" w:color="auto"/>
        <w:bottom w:val="none" w:sz="0" w:space="0" w:color="auto"/>
        <w:right w:val="none" w:sz="0" w:space="0" w:color="auto"/>
      </w:divBdr>
    </w:div>
    <w:div w:id="183906317">
      <w:marLeft w:val="0"/>
      <w:marRight w:val="0"/>
      <w:marTop w:val="0"/>
      <w:marBottom w:val="0"/>
      <w:divBdr>
        <w:top w:val="none" w:sz="0" w:space="0" w:color="auto"/>
        <w:left w:val="none" w:sz="0" w:space="0" w:color="auto"/>
        <w:bottom w:val="none" w:sz="0" w:space="0" w:color="auto"/>
        <w:right w:val="none" w:sz="0" w:space="0" w:color="auto"/>
      </w:divBdr>
    </w:div>
    <w:div w:id="183906318">
      <w:marLeft w:val="0"/>
      <w:marRight w:val="0"/>
      <w:marTop w:val="0"/>
      <w:marBottom w:val="0"/>
      <w:divBdr>
        <w:top w:val="none" w:sz="0" w:space="0" w:color="auto"/>
        <w:left w:val="none" w:sz="0" w:space="0" w:color="auto"/>
        <w:bottom w:val="none" w:sz="0" w:space="0" w:color="auto"/>
        <w:right w:val="none" w:sz="0" w:space="0" w:color="auto"/>
      </w:divBdr>
    </w:div>
    <w:div w:id="183906319">
      <w:marLeft w:val="0"/>
      <w:marRight w:val="0"/>
      <w:marTop w:val="0"/>
      <w:marBottom w:val="0"/>
      <w:divBdr>
        <w:top w:val="none" w:sz="0" w:space="0" w:color="auto"/>
        <w:left w:val="none" w:sz="0" w:space="0" w:color="auto"/>
        <w:bottom w:val="none" w:sz="0" w:space="0" w:color="auto"/>
        <w:right w:val="none" w:sz="0" w:space="0" w:color="auto"/>
      </w:divBdr>
    </w:div>
    <w:div w:id="183906320">
      <w:marLeft w:val="0"/>
      <w:marRight w:val="0"/>
      <w:marTop w:val="0"/>
      <w:marBottom w:val="0"/>
      <w:divBdr>
        <w:top w:val="none" w:sz="0" w:space="0" w:color="auto"/>
        <w:left w:val="none" w:sz="0" w:space="0" w:color="auto"/>
        <w:bottom w:val="none" w:sz="0" w:space="0" w:color="auto"/>
        <w:right w:val="none" w:sz="0" w:space="0" w:color="auto"/>
      </w:divBdr>
    </w:div>
    <w:div w:id="183906321">
      <w:marLeft w:val="0"/>
      <w:marRight w:val="0"/>
      <w:marTop w:val="0"/>
      <w:marBottom w:val="0"/>
      <w:divBdr>
        <w:top w:val="none" w:sz="0" w:space="0" w:color="auto"/>
        <w:left w:val="none" w:sz="0" w:space="0" w:color="auto"/>
        <w:bottom w:val="none" w:sz="0" w:space="0" w:color="auto"/>
        <w:right w:val="none" w:sz="0" w:space="0" w:color="auto"/>
      </w:divBdr>
    </w:div>
    <w:div w:id="183906322">
      <w:marLeft w:val="0"/>
      <w:marRight w:val="0"/>
      <w:marTop w:val="0"/>
      <w:marBottom w:val="0"/>
      <w:divBdr>
        <w:top w:val="none" w:sz="0" w:space="0" w:color="auto"/>
        <w:left w:val="none" w:sz="0" w:space="0" w:color="auto"/>
        <w:bottom w:val="none" w:sz="0" w:space="0" w:color="auto"/>
        <w:right w:val="none" w:sz="0" w:space="0" w:color="auto"/>
      </w:divBdr>
    </w:div>
    <w:div w:id="183906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nesco.org/culture/ich/doc/src/33363-FR.docx" TargetMode="External"/><Relationship Id="rId21" Type="http://schemas.openxmlformats.org/officeDocument/2006/relationships/hyperlink" Target="http://www.unesco.org/culture/ich/doc/src/ITH-16-11.COM-9.c-FR.docx" TargetMode="External"/><Relationship Id="rId34" Type="http://schemas.openxmlformats.org/officeDocument/2006/relationships/hyperlink" Target="http://www.unesco.org/culture/ich/fr/Decisions/10.COM/14.a" TargetMode="External"/><Relationship Id="rId42" Type="http://schemas.openxmlformats.org/officeDocument/2006/relationships/hyperlink" Target="http://www.unesco.org/culture/ich/doc/src/ITH-15-10.COM-8_FR.docx" TargetMode="External"/><Relationship Id="rId47" Type="http://schemas.openxmlformats.org/officeDocument/2006/relationships/hyperlink" Target="http://www.unesco.org/culture/ich/fr/Decisions/9.COM/13.h" TargetMode="External"/><Relationship Id="rId50" Type="http://schemas.openxmlformats.org/officeDocument/2006/relationships/hyperlink" Target="http://www.unesco.org/culture/ich/fr/Resolutions/6.GA/7" TargetMode="External"/><Relationship Id="rId55" Type="http://schemas.openxmlformats.org/officeDocument/2006/relationships/header" Target="header6.xml"/><Relationship Id="rId63" Type="http://schemas.openxmlformats.org/officeDocument/2006/relationships/hyperlink" Target="http://www.unesco.org/culture/ich/fr/Decisions/8.COM/11"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nesco.org/culture/ich/fr/Decisions/8.COM/5.c.1" TargetMode="External"/><Relationship Id="rId29" Type="http://schemas.openxmlformats.org/officeDocument/2006/relationships/header" Target="header2.xml"/><Relationship Id="rId11" Type="http://schemas.openxmlformats.org/officeDocument/2006/relationships/hyperlink" Target="http://unesdoc.unesco.org/images/0024/002443/244305f.pdf" TargetMode="External"/><Relationship Id="rId24" Type="http://schemas.openxmlformats.org/officeDocument/2006/relationships/hyperlink" Target="http://www.unesco.org/culture/ich/fr/submissions-and-deadlines-00861" TargetMode="External"/><Relationship Id="rId32" Type="http://schemas.openxmlformats.org/officeDocument/2006/relationships/hyperlink" Target="http://www.unesco.org/culture/ich/fr/Resolutions/6.GA/7" TargetMode="External"/><Relationship Id="rId37" Type="http://schemas.openxmlformats.org/officeDocument/2006/relationships/hyperlink" Target="http://www.unesco.org/culture/ich/fr/Resolutions/5.GA/5.1" TargetMode="External"/><Relationship Id="rId40" Type="http://schemas.openxmlformats.org/officeDocument/2006/relationships/hyperlink" Target="http://www.unesco.org/culture/ich/fr/Resolutions/6.GA/7" TargetMode="External"/><Relationship Id="rId45" Type="http://schemas.openxmlformats.org/officeDocument/2006/relationships/hyperlink" Target="http://www.unesco.org/culture/ich/fr/Decisions/9.COM/13.h" TargetMode="External"/><Relationship Id="rId53" Type="http://schemas.openxmlformats.org/officeDocument/2006/relationships/header" Target="header4.xml"/><Relationship Id="rId58" Type="http://schemas.openxmlformats.org/officeDocument/2006/relationships/hyperlink" Target="http://www.unesco.org/culture/ich/fr/Decisions/9.COM/12" TargetMode="External"/><Relationship Id="rId66"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hyperlink" Target="http://www.unesco.org/culture/ich/fr/Decisions/9.COM/13.g" TargetMode="External"/><Relationship Id="rId19" Type="http://schemas.openxmlformats.org/officeDocument/2006/relationships/hyperlink" Target="http://www.unesco.org/culture/ich/doc/src/ITH-14-9.COM-7_Rev.-FR.doc" TargetMode="External"/><Relationship Id="rId14" Type="http://schemas.openxmlformats.org/officeDocument/2006/relationships/hyperlink" Target="http://www.unesco.org/culture/ich/fr/Categorie2/" TargetMode="External"/><Relationship Id="rId22" Type="http://schemas.openxmlformats.org/officeDocument/2006/relationships/hyperlink" Target="http://www.unesco.org/culture/ich/doc/src/ITH-16-11.COM_2.BUR-1_FR.docx" TargetMode="External"/><Relationship Id="rId27" Type="http://schemas.openxmlformats.org/officeDocument/2006/relationships/hyperlink" Target="http://www.unesco.org/culture/ich/doc/src/ITH-14-9.COM-6-FR_.doc" TargetMode="External"/><Relationship Id="rId30" Type="http://schemas.openxmlformats.org/officeDocument/2006/relationships/header" Target="header3.xml"/><Relationship Id="rId35" Type="http://schemas.openxmlformats.org/officeDocument/2006/relationships/hyperlink" Target="http://www.unesco.org/culture/ich/fr/Resolutions/6.GA/7" TargetMode="External"/><Relationship Id="rId43" Type="http://schemas.openxmlformats.org/officeDocument/2006/relationships/hyperlink" Target="http://www.unesco.org/culture/ich/fr/Decisions/10.COM/8" TargetMode="External"/><Relationship Id="rId48" Type="http://schemas.openxmlformats.org/officeDocument/2006/relationships/hyperlink" Target="http://www.unesco.org/culture/ich/doc/src/ITH-14-5.GA-5.1-FR.doc" TargetMode="External"/><Relationship Id="rId56" Type="http://schemas.openxmlformats.org/officeDocument/2006/relationships/hyperlink" Target="http://www.unesco.org/culture/ich/fr/Decisions/9.COM/7" TargetMode="External"/><Relationship Id="rId64" Type="http://schemas.openxmlformats.org/officeDocument/2006/relationships/hyperlink" Target="http://www.unesco.org/culture/ich/fr/Resolutions/5.GA/5.1" TargetMode="External"/><Relationship Id="rId8" Type="http://schemas.openxmlformats.org/officeDocument/2006/relationships/hyperlink" Target="http://www.unesco.org/culture/ich/doc/src/ITH-16-11.COM-INF.5-FR.docx" TargetMode="External"/><Relationship Id="rId51" Type="http://schemas.openxmlformats.org/officeDocument/2006/relationships/hyperlink" Target="http://www.unesco.org/culture/ich/fr/Decisions/9.COM/13.e" TargetMode="External"/><Relationship Id="rId3" Type="http://schemas.microsoft.com/office/2007/relationships/stylesWithEffects" Target="stylesWithEffects.xml"/><Relationship Id="rId12" Type="http://schemas.openxmlformats.org/officeDocument/2006/relationships/hyperlink" Target="http://www.unesco.org/culture/ich/fr/Resolutions/6.GA/9" TargetMode="External"/><Relationship Id="rId17" Type="http://schemas.openxmlformats.org/officeDocument/2006/relationships/hyperlink" Target="http://www.unesco.org/culture/ich/doc/src/ITH-16-11.COM-14-FR.docx" TargetMode="External"/><Relationship Id="rId25" Type="http://schemas.openxmlformats.org/officeDocument/2006/relationships/hyperlink" Target="http://www.unesco.org/culture/ich/doc/src/ITH-15-10.COM-7.b_FR.docx" TargetMode="External"/><Relationship Id="rId33" Type="http://schemas.openxmlformats.org/officeDocument/2006/relationships/hyperlink" Target="http://www.unesco.org/culture/ich/fr/Resolutions/6.GA/7" TargetMode="External"/><Relationship Id="rId38" Type="http://schemas.openxmlformats.org/officeDocument/2006/relationships/hyperlink" Target="http://www.unesco.org/culture/ich/doc/src/ITH-13-8.COM-5.c-FR.doc" TargetMode="External"/><Relationship Id="rId46" Type="http://schemas.openxmlformats.org/officeDocument/2006/relationships/hyperlink" Target="http://www.unesco.org/culture/ich/doc/src/ITH-14-9.COM-13.h-FR_.doc" TargetMode="External"/><Relationship Id="rId59" Type="http://schemas.openxmlformats.org/officeDocument/2006/relationships/hyperlink" Target="http://www.unesco.org/culture/ich/fr/Decisions/10.COM/13" TargetMode="External"/><Relationship Id="rId67" Type="http://schemas.openxmlformats.org/officeDocument/2006/relationships/fontTable" Target="fontTable.xml"/><Relationship Id="rId20" Type="http://schemas.openxmlformats.org/officeDocument/2006/relationships/hyperlink" Target="http://www.unesco.org/culture/ich/fr/Decisions/9.COM/7" TargetMode="External"/><Relationship Id="rId41" Type="http://schemas.openxmlformats.org/officeDocument/2006/relationships/hyperlink" Target="http://www.unesco.org/culture/ich/fr/Decisions/8.COM/7.c" TargetMode="External"/><Relationship Id="rId54" Type="http://schemas.openxmlformats.org/officeDocument/2006/relationships/header" Target="header5.xml"/><Relationship Id="rId62" Type="http://schemas.openxmlformats.org/officeDocument/2006/relationships/hyperlink" Target="http://www.unesco.org/culture/ich/fr/Resolutions/6.GA/7"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nesco.org/culture/ich/fr/projet" TargetMode="External"/><Relationship Id="rId23" Type="http://schemas.openxmlformats.org/officeDocument/2006/relationships/hyperlink" Target="http://www.unesco.org/culture/ich/fr/Resolutions/6.GA/9" TargetMode="External"/><Relationship Id="rId28" Type="http://schemas.openxmlformats.org/officeDocument/2006/relationships/header" Target="header1.xml"/><Relationship Id="rId36" Type="http://schemas.openxmlformats.org/officeDocument/2006/relationships/hyperlink" Target="http://www.unesco.org/culture/ich/doc/src/ITH-14-9.COM-13.d-FR.doc" TargetMode="External"/><Relationship Id="rId49" Type="http://schemas.openxmlformats.org/officeDocument/2006/relationships/hyperlink" Target="http://www.unesco.org/culture/ich/fr/Decisions/9.COM/13.a" TargetMode="External"/><Relationship Id="rId57" Type="http://schemas.openxmlformats.org/officeDocument/2006/relationships/hyperlink" Target="http://www.unesco.org/culture/ich/fr/Decisions/10.COM/9" TargetMode="External"/><Relationship Id="rId10" Type="http://schemas.openxmlformats.org/officeDocument/2006/relationships/hyperlink" Target="http://www.unesco.org/culture/ich/doc/src/ITH-16-11.COM-7-FR.docx" TargetMode="External"/><Relationship Id="rId31" Type="http://schemas.openxmlformats.org/officeDocument/2006/relationships/hyperlink" Target="http://www.unesco.org/culture/ich/fr/Decisions/10.COM/14.a" TargetMode="External"/><Relationship Id="rId44" Type="http://schemas.openxmlformats.org/officeDocument/2006/relationships/hyperlink" Target="http://www.unesco.org/culture/ich/doc/src/ITH-14-9.COM-13.h-FR_.doc" TargetMode="External"/><Relationship Id="rId52" Type="http://schemas.openxmlformats.org/officeDocument/2006/relationships/hyperlink" Target="http://www.unesco.org/culture/ich/fr/Decisions/10.COM/9" TargetMode="External"/><Relationship Id="rId60" Type="http://schemas.openxmlformats.org/officeDocument/2006/relationships/hyperlink" Target="http://www.unesco.org/culture/ich/fr/Decisions/8.COM/7.c" TargetMode="External"/><Relationship Id="rId65" Type="http://schemas.openxmlformats.org/officeDocument/2006/relationships/hyperlink" Target="http://www.unesco.org/culture/ich/fr/Decisions/9.COM/11" TargetMode="External"/><Relationship Id="rId4" Type="http://schemas.openxmlformats.org/officeDocument/2006/relationships/settings" Target="settings.xml"/><Relationship Id="rId9" Type="http://schemas.openxmlformats.org/officeDocument/2006/relationships/hyperlink" Target="http://www.unesco.org/culture/ich/doc/src/33363-FR.docx" TargetMode="External"/><Relationship Id="rId13" Type="http://schemas.openxmlformats.org/officeDocument/2006/relationships/hyperlink" Target="http://www.unesco.org/culture/ich/fr/submissions-and-deadlines-00861" TargetMode="External"/><Relationship Id="rId18" Type="http://schemas.openxmlformats.org/officeDocument/2006/relationships/hyperlink" Target="http://www.unesco.org/culture/ich/doc/src/ITH-16-11.COM-15-FR.docx" TargetMode="External"/><Relationship Id="rId39" Type="http://schemas.openxmlformats.org/officeDocument/2006/relationships/hyperlink" Target="http://www.unesco.org/culture/ich/fr/Decisions/10.COM/15.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 COM_Working document_EN</Template>
  <TotalTime>81</TotalTime>
  <Pages>35</Pages>
  <Words>12834</Words>
  <Characters>77031</Characters>
  <Application>Microsoft Office Word</Application>
  <DocSecurity>0</DocSecurity>
  <Lines>641</Lines>
  <Paragraphs>179</Paragraphs>
  <ScaleCrop>false</ScaleCrop>
  <HeadingPairs>
    <vt:vector size="2" baseType="variant">
      <vt:variant>
        <vt:lpstr>Title</vt:lpstr>
      </vt:variant>
      <vt:variant>
        <vt:i4>1</vt:i4>
      </vt:variant>
    </vt:vector>
  </HeadingPairs>
  <TitlesOfParts>
    <vt:vector size="1" baseType="lpstr">
      <vt:lpstr>Chief ITH ________________</vt:lpstr>
    </vt:vector>
  </TitlesOfParts>
  <Company>UNESCO</Company>
  <LinksUpToDate>false</LinksUpToDate>
  <CharactersWithSpaces>89686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ITH ________________</dc:title>
  <dc:creator>Delsol, Christine</dc:creator>
  <cp:lastModifiedBy>Ingrid Theuninck</cp:lastModifiedBy>
  <cp:revision>9</cp:revision>
  <cp:lastPrinted>2016-10-28T07:52:00Z</cp:lastPrinted>
  <dcterms:created xsi:type="dcterms:W3CDTF">2016-10-28T13:21:00Z</dcterms:created>
  <dcterms:modified xsi:type="dcterms:W3CDTF">2016-10-31T15:38:00Z</dcterms:modified>
</cp:coreProperties>
</file>